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F1FAF"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83DE7D6" wp14:editId="09F3CDB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E80DB4F" w14:textId="4B9E0C6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45E98">
        <w:rPr>
          <w:szCs w:val="24"/>
        </w:rPr>
        <w:t>18. december 2024</w:t>
      </w:r>
    </w:p>
    <w:p w14:paraId="206A1EDF" w14:textId="77777777" w:rsidR="009260DE" w:rsidRPr="00C84483" w:rsidRDefault="009260DE" w:rsidP="009260DE">
      <w:pPr>
        <w:pStyle w:val="Titel"/>
        <w:tabs>
          <w:tab w:val="left" w:pos="8222"/>
        </w:tabs>
        <w:jc w:val="left"/>
        <w:rPr>
          <w:b w:val="0"/>
          <w:szCs w:val="24"/>
        </w:rPr>
      </w:pPr>
    </w:p>
    <w:p w14:paraId="222F1B31" w14:textId="77777777" w:rsidR="009260DE" w:rsidRPr="00C84483" w:rsidRDefault="009260DE" w:rsidP="009260DE">
      <w:pPr>
        <w:pStyle w:val="Titel"/>
        <w:jc w:val="left"/>
        <w:rPr>
          <w:b w:val="0"/>
          <w:szCs w:val="24"/>
        </w:rPr>
      </w:pPr>
    </w:p>
    <w:p w14:paraId="0432F9E6" w14:textId="77777777" w:rsidR="009260DE" w:rsidRPr="00C84483" w:rsidRDefault="009260DE" w:rsidP="009260DE">
      <w:pPr>
        <w:pStyle w:val="Titel"/>
        <w:jc w:val="left"/>
        <w:rPr>
          <w:b w:val="0"/>
          <w:szCs w:val="24"/>
        </w:rPr>
      </w:pPr>
    </w:p>
    <w:p w14:paraId="32A9B0E4" w14:textId="77777777" w:rsidR="009260DE" w:rsidRPr="00C84483" w:rsidRDefault="009260DE" w:rsidP="009260DE">
      <w:pPr>
        <w:jc w:val="center"/>
        <w:rPr>
          <w:b/>
          <w:sz w:val="24"/>
          <w:szCs w:val="24"/>
        </w:rPr>
      </w:pPr>
      <w:r w:rsidRPr="00C84483">
        <w:rPr>
          <w:b/>
          <w:sz w:val="24"/>
          <w:szCs w:val="24"/>
        </w:rPr>
        <w:t>PRODUKTRESUMÉ</w:t>
      </w:r>
    </w:p>
    <w:p w14:paraId="32F3E77B" w14:textId="77777777" w:rsidR="009260DE" w:rsidRPr="00C84483" w:rsidRDefault="009260DE" w:rsidP="009260DE">
      <w:pPr>
        <w:jc w:val="center"/>
        <w:rPr>
          <w:b/>
          <w:sz w:val="24"/>
          <w:szCs w:val="24"/>
        </w:rPr>
      </w:pPr>
    </w:p>
    <w:p w14:paraId="52042C8E" w14:textId="0F5D393F" w:rsidR="009260DE" w:rsidRDefault="00DD3CE6" w:rsidP="00DD3CE6">
      <w:pPr>
        <w:tabs>
          <w:tab w:val="center" w:pos="4819"/>
        </w:tabs>
        <w:rPr>
          <w:b/>
          <w:sz w:val="24"/>
          <w:szCs w:val="24"/>
        </w:rPr>
      </w:pPr>
      <w:r>
        <w:rPr>
          <w:b/>
          <w:sz w:val="24"/>
          <w:szCs w:val="24"/>
        </w:rPr>
        <w:tab/>
      </w:r>
      <w:r w:rsidR="009260DE" w:rsidRPr="00C84483">
        <w:rPr>
          <w:b/>
          <w:sz w:val="24"/>
          <w:szCs w:val="24"/>
        </w:rPr>
        <w:t>for</w:t>
      </w:r>
    </w:p>
    <w:p w14:paraId="052E1962" w14:textId="77777777" w:rsidR="000B058C" w:rsidRPr="00C84483" w:rsidRDefault="000B058C" w:rsidP="009260DE">
      <w:pPr>
        <w:jc w:val="center"/>
        <w:rPr>
          <w:b/>
          <w:sz w:val="24"/>
          <w:szCs w:val="24"/>
        </w:rPr>
      </w:pPr>
    </w:p>
    <w:p w14:paraId="54907741" w14:textId="4069FDA8" w:rsidR="009260DE" w:rsidRPr="00C84483" w:rsidRDefault="00147D71" w:rsidP="009260DE">
      <w:pPr>
        <w:jc w:val="center"/>
        <w:rPr>
          <w:b/>
          <w:sz w:val="24"/>
          <w:szCs w:val="24"/>
        </w:rPr>
      </w:pPr>
      <w:r>
        <w:rPr>
          <w:b/>
          <w:sz w:val="24"/>
          <w:szCs w:val="24"/>
        </w:rPr>
        <w:t>Sitagliptin/Metformin "Grindeks", filmovertrukne tabletter</w:t>
      </w:r>
    </w:p>
    <w:p w14:paraId="453BCA5C" w14:textId="77777777" w:rsidR="009260DE" w:rsidRPr="00C84483" w:rsidRDefault="009260DE" w:rsidP="009260DE">
      <w:pPr>
        <w:jc w:val="both"/>
        <w:rPr>
          <w:sz w:val="24"/>
          <w:szCs w:val="24"/>
        </w:rPr>
      </w:pPr>
    </w:p>
    <w:p w14:paraId="21CF0BC8" w14:textId="77777777" w:rsidR="009260DE" w:rsidRPr="00C84483" w:rsidRDefault="009260DE" w:rsidP="009260DE">
      <w:pPr>
        <w:jc w:val="both"/>
        <w:rPr>
          <w:sz w:val="24"/>
          <w:szCs w:val="24"/>
        </w:rPr>
      </w:pPr>
    </w:p>
    <w:p w14:paraId="1F03C1C3"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6E2D21F7" w14:textId="22D035DA" w:rsidR="009260DE" w:rsidRPr="00C84483" w:rsidRDefault="00147D71" w:rsidP="009260DE">
      <w:pPr>
        <w:tabs>
          <w:tab w:val="left" w:pos="851"/>
        </w:tabs>
        <w:ind w:left="851"/>
        <w:rPr>
          <w:sz w:val="24"/>
          <w:szCs w:val="24"/>
        </w:rPr>
      </w:pPr>
      <w:r>
        <w:rPr>
          <w:sz w:val="24"/>
          <w:szCs w:val="24"/>
        </w:rPr>
        <w:t>32302</w:t>
      </w:r>
    </w:p>
    <w:p w14:paraId="547CEF8C" w14:textId="77777777" w:rsidR="009260DE" w:rsidRPr="00C84483" w:rsidRDefault="009260DE" w:rsidP="009260DE">
      <w:pPr>
        <w:tabs>
          <w:tab w:val="left" w:pos="851"/>
        </w:tabs>
        <w:ind w:left="851"/>
        <w:rPr>
          <w:sz w:val="24"/>
          <w:szCs w:val="24"/>
        </w:rPr>
      </w:pPr>
    </w:p>
    <w:p w14:paraId="57FEC093"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32EA4C3" w14:textId="0E275E7C" w:rsidR="009260DE" w:rsidRPr="00C84483" w:rsidRDefault="00147D71" w:rsidP="009260DE">
      <w:pPr>
        <w:tabs>
          <w:tab w:val="left" w:pos="851"/>
        </w:tabs>
        <w:ind w:left="851"/>
        <w:rPr>
          <w:sz w:val="24"/>
          <w:szCs w:val="24"/>
        </w:rPr>
      </w:pPr>
      <w:r>
        <w:rPr>
          <w:sz w:val="24"/>
          <w:szCs w:val="24"/>
        </w:rPr>
        <w:t>Sitagliptin/Metformin "Grindeks"</w:t>
      </w:r>
    </w:p>
    <w:p w14:paraId="0F73B31F" w14:textId="77777777" w:rsidR="009260DE" w:rsidRPr="00C84483" w:rsidRDefault="009260DE" w:rsidP="009260DE">
      <w:pPr>
        <w:tabs>
          <w:tab w:val="left" w:pos="851"/>
        </w:tabs>
        <w:ind w:left="851"/>
        <w:rPr>
          <w:sz w:val="24"/>
          <w:szCs w:val="24"/>
        </w:rPr>
      </w:pPr>
    </w:p>
    <w:p w14:paraId="64AB5D6A"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3EB3D4F" w14:textId="77777777" w:rsidR="00B46AEA" w:rsidRDefault="00B46AEA" w:rsidP="00EB4A64">
      <w:pPr>
        <w:pStyle w:val="Default"/>
        <w:ind w:left="851" w:right="-2"/>
        <w:rPr>
          <w:u w:val="single"/>
          <w:lang w:val="da-DK"/>
        </w:rPr>
      </w:pPr>
    </w:p>
    <w:p w14:paraId="12FBC16D" w14:textId="77EE16BD" w:rsidR="00147D71" w:rsidRDefault="001A122E" w:rsidP="00EB4A64">
      <w:pPr>
        <w:pStyle w:val="Default"/>
        <w:ind w:left="851" w:right="-2"/>
        <w:rPr>
          <w:u w:val="single"/>
          <w:lang w:val="da-DK"/>
        </w:rPr>
      </w:pPr>
      <w:r>
        <w:rPr>
          <w:u w:val="single"/>
          <w:lang w:val="da-DK"/>
        </w:rPr>
        <w:t>Sitagliptin/Metformin "Grindeks"</w:t>
      </w:r>
      <w:r w:rsidR="00147D71">
        <w:rPr>
          <w:u w:val="single"/>
          <w:lang w:val="da-DK"/>
        </w:rPr>
        <w:t xml:space="preserve"> 50 mg/850 mg filmovertrukne tabletter</w:t>
      </w:r>
    </w:p>
    <w:p w14:paraId="5F383F53" w14:textId="010BA8C9" w:rsidR="00147D71" w:rsidRDefault="00147D71" w:rsidP="00EB4A64">
      <w:pPr>
        <w:pStyle w:val="Default"/>
        <w:ind w:left="851" w:right="-2"/>
        <w:rPr>
          <w:lang w:val="da-DK"/>
        </w:rPr>
      </w:pPr>
      <w:r>
        <w:rPr>
          <w:lang w:val="da-DK"/>
        </w:rPr>
        <w:t>Hver filmovertrukket tablet indeholder sitagliptinhydrochloridmonohydrat svarende til 50</w:t>
      </w:r>
      <w:r w:rsidR="00876147">
        <w:rPr>
          <w:lang w:val="da-DK"/>
        </w:rPr>
        <w:t> </w:t>
      </w:r>
      <w:r>
        <w:rPr>
          <w:lang w:val="da-DK"/>
        </w:rPr>
        <w:t>mg sitagliptin og 850 mg metforminhydrochlorid.</w:t>
      </w:r>
    </w:p>
    <w:p w14:paraId="0BE22CFF" w14:textId="77777777" w:rsidR="00147D71" w:rsidRDefault="00147D71" w:rsidP="00EB4A64">
      <w:pPr>
        <w:pStyle w:val="Default"/>
        <w:ind w:left="851" w:right="-2"/>
        <w:rPr>
          <w:lang w:val="da-DK"/>
        </w:rPr>
      </w:pPr>
    </w:p>
    <w:p w14:paraId="7EE4DDF1" w14:textId="405B0D03" w:rsidR="00147D71" w:rsidRDefault="001A122E" w:rsidP="00EB4A64">
      <w:pPr>
        <w:pStyle w:val="Default"/>
        <w:ind w:left="851" w:right="-2"/>
        <w:rPr>
          <w:u w:val="single"/>
          <w:lang w:val="da-DK"/>
        </w:rPr>
      </w:pPr>
      <w:r>
        <w:rPr>
          <w:u w:val="single"/>
          <w:lang w:val="da-DK"/>
        </w:rPr>
        <w:t>Sitagliptin/Metformin "Grindeks"</w:t>
      </w:r>
      <w:r w:rsidR="00147D71">
        <w:rPr>
          <w:u w:val="single"/>
          <w:lang w:val="da-DK"/>
        </w:rPr>
        <w:t xml:space="preserve"> 50 mg/1000 mg filmovertrukne tabletter</w:t>
      </w:r>
    </w:p>
    <w:p w14:paraId="2D23664E" w14:textId="30F863DE" w:rsidR="00147D71" w:rsidRDefault="00147D71" w:rsidP="00EB4A64">
      <w:pPr>
        <w:pStyle w:val="Default"/>
        <w:ind w:left="851" w:right="-2"/>
        <w:rPr>
          <w:lang w:val="da-DK"/>
        </w:rPr>
      </w:pPr>
      <w:r>
        <w:rPr>
          <w:lang w:val="da-DK"/>
        </w:rPr>
        <w:t>Hver filmovertrukket tablet indeholder sitagliptinhydrochloridmonohydrat svarende til 50</w:t>
      </w:r>
      <w:r w:rsidR="00DF7C99">
        <w:rPr>
          <w:lang w:val="da-DK"/>
        </w:rPr>
        <w:t> </w:t>
      </w:r>
      <w:r>
        <w:rPr>
          <w:lang w:val="da-DK"/>
        </w:rPr>
        <w:t>mg sitagliptin og 1000 mg metforminhydrochlorid.</w:t>
      </w:r>
    </w:p>
    <w:p w14:paraId="42188CA3" w14:textId="77777777" w:rsidR="00147D71" w:rsidRDefault="00147D71" w:rsidP="00EB4A64">
      <w:pPr>
        <w:pStyle w:val="Default"/>
        <w:ind w:left="851" w:right="-2"/>
        <w:rPr>
          <w:lang w:val="da-DK"/>
        </w:rPr>
      </w:pPr>
    </w:p>
    <w:p w14:paraId="42D81BF0" w14:textId="77777777" w:rsidR="00147D71" w:rsidRDefault="00147D71" w:rsidP="00EB4A64">
      <w:pPr>
        <w:pStyle w:val="Default"/>
        <w:ind w:left="851" w:right="-2"/>
        <w:rPr>
          <w:lang w:val="da-DK"/>
        </w:rPr>
      </w:pPr>
      <w:r>
        <w:rPr>
          <w:lang w:val="da-DK"/>
        </w:rPr>
        <w:t>Alle hjælpestoffer er anført under pkt. 6.1.</w:t>
      </w:r>
    </w:p>
    <w:p w14:paraId="2A8D6EA9" w14:textId="77777777" w:rsidR="009260DE" w:rsidRPr="00C84483" w:rsidRDefault="009260DE" w:rsidP="009260DE">
      <w:pPr>
        <w:tabs>
          <w:tab w:val="left" w:pos="851"/>
        </w:tabs>
        <w:ind w:left="851"/>
        <w:rPr>
          <w:sz w:val="24"/>
          <w:szCs w:val="24"/>
        </w:rPr>
      </w:pPr>
    </w:p>
    <w:p w14:paraId="0EDB0C02"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933E5FF" w14:textId="729BC1DC" w:rsidR="00147D71" w:rsidRDefault="00147D71" w:rsidP="00EB4A64">
      <w:pPr>
        <w:pStyle w:val="Default"/>
        <w:ind w:left="851" w:right="-2"/>
        <w:rPr>
          <w:lang w:val="da-DK"/>
        </w:rPr>
      </w:pPr>
      <w:r>
        <w:rPr>
          <w:lang w:val="da-DK"/>
        </w:rPr>
        <w:t>Filmovertrukne tabletter (tabletter)</w:t>
      </w:r>
    </w:p>
    <w:p w14:paraId="170B3005" w14:textId="77777777" w:rsidR="00147D71" w:rsidRDefault="00147D71" w:rsidP="00EB4A64">
      <w:pPr>
        <w:pStyle w:val="Default"/>
        <w:ind w:left="851" w:right="-2"/>
        <w:rPr>
          <w:lang w:val="da-DK"/>
        </w:rPr>
      </w:pPr>
    </w:p>
    <w:p w14:paraId="233DF521" w14:textId="58135348" w:rsidR="00147D71" w:rsidRDefault="001A122E" w:rsidP="00EB4A64">
      <w:pPr>
        <w:pStyle w:val="Default"/>
        <w:ind w:left="851" w:right="-2"/>
        <w:rPr>
          <w:u w:val="single"/>
          <w:lang w:val="da-DK"/>
        </w:rPr>
      </w:pPr>
      <w:r>
        <w:rPr>
          <w:u w:val="single"/>
          <w:lang w:val="da-DK"/>
        </w:rPr>
        <w:t>Sitagliptin/Metformin "Grindeks"</w:t>
      </w:r>
      <w:r w:rsidR="00147D71">
        <w:rPr>
          <w:u w:val="single"/>
          <w:lang w:val="da-DK"/>
        </w:rPr>
        <w:t xml:space="preserve"> 50 mg/850 mg filmovertrukne tabletter</w:t>
      </w:r>
    </w:p>
    <w:p w14:paraId="1AF1A724" w14:textId="77777777" w:rsidR="00147D71" w:rsidRDefault="00147D71" w:rsidP="00EB4A64">
      <w:pPr>
        <w:pStyle w:val="Default"/>
        <w:ind w:left="851" w:right="-2"/>
        <w:rPr>
          <w:lang w:val="da-DK"/>
        </w:rPr>
      </w:pPr>
      <w:r>
        <w:rPr>
          <w:lang w:val="da-DK"/>
        </w:rPr>
        <w:t>Orange, ovale, bikonvekse, filmovertrukne tabletter præget med ”SM85” på den ene side. Tabletten måler ca. 20 mm × 6,7 mm.</w:t>
      </w:r>
    </w:p>
    <w:p w14:paraId="43A5D3BD" w14:textId="77777777" w:rsidR="00147D71" w:rsidRDefault="00147D71" w:rsidP="00EB4A64">
      <w:pPr>
        <w:pStyle w:val="Default"/>
        <w:ind w:left="851" w:right="-2"/>
        <w:rPr>
          <w:lang w:val="da-DK"/>
        </w:rPr>
      </w:pPr>
    </w:p>
    <w:p w14:paraId="4BB8D453" w14:textId="5153EB12" w:rsidR="00147D71" w:rsidRDefault="001A122E" w:rsidP="00EB4A64">
      <w:pPr>
        <w:pStyle w:val="Default"/>
        <w:ind w:left="851" w:right="-2"/>
        <w:rPr>
          <w:u w:val="single"/>
          <w:lang w:val="da-DK"/>
        </w:rPr>
      </w:pPr>
      <w:r>
        <w:rPr>
          <w:u w:val="single"/>
          <w:lang w:val="da-DK"/>
        </w:rPr>
        <w:t>Sitagliptin/Metformin "Grindeks"</w:t>
      </w:r>
      <w:r w:rsidR="00147D71">
        <w:rPr>
          <w:u w:val="single"/>
          <w:lang w:val="da-DK"/>
        </w:rPr>
        <w:t xml:space="preserve"> 50 mg/1000 mg filmovertrukne tabletter</w:t>
      </w:r>
    </w:p>
    <w:p w14:paraId="0CB645C1" w14:textId="77777777" w:rsidR="00147D71" w:rsidRDefault="00147D71" w:rsidP="00EB4A64">
      <w:pPr>
        <w:pStyle w:val="Default"/>
        <w:ind w:left="851" w:right="-2"/>
        <w:rPr>
          <w:lang w:val="da-DK"/>
        </w:rPr>
      </w:pPr>
      <w:r>
        <w:rPr>
          <w:lang w:val="da-DK"/>
        </w:rPr>
        <w:t>Brune, ovale, bikonvekse, filmovertrukne tabletter præget med ”SM100” på den ene side. Tabletten måler ca. 21 mm × 7,2 mm.</w:t>
      </w:r>
    </w:p>
    <w:p w14:paraId="356648E1" w14:textId="77777777" w:rsidR="009260DE" w:rsidRPr="00C84483" w:rsidRDefault="009260DE" w:rsidP="009260DE">
      <w:pPr>
        <w:tabs>
          <w:tab w:val="left" w:pos="851"/>
        </w:tabs>
        <w:ind w:left="851"/>
        <w:rPr>
          <w:sz w:val="24"/>
          <w:szCs w:val="24"/>
        </w:rPr>
      </w:pPr>
    </w:p>
    <w:p w14:paraId="3006ACEA" w14:textId="2CE2FFE1" w:rsidR="007621EC" w:rsidRDefault="007621EC">
      <w:pPr>
        <w:rPr>
          <w:sz w:val="24"/>
          <w:szCs w:val="24"/>
        </w:rPr>
      </w:pPr>
      <w:r>
        <w:rPr>
          <w:sz w:val="24"/>
          <w:szCs w:val="24"/>
        </w:rPr>
        <w:br w:type="page"/>
      </w:r>
    </w:p>
    <w:p w14:paraId="1B7F2093" w14:textId="77777777" w:rsidR="009260DE" w:rsidRPr="00C84483" w:rsidRDefault="009260DE" w:rsidP="009260DE">
      <w:pPr>
        <w:tabs>
          <w:tab w:val="left" w:pos="851"/>
        </w:tabs>
        <w:ind w:left="851"/>
        <w:rPr>
          <w:sz w:val="24"/>
          <w:szCs w:val="24"/>
        </w:rPr>
      </w:pPr>
    </w:p>
    <w:p w14:paraId="0B246A4C"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F0E9E8F" w14:textId="77777777" w:rsidR="009260DE" w:rsidRPr="00C84483" w:rsidRDefault="009260DE" w:rsidP="009260DE">
      <w:pPr>
        <w:tabs>
          <w:tab w:val="left" w:pos="851"/>
        </w:tabs>
        <w:ind w:left="851"/>
        <w:rPr>
          <w:b/>
          <w:sz w:val="24"/>
          <w:szCs w:val="24"/>
        </w:rPr>
      </w:pPr>
    </w:p>
    <w:p w14:paraId="3EE5893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449D1F2" w14:textId="77777777" w:rsidR="00147D71" w:rsidRDefault="00147D71" w:rsidP="00EB4A64">
      <w:pPr>
        <w:pStyle w:val="Default"/>
        <w:ind w:left="851" w:right="-2"/>
        <w:rPr>
          <w:lang w:val="da-DK"/>
        </w:rPr>
      </w:pPr>
      <w:r>
        <w:rPr>
          <w:lang w:val="da-DK"/>
        </w:rPr>
        <w:t>Til voksne patienter med type 2-diabetes mellitus:</w:t>
      </w:r>
    </w:p>
    <w:p w14:paraId="5F07FEEA" w14:textId="77777777" w:rsidR="00147D71" w:rsidRDefault="00147D71" w:rsidP="00EB4A64">
      <w:pPr>
        <w:pStyle w:val="Default"/>
        <w:ind w:left="851" w:right="-2"/>
        <w:rPr>
          <w:lang w:val="da-DK"/>
        </w:rPr>
      </w:pPr>
    </w:p>
    <w:p w14:paraId="50CB3438" w14:textId="619E48E9" w:rsidR="00147D71" w:rsidRDefault="001A122E" w:rsidP="00EB4A64">
      <w:pPr>
        <w:pStyle w:val="Default"/>
        <w:ind w:left="851" w:right="-2"/>
        <w:rPr>
          <w:lang w:val="da-DK"/>
        </w:rPr>
      </w:pPr>
      <w:r>
        <w:rPr>
          <w:lang w:val="da-DK"/>
        </w:rPr>
        <w:t>Sitagliptin/Metformin "Grindeks"</w:t>
      </w:r>
      <w:r w:rsidR="00147D71">
        <w:rPr>
          <w:lang w:val="da-DK"/>
        </w:rPr>
        <w:t xml:space="preserve"> er indiceret som supplement til diæt og motion til forbedring af den glykæmiske kontrol hos patienter, der ikke er tilstrækkeligt kontrolleret på den maksimalt tolererede dosis metformin alene eller hos de patienter, som allerede er i behandling med en kombination af sitagliptin og metformin.</w:t>
      </w:r>
    </w:p>
    <w:p w14:paraId="1E9F20B0" w14:textId="77777777" w:rsidR="00147D71" w:rsidRDefault="00147D71" w:rsidP="00EB4A64">
      <w:pPr>
        <w:pStyle w:val="Default"/>
        <w:ind w:left="851" w:right="-2"/>
        <w:rPr>
          <w:lang w:val="da-DK"/>
        </w:rPr>
      </w:pPr>
    </w:p>
    <w:p w14:paraId="59B5B955" w14:textId="4D9544F9" w:rsidR="00147D71" w:rsidRDefault="001A122E" w:rsidP="00EB4A64">
      <w:pPr>
        <w:pStyle w:val="Default"/>
        <w:ind w:left="851" w:right="-2"/>
        <w:rPr>
          <w:lang w:val="da-DK"/>
        </w:rPr>
      </w:pPr>
      <w:r>
        <w:rPr>
          <w:lang w:val="da-DK"/>
        </w:rPr>
        <w:t>Sitagliptin/Metformin "Grindeks"</w:t>
      </w:r>
      <w:r w:rsidR="00147D71">
        <w:rPr>
          <w:lang w:val="da-DK"/>
        </w:rPr>
        <w:t xml:space="preserve"> er indiceret som supplement til diæt og motion i kombination med et sulfonylurinstof (dvs. tripel kombinationsbehandling) hos patienter, der ikke er tilstrækkeligt kontrolleret på den maksimalt tolererede dosis metformin og sulfonylurinstof.</w:t>
      </w:r>
    </w:p>
    <w:p w14:paraId="2B93D0F7" w14:textId="77777777" w:rsidR="00147D71" w:rsidRDefault="00147D71" w:rsidP="00EB4A64">
      <w:pPr>
        <w:pStyle w:val="Default"/>
        <w:ind w:left="851" w:right="-2"/>
        <w:rPr>
          <w:lang w:val="da-DK"/>
        </w:rPr>
      </w:pPr>
    </w:p>
    <w:p w14:paraId="60C45A76" w14:textId="441C18B6" w:rsidR="00147D71" w:rsidRDefault="001A122E" w:rsidP="00EB4A64">
      <w:pPr>
        <w:pStyle w:val="Default"/>
        <w:ind w:left="851" w:right="-2"/>
        <w:rPr>
          <w:lang w:val="da-DK"/>
        </w:rPr>
      </w:pPr>
      <w:r>
        <w:rPr>
          <w:lang w:val="da-DK"/>
        </w:rPr>
        <w:t>Sitagliptin/Metformin "Grindeks"</w:t>
      </w:r>
      <w:r w:rsidR="00147D71">
        <w:rPr>
          <w:lang w:val="da-DK"/>
        </w:rPr>
        <w:t xml:space="preserve"> er indiceret som tripel kombinationsbehandling sammen med en peroxisom proliferator-aktiveret receptor-gamma (PPAR</w:t>
      </w:r>
      <w:r w:rsidR="00147D71">
        <w:rPr>
          <w:lang w:val="da-DK"/>
        </w:rPr>
        <w:sym w:font="Symbol" w:char="F067"/>
      </w:r>
      <w:r w:rsidR="00147D71">
        <w:rPr>
          <w:lang w:val="da-DK"/>
        </w:rPr>
        <w:t>)-agonist (dvs. et glitazon) som supplement til diæt og motion hos patienter, der ikke er tilstrækkeligt kontrolleret på den maksimalt tolererede dosis metformin og en PPAR</w:t>
      </w:r>
      <w:r w:rsidR="00147D71">
        <w:rPr>
          <w:lang w:val="da-DK"/>
        </w:rPr>
        <w:sym w:font="Symbol" w:char="F067"/>
      </w:r>
      <w:r w:rsidR="00147D71">
        <w:rPr>
          <w:lang w:val="da-DK"/>
        </w:rPr>
        <w:t>-agonist.</w:t>
      </w:r>
    </w:p>
    <w:p w14:paraId="67CF4CB0" w14:textId="77777777" w:rsidR="00147D71" w:rsidRDefault="00147D71" w:rsidP="00EB4A64">
      <w:pPr>
        <w:pStyle w:val="Default"/>
        <w:ind w:left="851" w:right="-2"/>
        <w:rPr>
          <w:lang w:val="da-DK"/>
        </w:rPr>
      </w:pPr>
    </w:p>
    <w:p w14:paraId="16BDE464" w14:textId="3C02D006" w:rsidR="00147D71" w:rsidRDefault="001A122E" w:rsidP="00EB4A64">
      <w:pPr>
        <w:pStyle w:val="Default"/>
        <w:ind w:left="851" w:right="-2"/>
        <w:rPr>
          <w:lang w:val="da-DK"/>
        </w:rPr>
      </w:pPr>
      <w:r>
        <w:rPr>
          <w:lang w:val="da-DK"/>
        </w:rPr>
        <w:t>Sitagliptin/Metformin "Grindeks"</w:t>
      </w:r>
      <w:r w:rsidR="00147D71">
        <w:rPr>
          <w:lang w:val="da-DK"/>
        </w:rPr>
        <w:t xml:space="preserve"> er også indiceret som tillægsbehandling til insulin (dvs. tripel kombinationsbehandling) som supplement til diæt og motion til forbedring af den glykæmiske kontrol hos patienter, når stabil dosering af insulin og metformin alene ikke giver tilstrækkelig glykæmisk kontrol.</w:t>
      </w:r>
    </w:p>
    <w:p w14:paraId="2EF447D5" w14:textId="77777777" w:rsidR="009260DE" w:rsidRPr="00C84483" w:rsidRDefault="009260DE" w:rsidP="009260DE">
      <w:pPr>
        <w:tabs>
          <w:tab w:val="left" w:pos="851"/>
        </w:tabs>
        <w:ind w:left="851"/>
        <w:rPr>
          <w:sz w:val="24"/>
          <w:szCs w:val="24"/>
        </w:rPr>
      </w:pPr>
    </w:p>
    <w:p w14:paraId="6C748D98" w14:textId="0644D98C"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A64350">
        <w:rPr>
          <w:b/>
          <w:sz w:val="24"/>
          <w:szCs w:val="24"/>
        </w:rPr>
        <w:t>administration</w:t>
      </w:r>
    </w:p>
    <w:p w14:paraId="42D886ED" w14:textId="77777777" w:rsidR="00B46AEA" w:rsidRDefault="00B46AEA" w:rsidP="00EB4A64">
      <w:pPr>
        <w:pStyle w:val="Default"/>
        <w:ind w:left="851" w:right="-2"/>
        <w:rPr>
          <w:u w:val="single"/>
          <w:lang w:val="da-DK"/>
        </w:rPr>
      </w:pPr>
    </w:p>
    <w:p w14:paraId="168A4408" w14:textId="5C68FDAC" w:rsidR="00147D71" w:rsidRDefault="00147D71" w:rsidP="00EB4A64">
      <w:pPr>
        <w:pStyle w:val="Default"/>
        <w:ind w:left="851" w:right="-2"/>
        <w:rPr>
          <w:u w:val="single"/>
          <w:lang w:val="da-DK"/>
        </w:rPr>
      </w:pPr>
      <w:r>
        <w:rPr>
          <w:u w:val="single"/>
          <w:lang w:val="da-DK"/>
        </w:rPr>
        <w:t>Dosering</w:t>
      </w:r>
    </w:p>
    <w:p w14:paraId="5160AC4A" w14:textId="5C7C9409" w:rsidR="00147D71" w:rsidRDefault="00147D71" w:rsidP="00EB4A64">
      <w:pPr>
        <w:pStyle w:val="Default"/>
        <w:ind w:left="851" w:right="-2"/>
        <w:rPr>
          <w:lang w:val="da-DK"/>
        </w:rPr>
      </w:pPr>
      <w:r>
        <w:rPr>
          <w:lang w:val="da-DK"/>
        </w:rPr>
        <w:t xml:space="preserve">Doseringen af antihyperglykæmisk behandling med </w:t>
      </w:r>
      <w:r w:rsidR="001A122E">
        <w:rPr>
          <w:lang w:val="da-DK"/>
        </w:rPr>
        <w:t>Sitagliptin/Metformin "Grindeks"</w:t>
      </w:r>
      <w:r>
        <w:rPr>
          <w:lang w:val="da-DK"/>
        </w:rPr>
        <w:t xml:space="preserve"> bør individualiseres på basis af patientens aktuelle regime, effektivitet og tolerabilitet, uden at den maksimale anbefalede daglige dosis på 100 mg sitagliptin overskrides.</w:t>
      </w:r>
    </w:p>
    <w:p w14:paraId="04BE745E" w14:textId="77777777" w:rsidR="00147D71" w:rsidRDefault="00147D71" w:rsidP="00EB4A64">
      <w:pPr>
        <w:pStyle w:val="Default"/>
        <w:ind w:left="851" w:right="-2"/>
        <w:rPr>
          <w:lang w:val="da-DK"/>
        </w:rPr>
      </w:pPr>
    </w:p>
    <w:p w14:paraId="1982F9B1" w14:textId="77777777" w:rsidR="00147D71" w:rsidRDefault="00147D71" w:rsidP="00EB4A64">
      <w:pPr>
        <w:pStyle w:val="Default"/>
        <w:ind w:left="851" w:right="-2"/>
        <w:rPr>
          <w:b/>
          <w:bCs/>
          <w:i/>
          <w:iCs/>
          <w:lang w:val="da-DK"/>
        </w:rPr>
      </w:pPr>
      <w:r>
        <w:rPr>
          <w:b/>
          <w:bCs/>
          <w:i/>
          <w:iCs/>
          <w:lang w:val="da-DK"/>
        </w:rPr>
        <w:t>Voksne med normal nyrefunktion (GFR ≥ 90 ml/min)</w:t>
      </w:r>
    </w:p>
    <w:p w14:paraId="50B1AFFA" w14:textId="77777777" w:rsidR="00147D71" w:rsidRDefault="00147D71" w:rsidP="00EB4A64">
      <w:pPr>
        <w:pStyle w:val="Default"/>
        <w:ind w:left="851" w:right="-2"/>
        <w:rPr>
          <w:lang w:val="da-DK"/>
        </w:rPr>
      </w:pPr>
    </w:p>
    <w:p w14:paraId="4BB8D7E5" w14:textId="04ECC886" w:rsidR="00147D71" w:rsidRDefault="00147D71" w:rsidP="00EB4A64">
      <w:pPr>
        <w:pStyle w:val="Default"/>
        <w:ind w:left="851" w:right="-2"/>
        <w:rPr>
          <w:u w:val="single"/>
          <w:lang w:val="da-DK"/>
        </w:rPr>
      </w:pPr>
      <w:r>
        <w:rPr>
          <w:u w:val="single"/>
          <w:lang w:val="da-DK"/>
        </w:rPr>
        <w:t>Til patienter, der ikke er tilstrækkeligt kontrolleret på maksimal tolereret dosis af metformin-monoterapi</w:t>
      </w:r>
    </w:p>
    <w:p w14:paraId="0D3F5060" w14:textId="77777777" w:rsidR="00147D71" w:rsidRDefault="00147D71" w:rsidP="00EB4A64">
      <w:pPr>
        <w:pStyle w:val="Default"/>
        <w:ind w:left="851" w:right="-2"/>
        <w:rPr>
          <w:lang w:val="da-DK"/>
        </w:rPr>
      </w:pPr>
      <w:r>
        <w:rPr>
          <w:lang w:val="da-DK"/>
        </w:rPr>
        <w:t>Til patienter, der ikke er tilstrækkeligt kontrolleret på metformin alene, bør den normale startdosis doseres som 50 mg sitagliptin to gange daglig (100 mg i alt pr. dag) plus den dosis metformin, som allerede tages.</w:t>
      </w:r>
    </w:p>
    <w:p w14:paraId="50FB20BB" w14:textId="77777777" w:rsidR="00147D71" w:rsidRDefault="00147D71" w:rsidP="00EB4A64">
      <w:pPr>
        <w:pStyle w:val="Default"/>
        <w:ind w:left="851" w:right="-2"/>
        <w:rPr>
          <w:lang w:val="da-DK"/>
        </w:rPr>
      </w:pPr>
    </w:p>
    <w:p w14:paraId="4D238611" w14:textId="77777777" w:rsidR="00147D71" w:rsidRDefault="00147D71" w:rsidP="00EB4A64">
      <w:pPr>
        <w:pStyle w:val="Default"/>
        <w:ind w:left="851" w:right="-2"/>
        <w:rPr>
          <w:u w:val="single"/>
          <w:lang w:val="da-DK"/>
        </w:rPr>
      </w:pPr>
      <w:r>
        <w:rPr>
          <w:u w:val="single"/>
          <w:lang w:val="da-DK"/>
        </w:rPr>
        <w:t>Til patienter, der skifter fra samtidig administration af sitagliptin og metformin</w:t>
      </w:r>
    </w:p>
    <w:p w14:paraId="66DB15BC" w14:textId="129148CA" w:rsidR="00147D71" w:rsidRDefault="00147D71" w:rsidP="00EB4A64">
      <w:pPr>
        <w:pStyle w:val="Default"/>
        <w:ind w:left="851" w:right="-2"/>
        <w:rPr>
          <w:lang w:val="da-DK"/>
        </w:rPr>
      </w:pPr>
      <w:r>
        <w:rPr>
          <w:lang w:val="da-DK"/>
        </w:rPr>
        <w:t xml:space="preserve">Til patienter, der skifter fra samtidig administration af sitagliptin og metformin, bør </w:t>
      </w:r>
      <w:r w:rsidR="001A122E">
        <w:rPr>
          <w:lang w:val="da-DK"/>
        </w:rPr>
        <w:t>Sitagliptin/Metformin "Grindeks"</w:t>
      </w:r>
      <w:r>
        <w:rPr>
          <w:lang w:val="da-DK"/>
        </w:rPr>
        <w:t xml:space="preserve"> initieres med den dosis af sitagliptin og metformin, som allerede tages.</w:t>
      </w:r>
    </w:p>
    <w:p w14:paraId="7DDDCC26" w14:textId="77777777" w:rsidR="00147D71" w:rsidRDefault="00147D71" w:rsidP="00EB4A64">
      <w:pPr>
        <w:pStyle w:val="Default"/>
        <w:ind w:left="851" w:right="-2"/>
        <w:rPr>
          <w:lang w:val="da-DK"/>
        </w:rPr>
      </w:pPr>
    </w:p>
    <w:p w14:paraId="40EDBB80" w14:textId="77777777" w:rsidR="00147D71" w:rsidRDefault="00147D71" w:rsidP="00EB4A64">
      <w:pPr>
        <w:pStyle w:val="Default"/>
        <w:ind w:left="851" w:right="-2"/>
        <w:rPr>
          <w:u w:val="single"/>
          <w:lang w:val="da-DK"/>
        </w:rPr>
      </w:pPr>
      <w:r>
        <w:rPr>
          <w:u w:val="single"/>
          <w:lang w:val="da-DK"/>
        </w:rPr>
        <w:t>Til patienter, der ikke er tilstrækkeligt kontrolleret på dual kombinationsbehandling med den maksimalt tolererede dosis af metformin og et sulfonylurinstof</w:t>
      </w:r>
    </w:p>
    <w:p w14:paraId="7B3EF457" w14:textId="6951E3E7" w:rsidR="00147D71" w:rsidRDefault="00147D71" w:rsidP="00EB4A64">
      <w:pPr>
        <w:pStyle w:val="Default"/>
        <w:ind w:left="851" w:right="-2"/>
        <w:rPr>
          <w:lang w:val="da-DK"/>
        </w:rPr>
      </w:pPr>
      <w:r>
        <w:rPr>
          <w:lang w:val="da-DK"/>
        </w:rPr>
        <w:t xml:space="preserve">Dosis bør doseres som sitagliptin 50 mg to gange daglig (100 mg i alt pr. dag), og metformin bør gives i en dosis svarende til den, som allerede tages. Når </w:t>
      </w:r>
      <w:r w:rsidR="001A122E">
        <w:rPr>
          <w:lang w:val="da-DK"/>
        </w:rPr>
        <w:t>Sitagliptin/Metformin "Grindeks"</w:t>
      </w:r>
      <w:r>
        <w:rPr>
          <w:lang w:val="da-DK"/>
        </w:rPr>
        <w:t xml:space="preserve"> anvendes sammen med et sulfonylurinstof, kan en lavere </w:t>
      </w:r>
      <w:r>
        <w:rPr>
          <w:lang w:val="da-DK"/>
        </w:rPr>
        <w:lastRenderedPageBreak/>
        <w:t>dosis af sulfonylurinstoffet være nødvendig for at reducere risikoen for hypoglykæmi (se pkt. 4.4).</w:t>
      </w:r>
    </w:p>
    <w:p w14:paraId="39309B73" w14:textId="77777777" w:rsidR="00147D71" w:rsidRDefault="00147D71" w:rsidP="00EB4A64">
      <w:pPr>
        <w:pStyle w:val="Default"/>
        <w:ind w:left="851" w:right="-2"/>
        <w:rPr>
          <w:lang w:val="da-DK"/>
        </w:rPr>
      </w:pPr>
    </w:p>
    <w:p w14:paraId="18C86FB5" w14:textId="77777777" w:rsidR="00147D71" w:rsidRDefault="00147D71" w:rsidP="00EB4A64">
      <w:pPr>
        <w:pStyle w:val="Default"/>
        <w:ind w:left="851" w:right="-2"/>
        <w:rPr>
          <w:u w:val="single"/>
          <w:lang w:val="da-DK"/>
        </w:rPr>
      </w:pPr>
      <w:r>
        <w:rPr>
          <w:u w:val="single"/>
          <w:lang w:val="da-DK"/>
        </w:rPr>
        <w:t>Til patienter, der ikke er tilstrækkeligt kontrolleret på dual kombinationsbehandling med den maksimalt tolererede dosis af metformin og en PPAR</w:t>
      </w:r>
      <w:r>
        <w:rPr>
          <w:u w:val="single"/>
          <w:lang w:val="da-DK"/>
        </w:rPr>
        <w:sym w:font="Symbol" w:char="F067"/>
      </w:r>
      <w:r>
        <w:rPr>
          <w:u w:val="single"/>
          <w:lang w:val="da-DK"/>
        </w:rPr>
        <w:t>-agonist</w:t>
      </w:r>
    </w:p>
    <w:p w14:paraId="5C723FEE" w14:textId="77777777" w:rsidR="00147D71" w:rsidRDefault="00147D71" w:rsidP="00EB4A64">
      <w:pPr>
        <w:pStyle w:val="Default"/>
        <w:ind w:left="851" w:right="-2"/>
        <w:rPr>
          <w:lang w:val="da-DK"/>
        </w:rPr>
      </w:pPr>
      <w:r>
        <w:rPr>
          <w:lang w:val="da-DK"/>
        </w:rPr>
        <w:t>Dosis bør doseres som sitagliptin 50 mg to gange daglig (100 mg i alt pr. dag), og metformin bør gives i en dosis svarende til den, som allerede tages.</w:t>
      </w:r>
    </w:p>
    <w:p w14:paraId="260B6AC0" w14:textId="77777777" w:rsidR="00147D71" w:rsidRDefault="00147D71" w:rsidP="00EB4A64">
      <w:pPr>
        <w:pStyle w:val="Default"/>
        <w:ind w:left="851" w:right="-2"/>
        <w:rPr>
          <w:lang w:val="da-DK"/>
        </w:rPr>
      </w:pPr>
    </w:p>
    <w:p w14:paraId="1F0B00B3" w14:textId="77777777" w:rsidR="00147D71" w:rsidRDefault="00147D71" w:rsidP="00EB4A64">
      <w:pPr>
        <w:pStyle w:val="Default"/>
        <w:ind w:left="851" w:right="-2"/>
        <w:rPr>
          <w:u w:val="single"/>
          <w:lang w:val="da-DK"/>
        </w:rPr>
      </w:pPr>
      <w:r>
        <w:rPr>
          <w:u w:val="single"/>
          <w:lang w:val="da-DK"/>
        </w:rPr>
        <w:t>Til patienter, der ikke er tilstrækkeligt kontrolleret på dual kombinationsbehandling med insulin og den maksimalt tolererede dosis af metformin</w:t>
      </w:r>
    </w:p>
    <w:p w14:paraId="0426884E" w14:textId="0B7588D3" w:rsidR="00147D71" w:rsidRDefault="00147D71" w:rsidP="00EB4A64">
      <w:pPr>
        <w:pStyle w:val="Default"/>
        <w:ind w:left="851" w:right="-2"/>
        <w:rPr>
          <w:lang w:val="da-DK"/>
        </w:rPr>
      </w:pPr>
      <w:r>
        <w:rPr>
          <w:lang w:val="da-DK"/>
        </w:rPr>
        <w:t xml:space="preserve">Dosis bør doseres som sitagliptin 50 mg to gange daglig (100 mg i alt pr. dag), og metformin bør gives i en dosis svarende til den, som allerede tages. Når </w:t>
      </w:r>
      <w:r w:rsidR="001A122E">
        <w:rPr>
          <w:lang w:val="da-DK"/>
        </w:rPr>
        <w:t>Sitagliptin/Metformin "Grindeks"</w:t>
      </w:r>
      <w:r>
        <w:rPr>
          <w:lang w:val="da-DK"/>
        </w:rPr>
        <w:t xml:space="preserve"> anvendes sammen med insulin, kan det være nødvendigt at nedsætte insulindosis for at reducere risikoen for hypoglykæmi (se pkt. 4.4).</w:t>
      </w:r>
    </w:p>
    <w:p w14:paraId="5547D16E" w14:textId="77777777" w:rsidR="00147D71" w:rsidRDefault="00147D71" w:rsidP="00EB4A64">
      <w:pPr>
        <w:pStyle w:val="Default"/>
        <w:ind w:left="851" w:right="-2"/>
        <w:rPr>
          <w:lang w:val="da-DK"/>
        </w:rPr>
      </w:pPr>
    </w:p>
    <w:p w14:paraId="3F3A5289" w14:textId="48B1708F" w:rsidR="00147D71" w:rsidRDefault="00147D71" w:rsidP="00EB4A64">
      <w:pPr>
        <w:pStyle w:val="Default"/>
        <w:ind w:left="851" w:right="-2"/>
        <w:rPr>
          <w:lang w:val="da-DK"/>
        </w:rPr>
      </w:pPr>
      <w:r>
        <w:rPr>
          <w:lang w:val="da-DK"/>
        </w:rPr>
        <w:t xml:space="preserve">Til de forskellige metformindoser findes </w:t>
      </w:r>
      <w:r w:rsidR="001A122E">
        <w:rPr>
          <w:lang w:val="da-DK"/>
        </w:rPr>
        <w:t>Sitagliptin/Metformin "Grindeks"</w:t>
      </w:r>
      <w:r>
        <w:rPr>
          <w:lang w:val="da-DK"/>
        </w:rPr>
        <w:t xml:space="preserve"> i styrker på 50 mg sitagliptin og 850 mg metforminhydrochlorid eller 1.000 mg metforminhydrochlorid.</w:t>
      </w:r>
    </w:p>
    <w:p w14:paraId="3B7D28FD" w14:textId="77777777" w:rsidR="00147D71" w:rsidRDefault="00147D71" w:rsidP="00EB4A64">
      <w:pPr>
        <w:pStyle w:val="Default"/>
        <w:ind w:left="851" w:right="-2"/>
        <w:rPr>
          <w:lang w:val="da-DK"/>
        </w:rPr>
      </w:pPr>
    </w:p>
    <w:p w14:paraId="4B9A35DF" w14:textId="77777777" w:rsidR="00147D71" w:rsidRDefault="00147D71" w:rsidP="00EB4A64">
      <w:pPr>
        <w:pStyle w:val="Default"/>
        <w:ind w:left="851" w:right="-2"/>
        <w:rPr>
          <w:lang w:val="da-DK"/>
        </w:rPr>
      </w:pPr>
      <w:r>
        <w:rPr>
          <w:lang w:val="da-DK"/>
        </w:rPr>
        <w:t>Patienterne bør fortsætte med den anbefalede diæt med et hensigtsmæssigt indtag af kulhydrater i løbet af dagen.</w:t>
      </w:r>
    </w:p>
    <w:p w14:paraId="76117C2F" w14:textId="77777777" w:rsidR="00147D71" w:rsidRDefault="00147D71" w:rsidP="00EB4A64">
      <w:pPr>
        <w:pStyle w:val="Default"/>
        <w:ind w:left="851" w:right="-2"/>
        <w:rPr>
          <w:lang w:val="da-DK"/>
        </w:rPr>
      </w:pPr>
    </w:p>
    <w:p w14:paraId="17D5FE8E" w14:textId="77777777" w:rsidR="00147D71" w:rsidRDefault="00147D71" w:rsidP="00EB4A64">
      <w:pPr>
        <w:pStyle w:val="Default"/>
        <w:ind w:left="851" w:right="-2"/>
        <w:rPr>
          <w:u w:val="single"/>
          <w:lang w:val="da-DK"/>
        </w:rPr>
      </w:pPr>
      <w:r>
        <w:rPr>
          <w:u w:val="single"/>
          <w:lang w:val="da-DK"/>
        </w:rPr>
        <w:t>Særlige populationer</w:t>
      </w:r>
    </w:p>
    <w:p w14:paraId="07933B39" w14:textId="77777777" w:rsidR="00147D71" w:rsidRDefault="00147D71" w:rsidP="00EB4A64">
      <w:pPr>
        <w:pStyle w:val="Default"/>
        <w:ind w:left="851" w:right="-2"/>
        <w:rPr>
          <w:u w:val="single"/>
          <w:lang w:val="da-DK"/>
        </w:rPr>
      </w:pPr>
    </w:p>
    <w:p w14:paraId="36539E93" w14:textId="77777777" w:rsidR="00147D71" w:rsidRDefault="00147D71" w:rsidP="00EB4A64">
      <w:pPr>
        <w:pStyle w:val="Default"/>
        <w:ind w:left="851" w:right="-2"/>
        <w:rPr>
          <w:i/>
          <w:iCs/>
          <w:lang w:val="da-DK"/>
        </w:rPr>
      </w:pPr>
      <w:r>
        <w:rPr>
          <w:i/>
          <w:iCs/>
          <w:lang w:val="da-DK"/>
        </w:rPr>
        <w:t>Nedsat nyrefunktion</w:t>
      </w:r>
    </w:p>
    <w:p w14:paraId="40F72EF7" w14:textId="032465E9" w:rsidR="00147D71" w:rsidRDefault="00147D71" w:rsidP="00EB4A64">
      <w:pPr>
        <w:pStyle w:val="Default"/>
        <w:ind w:left="851" w:right="-2"/>
        <w:rPr>
          <w:lang w:val="da-DK"/>
        </w:rPr>
      </w:pPr>
      <w:r>
        <w:rPr>
          <w:lang w:val="da-DK"/>
        </w:rPr>
        <w:t xml:space="preserve">Dosisjustering er ikke nødvendig hos patienter med let nedsat nyrefunktion (glomerulær filtrationsrate [GFR] ≥ 60 ml/min). GFR skal bestemmes, inden behandling med metforminholdige præparater iværksættes og derefter mindst én gang om året. Hos patienter med øget risiko for yderligere progression af nyreinsufficiens og hos ældre bør nyrefunktionen vurderes oftere, </w:t>
      </w:r>
      <w:r w:rsidR="00DF7C99">
        <w:rPr>
          <w:lang w:val="da-DK"/>
        </w:rPr>
        <w:t>f.eks.</w:t>
      </w:r>
      <w:r>
        <w:rPr>
          <w:lang w:val="da-DK"/>
        </w:rPr>
        <w:t xml:space="preserve"> hver 3.-6. måned.</w:t>
      </w:r>
    </w:p>
    <w:p w14:paraId="65D19118" w14:textId="77777777" w:rsidR="00147D71" w:rsidRDefault="00147D71" w:rsidP="00EB4A64">
      <w:pPr>
        <w:pStyle w:val="Default"/>
        <w:ind w:left="851" w:right="-2"/>
        <w:rPr>
          <w:lang w:val="da-DK"/>
        </w:rPr>
      </w:pPr>
    </w:p>
    <w:p w14:paraId="33B83DFB" w14:textId="77777777" w:rsidR="00147D71" w:rsidRDefault="00147D71" w:rsidP="00EB4A64">
      <w:pPr>
        <w:pStyle w:val="Default"/>
        <w:ind w:left="851" w:right="-2"/>
        <w:rPr>
          <w:lang w:val="da-DK"/>
        </w:rPr>
      </w:pPr>
      <w:r>
        <w:rPr>
          <w:lang w:val="da-DK"/>
        </w:rPr>
        <w:t>Den maksimale daglige metformindosis skal helst fordeles på 2-3 doser. Faktorer, som kan øge risikoen for laktacidose (se pkt. 4.4), skal gennemgås, inden påbegyndelse af metforminbehandling overvejes hos patienter med GFR &lt; 60 ml/min.</w:t>
      </w:r>
    </w:p>
    <w:p w14:paraId="3E2E8E1D" w14:textId="77777777" w:rsidR="00147D71" w:rsidRDefault="00147D71" w:rsidP="00EB4A64">
      <w:pPr>
        <w:pStyle w:val="Default"/>
        <w:ind w:left="851" w:right="-2"/>
        <w:rPr>
          <w:lang w:val="da-DK"/>
        </w:rPr>
      </w:pPr>
    </w:p>
    <w:p w14:paraId="1B0ED6C3" w14:textId="32127C12" w:rsidR="00147D71" w:rsidRDefault="00147D71" w:rsidP="00EB4A64">
      <w:pPr>
        <w:pStyle w:val="Default"/>
        <w:ind w:left="851" w:right="-2"/>
        <w:rPr>
          <w:lang w:val="da-DK"/>
        </w:rPr>
      </w:pPr>
      <w:r>
        <w:rPr>
          <w:lang w:val="da-DK"/>
        </w:rPr>
        <w:t xml:space="preserve">Hvis der ikke findes en passende styrke af </w:t>
      </w:r>
      <w:r w:rsidR="001A122E">
        <w:rPr>
          <w:lang w:val="da-DK"/>
        </w:rPr>
        <w:t>Sitagliptin/Metformin "Grindeks"</w:t>
      </w:r>
      <w:r>
        <w:rPr>
          <w:lang w:val="da-DK"/>
        </w:rPr>
        <w:t>, bør enkeltstofferne anvendes enkeltvist i stedet for fastdosis-kombinationen.</w:t>
      </w:r>
    </w:p>
    <w:p w14:paraId="2351C3B8" w14:textId="77777777" w:rsidR="00147D71" w:rsidRDefault="00147D71" w:rsidP="00147D71">
      <w:pPr>
        <w:pStyle w:val="Default"/>
        <w:ind w:right="-2"/>
        <w:rPr>
          <w:sz w:val="22"/>
          <w:szCs w:val="22"/>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45"/>
        <w:gridCol w:w="4175"/>
        <w:gridCol w:w="3208"/>
      </w:tblGrid>
      <w:tr w:rsidR="00147D71" w14:paraId="232423EB" w14:textId="77777777" w:rsidTr="00EB4A64">
        <w:trPr>
          <w:trHeight w:val="258"/>
        </w:trPr>
        <w:tc>
          <w:tcPr>
            <w:tcW w:w="1166" w:type="pct"/>
            <w:tcBorders>
              <w:top w:val="single" w:sz="4" w:space="0" w:color="000000"/>
              <w:left w:val="single" w:sz="4" w:space="0" w:color="000000"/>
              <w:bottom w:val="single" w:sz="4" w:space="0" w:color="000000"/>
              <w:right w:val="single" w:sz="4" w:space="0" w:color="000000"/>
            </w:tcBorders>
            <w:hideMark/>
          </w:tcPr>
          <w:p w14:paraId="12CE2B42" w14:textId="77777777" w:rsidR="00147D71" w:rsidRDefault="00147D71" w:rsidP="000B2650">
            <w:pPr>
              <w:pStyle w:val="Default"/>
              <w:ind w:left="142" w:right="119"/>
              <w:rPr>
                <w:b/>
                <w:bCs/>
                <w:u w:val="single"/>
                <w:lang w:val="da-DK"/>
              </w:rPr>
            </w:pPr>
            <w:proofErr w:type="gramStart"/>
            <w:r>
              <w:rPr>
                <w:b/>
                <w:bCs/>
                <w:u w:val="single"/>
                <w:lang w:val="da-DK"/>
              </w:rPr>
              <w:t>GFR ml/min</w:t>
            </w:r>
            <w:proofErr w:type="gramEnd"/>
          </w:p>
        </w:tc>
        <w:tc>
          <w:tcPr>
            <w:tcW w:w="2168" w:type="pct"/>
            <w:tcBorders>
              <w:top w:val="single" w:sz="4" w:space="0" w:color="000000"/>
              <w:left w:val="single" w:sz="4" w:space="0" w:color="000000"/>
              <w:bottom w:val="single" w:sz="4" w:space="0" w:color="000000"/>
              <w:right w:val="single" w:sz="4" w:space="0" w:color="000000"/>
            </w:tcBorders>
            <w:hideMark/>
          </w:tcPr>
          <w:p w14:paraId="0A5E4C69" w14:textId="77777777" w:rsidR="00147D71" w:rsidRDefault="00147D71" w:rsidP="000B2650">
            <w:pPr>
              <w:pStyle w:val="Default"/>
              <w:ind w:left="142" w:right="119"/>
              <w:rPr>
                <w:b/>
                <w:bCs/>
                <w:u w:val="single"/>
                <w:lang w:val="da-DK"/>
              </w:rPr>
            </w:pPr>
            <w:r>
              <w:rPr>
                <w:b/>
                <w:bCs/>
                <w:u w:val="single"/>
                <w:lang w:val="da-DK"/>
              </w:rPr>
              <w:t>Metformin</w:t>
            </w:r>
          </w:p>
        </w:tc>
        <w:tc>
          <w:tcPr>
            <w:tcW w:w="1666" w:type="pct"/>
            <w:tcBorders>
              <w:top w:val="single" w:sz="4" w:space="0" w:color="000000"/>
              <w:left w:val="single" w:sz="4" w:space="0" w:color="000000"/>
              <w:bottom w:val="single" w:sz="4" w:space="0" w:color="000000"/>
              <w:right w:val="single" w:sz="4" w:space="0" w:color="000000"/>
            </w:tcBorders>
            <w:hideMark/>
          </w:tcPr>
          <w:p w14:paraId="5EA60BEB" w14:textId="77777777" w:rsidR="00147D71" w:rsidRDefault="00147D71" w:rsidP="000B2650">
            <w:pPr>
              <w:pStyle w:val="Default"/>
              <w:ind w:left="142" w:right="119"/>
              <w:rPr>
                <w:b/>
                <w:bCs/>
                <w:u w:val="single"/>
                <w:lang w:val="da-DK"/>
              </w:rPr>
            </w:pPr>
            <w:r>
              <w:rPr>
                <w:b/>
                <w:bCs/>
                <w:u w:val="single"/>
                <w:lang w:val="da-DK"/>
              </w:rPr>
              <w:t>Sitagliptin</w:t>
            </w:r>
          </w:p>
        </w:tc>
      </w:tr>
      <w:tr w:rsidR="00147D71" w14:paraId="544886E7" w14:textId="77777777" w:rsidTr="00EB4A64">
        <w:trPr>
          <w:trHeight w:val="796"/>
        </w:trPr>
        <w:tc>
          <w:tcPr>
            <w:tcW w:w="1166" w:type="pct"/>
            <w:tcBorders>
              <w:top w:val="single" w:sz="4" w:space="0" w:color="000000"/>
              <w:left w:val="single" w:sz="4" w:space="0" w:color="000000"/>
              <w:bottom w:val="single" w:sz="4" w:space="0" w:color="000000"/>
              <w:right w:val="single" w:sz="4" w:space="0" w:color="000000"/>
            </w:tcBorders>
            <w:hideMark/>
          </w:tcPr>
          <w:p w14:paraId="3C82B747" w14:textId="77777777" w:rsidR="00147D71" w:rsidRDefault="00147D71" w:rsidP="000B2650">
            <w:pPr>
              <w:pStyle w:val="Default"/>
              <w:ind w:left="142" w:right="119"/>
              <w:rPr>
                <w:i/>
                <w:iCs/>
                <w:lang w:val="da-DK"/>
              </w:rPr>
            </w:pPr>
            <w:r>
              <w:rPr>
                <w:i/>
                <w:iCs/>
                <w:lang w:val="da-DK"/>
              </w:rPr>
              <w:t>60-89</w:t>
            </w:r>
          </w:p>
        </w:tc>
        <w:tc>
          <w:tcPr>
            <w:tcW w:w="2168" w:type="pct"/>
            <w:tcBorders>
              <w:top w:val="single" w:sz="4" w:space="0" w:color="000000"/>
              <w:left w:val="single" w:sz="4" w:space="0" w:color="000000"/>
              <w:bottom w:val="single" w:sz="4" w:space="0" w:color="000000"/>
              <w:right w:val="single" w:sz="4" w:space="0" w:color="000000"/>
            </w:tcBorders>
            <w:hideMark/>
          </w:tcPr>
          <w:p w14:paraId="7DBDEE83" w14:textId="77777777" w:rsidR="00147D71" w:rsidRDefault="00147D71" w:rsidP="000B2650">
            <w:pPr>
              <w:pStyle w:val="Default"/>
              <w:ind w:left="142" w:right="119"/>
              <w:rPr>
                <w:i/>
                <w:iCs/>
                <w:lang w:val="da-DK"/>
              </w:rPr>
            </w:pPr>
            <w:r>
              <w:rPr>
                <w:i/>
                <w:iCs/>
                <w:lang w:val="da-DK"/>
              </w:rPr>
              <w:t>Den maksimale daglige dosis er 3000 mg. Dosisreduktion kan overvejes i forbindelse med tiltagende nedsættelse af nyrefunktionen.</w:t>
            </w:r>
          </w:p>
        </w:tc>
        <w:tc>
          <w:tcPr>
            <w:tcW w:w="1666" w:type="pct"/>
            <w:tcBorders>
              <w:top w:val="single" w:sz="4" w:space="0" w:color="000000"/>
              <w:left w:val="single" w:sz="4" w:space="0" w:color="000000"/>
              <w:bottom w:val="single" w:sz="4" w:space="0" w:color="000000"/>
              <w:right w:val="single" w:sz="4" w:space="0" w:color="000000"/>
            </w:tcBorders>
            <w:hideMark/>
          </w:tcPr>
          <w:p w14:paraId="7A7421FB" w14:textId="77777777" w:rsidR="00147D71" w:rsidRDefault="00147D71" w:rsidP="000B2650">
            <w:pPr>
              <w:pStyle w:val="Default"/>
              <w:ind w:left="142" w:right="119"/>
              <w:rPr>
                <w:i/>
                <w:iCs/>
                <w:lang w:val="da-DK"/>
              </w:rPr>
            </w:pPr>
            <w:r>
              <w:rPr>
                <w:i/>
                <w:iCs/>
                <w:lang w:val="da-DK"/>
              </w:rPr>
              <w:t>Den maksimale daglige dosis er 100 mg.</w:t>
            </w:r>
          </w:p>
        </w:tc>
      </w:tr>
      <w:tr w:rsidR="00147D71" w14:paraId="338F8287" w14:textId="77777777" w:rsidTr="00EB4A64">
        <w:trPr>
          <w:trHeight w:val="695"/>
        </w:trPr>
        <w:tc>
          <w:tcPr>
            <w:tcW w:w="1166" w:type="pct"/>
            <w:tcBorders>
              <w:top w:val="single" w:sz="4" w:space="0" w:color="000000"/>
              <w:left w:val="single" w:sz="4" w:space="0" w:color="000000"/>
              <w:bottom w:val="single" w:sz="4" w:space="0" w:color="000000"/>
              <w:right w:val="single" w:sz="4" w:space="0" w:color="000000"/>
            </w:tcBorders>
            <w:hideMark/>
          </w:tcPr>
          <w:p w14:paraId="7D6C3B55" w14:textId="77777777" w:rsidR="00147D71" w:rsidRDefault="00147D71" w:rsidP="000B2650">
            <w:pPr>
              <w:pStyle w:val="Default"/>
              <w:ind w:left="142" w:right="119"/>
              <w:rPr>
                <w:i/>
                <w:iCs/>
                <w:lang w:val="da-DK"/>
              </w:rPr>
            </w:pPr>
            <w:r>
              <w:rPr>
                <w:i/>
                <w:iCs/>
                <w:lang w:val="da-DK"/>
              </w:rPr>
              <w:t>45-59</w:t>
            </w:r>
          </w:p>
        </w:tc>
        <w:tc>
          <w:tcPr>
            <w:tcW w:w="2168" w:type="pct"/>
            <w:tcBorders>
              <w:top w:val="single" w:sz="4" w:space="0" w:color="000000"/>
              <w:left w:val="single" w:sz="4" w:space="0" w:color="000000"/>
              <w:bottom w:val="single" w:sz="4" w:space="0" w:color="000000"/>
              <w:right w:val="single" w:sz="4" w:space="0" w:color="000000"/>
            </w:tcBorders>
            <w:hideMark/>
          </w:tcPr>
          <w:p w14:paraId="3C2D2FE7" w14:textId="77777777" w:rsidR="00147D71" w:rsidRDefault="00147D71" w:rsidP="000B2650">
            <w:pPr>
              <w:pStyle w:val="Default"/>
              <w:ind w:left="142" w:right="119"/>
              <w:rPr>
                <w:i/>
                <w:iCs/>
                <w:lang w:val="da-DK"/>
              </w:rPr>
            </w:pPr>
            <w:r>
              <w:rPr>
                <w:i/>
                <w:iCs/>
                <w:lang w:val="da-DK"/>
              </w:rPr>
              <w:t>Den maksimale daglige dosis er 2000 mg. Startdosis er højst halvdelen af den maksimale dosis.</w:t>
            </w:r>
          </w:p>
        </w:tc>
        <w:tc>
          <w:tcPr>
            <w:tcW w:w="1666" w:type="pct"/>
            <w:tcBorders>
              <w:top w:val="single" w:sz="4" w:space="0" w:color="000000"/>
              <w:left w:val="single" w:sz="4" w:space="0" w:color="000000"/>
              <w:bottom w:val="single" w:sz="4" w:space="0" w:color="000000"/>
              <w:right w:val="single" w:sz="4" w:space="0" w:color="000000"/>
            </w:tcBorders>
            <w:hideMark/>
          </w:tcPr>
          <w:p w14:paraId="2C938CDB" w14:textId="77777777" w:rsidR="00147D71" w:rsidRDefault="00147D71" w:rsidP="000B2650">
            <w:pPr>
              <w:pStyle w:val="Default"/>
              <w:ind w:left="142" w:right="119"/>
              <w:rPr>
                <w:i/>
                <w:iCs/>
                <w:lang w:val="da-DK"/>
              </w:rPr>
            </w:pPr>
            <w:r>
              <w:rPr>
                <w:i/>
                <w:iCs/>
                <w:lang w:val="da-DK"/>
              </w:rPr>
              <w:t>Den maksimale daglige dosis er 100 mg.</w:t>
            </w:r>
          </w:p>
        </w:tc>
      </w:tr>
      <w:tr w:rsidR="00147D71" w14:paraId="78E533FC" w14:textId="77777777" w:rsidTr="00EB4A64">
        <w:trPr>
          <w:trHeight w:val="777"/>
        </w:trPr>
        <w:tc>
          <w:tcPr>
            <w:tcW w:w="1166" w:type="pct"/>
            <w:tcBorders>
              <w:top w:val="single" w:sz="4" w:space="0" w:color="000000"/>
              <w:left w:val="single" w:sz="4" w:space="0" w:color="000000"/>
              <w:bottom w:val="single" w:sz="4" w:space="0" w:color="000000"/>
              <w:right w:val="single" w:sz="4" w:space="0" w:color="000000"/>
            </w:tcBorders>
            <w:hideMark/>
          </w:tcPr>
          <w:p w14:paraId="238F4E23" w14:textId="77777777" w:rsidR="00147D71" w:rsidRDefault="00147D71" w:rsidP="000B2650">
            <w:pPr>
              <w:pStyle w:val="Default"/>
              <w:ind w:left="142" w:right="119"/>
              <w:rPr>
                <w:i/>
                <w:iCs/>
                <w:lang w:val="da-DK"/>
              </w:rPr>
            </w:pPr>
            <w:r>
              <w:rPr>
                <w:i/>
                <w:iCs/>
                <w:lang w:val="da-DK"/>
              </w:rPr>
              <w:t>30-44</w:t>
            </w:r>
          </w:p>
        </w:tc>
        <w:tc>
          <w:tcPr>
            <w:tcW w:w="2168" w:type="pct"/>
            <w:tcBorders>
              <w:top w:val="single" w:sz="4" w:space="0" w:color="000000"/>
              <w:left w:val="single" w:sz="4" w:space="0" w:color="000000"/>
              <w:bottom w:val="single" w:sz="4" w:space="0" w:color="000000"/>
              <w:right w:val="single" w:sz="4" w:space="0" w:color="000000"/>
            </w:tcBorders>
            <w:hideMark/>
          </w:tcPr>
          <w:p w14:paraId="4BB54711" w14:textId="77777777" w:rsidR="00147D71" w:rsidRDefault="00147D71" w:rsidP="000B2650">
            <w:pPr>
              <w:pStyle w:val="Default"/>
              <w:ind w:left="142" w:right="119"/>
              <w:rPr>
                <w:i/>
                <w:iCs/>
                <w:lang w:val="da-DK"/>
              </w:rPr>
            </w:pPr>
            <w:r>
              <w:rPr>
                <w:i/>
                <w:iCs/>
                <w:lang w:val="da-DK"/>
              </w:rPr>
              <w:t>Den maksimale daglige dosis er 1000 mg. Startdosis er højst halvdelen af den maksimale dosis.</w:t>
            </w:r>
          </w:p>
        </w:tc>
        <w:tc>
          <w:tcPr>
            <w:tcW w:w="1666" w:type="pct"/>
            <w:tcBorders>
              <w:top w:val="single" w:sz="4" w:space="0" w:color="000000"/>
              <w:left w:val="single" w:sz="4" w:space="0" w:color="000000"/>
              <w:bottom w:val="single" w:sz="4" w:space="0" w:color="000000"/>
              <w:right w:val="single" w:sz="4" w:space="0" w:color="000000"/>
            </w:tcBorders>
            <w:hideMark/>
          </w:tcPr>
          <w:p w14:paraId="0474336B" w14:textId="77777777" w:rsidR="00147D71" w:rsidRDefault="00147D71" w:rsidP="000B2650">
            <w:pPr>
              <w:pStyle w:val="Default"/>
              <w:ind w:left="142" w:right="119"/>
              <w:rPr>
                <w:i/>
                <w:iCs/>
                <w:lang w:val="da-DK"/>
              </w:rPr>
            </w:pPr>
            <w:r>
              <w:rPr>
                <w:i/>
                <w:iCs/>
                <w:lang w:val="da-DK"/>
              </w:rPr>
              <w:t>Den maksimale daglige dosis er 50 mg.</w:t>
            </w:r>
          </w:p>
        </w:tc>
      </w:tr>
      <w:tr w:rsidR="00147D71" w14:paraId="20B30C9B" w14:textId="77777777" w:rsidTr="00EB4A64">
        <w:trPr>
          <w:trHeight w:val="518"/>
        </w:trPr>
        <w:tc>
          <w:tcPr>
            <w:tcW w:w="1166" w:type="pct"/>
            <w:tcBorders>
              <w:top w:val="single" w:sz="4" w:space="0" w:color="000000"/>
              <w:left w:val="single" w:sz="4" w:space="0" w:color="000000"/>
              <w:bottom w:val="single" w:sz="4" w:space="0" w:color="000000"/>
              <w:right w:val="single" w:sz="4" w:space="0" w:color="000000"/>
            </w:tcBorders>
            <w:hideMark/>
          </w:tcPr>
          <w:p w14:paraId="0C083985" w14:textId="77777777" w:rsidR="00147D71" w:rsidRDefault="00147D71" w:rsidP="000B2650">
            <w:pPr>
              <w:pStyle w:val="Default"/>
              <w:ind w:left="142" w:right="119"/>
              <w:rPr>
                <w:i/>
                <w:iCs/>
                <w:lang w:val="da-DK"/>
              </w:rPr>
            </w:pPr>
            <w:r>
              <w:rPr>
                <w:i/>
                <w:iCs/>
                <w:lang w:val="da-DK"/>
              </w:rPr>
              <w:t>&lt; 30</w:t>
            </w:r>
          </w:p>
        </w:tc>
        <w:tc>
          <w:tcPr>
            <w:tcW w:w="2168" w:type="pct"/>
            <w:tcBorders>
              <w:top w:val="single" w:sz="4" w:space="0" w:color="000000"/>
              <w:left w:val="single" w:sz="4" w:space="0" w:color="000000"/>
              <w:bottom w:val="single" w:sz="4" w:space="0" w:color="000000"/>
              <w:right w:val="single" w:sz="4" w:space="0" w:color="000000"/>
            </w:tcBorders>
            <w:hideMark/>
          </w:tcPr>
          <w:p w14:paraId="3293573E" w14:textId="77777777" w:rsidR="00147D71" w:rsidRDefault="00147D71" w:rsidP="000B2650">
            <w:pPr>
              <w:pStyle w:val="Default"/>
              <w:ind w:left="142" w:right="119"/>
              <w:rPr>
                <w:i/>
                <w:iCs/>
                <w:lang w:val="da-DK"/>
              </w:rPr>
            </w:pPr>
            <w:r>
              <w:rPr>
                <w:i/>
                <w:iCs/>
                <w:lang w:val="da-DK"/>
              </w:rPr>
              <w:t>Metformin er kontraindiceret.</w:t>
            </w:r>
          </w:p>
        </w:tc>
        <w:tc>
          <w:tcPr>
            <w:tcW w:w="1666" w:type="pct"/>
            <w:tcBorders>
              <w:top w:val="single" w:sz="4" w:space="0" w:color="000000"/>
              <w:left w:val="single" w:sz="4" w:space="0" w:color="000000"/>
              <w:bottom w:val="single" w:sz="4" w:space="0" w:color="000000"/>
              <w:right w:val="single" w:sz="4" w:space="0" w:color="000000"/>
            </w:tcBorders>
            <w:hideMark/>
          </w:tcPr>
          <w:p w14:paraId="5986BAA4" w14:textId="77777777" w:rsidR="00147D71" w:rsidRDefault="00147D71" w:rsidP="000B2650">
            <w:pPr>
              <w:pStyle w:val="Default"/>
              <w:ind w:left="142" w:right="119"/>
              <w:rPr>
                <w:i/>
                <w:iCs/>
                <w:lang w:val="da-DK"/>
              </w:rPr>
            </w:pPr>
            <w:r>
              <w:rPr>
                <w:i/>
                <w:iCs/>
                <w:lang w:val="da-DK"/>
              </w:rPr>
              <w:t>Den maksimale daglige dosis er 25 mg.</w:t>
            </w:r>
          </w:p>
        </w:tc>
      </w:tr>
    </w:tbl>
    <w:p w14:paraId="212EE3A5" w14:textId="77777777" w:rsidR="00147D71" w:rsidRDefault="00147D71" w:rsidP="00147D71">
      <w:pPr>
        <w:pStyle w:val="Default"/>
        <w:ind w:right="-2"/>
        <w:rPr>
          <w:sz w:val="22"/>
          <w:szCs w:val="22"/>
          <w:lang w:val="da-DK"/>
        </w:rPr>
      </w:pPr>
    </w:p>
    <w:p w14:paraId="1EDFF461" w14:textId="77777777" w:rsidR="00147D71" w:rsidRDefault="00147D71" w:rsidP="00EB4A64">
      <w:pPr>
        <w:pStyle w:val="Default"/>
        <w:ind w:left="851" w:right="-2"/>
        <w:rPr>
          <w:i/>
          <w:iCs/>
          <w:lang w:val="da-DK"/>
        </w:rPr>
      </w:pPr>
      <w:r>
        <w:rPr>
          <w:i/>
          <w:iCs/>
          <w:lang w:val="da-DK"/>
        </w:rPr>
        <w:lastRenderedPageBreak/>
        <w:t>Nedsat leverfunktion</w:t>
      </w:r>
    </w:p>
    <w:p w14:paraId="10AEF300" w14:textId="37062504" w:rsidR="00147D71" w:rsidRDefault="001A122E" w:rsidP="00EB4A64">
      <w:pPr>
        <w:pStyle w:val="Default"/>
        <w:ind w:left="851" w:right="-2"/>
        <w:rPr>
          <w:lang w:val="da-DK"/>
        </w:rPr>
      </w:pPr>
      <w:r>
        <w:rPr>
          <w:lang w:val="da-DK"/>
        </w:rPr>
        <w:t>Sitagliptin/Metformin "Grindeks"</w:t>
      </w:r>
      <w:r w:rsidR="00147D71">
        <w:rPr>
          <w:lang w:val="da-DK"/>
        </w:rPr>
        <w:t xml:space="preserve"> må ikke anvendes til patienter med nedsat leverfunktion (se pkt. 5.2).</w:t>
      </w:r>
    </w:p>
    <w:p w14:paraId="3B5BC7C3" w14:textId="77777777" w:rsidR="00147D71" w:rsidRDefault="00147D71" w:rsidP="00EB4A64">
      <w:pPr>
        <w:pStyle w:val="Default"/>
        <w:ind w:left="851" w:right="-2"/>
        <w:rPr>
          <w:lang w:val="da-DK"/>
        </w:rPr>
      </w:pPr>
    </w:p>
    <w:p w14:paraId="61B004E1" w14:textId="77777777" w:rsidR="00147D71" w:rsidRDefault="00147D71" w:rsidP="00EB4A64">
      <w:pPr>
        <w:pStyle w:val="Default"/>
        <w:ind w:left="851" w:right="-2"/>
        <w:rPr>
          <w:i/>
          <w:iCs/>
          <w:lang w:val="da-DK"/>
        </w:rPr>
      </w:pPr>
      <w:r>
        <w:rPr>
          <w:i/>
          <w:iCs/>
          <w:lang w:val="da-DK"/>
        </w:rPr>
        <w:t>Ældre</w:t>
      </w:r>
    </w:p>
    <w:p w14:paraId="38B808A6" w14:textId="4659211B" w:rsidR="00147D71" w:rsidRDefault="00147D71" w:rsidP="00EB4A64">
      <w:pPr>
        <w:pStyle w:val="Default"/>
        <w:ind w:left="851" w:right="-2"/>
        <w:rPr>
          <w:lang w:val="da-DK"/>
        </w:rPr>
      </w:pPr>
      <w:r>
        <w:rPr>
          <w:lang w:val="da-DK"/>
        </w:rPr>
        <w:t xml:space="preserve">Da metformin og sitagliptin udskilles via nyrerne, bør </w:t>
      </w:r>
      <w:r w:rsidR="001A122E">
        <w:rPr>
          <w:lang w:val="da-DK"/>
        </w:rPr>
        <w:t>Sitagliptin/Metformin "Grindeks"</w:t>
      </w:r>
      <w:r>
        <w:rPr>
          <w:lang w:val="da-DK"/>
        </w:rPr>
        <w:t xml:space="preserve"> anvendes med forsigtighed efterhånden som alderen stiger. Monitorering af nyrefunktionen er nødvendig for at forhindre metformin-associeret laktacidose, især hos ældre (se pkt. 4.3 og 4.4).</w:t>
      </w:r>
    </w:p>
    <w:p w14:paraId="0730AB24" w14:textId="77777777" w:rsidR="00147D71" w:rsidRDefault="00147D71" w:rsidP="00EB4A64">
      <w:pPr>
        <w:pStyle w:val="Default"/>
        <w:ind w:left="851" w:right="-2"/>
        <w:rPr>
          <w:lang w:val="da-DK"/>
        </w:rPr>
      </w:pPr>
    </w:p>
    <w:p w14:paraId="71222797" w14:textId="77777777" w:rsidR="00147D71" w:rsidRDefault="00147D71" w:rsidP="00EB4A64">
      <w:pPr>
        <w:pStyle w:val="Default"/>
        <w:ind w:left="851" w:right="-2"/>
        <w:rPr>
          <w:i/>
          <w:iCs/>
          <w:lang w:val="da-DK"/>
        </w:rPr>
      </w:pPr>
      <w:r>
        <w:rPr>
          <w:i/>
          <w:iCs/>
          <w:lang w:val="da-DK"/>
        </w:rPr>
        <w:t>Pædiatrisk population</w:t>
      </w:r>
    </w:p>
    <w:p w14:paraId="4655CFCE" w14:textId="7C27078F" w:rsidR="00147D71" w:rsidRDefault="001A122E" w:rsidP="00EB4A64">
      <w:pPr>
        <w:pStyle w:val="Default"/>
        <w:ind w:left="851" w:right="-2"/>
        <w:rPr>
          <w:lang w:val="da-DK"/>
        </w:rPr>
      </w:pPr>
      <w:r>
        <w:rPr>
          <w:lang w:val="da-DK"/>
        </w:rPr>
        <w:t>Sitagliptin/Metformin "Grindeks"</w:t>
      </w:r>
      <w:r w:rsidR="00147D71">
        <w:rPr>
          <w:lang w:val="da-DK"/>
        </w:rPr>
        <w:t xml:space="preserve"> må ikke anvendes til børn og unge 10 til 17 år på grund af utilstrækkelig virkning. De foreliggende data er beskrevet i pkt. 4.8, 5.1 og 5.2. </w:t>
      </w:r>
      <w:r>
        <w:rPr>
          <w:lang w:val="da-DK"/>
        </w:rPr>
        <w:t>Sitagliptin/Metformin "Grindeks"</w:t>
      </w:r>
      <w:r w:rsidR="00147D71">
        <w:rPr>
          <w:lang w:val="da-DK"/>
        </w:rPr>
        <w:t xml:space="preserve"> er ikke undersøgt hos pædiatriske patienter under 10 år.</w:t>
      </w:r>
    </w:p>
    <w:p w14:paraId="6511E6BA" w14:textId="77777777" w:rsidR="00147D71" w:rsidRDefault="00147D71" w:rsidP="00EB4A64">
      <w:pPr>
        <w:pStyle w:val="Default"/>
        <w:ind w:left="851" w:right="-2"/>
        <w:rPr>
          <w:lang w:val="da-DK"/>
        </w:rPr>
      </w:pPr>
    </w:p>
    <w:p w14:paraId="7ACD660D" w14:textId="77777777" w:rsidR="00147D71" w:rsidRDefault="00147D71" w:rsidP="00EB4A64">
      <w:pPr>
        <w:pStyle w:val="Default"/>
        <w:ind w:left="851" w:right="-2"/>
        <w:rPr>
          <w:u w:val="single"/>
          <w:lang w:val="da-DK"/>
        </w:rPr>
      </w:pPr>
      <w:r>
        <w:rPr>
          <w:u w:val="single"/>
          <w:lang w:val="da-DK"/>
        </w:rPr>
        <w:t>Administration</w:t>
      </w:r>
    </w:p>
    <w:p w14:paraId="34D103EC" w14:textId="77777777" w:rsidR="00147D71" w:rsidRDefault="00147D71" w:rsidP="00EB4A64">
      <w:pPr>
        <w:pStyle w:val="Default"/>
        <w:ind w:left="851" w:right="-2"/>
        <w:rPr>
          <w:u w:val="single"/>
          <w:lang w:val="da-DK"/>
        </w:rPr>
      </w:pPr>
    </w:p>
    <w:p w14:paraId="519050AC" w14:textId="15F1C7EB" w:rsidR="00147D71" w:rsidRDefault="001A122E" w:rsidP="00EB4A64">
      <w:pPr>
        <w:pStyle w:val="Default"/>
        <w:ind w:left="851" w:right="-2"/>
        <w:rPr>
          <w:lang w:val="da-DK"/>
        </w:rPr>
      </w:pPr>
      <w:r>
        <w:rPr>
          <w:lang w:val="da-DK"/>
        </w:rPr>
        <w:t>Sitagliptin/Metformin "Grindeks"</w:t>
      </w:r>
      <w:r w:rsidR="00147D71">
        <w:rPr>
          <w:lang w:val="da-DK"/>
        </w:rPr>
        <w:t xml:space="preserve"> bør gives to gange daglig sammen med et måltid for at reducere de gastrointestinale bivirkninger, som metformin er forbundet med.</w:t>
      </w:r>
    </w:p>
    <w:p w14:paraId="29FAA6BF" w14:textId="77777777" w:rsidR="009260DE" w:rsidRPr="00C84483" w:rsidRDefault="009260DE" w:rsidP="009260DE">
      <w:pPr>
        <w:tabs>
          <w:tab w:val="left" w:pos="851"/>
        </w:tabs>
        <w:ind w:left="851"/>
        <w:rPr>
          <w:sz w:val="24"/>
          <w:szCs w:val="24"/>
        </w:rPr>
      </w:pPr>
    </w:p>
    <w:p w14:paraId="0FDBB579"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FEAD64E" w14:textId="4AB5D585" w:rsidR="00147D71" w:rsidRDefault="001A122E" w:rsidP="00EB4A64">
      <w:pPr>
        <w:pStyle w:val="Brdtekst"/>
        <w:ind w:left="851" w:right="-2"/>
        <w:rPr>
          <w:rFonts w:eastAsia="Calibri"/>
          <w:color w:val="000000"/>
          <w:sz w:val="24"/>
          <w:szCs w:val="24"/>
          <w:lang w:val="da-DK"/>
        </w:rPr>
      </w:pPr>
      <w:r>
        <w:rPr>
          <w:rFonts w:eastAsia="Calibri"/>
          <w:color w:val="000000"/>
          <w:sz w:val="24"/>
          <w:szCs w:val="24"/>
          <w:lang w:val="da-DK"/>
        </w:rPr>
        <w:t>Sitagliptin/Metformin "Grindeks"</w:t>
      </w:r>
      <w:r w:rsidR="00147D71">
        <w:rPr>
          <w:rFonts w:eastAsia="Calibri"/>
          <w:color w:val="000000"/>
          <w:sz w:val="24"/>
          <w:szCs w:val="24"/>
          <w:lang w:val="da-DK"/>
        </w:rPr>
        <w:t xml:space="preserve"> er kontraindiceret hos patienter med:</w:t>
      </w:r>
    </w:p>
    <w:p w14:paraId="6F2C6372" w14:textId="77777777" w:rsidR="00147D71" w:rsidRDefault="00147D71" w:rsidP="00147D71">
      <w:pPr>
        <w:pStyle w:val="Brdtekst"/>
        <w:ind w:right="-2"/>
        <w:rPr>
          <w:rFonts w:eastAsia="Calibri"/>
          <w:color w:val="000000"/>
          <w:sz w:val="24"/>
          <w:szCs w:val="24"/>
          <w:lang w:val="da-DK"/>
        </w:rPr>
      </w:pPr>
    </w:p>
    <w:p w14:paraId="14F00906" w14:textId="77777777" w:rsidR="00147D71" w:rsidRDefault="00147D71" w:rsidP="00EB4A64">
      <w:pPr>
        <w:pStyle w:val="Default"/>
        <w:numPr>
          <w:ilvl w:val="0"/>
          <w:numId w:val="6"/>
        </w:numPr>
        <w:ind w:left="1276" w:right="-2" w:hanging="425"/>
        <w:rPr>
          <w:lang w:val="da-DK"/>
        </w:rPr>
      </w:pPr>
      <w:r>
        <w:rPr>
          <w:lang w:val="da-DK"/>
        </w:rPr>
        <w:t>Overfølsomhed over for de aktive stoffer eller over for et eller flere af hjælpestofferne anført i pkt. 6.1 (se pkt. 4.4 og 4.8).</w:t>
      </w:r>
    </w:p>
    <w:p w14:paraId="5796E15A" w14:textId="77777777" w:rsidR="00147D71" w:rsidRDefault="00147D71" w:rsidP="00EB4A64">
      <w:pPr>
        <w:pStyle w:val="Default"/>
        <w:numPr>
          <w:ilvl w:val="0"/>
          <w:numId w:val="6"/>
        </w:numPr>
        <w:ind w:left="1276" w:right="-2" w:hanging="425"/>
        <w:rPr>
          <w:lang w:val="da-DK"/>
        </w:rPr>
      </w:pPr>
      <w:r>
        <w:rPr>
          <w:lang w:val="da-DK"/>
        </w:rPr>
        <w:t>Enhver type af akut metabolisk acidose (såsom laktacidose, diabetisk ketoacidose).</w:t>
      </w:r>
    </w:p>
    <w:p w14:paraId="5250200C" w14:textId="77777777" w:rsidR="00147D71" w:rsidRDefault="00147D71" w:rsidP="00EB4A64">
      <w:pPr>
        <w:pStyle w:val="Default"/>
        <w:numPr>
          <w:ilvl w:val="0"/>
          <w:numId w:val="6"/>
        </w:numPr>
        <w:ind w:left="1276" w:right="-2" w:hanging="425"/>
        <w:rPr>
          <w:lang w:val="da-DK"/>
        </w:rPr>
      </w:pPr>
      <w:r>
        <w:rPr>
          <w:lang w:val="da-DK"/>
        </w:rPr>
        <w:t>Diabetisk prækoma.</w:t>
      </w:r>
    </w:p>
    <w:p w14:paraId="66EA4AD8" w14:textId="77777777" w:rsidR="00147D71" w:rsidRDefault="00147D71" w:rsidP="00EB4A64">
      <w:pPr>
        <w:pStyle w:val="Default"/>
        <w:numPr>
          <w:ilvl w:val="0"/>
          <w:numId w:val="6"/>
        </w:numPr>
        <w:ind w:left="1276" w:right="-2" w:hanging="425"/>
        <w:rPr>
          <w:lang w:val="da-DK"/>
        </w:rPr>
      </w:pPr>
      <w:r>
        <w:rPr>
          <w:lang w:val="da-DK"/>
        </w:rPr>
        <w:t>Svær nyreinsufficiens (GFR &lt; 30 ml/min) (se pkt. 4.4).</w:t>
      </w:r>
    </w:p>
    <w:p w14:paraId="45461C2E" w14:textId="77777777" w:rsidR="00147D71" w:rsidRDefault="00147D71" w:rsidP="00EB4A64">
      <w:pPr>
        <w:pStyle w:val="Default"/>
        <w:numPr>
          <w:ilvl w:val="0"/>
          <w:numId w:val="6"/>
        </w:numPr>
        <w:ind w:left="1276" w:right="-2" w:hanging="425"/>
        <w:rPr>
          <w:lang w:val="da-DK"/>
        </w:rPr>
      </w:pPr>
      <w:r>
        <w:rPr>
          <w:lang w:val="da-DK"/>
        </w:rPr>
        <w:t>Akutte tilstande med risiko for ændring af nyrefunktionen såsom:</w:t>
      </w:r>
    </w:p>
    <w:p w14:paraId="2DB3F724" w14:textId="77777777" w:rsidR="00147D71" w:rsidRDefault="00147D71" w:rsidP="00EB4A64">
      <w:pPr>
        <w:pStyle w:val="Listeafsnit"/>
        <w:numPr>
          <w:ilvl w:val="1"/>
          <w:numId w:val="7"/>
        </w:numPr>
        <w:ind w:left="1701" w:right="-2" w:hanging="283"/>
        <w:rPr>
          <w:rFonts w:eastAsia="Calibri"/>
          <w:color w:val="000000"/>
          <w:sz w:val="24"/>
          <w:szCs w:val="24"/>
          <w:lang w:val="da-DK"/>
        </w:rPr>
      </w:pPr>
      <w:r>
        <w:rPr>
          <w:rFonts w:eastAsia="Calibri"/>
          <w:color w:val="000000"/>
          <w:sz w:val="24"/>
          <w:szCs w:val="24"/>
          <w:lang w:val="da-DK"/>
        </w:rPr>
        <w:t>Dehydrering</w:t>
      </w:r>
    </w:p>
    <w:p w14:paraId="6C1CDF2A" w14:textId="77777777" w:rsidR="00147D71" w:rsidRDefault="00147D71" w:rsidP="00EB4A64">
      <w:pPr>
        <w:pStyle w:val="Listeafsnit"/>
        <w:numPr>
          <w:ilvl w:val="1"/>
          <w:numId w:val="7"/>
        </w:numPr>
        <w:ind w:left="1701" w:right="-2" w:hanging="283"/>
        <w:rPr>
          <w:rFonts w:eastAsia="Calibri"/>
          <w:color w:val="000000"/>
          <w:sz w:val="24"/>
          <w:szCs w:val="24"/>
          <w:lang w:val="da-DK"/>
        </w:rPr>
      </w:pPr>
      <w:r>
        <w:rPr>
          <w:rFonts w:eastAsia="Calibri"/>
          <w:color w:val="000000"/>
          <w:sz w:val="24"/>
          <w:szCs w:val="24"/>
          <w:lang w:val="da-DK"/>
        </w:rPr>
        <w:t>Svær infektion</w:t>
      </w:r>
    </w:p>
    <w:p w14:paraId="2AAA4C37" w14:textId="77777777" w:rsidR="00147D71" w:rsidRDefault="00147D71" w:rsidP="00EB4A64">
      <w:pPr>
        <w:pStyle w:val="Listeafsnit"/>
        <w:numPr>
          <w:ilvl w:val="1"/>
          <w:numId w:val="7"/>
        </w:numPr>
        <w:ind w:left="1701" w:right="-2" w:hanging="283"/>
        <w:rPr>
          <w:rFonts w:eastAsia="Calibri"/>
          <w:color w:val="000000"/>
          <w:sz w:val="24"/>
          <w:szCs w:val="24"/>
          <w:lang w:val="da-DK"/>
        </w:rPr>
      </w:pPr>
      <w:r>
        <w:rPr>
          <w:rFonts w:eastAsia="Calibri"/>
          <w:color w:val="000000"/>
          <w:sz w:val="24"/>
          <w:szCs w:val="24"/>
          <w:lang w:val="da-DK"/>
        </w:rPr>
        <w:t>Shock</w:t>
      </w:r>
    </w:p>
    <w:p w14:paraId="623A9A7E" w14:textId="77777777" w:rsidR="00147D71" w:rsidRDefault="00147D71" w:rsidP="00EB4A64">
      <w:pPr>
        <w:pStyle w:val="Listeafsnit"/>
        <w:numPr>
          <w:ilvl w:val="1"/>
          <w:numId w:val="7"/>
        </w:numPr>
        <w:ind w:left="1701" w:right="-2" w:hanging="283"/>
        <w:rPr>
          <w:rFonts w:eastAsia="Calibri"/>
          <w:color w:val="000000"/>
          <w:sz w:val="24"/>
          <w:szCs w:val="24"/>
          <w:lang w:val="da-DK"/>
        </w:rPr>
      </w:pPr>
      <w:r>
        <w:rPr>
          <w:rFonts w:eastAsia="Calibri"/>
          <w:color w:val="000000"/>
          <w:sz w:val="24"/>
          <w:szCs w:val="24"/>
          <w:lang w:val="da-DK"/>
        </w:rPr>
        <w:t>Intravaskulær administration af iodholdige kontraststoffer (se pkt. 4.4)</w:t>
      </w:r>
    </w:p>
    <w:p w14:paraId="7D45BCAB" w14:textId="77777777" w:rsidR="00147D71" w:rsidRDefault="00147D71" w:rsidP="00EB4A64">
      <w:pPr>
        <w:pStyle w:val="Default"/>
        <w:numPr>
          <w:ilvl w:val="0"/>
          <w:numId w:val="7"/>
        </w:numPr>
        <w:ind w:left="1276" w:right="-2" w:hanging="425"/>
        <w:rPr>
          <w:lang w:val="da-DK"/>
        </w:rPr>
      </w:pPr>
      <w:r>
        <w:rPr>
          <w:lang w:val="da-DK"/>
        </w:rPr>
        <w:t>Akut eller kronisk sygdom, som kan medføre vævshypoxi såsom:</w:t>
      </w:r>
    </w:p>
    <w:p w14:paraId="7763F7B6" w14:textId="77777777" w:rsidR="00147D71" w:rsidRDefault="00147D71" w:rsidP="00EB4A64">
      <w:pPr>
        <w:pStyle w:val="Listeafsnit"/>
        <w:numPr>
          <w:ilvl w:val="1"/>
          <w:numId w:val="7"/>
        </w:numPr>
        <w:ind w:left="1701" w:right="-2" w:hanging="283"/>
        <w:rPr>
          <w:rFonts w:eastAsia="Calibri"/>
          <w:color w:val="000000"/>
          <w:sz w:val="24"/>
          <w:szCs w:val="24"/>
          <w:lang w:val="da-DK"/>
        </w:rPr>
      </w:pPr>
      <w:r>
        <w:rPr>
          <w:rFonts w:eastAsia="Calibri"/>
          <w:color w:val="000000"/>
          <w:sz w:val="24"/>
          <w:szCs w:val="24"/>
          <w:lang w:val="da-DK"/>
        </w:rPr>
        <w:t>Hjerte- eller respirationssvigt</w:t>
      </w:r>
    </w:p>
    <w:p w14:paraId="5122EA3E" w14:textId="77777777" w:rsidR="00147D71" w:rsidRDefault="00147D71" w:rsidP="00EB4A64">
      <w:pPr>
        <w:pStyle w:val="Listeafsnit"/>
        <w:numPr>
          <w:ilvl w:val="1"/>
          <w:numId w:val="7"/>
        </w:numPr>
        <w:ind w:left="1701" w:right="-2" w:hanging="283"/>
        <w:rPr>
          <w:rFonts w:eastAsia="Calibri"/>
          <w:color w:val="000000"/>
          <w:sz w:val="24"/>
          <w:szCs w:val="24"/>
          <w:lang w:val="da-DK"/>
        </w:rPr>
      </w:pPr>
      <w:r>
        <w:rPr>
          <w:rFonts w:eastAsia="Calibri"/>
          <w:color w:val="000000"/>
          <w:sz w:val="24"/>
          <w:szCs w:val="24"/>
          <w:lang w:val="da-DK"/>
        </w:rPr>
        <w:t>Nyligt myokardieinfarkt</w:t>
      </w:r>
    </w:p>
    <w:p w14:paraId="4381205E" w14:textId="77777777" w:rsidR="00147D71" w:rsidRDefault="00147D71" w:rsidP="00EB4A64">
      <w:pPr>
        <w:pStyle w:val="Listeafsnit"/>
        <w:numPr>
          <w:ilvl w:val="1"/>
          <w:numId w:val="7"/>
        </w:numPr>
        <w:ind w:left="1701" w:right="-2" w:hanging="283"/>
        <w:rPr>
          <w:rFonts w:eastAsia="Calibri"/>
          <w:color w:val="000000"/>
          <w:sz w:val="24"/>
          <w:szCs w:val="24"/>
          <w:lang w:val="da-DK"/>
        </w:rPr>
      </w:pPr>
      <w:r>
        <w:rPr>
          <w:rFonts w:eastAsia="Calibri"/>
          <w:color w:val="000000"/>
          <w:sz w:val="24"/>
          <w:szCs w:val="24"/>
          <w:lang w:val="da-DK"/>
        </w:rPr>
        <w:t>Shock</w:t>
      </w:r>
    </w:p>
    <w:p w14:paraId="4BC399CD" w14:textId="77777777" w:rsidR="00147D71" w:rsidRDefault="00147D71" w:rsidP="00EB4A64">
      <w:pPr>
        <w:pStyle w:val="Default"/>
        <w:numPr>
          <w:ilvl w:val="0"/>
          <w:numId w:val="7"/>
        </w:numPr>
        <w:ind w:left="1276" w:right="-2" w:hanging="425"/>
        <w:rPr>
          <w:lang w:val="da-DK"/>
        </w:rPr>
      </w:pPr>
      <w:r>
        <w:rPr>
          <w:lang w:val="da-DK"/>
        </w:rPr>
        <w:t>Leverinsufficiens.</w:t>
      </w:r>
    </w:p>
    <w:p w14:paraId="29F03DA4" w14:textId="77777777" w:rsidR="00147D71" w:rsidRDefault="00147D71" w:rsidP="00EB4A64">
      <w:pPr>
        <w:pStyle w:val="Default"/>
        <w:numPr>
          <w:ilvl w:val="0"/>
          <w:numId w:val="7"/>
        </w:numPr>
        <w:ind w:left="1276" w:right="-2" w:hanging="425"/>
        <w:rPr>
          <w:lang w:val="da-DK"/>
        </w:rPr>
      </w:pPr>
      <w:r>
        <w:rPr>
          <w:lang w:val="da-DK"/>
        </w:rPr>
        <w:t>Akut alkoholforgiftning, alkoholisme.</w:t>
      </w:r>
    </w:p>
    <w:p w14:paraId="00799333" w14:textId="77777777" w:rsidR="00147D71" w:rsidRDefault="00147D71" w:rsidP="00EB4A64">
      <w:pPr>
        <w:pStyle w:val="Default"/>
        <w:numPr>
          <w:ilvl w:val="0"/>
          <w:numId w:val="7"/>
        </w:numPr>
        <w:ind w:left="1276" w:right="-2" w:hanging="425"/>
        <w:rPr>
          <w:lang w:val="da-DK"/>
        </w:rPr>
      </w:pPr>
      <w:r>
        <w:rPr>
          <w:lang w:val="da-DK"/>
        </w:rPr>
        <w:t>Amning.</w:t>
      </w:r>
    </w:p>
    <w:p w14:paraId="3A8FC354" w14:textId="77777777" w:rsidR="009260DE" w:rsidRPr="00C84483" w:rsidRDefault="009260DE" w:rsidP="009260DE">
      <w:pPr>
        <w:tabs>
          <w:tab w:val="left" w:pos="851"/>
        </w:tabs>
        <w:ind w:left="851"/>
        <w:rPr>
          <w:sz w:val="24"/>
          <w:szCs w:val="24"/>
        </w:rPr>
      </w:pPr>
    </w:p>
    <w:p w14:paraId="38452FAE"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A5A698A" w14:textId="77777777" w:rsidR="00B46AEA" w:rsidRDefault="00B46AEA" w:rsidP="007D5CAD">
      <w:pPr>
        <w:pStyle w:val="Default"/>
        <w:ind w:left="851" w:right="-2"/>
        <w:rPr>
          <w:u w:val="single"/>
          <w:lang w:val="da-DK"/>
        </w:rPr>
      </w:pPr>
    </w:p>
    <w:p w14:paraId="6816AC82" w14:textId="07BD0AF7" w:rsidR="00147D71" w:rsidRDefault="00147D71" w:rsidP="007D5CAD">
      <w:pPr>
        <w:pStyle w:val="Default"/>
        <w:ind w:left="851" w:right="-2"/>
        <w:rPr>
          <w:u w:val="single"/>
          <w:lang w:val="da-DK"/>
        </w:rPr>
      </w:pPr>
      <w:r>
        <w:rPr>
          <w:u w:val="single"/>
          <w:lang w:val="da-DK"/>
        </w:rPr>
        <w:t>Generelt</w:t>
      </w:r>
    </w:p>
    <w:p w14:paraId="48E4EEF6" w14:textId="261270CF" w:rsidR="00147D71" w:rsidRDefault="001A122E" w:rsidP="007D5CAD">
      <w:pPr>
        <w:pStyle w:val="Default"/>
        <w:ind w:left="851" w:right="-2"/>
        <w:rPr>
          <w:lang w:val="da-DK"/>
        </w:rPr>
      </w:pPr>
      <w:r>
        <w:rPr>
          <w:lang w:val="da-DK"/>
        </w:rPr>
        <w:t>Sitagliptin/Metformin "Grindeks"</w:t>
      </w:r>
      <w:r w:rsidR="00147D71">
        <w:rPr>
          <w:lang w:val="da-DK"/>
        </w:rPr>
        <w:t xml:space="preserve"> bør ikke anvendes til patienter med type 1-diabetes og må ikke anvendes til behandling af diabetisk ketoacidose.</w:t>
      </w:r>
    </w:p>
    <w:p w14:paraId="11B03740" w14:textId="77777777" w:rsidR="00147D71" w:rsidRDefault="00147D71" w:rsidP="007D5CAD">
      <w:pPr>
        <w:pStyle w:val="Default"/>
        <w:ind w:left="851" w:right="-2"/>
        <w:rPr>
          <w:lang w:val="da-DK"/>
        </w:rPr>
      </w:pPr>
    </w:p>
    <w:p w14:paraId="30444A99" w14:textId="77777777" w:rsidR="00147D71" w:rsidRDefault="00147D71" w:rsidP="007D5CAD">
      <w:pPr>
        <w:pStyle w:val="Default"/>
        <w:ind w:left="851" w:right="-2"/>
        <w:rPr>
          <w:u w:val="single"/>
          <w:lang w:val="da-DK"/>
        </w:rPr>
      </w:pPr>
      <w:r>
        <w:rPr>
          <w:u w:val="single"/>
          <w:lang w:val="da-DK"/>
        </w:rPr>
        <w:t>Akut pankreatitis</w:t>
      </w:r>
    </w:p>
    <w:p w14:paraId="46EE99D6" w14:textId="104951DC" w:rsidR="00147D71" w:rsidRDefault="00147D71" w:rsidP="007D5CAD">
      <w:pPr>
        <w:pStyle w:val="Default"/>
        <w:ind w:left="851" w:right="-2"/>
        <w:rPr>
          <w:lang w:val="da-DK"/>
        </w:rPr>
      </w:pPr>
      <w:r>
        <w:rPr>
          <w:lang w:val="da-DK"/>
        </w:rPr>
        <w:t xml:space="preserve">Brug af DPP-4-hæmmere er sat i forbindelse med en risiko for udvikling af akut pankreatitis. Patienterne bør informeres om det karakteristiske symptom for akut pankreatitis: vedvarende svære mavesmerter. Resolution af pankreatitis er set efter </w:t>
      </w:r>
      <w:r>
        <w:rPr>
          <w:lang w:val="da-DK"/>
        </w:rPr>
        <w:lastRenderedPageBreak/>
        <w:t xml:space="preserve">seponering af sitagliptin (med eller uden understøttende behandling), men der er indberettet meget sjældne tilfælde af nekrotiserende eller hæmoragisk pankreatitis og/eller død. Hvis der er mistanke om pankreatitis, bør </w:t>
      </w:r>
      <w:r w:rsidR="001A122E">
        <w:rPr>
          <w:lang w:val="da-DK"/>
        </w:rPr>
        <w:t>Sitagliptin/Metformin "Grindeks"</w:t>
      </w:r>
      <w:r>
        <w:rPr>
          <w:lang w:val="da-DK"/>
        </w:rPr>
        <w:t xml:space="preserve"> og andre potentielt suspekte lægemidler seponeres, og hvis mistanken om akut pankreatitis bekræftes, må behandlingen med </w:t>
      </w:r>
      <w:r w:rsidR="001A122E">
        <w:rPr>
          <w:lang w:val="da-DK"/>
        </w:rPr>
        <w:t>Sitagliptin/Metformin "Grindeks"</w:t>
      </w:r>
      <w:r>
        <w:rPr>
          <w:lang w:val="da-DK"/>
        </w:rPr>
        <w:t xml:space="preserve"> ikke genoptages. Der skal udvises forsigtighed hos patienter med pankreatitis i anamnesen.</w:t>
      </w:r>
    </w:p>
    <w:p w14:paraId="4A9080CE" w14:textId="77777777" w:rsidR="00147D71" w:rsidRDefault="00147D71" w:rsidP="007D5CAD">
      <w:pPr>
        <w:pStyle w:val="Default"/>
        <w:ind w:left="851" w:right="-2"/>
        <w:rPr>
          <w:lang w:val="da-DK"/>
        </w:rPr>
      </w:pPr>
    </w:p>
    <w:p w14:paraId="24AA456A" w14:textId="77777777" w:rsidR="00147D71" w:rsidRDefault="00147D71" w:rsidP="007D5CAD">
      <w:pPr>
        <w:pStyle w:val="Default"/>
        <w:ind w:left="851" w:right="-2"/>
        <w:rPr>
          <w:u w:val="single"/>
          <w:lang w:val="da-DK"/>
        </w:rPr>
      </w:pPr>
      <w:r>
        <w:rPr>
          <w:u w:val="single"/>
          <w:lang w:val="da-DK"/>
        </w:rPr>
        <w:t>Laktacidose</w:t>
      </w:r>
    </w:p>
    <w:p w14:paraId="3335C089" w14:textId="77777777" w:rsidR="00147D71" w:rsidRDefault="00147D71" w:rsidP="007D5CAD">
      <w:pPr>
        <w:pStyle w:val="Default"/>
        <w:ind w:left="851" w:right="-2"/>
        <w:rPr>
          <w:lang w:val="da-DK"/>
        </w:rPr>
      </w:pPr>
      <w:r>
        <w:rPr>
          <w:lang w:val="da-DK"/>
        </w:rPr>
        <w:t>Laktacidose er en meget sjælden, men alvorlig metabolisk komplikation, som oftest indtræder ved akut forværring af nyrefunktionen eller ved kardiopulmonal sygdom eller sepsis. Ved akut forværring af nyrefunktionen akkumuleres metformin, hvilket øger risikoen for laktacidose.</w:t>
      </w:r>
    </w:p>
    <w:p w14:paraId="3028171F" w14:textId="77777777" w:rsidR="00147D71" w:rsidRDefault="00147D71" w:rsidP="007D5CAD">
      <w:pPr>
        <w:pStyle w:val="Default"/>
        <w:ind w:left="851" w:right="-2"/>
        <w:rPr>
          <w:lang w:val="da-DK"/>
        </w:rPr>
      </w:pPr>
    </w:p>
    <w:p w14:paraId="0D0BC174" w14:textId="77777777" w:rsidR="00147D71" w:rsidRDefault="00147D71" w:rsidP="007D5CAD">
      <w:pPr>
        <w:pStyle w:val="Default"/>
        <w:ind w:left="851" w:right="-2"/>
        <w:rPr>
          <w:lang w:val="da-DK"/>
        </w:rPr>
      </w:pPr>
      <w:r>
        <w:rPr>
          <w:lang w:val="da-DK"/>
        </w:rPr>
        <w:t>Patienterne skal informeres om, at i tilfælde af dehydrering (alvorlig opkastning, diarré, feber eller nedsat væskeindtagelse) skal metforminbehandlingen afbrydes midlertidigt, og at det anbefales, at de kontakter en læge.</w:t>
      </w:r>
    </w:p>
    <w:p w14:paraId="170933AB" w14:textId="77777777" w:rsidR="00147D71" w:rsidRDefault="00147D71" w:rsidP="007D5CAD">
      <w:pPr>
        <w:pStyle w:val="Default"/>
        <w:ind w:left="851" w:right="-2"/>
        <w:rPr>
          <w:lang w:val="da-DK"/>
        </w:rPr>
      </w:pPr>
    </w:p>
    <w:p w14:paraId="570FE742" w14:textId="77777777" w:rsidR="00147D71" w:rsidRDefault="00147D71" w:rsidP="007D5CAD">
      <w:pPr>
        <w:pStyle w:val="Default"/>
        <w:ind w:left="851" w:right="-2"/>
        <w:rPr>
          <w:lang w:val="da-DK"/>
        </w:rPr>
      </w:pPr>
      <w:r>
        <w:rPr>
          <w:lang w:val="da-DK"/>
        </w:rPr>
        <w:t>Lægemidler, som kan medføre akut nedsættelse af nyrefunktionen (såsom antihypertensiva, diuretika og NSAID’er), bør opstartes med forsigtighed hos patienter i behandling med metformin. Andre risikofaktorer for laktacidose omfatter stort alkoholforbrug, leverinsufficiens, utilstrækkeligt kontrolleret diabetes, ketose, langvarig faste og enhver tilstand forbundet med hypoksi samt samtidig brug af lægemidler, der kan forårsage laktacidose (se pkt. 4.3 og 4.4).</w:t>
      </w:r>
    </w:p>
    <w:p w14:paraId="1827BB67" w14:textId="77777777" w:rsidR="00147D71" w:rsidRDefault="00147D71" w:rsidP="007D5CAD">
      <w:pPr>
        <w:pStyle w:val="Default"/>
        <w:ind w:left="851" w:right="-2"/>
        <w:rPr>
          <w:lang w:val="da-DK"/>
        </w:rPr>
      </w:pPr>
    </w:p>
    <w:p w14:paraId="474D0B86" w14:textId="77777777" w:rsidR="00147D71" w:rsidRDefault="00147D71" w:rsidP="007D5CAD">
      <w:pPr>
        <w:pStyle w:val="Default"/>
        <w:ind w:left="851" w:right="-2"/>
        <w:rPr>
          <w:lang w:val="da-DK"/>
        </w:rPr>
      </w:pPr>
      <w:r>
        <w:rPr>
          <w:lang w:val="da-DK"/>
        </w:rPr>
        <w:t>Patienter og/eller omsorgspersoner skal informeres om risikoen for laktacidose. Laktacidose er kendetegnet ved acidotisk dyspnø, abdominalsmerter, muskelkramper, asteni og hypotermi efterfulgt af koma. Patienterne skal informeres om at stoppe med at tage metformin og øjeblikkeligt søge lægehjælp ved symptomer, der kan give mistanke om laktacidose. Diagnostiske laboratoriefund er nedsat pH i blodet (&lt; 7,35), forhøjet laktatniveau i blodet (&gt; 5 mmol/l) samt øget anion-gap og laktat/pyruvat-ratio.</w:t>
      </w:r>
    </w:p>
    <w:p w14:paraId="71BFFADA" w14:textId="77777777" w:rsidR="00147D71" w:rsidRDefault="00147D71" w:rsidP="007D5CAD">
      <w:pPr>
        <w:pStyle w:val="Default"/>
        <w:ind w:left="851" w:right="-2"/>
        <w:rPr>
          <w:lang w:val="da-DK"/>
        </w:rPr>
      </w:pPr>
    </w:p>
    <w:p w14:paraId="6D0781F7" w14:textId="77777777" w:rsidR="00147D71" w:rsidRDefault="00147D71" w:rsidP="007D5CAD">
      <w:pPr>
        <w:pStyle w:val="Default"/>
        <w:ind w:left="851" w:right="-2"/>
        <w:rPr>
          <w:u w:val="single"/>
          <w:lang w:val="da-DK"/>
        </w:rPr>
      </w:pPr>
      <w:r>
        <w:rPr>
          <w:u w:val="single"/>
          <w:lang w:val="da-DK"/>
        </w:rPr>
        <w:t>Nyrefunktionen</w:t>
      </w:r>
    </w:p>
    <w:p w14:paraId="5411DBD6" w14:textId="1A8CDD13" w:rsidR="00147D71" w:rsidRDefault="00147D71" w:rsidP="007D5CAD">
      <w:pPr>
        <w:pStyle w:val="Default"/>
        <w:ind w:left="851" w:right="-2"/>
        <w:rPr>
          <w:lang w:val="da-DK"/>
        </w:rPr>
      </w:pPr>
      <w:r>
        <w:rPr>
          <w:lang w:val="da-DK"/>
        </w:rPr>
        <w:t xml:space="preserve">GFR skal bestemmes inden behandlingsstart og regelmæssigt derefter (se pkt. 4.2). </w:t>
      </w:r>
      <w:r w:rsidR="001A122E">
        <w:rPr>
          <w:lang w:val="da-DK"/>
        </w:rPr>
        <w:t>Sitagliptin/Metformin "Grindeks"</w:t>
      </w:r>
      <w:r>
        <w:rPr>
          <w:lang w:val="da-DK"/>
        </w:rPr>
        <w:t xml:space="preserve"> er kontraindiceret hos patienter med GFR &lt; 30 ml/min, og behandlingen skal afbrydes midlertidigt ved tilstedeværelse af tilstande, der påvirker nyrefunktionen (se pkt. 4.3).</w:t>
      </w:r>
    </w:p>
    <w:p w14:paraId="4C2B8B5D" w14:textId="77777777" w:rsidR="00147D71" w:rsidRDefault="00147D71" w:rsidP="007D5CAD">
      <w:pPr>
        <w:pStyle w:val="Default"/>
        <w:ind w:left="851" w:right="-2"/>
        <w:rPr>
          <w:lang w:val="da-DK"/>
        </w:rPr>
      </w:pPr>
    </w:p>
    <w:p w14:paraId="3D8E5AD5" w14:textId="77777777" w:rsidR="00147D71" w:rsidRDefault="00147D71" w:rsidP="007D5CAD">
      <w:pPr>
        <w:pStyle w:val="Default"/>
        <w:ind w:left="851" w:right="-2"/>
        <w:rPr>
          <w:u w:val="single"/>
          <w:lang w:val="da-DK"/>
        </w:rPr>
      </w:pPr>
      <w:r>
        <w:rPr>
          <w:u w:val="single"/>
          <w:lang w:val="da-DK"/>
        </w:rPr>
        <w:t>Hypoglykæmi</w:t>
      </w:r>
    </w:p>
    <w:p w14:paraId="193F7460" w14:textId="7CA4555E" w:rsidR="00147D71" w:rsidRDefault="00147D71" w:rsidP="007D5CAD">
      <w:pPr>
        <w:pStyle w:val="Default"/>
        <w:ind w:left="851" w:right="-2"/>
        <w:rPr>
          <w:lang w:val="da-DK"/>
        </w:rPr>
      </w:pPr>
      <w:r>
        <w:rPr>
          <w:lang w:val="da-DK"/>
        </w:rPr>
        <w:t xml:space="preserve">Patienter, der får </w:t>
      </w:r>
      <w:r w:rsidR="001A122E">
        <w:rPr>
          <w:lang w:val="da-DK"/>
        </w:rPr>
        <w:t>Sitagliptin/Metformin "Grindeks"</w:t>
      </w:r>
      <w:r>
        <w:rPr>
          <w:lang w:val="da-DK"/>
        </w:rPr>
        <w:t xml:space="preserve"> sammen med et sulfonylurinstof eller sammen med insulin, har øget risiko for at få hypoglykæmi. Derfor kan det være nødvendigt at reducere dosis af sulfonylurinstof eller insulin.</w:t>
      </w:r>
    </w:p>
    <w:p w14:paraId="326035EE" w14:textId="77777777" w:rsidR="00147D71" w:rsidRDefault="00147D71" w:rsidP="007D5CAD">
      <w:pPr>
        <w:pStyle w:val="Default"/>
        <w:ind w:left="851" w:right="-2"/>
        <w:rPr>
          <w:lang w:val="da-DK"/>
        </w:rPr>
      </w:pPr>
    </w:p>
    <w:p w14:paraId="3001C800" w14:textId="77777777" w:rsidR="00147D71" w:rsidRDefault="00147D71" w:rsidP="007D5CAD">
      <w:pPr>
        <w:pStyle w:val="Default"/>
        <w:ind w:left="851" w:right="-2"/>
        <w:rPr>
          <w:u w:val="single"/>
          <w:lang w:val="da-DK"/>
        </w:rPr>
      </w:pPr>
      <w:r>
        <w:rPr>
          <w:u w:val="single"/>
          <w:lang w:val="da-DK"/>
        </w:rPr>
        <w:t>Overfølsomhedsreaktioner</w:t>
      </w:r>
    </w:p>
    <w:p w14:paraId="4F6267FD" w14:textId="13DA8AFF" w:rsidR="00147D71" w:rsidRDefault="00147D71" w:rsidP="007D5CAD">
      <w:pPr>
        <w:pStyle w:val="Default"/>
        <w:ind w:left="851" w:right="-2"/>
        <w:rPr>
          <w:lang w:val="da-DK"/>
        </w:rPr>
      </w:pPr>
      <w:r>
        <w:rPr>
          <w:lang w:val="da-DK"/>
        </w:rPr>
        <w:t xml:space="preserve">Efter markedsføring er der blevet rapporteret om alvorlige overfølsomhedsreaktioner hos patienter, der er blevet behandlet med sitagliptin. Disse reaktioner omfatter anafylaksi, angioødem og eksfoliative hudsygdomme, herunder Stevens-Johnsons syndrom. Disse reaktioner startede inden for de første 3 måneder efter initiering af behandling med sitagliptin, hvor enkelte rapporter forekom efter første dosis. Hvis der er mistanke om en overfølsomhedsreaktion, bør </w:t>
      </w:r>
      <w:r w:rsidR="001A122E">
        <w:rPr>
          <w:lang w:val="da-DK"/>
        </w:rPr>
        <w:t>Sitagliptin/Metformin "Grindeks"</w:t>
      </w:r>
      <w:r>
        <w:rPr>
          <w:lang w:val="da-DK"/>
        </w:rPr>
        <w:t xml:space="preserve"> seponeres, andre mulige årsager til hændelsen vurderes, og alternativ diabetesbehandling igangsættes (se pkt. 4.8).</w:t>
      </w:r>
    </w:p>
    <w:p w14:paraId="0D3C3366" w14:textId="4B0B519D" w:rsidR="00DF7C99" w:rsidRDefault="00DF7C99">
      <w:pPr>
        <w:rPr>
          <w:rFonts w:eastAsia="Calibri"/>
          <w:color w:val="000000"/>
          <w:sz w:val="24"/>
          <w:szCs w:val="24"/>
        </w:rPr>
      </w:pPr>
      <w:r>
        <w:br w:type="page"/>
      </w:r>
    </w:p>
    <w:p w14:paraId="0C46E2B5" w14:textId="77777777" w:rsidR="00147D71" w:rsidRDefault="00147D71" w:rsidP="007D5CAD">
      <w:pPr>
        <w:pStyle w:val="Default"/>
        <w:ind w:left="851" w:right="-2"/>
        <w:rPr>
          <w:lang w:val="da-DK"/>
        </w:rPr>
      </w:pPr>
    </w:p>
    <w:p w14:paraId="598C8567" w14:textId="77777777" w:rsidR="00147D71" w:rsidRDefault="00147D71" w:rsidP="007D5CAD">
      <w:pPr>
        <w:pStyle w:val="Default"/>
        <w:ind w:left="851" w:right="-2"/>
        <w:rPr>
          <w:u w:val="single"/>
          <w:lang w:val="da-DK"/>
        </w:rPr>
      </w:pPr>
      <w:r>
        <w:rPr>
          <w:u w:val="single"/>
          <w:lang w:val="da-DK"/>
        </w:rPr>
        <w:t>Bulløs pemfigoid</w:t>
      </w:r>
    </w:p>
    <w:p w14:paraId="7EE6A6D7" w14:textId="726807D0" w:rsidR="00147D71" w:rsidRDefault="00147D71" w:rsidP="007D5CAD">
      <w:pPr>
        <w:pStyle w:val="Default"/>
        <w:ind w:left="851" w:right="-2"/>
        <w:rPr>
          <w:lang w:val="da-DK"/>
        </w:rPr>
      </w:pPr>
      <w:r>
        <w:rPr>
          <w:lang w:val="da-DK"/>
        </w:rPr>
        <w:t xml:space="preserve">Efter markedsføring er der rapporteret om bulløs pemfigoid hos patienter, der tog DPP-4-hæmmere inklusive sitagliptin. Hvis der er mistanke om bulløs pemfigoid, skal </w:t>
      </w:r>
      <w:r w:rsidR="001A122E">
        <w:rPr>
          <w:lang w:val="da-DK"/>
        </w:rPr>
        <w:t>Sitagliptin/Metformin "Grindeks"</w:t>
      </w:r>
      <w:r>
        <w:rPr>
          <w:lang w:val="da-DK"/>
        </w:rPr>
        <w:t xml:space="preserve"> seponeres.</w:t>
      </w:r>
    </w:p>
    <w:p w14:paraId="719B91EB" w14:textId="77777777" w:rsidR="00147D71" w:rsidRDefault="00147D71" w:rsidP="007D5CAD">
      <w:pPr>
        <w:pStyle w:val="Default"/>
        <w:ind w:left="851" w:right="-2"/>
        <w:rPr>
          <w:lang w:val="da-DK"/>
        </w:rPr>
      </w:pPr>
    </w:p>
    <w:p w14:paraId="7839E279" w14:textId="77777777" w:rsidR="00147D71" w:rsidRDefault="00147D71" w:rsidP="007D5CAD">
      <w:pPr>
        <w:pStyle w:val="Default"/>
        <w:ind w:left="851" w:right="-2"/>
        <w:rPr>
          <w:u w:val="single"/>
          <w:lang w:val="da-DK"/>
        </w:rPr>
      </w:pPr>
      <w:r>
        <w:rPr>
          <w:u w:val="single"/>
          <w:lang w:val="da-DK"/>
        </w:rPr>
        <w:t>Kirurgi</w:t>
      </w:r>
    </w:p>
    <w:p w14:paraId="5FB230C5" w14:textId="60F7BFD1" w:rsidR="00147D71" w:rsidRDefault="00147D71" w:rsidP="007D5CAD">
      <w:pPr>
        <w:pStyle w:val="Default"/>
        <w:ind w:left="851" w:right="-2"/>
        <w:rPr>
          <w:lang w:val="da-DK"/>
        </w:rPr>
      </w:pPr>
      <w:r>
        <w:rPr>
          <w:lang w:val="da-DK"/>
        </w:rPr>
        <w:t xml:space="preserve">Behandling med </w:t>
      </w:r>
      <w:r w:rsidR="001A122E">
        <w:rPr>
          <w:lang w:val="da-DK"/>
        </w:rPr>
        <w:t>Sitagliptin/Metformin "Grindeks"</w:t>
      </w:r>
      <w:r>
        <w:rPr>
          <w:lang w:val="da-DK"/>
        </w:rPr>
        <w:t xml:space="preserve"> skal afbrydes på tidspunktet for kirurgi under generel, spinal eller epidural anæstesi og må tidligst genoptages 48 timer efter kirurgi eller genoptagelse af oral ernæring og under forudsætning af, at nyrefunktionen er blevet vurderet og fundet stabil.</w:t>
      </w:r>
    </w:p>
    <w:p w14:paraId="5205D64C" w14:textId="77777777" w:rsidR="00147D71" w:rsidRDefault="00147D71" w:rsidP="007D5CAD">
      <w:pPr>
        <w:pStyle w:val="Default"/>
        <w:ind w:left="851" w:right="-2"/>
        <w:rPr>
          <w:lang w:val="da-DK"/>
        </w:rPr>
      </w:pPr>
    </w:p>
    <w:p w14:paraId="44FB0E8E" w14:textId="77777777" w:rsidR="00147D71" w:rsidRDefault="00147D71" w:rsidP="007D5CAD">
      <w:pPr>
        <w:pStyle w:val="Default"/>
        <w:ind w:left="851" w:right="-2"/>
        <w:rPr>
          <w:u w:val="single"/>
          <w:lang w:val="da-DK"/>
        </w:rPr>
      </w:pPr>
      <w:r>
        <w:rPr>
          <w:u w:val="single"/>
          <w:lang w:val="da-DK"/>
        </w:rPr>
        <w:t>Administration af iodholdige kontrastmidler</w:t>
      </w:r>
    </w:p>
    <w:p w14:paraId="6E6A3B78" w14:textId="1478E2DE" w:rsidR="00147D71" w:rsidRDefault="00147D71" w:rsidP="007D5CAD">
      <w:pPr>
        <w:pStyle w:val="Default"/>
        <w:ind w:left="851" w:right="-2"/>
        <w:rPr>
          <w:lang w:val="da-DK"/>
        </w:rPr>
      </w:pPr>
      <w:r>
        <w:rPr>
          <w:lang w:val="da-DK"/>
        </w:rPr>
        <w:t xml:space="preserve">Intravaskulær administration af iodholdige kontrastmidler kan medføre kontrastinduceret nefropati, resulterende i akkumulation af metformin og en øget risiko for laktacidose. Behandling med </w:t>
      </w:r>
      <w:r w:rsidR="001A122E">
        <w:rPr>
          <w:lang w:val="da-DK"/>
        </w:rPr>
        <w:t>Sitagliptin/Metformin "Grindeks"</w:t>
      </w:r>
      <w:r>
        <w:rPr>
          <w:lang w:val="da-DK"/>
        </w:rPr>
        <w:t xml:space="preserve"> skal afbrydes forud for eller på tidspunktet for en billeddiagnostisk procedure og først genoptages efter mindst 48 timer, forudsat at nyrefunktionen er blevet vurderet og fundet stabil (se pkt. 4.3 og 4.5).</w:t>
      </w:r>
    </w:p>
    <w:p w14:paraId="7C785B48" w14:textId="77777777" w:rsidR="00147D71" w:rsidRDefault="00147D71" w:rsidP="007D5CAD">
      <w:pPr>
        <w:pStyle w:val="Default"/>
        <w:ind w:left="851" w:right="-2"/>
        <w:rPr>
          <w:lang w:val="da-DK"/>
        </w:rPr>
      </w:pPr>
    </w:p>
    <w:p w14:paraId="3052E08E" w14:textId="77777777" w:rsidR="00147D71" w:rsidRDefault="00147D71" w:rsidP="007D5CAD">
      <w:pPr>
        <w:pStyle w:val="Default"/>
        <w:ind w:left="851" w:right="-2"/>
        <w:rPr>
          <w:u w:val="single"/>
          <w:lang w:val="da-DK"/>
        </w:rPr>
      </w:pPr>
      <w:r>
        <w:rPr>
          <w:u w:val="single"/>
          <w:lang w:val="da-DK"/>
        </w:rPr>
        <w:t>Ændring i klinisk status hos patienter med tidligere velbehandlet type 2-diabetes</w:t>
      </w:r>
    </w:p>
    <w:p w14:paraId="767D63C0" w14:textId="4120DBB7" w:rsidR="00147D71" w:rsidRDefault="00147D71" w:rsidP="007D5CAD">
      <w:pPr>
        <w:pStyle w:val="Default"/>
        <w:ind w:left="851" w:right="-2"/>
        <w:rPr>
          <w:lang w:val="da-DK"/>
        </w:rPr>
      </w:pPr>
      <w:r>
        <w:rPr>
          <w:lang w:val="da-DK"/>
        </w:rPr>
        <w:t xml:space="preserve">En patient med type 2-diabetes, der tidligere var velbehandlet på </w:t>
      </w:r>
      <w:r w:rsidR="001A122E">
        <w:rPr>
          <w:lang w:val="da-DK"/>
        </w:rPr>
        <w:t>Sitagliptin/Metformin "Grindeks"</w:t>
      </w:r>
      <w:r>
        <w:rPr>
          <w:lang w:val="da-DK"/>
        </w:rPr>
        <w:t>, og som udvikler unormale laboratorieværdier eller klinisk sygdom (især vagt eller uklart defineret sygdom) bør vurderes hurtigt med henblik på tegn på ketoacidose eller laktacidose. Vurderingen bør inkludere måling af serumelektrolytter og ketoner, blodglucose og hvis indiceret, blod-pH, laktat, pyruvat og metforminkoncentration. Hvis acidose i en eller anden form forekommer, skal behandlingen stoppes omgående, og andre hensigtsmæssige og korrigerende handlinger initieres.</w:t>
      </w:r>
    </w:p>
    <w:p w14:paraId="4368B77C" w14:textId="358BCC88" w:rsidR="00147D71" w:rsidRDefault="00147D71" w:rsidP="007D5CAD">
      <w:pPr>
        <w:pStyle w:val="Default"/>
        <w:ind w:left="851" w:right="-2"/>
        <w:rPr>
          <w:lang w:val="da-DK"/>
        </w:rPr>
      </w:pPr>
    </w:p>
    <w:p w14:paraId="571F1684" w14:textId="77777777" w:rsidR="00D45E98" w:rsidRPr="00FC0C13" w:rsidRDefault="00D45E98" w:rsidP="00D45E98">
      <w:pPr>
        <w:pStyle w:val="Default"/>
        <w:ind w:left="851" w:right="-2"/>
        <w:rPr>
          <w:u w:val="single"/>
          <w:lang w:val="da-DK"/>
        </w:rPr>
      </w:pPr>
      <w:r w:rsidRPr="00FC0C13">
        <w:rPr>
          <w:u w:val="single"/>
          <w:lang w:val="da-DK"/>
        </w:rPr>
        <w:t xml:space="preserve">B12-vitaminmangel </w:t>
      </w:r>
    </w:p>
    <w:p w14:paraId="5EAFBB70" w14:textId="77777777" w:rsidR="00D45E98" w:rsidRDefault="00D45E98" w:rsidP="00D45E98">
      <w:pPr>
        <w:pStyle w:val="Default"/>
        <w:ind w:left="851" w:right="-2"/>
        <w:rPr>
          <w:lang w:val="da-DK"/>
        </w:rPr>
      </w:pPr>
      <w:r w:rsidRPr="003266F1">
        <w:rPr>
          <w:lang w:val="da-DK"/>
        </w:rPr>
        <w:t>Metformin kan reducere niveauet af B12-vitamin i serum. Risikoen for et lavt B12-vitaminniveau stiger med stigende metformindosis, behandlingsvarighed og/eller hos patienter med risikofaktorer, der er kendte for at medføre B12-vitaminmangel. Ved mistanke om B12-vitaminmangel (såsom anæmi eller neuropati) skal niveauet af B12-vitamin i serum monitoreres. Periodisk monitorering af B12-vitamin kan være nødvendig hos patienter med risikofaktorer for B12-vitaminmangel. Metforminbehandling skal fortsætte så længe, det kan tåles og ikke er kontraindiceret, og hensigtsmæssig korrigerende behandling for B12-vitaminmangel gives i overensstemmelse med gældende kliniske retningslinjer.</w:t>
      </w:r>
    </w:p>
    <w:p w14:paraId="4F3248C9" w14:textId="77777777" w:rsidR="00D45E98" w:rsidRDefault="00D45E98" w:rsidP="007D5CAD">
      <w:pPr>
        <w:pStyle w:val="Default"/>
        <w:ind w:left="851" w:right="-2"/>
        <w:rPr>
          <w:lang w:val="da-DK"/>
        </w:rPr>
      </w:pPr>
    </w:p>
    <w:p w14:paraId="2353D7E8" w14:textId="77777777" w:rsidR="00147D71" w:rsidRDefault="00147D71" w:rsidP="007D5CAD">
      <w:pPr>
        <w:pStyle w:val="Default"/>
        <w:ind w:left="851" w:right="-2"/>
        <w:rPr>
          <w:u w:val="single"/>
          <w:lang w:val="da-DK"/>
        </w:rPr>
      </w:pPr>
      <w:r>
        <w:rPr>
          <w:u w:val="single"/>
          <w:lang w:val="da-DK"/>
        </w:rPr>
        <w:t>Natrium</w:t>
      </w:r>
    </w:p>
    <w:p w14:paraId="628E9A2C" w14:textId="77777777" w:rsidR="00147D71" w:rsidRDefault="00147D71" w:rsidP="007D5CAD">
      <w:pPr>
        <w:pStyle w:val="Default"/>
        <w:ind w:left="851" w:right="-2"/>
        <w:rPr>
          <w:lang w:val="da-DK"/>
        </w:rPr>
      </w:pPr>
      <w:r>
        <w:rPr>
          <w:lang w:val="da-DK"/>
        </w:rPr>
        <w:t>Dette lægemiddel indeholder mindre end 1 mmol (23 mg) natrium pr. tablet, dvs. det er i det væsentlige natriumfrit.</w:t>
      </w:r>
    </w:p>
    <w:p w14:paraId="0EE20CE0" w14:textId="77777777" w:rsidR="009260DE" w:rsidRPr="00C84483" w:rsidRDefault="009260DE" w:rsidP="009260DE">
      <w:pPr>
        <w:tabs>
          <w:tab w:val="left" w:pos="851"/>
        </w:tabs>
        <w:ind w:left="851"/>
        <w:rPr>
          <w:sz w:val="24"/>
          <w:szCs w:val="24"/>
        </w:rPr>
      </w:pPr>
    </w:p>
    <w:p w14:paraId="1114B84E"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87F8181" w14:textId="77777777" w:rsidR="00147D71" w:rsidRDefault="00147D71" w:rsidP="007D5CAD">
      <w:pPr>
        <w:pStyle w:val="Default"/>
        <w:ind w:left="851" w:right="-2"/>
        <w:rPr>
          <w:lang w:val="da-DK"/>
        </w:rPr>
      </w:pPr>
      <w:r>
        <w:rPr>
          <w:lang w:val="da-DK"/>
        </w:rPr>
        <w:t>Samtidig administration af multiple doser af sitagliptin (50 mg to gange daglig) og metformin (1.000 mg to gange daglig) ændrede ikke hverken sitagliptins eller metformins farmakokinetik betydeligt hos patienter med type 2-diabetes.</w:t>
      </w:r>
    </w:p>
    <w:p w14:paraId="1E97E6B1" w14:textId="77777777" w:rsidR="00147D71" w:rsidRDefault="00147D71" w:rsidP="007D5CAD">
      <w:pPr>
        <w:pStyle w:val="Default"/>
        <w:ind w:left="851" w:right="-2"/>
        <w:rPr>
          <w:lang w:val="da-DK"/>
        </w:rPr>
      </w:pPr>
    </w:p>
    <w:p w14:paraId="4479C9F3" w14:textId="3B630A6E" w:rsidR="00147D71" w:rsidRDefault="00147D71" w:rsidP="007D5CAD">
      <w:pPr>
        <w:pStyle w:val="Default"/>
        <w:ind w:left="851" w:right="-2"/>
        <w:rPr>
          <w:lang w:val="da-DK"/>
        </w:rPr>
      </w:pPr>
      <w:r>
        <w:rPr>
          <w:lang w:val="da-DK"/>
        </w:rPr>
        <w:t xml:space="preserve">Der er ikke udført farmakokinetiske interaktionsundersøgelser med </w:t>
      </w:r>
      <w:r w:rsidR="001A122E">
        <w:rPr>
          <w:lang w:val="da-DK"/>
        </w:rPr>
        <w:t>Sitagliptin/Metformin "Grindeks"</w:t>
      </w:r>
      <w:r>
        <w:rPr>
          <w:lang w:val="da-DK"/>
        </w:rPr>
        <w:t>, men sådanne undersøgelser er udført med de enkelte aktive stoffer, sitagliptin og metformin.</w:t>
      </w:r>
    </w:p>
    <w:p w14:paraId="0F454B38" w14:textId="77777777" w:rsidR="00147D71" w:rsidRDefault="00147D71" w:rsidP="007D5CAD">
      <w:pPr>
        <w:pStyle w:val="Default"/>
        <w:ind w:left="851" w:right="-2"/>
        <w:rPr>
          <w:lang w:val="da-DK"/>
        </w:rPr>
      </w:pPr>
    </w:p>
    <w:p w14:paraId="706351F2" w14:textId="77777777" w:rsidR="00147D71" w:rsidRDefault="00147D71" w:rsidP="007D5CAD">
      <w:pPr>
        <w:pStyle w:val="Default"/>
        <w:ind w:left="851" w:right="-2"/>
        <w:rPr>
          <w:u w:val="single"/>
          <w:lang w:val="da-DK"/>
        </w:rPr>
      </w:pPr>
      <w:r>
        <w:rPr>
          <w:u w:val="single"/>
          <w:lang w:val="da-DK"/>
        </w:rPr>
        <w:t>Samtidig brug frarådes</w:t>
      </w:r>
    </w:p>
    <w:p w14:paraId="2D4BB05E" w14:textId="77777777" w:rsidR="00147D71" w:rsidRDefault="00147D71" w:rsidP="007D5CAD">
      <w:pPr>
        <w:pStyle w:val="Default"/>
        <w:ind w:left="851" w:right="-2"/>
        <w:rPr>
          <w:lang w:val="da-DK"/>
        </w:rPr>
      </w:pPr>
    </w:p>
    <w:p w14:paraId="4BB9DEF0" w14:textId="77777777" w:rsidR="00147D71" w:rsidRDefault="00147D71" w:rsidP="007D5CAD">
      <w:pPr>
        <w:pStyle w:val="Default"/>
        <w:ind w:left="851" w:right="-2"/>
        <w:rPr>
          <w:lang w:val="da-DK"/>
        </w:rPr>
      </w:pPr>
      <w:r>
        <w:rPr>
          <w:lang w:val="da-DK"/>
        </w:rPr>
        <w:t>Alkohol</w:t>
      </w:r>
    </w:p>
    <w:p w14:paraId="34AA8065" w14:textId="77777777" w:rsidR="00147D71" w:rsidRDefault="00147D71" w:rsidP="007D5CAD">
      <w:pPr>
        <w:pStyle w:val="Default"/>
        <w:ind w:left="851" w:right="-2"/>
        <w:rPr>
          <w:lang w:val="da-DK"/>
        </w:rPr>
      </w:pPr>
      <w:r>
        <w:rPr>
          <w:lang w:val="da-DK"/>
        </w:rPr>
        <w:t>Alkoholintoksikation er forbundet med en øget risiko for laktacidose, især i tilfælde af faste, fejlernæring eller leverinsufficiens.</w:t>
      </w:r>
    </w:p>
    <w:p w14:paraId="0C0C690D" w14:textId="77777777" w:rsidR="00147D71" w:rsidRDefault="00147D71" w:rsidP="007D5CAD">
      <w:pPr>
        <w:pStyle w:val="Default"/>
        <w:ind w:left="851" w:right="-2"/>
        <w:rPr>
          <w:lang w:val="da-DK"/>
        </w:rPr>
      </w:pPr>
    </w:p>
    <w:p w14:paraId="5326E0B4" w14:textId="77777777" w:rsidR="00147D71" w:rsidRDefault="00147D71" w:rsidP="007D5CAD">
      <w:pPr>
        <w:pStyle w:val="Default"/>
        <w:ind w:left="851" w:right="-2"/>
        <w:rPr>
          <w:lang w:val="da-DK"/>
        </w:rPr>
      </w:pPr>
      <w:r>
        <w:rPr>
          <w:lang w:val="da-DK"/>
        </w:rPr>
        <w:t>Iodholdige kontrastmidler</w:t>
      </w:r>
    </w:p>
    <w:p w14:paraId="15873016" w14:textId="023AA04F" w:rsidR="00147D71" w:rsidRDefault="00147D71" w:rsidP="007D5CAD">
      <w:pPr>
        <w:pStyle w:val="Default"/>
        <w:ind w:left="851" w:right="-2"/>
        <w:rPr>
          <w:lang w:val="da-DK"/>
        </w:rPr>
      </w:pPr>
      <w:r>
        <w:rPr>
          <w:lang w:val="da-DK"/>
        </w:rPr>
        <w:t xml:space="preserve">Behandlingen med </w:t>
      </w:r>
      <w:r w:rsidR="001A122E">
        <w:rPr>
          <w:lang w:val="da-DK"/>
        </w:rPr>
        <w:t>Sitagliptin/Metformin "Grindeks"</w:t>
      </w:r>
      <w:r>
        <w:rPr>
          <w:lang w:val="da-DK"/>
        </w:rPr>
        <w:t xml:space="preserve"> skal afbrydes forud for eller på tidspunktet for billeddiagnostiske procedurer og først genoptages mindst 48 timer herefter, forudsat at nyrefunktionen er blevet vurderet og fundet stabil (se pkt. 4.3 og 4.4).</w:t>
      </w:r>
    </w:p>
    <w:p w14:paraId="7E4C7589" w14:textId="77777777" w:rsidR="00147D71" w:rsidRDefault="00147D71" w:rsidP="007D5CAD">
      <w:pPr>
        <w:pStyle w:val="Default"/>
        <w:ind w:left="851" w:right="-2"/>
        <w:rPr>
          <w:lang w:val="da-DK"/>
        </w:rPr>
      </w:pPr>
    </w:p>
    <w:p w14:paraId="5645F5CA" w14:textId="77777777" w:rsidR="00147D71" w:rsidRDefault="00147D71" w:rsidP="007D5CAD">
      <w:pPr>
        <w:pStyle w:val="Default"/>
        <w:ind w:left="851" w:right="-2"/>
        <w:rPr>
          <w:u w:val="single"/>
          <w:lang w:val="da-DK"/>
        </w:rPr>
      </w:pPr>
      <w:r>
        <w:rPr>
          <w:u w:val="single"/>
          <w:lang w:val="da-DK"/>
        </w:rPr>
        <w:t>Kombinationsbehandlinger, der kræver forholdsregler før anvendelse</w:t>
      </w:r>
    </w:p>
    <w:p w14:paraId="54F32B4F" w14:textId="7A018F5A" w:rsidR="00147D71" w:rsidRDefault="00147D71" w:rsidP="007D5CAD">
      <w:pPr>
        <w:pStyle w:val="Default"/>
        <w:ind w:left="851" w:right="-2"/>
        <w:rPr>
          <w:lang w:val="da-DK"/>
        </w:rPr>
      </w:pPr>
      <w:r>
        <w:rPr>
          <w:lang w:val="da-DK"/>
        </w:rPr>
        <w:t xml:space="preserve">Visse lægemidler kan påvirke nyrefunktionen negativt, hvilket kan øge risikoen for laktacidose, </w:t>
      </w:r>
      <w:r w:rsidR="00DF7C99">
        <w:rPr>
          <w:lang w:val="da-DK"/>
        </w:rPr>
        <w:t>f.eks.</w:t>
      </w:r>
      <w:r>
        <w:rPr>
          <w:lang w:val="da-DK"/>
        </w:rPr>
        <w:t xml:space="preserve"> NSAID’er, herunder selektive cyklooxygenase (COX) II-hæmmere, ACE-hæmmere, angiotensin II- receptorantagonister og diuretika, især loop-diuretika. Ved initiering eller brug af sådanne præparater i kombination med metformin skal nyrefunktionen monitoreres tæt.</w:t>
      </w:r>
    </w:p>
    <w:p w14:paraId="0FD1693E" w14:textId="77777777" w:rsidR="00147D71" w:rsidRDefault="00147D71" w:rsidP="007D5CAD">
      <w:pPr>
        <w:pStyle w:val="Default"/>
        <w:ind w:left="851" w:right="-2"/>
        <w:rPr>
          <w:lang w:val="da-DK"/>
        </w:rPr>
      </w:pPr>
    </w:p>
    <w:p w14:paraId="6FBF2671" w14:textId="01A1634F" w:rsidR="00147D71" w:rsidRDefault="00147D71" w:rsidP="007D5CAD">
      <w:pPr>
        <w:pStyle w:val="Default"/>
        <w:ind w:left="851" w:right="-2"/>
        <w:rPr>
          <w:lang w:val="da-DK"/>
        </w:rPr>
      </w:pPr>
      <w:r>
        <w:rPr>
          <w:lang w:val="da-DK"/>
        </w:rPr>
        <w:t>Samtidig anvendelse af lægemidler, der påvirker det fælles tubulære transportsystem involveret i den renale elimination af metformin (</w:t>
      </w:r>
      <w:r w:rsidR="00DF7C99">
        <w:rPr>
          <w:lang w:val="da-DK"/>
        </w:rPr>
        <w:t>f.eks.</w:t>
      </w:r>
      <w:r>
        <w:rPr>
          <w:lang w:val="da-DK"/>
        </w:rPr>
        <w:t xml:space="preserve"> organisk kationtransportør-2 [OCT</w:t>
      </w:r>
      <w:proofErr w:type="gramStart"/>
      <w:r>
        <w:rPr>
          <w:lang w:val="da-DK"/>
        </w:rPr>
        <w:t>2]/</w:t>
      </w:r>
      <w:proofErr w:type="gramEnd"/>
      <w:r>
        <w:rPr>
          <w:lang w:val="da-DK"/>
        </w:rPr>
        <w:t>multidrug og toksin ekstrusion [MATE]-hæmmere såsom ranolazin, vandetanib, dolutegravir og cimetidin), kan øge den systemiske eksponering for metformin og kan øge risikoen for laktacidose. Overvej fordele og risici ved samtidig anvendelse. Tæt monitorering af glykæmisk kontrol, dosisjustering inden for det anbefalede dosisområde samt ændring af diabetesbehandlingen skal overvejes, når sådanne lægemidler administreres samtidigt.</w:t>
      </w:r>
    </w:p>
    <w:p w14:paraId="1332C2BA" w14:textId="77777777" w:rsidR="00147D71" w:rsidRDefault="00147D71" w:rsidP="007D5CAD">
      <w:pPr>
        <w:pStyle w:val="Default"/>
        <w:ind w:left="851" w:right="-2"/>
        <w:rPr>
          <w:lang w:val="da-DK"/>
        </w:rPr>
      </w:pPr>
    </w:p>
    <w:p w14:paraId="1D650ED9" w14:textId="77777777" w:rsidR="00147D71" w:rsidRDefault="00147D71" w:rsidP="007D5CAD">
      <w:pPr>
        <w:pStyle w:val="Default"/>
        <w:ind w:left="851" w:right="-2"/>
        <w:rPr>
          <w:lang w:val="da-DK"/>
        </w:rPr>
      </w:pPr>
      <w:r>
        <w:rPr>
          <w:lang w:val="da-DK"/>
        </w:rPr>
        <w:t>Glukokortikoider (givet systemisk og lokalt), beta-2-agonister og diuretika har en selvstændig hyperglykæmisk virkning. Patienten bør informeres herom, og monitorering af blodglucose bør udføres hyppigere især ved start af behandling med sådanne lægemidler. Hvis det er nødvendigt, bør doseringen af det antihyperglykæmiske lægemiddel justeres under behandling med det andet lægemiddel og ved seponering af dette.</w:t>
      </w:r>
    </w:p>
    <w:p w14:paraId="48F753ED" w14:textId="77777777" w:rsidR="00147D71" w:rsidRDefault="00147D71" w:rsidP="007D5CAD">
      <w:pPr>
        <w:pStyle w:val="Default"/>
        <w:ind w:left="851" w:right="-2"/>
        <w:rPr>
          <w:lang w:val="da-DK"/>
        </w:rPr>
      </w:pPr>
    </w:p>
    <w:p w14:paraId="535B94AC" w14:textId="77777777" w:rsidR="00147D71" w:rsidRDefault="00147D71" w:rsidP="007D5CAD">
      <w:pPr>
        <w:pStyle w:val="Default"/>
        <w:ind w:left="851" w:right="-2"/>
        <w:rPr>
          <w:lang w:val="da-DK"/>
        </w:rPr>
      </w:pPr>
      <w:r>
        <w:rPr>
          <w:lang w:val="da-DK"/>
        </w:rPr>
        <w:t>ACE-hæmmere sænker blodglucoseniveauet. Hvis det er nødvendigt, bør doseringen af det anti-hyperglykæmiske lægemiddel justeres under behandling med det andet lægemiddel og ved seponering af dette.</w:t>
      </w:r>
    </w:p>
    <w:p w14:paraId="7B6361B3" w14:textId="77777777" w:rsidR="00147D71" w:rsidRDefault="00147D71" w:rsidP="007D5CAD">
      <w:pPr>
        <w:pStyle w:val="Default"/>
        <w:ind w:left="851" w:right="-2"/>
        <w:rPr>
          <w:lang w:val="da-DK"/>
        </w:rPr>
      </w:pPr>
    </w:p>
    <w:p w14:paraId="2EA7FA5A" w14:textId="77777777" w:rsidR="00147D71" w:rsidRDefault="00147D71" w:rsidP="007D5CAD">
      <w:pPr>
        <w:pStyle w:val="Default"/>
        <w:ind w:left="851" w:right="-2"/>
        <w:rPr>
          <w:u w:val="single"/>
          <w:lang w:val="da-DK"/>
        </w:rPr>
      </w:pPr>
      <w:r>
        <w:rPr>
          <w:u w:val="single"/>
          <w:lang w:val="da-DK"/>
        </w:rPr>
        <w:t>Andre lægemidlers indvirkning på sitagliptin</w:t>
      </w:r>
    </w:p>
    <w:p w14:paraId="7D3C1EF1" w14:textId="77777777" w:rsidR="00147D71" w:rsidRDefault="00147D71" w:rsidP="007D5CAD">
      <w:pPr>
        <w:pStyle w:val="Default"/>
        <w:ind w:left="851" w:right="-2"/>
        <w:rPr>
          <w:lang w:val="da-DK"/>
        </w:rPr>
      </w:pPr>
      <w:r>
        <w:rPr>
          <w:i/>
          <w:iCs/>
          <w:lang w:val="da-DK"/>
        </w:rPr>
        <w:t>In vitro</w:t>
      </w:r>
      <w:r>
        <w:rPr>
          <w:lang w:val="da-DK"/>
        </w:rPr>
        <w:t xml:space="preserve"> og kliniske data, som er beskrevet nedenfor, tyder på, at risikoen for interaktioner af klinisk betydning mellem lægemidler, der administreres samtidigt, er lav.</w:t>
      </w:r>
    </w:p>
    <w:p w14:paraId="067BF200" w14:textId="77777777" w:rsidR="00147D71" w:rsidRDefault="00147D71" w:rsidP="007D5CAD">
      <w:pPr>
        <w:pStyle w:val="Default"/>
        <w:ind w:left="851" w:right="-2"/>
        <w:rPr>
          <w:lang w:val="da-DK"/>
        </w:rPr>
      </w:pPr>
    </w:p>
    <w:p w14:paraId="5BFF9395" w14:textId="77777777" w:rsidR="00147D71" w:rsidRDefault="00147D71" w:rsidP="007D5CAD">
      <w:pPr>
        <w:pStyle w:val="Default"/>
        <w:ind w:left="851" w:right="-2"/>
        <w:rPr>
          <w:lang w:val="da-DK"/>
        </w:rPr>
      </w:pPr>
      <w:r>
        <w:rPr>
          <w:i/>
          <w:iCs/>
          <w:lang w:val="da-DK"/>
        </w:rPr>
        <w:t>In vitro</w:t>
      </w:r>
      <w:r>
        <w:rPr>
          <w:lang w:val="da-DK"/>
        </w:rPr>
        <w:t>-undersøgelser tyder på, at CYP3A4 primært er ansvarlig for sitagliptins begrænsede metabolisme, og at CYP2C8 medvirker hertil. Hos patienter med normal nyrefunktion spiller metabolisme, inklusive metabolismen via CYP3A4, kun en lille rolle i sitagliptin-clearance. Metabolisme kan derimod spille en mere betydningsfuld rolle ved eliminationen af sitagliptin ved svær nyreinsufficiens eller nyresygdom i slutstadiet (ESRD). Derfor kan potente CYP3A4-hæmmere (dvs. ketoconazol, itraconazol, ritonavir, clarithromycin) muligvis ændre sitagliptins farmakokinetik hos patienter med svær nyreinsufficiens eller ESRD. Virkningen af potente CYP3A4-hæmmere hos patienter med nyreinsufficiens er ikke vurderet i en klinisk undersøgelse.</w:t>
      </w:r>
    </w:p>
    <w:p w14:paraId="76CDB40F" w14:textId="77777777" w:rsidR="00147D71" w:rsidRDefault="00147D71" w:rsidP="007D5CAD">
      <w:pPr>
        <w:pStyle w:val="Default"/>
        <w:ind w:left="851" w:right="-2"/>
        <w:rPr>
          <w:lang w:val="da-DK"/>
        </w:rPr>
      </w:pPr>
    </w:p>
    <w:p w14:paraId="4C81AA18" w14:textId="77777777" w:rsidR="00147D71" w:rsidRDefault="00147D71" w:rsidP="007D5CAD">
      <w:pPr>
        <w:pStyle w:val="Default"/>
        <w:ind w:left="851" w:right="-2"/>
        <w:rPr>
          <w:lang w:val="da-DK"/>
        </w:rPr>
      </w:pPr>
      <w:r>
        <w:rPr>
          <w:i/>
          <w:iCs/>
          <w:lang w:val="da-DK"/>
        </w:rPr>
        <w:t>In vitro</w:t>
      </w:r>
      <w:r>
        <w:rPr>
          <w:lang w:val="da-DK"/>
        </w:rPr>
        <w:t xml:space="preserve">-transportundersøgelser har vist, at sitagliptin er et substrat for p-glykoprotein og organisk aniontransporter-3 (OAT3). OAT3-medieret transport af sitagliptin hæmmes </w:t>
      </w:r>
      <w:r>
        <w:rPr>
          <w:i/>
          <w:iCs/>
          <w:lang w:val="da-DK"/>
        </w:rPr>
        <w:t>in vitro</w:t>
      </w:r>
      <w:r>
        <w:rPr>
          <w:lang w:val="da-DK"/>
        </w:rPr>
        <w:t xml:space="preserve"> af probenecid, selvom risikoen for klinisk relevante interaktioner anses for at være lav. Samtidig administration af OAT3-hæmmere er ikke vurderet </w:t>
      </w:r>
      <w:r>
        <w:rPr>
          <w:i/>
          <w:iCs/>
          <w:lang w:val="da-DK"/>
        </w:rPr>
        <w:t>in vivo</w:t>
      </w:r>
      <w:r>
        <w:rPr>
          <w:lang w:val="da-DK"/>
        </w:rPr>
        <w:t>.</w:t>
      </w:r>
    </w:p>
    <w:p w14:paraId="2567444B" w14:textId="77777777" w:rsidR="00147D71" w:rsidRDefault="00147D71" w:rsidP="007D5CAD">
      <w:pPr>
        <w:pStyle w:val="Default"/>
        <w:ind w:left="851" w:right="-2"/>
        <w:rPr>
          <w:lang w:val="da-DK"/>
        </w:rPr>
      </w:pPr>
    </w:p>
    <w:p w14:paraId="05B3C877" w14:textId="2CA7B4FA" w:rsidR="00147D71" w:rsidRDefault="00147D71" w:rsidP="007D5CAD">
      <w:pPr>
        <w:pStyle w:val="Default"/>
        <w:ind w:left="851" w:right="-2"/>
        <w:rPr>
          <w:lang w:val="da-DK"/>
        </w:rPr>
      </w:pPr>
      <w:r>
        <w:rPr>
          <w:i/>
          <w:iCs/>
          <w:lang w:val="da-DK"/>
        </w:rPr>
        <w:t>Ciclosporin</w:t>
      </w:r>
      <w:r>
        <w:rPr>
          <w:lang w:val="da-DK"/>
        </w:rPr>
        <w:t>: Der er udført en undersøgelse til vurdering af ciclosporins (en potent hæmmer af p-glykoprotein) effekt på sitagliptins farmakokinetik. Samtidig administration af en enkelt oral 100 mg dosis sitagliptin og en enkelt oral 600 mg dosis ciclosporin øgede sitagliptins AUC og C</w:t>
      </w:r>
      <w:r>
        <w:rPr>
          <w:vertAlign w:val="subscript"/>
          <w:lang w:val="da-DK"/>
        </w:rPr>
        <w:t>max</w:t>
      </w:r>
      <w:r>
        <w:rPr>
          <w:lang w:val="da-DK"/>
        </w:rPr>
        <w:t xml:space="preserve"> med henholdsvis ca. 29</w:t>
      </w:r>
      <w:r w:rsidR="00DF7C99">
        <w:rPr>
          <w:lang w:val="da-DK"/>
        </w:rPr>
        <w:t xml:space="preserve"> %</w:t>
      </w:r>
      <w:r>
        <w:rPr>
          <w:lang w:val="da-DK"/>
        </w:rPr>
        <w:t xml:space="preserve"> og 68</w:t>
      </w:r>
      <w:r w:rsidR="00DF7C99">
        <w:rPr>
          <w:lang w:val="da-DK"/>
        </w:rPr>
        <w:t xml:space="preserve"> %</w:t>
      </w:r>
      <w:r>
        <w:rPr>
          <w:lang w:val="da-DK"/>
        </w:rPr>
        <w:t>. Disse ændringer i sitagliptins farmakokinetik blev ikke vurderet til at have klinisk relevans. Sitagliptins renale clearance ændredes ikke betydeligt. Der forventes derfor ingen betydende interaktioner med andre p-glykoproteinhæmmere.</w:t>
      </w:r>
    </w:p>
    <w:p w14:paraId="5D1E4130" w14:textId="77777777" w:rsidR="00147D71" w:rsidRDefault="00147D71" w:rsidP="007D5CAD">
      <w:pPr>
        <w:pStyle w:val="Default"/>
        <w:ind w:left="851" w:right="-2"/>
        <w:rPr>
          <w:lang w:val="da-DK"/>
        </w:rPr>
      </w:pPr>
    </w:p>
    <w:p w14:paraId="6CB7C4F9" w14:textId="77777777" w:rsidR="00147D71" w:rsidRDefault="00147D71" w:rsidP="007D5CAD">
      <w:pPr>
        <w:pStyle w:val="Default"/>
        <w:ind w:left="851" w:right="-2"/>
        <w:rPr>
          <w:u w:val="single"/>
          <w:lang w:val="da-DK"/>
        </w:rPr>
      </w:pPr>
      <w:r>
        <w:rPr>
          <w:u w:val="single"/>
          <w:lang w:val="da-DK"/>
        </w:rPr>
        <w:t>Sitagliptins indvirkning på andre lægemidler</w:t>
      </w:r>
    </w:p>
    <w:p w14:paraId="610C6BEE" w14:textId="16213C81" w:rsidR="00147D71" w:rsidRDefault="00147D71" w:rsidP="007D5CAD">
      <w:pPr>
        <w:pStyle w:val="Default"/>
        <w:ind w:left="851" w:right="-2"/>
        <w:rPr>
          <w:lang w:val="da-DK"/>
        </w:rPr>
      </w:pPr>
      <w:r>
        <w:rPr>
          <w:i/>
          <w:iCs/>
          <w:lang w:val="da-DK"/>
        </w:rPr>
        <w:t>Digoxin</w:t>
      </w:r>
      <w:r>
        <w:rPr>
          <w:lang w:val="da-DK"/>
        </w:rPr>
        <w:t>: Sitagliptin havde en lille effekt på digoxinkoncentrationen i plasma. Efter administration af 0,25 mg digoxin samtidig med 100 mg sitagliptin daglig i 10 dage øgedes plasma AUC for digoxin gennemsnitligt med 11</w:t>
      </w:r>
      <w:r w:rsidR="00DF7C99">
        <w:rPr>
          <w:lang w:val="da-DK"/>
        </w:rPr>
        <w:t xml:space="preserve"> %</w:t>
      </w:r>
      <w:r>
        <w:rPr>
          <w:lang w:val="da-DK"/>
        </w:rPr>
        <w:t xml:space="preserve"> og plasma C</w:t>
      </w:r>
      <w:r>
        <w:rPr>
          <w:vertAlign w:val="subscript"/>
          <w:lang w:val="da-DK"/>
        </w:rPr>
        <w:t>max</w:t>
      </w:r>
      <w:r>
        <w:rPr>
          <w:lang w:val="da-DK"/>
        </w:rPr>
        <w:t xml:space="preserve"> med gennemsnitligt 18</w:t>
      </w:r>
      <w:r w:rsidR="007621EC">
        <w:rPr>
          <w:lang w:val="da-DK"/>
        </w:rPr>
        <w:t> </w:t>
      </w:r>
      <w:r w:rsidR="00DF7C99">
        <w:rPr>
          <w:lang w:val="da-DK"/>
        </w:rPr>
        <w:t>%</w:t>
      </w:r>
      <w:r>
        <w:rPr>
          <w:lang w:val="da-DK"/>
        </w:rPr>
        <w:t>. Der anbefales ingen dosisjustering af digoxin. Patienter, der har risiko for digoxinforgiftning, bør dog monitoreres for dette, når sitagliptin og digoxin administreres samtidigt.</w:t>
      </w:r>
    </w:p>
    <w:p w14:paraId="349583D2" w14:textId="77777777" w:rsidR="00147D71" w:rsidRDefault="00147D71" w:rsidP="007D5CAD">
      <w:pPr>
        <w:pStyle w:val="Default"/>
        <w:ind w:left="851" w:right="-2"/>
        <w:rPr>
          <w:lang w:val="da-DK"/>
        </w:rPr>
      </w:pPr>
    </w:p>
    <w:p w14:paraId="66EEDA84" w14:textId="77777777" w:rsidR="00147D71" w:rsidRDefault="00147D71" w:rsidP="007D5CAD">
      <w:pPr>
        <w:pStyle w:val="Default"/>
        <w:ind w:left="851" w:right="-2"/>
        <w:rPr>
          <w:lang w:val="da-DK"/>
        </w:rPr>
      </w:pPr>
      <w:r>
        <w:rPr>
          <w:i/>
          <w:iCs/>
          <w:lang w:val="da-DK"/>
        </w:rPr>
        <w:t>In vitro</w:t>
      </w:r>
      <w:r>
        <w:rPr>
          <w:lang w:val="da-DK"/>
        </w:rPr>
        <w:t xml:space="preserve">-data tyder på, at sitagliptin hverken hæmmer eller inducerer CYP450-isoenzymer. I kliniske undersøgelser ændrede sitagliptin ikke farmakokinetikken for metformin, glyburid, simvastatin, rosiglitazon, warfarin eller orale kontraceptiva betydeligt. Dette giver </w:t>
      </w:r>
      <w:r>
        <w:rPr>
          <w:i/>
          <w:iCs/>
          <w:lang w:val="da-DK"/>
        </w:rPr>
        <w:t>in vivo</w:t>
      </w:r>
      <w:r>
        <w:rPr>
          <w:lang w:val="da-DK"/>
        </w:rPr>
        <w:t xml:space="preserve"> evidens for lav tilbøjelighed til at forårsage interaktion med substrater for CYP3A4, CYP2C8, CYP2C9 og organisk kationtransportør (OCT). Sitagliptin kan være en svag hæmmer af p-glykoprotein </w:t>
      </w:r>
      <w:r>
        <w:rPr>
          <w:i/>
          <w:iCs/>
          <w:lang w:val="da-DK"/>
        </w:rPr>
        <w:t>in vivo</w:t>
      </w:r>
      <w:r>
        <w:rPr>
          <w:lang w:val="da-DK"/>
        </w:rPr>
        <w:t>.</w:t>
      </w:r>
    </w:p>
    <w:p w14:paraId="128541D2" w14:textId="77777777" w:rsidR="009260DE" w:rsidRPr="00C84483" w:rsidRDefault="009260DE" w:rsidP="009260DE">
      <w:pPr>
        <w:tabs>
          <w:tab w:val="left" w:pos="851"/>
        </w:tabs>
        <w:ind w:left="851"/>
        <w:rPr>
          <w:sz w:val="24"/>
          <w:szCs w:val="24"/>
        </w:rPr>
      </w:pPr>
    </w:p>
    <w:p w14:paraId="1D3ABF54" w14:textId="794DFD73"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A64350">
        <w:rPr>
          <w:b/>
          <w:sz w:val="24"/>
          <w:szCs w:val="24"/>
        </w:rPr>
        <w:t>Fertilitet, g</w:t>
      </w:r>
      <w:r w:rsidRPr="00C84483">
        <w:rPr>
          <w:b/>
          <w:sz w:val="24"/>
          <w:szCs w:val="24"/>
        </w:rPr>
        <w:t>raviditet og amning</w:t>
      </w:r>
    </w:p>
    <w:p w14:paraId="1A21E4A8" w14:textId="77777777" w:rsidR="00B46AEA" w:rsidRDefault="00B46AEA" w:rsidP="007D5CAD">
      <w:pPr>
        <w:pStyle w:val="Default"/>
        <w:ind w:left="851" w:right="-2"/>
        <w:rPr>
          <w:u w:val="single"/>
          <w:lang w:val="da-DK"/>
        </w:rPr>
      </w:pPr>
    </w:p>
    <w:p w14:paraId="2EED82CE" w14:textId="798FBBBB" w:rsidR="00147D71" w:rsidRDefault="00147D71" w:rsidP="007D5CAD">
      <w:pPr>
        <w:pStyle w:val="Default"/>
        <w:ind w:left="851" w:right="-2"/>
        <w:rPr>
          <w:u w:val="single"/>
          <w:lang w:val="da-DK"/>
        </w:rPr>
      </w:pPr>
      <w:r>
        <w:rPr>
          <w:u w:val="single"/>
          <w:lang w:val="da-DK"/>
        </w:rPr>
        <w:t>Graviditet</w:t>
      </w:r>
    </w:p>
    <w:p w14:paraId="68BFF5AC" w14:textId="77777777" w:rsidR="00147D71" w:rsidRDefault="00147D71" w:rsidP="007D5CAD">
      <w:pPr>
        <w:pStyle w:val="Default"/>
        <w:ind w:left="851" w:right="-2"/>
        <w:rPr>
          <w:lang w:val="da-DK"/>
        </w:rPr>
      </w:pPr>
      <w:r>
        <w:rPr>
          <w:lang w:val="da-DK"/>
        </w:rPr>
        <w:t>Der er utilstrækkelig dokumentation fra anvendelse af sitagliptin til gravide. Dyreforsøg har påvist reproduktionstoksicitet ved høje doser (se pkt. 5.3).</w:t>
      </w:r>
    </w:p>
    <w:p w14:paraId="2740A359" w14:textId="77777777" w:rsidR="00147D71" w:rsidRDefault="00147D71" w:rsidP="007D5CAD">
      <w:pPr>
        <w:pStyle w:val="Default"/>
        <w:ind w:left="851" w:right="-2"/>
        <w:rPr>
          <w:lang w:val="da-DK"/>
        </w:rPr>
      </w:pPr>
    </w:p>
    <w:p w14:paraId="75C75B54" w14:textId="77777777" w:rsidR="00147D71" w:rsidRDefault="00147D71" w:rsidP="007D5CAD">
      <w:pPr>
        <w:pStyle w:val="Default"/>
        <w:ind w:left="851" w:right="-2"/>
        <w:rPr>
          <w:lang w:val="da-DK"/>
        </w:rPr>
      </w:pPr>
      <w:r>
        <w:rPr>
          <w:lang w:val="da-DK"/>
        </w:rPr>
        <w:t>En begrænset mængde data antyder, at anvendelse af metformin til gravide kvinder ikke er forbundet med øget risiko for medfødte misdannelser. Dyreforsøg med metformin viser ikke skadelige virkninger for graviditet, embryoets eller fostrets udvikling, fødslen eller den postnatale udvikling (se pkt. 5.3).</w:t>
      </w:r>
    </w:p>
    <w:p w14:paraId="7C07A916" w14:textId="77777777" w:rsidR="00147D71" w:rsidRDefault="00147D71" w:rsidP="007D5CAD">
      <w:pPr>
        <w:pStyle w:val="Default"/>
        <w:ind w:left="851" w:right="-2"/>
        <w:rPr>
          <w:lang w:val="da-DK"/>
        </w:rPr>
      </w:pPr>
    </w:p>
    <w:p w14:paraId="4CEEAFB2" w14:textId="7D067006" w:rsidR="00147D71" w:rsidRDefault="001A122E" w:rsidP="007D5CAD">
      <w:pPr>
        <w:pStyle w:val="Default"/>
        <w:ind w:left="851" w:right="-2"/>
        <w:rPr>
          <w:lang w:val="da-DK"/>
        </w:rPr>
      </w:pPr>
      <w:r>
        <w:rPr>
          <w:lang w:val="da-DK"/>
        </w:rPr>
        <w:t>Sitagliptin/Metformin "Grindeks"</w:t>
      </w:r>
      <w:r w:rsidR="00147D71">
        <w:rPr>
          <w:lang w:val="da-DK"/>
        </w:rPr>
        <w:t xml:space="preserve"> bør ikke anvendes under graviditet. Hvis en patient ønsker at blive gravid eller bliver gravid, bør behandlingen seponeres, og patienten bør skifte til insulinbehandling så snart som muligt.</w:t>
      </w:r>
    </w:p>
    <w:p w14:paraId="7BD71F7E" w14:textId="77777777" w:rsidR="00147D71" w:rsidRDefault="00147D71" w:rsidP="007D5CAD">
      <w:pPr>
        <w:pStyle w:val="Default"/>
        <w:ind w:left="851" w:right="-2"/>
        <w:rPr>
          <w:lang w:val="da-DK"/>
        </w:rPr>
      </w:pPr>
    </w:p>
    <w:p w14:paraId="06E03131" w14:textId="77777777" w:rsidR="00147D71" w:rsidRDefault="00147D71" w:rsidP="007D5CAD">
      <w:pPr>
        <w:pStyle w:val="Default"/>
        <w:ind w:left="851" w:right="-2"/>
        <w:rPr>
          <w:u w:val="single"/>
          <w:lang w:val="da-DK"/>
        </w:rPr>
      </w:pPr>
      <w:r>
        <w:rPr>
          <w:u w:val="single"/>
          <w:lang w:val="da-DK"/>
        </w:rPr>
        <w:t>Amning</w:t>
      </w:r>
    </w:p>
    <w:p w14:paraId="61CBE78F" w14:textId="77387FBB" w:rsidR="00147D71" w:rsidRDefault="00147D71" w:rsidP="007D5CAD">
      <w:pPr>
        <w:pStyle w:val="Default"/>
        <w:ind w:left="851" w:right="-2"/>
        <w:rPr>
          <w:lang w:val="da-DK"/>
        </w:rPr>
      </w:pPr>
      <w:r>
        <w:rPr>
          <w:lang w:val="da-DK"/>
        </w:rPr>
        <w:t xml:space="preserve">Der er ikke udført undersøgelser på diegivende dyr med de kombinerede aktive stoffer i dette lægemiddel. I undersøgelser med de individuelle aktive stoffer udskilles både sitagliptin og metformin i mælken hos diegivende rotter. Metformin udskilles i små mængder i human mælk. Det er ukendt, om sitagliptin udskilles i human mælk. </w:t>
      </w:r>
      <w:r w:rsidR="001A122E">
        <w:rPr>
          <w:lang w:val="da-DK"/>
        </w:rPr>
        <w:t>Sitagliptin/Metformin "Grindeks"</w:t>
      </w:r>
      <w:r>
        <w:rPr>
          <w:lang w:val="da-DK"/>
        </w:rPr>
        <w:t xml:space="preserve"> må derfor ikke anvendes til kvinder, der ammer (se pkt. 4.3).</w:t>
      </w:r>
    </w:p>
    <w:p w14:paraId="667F5315" w14:textId="77777777" w:rsidR="00147D71" w:rsidRDefault="00147D71" w:rsidP="007D5CAD">
      <w:pPr>
        <w:pStyle w:val="Default"/>
        <w:ind w:left="851" w:right="-2"/>
        <w:rPr>
          <w:lang w:val="da-DK"/>
        </w:rPr>
      </w:pPr>
    </w:p>
    <w:p w14:paraId="3DA32951" w14:textId="77777777" w:rsidR="00147D71" w:rsidRDefault="00147D71" w:rsidP="007D5CAD">
      <w:pPr>
        <w:pStyle w:val="Default"/>
        <w:ind w:left="851" w:right="-2"/>
        <w:rPr>
          <w:u w:val="single"/>
          <w:lang w:val="da-DK"/>
        </w:rPr>
      </w:pPr>
      <w:r>
        <w:rPr>
          <w:u w:val="single"/>
          <w:lang w:val="da-DK"/>
        </w:rPr>
        <w:t>Fertilitet</w:t>
      </w:r>
    </w:p>
    <w:p w14:paraId="3774D65A" w14:textId="77777777" w:rsidR="00147D71" w:rsidRDefault="00147D71" w:rsidP="007D5CAD">
      <w:pPr>
        <w:pStyle w:val="Default"/>
        <w:ind w:left="851" w:right="-2"/>
        <w:rPr>
          <w:lang w:val="da-DK"/>
        </w:rPr>
      </w:pPr>
      <w:r>
        <w:rPr>
          <w:lang w:val="da-DK"/>
        </w:rPr>
        <w:t>Data fra dyreforsøg viser ingen virkning af sitagliptinbehandling på fertiliteten hos hanner og hunner. Der findes ikke humane data.</w:t>
      </w:r>
    </w:p>
    <w:p w14:paraId="06C8C48B" w14:textId="77777777" w:rsidR="009260DE" w:rsidRPr="00C84483" w:rsidRDefault="009260DE" w:rsidP="009260DE">
      <w:pPr>
        <w:tabs>
          <w:tab w:val="left" w:pos="851"/>
        </w:tabs>
        <w:ind w:left="851"/>
        <w:rPr>
          <w:sz w:val="24"/>
          <w:szCs w:val="24"/>
        </w:rPr>
      </w:pPr>
    </w:p>
    <w:p w14:paraId="5F28CDF4" w14:textId="7F0B169F"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A64350">
        <w:rPr>
          <w:b/>
          <w:sz w:val="24"/>
          <w:szCs w:val="24"/>
        </w:rPr>
        <w:t>og</w:t>
      </w:r>
      <w:r w:rsidRPr="00C84483">
        <w:rPr>
          <w:b/>
          <w:sz w:val="24"/>
          <w:szCs w:val="24"/>
        </w:rPr>
        <w:t xml:space="preserve"> betjene maskiner</w:t>
      </w:r>
    </w:p>
    <w:p w14:paraId="29D65CC1" w14:textId="77777777" w:rsidR="00147D71" w:rsidRDefault="00147D71" w:rsidP="007D5CAD">
      <w:pPr>
        <w:pStyle w:val="Default"/>
        <w:ind w:left="851" w:right="-2"/>
        <w:rPr>
          <w:lang w:val="da-DK"/>
        </w:rPr>
      </w:pPr>
      <w:r>
        <w:rPr>
          <w:lang w:val="da-DK"/>
        </w:rPr>
        <w:t>Ikke mærkning.</w:t>
      </w:r>
    </w:p>
    <w:p w14:paraId="1FB111E3" w14:textId="21B6F891" w:rsidR="00147D71" w:rsidRDefault="001A122E" w:rsidP="007D5CAD">
      <w:pPr>
        <w:pStyle w:val="Default"/>
        <w:ind w:left="851" w:right="-2"/>
        <w:rPr>
          <w:lang w:val="da-DK"/>
        </w:rPr>
      </w:pPr>
      <w:r>
        <w:rPr>
          <w:lang w:val="da-DK"/>
        </w:rPr>
        <w:t>Sitagliptin/Metformin "Grindeks"</w:t>
      </w:r>
      <w:r w:rsidR="00147D71">
        <w:rPr>
          <w:lang w:val="da-DK"/>
        </w:rPr>
        <w:t xml:space="preserve"> påvirker ikke eller kun i ubetydelig grad evnen til at føre motorkøretøj og betjene maskiner. Hvis der skal føres motorkøretøj eller betjenes maskiner bør der dog tages hensyn til, at svimmelhed og søvnighed er rapporteret med sitagliptin.</w:t>
      </w:r>
    </w:p>
    <w:p w14:paraId="6707E6A9" w14:textId="77777777" w:rsidR="00147D71" w:rsidRDefault="00147D71" w:rsidP="007D5CAD">
      <w:pPr>
        <w:pStyle w:val="Default"/>
        <w:ind w:left="851" w:right="-2"/>
        <w:rPr>
          <w:lang w:val="da-DK"/>
        </w:rPr>
      </w:pPr>
    </w:p>
    <w:p w14:paraId="3528E040" w14:textId="2CF6464F" w:rsidR="00147D71" w:rsidRDefault="00147D71" w:rsidP="007D5CAD">
      <w:pPr>
        <w:pStyle w:val="Default"/>
        <w:ind w:left="851" w:right="-2"/>
        <w:rPr>
          <w:lang w:val="da-DK"/>
        </w:rPr>
      </w:pPr>
      <w:r>
        <w:rPr>
          <w:lang w:val="da-DK"/>
        </w:rPr>
        <w:t xml:space="preserve">Desuden bør patienter advares om risikoen for hypoglykæmi, når </w:t>
      </w:r>
      <w:r w:rsidR="001A122E">
        <w:rPr>
          <w:lang w:val="da-DK"/>
        </w:rPr>
        <w:t>Sitagliptin/Metformin "Grindeks"</w:t>
      </w:r>
      <w:r>
        <w:rPr>
          <w:lang w:val="da-DK"/>
        </w:rPr>
        <w:t xml:space="preserve"> anvendes sammen med et sulfonylurinstof eller sammen med insulin.</w:t>
      </w:r>
    </w:p>
    <w:p w14:paraId="1D613E24" w14:textId="77777777" w:rsidR="009260DE" w:rsidRPr="00C84483" w:rsidRDefault="009260DE" w:rsidP="009260DE">
      <w:pPr>
        <w:tabs>
          <w:tab w:val="left" w:pos="851"/>
        </w:tabs>
        <w:ind w:left="851"/>
        <w:rPr>
          <w:sz w:val="24"/>
          <w:szCs w:val="24"/>
        </w:rPr>
      </w:pPr>
    </w:p>
    <w:p w14:paraId="3699A021"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563596E" w14:textId="77777777" w:rsidR="00D45E98" w:rsidRDefault="00D45E98" w:rsidP="00D45E98">
      <w:pPr>
        <w:pStyle w:val="Default"/>
        <w:ind w:left="851" w:right="-2"/>
        <w:rPr>
          <w:u w:val="single"/>
          <w:lang w:val="da-DK"/>
        </w:rPr>
      </w:pPr>
      <w:r>
        <w:rPr>
          <w:u w:val="single"/>
          <w:lang w:val="da-DK"/>
        </w:rPr>
        <w:t>Opsummering af sikkerhedsprofilen</w:t>
      </w:r>
    </w:p>
    <w:p w14:paraId="1F6A8E08" w14:textId="77777777" w:rsidR="00D45E98" w:rsidRDefault="00D45E98" w:rsidP="00D45E98">
      <w:pPr>
        <w:pStyle w:val="Default"/>
        <w:ind w:left="851" w:right="-2"/>
        <w:rPr>
          <w:lang w:val="da-DK"/>
        </w:rPr>
      </w:pPr>
      <w:r>
        <w:rPr>
          <w:lang w:val="da-DK"/>
        </w:rPr>
        <w:t xml:space="preserve">Der er ikke udført behandlingsmæssige kliniske </w:t>
      </w:r>
      <w:r w:rsidRPr="00843468">
        <w:rPr>
          <w:lang w:val="da-DK"/>
        </w:rPr>
        <w:t>studier</w:t>
      </w:r>
      <w:r>
        <w:rPr>
          <w:lang w:val="da-DK"/>
        </w:rPr>
        <w:t xml:space="preserve"> med Sitagliptin/Metformin "Grindeks" filmovertrukne tabletter, men der er påvist bioækvivalens med det de aktive stoffer (se pkt. 5.2). Alvorlige bivirkninger herunder pankreatitis og overfølsomheds</w:t>
      </w:r>
      <w:r>
        <w:rPr>
          <w:lang w:val="da-DK"/>
        </w:rPr>
        <w:softHyphen/>
        <w:t>reaktioner er rapporteret. Der er blevet rapporteret om hypoglykæmi i kombination med sulfonylurinstof (13,8 %) og insulin (10,9 %).</w:t>
      </w:r>
    </w:p>
    <w:p w14:paraId="55D77DCE" w14:textId="77777777" w:rsidR="00D45E98" w:rsidRDefault="00D45E98" w:rsidP="00D45E98">
      <w:pPr>
        <w:pStyle w:val="Default"/>
        <w:ind w:left="851" w:right="-2"/>
        <w:rPr>
          <w:lang w:val="da-DK"/>
        </w:rPr>
      </w:pPr>
    </w:p>
    <w:p w14:paraId="47022AD1" w14:textId="77777777" w:rsidR="00D45E98" w:rsidRPr="00FC0C13" w:rsidRDefault="00D45E98" w:rsidP="00D45E98">
      <w:pPr>
        <w:pStyle w:val="Default"/>
        <w:ind w:left="851" w:right="-2"/>
        <w:rPr>
          <w:u w:val="single"/>
          <w:lang w:val="da-DK"/>
        </w:rPr>
      </w:pPr>
      <w:r w:rsidRPr="00FC0C13">
        <w:rPr>
          <w:u w:val="single"/>
          <w:lang w:val="da-DK"/>
        </w:rPr>
        <w:t>Bivirkningstabel</w:t>
      </w:r>
    </w:p>
    <w:p w14:paraId="39316BBE" w14:textId="77777777" w:rsidR="00D45E98" w:rsidRPr="00FC0C13" w:rsidRDefault="00D45E98" w:rsidP="00D45E98">
      <w:pPr>
        <w:pStyle w:val="Default"/>
        <w:ind w:left="851" w:right="-2"/>
        <w:rPr>
          <w:i/>
          <w:iCs/>
          <w:lang w:val="da-DK"/>
        </w:rPr>
      </w:pPr>
      <w:r w:rsidRPr="00FC0C13">
        <w:rPr>
          <w:i/>
          <w:iCs/>
          <w:lang w:val="da-DK"/>
        </w:rPr>
        <w:t>Sitagliptin og metformin</w:t>
      </w:r>
    </w:p>
    <w:p w14:paraId="37FF2D5E" w14:textId="77777777" w:rsidR="00D45E98" w:rsidRDefault="00D45E98" w:rsidP="00D45E98">
      <w:pPr>
        <w:pStyle w:val="Default"/>
        <w:ind w:left="851" w:right="-2"/>
        <w:rPr>
          <w:lang w:val="da-DK"/>
        </w:rPr>
      </w:pPr>
      <w:r>
        <w:rPr>
          <w:lang w:val="da-DK"/>
        </w:rPr>
        <w:t xml:space="preserve">Bivirkningerne ses nedenfor som MedDRA-termer inddelt i systemorganklasse og absolut frekvens (Tabel 1). Frekvenserne defineres som: Meget almindelig </w:t>
      </w:r>
      <w:r>
        <w:rPr>
          <w:rFonts w:eastAsia="TimesNewRoman"/>
          <w:lang w:val="da-DK" w:eastAsia="lv-LV"/>
        </w:rPr>
        <w:t>(≥ 1/10</w:t>
      </w:r>
      <w:r>
        <w:rPr>
          <w:lang w:val="da-DK"/>
        </w:rPr>
        <w:t xml:space="preserve">); almindelig </w:t>
      </w:r>
      <w:r>
        <w:rPr>
          <w:rFonts w:eastAsia="TimesNewRoman"/>
          <w:lang w:val="da-DK" w:eastAsia="lv-LV"/>
        </w:rPr>
        <w:t xml:space="preserve">(≥ 1/100 </w:t>
      </w:r>
      <w:r>
        <w:rPr>
          <w:lang w:val="da-DK"/>
        </w:rPr>
        <w:t xml:space="preserve">til </w:t>
      </w:r>
      <w:r>
        <w:rPr>
          <w:rFonts w:eastAsia="TimesNewRoman"/>
          <w:lang w:val="da-DK" w:eastAsia="lv-LV"/>
        </w:rPr>
        <w:t>&lt; 1/10</w:t>
      </w:r>
      <w:r>
        <w:rPr>
          <w:lang w:val="da-DK"/>
        </w:rPr>
        <w:t xml:space="preserve">); ikke almindelig </w:t>
      </w:r>
      <w:r>
        <w:rPr>
          <w:rFonts w:eastAsia="TimesNewRoman"/>
          <w:lang w:val="da-DK" w:eastAsia="lv-LV"/>
        </w:rPr>
        <w:t>(≥ 1/1</w:t>
      </w:r>
      <w:r>
        <w:rPr>
          <w:lang w:val="da-DK"/>
        </w:rPr>
        <w:t xml:space="preserve">.000 til &lt; 1/100); sjælden </w:t>
      </w:r>
      <w:r>
        <w:rPr>
          <w:rFonts w:eastAsia="TimesNewRoman"/>
          <w:lang w:val="da-DK" w:eastAsia="lv-LV"/>
        </w:rPr>
        <w:t>(≥ 1/10</w:t>
      </w:r>
      <w:r>
        <w:rPr>
          <w:lang w:val="da-DK"/>
        </w:rPr>
        <w:t>.000 til &lt; 1/1.000); meget sjælden (&lt; 1/10.000) og ikke kendt (kan ikke estimeres ud fra forhåndenværende data).</w:t>
      </w:r>
    </w:p>
    <w:p w14:paraId="5C823589" w14:textId="77777777" w:rsidR="00147D71" w:rsidRDefault="00147D71" w:rsidP="007D5CAD">
      <w:pPr>
        <w:pStyle w:val="Default"/>
        <w:ind w:left="851" w:right="-2"/>
        <w:rPr>
          <w:lang w:val="da-DK"/>
        </w:rPr>
      </w:pPr>
    </w:p>
    <w:p w14:paraId="0A4CBDD0" w14:textId="77777777" w:rsidR="00147D71" w:rsidRDefault="00147D71" w:rsidP="007D5CAD">
      <w:pPr>
        <w:pStyle w:val="Default"/>
        <w:ind w:left="851" w:right="-2"/>
        <w:rPr>
          <w:b/>
          <w:bCs/>
          <w:lang w:val="da-DK"/>
        </w:rPr>
      </w:pPr>
      <w:r>
        <w:rPr>
          <w:b/>
          <w:bCs/>
          <w:lang w:val="da-DK"/>
        </w:rPr>
        <w:t>Tabel 1: Bivirkningsfrekvens identificeret i placebokontrollerede kliniske undersøgelser med sitagliptin og metformin-monoterapi og efter markedsføring</w:t>
      </w:r>
    </w:p>
    <w:p w14:paraId="3D1A7D66" w14:textId="77777777" w:rsidR="00147D71" w:rsidRDefault="00147D71" w:rsidP="00147D71">
      <w:pPr>
        <w:pStyle w:val="Default"/>
        <w:ind w:right="-2"/>
        <w:rPr>
          <w:lang w:val="da-DK"/>
        </w:rPr>
      </w:pPr>
    </w:p>
    <w:tbl>
      <w:tblPr>
        <w:tblW w:w="907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0"/>
        <w:gridCol w:w="3875"/>
      </w:tblGrid>
      <w:tr w:rsidR="00147D71" w14:paraId="05E33702"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3C498BAB" w14:textId="77777777" w:rsidR="00147D71" w:rsidRDefault="00147D71" w:rsidP="000B2650">
            <w:pPr>
              <w:pStyle w:val="Default"/>
              <w:ind w:left="141" w:right="-2"/>
              <w:rPr>
                <w:b/>
                <w:bCs/>
                <w:lang w:val="da-DK"/>
              </w:rPr>
            </w:pPr>
            <w:r>
              <w:rPr>
                <w:b/>
                <w:bCs/>
                <w:lang w:val="da-DK"/>
              </w:rPr>
              <w:t>Bivirkning</w:t>
            </w:r>
          </w:p>
        </w:tc>
        <w:tc>
          <w:tcPr>
            <w:tcW w:w="3875" w:type="dxa"/>
            <w:tcBorders>
              <w:top w:val="single" w:sz="4" w:space="0" w:color="000000"/>
              <w:left w:val="single" w:sz="4" w:space="0" w:color="000000"/>
              <w:bottom w:val="single" w:sz="4" w:space="0" w:color="000000"/>
              <w:right w:val="single" w:sz="4" w:space="0" w:color="000000"/>
            </w:tcBorders>
            <w:hideMark/>
          </w:tcPr>
          <w:p w14:paraId="6C800240" w14:textId="77777777" w:rsidR="00147D71" w:rsidRDefault="00147D71" w:rsidP="000B2650">
            <w:pPr>
              <w:pStyle w:val="Default"/>
              <w:ind w:left="141" w:right="-2"/>
              <w:jc w:val="center"/>
              <w:rPr>
                <w:b/>
                <w:bCs/>
                <w:lang w:val="da-DK"/>
              </w:rPr>
            </w:pPr>
            <w:r>
              <w:rPr>
                <w:b/>
                <w:bCs/>
                <w:lang w:val="da-DK"/>
              </w:rPr>
              <w:t>Bivirkningsfrekvens</w:t>
            </w:r>
          </w:p>
        </w:tc>
      </w:tr>
      <w:tr w:rsidR="00147D71" w14:paraId="6E2EAF38"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tcPr>
          <w:p w14:paraId="78C1EE9C" w14:textId="77777777" w:rsidR="00147D71" w:rsidRDefault="00147D71" w:rsidP="000B2650">
            <w:pPr>
              <w:pStyle w:val="Default"/>
              <w:ind w:left="141" w:right="-2"/>
              <w:rPr>
                <w:lang w:val="da-DK"/>
              </w:rPr>
            </w:pPr>
          </w:p>
        </w:tc>
        <w:tc>
          <w:tcPr>
            <w:tcW w:w="3875" w:type="dxa"/>
            <w:tcBorders>
              <w:top w:val="single" w:sz="4" w:space="0" w:color="000000"/>
              <w:left w:val="single" w:sz="4" w:space="0" w:color="000000"/>
              <w:bottom w:val="single" w:sz="4" w:space="0" w:color="000000"/>
              <w:right w:val="single" w:sz="4" w:space="0" w:color="000000"/>
            </w:tcBorders>
          </w:tcPr>
          <w:p w14:paraId="42EBE14A" w14:textId="77777777" w:rsidR="00147D71" w:rsidRDefault="00147D71" w:rsidP="000B2650">
            <w:pPr>
              <w:pStyle w:val="Default"/>
              <w:ind w:left="141" w:right="-2"/>
              <w:jc w:val="center"/>
              <w:rPr>
                <w:b/>
                <w:bCs/>
                <w:lang w:val="da-DK"/>
              </w:rPr>
            </w:pPr>
          </w:p>
        </w:tc>
      </w:tr>
      <w:tr w:rsidR="00147D71" w14:paraId="2643CE18" w14:textId="77777777" w:rsidTr="007D5CAD">
        <w:trPr>
          <w:trHeight w:val="258"/>
        </w:trPr>
        <w:tc>
          <w:tcPr>
            <w:tcW w:w="9075" w:type="dxa"/>
            <w:gridSpan w:val="2"/>
            <w:tcBorders>
              <w:top w:val="single" w:sz="4" w:space="0" w:color="000000"/>
              <w:left w:val="single" w:sz="4" w:space="0" w:color="000000"/>
              <w:bottom w:val="single" w:sz="4" w:space="0" w:color="000000"/>
              <w:right w:val="single" w:sz="4" w:space="0" w:color="000000"/>
            </w:tcBorders>
            <w:hideMark/>
          </w:tcPr>
          <w:p w14:paraId="1004E14C" w14:textId="77777777" w:rsidR="00147D71" w:rsidRDefault="00147D71" w:rsidP="000B2650">
            <w:pPr>
              <w:pStyle w:val="Default"/>
              <w:ind w:left="141" w:right="-2"/>
              <w:rPr>
                <w:b/>
                <w:bCs/>
                <w:lang w:val="da-DK"/>
              </w:rPr>
            </w:pPr>
            <w:r>
              <w:rPr>
                <w:b/>
                <w:bCs/>
                <w:lang w:val="da-DK"/>
              </w:rPr>
              <w:t>Blod og lymfesystem</w:t>
            </w:r>
          </w:p>
        </w:tc>
      </w:tr>
      <w:tr w:rsidR="00147D71" w14:paraId="617A7FCF"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12462C03" w14:textId="77777777" w:rsidR="00147D71" w:rsidRDefault="00147D71" w:rsidP="000B2650">
            <w:pPr>
              <w:pStyle w:val="Default"/>
              <w:ind w:left="141" w:right="-2"/>
              <w:rPr>
                <w:lang w:val="da-DK"/>
              </w:rPr>
            </w:pPr>
            <w:r>
              <w:rPr>
                <w:lang w:val="da-DK"/>
              </w:rPr>
              <w:t>Trombocytopeni</w:t>
            </w:r>
          </w:p>
        </w:tc>
        <w:tc>
          <w:tcPr>
            <w:tcW w:w="3875" w:type="dxa"/>
            <w:tcBorders>
              <w:top w:val="single" w:sz="4" w:space="0" w:color="000000"/>
              <w:left w:val="single" w:sz="4" w:space="0" w:color="000000"/>
              <w:bottom w:val="single" w:sz="4" w:space="0" w:color="000000"/>
              <w:right w:val="single" w:sz="4" w:space="0" w:color="000000"/>
            </w:tcBorders>
            <w:hideMark/>
          </w:tcPr>
          <w:p w14:paraId="291338E5" w14:textId="77777777" w:rsidR="00147D71" w:rsidRDefault="00147D71" w:rsidP="000B2650">
            <w:pPr>
              <w:pStyle w:val="Default"/>
              <w:ind w:left="141" w:right="-2"/>
              <w:jc w:val="center"/>
              <w:rPr>
                <w:lang w:val="da-DK"/>
              </w:rPr>
            </w:pPr>
            <w:r>
              <w:rPr>
                <w:lang w:val="da-DK"/>
              </w:rPr>
              <w:t>Sjælden</w:t>
            </w:r>
          </w:p>
        </w:tc>
      </w:tr>
      <w:tr w:rsidR="00147D71" w14:paraId="36E68CDC" w14:textId="77777777" w:rsidTr="007D5CAD">
        <w:trPr>
          <w:trHeight w:val="258"/>
        </w:trPr>
        <w:tc>
          <w:tcPr>
            <w:tcW w:w="9075" w:type="dxa"/>
            <w:gridSpan w:val="2"/>
            <w:tcBorders>
              <w:top w:val="single" w:sz="4" w:space="0" w:color="000000"/>
              <w:left w:val="single" w:sz="4" w:space="0" w:color="000000"/>
              <w:bottom w:val="single" w:sz="4" w:space="0" w:color="000000"/>
              <w:right w:val="single" w:sz="4" w:space="0" w:color="000000"/>
            </w:tcBorders>
          </w:tcPr>
          <w:p w14:paraId="33860124" w14:textId="77777777" w:rsidR="00147D71" w:rsidRDefault="00147D71" w:rsidP="000B2650">
            <w:pPr>
              <w:pStyle w:val="Default"/>
              <w:ind w:left="141" w:right="-2"/>
              <w:rPr>
                <w:lang w:val="da-DK"/>
              </w:rPr>
            </w:pPr>
          </w:p>
        </w:tc>
      </w:tr>
      <w:tr w:rsidR="00147D71" w14:paraId="0243E670"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45B6920A" w14:textId="77777777" w:rsidR="00147D71" w:rsidRDefault="00147D71" w:rsidP="000B2650">
            <w:pPr>
              <w:pStyle w:val="Default"/>
              <w:ind w:left="141" w:right="-2"/>
              <w:rPr>
                <w:b/>
                <w:bCs/>
                <w:lang w:val="da-DK"/>
              </w:rPr>
            </w:pPr>
            <w:r>
              <w:rPr>
                <w:b/>
                <w:bCs/>
                <w:lang w:val="da-DK"/>
              </w:rPr>
              <w:t>Immunsystemet</w:t>
            </w:r>
          </w:p>
        </w:tc>
        <w:tc>
          <w:tcPr>
            <w:tcW w:w="3875" w:type="dxa"/>
            <w:tcBorders>
              <w:top w:val="single" w:sz="4" w:space="0" w:color="000000"/>
              <w:left w:val="single" w:sz="4" w:space="0" w:color="000000"/>
              <w:bottom w:val="single" w:sz="4" w:space="0" w:color="000000"/>
              <w:right w:val="single" w:sz="4" w:space="0" w:color="000000"/>
            </w:tcBorders>
          </w:tcPr>
          <w:p w14:paraId="080D535E" w14:textId="77777777" w:rsidR="00147D71" w:rsidRDefault="00147D71" w:rsidP="000B2650">
            <w:pPr>
              <w:pStyle w:val="Default"/>
              <w:ind w:left="141" w:right="-2"/>
              <w:rPr>
                <w:lang w:val="da-DK"/>
              </w:rPr>
            </w:pPr>
          </w:p>
        </w:tc>
      </w:tr>
      <w:tr w:rsidR="00147D71" w14:paraId="08D36A27" w14:textId="77777777" w:rsidTr="007D5CAD">
        <w:trPr>
          <w:trHeight w:val="517"/>
        </w:trPr>
        <w:tc>
          <w:tcPr>
            <w:tcW w:w="5200" w:type="dxa"/>
            <w:tcBorders>
              <w:top w:val="single" w:sz="4" w:space="0" w:color="000000"/>
              <w:left w:val="single" w:sz="4" w:space="0" w:color="000000"/>
              <w:bottom w:val="single" w:sz="4" w:space="0" w:color="000000"/>
              <w:right w:val="single" w:sz="4" w:space="0" w:color="000000"/>
            </w:tcBorders>
            <w:hideMark/>
          </w:tcPr>
          <w:p w14:paraId="01EC0D64" w14:textId="77777777" w:rsidR="00147D71" w:rsidRDefault="00147D71" w:rsidP="000B2650">
            <w:pPr>
              <w:pStyle w:val="Default"/>
              <w:ind w:left="141" w:right="-2"/>
              <w:rPr>
                <w:lang w:val="da-DK"/>
              </w:rPr>
            </w:pPr>
            <w:r>
              <w:rPr>
                <w:lang w:val="da-DK"/>
              </w:rPr>
              <w:t>Overfølsomhedsreaktioner herunder anafylaktiske reaktioner</w:t>
            </w:r>
            <w:proofErr w:type="gramStart"/>
            <w:r>
              <w:rPr>
                <w:vertAlign w:val="superscript"/>
                <w:lang w:val="da-DK"/>
              </w:rPr>
              <w:t>*,†</w:t>
            </w:r>
            <w:proofErr w:type="gramEnd"/>
          </w:p>
        </w:tc>
        <w:tc>
          <w:tcPr>
            <w:tcW w:w="3875" w:type="dxa"/>
            <w:tcBorders>
              <w:top w:val="single" w:sz="4" w:space="0" w:color="000000"/>
              <w:left w:val="single" w:sz="4" w:space="0" w:color="000000"/>
              <w:bottom w:val="single" w:sz="4" w:space="0" w:color="000000"/>
              <w:right w:val="single" w:sz="4" w:space="0" w:color="000000"/>
            </w:tcBorders>
            <w:hideMark/>
          </w:tcPr>
          <w:p w14:paraId="57CA595F" w14:textId="77777777" w:rsidR="00147D71" w:rsidRDefault="00147D71" w:rsidP="000B2650">
            <w:pPr>
              <w:pStyle w:val="Default"/>
              <w:ind w:left="141" w:right="-2"/>
              <w:jc w:val="center"/>
              <w:rPr>
                <w:lang w:val="da-DK"/>
              </w:rPr>
            </w:pPr>
            <w:r>
              <w:rPr>
                <w:lang w:val="da-DK"/>
              </w:rPr>
              <w:t>Frekvens ikke kendt</w:t>
            </w:r>
          </w:p>
        </w:tc>
      </w:tr>
      <w:tr w:rsidR="00147D71" w14:paraId="2FB3A83F" w14:textId="77777777" w:rsidTr="007D5CAD">
        <w:trPr>
          <w:trHeight w:val="256"/>
        </w:trPr>
        <w:tc>
          <w:tcPr>
            <w:tcW w:w="5200" w:type="dxa"/>
            <w:tcBorders>
              <w:top w:val="single" w:sz="4" w:space="0" w:color="000000"/>
              <w:left w:val="single" w:sz="4" w:space="0" w:color="000000"/>
              <w:bottom w:val="single" w:sz="4" w:space="0" w:color="000000"/>
              <w:right w:val="single" w:sz="4" w:space="0" w:color="000000"/>
            </w:tcBorders>
          </w:tcPr>
          <w:p w14:paraId="319C016E" w14:textId="77777777" w:rsidR="00147D71" w:rsidRDefault="00147D71" w:rsidP="000B2650">
            <w:pPr>
              <w:pStyle w:val="Default"/>
              <w:ind w:left="141" w:right="-2"/>
              <w:rPr>
                <w:lang w:val="da-DK"/>
              </w:rPr>
            </w:pPr>
          </w:p>
        </w:tc>
        <w:tc>
          <w:tcPr>
            <w:tcW w:w="3875" w:type="dxa"/>
            <w:tcBorders>
              <w:top w:val="single" w:sz="4" w:space="0" w:color="000000"/>
              <w:left w:val="single" w:sz="4" w:space="0" w:color="000000"/>
              <w:bottom w:val="single" w:sz="4" w:space="0" w:color="000000"/>
              <w:right w:val="single" w:sz="4" w:space="0" w:color="000000"/>
            </w:tcBorders>
          </w:tcPr>
          <w:p w14:paraId="48EFB9B1" w14:textId="77777777" w:rsidR="00147D71" w:rsidRDefault="00147D71" w:rsidP="000B2650">
            <w:pPr>
              <w:pStyle w:val="Default"/>
              <w:ind w:left="141" w:right="-2"/>
              <w:jc w:val="center"/>
              <w:rPr>
                <w:lang w:val="da-DK"/>
              </w:rPr>
            </w:pPr>
          </w:p>
        </w:tc>
      </w:tr>
      <w:tr w:rsidR="00147D71" w14:paraId="76E32901"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1A4A56C6" w14:textId="77777777" w:rsidR="00147D71" w:rsidRDefault="00147D71" w:rsidP="000B2650">
            <w:pPr>
              <w:pStyle w:val="Default"/>
              <w:ind w:left="141" w:right="-2"/>
              <w:rPr>
                <w:b/>
                <w:bCs/>
                <w:lang w:val="da-DK"/>
              </w:rPr>
            </w:pPr>
            <w:r>
              <w:rPr>
                <w:b/>
                <w:bCs/>
                <w:lang w:val="da-DK"/>
              </w:rPr>
              <w:t>Metabolisme og ernæring</w:t>
            </w:r>
          </w:p>
        </w:tc>
        <w:tc>
          <w:tcPr>
            <w:tcW w:w="3875" w:type="dxa"/>
            <w:tcBorders>
              <w:top w:val="single" w:sz="4" w:space="0" w:color="000000"/>
              <w:left w:val="single" w:sz="4" w:space="0" w:color="000000"/>
              <w:bottom w:val="single" w:sz="4" w:space="0" w:color="000000"/>
              <w:right w:val="single" w:sz="4" w:space="0" w:color="000000"/>
            </w:tcBorders>
          </w:tcPr>
          <w:p w14:paraId="30EFB443" w14:textId="77777777" w:rsidR="00147D71" w:rsidRDefault="00147D71" w:rsidP="000B2650">
            <w:pPr>
              <w:pStyle w:val="Default"/>
              <w:ind w:left="141" w:right="-2"/>
              <w:jc w:val="center"/>
              <w:rPr>
                <w:lang w:val="da-DK"/>
              </w:rPr>
            </w:pPr>
          </w:p>
        </w:tc>
      </w:tr>
      <w:tr w:rsidR="00147D71" w14:paraId="02EEFFE5"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03A91430" w14:textId="77777777" w:rsidR="00147D71" w:rsidRDefault="00147D71" w:rsidP="000B2650">
            <w:pPr>
              <w:pStyle w:val="Default"/>
              <w:ind w:left="141" w:right="-2"/>
              <w:rPr>
                <w:lang w:val="da-DK"/>
              </w:rPr>
            </w:pPr>
            <w:r>
              <w:rPr>
                <w:lang w:val="da-DK"/>
              </w:rPr>
              <w:t>Hypoglykæmi</w:t>
            </w:r>
            <w:r>
              <w:rPr>
                <w:vertAlign w:val="superscript"/>
                <w:lang w:val="da-DK"/>
              </w:rPr>
              <w:t>†</w:t>
            </w:r>
          </w:p>
        </w:tc>
        <w:tc>
          <w:tcPr>
            <w:tcW w:w="3875" w:type="dxa"/>
            <w:tcBorders>
              <w:top w:val="single" w:sz="4" w:space="0" w:color="000000"/>
              <w:left w:val="single" w:sz="4" w:space="0" w:color="000000"/>
              <w:bottom w:val="single" w:sz="4" w:space="0" w:color="000000"/>
              <w:right w:val="single" w:sz="4" w:space="0" w:color="000000"/>
            </w:tcBorders>
            <w:hideMark/>
          </w:tcPr>
          <w:p w14:paraId="08781CA1" w14:textId="77777777" w:rsidR="00147D71" w:rsidRDefault="00147D71" w:rsidP="000B2650">
            <w:pPr>
              <w:pStyle w:val="Default"/>
              <w:ind w:left="141" w:right="-2"/>
              <w:jc w:val="center"/>
              <w:rPr>
                <w:lang w:val="da-DK"/>
              </w:rPr>
            </w:pPr>
            <w:r>
              <w:rPr>
                <w:lang w:val="da-DK"/>
              </w:rPr>
              <w:t>Almindelig</w:t>
            </w:r>
          </w:p>
        </w:tc>
      </w:tr>
      <w:tr w:rsidR="00147D71" w14:paraId="2619FA3A" w14:textId="77777777" w:rsidTr="007D5CAD">
        <w:trPr>
          <w:trHeight w:val="259"/>
        </w:trPr>
        <w:tc>
          <w:tcPr>
            <w:tcW w:w="5200" w:type="dxa"/>
            <w:tcBorders>
              <w:top w:val="single" w:sz="4" w:space="0" w:color="000000"/>
              <w:left w:val="single" w:sz="4" w:space="0" w:color="000000"/>
              <w:bottom w:val="single" w:sz="4" w:space="0" w:color="000000"/>
              <w:right w:val="single" w:sz="4" w:space="0" w:color="000000"/>
            </w:tcBorders>
          </w:tcPr>
          <w:p w14:paraId="25DB9889" w14:textId="61650AF4" w:rsidR="00147D71" w:rsidRDefault="00D45E98" w:rsidP="000B2650">
            <w:pPr>
              <w:pStyle w:val="Default"/>
              <w:ind w:left="141" w:right="-2"/>
              <w:rPr>
                <w:lang w:val="da-DK"/>
              </w:rPr>
            </w:pPr>
            <w:r w:rsidRPr="009E7E92">
              <w:rPr>
                <w:lang w:val="da-DK"/>
              </w:rPr>
              <w:t>B12-vitaminunderskud/-mangel</w:t>
            </w:r>
            <w:r w:rsidRPr="00FC0C13">
              <w:rPr>
                <w:vertAlign w:val="superscript"/>
                <w:lang w:val="da-DK"/>
              </w:rPr>
              <w:t>†</w:t>
            </w:r>
          </w:p>
        </w:tc>
        <w:tc>
          <w:tcPr>
            <w:tcW w:w="3875" w:type="dxa"/>
            <w:tcBorders>
              <w:top w:val="single" w:sz="4" w:space="0" w:color="000000"/>
              <w:left w:val="single" w:sz="4" w:space="0" w:color="000000"/>
              <w:bottom w:val="single" w:sz="4" w:space="0" w:color="000000"/>
              <w:right w:val="single" w:sz="4" w:space="0" w:color="000000"/>
            </w:tcBorders>
          </w:tcPr>
          <w:p w14:paraId="747776EB" w14:textId="2679BC4B" w:rsidR="00147D71" w:rsidRDefault="00D45E98" w:rsidP="000B2650">
            <w:pPr>
              <w:pStyle w:val="Default"/>
              <w:ind w:left="141" w:right="-2"/>
              <w:jc w:val="center"/>
              <w:rPr>
                <w:lang w:val="da-DK"/>
              </w:rPr>
            </w:pPr>
            <w:r>
              <w:rPr>
                <w:lang w:val="da-DK"/>
              </w:rPr>
              <w:t>Almindelig</w:t>
            </w:r>
          </w:p>
        </w:tc>
      </w:tr>
      <w:tr w:rsidR="00147D71" w14:paraId="4A71F93E"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4DA1496D" w14:textId="77777777" w:rsidR="00147D71" w:rsidRDefault="00147D71" w:rsidP="000B2650">
            <w:pPr>
              <w:pStyle w:val="Default"/>
              <w:ind w:left="141" w:right="-2"/>
              <w:rPr>
                <w:b/>
                <w:bCs/>
                <w:lang w:val="da-DK"/>
              </w:rPr>
            </w:pPr>
            <w:r>
              <w:rPr>
                <w:b/>
                <w:bCs/>
                <w:lang w:val="da-DK"/>
              </w:rPr>
              <w:t>Nervesystemet</w:t>
            </w:r>
          </w:p>
        </w:tc>
        <w:tc>
          <w:tcPr>
            <w:tcW w:w="3875" w:type="dxa"/>
            <w:tcBorders>
              <w:top w:val="single" w:sz="4" w:space="0" w:color="000000"/>
              <w:left w:val="single" w:sz="4" w:space="0" w:color="000000"/>
              <w:bottom w:val="single" w:sz="4" w:space="0" w:color="000000"/>
              <w:right w:val="single" w:sz="4" w:space="0" w:color="000000"/>
            </w:tcBorders>
          </w:tcPr>
          <w:p w14:paraId="3F8AC9F1" w14:textId="77777777" w:rsidR="00147D71" w:rsidRDefault="00147D71" w:rsidP="000B2650">
            <w:pPr>
              <w:pStyle w:val="Default"/>
              <w:ind w:left="141" w:right="-2"/>
              <w:jc w:val="center"/>
              <w:rPr>
                <w:lang w:val="da-DK"/>
              </w:rPr>
            </w:pPr>
          </w:p>
        </w:tc>
      </w:tr>
      <w:tr w:rsidR="00147D71" w14:paraId="037C210B"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11739F6F" w14:textId="77777777" w:rsidR="00147D71" w:rsidRDefault="00147D71" w:rsidP="000B2650">
            <w:pPr>
              <w:pStyle w:val="Default"/>
              <w:ind w:left="141" w:right="-2"/>
              <w:rPr>
                <w:lang w:val="da-DK"/>
              </w:rPr>
            </w:pPr>
            <w:r>
              <w:rPr>
                <w:lang w:val="da-DK"/>
              </w:rPr>
              <w:t>Døsighed</w:t>
            </w:r>
          </w:p>
        </w:tc>
        <w:tc>
          <w:tcPr>
            <w:tcW w:w="3875" w:type="dxa"/>
            <w:tcBorders>
              <w:top w:val="single" w:sz="4" w:space="0" w:color="000000"/>
              <w:left w:val="single" w:sz="4" w:space="0" w:color="000000"/>
              <w:bottom w:val="single" w:sz="4" w:space="0" w:color="000000"/>
              <w:right w:val="single" w:sz="4" w:space="0" w:color="000000"/>
            </w:tcBorders>
            <w:hideMark/>
          </w:tcPr>
          <w:p w14:paraId="1BB82BFC" w14:textId="77777777" w:rsidR="00147D71" w:rsidRDefault="00147D71" w:rsidP="000B2650">
            <w:pPr>
              <w:pStyle w:val="Default"/>
              <w:ind w:left="141" w:right="-2"/>
              <w:jc w:val="center"/>
              <w:rPr>
                <w:lang w:val="da-DK"/>
              </w:rPr>
            </w:pPr>
            <w:r>
              <w:rPr>
                <w:lang w:val="da-DK"/>
              </w:rPr>
              <w:t>Ikke almindelig</w:t>
            </w:r>
          </w:p>
        </w:tc>
      </w:tr>
      <w:tr w:rsidR="00147D71" w14:paraId="2C926787"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tcPr>
          <w:p w14:paraId="4C0C42D7" w14:textId="77777777" w:rsidR="00147D71" w:rsidRDefault="00147D71" w:rsidP="000B2650">
            <w:pPr>
              <w:pStyle w:val="Default"/>
              <w:ind w:left="141" w:right="-2"/>
              <w:rPr>
                <w:lang w:val="da-DK"/>
              </w:rPr>
            </w:pPr>
          </w:p>
        </w:tc>
        <w:tc>
          <w:tcPr>
            <w:tcW w:w="3875" w:type="dxa"/>
            <w:tcBorders>
              <w:top w:val="single" w:sz="4" w:space="0" w:color="000000"/>
              <w:left w:val="single" w:sz="4" w:space="0" w:color="000000"/>
              <w:bottom w:val="single" w:sz="4" w:space="0" w:color="000000"/>
              <w:right w:val="single" w:sz="4" w:space="0" w:color="000000"/>
            </w:tcBorders>
          </w:tcPr>
          <w:p w14:paraId="0D6D1384" w14:textId="77777777" w:rsidR="00147D71" w:rsidRDefault="00147D71" w:rsidP="000B2650">
            <w:pPr>
              <w:pStyle w:val="Default"/>
              <w:ind w:left="141" w:right="-2"/>
              <w:jc w:val="center"/>
              <w:rPr>
                <w:lang w:val="da-DK"/>
              </w:rPr>
            </w:pPr>
          </w:p>
        </w:tc>
      </w:tr>
      <w:tr w:rsidR="00147D71" w14:paraId="3ADE658A"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079A5ED8" w14:textId="77777777" w:rsidR="00147D71" w:rsidRDefault="00147D71" w:rsidP="000B2650">
            <w:pPr>
              <w:pStyle w:val="Default"/>
              <w:ind w:left="141" w:right="-2"/>
              <w:rPr>
                <w:b/>
                <w:bCs/>
                <w:lang w:val="da-DK"/>
              </w:rPr>
            </w:pPr>
            <w:r>
              <w:rPr>
                <w:b/>
                <w:bCs/>
                <w:lang w:val="da-DK"/>
              </w:rPr>
              <w:t>Luftveje, thorax og mediastinum</w:t>
            </w:r>
          </w:p>
        </w:tc>
        <w:tc>
          <w:tcPr>
            <w:tcW w:w="3875" w:type="dxa"/>
            <w:tcBorders>
              <w:top w:val="single" w:sz="4" w:space="0" w:color="000000"/>
              <w:left w:val="single" w:sz="4" w:space="0" w:color="000000"/>
              <w:bottom w:val="single" w:sz="4" w:space="0" w:color="000000"/>
              <w:right w:val="single" w:sz="4" w:space="0" w:color="000000"/>
            </w:tcBorders>
          </w:tcPr>
          <w:p w14:paraId="48352BCE" w14:textId="77777777" w:rsidR="00147D71" w:rsidRDefault="00147D71" w:rsidP="000B2650">
            <w:pPr>
              <w:pStyle w:val="Default"/>
              <w:ind w:left="141" w:right="-2"/>
              <w:jc w:val="center"/>
              <w:rPr>
                <w:lang w:val="da-DK"/>
              </w:rPr>
            </w:pPr>
          </w:p>
        </w:tc>
      </w:tr>
      <w:tr w:rsidR="00147D71" w14:paraId="72C10F7D"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00EA2199" w14:textId="77777777" w:rsidR="00147D71" w:rsidRDefault="00147D71" w:rsidP="000B2650">
            <w:pPr>
              <w:pStyle w:val="Default"/>
              <w:ind w:left="141" w:right="-2"/>
              <w:rPr>
                <w:lang w:val="da-DK"/>
              </w:rPr>
            </w:pPr>
            <w:r>
              <w:rPr>
                <w:lang w:val="da-DK"/>
              </w:rPr>
              <w:t>Interstitiel lungesygdom</w:t>
            </w:r>
            <w:r>
              <w:rPr>
                <w:vertAlign w:val="superscript"/>
                <w:lang w:val="da-DK"/>
              </w:rPr>
              <w:t>*</w:t>
            </w:r>
          </w:p>
        </w:tc>
        <w:tc>
          <w:tcPr>
            <w:tcW w:w="3875" w:type="dxa"/>
            <w:tcBorders>
              <w:top w:val="single" w:sz="4" w:space="0" w:color="000000"/>
              <w:left w:val="single" w:sz="4" w:space="0" w:color="000000"/>
              <w:bottom w:val="single" w:sz="4" w:space="0" w:color="000000"/>
              <w:right w:val="single" w:sz="4" w:space="0" w:color="000000"/>
            </w:tcBorders>
            <w:hideMark/>
          </w:tcPr>
          <w:p w14:paraId="3117A27B" w14:textId="77777777" w:rsidR="00147D71" w:rsidRDefault="00147D71" w:rsidP="000B2650">
            <w:pPr>
              <w:pStyle w:val="Default"/>
              <w:ind w:left="141" w:right="-2"/>
              <w:jc w:val="center"/>
              <w:rPr>
                <w:lang w:val="da-DK"/>
              </w:rPr>
            </w:pPr>
            <w:r>
              <w:rPr>
                <w:lang w:val="da-DK"/>
              </w:rPr>
              <w:t>Frekvens ikke kendt</w:t>
            </w:r>
          </w:p>
        </w:tc>
      </w:tr>
      <w:tr w:rsidR="00147D71" w14:paraId="0CDFF2F2"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tcPr>
          <w:p w14:paraId="737C2CB3" w14:textId="77777777" w:rsidR="00147D71" w:rsidRDefault="00147D71" w:rsidP="000B2650">
            <w:pPr>
              <w:pStyle w:val="Default"/>
              <w:ind w:left="141" w:right="-2"/>
              <w:rPr>
                <w:lang w:val="da-DK"/>
              </w:rPr>
            </w:pPr>
          </w:p>
        </w:tc>
        <w:tc>
          <w:tcPr>
            <w:tcW w:w="3875" w:type="dxa"/>
            <w:tcBorders>
              <w:top w:val="single" w:sz="4" w:space="0" w:color="000000"/>
              <w:left w:val="single" w:sz="4" w:space="0" w:color="000000"/>
              <w:bottom w:val="single" w:sz="4" w:space="0" w:color="000000"/>
              <w:right w:val="single" w:sz="4" w:space="0" w:color="000000"/>
            </w:tcBorders>
          </w:tcPr>
          <w:p w14:paraId="7DCBC20A" w14:textId="77777777" w:rsidR="00147D71" w:rsidRDefault="00147D71" w:rsidP="000B2650">
            <w:pPr>
              <w:pStyle w:val="Default"/>
              <w:ind w:left="141" w:right="-2"/>
              <w:jc w:val="center"/>
              <w:rPr>
                <w:lang w:val="da-DK"/>
              </w:rPr>
            </w:pPr>
          </w:p>
        </w:tc>
      </w:tr>
      <w:tr w:rsidR="00147D71" w14:paraId="43F7E404"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0677E464" w14:textId="77777777" w:rsidR="00147D71" w:rsidRDefault="00147D71" w:rsidP="000B2650">
            <w:pPr>
              <w:pStyle w:val="Default"/>
              <w:ind w:left="141" w:right="-2"/>
              <w:rPr>
                <w:b/>
                <w:bCs/>
                <w:lang w:val="da-DK"/>
              </w:rPr>
            </w:pPr>
            <w:r>
              <w:rPr>
                <w:b/>
                <w:bCs/>
                <w:lang w:val="da-DK"/>
              </w:rPr>
              <w:t>Mave-tarm-kanalen</w:t>
            </w:r>
          </w:p>
        </w:tc>
        <w:tc>
          <w:tcPr>
            <w:tcW w:w="3875" w:type="dxa"/>
            <w:tcBorders>
              <w:top w:val="single" w:sz="4" w:space="0" w:color="000000"/>
              <w:left w:val="single" w:sz="4" w:space="0" w:color="000000"/>
              <w:bottom w:val="single" w:sz="4" w:space="0" w:color="000000"/>
              <w:right w:val="single" w:sz="4" w:space="0" w:color="000000"/>
            </w:tcBorders>
          </w:tcPr>
          <w:p w14:paraId="408185D4" w14:textId="77777777" w:rsidR="00147D71" w:rsidRDefault="00147D71" w:rsidP="000B2650">
            <w:pPr>
              <w:pStyle w:val="Default"/>
              <w:ind w:left="141" w:right="-2"/>
              <w:jc w:val="center"/>
              <w:rPr>
                <w:lang w:val="da-DK"/>
              </w:rPr>
            </w:pPr>
          </w:p>
        </w:tc>
      </w:tr>
      <w:tr w:rsidR="00147D71" w14:paraId="49CF82D7"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17F34AAB" w14:textId="77777777" w:rsidR="00147D71" w:rsidRDefault="00147D71" w:rsidP="000B2650">
            <w:pPr>
              <w:pStyle w:val="Default"/>
              <w:ind w:left="141" w:right="-2"/>
              <w:rPr>
                <w:lang w:val="da-DK"/>
              </w:rPr>
            </w:pPr>
            <w:r>
              <w:rPr>
                <w:lang w:val="da-DK"/>
              </w:rPr>
              <w:t>Diarré</w:t>
            </w:r>
          </w:p>
        </w:tc>
        <w:tc>
          <w:tcPr>
            <w:tcW w:w="3875" w:type="dxa"/>
            <w:tcBorders>
              <w:top w:val="single" w:sz="4" w:space="0" w:color="000000"/>
              <w:left w:val="single" w:sz="4" w:space="0" w:color="000000"/>
              <w:bottom w:val="single" w:sz="4" w:space="0" w:color="000000"/>
              <w:right w:val="single" w:sz="4" w:space="0" w:color="000000"/>
            </w:tcBorders>
            <w:hideMark/>
          </w:tcPr>
          <w:p w14:paraId="6B843419" w14:textId="77777777" w:rsidR="00147D71" w:rsidRDefault="00147D71" w:rsidP="000B2650">
            <w:pPr>
              <w:pStyle w:val="Default"/>
              <w:ind w:left="141" w:right="-2"/>
              <w:jc w:val="center"/>
              <w:rPr>
                <w:lang w:val="da-DK"/>
              </w:rPr>
            </w:pPr>
            <w:r>
              <w:rPr>
                <w:lang w:val="da-DK"/>
              </w:rPr>
              <w:t>Ikke almindelig</w:t>
            </w:r>
          </w:p>
        </w:tc>
      </w:tr>
      <w:tr w:rsidR="00147D71" w14:paraId="4870A002"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38DB5157" w14:textId="77777777" w:rsidR="00147D71" w:rsidRDefault="00147D71" w:rsidP="000B2650">
            <w:pPr>
              <w:pStyle w:val="Default"/>
              <w:ind w:left="141" w:right="-2"/>
              <w:rPr>
                <w:lang w:val="da-DK"/>
              </w:rPr>
            </w:pPr>
            <w:r>
              <w:rPr>
                <w:lang w:val="da-DK"/>
              </w:rPr>
              <w:t>Kvalme</w:t>
            </w:r>
          </w:p>
        </w:tc>
        <w:tc>
          <w:tcPr>
            <w:tcW w:w="3875" w:type="dxa"/>
            <w:tcBorders>
              <w:top w:val="single" w:sz="4" w:space="0" w:color="000000"/>
              <w:left w:val="single" w:sz="4" w:space="0" w:color="000000"/>
              <w:bottom w:val="single" w:sz="4" w:space="0" w:color="000000"/>
              <w:right w:val="single" w:sz="4" w:space="0" w:color="000000"/>
            </w:tcBorders>
            <w:hideMark/>
          </w:tcPr>
          <w:p w14:paraId="50CC4B46" w14:textId="77777777" w:rsidR="00147D71" w:rsidRDefault="00147D71" w:rsidP="000B2650">
            <w:pPr>
              <w:pStyle w:val="Default"/>
              <w:ind w:left="141" w:right="-2"/>
              <w:jc w:val="center"/>
              <w:rPr>
                <w:lang w:val="da-DK"/>
              </w:rPr>
            </w:pPr>
            <w:r>
              <w:rPr>
                <w:lang w:val="da-DK"/>
              </w:rPr>
              <w:t>Almindelig</w:t>
            </w:r>
          </w:p>
        </w:tc>
      </w:tr>
      <w:tr w:rsidR="00147D71" w14:paraId="7965CD4E"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23B755EE" w14:textId="77777777" w:rsidR="00147D71" w:rsidRDefault="00147D71" w:rsidP="000B2650">
            <w:pPr>
              <w:pStyle w:val="Default"/>
              <w:ind w:left="141" w:right="-2"/>
              <w:rPr>
                <w:lang w:val="da-DK"/>
              </w:rPr>
            </w:pPr>
            <w:r>
              <w:rPr>
                <w:lang w:val="da-DK"/>
              </w:rPr>
              <w:t>Flatulens</w:t>
            </w:r>
          </w:p>
        </w:tc>
        <w:tc>
          <w:tcPr>
            <w:tcW w:w="3875" w:type="dxa"/>
            <w:tcBorders>
              <w:top w:val="single" w:sz="4" w:space="0" w:color="000000"/>
              <w:left w:val="single" w:sz="4" w:space="0" w:color="000000"/>
              <w:bottom w:val="single" w:sz="4" w:space="0" w:color="000000"/>
              <w:right w:val="single" w:sz="4" w:space="0" w:color="000000"/>
            </w:tcBorders>
            <w:hideMark/>
          </w:tcPr>
          <w:p w14:paraId="4B683FD6" w14:textId="77777777" w:rsidR="00147D71" w:rsidRDefault="00147D71" w:rsidP="000B2650">
            <w:pPr>
              <w:pStyle w:val="Default"/>
              <w:ind w:left="141" w:right="-2"/>
              <w:jc w:val="center"/>
              <w:rPr>
                <w:lang w:val="da-DK"/>
              </w:rPr>
            </w:pPr>
            <w:r>
              <w:rPr>
                <w:lang w:val="da-DK"/>
              </w:rPr>
              <w:t>Almindelig</w:t>
            </w:r>
          </w:p>
        </w:tc>
      </w:tr>
      <w:tr w:rsidR="00147D71" w14:paraId="474F38EF"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51821E00" w14:textId="77777777" w:rsidR="00147D71" w:rsidRDefault="00147D71" w:rsidP="000B2650">
            <w:pPr>
              <w:pStyle w:val="Default"/>
              <w:ind w:left="141" w:right="-2"/>
              <w:rPr>
                <w:lang w:val="da-DK"/>
              </w:rPr>
            </w:pPr>
            <w:r>
              <w:rPr>
                <w:lang w:val="da-DK"/>
              </w:rPr>
              <w:t>Obstipation</w:t>
            </w:r>
          </w:p>
        </w:tc>
        <w:tc>
          <w:tcPr>
            <w:tcW w:w="3875" w:type="dxa"/>
            <w:tcBorders>
              <w:top w:val="single" w:sz="4" w:space="0" w:color="000000"/>
              <w:left w:val="single" w:sz="4" w:space="0" w:color="000000"/>
              <w:bottom w:val="single" w:sz="4" w:space="0" w:color="000000"/>
              <w:right w:val="single" w:sz="4" w:space="0" w:color="000000"/>
            </w:tcBorders>
            <w:hideMark/>
          </w:tcPr>
          <w:p w14:paraId="07C5B8CD" w14:textId="77777777" w:rsidR="00147D71" w:rsidRDefault="00147D71" w:rsidP="000B2650">
            <w:pPr>
              <w:pStyle w:val="Default"/>
              <w:ind w:left="141" w:right="-2"/>
              <w:jc w:val="center"/>
              <w:rPr>
                <w:lang w:val="da-DK"/>
              </w:rPr>
            </w:pPr>
            <w:r>
              <w:rPr>
                <w:lang w:val="da-DK"/>
              </w:rPr>
              <w:t>Ikke almindelig</w:t>
            </w:r>
          </w:p>
        </w:tc>
      </w:tr>
      <w:tr w:rsidR="00147D71" w14:paraId="2846598B"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454805F6" w14:textId="77777777" w:rsidR="00147D71" w:rsidRDefault="00147D71" w:rsidP="000B2650">
            <w:pPr>
              <w:pStyle w:val="Default"/>
              <w:ind w:left="141" w:right="-2"/>
              <w:rPr>
                <w:lang w:val="da-DK"/>
              </w:rPr>
            </w:pPr>
            <w:r>
              <w:rPr>
                <w:lang w:val="da-DK"/>
              </w:rPr>
              <w:t>Øvre abdominalsmerter</w:t>
            </w:r>
          </w:p>
        </w:tc>
        <w:tc>
          <w:tcPr>
            <w:tcW w:w="3875" w:type="dxa"/>
            <w:tcBorders>
              <w:top w:val="single" w:sz="4" w:space="0" w:color="000000"/>
              <w:left w:val="single" w:sz="4" w:space="0" w:color="000000"/>
              <w:bottom w:val="single" w:sz="4" w:space="0" w:color="000000"/>
              <w:right w:val="single" w:sz="4" w:space="0" w:color="000000"/>
            </w:tcBorders>
            <w:hideMark/>
          </w:tcPr>
          <w:p w14:paraId="77197FBC" w14:textId="77777777" w:rsidR="00147D71" w:rsidRDefault="00147D71" w:rsidP="000B2650">
            <w:pPr>
              <w:pStyle w:val="Default"/>
              <w:ind w:left="141" w:right="-2"/>
              <w:jc w:val="center"/>
              <w:rPr>
                <w:lang w:val="da-DK"/>
              </w:rPr>
            </w:pPr>
            <w:r>
              <w:rPr>
                <w:lang w:val="da-DK"/>
              </w:rPr>
              <w:t>Ikke almindelig</w:t>
            </w:r>
          </w:p>
        </w:tc>
      </w:tr>
      <w:tr w:rsidR="00147D71" w14:paraId="3C612E29" w14:textId="77777777" w:rsidTr="007D5CAD">
        <w:trPr>
          <w:trHeight w:val="259"/>
        </w:trPr>
        <w:tc>
          <w:tcPr>
            <w:tcW w:w="5200" w:type="dxa"/>
            <w:tcBorders>
              <w:top w:val="single" w:sz="4" w:space="0" w:color="000000"/>
              <w:left w:val="single" w:sz="4" w:space="0" w:color="000000"/>
              <w:bottom w:val="single" w:sz="4" w:space="0" w:color="000000"/>
              <w:right w:val="single" w:sz="4" w:space="0" w:color="000000"/>
            </w:tcBorders>
            <w:hideMark/>
          </w:tcPr>
          <w:p w14:paraId="2DE5E1EB" w14:textId="77777777" w:rsidR="00147D71" w:rsidRDefault="00147D71" w:rsidP="000B2650">
            <w:pPr>
              <w:pStyle w:val="Default"/>
              <w:ind w:left="141" w:right="-2"/>
              <w:rPr>
                <w:lang w:val="da-DK"/>
              </w:rPr>
            </w:pPr>
            <w:r>
              <w:rPr>
                <w:lang w:val="da-DK"/>
              </w:rPr>
              <w:t>Opkastning</w:t>
            </w:r>
          </w:p>
        </w:tc>
        <w:tc>
          <w:tcPr>
            <w:tcW w:w="3875" w:type="dxa"/>
            <w:tcBorders>
              <w:top w:val="single" w:sz="4" w:space="0" w:color="000000"/>
              <w:left w:val="single" w:sz="4" w:space="0" w:color="000000"/>
              <w:bottom w:val="single" w:sz="4" w:space="0" w:color="000000"/>
              <w:right w:val="single" w:sz="4" w:space="0" w:color="000000"/>
            </w:tcBorders>
            <w:hideMark/>
          </w:tcPr>
          <w:p w14:paraId="6718C597" w14:textId="77777777" w:rsidR="00147D71" w:rsidRDefault="00147D71" w:rsidP="000B2650">
            <w:pPr>
              <w:pStyle w:val="Default"/>
              <w:ind w:left="141" w:right="-2"/>
              <w:jc w:val="center"/>
              <w:rPr>
                <w:lang w:val="da-DK"/>
              </w:rPr>
            </w:pPr>
            <w:r>
              <w:rPr>
                <w:lang w:val="da-DK"/>
              </w:rPr>
              <w:t>Almindelig</w:t>
            </w:r>
          </w:p>
        </w:tc>
      </w:tr>
      <w:tr w:rsidR="00147D71" w14:paraId="3E0BA36D"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7734C1D8" w14:textId="77777777" w:rsidR="00147D71" w:rsidRDefault="00147D71" w:rsidP="000B2650">
            <w:pPr>
              <w:pStyle w:val="Default"/>
              <w:ind w:left="141" w:right="-2"/>
              <w:rPr>
                <w:lang w:val="da-DK"/>
              </w:rPr>
            </w:pPr>
            <w:r>
              <w:rPr>
                <w:lang w:val="da-DK"/>
              </w:rPr>
              <w:t>Akut pankreatitis</w:t>
            </w:r>
            <w:proofErr w:type="gramStart"/>
            <w:r>
              <w:rPr>
                <w:vertAlign w:val="superscript"/>
                <w:lang w:val="da-DK"/>
              </w:rPr>
              <w:t>*,†</w:t>
            </w:r>
            <w:proofErr w:type="gramEnd"/>
            <w:r>
              <w:rPr>
                <w:vertAlign w:val="superscript"/>
                <w:lang w:val="da-DK"/>
              </w:rPr>
              <w:t>,‡</w:t>
            </w:r>
          </w:p>
        </w:tc>
        <w:tc>
          <w:tcPr>
            <w:tcW w:w="3875" w:type="dxa"/>
            <w:tcBorders>
              <w:top w:val="single" w:sz="4" w:space="0" w:color="000000"/>
              <w:left w:val="single" w:sz="4" w:space="0" w:color="000000"/>
              <w:bottom w:val="single" w:sz="4" w:space="0" w:color="000000"/>
              <w:right w:val="single" w:sz="4" w:space="0" w:color="000000"/>
            </w:tcBorders>
            <w:hideMark/>
          </w:tcPr>
          <w:p w14:paraId="3DFD6B56" w14:textId="77777777" w:rsidR="00147D71" w:rsidRDefault="00147D71" w:rsidP="000B2650">
            <w:pPr>
              <w:pStyle w:val="Default"/>
              <w:ind w:left="141" w:right="-2"/>
              <w:jc w:val="center"/>
              <w:rPr>
                <w:lang w:val="da-DK"/>
              </w:rPr>
            </w:pPr>
            <w:r>
              <w:rPr>
                <w:lang w:val="da-DK"/>
              </w:rPr>
              <w:t>Frekvens ikke kendt</w:t>
            </w:r>
          </w:p>
        </w:tc>
      </w:tr>
      <w:tr w:rsidR="00147D71" w14:paraId="02DD63E3" w14:textId="77777777" w:rsidTr="007D5CAD">
        <w:trPr>
          <w:trHeight w:val="518"/>
        </w:trPr>
        <w:tc>
          <w:tcPr>
            <w:tcW w:w="5200" w:type="dxa"/>
            <w:tcBorders>
              <w:top w:val="single" w:sz="4" w:space="0" w:color="000000"/>
              <w:left w:val="single" w:sz="4" w:space="0" w:color="000000"/>
              <w:bottom w:val="single" w:sz="4" w:space="0" w:color="000000"/>
              <w:right w:val="single" w:sz="4" w:space="0" w:color="000000"/>
            </w:tcBorders>
            <w:hideMark/>
          </w:tcPr>
          <w:p w14:paraId="5F8956A0" w14:textId="77777777" w:rsidR="00147D71" w:rsidRDefault="00147D71" w:rsidP="000B2650">
            <w:pPr>
              <w:pStyle w:val="Default"/>
              <w:ind w:left="141" w:right="-2"/>
              <w:rPr>
                <w:lang w:val="da-DK"/>
              </w:rPr>
            </w:pPr>
            <w:r>
              <w:rPr>
                <w:lang w:val="da-DK"/>
              </w:rPr>
              <w:t>Letal og ikke-letal hæmoragisk og nekrotiserende pankreatitis</w:t>
            </w:r>
            <w:proofErr w:type="gramStart"/>
            <w:r>
              <w:rPr>
                <w:vertAlign w:val="superscript"/>
                <w:lang w:val="da-DK"/>
              </w:rPr>
              <w:t>*,†</w:t>
            </w:r>
            <w:proofErr w:type="gramEnd"/>
          </w:p>
        </w:tc>
        <w:tc>
          <w:tcPr>
            <w:tcW w:w="3875" w:type="dxa"/>
            <w:tcBorders>
              <w:top w:val="single" w:sz="4" w:space="0" w:color="000000"/>
              <w:left w:val="single" w:sz="4" w:space="0" w:color="000000"/>
              <w:bottom w:val="single" w:sz="4" w:space="0" w:color="000000"/>
              <w:right w:val="single" w:sz="4" w:space="0" w:color="000000"/>
            </w:tcBorders>
            <w:hideMark/>
          </w:tcPr>
          <w:p w14:paraId="32CD23A6" w14:textId="77777777" w:rsidR="00147D71" w:rsidRDefault="00147D71" w:rsidP="000B2650">
            <w:pPr>
              <w:pStyle w:val="Default"/>
              <w:ind w:left="141" w:right="-2"/>
              <w:jc w:val="center"/>
              <w:rPr>
                <w:lang w:val="da-DK"/>
              </w:rPr>
            </w:pPr>
            <w:r>
              <w:rPr>
                <w:lang w:val="da-DK"/>
              </w:rPr>
              <w:t>Frekvens ikke kendt</w:t>
            </w:r>
          </w:p>
        </w:tc>
      </w:tr>
      <w:tr w:rsidR="00147D71" w14:paraId="1AA0FC6F" w14:textId="77777777" w:rsidTr="007D5CAD">
        <w:trPr>
          <w:trHeight w:val="256"/>
        </w:trPr>
        <w:tc>
          <w:tcPr>
            <w:tcW w:w="5200" w:type="dxa"/>
            <w:tcBorders>
              <w:top w:val="single" w:sz="4" w:space="0" w:color="000000"/>
              <w:left w:val="single" w:sz="4" w:space="0" w:color="000000"/>
              <w:bottom w:val="single" w:sz="4" w:space="0" w:color="000000"/>
              <w:right w:val="single" w:sz="4" w:space="0" w:color="000000"/>
            </w:tcBorders>
          </w:tcPr>
          <w:p w14:paraId="024DA102" w14:textId="77777777" w:rsidR="00147D71" w:rsidRDefault="00147D71" w:rsidP="000B2650">
            <w:pPr>
              <w:pStyle w:val="Default"/>
              <w:ind w:left="141" w:right="-2"/>
              <w:rPr>
                <w:lang w:val="da-DK"/>
              </w:rPr>
            </w:pPr>
          </w:p>
        </w:tc>
        <w:tc>
          <w:tcPr>
            <w:tcW w:w="3875" w:type="dxa"/>
            <w:tcBorders>
              <w:top w:val="single" w:sz="4" w:space="0" w:color="000000"/>
              <w:left w:val="single" w:sz="4" w:space="0" w:color="000000"/>
              <w:bottom w:val="single" w:sz="4" w:space="0" w:color="000000"/>
              <w:right w:val="single" w:sz="4" w:space="0" w:color="000000"/>
            </w:tcBorders>
          </w:tcPr>
          <w:p w14:paraId="77267D47" w14:textId="77777777" w:rsidR="00147D71" w:rsidRDefault="00147D71" w:rsidP="000B2650">
            <w:pPr>
              <w:pStyle w:val="Default"/>
              <w:ind w:left="141" w:right="-2"/>
              <w:rPr>
                <w:lang w:val="da-DK"/>
              </w:rPr>
            </w:pPr>
          </w:p>
        </w:tc>
      </w:tr>
      <w:tr w:rsidR="00147D71" w14:paraId="5E7052AF"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2D00F309" w14:textId="77777777" w:rsidR="00147D71" w:rsidRDefault="00147D71" w:rsidP="000B2650">
            <w:pPr>
              <w:pStyle w:val="Default"/>
              <w:ind w:left="141" w:right="-2"/>
              <w:rPr>
                <w:b/>
                <w:bCs/>
                <w:lang w:val="da-DK"/>
              </w:rPr>
            </w:pPr>
            <w:r>
              <w:rPr>
                <w:b/>
                <w:bCs/>
                <w:lang w:val="da-DK"/>
              </w:rPr>
              <w:t>Hud og subkutane væv</w:t>
            </w:r>
          </w:p>
        </w:tc>
        <w:tc>
          <w:tcPr>
            <w:tcW w:w="3875" w:type="dxa"/>
            <w:tcBorders>
              <w:top w:val="single" w:sz="4" w:space="0" w:color="000000"/>
              <w:left w:val="single" w:sz="4" w:space="0" w:color="000000"/>
              <w:bottom w:val="single" w:sz="4" w:space="0" w:color="000000"/>
              <w:right w:val="single" w:sz="4" w:space="0" w:color="000000"/>
            </w:tcBorders>
          </w:tcPr>
          <w:p w14:paraId="18786967" w14:textId="77777777" w:rsidR="00147D71" w:rsidRDefault="00147D71" w:rsidP="000B2650">
            <w:pPr>
              <w:pStyle w:val="Default"/>
              <w:ind w:left="141" w:right="-2"/>
              <w:jc w:val="center"/>
              <w:rPr>
                <w:lang w:val="da-DK"/>
              </w:rPr>
            </w:pPr>
          </w:p>
        </w:tc>
      </w:tr>
      <w:tr w:rsidR="00147D71" w14:paraId="3F35A846"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1620DB3E" w14:textId="77777777" w:rsidR="00147D71" w:rsidRDefault="00147D71" w:rsidP="000B2650">
            <w:pPr>
              <w:pStyle w:val="Default"/>
              <w:ind w:left="141" w:right="-2"/>
              <w:rPr>
                <w:lang w:val="da-DK"/>
              </w:rPr>
            </w:pPr>
            <w:r>
              <w:rPr>
                <w:lang w:val="da-DK"/>
              </w:rPr>
              <w:t>Pruritus</w:t>
            </w:r>
            <w:r>
              <w:rPr>
                <w:vertAlign w:val="superscript"/>
                <w:lang w:val="da-DK"/>
              </w:rPr>
              <w:t>*</w:t>
            </w:r>
          </w:p>
        </w:tc>
        <w:tc>
          <w:tcPr>
            <w:tcW w:w="3875" w:type="dxa"/>
            <w:tcBorders>
              <w:top w:val="single" w:sz="4" w:space="0" w:color="000000"/>
              <w:left w:val="single" w:sz="4" w:space="0" w:color="000000"/>
              <w:bottom w:val="single" w:sz="4" w:space="0" w:color="000000"/>
              <w:right w:val="single" w:sz="4" w:space="0" w:color="000000"/>
            </w:tcBorders>
            <w:hideMark/>
          </w:tcPr>
          <w:p w14:paraId="0587A0EF" w14:textId="77777777" w:rsidR="00147D71" w:rsidRDefault="00147D71" w:rsidP="000B2650">
            <w:pPr>
              <w:pStyle w:val="Default"/>
              <w:ind w:left="141" w:right="-2"/>
              <w:jc w:val="center"/>
              <w:rPr>
                <w:lang w:val="da-DK"/>
              </w:rPr>
            </w:pPr>
            <w:r>
              <w:rPr>
                <w:lang w:val="da-DK"/>
              </w:rPr>
              <w:t>Ikke almindelig</w:t>
            </w:r>
          </w:p>
        </w:tc>
      </w:tr>
      <w:tr w:rsidR="00147D71" w14:paraId="30D933DA"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088548CB" w14:textId="77777777" w:rsidR="00147D71" w:rsidRDefault="00147D71" w:rsidP="000B2650">
            <w:pPr>
              <w:pStyle w:val="Default"/>
              <w:ind w:left="141" w:right="-2"/>
              <w:rPr>
                <w:lang w:val="da-DK"/>
              </w:rPr>
            </w:pPr>
            <w:r>
              <w:rPr>
                <w:lang w:val="da-DK"/>
              </w:rPr>
              <w:t>Angioødem</w:t>
            </w:r>
            <w:proofErr w:type="gramStart"/>
            <w:r>
              <w:rPr>
                <w:vertAlign w:val="superscript"/>
                <w:lang w:val="da-DK"/>
              </w:rPr>
              <w:t>*,†</w:t>
            </w:r>
            <w:proofErr w:type="gramEnd"/>
          </w:p>
        </w:tc>
        <w:tc>
          <w:tcPr>
            <w:tcW w:w="3875" w:type="dxa"/>
            <w:tcBorders>
              <w:top w:val="single" w:sz="4" w:space="0" w:color="000000"/>
              <w:left w:val="single" w:sz="4" w:space="0" w:color="000000"/>
              <w:bottom w:val="single" w:sz="4" w:space="0" w:color="000000"/>
              <w:right w:val="single" w:sz="4" w:space="0" w:color="000000"/>
            </w:tcBorders>
            <w:hideMark/>
          </w:tcPr>
          <w:p w14:paraId="7C465288" w14:textId="77777777" w:rsidR="00147D71" w:rsidRDefault="00147D71" w:rsidP="000B2650">
            <w:pPr>
              <w:pStyle w:val="Default"/>
              <w:ind w:left="141" w:right="-2"/>
              <w:jc w:val="center"/>
              <w:rPr>
                <w:lang w:val="da-DK"/>
              </w:rPr>
            </w:pPr>
            <w:r>
              <w:rPr>
                <w:lang w:val="da-DK"/>
              </w:rPr>
              <w:t>Frekvens ikke kendt</w:t>
            </w:r>
          </w:p>
        </w:tc>
      </w:tr>
      <w:tr w:rsidR="00147D71" w14:paraId="0F21D5D8"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17A70332" w14:textId="77777777" w:rsidR="00147D71" w:rsidRDefault="00147D71" w:rsidP="000B2650">
            <w:pPr>
              <w:pStyle w:val="Default"/>
              <w:ind w:left="141" w:right="-2"/>
              <w:rPr>
                <w:lang w:val="da-DK"/>
              </w:rPr>
            </w:pPr>
            <w:r>
              <w:rPr>
                <w:lang w:val="da-DK"/>
              </w:rPr>
              <w:t>Udslæt</w:t>
            </w:r>
            <w:proofErr w:type="gramStart"/>
            <w:r>
              <w:rPr>
                <w:vertAlign w:val="superscript"/>
                <w:lang w:val="da-DK"/>
              </w:rPr>
              <w:t>*,†</w:t>
            </w:r>
            <w:proofErr w:type="gramEnd"/>
          </w:p>
        </w:tc>
        <w:tc>
          <w:tcPr>
            <w:tcW w:w="3875" w:type="dxa"/>
            <w:tcBorders>
              <w:top w:val="single" w:sz="4" w:space="0" w:color="000000"/>
              <w:left w:val="single" w:sz="4" w:space="0" w:color="000000"/>
              <w:bottom w:val="single" w:sz="4" w:space="0" w:color="000000"/>
              <w:right w:val="single" w:sz="4" w:space="0" w:color="000000"/>
            </w:tcBorders>
            <w:hideMark/>
          </w:tcPr>
          <w:p w14:paraId="7D325633" w14:textId="77777777" w:rsidR="00147D71" w:rsidRDefault="00147D71" w:rsidP="000B2650">
            <w:pPr>
              <w:pStyle w:val="Default"/>
              <w:ind w:left="141" w:right="-2"/>
              <w:jc w:val="center"/>
              <w:rPr>
                <w:lang w:val="da-DK"/>
              </w:rPr>
            </w:pPr>
            <w:r>
              <w:rPr>
                <w:lang w:val="da-DK"/>
              </w:rPr>
              <w:t>Frekvens ikke kendt</w:t>
            </w:r>
          </w:p>
        </w:tc>
      </w:tr>
      <w:tr w:rsidR="00147D71" w14:paraId="761A4844"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201587ED" w14:textId="77777777" w:rsidR="00147D71" w:rsidRDefault="00147D71" w:rsidP="000B2650">
            <w:pPr>
              <w:pStyle w:val="Default"/>
              <w:ind w:left="141" w:right="-2"/>
              <w:rPr>
                <w:lang w:val="da-DK"/>
              </w:rPr>
            </w:pPr>
            <w:r>
              <w:rPr>
                <w:lang w:val="da-DK"/>
              </w:rPr>
              <w:t>Urticaria</w:t>
            </w:r>
            <w:proofErr w:type="gramStart"/>
            <w:r>
              <w:rPr>
                <w:vertAlign w:val="superscript"/>
                <w:lang w:val="da-DK"/>
              </w:rPr>
              <w:t>*,†</w:t>
            </w:r>
            <w:proofErr w:type="gramEnd"/>
          </w:p>
        </w:tc>
        <w:tc>
          <w:tcPr>
            <w:tcW w:w="3875" w:type="dxa"/>
            <w:tcBorders>
              <w:top w:val="single" w:sz="4" w:space="0" w:color="000000"/>
              <w:left w:val="single" w:sz="4" w:space="0" w:color="000000"/>
              <w:bottom w:val="single" w:sz="4" w:space="0" w:color="000000"/>
              <w:right w:val="single" w:sz="4" w:space="0" w:color="000000"/>
            </w:tcBorders>
            <w:hideMark/>
          </w:tcPr>
          <w:p w14:paraId="750C5B5F" w14:textId="77777777" w:rsidR="00147D71" w:rsidRDefault="00147D71" w:rsidP="000B2650">
            <w:pPr>
              <w:pStyle w:val="Default"/>
              <w:ind w:left="141" w:right="-2"/>
              <w:jc w:val="center"/>
              <w:rPr>
                <w:lang w:val="da-DK"/>
              </w:rPr>
            </w:pPr>
            <w:r>
              <w:rPr>
                <w:lang w:val="da-DK"/>
              </w:rPr>
              <w:t>Frekvens ikke kendt</w:t>
            </w:r>
          </w:p>
        </w:tc>
      </w:tr>
      <w:tr w:rsidR="00147D71" w14:paraId="023F8E9D"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6953432D" w14:textId="77777777" w:rsidR="00147D71" w:rsidRDefault="00147D71" w:rsidP="000B2650">
            <w:pPr>
              <w:pStyle w:val="Default"/>
              <w:ind w:left="141" w:right="-2"/>
              <w:rPr>
                <w:lang w:val="da-DK"/>
              </w:rPr>
            </w:pPr>
            <w:r>
              <w:rPr>
                <w:lang w:val="da-DK"/>
              </w:rPr>
              <w:t>Kutan vaskulitis</w:t>
            </w:r>
            <w:proofErr w:type="gramStart"/>
            <w:r>
              <w:rPr>
                <w:vertAlign w:val="superscript"/>
                <w:lang w:val="da-DK"/>
              </w:rPr>
              <w:t>*,†</w:t>
            </w:r>
            <w:proofErr w:type="gramEnd"/>
          </w:p>
        </w:tc>
        <w:tc>
          <w:tcPr>
            <w:tcW w:w="3875" w:type="dxa"/>
            <w:tcBorders>
              <w:top w:val="single" w:sz="4" w:space="0" w:color="000000"/>
              <w:left w:val="single" w:sz="4" w:space="0" w:color="000000"/>
              <w:bottom w:val="single" w:sz="4" w:space="0" w:color="000000"/>
              <w:right w:val="single" w:sz="4" w:space="0" w:color="000000"/>
            </w:tcBorders>
            <w:hideMark/>
          </w:tcPr>
          <w:p w14:paraId="3A44F388" w14:textId="77777777" w:rsidR="00147D71" w:rsidRDefault="00147D71" w:rsidP="000B2650">
            <w:pPr>
              <w:pStyle w:val="Default"/>
              <w:ind w:left="141" w:right="-2"/>
              <w:jc w:val="center"/>
              <w:rPr>
                <w:lang w:val="da-DK"/>
              </w:rPr>
            </w:pPr>
            <w:r>
              <w:rPr>
                <w:lang w:val="da-DK"/>
              </w:rPr>
              <w:t>Frekvens ikke kendt</w:t>
            </w:r>
          </w:p>
        </w:tc>
      </w:tr>
      <w:tr w:rsidR="00147D71" w14:paraId="6D48C74A" w14:textId="77777777" w:rsidTr="007D5CAD">
        <w:trPr>
          <w:trHeight w:val="518"/>
        </w:trPr>
        <w:tc>
          <w:tcPr>
            <w:tcW w:w="5200" w:type="dxa"/>
            <w:tcBorders>
              <w:top w:val="single" w:sz="4" w:space="0" w:color="000000"/>
              <w:left w:val="single" w:sz="4" w:space="0" w:color="000000"/>
              <w:bottom w:val="single" w:sz="4" w:space="0" w:color="000000"/>
              <w:right w:val="single" w:sz="4" w:space="0" w:color="000000"/>
            </w:tcBorders>
            <w:hideMark/>
          </w:tcPr>
          <w:p w14:paraId="5B4EC738" w14:textId="77777777" w:rsidR="00147D71" w:rsidRDefault="00147D71" w:rsidP="000B2650">
            <w:pPr>
              <w:pStyle w:val="Default"/>
              <w:ind w:left="141" w:right="-2"/>
              <w:rPr>
                <w:lang w:val="da-DK"/>
              </w:rPr>
            </w:pPr>
            <w:r>
              <w:rPr>
                <w:lang w:val="da-DK"/>
              </w:rPr>
              <w:t>Eksfoliative hudsygdomme herunder Stevens-Johnsons syndrom</w:t>
            </w:r>
            <w:proofErr w:type="gramStart"/>
            <w:r>
              <w:rPr>
                <w:vertAlign w:val="superscript"/>
                <w:lang w:val="da-DK"/>
              </w:rPr>
              <w:t>*,†</w:t>
            </w:r>
            <w:proofErr w:type="gramEnd"/>
          </w:p>
        </w:tc>
        <w:tc>
          <w:tcPr>
            <w:tcW w:w="3875" w:type="dxa"/>
            <w:tcBorders>
              <w:top w:val="single" w:sz="4" w:space="0" w:color="000000"/>
              <w:left w:val="single" w:sz="4" w:space="0" w:color="000000"/>
              <w:bottom w:val="single" w:sz="4" w:space="0" w:color="000000"/>
              <w:right w:val="single" w:sz="4" w:space="0" w:color="000000"/>
            </w:tcBorders>
            <w:hideMark/>
          </w:tcPr>
          <w:p w14:paraId="783D934C" w14:textId="77777777" w:rsidR="00147D71" w:rsidRDefault="00147D71" w:rsidP="000B2650">
            <w:pPr>
              <w:pStyle w:val="Default"/>
              <w:ind w:left="141" w:right="-2"/>
              <w:jc w:val="center"/>
              <w:rPr>
                <w:lang w:val="da-DK"/>
              </w:rPr>
            </w:pPr>
            <w:r>
              <w:rPr>
                <w:lang w:val="da-DK"/>
              </w:rPr>
              <w:t>Frekvens ikke kendt</w:t>
            </w:r>
          </w:p>
        </w:tc>
      </w:tr>
      <w:tr w:rsidR="00147D71" w14:paraId="257BD801" w14:textId="77777777" w:rsidTr="007D5CAD">
        <w:trPr>
          <w:trHeight w:val="257"/>
        </w:trPr>
        <w:tc>
          <w:tcPr>
            <w:tcW w:w="5200" w:type="dxa"/>
            <w:tcBorders>
              <w:top w:val="single" w:sz="4" w:space="0" w:color="000000"/>
              <w:left w:val="single" w:sz="4" w:space="0" w:color="000000"/>
              <w:bottom w:val="single" w:sz="4" w:space="0" w:color="000000"/>
              <w:right w:val="single" w:sz="4" w:space="0" w:color="000000"/>
            </w:tcBorders>
            <w:hideMark/>
          </w:tcPr>
          <w:p w14:paraId="1C124551" w14:textId="77777777" w:rsidR="00147D71" w:rsidRDefault="00147D71" w:rsidP="000B2650">
            <w:pPr>
              <w:pStyle w:val="Default"/>
              <w:ind w:left="141" w:right="-2"/>
              <w:rPr>
                <w:lang w:val="da-DK"/>
              </w:rPr>
            </w:pPr>
            <w:r>
              <w:rPr>
                <w:lang w:val="da-DK"/>
              </w:rPr>
              <w:t>Bulløs pemfigoid</w:t>
            </w:r>
            <w:r>
              <w:rPr>
                <w:vertAlign w:val="superscript"/>
                <w:lang w:val="da-DK"/>
              </w:rPr>
              <w:t>*</w:t>
            </w:r>
          </w:p>
        </w:tc>
        <w:tc>
          <w:tcPr>
            <w:tcW w:w="3875" w:type="dxa"/>
            <w:tcBorders>
              <w:top w:val="single" w:sz="4" w:space="0" w:color="000000"/>
              <w:left w:val="single" w:sz="4" w:space="0" w:color="000000"/>
              <w:bottom w:val="single" w:sz="4" w:space="0" w:color="000000"/>
              <w:right w:val="single" w:sz="4" w:space="0" w:color="000000"/>
            </w:tcBorders>
            <w:hideMark/>
          </w:tcPr>
          <w:p w14:paraId="03F9E967" w14:textId="77777777" w:rsidR="00147D71" w:rsidRDefault="00147D71" w:rsidP="000B2650">
            <w:pPr>
              <w:pStyle w:val="Default"/>
              <w:ind w:left="141" w:right="-2"/>
              <w:jc w:val="center"/>
              <w:rPr>
                <w:lang w:val="da-DK"/>
              </w:rPr>
            </w:pPr>
            <w:r>
              <w:rPr>
                <w:lang w:val="da-DK"/>
              </w:rPr>
              <w:t>Frekvens ikke kendt</w:t>
            </w:r>
          </w:p>
        </w:tc>
      </w:tr>
      <w:tr w:rsidR="00147D71" w14:paraId="089966AC"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tcPr>
          <w:p w14:paraId="1B1A7210" w14:textId="77777777" w:rsidR="00147D71" w:rsidRDefault="00147D71" w:rsidP="000B2650">
            <w:pPr>
              <w:pStyle w:val="Default"/>
              <w:ind w:left="141" w:right="-2"/>
              <w:rPr>
                <w:lang w:val="da-DK"/>
              </w:rPr>
            </w:pPr>
          </w:p>
        </w:tc>
        <w:tc>
          <w:tcPr>
            <w:tcW w:w="3875" w:type="dxa"/>
            <w:tcBorders>
              <w:top w:val="single" w:sz="4" w:space="0" w:color="000000"/>
              <w:left w:val="single" w:sz="4" w:space="0" w:color="000000"/>
              <w:bottom w:val="single" w:sz="4" w:space="0" w:color="000000"/>
              <w:right w:val="single" w:sz="4" w:space="0" w:color="000000"/>
            </w:tcBorders>
          </w:tcPr>
          <w:p w14:paraId="60967F2A" w14:textId="77777777" w:rsidR="00147D71" w:rsidRDefault="00147D71" w:rsidP="000B2650">
            <w:pPr>
              <w:pStyle w:val="Default"/>
              <w:ind w:left="141" w:right="-2"/>
              <w:jc w:val="center"/>
              <w:rPr>
                <w:lang w:val="da-DK"/>
              </w:rPr>
            </w:pPr>
          </w:p>
        </w:tc>
      </w:tr>
      <w:tr w:rsidR="00147D71" w14:paraId="1BB9FED2"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000483FE" w14:textId="77777777" w:rsidR="00147D71" w:rsidRDefault="00147D71" w:rsidP="000B2650">
            <w:pPr>
              <w:pStyle w:val="Default"/>
              <w:ind w:left="141" w:right="-2"/>
              <w:rPr>
                <w:b/>
                <w:bCs/>
                <w:lang w:val="da-DK"/>
              </w:rPr>
            </w:pPr>
            <w:r>
              <w:rPr>
                <w:b/>
                <w:bCs/>
                <w:lang w:val="da-DK"/>
              </w:rPr>
              <w:t>Knogler, led, muskler og bindevæv</w:t>
            </w:r>
          </w:p>
        </w:tc>
        <w:tc>
          <w:tcPr>
            <w:tcW w:w="3875" w:type="dxa"/>
            <w:tcBorders>
              <w:top w:val="single" w:sz="4" w:space="0" w:color="000000"/>
              <w:left w:val="single" w:sz="4" w:space="0" w:color="000000"/>
              <w:bottom w:val="single" w:sz="4" w:space="0" w:color="000000"/>
              <w:right w:val="single" w:sz="4" w:space="0" w:color="000000"/>
            </w:tcBorders>
          </w:tcPr>
          <w:p w14:paraId="484860E5" w14:textId="77777777" w:rsidR="00147D71" w:rsidRDefault="00147D71" w:rsidP="000B2650">
            <w:pPr>
              <w:pStyle w:val="Default"/>
              <w:ind w:left="141" w:right="-2"/>
              <w:jc w:val="center"/>
              <w:rPr>
                <w:lang w:val="da-DK"/>
              </w:rPr>
            </w:pPr>
          </w:p>
        </w:tc>
      </w:tr>
      <w:tr w:rsidR="00147D71" w14:paraId="4851277A"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49718685" w14:textId="77777777" w:rsidR="00147D71" w:rsidRDefault="00147D71" w:rsidP="000B2650">
            <w:pPr>
              <w:pStyle w:val="Default"/>
              <w:ind w:left="141" w:right="-2"/>
              <w:rPr>
                <w:lang w:val="da-DK"/>
              </w:rPr>
            </w:pPr>
            <w:r>
              <w:rPr>
                <w:lang w:val="da-DK"/>
              </w:rPr>
              <w:t>Artralgi</w:t>
            </w:r>
            <w:r>
              <w:rPr>
                <w:vertAlign w:val="superscript"/>
                <w:lang w:val="da-DK"/>
              </w:rPr>
              <w:t>*</w:t>
            </w:r>
          </w:p>
        </w:tc>
        <w:tc>
          <w:tcPr>
            <w:tcW w:w="3875" w:type="dxa"/>
            <w:tcBorders>
              <w:top w:val="single" w:sz="4" w:space="0" w:color="000000"/>
              <w:left w:val="single" w:sz="4" w:space="0" w:color="000000"/>
              <w:bottom w:val="single" w:sz="4" w:space="0" w:color="000000"/>
              <w:right w:val="single" w:sz="4" w:space="0" w:color="000000"/>
            </w:tcBorders>
            <w:hideMark/>
          </w:tcPr>
          <w:p w14:paraId="23427A0E" w14:textId="77777777" w:rsidR="00147D71" w:rsidRDefault="00147D71" w:rsidP="000B2650">
            <w:pPr>
              <w:pStyle w:val="Default"/>
              <w:ind w:left="141" w:right="-2"/>
              <w:jc w:val="center"/>
              <w:rPr>
                <w:lang w:val="da-DK"/>
              </w:rPr>
            </w:pPr>
            <w:r>
              <w:rPr>
                <w:lang w:val="da-DK"/>
              </w:rPr>
              <w:t>Frekvens ikke kendt</w:t>
            </w:r>
          </w:p>
        </w:tc>
      </w:tr>
      <w:tr w:rsidR="00147D71" w14:paraId="18CC9C8B"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6C645C98" w14:textId="77777777" w:rsidR="00147D71" w:rsidRDefault="00147D71" w:rsidP="000B2650">
            <w:pPr>
              <w:pStyle w:val="Default"/>
              <w:ind w:left="141" w:right="-2"/>
              <w:rPr>
                <w:lang w:val="da-DK"/>
              </w:rPr>
            </w:pPr>
            <w:r>
              <w:rPr>
                <w:lang w:val="da-DK"/>
              </w:rPr>
              <w:t>Myalgi</w:t>
            </w:r>
            <w:r>
              <w:rPr>
                <w:vertAlign w:val="superscript"/>
                <w:lang w:val="da-DK"/>
              </w:rPr>
              <w:t>*</w:t>
            </w:r>
          </w:p>
        </w:tc>
        <w:tc>
          <w:tcPr>
            <w:tcW w:w="3875" w:type="dxa"/>
            <w:tcBorders>
              <w:top w:val="single" w:sz="4" w:space="0" w:color="000000"/>
              <w:left w:val="single" w:sz="4" w:space="0" w:color="000000"/>
              <w:bottom w:val="single" w:sz="4" w:space="0" w:color="000000"/>
              <w:right w:val="single" w:sz="4" w:space="0" w:color="000000"/>
            </w:tcBorders>
            <w:hideMark/>
          </w:tcPr>
          <w:p w14:paraId="614114EC" w14:textId="77777777" w:rsidR="00147D71" w:rsidRDefault="00147D71" w:rsidP="000B2650">
            <w:pPr>
              <w:pStyle w:val="Default"/>
              <w:ind w:left="141" w:right="-2"/>
              <w:jc w:val="center"/>
              <w:rPr>
                <w:lang w:val="da-DK"/>
              </w:rPr>
            </w:pPr>
            <w:r>
              <w:rPr>
                <w:lang w:val="da-DK"/>
              </w:rPr>
              <w:t>Frekvens ikke kendt</w:t>
            </w:r>
          </w:p>
        </w:tc>
      </w:tr>
      <w:tr w:rsidR="00147D71" w14:paraId="7C0956C3"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7C9E4F2B" w14:textId="77777777" w:rsidR="00147D71" w:rsidRDefault="00147D71" w:rsidP="000B2650">
            <w:pPr>
              <w:pStyle w:val="Default"/>
              <w:ind w:left="141" w:right="-2"/>
              <w:rPr>
                <w:lang w:val="da-DK"/>
              </w:rPr>
            </w:pPr>
            <w:r>
              <w:rPr>
                <w:lang w:val="da-DK"/>
              </w:rPr>
              <w:t>Ekstremitetssmerte</w:t>
            </w:r>
            <w:r>
              <w:rPr>
                <w:vertAlign w:val="superscript"/>
                <w:lang w:val="da-DK"/>
              </w:rPr>
              <w:t>r*</w:t>
            </w:r>
          </w:p>
        </w:tc>
        <w:tc>
          <w:tcPr>
            <w:tcW w:w="3875" w:type="dxa"/>
            <w:tcBorders>
              <w:top w:val="single" w:sz="4" w:space="0" w:color="000000"/>
              <w:left w:val="single" w:sz="4" w:space="0" w:color="000000"/>
              <w:bottom w:val="single" w:sz="4" w:space="0" w:color="000000"/>
              <w:right w:val="single" w:sz="4" w:space="0" w:color="000000"/>
            </w:tcBorders>
            <w:hideMark/>
          </w:tcPr>
          <w:p w14:paraId="60501A2F" w14:textId="77777777" w:rsidR="00147D71" w:rsidRDefault="00147D71" w:rsidP="000B2650">
            <w:pPr>
              <w:pStyle w:val="Default"/>
              <w:ind w:left="141" w:right="-2"/>
              <w:jc w:val="center"/>
              <w:rPr>
                <w:lang w:val="da-DK"/>
              </w:rPr>
            </w:pPr>
            <w:r>
              <w:rPr>
                <w:lang w:val="da-DK"/>
              </w:rPr>
              <w:t>Frekvens ikke kendt</w:t>
            </w:r>
          </w:p>
        </w:tc>
      </w:tr>
      <w:tr w:rsidR="00147D71" w14:paraId="22881DC4"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0D5260F1" w14:textId="77777777" w:rsidR="00147D71" w:rsidRDefault="00147D71" w:rsidP="000B2650">
            <w:pPr>
              <w:pStyle w:val="Default"/>
              <w:ind w:left="141" w:right="-2"/>
              <w:rPr>
                <w:lang w:val="da-DK"/>
              </w:rPr>
            </w:pPr>
            <w:r>
              <w:rPr>
                <w:lang w:val="da-DK"/>
              </w:rPr>
              <w:t>Rygsmerter</w:t>
            </w:r>
            <w:r>
              <w:rPr>
                <w:vertAlign w:val="superscript"/>
                <w:lang w:val="da-DK"/>
              </w:rPr>
              <w:t>*</w:t>
            </w:r>
          </w:p>
        </w:tc>
        <w:tc>
          <w:tcPr>
            <w:tcW w:w="3875" w:type="dxa"/>
            <w:tcBorders>
              <w:top w:val="single" w:sz="4" w:space="0" w:color="000000"/>
              <w:left w:val="single" w:sz="4" w:space="0" w:color="000000"/>
              <w:bottom w:val="single" w:sz="4" w:space="0" w:color="000000"/>
              <w:right w:val="single" w:sz="4" w:space="0" w:color="000000"/>
            </w:tcBorders>
            <w:hideMark/>
          </w:tcPr>
          <w:p w14:paraId="2C5DB8D2" w14:textId="77777777" w:rsidR="00147D71" w:rsidRDefault="00147D71" w:rsidP="000B2650">
            <w:pPr>
              <w:pStyle w:val="Default"/>
              <w:ind w:left="141" w:right="-2"/>
              <w:jc w:val="center"/>
              <w:rPr>
                <w:lang w:val="da-DK"/>
              </w:rPr>
            </w:pPr>
            <w:r>
              <w:rPr>
                <w:lang w:val="da-DK"/>
              </w:rPr>
              <w:t>Frekvens ikke kendt</w:t>
            </w:r>
          </w:p>
        </w:tc>
      </w:tr>
      <w:tr w:rsidR="00147D71" w14:paraId="08C324CB"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5AEABAFF" w14:textId="77777777" w:rsidR="00147D71" w:rsidRDefault="00147D71" w:rsidP="000B2650">
            <w:pPr>
              <w:pStyle w:val="Default"/>
              <w:ind w:left="141" w:right="-2"/>
              <w:rPr>
                <w:lang w:val="da-DK"/>
              </w:rPr>
            </w:pPr>
            <w:r>
              <w:rPr>
                <w:lang w:val="da-DK"/>
              </w:rPr>
              <w:t>Artropati</w:t>
            </w:r>
            <w:r>
              <w:rPr>
                <w:vertAlign w:val="superscript"/>
                <w:lang w:val="da-DK"/>
              </w:rPr>
              <w:t>*</w:t>
            </w:r>
          </w:p>
        </w:tc>
        <w:tc>
          <w:tcPr>
            <w:tcW w:w="3875" w:type="dxa"/>
            <w:tcBorders>
              <w:top w:val="single" w:sz="4" w:space="0" w:color="000000"/>
              <w:left w:val="single" w:sz="4" w:space="0" w:color="000000"/>
              <w:bottom w:val="single" w:sz="4" w:space="0" w:color="000000"/>
              <w:right w:val="single" w:sz="4" w:space="0" w:color="000000"/>
            </w:tcBorders>
            <w:hideMark/>
          </w:tcPr>
          <w:p w14:paraId="7A14BDD2" w14:textId="77777777" w:rsidR="00147D71" w:rsidRDefault="00147D71" w:rsidP="000B2650">
            <w:pPr>
              <w:pStyle w:val="Default"/>
              <w:ind w:left="141" w:right="-2"/>
              <w:jc w:val="center"/>
              <w:rPr>
                <w:lang w:val="da-DK"/>
              </w:rPr>
            </w:pPr>
            <w:r>
              <w:rPr>
                <w:lang w:val="da-DK"/>
              </w:rPr>
              <w:t>Frekvens ikke kendt</w:t>
            </w:r>
          </w:p>
        </w:tc>
      </w:tr>
      <w:tr w:rsidR="00147D71" w14:paraId="766585DF"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tcPr>
          <w:p w14:paraId="41672AD5" w14:textId="77777777" w:rsidR="00147D71" w:rsidRDefault="00147D71" w:rsidP="000B2650">
            <w:pPr>
              <w:pStyle w:val="Default"/>
              <w:ind w:left="141" w:right="-2"/>
              <w:rPr>
                <w:lang w:val="da-DK"/>
              </w:rPr>
            </w:pPr>
          </w:p>
        </w:tc>
        <w:tc>
          <w:tcPr>
            <w:tcW w:w="3875" w:type="dxa"/>
            <w:tcBorders>
              <w:top w:val="single" w:sz="4" w:space="0" w:color="000000"/>
              <w:left w:val="single" w:sz="4" w:space="0" w:color="000000"/>
              <w:bottom w:val="single" w:sz="4" w:space="0" w:color="000000"/>
              <w:right w:val="single" w:sz="4" w:space="0" w:color="000000"/>
            </w:tcBorders>
          </w:tcPr>
          <w:p w14:paraId="2DE2F1DD" w14:textId="77777777" w:rsidR="00147D71" w:rsidRDefault="00147D71" w:rsidP="000B2650">
            <w:pPr>
              <w:pStyle w:val="Default"/>
              <w:ind w:left="141" w:right="-2"/>
              <w:jc w:val="center"/>
              <w:rPr>
                <w:lang w:val="da-DK"/>
              </w:rPr>
            </w:pPr>
          </w:p>
        </w:tc>
      </w:tr>
      <w:tr w:rsidR="00147D71" w14:paraId="5084F741"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2FCDAD01" w14:textId="77777777" w:rsidR="00147D71" w:rsidRDefault="00147D71" w:rsidP="000B2650">
            <w:pPr>
              <w:pStyle w:val="Default"/>
              <w:ind w:left="141" w:right="-2"/>
              <w:rPr>
                <w:b/>
                <w:bCs/>
                <w:lang w:val="da-DK"/>
              </w:rPr>
            </w:pPr>
            <w:r>
              <w:rPr>
                <w:b/>
                <w:bCs/>
                <w:lang w:val="da-DK"/>
              </w:rPr>
              <w:t>Nyrer og urinveje</w:t>
            </w:r>
          </w:p>
        </w:tc>
        <w:tc>
          <w:tcPr>
            <w:tcW w:w="3875" w:type="dxa"/>
            <w:tcBorders>
              <w:top w:val="single" w:sz="4" w:space="0" w:color="000000"/>
              <w:left w:val="single" w:sz="4" w:space="0" w:color="000000"/>
              <w:bottom w:val="single" w:sz="4" w:space="0" w:color="000000"/>
              <w:right w:val="single" w:sz="4" w:space="0" w:color="000000"/>
            </w:tcBorders>
          </w:tcPr>
          <w:p w14:paraId="0072D5E9" w14:textId="77777777" w:rsidR="00147D71" w:rsidRDefault="00147D71" w:rsidP="000B2650">
            <w:pPr>
              <w:pStyle w:val="Default"/>
              <w:ind w:left="141" w:right="-2"/>
              <w:jc w:val="center"/>
              <w:rPr>
                <w:lang w:val="da-DK"/>
              </w:rPr>
            </w:pPr>
          </w:p>
        </w:tc>
      </w:tr>
      <w:tr w:rsidR="00147D71" w14:paraId="320E5621"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180E4784" w14:textId="77777777" w:rsidR="00147D71" w:rsidRDefault="00147D71" w:rsidP="000B2650">
            <w:pPr>
              <w:pStyle w:val="Default"/>
              <w:ind w:left="141" w:right="-2"/>
              <w:rPr>
                <w:lang w:val="da-DK"/>
              </w:rPr>
            </w:pPr>
            <w:r>
              <w:rPr>
                <w:lang w:val="da-DK"/>
              </w:rPr>
              <w:t>Nedsat nyrefunktion</w:t>
            </w:r>
            <w:r>
              <w:rPr>
                <w:vertAlign w:val="superscript"/>
                <w:lang w:val="da-DK"/>
              </w:rPr>
              <w:t>*</w:t>
            </w:r>
          </w:p>
        </w:tc>
        <w:tc>
          <w:tcPr>
            <w:tcW w:w="3875" w:type="dxa"/>
            <w:tcBorders>
              <w:top w:val="single" w:sz="4" w:space="0" w:color="000000"/>
              <w:left w:val="single" w:sz="4" w:space="0" w:color="000000"/>
              <w:bottom w:val="single" w:sz="4" w:space="0" w:color="000000"/>
              <w:right w:val="single" w:sz="4" w:space="0" w:color="000000"/>
            </w:tcBorders>
            <w:hideMark/>
          </w:tcPr>
          <w:p w14:paraId="76DA5C28" w14:textId="77777777" w:rsidR="00147D71" w:rsidRDefault="00147D71" w:rsidP="000B2650">
            <w:pPr>
              <w:pStyle w:val="Default"/>
              <w:ind w:left="141" w:right="-2"/>
              <w:jc w:val="center"/>
              <w:rPr>
                <w:lang w:val="da-DK"/>
              </w:rPr>
            </w:pPr>
            <w:r>
              <w:rPr>
                <w:lang w:val="da-DK"/>
              </w:rPr>
              <w:t>Frekvens ikke kendt</w:t>
            </w:r>
          </w:p>
        </w:tc>
      </w:tr>
      <w:tr w:rsidR="00147D71" w14:paraId="51D209A9" w14:textId="77777777" w:rsidTr="007D5CAD">
        <w:trPr>
          <w:trHeight w:val="258"/>
        </w:trPr>
        <w:tc>
          <w:tcPr>
            <w:tcW w:w="5200" w:type="dxa"/>
            <w:tcBorders>
              <w:top w:val="single" w:sz="4" w:space="0" w:color="000000"/>
              <w:left w:val="single" w:sz="4" w:space="0" w:color="000000"/>
              <w:bottom w:val="single" w:sz="4" w:space="0" w:color="000000"/>
              <w:right w:val="single" w:sz="4" w:space="0" w:color="000000"/>
            </w:tcBorders>
            <w:hideMark/>
          </w:tcPr>
          <w:p w14:paraId="6B0B0388" w14:textId="77777777" w:rsidR="00147D71" w:rsidRDefault="00147D71" w:rsidP="000B2650">
            <w:pPr>
              <w:pStyle w:val="Default"/>
              <w:ind w:left="141" w:right="-2"/>
              <w:rPr>
                <w:lang w:val="da-DK"/>
              </w:rPr>
            </w:pPr>
            <w:r>
              <w:rPr>
                <w:lang w:val="da-DK"/>
              </w:rPr>
              <w:t>Akut nyresvigt</w:t>
            </w:r>
            <w:r>
              <w:rPr>
                <w:vertAlign w:val="superscript"/>
                <w:lang w:val="da-DK"/>
              </w:rPr>
              <w:t>*</w:t>
            </w:r>
          </w:p>
        </w:tc>
        <w:tc>
          <w:tcPr>
            <w:tcW w:w="3875" w:type="dxa"/>
            <w:tcBorders>
              <w:top w:val="single" w:sz="4" w:space="0" w:color="000000"/>
              <w:left w:val="single" w:sz="4" w:space="0" w:color="000000"/>
              <w:bottom w:val="single" w:sz="4" w:space="0" w:color="000000"/>
              <w:right w:val="single" w:sz="4" w:space="0" w:color="000000"/>
            </w:tcBorders>
            <w:hideMark/>
          </w:tcPr>
          <w:p w14:paraId="2093668E" w14:textId="77777777" w:rsidR="00147D71" w:rsidRDefault="00147D71" w:rsidP="000B2650">
            <w:pPr>
              <w:pStyle w:val="Default"/>
              <w:ind w:left="141" w:right="-2"/>
              <w:jc w:val="center"/>
              <w:rPr>
                <w:lang w:val="da-DK"/>
              </w:rPr>
            </w:pPr>
            <w:r>
              <w:rPr>
                <w:lang w:val="da-DK"/>
              </w:rPr>
              <w:t>Frekvens ikke kendt</w:t>
            </w:r>
          </w:p>
        </w:tc>
      </w:tr>
    </w:tbl>
    <w:p w14:paraId="01C97B74" w14:textId="77777777" w:rsidR="00147D71" w:rsidRDefault="00147D71" w:rsidP="007D5CAD">
      <w:pPr>
        <w:pStyle w:val="Default"/>
        <w:ind w:left="851" w:right="-2"/>
        <w:rPr>
          <w:lang w:val="da-DK"/>
        </w:rPr>
      </w:pPr>
      <w:r>
        <w:rPr>
          <w:lang w:val="da-DK"/>
        </w:rPr>
        <w:t>*Bivirkninger identificeret ved bivirkningsovervågning efter markedsføring.</w:t>
      </w:r>
    </w:p>
    <w:p w14:paraId="2991C990" w14:textId="77777777" w:rsidR="00147D71" w:rsidRDefault="00147D71" w:rsidP="007D5CAD">
      <w:pPr>
        <w:pStyle w:val="Default"/>
        <w:ind w:left="851" w:right="-2"/>
        <w:rPr>
          <w:lang w:val="da-DK"/>
        </w:rPr>
      </w:pPr>
      <w:r>
        <w:rPr>
          <w:lang w:val="da-DK"/>
        </w:rPr>
        <w:t>†Se pkt. 4.4.</w:t>
      </w:r>
    </w:p>
    <w:p w14:paraId="58EE6A89" w14:textId="77777777" w:rsidR="00147D71" w:rsidRDefault="00147D71" w:rsidP="007D5CAD">
      <w:pPr>
        <w:pStyle w:val="Default"/>
        <w:ind w:left="851" w:right="-2"/>
        <w:rPr>
          <w:lang w:val="da-DK"/>
        </w:rPr>
      </w:pPr>
      <w:r>
        <w:rPr>
          <w:lang w:val="da-DK"/>
        </w:rPr>
        <w:t xml:space="preserve">‡Se det </w:t>
      </w:r>
      <w:r>
        <w:rPr>
          <w:i/>
          <w:iCs/>
          <w:lang w:val="da-DK"/>
        </w:rPr>
        <w:t>kardiovaskulære sikkerhedsstudie TECOS</w:t>
      </w:r>
      <w:r>
        <w:rPr>
          <w:lang w:val="da-DK"/>
        </w:rPr>
        <w:t xml:space="preserve"> nedenfor.</w:t>
      </w:r>
    </w:p>
    <w:p w14:paraId="4D79F6B7" w14:textId="77777777" w:rsidR="00147D71" w:rsidRDefault="00147D71" w:rsidP="007D5CAD">
      <w:pPr>
        <w:pStyle w:val="Default"/>
        <w:ind w:left="851" w:right="-2"/>
        <w:rPr>
          <w:u w:val="single"/>
          <w:lang w:val="da-DK"/>
        </w:rPr>
      </w:pPr>
    </w:p>
    <w:p w14:paraId="5AFAA85D" w14:textId="77777777" w:rsidR="00147D71" w:rsidRDefault="00147D71" w:rsidP="007D5CAD">
      <w:pPr>
        <w:pStyle w:val="Default"/>
        <w:ind w:left="851" w:right="-2"/>
        <w:rPr>
          <w:u w:val="single"/>
          <w:lang w:val="da-DK"/>
        </w:rPr>
      </w:pPr>
      <w:r>
        <w:rPr>
          <w:u w:val="single"/>
          <w:lang w:val="da-DK"/>
        </w:rPr>
        <w:t>Beskrivelse af udvalgte bivirkninger</w:t>
      </w:r>
    </w:p>
    <w:p w14:paraId="5D19E87A" w14:textId="77777777" w:rsidR="00147D71" w:rsidRDefault="00147D71" w:rsidP="007D5CAD">
      <w:pPr>
        <w:pStyle w:val="Default"/>
        <w:ind w:left="851" w:right="-2"/>
        <w:rPr>
          <w:lang w:val="da-DK"/>
        </w:rPr>
      </w:pPr>
      <w:r>
        <w:rPr>
          <w:lang w:val="da-DK"/>
        </w:rPr>
        <w:t>Nogle bivirkninger blev observeret hyppigere i undersøgelser med sitagliptin i kombination med metformin og andre antidiabetika end i undersøgelser med sitagliptin og metformin-monoterapi. Disse omfattede hypoglykæmi (frekvens: meget almindelig med sulfonylurinstoffer eller insulin), obstipation (almindelig med sulfonylurinstoffer), perifert ødem (almindelig med pioglitazon) og hovedpine og mundtørhed (ikke almindelig med insulin).</w:t>
      </w:r>
    </w:p>
    <w:p w14:paraId="45F8715A" w14:textId="77777777" w:rsidR="00147D71" w:rsidRDefault="00147D71" w:rsidP="007D5CAD">
      <w:pPr>
        <w:pStyle w:val="Default"/>
        <w:ind w:left="851" w:right="-2"/>
        <w:rPr>
          <w:lang w:val="da-DK"/>
        </w:rPr>
      </w:pPr>
    </w:p>
    <w:p w14:paraId="67216C26" w14:textId="77777777" w:rsidR="00147D71" w:rsidRDefault="00147D71" w:rsidP="007D5CAD">
      <w:pPr>
        <w:pStyle w:val="Default"/>
        <w:ind w:left="851" w:right="-2"/>
        <w:rPr>
          <w:i/>
          <w:iCs/>
          <w:lang w:val="da-DK"/>
        </w:rPr>
      </w:pPr>
      <w:r>
        <w:rPr>
          <w:i/>
          <w:iCs/>
          <w:lang w:val="da-DK"/>
        </w:rPr>
        <w:t>Sitagliptin</w:t>
      </w:r>
    </w:p>
    <w:p w14:paraId="083EE193" w14:textId="77777777" w:rsidR="00147D71" w:rsidRDefault="00147D71" w:rsidP="007D5CAD">
      <w:pPr>
        <w:pStyle w:val="Default"/>
        <w:ind w:left="851" w:right="-2"/>
        <w:rPr>
          <w:lang w:val="da-DK"/>
        </w:rPr>
      </w:pPr>
      <w:r>
        <w:rPr>
          <w:lang w:val="da-DK"/>
        </w:rPr>
        <w:t>I monoterapiundersøgelser af sitagliptin 100 mg en gang daglig alene sammenlignet med placebo er der rapporteret om følgende bivirkninger: Hovedpine, hypoglykæmi, obstipation og svimmelhed.</w:t>
      </w:r>
    </w:p>
    <w:p w14:paraId="6F6069DD" w14:textId="77777777" w:rsidR="00147D71" w:rsidRDefault="00147D71" w:rsidP="007D5CAD">
      <w:pPr>
        <w:pStyle w:val="Default"/>
        <w:ind w:left="851" w:right="-2"/>
        <w:rPr>
          <w:lang w:val="da-DK"/>
        </w:rPr>
      </w:pPr>
    </w:p>
    <w:p w14:paraId="60CA3C98" w14:textId="4040E41A" w:rsidR="00147D71" w:rsidRDefault="00147D71" w:rsidP="007D5CAD">
      <w:pPr>
        <w:pStyle w:val="Default"/>
        <w:ind w:left="851" w:right="-2"/>
        <w:rPr>
          <w:lang w:val="da-DK"/>
        </w:rPr>
      </w:pPr>
      <w:r>
        <w:rPr>
          <w:lang w:val="da-DK"/>
        </w:rPr>
        <w:t>De bivirkninger, som forekom hos mindst 5</w:t>
      </w:r>
      <w:r w:rsidR="00DF7C99">
        <w:rPr>
          <w:lang w:val="da-DK"/>
        </w:rPr>
        <w:t xml:space="preserve"> %</w:t>
      </w:r>
      <w:r>
        <w:rPr>
          <w:lang w:val="da-DK"/>
        </w:rPr>
        <w:t xml:space="preserve"> af disse patienter, og som blev rapporteret uanset kausal sammenhæng, inkluderede øvre luftvejsinfektion og nasopharyngitis. Desuden er osteoarthritis og ekstremitetssmerter rapporteret med frekvensen ikke almindelig (&gt; 0,5</w:t>
      </w:r>
      <w:r w:rsidR="00DF7C99">
        <w:rPr>
          <w:lang w:val="da-DK"/>
        </w:rPr>
        <w:t xml:space="preserve"> %</w:t>
      </w:r>
      <w:r>
        <w:rPr>
          <w:lang w:val="da-DK"/>
        </w:rPr>
        <w:t xml:space="preserve"> højere hos de brugere, der fik sitagliptin, end i kontrolgruppen).</w:t>
      </w:r>
    </w:p>
    <w:p w14:paraId="4983700E" w14:textId="77777777" w:rsidR="00147D71" w:rsidRDefault="00147D71" w:rsidP="007D5CAD">
      <w:pPr>
        <w:pStyle w:val="Default"/>
        <w:ind w:left="851" w:right="-2"/>
        <w:rPr>
          <w:lang w:val="da-DK"/>
        </w:rPr>
      </w:pPr>
    </w:p>
    <w:p w14:paraId="526EA4F2" w14:textId="77777777" w:rsidR="00147D71" w:rsidRDefault="00147D71" w:rsidP="007D5CAD">
      <w:pPr>
        <w:pStyle w:val="Default"/>
        <w:ind w:left="851" w:right="-2"/>
        <w:rPr>
          <w:i/>
          <w:iCs/>
          <w:lang w:val="da-DK"/>
        </w:rPr>
      </w:pPr>
      <w:r>
        <w:rPr>
          <w:i/>
          <w:iCs/>
          <w:lang w:val="da-DK"/>
        </w:rPr>
        <w:t>Metformin</w:t>
      </w:r>
    </w:p>
    <w:p w14:paraId="79BACC46" w14:textId="2A1A5AD7" w:rsidR="00147D71" w:rsidRDefault="00147D71" w:rsidP="007D5CAD">
      <w:pPr>
        <w:pStyle w:val="Default"/>
        <w:ind w:left="851" w:right="-2"/>
        <w:rPr>
          <w:lang w:val="da-DK"/>
        </w:rPr>
      </w:pPr>
      <w:r>
        <w:rPr>
          <w:lang w:val="da-DK"/>
        </w:rPr>
        <w:t xml:space="preserve">Symptomer fra mave-tarm-kanalen blev rapporteret med frekvensen meget almindelig i kliniske undersøgelser og ved brug af metformin efter markedsføring. Symptomer fra mave-tarm-kanalen som kvalme, opkastning, diarré, mavesmerter og appetitløshed forekommer hyppigst i forbindelse med initiering af behandlingen og forsvinder spontant i de fleste tilfælde. Yderligere bivirkninger, der er associeret med metformin, omfatter metallisk smag i munden (almindelig); laktacidose, leverinsufficiens, hepatitis, urticaria, erythema og pruritus (meget sjælden). </w:t>
      </w:r>
      <w:r w:rsidR="00D45E98">
        <w:rPr>
          <w:lang w:val="da-DK"/>
        </w:rPr>
        <w:t>Frekvenserne er baseret på information fra produktresuméer for metformin, der er tilgængelige i EU.</w:t>
      </w:r>
    </w:p>
    <w:p w14:paraId="0E3B9D02" w14:textId="77777777" w:rsidR="00147D71" w:rsidRDefault="00147D71" w:rsidP="007D5CAD">
      <w:pPr>
        <w:pStyle w:val="Default"/>
        <w:ind w:left="851" w:right="-2"/>
        <w:rPr>
          <w:lang w:val="da-DK"/>
        </w:rPr>
      </w:pPr>
    </w:p>
    <w:p w14:paraId="200307B5" w14:textId="77777777" w:rsidR="00147D71" w:rsidRDefault="00147D71" w:rsidP="007D5CAD">
      <w:pPr>
        <w:pStyle w:val="Default"/>
        <w:ind w:left="851" w:right="-2"/>
        <w:rPr>
          <w:u w:val="single"/>
          <w:lang w:val="da-DK"/>
        </w:rPr>
      </w:pPr>
      <w:r>
        <w:rPr>
          <w:u w:val="single"/>
          <w:lang w:val="da-DK"/>
        </w:rPr>
        <w:t>Pædiatrisk population</w:t>
      </w:r>
    </w:p>
    <w:p w14:paraId="2F4B6426" w14:textId="77777777" w:rsidR="00147D71" w:rsidRDefault="00147D71" w:rsidP="007D5CAD">
      <w:pPr>
        <w:pStyle w:val="Default"/>
        <w:ind w:left="851" w:right="-2"/>
        <w:rPr>
          <w:lang w:val="da-DK"/>
        </w:rPr>
      </w:pPr>
      <w:r>
        <w:rPr>
          <w:lang w:val="da-DK"/>
        </w:rPr>
        <w:t>I kliniske studier med sitagliptin/metformin-kombination hos pædiatriske patienter med type 2-diabetes mellitus i alderen 10 til 17 år var bivirkningsprofilen generelt sammenlignelig med den, der blev set hos voksne. Hos pædiatriske patienter, som fik eller som ikke fik insulin som baggrundsbehandling, blev sitagliptin forbundet med en øget risiko for hypoglykæmi.</w:t>
      </w:r>
    </w:p>
    <w:p w14:paraId="7A4DE4E3" w14:textId="77777777" w:rsidR="00147D71" w:rsidRDefault="00147D71" w:rsidP="007D5CAD">
      <w:pPr>
        <w:pStyle w:val="Default"/>
        <w:ind w:left="851" w:right="-2"/>
        <w:rPr>
          <w:lang w:val="da-DK"/>
        </w:rPr>
      </w:pPr>
    </w:p>
    <w:p w14:paraId="1952C590" w14:textId="77777777" w:rsidR="00147D71" w:rsidRDefault="00147D71" w:rsidP="007D5CAD">
      <w:pPr>
        <w:pStyle w:val="Default"/>
        <w:ind w:left="851" w:right="-2"/>
        <w:rPr>
          <w:i/>
          <w:iCs/>
          <w:lang w:val="da-DK"/>
        </w:rPr>
      </w:pPr>
      <w:r>
        <w:rPr>
          <w:i/>
          <w:iCs/>
          <w:lang w:val="da-DK"/>
        </w:rPr>
        <w:t>Kardiovaskulært sikkerhedsstudie TECOS</w:t>
      </w:r>
    </w:p>
    <w:p w14:paraId="1771EAC6" w14:textId="77777777" w:rsidR="00147D71" w:rsidRDefault="00147D71" w:rsidP="007D5CAD">
      <w:pPr>
        <w:pStyle w:val="Default"/>
        <w:ind w:left="851" w:right="-2"/>
        <w:rPr>
          <w:lang w:val="da-DK"/>
        </w:rPr>
      </w:pPr>
      <w:r>
        <w:rPr>
          <w:lang w:val="da-DK"/>
        </w:rPr>
        <w:t>TECOS-studiet (</w:t>
      </w:r>
      <w:r>
        <w:rPr>
          <w:i/>
          <w:iCs/>
          <w:lang w:val="da-DK"/>
        </w:rPr>
        <w:t>The Trial Evaluating Cardiovascular Outcomes with Sitagliptin</w:t>
      </w:r>
      <w:r>
        <w:rPr>
          <w:lang w:val="da-DK"/>
        </w:rPr>
        <w:t xml:space="preserve">) inkluderede 7.332 patienter, som blev behandlet med sitagliptin 100 mg daglig (eller 50 mg daglig, hvis eGFR ved </w:t>
      </w:r>
      <w:r>
        <w:rPr>
          <w:i/>
          <w:iCs/>
          <w:lang w:val="da-DK"/>
        </w:rPr>
        <w:t>baseline</w:t>
      </w:r>
      <w:r>
        <w:rPr>
          <w:lang w:val="da-DK"/>
        </w:rPr>
        <w:t xml:space="preserve"> var ≥ 30 og &lt; 50 ml/min/1,73 m</w:t>
      </w:r>
      <w:r>
        <w:rPr>
          <w:vertAlign w:val="superscript"/>
          <w:lang w:val="da-DK"/>
        </w:rPr>
        <w:t>2</w:t>
      </w:r>
      <w:r>
        <w:rPr>
          <w:lang w:val="da-DK"/>
        </w:rPr>
        <w:t xml:space="preserve">), og 7.339 patienter, som fik placebo, i </w:t>
      </w:r>
      <w:r>
        <w:rPr>
          <w:i/>
          <w:iCs/>
          <w:lang w:val="da-DK"/>
        </w:rPr>
        <w:t>intention to treat</w:t>
      </w:r>
      <w:r>
        <w:rPr>
          <w:lang w:val="da-DK"/>
        </w:rPr>
        <w:t>-populationen. Begge behandlinger blev givet som supplement til standardbehandling målrettet de regionale standarder for HbA</w:t>
      </w:r>
      <w:r>
        <w:rPr>
          <w:vertAlign w:val="subscript"/>
          <w:lang w:val="da-DK"/>
        </w:rPr>
        <w:t>1c</w:t>
      </w:r>
      <w:r>
        <w:rPr>
          <w:lang w:val="da-DK"/>
        </w:rPr>
        <w:t xml:space="preserve"> og kardiovaskulære risikofaktorer. Den samlede incidens af alvorlige bivirkninger hos patienter i sitagliptin-armen var den samme som hos patienter i placebo- armen.</w:t>
      </w:r>
    </w:p>
    <w:p w14:paraId="08487005" w14:textId="77777777" w:rsidR="00147D71" w:rsidRDefault="00147D71" w:rsidP="007D5CAD">
      <w:pPr>
        <w:pStyle w:val="Default"/>
        <w:ind w:left="851" w:right="-2"/>
        <w:rPr>
          <w:lang w:val="da-DK"/>
        </w:rPr>
      </w:pPr>
    </w:p>
    <w:p w14:paraId="5DFE2B3C" w14:textId="3D3D8363" w:rsidR="00147D71" w:rsidRDefault="00147D71" w:rsidP="007D5CAD">
      <w:pPr>
        <w:pStyle w:val="Default"/>
        <w:ind w:left="851" w:right="-2"/>
        <w:rPr>
          <w:lang w:val="da-DK"/>
        </w:rPr>
      </w:pPr>
      <w:r>
        <w:rPr>
          <w:lang w:val="da-DK"/>
        </w:rPr>
        <w:t>I</w:t>
      </w:r>
      <w:r>
        <w:rPr>
          <w:i/>
          <w:iCs/>
          <w:lang w:val="da-DK"/>
        </w:rPr>
        <w:t xml:space="preserve"> intention to treat</w:t>
      </w:r>
      <w:r>
        <w:rPr>
          <w:lang w:val="da-DK"/>
        </w:rPr>
        <w:t xml:space="preserve">-populationen var incidensen af svær hypoglykæmi blandt patienter, som fik insulin og/eller et sulfonylurinstof ved </w:t>
      </w:r>
      <w:r>
        <w:rPr>
          <w:i/>
          <w:iCs/>
          <w:lang w:val="da-DK"/>
        </w:rPr>
        <w:t>baseline</w:t>
      </w:r>
      <w:r>
        <w:rPr>
          <w:lang w:val="da-DK"/>
        </w:rPr>
        <w:t>, 2,7</w:t>
      </w:r>
      <w:r w:rsidR="00DF7C99">
        <w:rPr>
          <w:lang w:val="da-DK"/>
        </w:rPr>
        <w:t xml:space="preserve"> %</w:t>
      </w:r>
      <w:r>
        <w:rPr>
          <w:lang w:val="da-DK"/>
        </w:rPr>
        <w:t xml:space="preserve"> hos patienter i sitagliptin-armen og 2,5</w:t>
      </w:r>
      <w:r w:rsidR="00DF7C99">
        <w:rPr>
          <w:lang w:val="da-DK"/>
        </w:rPr>
        <w:t xml:space="preserve"> %</w:t>
      </w:r>
      <w:r>
        <w:rPr>
          <w:lang w:val="da-DK"/>
        </w:rPr>
        <w:t xml:space="preserve"> hos patienter i placebo-armen. Blandt patienter, som ikke fik insulin og/eller et sulfonylurinstof ved </w:t>
      </w:r>
      <w:r>
        <w:rPr>
          <w:i/>
          <w:iCs/>
          <w:lang w:val="da-DK"/>
        </w:rPr>
        <w:t>baseline</w:t>
      </w:r>
      <w:r>
        <w:rPr>
          <w:lang w:val="da-DK"/>
        </w:rPr>
        <w:t>, var incidensen af svær hypoglykæmi 1,0</w:t>
      </w:r>
      <w:r w:rsidR="00DF7C99">
        <w:rPr>
          <w:lang w:val="da-DK"/>
        </w:rPr>
        <w:t xml:space="preserve"> %</w:t>
      </w:r>
      <w:r>
        <w:rPr>
          <w:lang w:val="da-DK"/>
        </w:rPr>
        <w:t xml:space="preserve"> i sitagliptin-armen og 0,7</w:t>
      </w:r>
      <w:r w:rsidR="00DF7C99">
        <w:rPr>
          <w:lang w:val="da-DK"/>
        </w:rPr>
        <w:t xml:space="preserve"> %</w:t>
      </w:r>
      <w:r>
        <w:rPr>
          <w:lang w:val="da-DK"/>
        </w:rPr>
        <w:t xml:space="preserve"> i placebo-armen. Incidensen af bekræftede tilfælde af pankreatitis var 0,3</w:t>
      </w:r>
      <w:r w:rsidR="00DF7C99">
        <w:rPr>
          <w:lang w:val="da-DK"/>
        </w:rPr>
        <w:t> %</w:t>
      </w:r>
      <w:r>
        <w:rPr>
          <w:lang w:val="da-DK"/>
        </w:rPr>
        <w:t xml:space="preserve"> i sitagliptin-armen og 0,2</w:t>
      </w:r>
      <w:r w:rsidR="00DF7C99">
        <w:rPr>
          <w:lang w:val="da-DK"/>
        </w:rPr>
        <w:t xml:space="preserve"> %</w:t>
      </w:r>
      <w:r>
        <w:rPr>
          <w:lang w:val="da-DK"/>
        </w:rPr>
        <w:t xml:space="preserve"> i placebo-armen.</w:t>
      </w:r>
    </w:p>
    <w:p w14:paraId="7ACD7835" w14:textId="77777777" w:rsidR="00147D71" w:rsidRDefault="00147D71" w:rsidP="007D5CAD">
      <w:pPr>
        <w:pStyle w:val="Default"/>
        <w:ind w:left="851" w:right="-2"/>
        <w:rPr>
          <w:lang w:val="da-DK"/>
        </w:rPr>
      </w:pPr>
    </w:p>
    <w:p w14:paraId="37897A2C" w14:textId="77777777" w:rsidR="00147D71" w:rsidRDefault="00147D71" w:rsidP="007D5CAD">
      <w:pPr>
        <w:pStyle w:val="Default"/>
        <w:ind w:left="851" w:right="-2"/>
        <w:rPr>
          <w:u w:val="single"/>
          <w:lang w:val="da-DK"/>
        </w:rPr>
      </w:pPr>
      <w:r>
        <w:rPr>
          <w:u w:val="single"/>
          <w:lang w:val="da-DK"/>
        </w:rPr>
        <w:t>Indberetning af formodede bivirkninger</w:t>
      </w:r>
    </w:p>
    <w:p w14:paraId="3020B9A2" w14:textId="77777777" w:rsidR="00147D71" w:rsidRDefault="00147D71" w:rsidP="007D5CAD">
      <w:pPr>
        <w:pStyle w:val="Default"/>
        <w:ind w:left="851" w:right="-2"/>
        <w:rPr>
          <w:lang w:val="da-DK"/>
        </w:rPr>
      </w:pPr>
      <w:r>
        <w:rPr>
          <w:lang w:val="da-DK"/>
        </w:rPr>
        <w:t>Når lægemidlet er godkendt, er indberetning af formodede bivirkninger vigtig. Det muliggør løbende overvågning af benefit/risk-forholdet for lægemidlet. Sundhedspersoner anmodes om at indberette alle formodede bivirkninger via</w:t>
      </w:r>
    </w:p>
    <w:p w14:paraId="727E58E9" w14:textId="77777777" w:rsidR="00147D71" w:rsidRDefault="00147D71" w:rsidP="007D5CAD">
      <w:pPr>
        <w:pStyle w:val="Default"/>
        <w:ind w:left="851" w:right="-2"/>
        <w:rPr>
          <w:lang w:val="da-DK"/>
        </w:rPr>
      </w:pPr>
    </w:p>
    <w:p w14:paraId="7425D369" w14:textId="77777777" w:rsidR="00147D71" w:rsidRDefault="00147D71" w:rsidP="007D5CAD">
      <w:pPr>
        <w:ind w:left="851"/>
        <w:rPr>
          <w:rFonts w:eastAsia="Calibri"/>
          <w:color w:val="000000"/>
          <w:szCs w:val="24"/>
          <w:lang w:eastAsia="zh-CN"/>
        </w:rPr>
      </w:pPr>
      <w:r>
        <w:rPr>
          <w:szCs w:val="24"/>
        </w:rPr>
        <w:t>Lægemiddelstyrelsen</w:t>
      </w:r>
    </w:p>
    <w:p w14:paraId="6A2C4B38" w14:textId="77777777" w:rsidR="00147D71" w:rsidRDefault="00147D71" w:rsidP="007D5CAD">
      <w:pPr>
        <w:ind w:left="851"/>
        <w:rPr>
          <w:rFonts w:eastAsia="Calibri"/>
          <w:szCs w:val="24"/>
          <w:lang w:eastAsia="zh-CN"/>
        </w:rPr>
      </w:pPr>
      <w:r>
        <w:rPr>
          <w:rFonts w:eastAsia="Calibri"/>
          <w:szCs w:val="24"/>
          <w:lang w:eastAsia="zh-CN"/>
        </w:rPr>
        <w:t>Axel Heides Gade 1</w:t>
      </w:r>
    </w:p>
    <w:p w14:paraId="404E88B9" w14:textId="77777777" w:rsidR="00147D71" w:rsidRDefault="00147D71" w:rsidP="007D5CAD">
      <w:pPr>
        <w:ind w:left="851"/>
        <w:rPr>
          <w:rFonts w:eastAsia="Calibri"/>
          <w:szCs w:val="24"/>
          <w:lang w:eastAsia="zh-CN"/>
        </w:rPr>
      </w:pPr>
      <w:r>
        <w:rPr>
          <w:rFonts w:eastAsia="Calibri"/>
          <w:szCs w:val="24"/>
          <w:lang w:eastAsia="zh-CN"/>
        </w:rPr>
        <w:t>DK-2300 København S</w:t>
      </w:r>
    </w:p>
    <w:p w14:paraId="1FDFF1D5" w14:textId="77777777" w:rsidR="00147D71" w:rsidRDefault="00147D71" w:rsidP="007D5CAD">
      <w:pPr>
        <w:suppressAutoHyphens/>
        <w:ind w:left="851"/>
        <w:rPr>
          <w:color w:val="000000"/>
          <w:szCs w:val="24"/>
          <w:highlight w:val="lightGray"/>
          <w:lang w:eastAsia="da-DK"/>
        </w:rPr>
      </w:pPr>
      <w:r>
        <w:rPr>
          <w:rFonts w:eastAsia="Calibri"/>
          <w:szCs w:val="24"/>
          <w:lang w:eastAsia="zh-CN"/>
        </w:rPr>
        <w:t xml:space="preserve">Websted: </w:t>
      </w:r>
      <w:hyperlink r:id="rId8" w:history="1">
        <w:r>
          <w:rPr>
            <w:rStyle w:val="Hyperlink"/>
            <w:rFonts w:eastAsia="Calibri"/>
            <w:szCs w:val="24"/>
            <w:lang w:eastAsia="zh-CN"/>
          </w:rPr>
          <w:t>www.meldenbivirkning.dk</w:t>
        </w:r>
      </w:hyperlink>
    </w:p>
    <w:p w14:paraId="3C399012" w14:textId="77777777" w:rsidR="009260DE" w:rsidRPr="00A10294" w:rsidRDefault="009260DE" w:rsidP="00A10294">
      <w:pPr>
        <w:tabs>
          <w:tab w:val="left" w:pos="851"/>
        </w:tabs>
        <w:ind w:left="851"/>
        <w:rPr>
          <w:sz w:val="24"/>
          <w:szCs w:val="24"/>
        </w:rPr>
      </w:pPr>
    </w:p>
    <w:p w14:paraId="0758D8A3"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E04AADC" w14:textId="77777777" w:rsidR="00147D71" w:rsidRDefault="00147D71" w:rsidP="007D5CAD">
      <w:pPr>
        <w:pStyle w:val="Default"/>
        <w:ind w:left="851" w:right="-2"/>
        <w:rPr>
          <w:lang w:val="da-DK"/>
        </w:rPr>
      </w:pPr>
      <w:r>
        <w:rPr>
          <w:lang w:val="da-DK"/>
        </w:rPr>
        <w:t>I kontrollerede kliniske studier med raske personer blev enkeltdoser på op til 800 mg sitagliptin administreret. Minimale forlængelser af QTc-intervallet blev observeret i et studie med en 800 mg dosis sitagliptin, men blev ikke anset for at være klinisk relevante. Der er ingen erfaring med doser over 800 mg i kliniske studier. I Fase-I flerdosisstudier blev der ikke observeret dosisrelaterede kliniske bivirkninger med sitagliptin ved doser op til 600 mg/dag i perioder op til 10 dage og 400 mg/dag i perioder op til 28 dage.</w:t>
      </w:r>
    </w:p>
    <w:p w14:paraId="441BB6AD" w14:textId="77777777" w:rsidR="00147D71" w:rsidRDefault="00147D71" w:rsidP="007D5CAD">
      <w:pPr>
        <w:pStyle w:val="Default"/>
        <w:ind w:left="851" w:right="-2"/>
        <w:rPr>
          <w:lang w:val="da-DK"/>
        </w:rPr>
      </w:pPr>
    </w:p>
    <w:p w14:paraId="763BF551" w14:textId="77777777" w:rsidR="00147D71" w:rsidRDefault="00147D71" w:rsidP="007D5CAD">
      <w:pPr>
        <w:pStyle w:val="Default"/>
        <w:ind w:left="851" w:right="-2"/>
        <w:rPr>
          <w:lang w:val="da-DK"/>
        </w:rPr>
      </w:pPr>
      <w:r>
        <w:rPr>
          <w:lang w:val="da-DK"/>
        </w:rPr>
        <w:t>En stor overdosis metformin (eller samtidigt forekommende risiko for laktacidose) kan føre til laktacidose, som kræver akut lægehjælp og behandling på hospital. Den mest effektive måde at fjerne laktat og metformin på er ved hæmodialyse.</w:t>
      </w:r>
    </w:p>
    <w:p w14:paraId="753F28E5" w14:textId="77777777" w:rsidR="00147D71" w:rsidRDefault="00147D71" w:rsidP="007D5CAD">
      <w:pPr>
        <w:pStyle w:val="Default"/>
        <w:ind w:left="851" w:right="-2"/>
        <w:rPr>
          <w:lang w:val="da-DK"/>
        </w:rPr>
      </w:pPr>
    </w:p>
    <w:p w14:paraId="1310DECB" w14:textId="437842B1" w:rsidR="00147D71" w:rsidRDefault="00147D71" w:rsidP="007D5CAD">
      <w:pPr>
        <w:pStyle w:val="Default"/>
        <w:ind w:left="851" w:right="-2"/>
        <w:rPr>
          <w:lang w:val="da-DK"/>
        </w:rPr>
      </w:pPr>
      <w:r>
        <w:rPr>
          <w:lang w:val="da-DK"/>
        </w:rPr>
        <w:t>I kliniske studier blev ca. 13,5</w:t>
      </w:r>
      <w:r w:rsidR="00DF7C99">
        <w:rPr>
          <w:lang w:val="da-DK"/>
        </w:rPr>
        <w:t xml:space="preserve"> %</w:t>
      </w:r>
      <w:r>
        <w:rPr>
          <w:lang w:val="da-DK"/>
        </w:rPr>
        <w:t xml:space="preserve"> af dosis fjernet i løbet af en hæmodialysesession på 3-4 timer. Forlænget hæmodialyse kan overvejes, hvis det er klinisk hensigtsmæssigt. Det vides ikke, om sitagliptin er dialyserbart ved peritonealdialyse.</w:t>
      </w:r>
    </w:p>
    <w:p w14:paraId="093FC021" w14:textId="77777777" w:rsidR="00147D71" w:rsidRDefault="00147D71" w:rsidP="007D5CAD">
      <w:pPr>
        <w:pStyle w:val="Default"/>
        <w:ind w:left="851" w:right="-2"/>
        <w:rPr>
          <w:lang w:val="da-DK"/>
        </w:rPr>
      </w:pPr>
    </w:p>
    <w:p w14:paraId="6DBA762C" w14:textId="1B03B4F2" w:rsidR="00147D71" w:rsidRDefault="00147D71" w:rsidP="007D5CAD">
      <w:pPr>
        <w:pStyle w:val="Default"/>
        <w:ind w:left="851" w:right="-2"/>
        <w:rPr>
          <w:lang w:val="da-DK"/>
        </w:rPr>
      </w:pPr>
      <w:r>
        <w:rPr>
          <w:lang w:val="da-DK"/>
        </w:rPr>
        <w:t xml:space="preserve">I tilfælde af overdosering er det hensigtsmæssigt at benytte de sædvanlige understøttende forholdsregler, </w:t>
      </w:r>
      <w:r w:rsidR="00DF7C99">
        <w:rPr>
          <w:lang w:val="da-DK"/>
        </w:rPr>
        <w:t>f.eks.</w:t>
      </w:r>
      <w:r>
        <w:rPr>
          <w:lang w:val="da-DK"/>
        </w:rPr>
        <w:t xml:space="preserve"> fjerne uabsorberet materiale fra mave- og tarmkanalen, sørge for klinisk monitorering (inklusive elektrokardiogram) og igangsætte understøttende behandling om nødvendigt.</w:t>
      </w:r>
    </w:p>
    <w:p w14:paraId="7CEB837F" w14:textId="77777777" w:rsidR="009260DE" w:rsidRPr="00C84483" w:rsidRDefault="009260DE" w:rsidP="009260DE">
      <w:pPr>
        <w:tabs>
          <w:tab w:val="left" w:pos="851"/>
        </w:tabs>
        <w:ind w:left="851"/>
        <w:rPr>
          <w:sz w:val="24"/>
          <w:szCs w:val="24"/>
        </w:rPr>
      </w:pPr>
    </w:p>
    <w:p w14:paraId="7220A76E"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9C41062" w14:textId="2EA7EC03" w:rsidR="009260DE" w:rsidRPr="00C84483" w:rsidRDefault="00147D71" w:rsidP="009260DE">
      <w:pPr>
        <w:tabs>
          <w:tab w:val="left" w:pos="851"/>
        </w:tabs>
        <w:ind w:left="851"/>
        <w:rPr>
          <w:sz w:val="24"/>
          <w:szCs w:val="24"/>
        </w:rPr>
      </w:pPr>
      <w:r>
        <w:rPr>
          <w:sz w:val="24"/>
          <w:szCs w:val="24"/>
        </w:rPr>
        <w:t>B</w:t>
      </w:r>
    </w:p>
    <w:p w14:paraId="21B56F52" w14:textId="77777777" w:rsidR="009260DE" w:rsidRPr="00C84483" w:rsidRDefault="009260DE" w:rsidP="009260DE">
      <w:pPr>
        <w:tabs>
          <w:tab w:val="left" w:pos="851"/>
        </w:tabs>
        <w:ind w:left="851"/>
        <w:rPr>
          <w:sz w:val="24"/>
          <w:szCs w:val="24"/>
        </w:rPr>
      </w:pPr>
    </w:p>
    <w:p w14:paraId="487C6FF6" w14:textId="77777777" w:rsidR="009260DE" w:rsidRPr="00C84483" w:rsidRDefault="009260DE" w:rsidP="009260DE">
      <w:pPr>
        <w:tabs>
          <w:tab w:val="left" w:pos="851"/>
        </w:tabs>
        <w:ind w:left="851"/>
        <w:rPr>
          <w:sz w:val="24"/>
          <w:szCs w:val="24"/>
        </w:rPr>
      </w:pPr>
    </w:p>
    <w:p w14:paraId="68DFFBAB"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3C6BE03" w14:textId="77777777" w:rsidR="009260DE" w:rsidRPr="00C84483" w:rsidRDefault="009260DE" w:rsidP="009260DE">
      <w:pPr>
        <w:tabs>
          <w:tab w:val="left" w:pos="851"/>
        </w:tabs>
        <w:ind w:left="851"/>
        <w:rPr>
          <w:sz w:val="24"/>
          <w:szCs w:val="24"/>
        </w:rPr>
      </w:pPr>
    </w:p>
    <w:p w14:paraId="72120A1C"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5E22F65" w14:textId="44ACDDD8" w:rsidR="00A64350" w:rsidRDefault="00A64350" w:rsidP="00D45E98">
      <w:pPr>
        <w:pStyle w:val="Default"/>
        <w:ind w:left="851"/>
        <w:rPr>
          <w:lang w:val="da-DK"/>
        </w:rPr>
      </w:pPr>
      <w:r>
        <w:rPr>
          <w:lang w:val="da-DK"/>
        </w:rPr>
        <w:t>Farmakoterapeutisk klassifikation: Antidiabetika, kombinationer af orale blodglucosesænkende midler</w:t>
      </w:r>
      <w:r w:rsidR="00D45E98">
        <w:rPr>
          <w:color w:val="auto"/>
          <w:lang w:val="da-DK"/>
        </w:rPr>
        <w:t xml:space="preserve">, </w:t>
      </w:r>
      <w:r>
        <w:rPr>
          <w:color w:val="auto"/>
          <w:lang w:val="da-DK"/>
        </w:rPr>
        <w:t xml:space="preserve">ATC-kode: </w:t>
      </w:r>
      <w:r>
        <w:rPr>
          <w:lang w:val="da-DK"/>
        </w:rPr>
        <w:t>A10BD07</w:t>
      </w:r>
      <w:r>
        <w:rPr>
          <w:color w:val="auto"/>
          <w:lang w:val="da-DK"/>
        </w:rPr>
        <w:t>.</w:t>
      </w:r>
    </w:p>
    <w:p w14:paraId="3E13A00F" w14:textId="77777777" w:rsidR="00A64350" w:rsidRDefault="00A64350" w:rsidP="007D5CAD">
      <w:pPr>
        <w:pStyle w:val="Default"/>
        <w:ind w:left="851" w:right="-2"/>
        <w:rPr>
          <w:lang w:val="da-DK"/>
        </w:rPr>
      </w:pPr>
    </w:p>
    <w:p w14:paraId="2885C05C" w14:textId="676FD004" w:rsidR="00147D71" w:rsidRDefault="001A122E" w:rsidP="007D5CAD">
      <w:pPr>
        <w:pStyle w:val="Default"/>
        <w:ind w:left="851" w:right="-2"/>
        <w:rPr>
          <w:lang w:val="da-DK"/>
        </w:rPr>
      </w:pPr>
      <w:r>
        <w:rPr>
          <w:lang w:val="da-DK"/>
        </w:rPr>
        <w:t>Sitagliptin/Metformin "Grindeks"</w:t>
      </w:r>
      <w:r w:rsidR="00147D71">
        <w:rPr>
          <w:lang w:val="da-DK"/>
        </w:rPr>
        <w:t xml:space="preserve"> er en kombination af to antihyperglykæmiske lægemidler med komplementære virkningsmekanismer til forbedring af glykæmisk kontrol hos patienter med type 2-diabetes: Sitagliptin, en dipeptidylpeptidase-4-hæmmer (DPP-4), og metforminhydrochlorid, der tilhører biguanidklassen.</w:t>
      </w:r>
    </w:p>
    <w:p w14:paraId="2E314A16" w14:textId="77777777" w:rsidR="00147D71" w:rsidRDefault="00147D71" w:rsidP="007D5CAD">
      <w:pPr>
        <w:pStyle w:val="Default"/>
        <w:ind w:left="851" w:right="-2"/>
        <w:rPr>
          <w:lang w:val="da-DK"/>
        </w:rPr>
      </w:pPr>
    </w:p>
    <w:p w14:paraId="33F3FE77" w14:textId="77777777" w:rsidR="00147D71" w:rsidRDefault="00147D71" w:rsidP="007D5CAD">
      <w:pPr>
        <w:pStyle w:val="Default"/>
        <w:ind w:left="851" w:right="-2"/>
        <w:rPr>
          <w:u w:val="single"/>
          <w:lang w:val="da-DK"/>
        </w:rPr>
      </w:pPr>
      <w:r>
        <w:rPr>
          <w:u w:val="single"/>
          <w:lang w:val="da-DK"/>
        </w:rPr>
        <w:t>Sitagliptin</w:t>
      </w:r>
    </w:p>
    <w:p w14:paraId="3275F838" w14:textId="77777777" w:rsidR="00147D71" w:rsidRDefault="00147D71" w:rsidP="007D5CAD">
      <w:pPr>
        <w:pStyle w:val="Default"/>
        <w:ind w:left="851" w:right="-2"/>
        <w:rPr>
          <w:i/>
          <w:iCs/>
          <w:lang w:val="da-DK"/>
        </w:rPr>
      </w:pPr>
      <w:r>
        <w:rPr>
          <w:i/>
          <w:iCs/>
          <w:lang w:val="da-DK"/>
        </w:rPr>
        <w:t>Virkningsmekanisme</w:t>
      </w:r>
    </w:p>
    <w:p w14:paraId="72C03FC7" w14:textId="141AE7D3" w:rsidR="00147D71" w:rsidRDefault="00147D71" w:rsidP="007D5CAD">
      <w:pPr>
        <w:pStyle w:val="Default"/>
        <w:ind w:left="851" w:right="-2"/>
        <w:rPr>
          <w:lang w:val="da-DK"/>
        </w:rPr>
      </w:pPr>
      <w:r>
        <w:rPr>
          <w:lang w:val="da-DK"/>
        </w:rPr>
        <w:t xml:space="preserve">Sitagliptin er en oralt aktiv, potent og </w:t>
      </w:r>
      <w:proofErr w:type="gramStart"/>
      <w:r>
        <w:rPr>
          <w:lang w:val="da-DK"/>
        </w:rPr>
        <w:t>højselektiv</w:t>
      </w:r>
      <w:proofErr w:type="gramEnd"/>
      <w:r>
        <w:rPr>
          <w:lang w:val="da-DK"/>
        </w:rPr>
        <w:t xml:space="preserve"> hæmmer af DPP-4-enzymet til behandling af type 2-diabetes. DPP-4-hæmmerne er en klasse af præparater, der virker som inkretinenhancers. Ved at hæmme DPP-4-enzymet øger sitagliptin niveauerne for de to kendte aktive inkretinhormoner, glucagonlignende peptid 1 (GLP-1) og glucoseafhængigt insulinotropt polypeptid (GIP). Inkretinerne er en del af et endogent system, som er involveret i den fysiologiske regulering af glucosehomøostase. Når blodglucose</w:t>
      </w:r>
      <w:r w:rsidR="00DF7C99">
        <w:rPr>
          <w:lang w:val="da-DK"/>
        </w:rPr>
        <w:softHyphen/>
      </w:r>
      <w:r>
        <w:rPr>
          <w:lang w:val="da-DK"/>
        </w:rPr>
        <w:t>koncentrationen er normal eller forhøjet, bevirker GLP-1 og GIP en øget insulinsyntese og frigørelse af insulin fra de pankreatiske betaceller. Desuden sænker GLP-1 glucagon</w:t>
      </w:r>
      <w:r w:rsidR="007621EC">
        <w:rPr>
          <w:lang w:val="da-DK"/>
        </w:rPr>
        <w:softHyphen/>
      </w:r>
      <w:r>
        <w:rPr>
          <w:lang w:val="da-DK"/>
        </w:rPr>
        <w:t xml:space="preserve">sekretionen fra pankreatiske alfaceller, som fører til reduceret hepatisk glucoseproduktion. Når blodglucosekoncentrationen er lav, ses der ikke en stimulering af insulinfrigørelse og hæmning af glucagonsekretionen. Sitagliptin er en potent og </w:t>
      </w:r>
      <w:proofErr w:type="gramStart"/>
      <w:r>
        <w:rPr>
          <w:lang w:val="da-DK"/>
        </w:rPr>
        <w:t>højselektiv</w:t>
      </w:r>
      <w:proofErr w:type="gramEnd"/>
      <w:r>
        <w:rPr>
          <w:lang w:val="da-DK"/>
        </w:rPr>
        <w:t xml:space="preserve"> hæmmer af enzymet DPP-4 og hæmmer ikke de nært beslægtede enzymer DPP-8 eller DPP-9 ved terapeutiske koncentrationer. Sitagliptin adskiller sig i kemisk struktur og farmakologisk virkning fra GLP-1-analoger, insulin, sulfonylurinstoffer eller meglitinider, biguanider, peroxisom-proliferatoraktiverede receptorgammaagonister (PPARγ), alfa-glucosidasehæmmere og amylinanaloger.</w:t>
      </w:r>
    </w:p>
    <w:p w14:paraId="545BA16A" w14:textId="77777777" w:rsidR="00147D71" w:rsidRDefault="00147D71" w:rsidP="007D5CAD">
      <w:pPr>
        <w:pStyle w:val="Default"/>
        <w:ind w:left="851" w:right="-2"/>
        <w:rPr>
          <w:lang w:val="da-DK"/>
        </w:rPr>
      </w:pPr>
    </w:p>
    <w:p w14:paraId="39E1D5C3" w14:textId="2005F65F" w:rsidR="00DF7C99" w:rsidRPr="00D45E98" w:rsidRDefault="00147D71" w:rsidP="00D45E98">
      <w:pPr>
        <w:pStyle w:val="Default"/>
        <w:ind w:left="851" w:right="-2"/>
        <w:rPr>
          <w:lang w:val="da-DK"/>
        </w:rPr>
      </w:pPr>
      <w:r>
        <w:rPr>
          <w:lang w:val="da-DK"/>
        </w:rPr>
        <w:t xml:space="preserve">I en to-dages undersøgelse med raske forsøgspersoner øgede sitagliptin alene den aktive GLP-1- koncentration, hvorimod metformin alene øgede den aktive og totale GLP-1-koncentration i tilsvarende grad. Samtidig administration af sitagliptin og metformin havde en </w:t>
      </w:r>
      <w:proofErr w:type="gramStart"/>
      <w:r>
        <w:rPr>
          <w:lang w:val="da-DK"/>
        </w:rPr>
        <w:t>additiv effekt</w:t>
      </w:r>
      <w:proofErr w:type="gramEnd"/>
      <w:r>
        <w:rPr>
          <w:lang w:val="da-DK"/>
        </w:rPr>
        <w:t xml:space="preserve"> på den aktive GLP-1-koncentration. Sitagliptin, men ikke metformin, øgede den aktive GIP-koncentration.</w:t>
      </w:r>
    </w:p>
    <w:p w14:paraId="5FA982B7" w14:textId="77777777" w:rsidR="00147D71" w:rsidRDefault="00147D71" w:rsidP="007D5CAD">
      <w:pPr>
        <w:pStyle w:val="Default"/>
        <w:ind w:left="851" w:right="-2"/>
        <w:rPr>
          <w:i/>
          <w:iCs/>
          <w:lang w:val="da-DK"/>
        </w:rPr>
      </w:pPr>
    </w:p>
    <w:p w14:paraId="27D272A2" w14:textId="77777777" w:rsidR="00147D71" w:rsidRDefault="00147D71" w:rsidP="007D5CAD">
      <w:pPr>
        <w:pStyle w:val="Default"/>
        <w:ind w:left="851" w:right="-2"/>
        <w:rPr>
          <w:i/>
          <w:iCs/>
          <w:lang w:val="da-DK"/>
        </w:rPr>
      </w:pPr>
      <w:r>
        <w:rPr>
          <w:i/>
          <w:iCs/>
          <w:lang w:val="da-DK"/>
        </w:rPr>
        <w:t>Klinisk virkning og sikkerhed</w:t>
      </w:r>
    </w:p>
    <w:p w14:paraId="4F846DB1" w14:textId="77777777" w:rsidR="00147D71" w:rsidRDefault="00147D71" w:rsidP="007D5CAD">
      <w:pPr>
        <w:pStyle w:val="Default"/>
        <w:ind w:left="851" w:right="-2"/>
        <w:rPr>
          <w:lang w:val="da-DK"/>
        </w:rPr>
      </w:pPr>
      <w:r>
        <w:rPr>
          <w:lang w:val="da-DK"/>
        </w:rPr>
        <w:t>Sitagliptin forbedrede totalt set den glykæmiske kontrol, når det blev givet som monoterapi eller som kombinationsbehandling hos voksne patienter med type 2-diabetes.</w:t>
      </w:r>
    </w:p>
    <w:p w14:paraId="26710C06" w14:textId="77777777" w:rsidR="00147D71" w:rsidRDefault="00147D71" w:rsidP="007D5CAD">
      <w:pPr>
        <w:pStyle w:val="Default"/>
        <w:ind w:left="851" w:right="-2"/>
        <w:rPr>
          <w:lang w:val="da-DK"/>
        </w:rPr>
      </w:pPr>
    </w:p>
    <w:p w14:paraId="59E70B29" w14:textId="05D0EAE2" w:rsidR="00147D71" w:rsidRDefault="00D45E98" w:rsidP="007D5CAD">
      <w:pPr>
        <w:pStyle w:val="Default"/>
        <w:ind w:left="851" w:right="-2"/>
        <w:rPr>
          <w:lang w:val="da-DK"/>
        </w:rPr>
      </w:pPr>
      <w:r>
        <w:rPr>
          <w:lang w:val="da-DK"/>
        </w:rPr>
        <w:t xml:space="preserve">I kliniske </w:t>
      </w:r>
      <w:r w:rsidRPr="007D4B59">
        <w:rPr>
          <w:lang w:val="da-DK"/>
        </w:rPr>
        <w:t>studier</w:t>
      </w:r>
      <w:r w:rsidRPr="007D4B59" w:rsidDel="007D4B59">
        <w:rPr>
          <w:lang w:val="da-DK"/>
        </w:rPr>
        <w:t xml:space="preserve"> </w:t>
      </w:r>
      <w:r>
        <w:rPr>
          <w:lang w:val="da-DK"/>
        </w:rPr>
        <w:t xml:space="preserve">forbedrede </w:t>
      </w:r>
      <w:r w:rsidR="00147D71">
        <w:rPr>
          <w:lang w:val="da-DK"/>
        </w:rPr>
        <w:t>sitagliptin som monoterapi den glykæmiske kontrol ved signifikant reduktion af hæmoglobin A</w:t>
      </w:r>
      <w:r w:rsidR="00147D71">
        <w:rPr>
          <w:vertAlign w:val="subscript"/>
          <w:lang w:val="da-DK"/>
        </w:rPr>
        <w:t>1c</w:t>
      </w:r>
      <w:r w:rsidR="00147D71">
        <w:rPr>
          <w:lang w:val="da-DK"/>
        </w:rPr>
        <w:t xml:space="preserve"> (HbA</w:t>
      </w:r>
      <w:r w:rsidR="00147D71">
        <w:rPr>
          <w:vertAlign w:val="subscript"/>
          <w:lang w:val="da-DK"/>
        </w:rPr>
        <w:t>1c</w:t>
      </w:r>
      <w:r w:rsidR="00147D71">
        <w:rPr>
          <w:lang w:val="da-DK"/>
        </w:rPr>
        <w:t>) samt faste- og postprandial glucose. Reduktionen i faste-plasma-glucose (FPG) blev observeret efter 3 uger, det første tidspunkt hvor FPG blev målt.</w:t>
      </w:r>
    </w:p>
    <w:p w14:paraId="0FA3FA97" w14:textId="77777777" w:rsidR="00147D71" w:rsidRDefault="00147D71" w:rsidP="007D5CAD">
      <w:pPr>
        <w:pStyle w:val="Default"/>
        <w:ind w:left="851" w:right="-2"/>
        <w:rPr>
          <w:lang w:val="da-DK"/>
        </w:rPr>
      </w:pPr>
      <w:r>
        <w:rPr>
          <w:lang w:val="da-DK"/>
        </w:rPr>
        <w:t xml:space="preserve">Incidensen af hypoglykæmi hos patienter, der blev behandlet med sitagliptin, var den samme som for placebo. Kropsvægten steg ikke i forhold til </w:t>
      </w:r>
      <w:r>
        <w:rPr>
          <w:i/>
          <w:iCs/>
          <w:lang w:val="da-DK"/>
        </w:rPr>
        <w:t>baseline</w:t>
      </w:r>
      <w:r>
        <w:rPr>
          <w:lang w:val="da-DK"/>
        </w:rPr>
        <w:t xml:space="preserve"> ved behandling med sitagliptin. Forbedring af surrogatmarkører for betacellefunktionen, inklusive HOMA-β (homøostatisk modelvurdering af β- cellefunktionen), proinsulin/insulin-ratio samt resultater fra en </w:t>
      </w:r>
      <w:r>
        <w:rPr>
          <w:i/>
          <w:iCs/>
          <w:lang w:val="da-DK"/>
        </w:rPr>
        <w:t xml:space="preserve">frequently sampled meal tolerance test </w:t>
      </w:r>
      <w:r>
        <w:rPr>
          <w:lang w:val="da-DK"/>
        </w:rPr>
        <w:t>blev observeret.</w:t>
      </w:r>
    </w:p>
    <w:p w14:paraId="20D12C67" w14:textId="77777777" w:rsidR="00147D71" w:rsidRDefault="00147D71" w:rsidP="007D5CAD">
      <w:pPr>
        <w:pStyle w:val="Default"/>
        <w:ind w:left="851" w:right="-2"/>
        <w:rPr>
          <w:lang w:val="da-DK"/>
        </w:rPr>
      </w:pPr>
    </w:p>
    <w:p w14:paraId="13A13214" w14:textId="77777777" w:rsidR="00147D71" w:rsidRDefault="00147D71" w:rsidP="007D5CAD">
      <w:pPr>
        <w:pStyle w:val="Default"/>
        <w:ind w:left="851" w:right="-2"/>
        <w:rPr>
          <w:u w:val="single"/>
          <w:lang w:val="da-DK"/>
        </w:rPr>
      </w:pPr>
      <w:r>
        <w:rPr>
          <w:u w:val="single"/>
          <w:lang w:val="da-DK"/>
        </w:rPr>
        <w:t>Undersøgelser af sitagliptin i kombination med metformin</w:t>
      </w:r>
    </w:p>
    <w:p w14:paraId="2A0AE7C2" w14:textId="77777777" w:rsidR="00147D71" w:rsidRDefault="00147D71" w:rsidP="007D5CAD">
      <w:pPr>
        <w:pStyle w:val="Default"/>
        <w:ind w:left="851" w:right="-2"/>
        <w:rPr>
          <w:lang w:val="da-DK"/>
        </w:rPr>
      </w:pPr>
      <w:r>
        <w:rPr>
          <w:lang w:val="da-DK"/>
        </w:rPr>
        <w:t xml:space="preserve">I en 24-ugers placebokontrolleret klinisk undersøgelse til vurdering af effekt og sikkerhed ved sitagliptin 100 mg en gang daglig som supplement til metformin gav sitagliptin signifikant forbedring af glykæmiske parametre sammenlignet med placebo. Ændring i kropsvægt i forhold til </w:t>
      </w:r>
      <w:r>
        <w:rPr>
          <w:i/>
          <w:iCs/>
          <w:lang w:val="da-DK"/>
        </w:rPr>
        <w:t>baseline</w:t>
      </w:r>
      <w:r>
        <w:rPr>
          <w:lang w:val="da-DK"/>
        </w:rPr>
        <w:t xml:space="preserve"> var den samme for patienter, der blev behandlet med sitagliptin i forhold til placebo. I denne undersøgelse var incidensen af hypoglykæmi den samme, som blev rapporteret for patienter, der var blevet behandlet med sitagliptin eller placebo.</w:t>
      </w:r>
    </w:p>
    <w:p w14:paraId="7F69C3AE" w14:textId="77777777" w:rsidR="00147D71" w:rsidRDefault="00147D71" w:rsidP="007D5CAD">
      <w:pPr>
        <w:pStyle w:val="Default"/>
        <w:ind w:left="851" w:right="-2"/>
        <w:rPr>
          <w:lang w:val="da-DK"/>
        </w:rPr>
      </w:pPr>
    </w:p>
    <w:p w14:paraId="1784F1FC" w14:textId="77777777" w:rsidR="00147D71" w:rsidRDefault="00147D71" w:rsidP="007D5CAD">
      <w:pPr>
        <w:pStyle w:val="Default"/>
        <w:ind w:left="851" w:right="-2"/>
        <w:rPr>
          <w:lang w:val="da-DK"/>
        </w:rPr>
      </w:pPr>
      <w:r>
        <w:rPr>
          <w:lang w:val="da-DK"/>
        </w:rPr>
        <w:t xml:space="preserve">I en 24-ugers placebokontrolleret faktoriel undersøgelse af initialbehandling gav sitagliptin 50 mg to gange daglig i kombination med metformin (500 mg eller 1000 mg to gange daglig) en signifikant forbedring af glykæmiske parametre sammenlignet med begge former for monoterapi. Reduktionen i kropsvægt ved en kombination af sitagliptin og metformin var den samme som den, der blev observeret med metformin alene eller placebo. Der var ingen ændring i forhold til </w:t>
      </w:r>
      <w:r>
        <w:rPr>
          <w:i/>
          <w:iCs/>
          <w:lang w:val="da-DK"/>
        </w:rPr>
        <w:t>baseline</w:t>
      </w:r>
      <w:r>
        <w:rPr>
          <w:lang w:val="da-DK"/>
        </w:rPr>
        <w:t xml:space="preserve"> for patienter, der fik sitagliptin alene. Incidensen af hypoglykæmi var den samme på tværs af behandlingsgrupperne.</w:t>
      </w:r>
    </w:p>
    <w:p w14:paraId="6244091E" w14:textId="77777777" w:rsidR="00147D71" w:rsidRDefault="00147D71" w:rsidP="007D5CAD">
      <w:pPr>
        <w:pStyle w:val="Default"/>
        <w:ind w:left="851" w:right="-2"/>
        <w:rPr>
          <w:lang w:val="da-DK"/>
        </w:rPr>
      </w:pPr>
    </w:p>
    <w:p w14:paraId="671EA30E" w14:textId="77777777" w:rsidR="00147D71" w:rsidRDefault="00147D71" w:rsidP="007D5CAD">
      <w:pPr>
        <w:pStyle w:val="Default"/>
        <w:ind w:left="851" w:right="-2"/>
        <w:rPr>
          <w:u w:val="single"/>
          <w:lang w:val="da-DK"/>
        </w:rPr>
      </w:pPr>
      <w:r>
        <w:rPr>
          <w:u w:val="single"/>
          <w:lang w:val="da-DK"/>
        </w:rPr>
        <w:t>Undersøgelse af sitagliptin i kombination med metformin og et sulfonylurinstof</w:t>
      </w:r>
    </w:p>
    <w:p w14:paraId="1D624427" w14:textId="77777777" w:rsidR="00147D71" w:rsidRDefault="00147D71" w:rsidP="007D5CAD">
      <w:pPr>
        <w:pStyle w:val="Default"/>
        <w:ind w:left="851" w:right="-2"/>
        <w:rPr>
          <w:lang w:val="da-DK"/>
        </w:rPr>
      </w:pPr>
      <w:r>
        <w:rPr>
          <w:lang w:val="da-DK"/>
        </w:rPr>
        <w:t>En 24-ugers placebokontrolleret undersøgelse blev designet til at vurdere effekt og sikkerhed af sitagliptin (100 mg en gang daglig) som supplement til glimepirid (alene eller i kombination med metformin). Sitagliptin som supplement til glimepirid og metformin gav signifikante forbedringer af glykæmiske parametre. Patienter, der blev behandlet med sitagliptin, havde en moderat vægtøgning (+1,1 kg) sammenlignet med de patienter, der fik placebo.</w:t>
      </w:r>
    </w:p>
    <w:p w14:paraId="5DDD4D81" w14:textId="77777777" w:rsidR="00147D71" w:rsidRDefault="00147D71" w:rsidP="007D5CAD">
      <w:pPr>
        <w:pStyle w:val="Default"/>
        <w:ind w:left="851" w:right="-2"/>
        <w:rPr>
          <w:lang w:val="da-DK"/>
        </w:rPr>
      </w:pPr>
    </w:p>
    <w:p w14:paraId="0DF336B1" w14:textId="77777777" w:rsidR="00147D71" w:rsidRDefault="00147D71" w:rsidP="007D5CAD">
      <w:pPr>
        <w:pStyle w:val="Default"/>
        <w:ind w:left="851" w:right="-2"/>
        <w:rPr>
          <w:u w:val="single"/>
          <w:lang w:val="da-DK"/>
        </w:rPr>
      </w:pPr>
      <w:r>
        <w:rPr>
          <w:u w:val="single"/>
          <w:lang w:val="da-DK"/>
        </w:rPr>
        <w:t>Undersøgelse af sitagliptin i kombination med metformin og en PPAR</w:t>
      </w:r>
      <w:r>
        <w:rPr>
          <w:u w:val="single"/>
          <w:lang w:val="da-DK"/>
        </w:rPr>
        <w:sym w:font="Symbol" w:char="F067"/>
      </w:r>
      <w:r>
        <w:rPr>
          <w:u w:val="single"/>
          <w:lang w:val="da-DK"/>
        </w:rPr>
        <w:t>-agonist</w:t>
      </w:r>
    </w:p>
    <w:p w14:paraId="4685DC32" w14:textId="77777777" w:rsidR="00147D71" w:rsidRDefault="00147D71" w:rsidP="007D5CAD">
      <w:pPr>
        <w:pStyle w:val="Default"/>
        <w:ind w:left="851" w:right="-2"/>
        <w:rPr>
          <w:lang w:val="da-DK"/>
        </w:rPr>
      </w:pPr>
      <w:r>
        <w:rPr>
          <w:lang w:val="da-DK"/>
        </w:rPr>
        <w:t>Et 26-ugers placebokontrolleret studie blev designet til at evaluere sitagliptins effekt og sikkerhed (100 mg en gang daglig) som supplement til kombinationen pioglitazon plus metformin. Sitagliptin som supplement til pioglitazon og metformin forbedrede de glykæmiske parametre signifikant.</w:t>
      </w:r>
    </w:p>
    <w:p w14:paraId="4FEC4AAB" w14:textId="462CDFA8" w:rsidR="00DF7C99" w:rsidRPr="00D45E98" w:rsidRDefault="00147D71" w:rsidP="00D45E98">
      <w:pPr>
        <w:pStyle w:val="Default"/>
        <w:ind w:left="851" w:right="-2"/>
        <w:rPr>
          <w:lang w:val="da-DK"/>
        </w:rPr>
      </w:pPr>
      <w:r>
        <w:rPr>
          <w:lang w:val="da-DK"/>
        </w:rPr>
        <w:t xml:space="preserve">Ændring i kropsvægt i forhold til </w:t>
      </w:r>
      <w:r>
        <w:rPr>
          <w:i/>
          <w:iCs/>
          <w:lang w:val="da-DK"/>
        </w:rPr>
        <w:t>baseline</w:t>
      </w:r>
      <w:r>
        <w:rPr>
          <w:lang w:val="da-DK"/>
        </w:rPr>
        <w:t xml:space="preserve"> var den samme hos patienter, der blev behandlet med sitagliptin og hos patienter, der fik placebo. Incidensen af hypoglykæmi var også den samme hos sitagliptinbehandlede og placebobehandlede patienter.</w:t>
      </w:r>
    </w:p>
    <w:p w14:paraId="34EA1C09" w14:textId="77777777" w:rsidR="00147D71" w:rsidRDefault="00147D71" w:rsidP="007D5CAD">
      <w:pPr>
        <w:pStyle w:val="Default"/>
        <w:ind w:left="851" w:right="-2"/>
        <w:rPr>
          <w:lang w:val="da-DK"/>
        </w:rPr>
      </w:pPr>
    </w:p>
    <w:p w14:paraId="36F96673" w14:textId="77777777" w:rsidR="00147D71" w:rsidRDefault="00147D71" w:rsidP="007D5CAD">
      <w:pPr>
        <w:pStyle w:val="Default"/>
        <w:ind w:left="851" w:right="-2"/>
        <w:rPr>
          <w:u w:val="single"/>
          <w:lang w:val="da-DK"/>
        </w:rPr>
      </w:pPr>
      <w:r>
        <w:rPr>
          <w:u w:val="single"/>
          <w:lang w:val="da-DK"/>
        </w:rPr>
        <w:t>Undersøgelse af sitagliptin i kombination med metformin og insulin</w:t>
      </w:r>
    </w:p>
    <w:p w14:paraId="18DC2BF0" w14:textId="791DCAF2" w:rsidR="00147D71" w:rsidRDefault="00147D71" w:rsidP="007D5CAD">
      <w:pPr>
        <w:pStyle w:val="Default"/>
        <w:ind w:left="851" w:right="-2"/>
        <w:rPr>
          <w:lang w:val="da-DK"/>
        </w:rPr>
      </w:pPr>
      <w:r>
        <w:rPr>
          <w:lang w:val="da-DK"/>
        </w:rPr>
        <w:t>En 24-ugers placebokontrolleret undersøgelse blev designet til at evaluere effekt og sikkerhed af sitagliptin (100 mg en gang daglig) som supplement til insulin (ved stabil dosis i mindst 10 uger) med eller uden metformin (mindst 1.500 mg). Hos patienter, der tog forblandet insulin, var den gennemsnitlige daglige dosis 70,9 E/dag. Hos patienter, der tog ikke-forblandet insulin (middellangtidsvirkende/langtidsvirkende), var den gennemsnitlige daglige dosis 44,3 E/dag. Data fra 73</w:t>
      </w:r>
      <w:r w:rsidR="00DF7C99">
        <w:rPr>
          <w:lang w:val="da-DK"/>
        </w:rPr>
        <w:t xml:space="preserve"> %</w:t>
      </w:r>
      <w:r>
        <w:rPr>
          <w:lang w:val="da-DK"/>
        </w:rPr>
        <w:t xml:space="preserve"> af de patienter, som tog metformin, fremgår af tabel 2. Tillæg af sitagliptin til insulin gav signifikante forbedringer i de glykæmiske parametre. Med hensyn til kropsvægt var der ingen ændring af betydning i forhold til </w:t>
      </w:r>
      <w:r>
        <w:rPr>
          <w:i/>
          <w:iCs/>
          <w:lang w:val="da-DK"/>
        </w:rPr>
        <w:t>baseline</w:t>
      </w:r>
      <w:r>
        <w:rPr>
          <w:lang w:val="da-DK"/>
        </w:rPr>
        <w:t xml:space="preserve"> i nogen af grupperne.</w:t>
      </w:r>
    </w:p>
    <w:p w14:paraId="518E47B7" w14:textId="77777777" w:rsidR="00147D71" w:rsidRDefault="00147D71" w:rsidP="007D5CAD">
      <w:pPr>
        <w:pStyle w:val="Default"/>
        <w:ind w:right="-2"/>
        <w:rPr>
          <w:lang w:val="da-DK"/>
        </w:rPr>
      </w:pPr>
    </w:p>
    <w:p w14:paraId="5A6213CA" w14:textId="77777777" w:rsidR="00147D71" w:rsidRDefault="00147D71" w:rsidP="00D45E98">
      <w:pPr>
        <w:pStyle w:val="Default"/>
        <w:ind w:left="851" w:right="-2"/>
        <w:rPr>
          <w:b/>
          <w:bCs/>
          <w:lang w:val="da-DK"/>
        </w:rPr>
      </w:pPr>
      <w:r>
        <w:rPr>
          <w:b/>
          <w:bCs/>
          <w:lang w:val="da-DK"/>
        </w:rPr>
        <w:t>Tabel 2: HbA</w:t>
      </w:r>
      <w:r>
        <w:rPr>
          <w:b/>
          <w:bCs/>
          <w:vertAlign w:val="subscript"/>
          <w:lang w:val="da-DK"/>
        </w:rPr>
        <w:t>1c</w:t>
      </w:r>
      <w:r>
        <w:rPr>
          <w:b/>
          <w:bCs/>
          <w:lang w:val="da-DK"/>
        </w:rPr>
        <w:t xml:space="preserve"> resultater i placebokontrollerede undersøgelser af kombinationsbehandling med sitagliptin og metformin*</w:t>
      </w:r>
    </w:p>
    <w:p w14:paraId="7F9E2431" w14:textId="77777777" w:rsidR="00147D71" w:rsidRDefault="00147D71" w:rsidP="00147D71">
      <w:pPr>
        <w:pStyle w:val="Default"/>
        <w:ind w:right="-2"/>
        <w:rPr>
          <w:lang w:val="da-DK"/>
        </w:rPr>
      </w:pPr>
    </w:p>
    <w:tbl>
      <w:tblPr>
        <w:tblW w:w="5000"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63"/>
        <w:gridCol w:w="1679"/>
        <w:gridCol w:w="2026"/>
        <w:gridCol w:w="3060"/>
      </w:tblGrid>
      <w:tr w:rsidR="00147D71" w14:paraId="6634989E" w14:textId="77777777" w:rsidTr="00D45E98">
        <w:trPr>
          <w:trHeight w:val="930"/>
        </w:trPr>
        <w:tc>
          <w:tcPr>
            <w:tcW w:w="1487" w:type="pct"/>
            <w:tcBorders>
              <w:top w:val="single" w:sz="4" w:space="0" w:color="000000"/>
              <w:left w:val="single" w:sz="4" w:space="0" w:color="000000"/>
              <w:bottom w:val="single" w:sz="4" w:space="0" w:color="000000"/>
              <w:right w:val="single" w:sz="4" w:space="0" w:color="000000"/>
            </w:tcBorders>
          </w:tcPr>
          <w:p w14:paraId="70DF56A5" w14:textId="77777777" w:rsidR="00147D71" w:rsidRDefault="00147D71" w:rsidP="007621EC">
            <w:pPr>
              <w:pStyle w:val="Default"/>
              <w:ind w:left="142" w:right="33"/>
              <w:rPr>
                <w:lang w:val="da-DK"/>
              </w:rPr>
            </w:pPr>
          </w:p>
          <w:p w14:paraId="430BF90B" w14:textId="77777777" w:rsidR="00147D71" w:rsidRDefault="00147D71" w:rsidP="007621EC">
            <w:pPr>
              <w:pStyle w:val="Default"/>
              <w:ind w:left="142" w:right="33"/>
              <w:jc w:val="center"/>
              <w:rPr>
                <w:b/>
                <w:bCs/>
                <w:lang w:val="da-DK"/>
              </w:rPr>
            </w:pPr>
            <w:r>
              <w:rPr>
                <w:b/>
                <w:bCs/>
                <w:lang w:val="da-DK"/>
              </w:rPr>
              <w:t>Undersøgelse</w:t>
            </w:r>
          </w:p>
        </w:tc>
        <w:tc>
          <w:tcPr>
            <w:tcW w:w="872" w:type="pct"/>
            <w:tcBorders>
              <w:top w:val="single" w:sz="4" w:space="0" w:color="000000"/>
              <w:left w:val="single" w:sz="4" w:space="0" w:color="000000"/>
              <w:bottom w:val="single" w:sz="4" w:space="0" w:color="000000"/>
              <w:right w:val="single" w:sz="4" w:space="0" w:color="000000"/>
            </w:tcBorders>
            <w:hideMark/>
          </w:tcPr>
          <w:p w14:paraId="3D5DF3A3" w14:textId="14425AB1" w:rsidR="00147D71" w:rsidRDefault="00147D71" w:rsidP="007621EC">
            <w:pPr>
              <w:pStyle w:val="Default"/>
              <w:ind w:left="142" w:right="33"/>
              <w:jc w:val="center"/>
              <w:rPr>
                <w:b/>
                <w:bCs/>
                <w:lang w:val="da-DK"/>
              </w:rPr>
            </w:pPr>
            <w:r>
              <w:rPr>
                <w:b/>
                <w:bCs/>
                <w:lang w:val="da-DK"/>
              </w:rPr>
              <w:t xml:space="preserve">Gennemsnitlig </w:t>
            </w:r>
            <w:r>
              <w:rPr>
                <w:b/>
                <w:bCs/>
                <w:i/>
                <w:iCs/>
                <w:lang w:val="da-DK"/>
              </w:rPr>
              <w:t>baseline</w:t>
            </w:r>
            <w:r>
              <w:rPr>
                <w:b/>
                <w:bCs/>
                <w:lang w:val="da-DK"/>
              </w:rPr>
              <w:t xml:space="preserve"> HbA</w:t>
            </w:r>
            <w:r>
              <w:rPr>
                <w:b/>
                <w:bCs/>
                <w:vertAlign w:val="subscript"/>
                <w:lang w:val="da-DK"/>
              </w:rPr>
              <w:t>1c</w:t>
            </w:r>
            <w:r>
              <w:rPr>
                <w:b/>
                <w:bCs/>
                <w:lang w:val="da-DK"/>
              </w:rPr>
              <w:t xml:space="preserve"> (</w:t>
            </w:r>
            <w:r w:rsidR="00DF7C99">
              <w:rPr>
                <w:b/>
                <w:bCs/>
                <w:lang w:val="da-DK"/>
              </w:rPr>
              <w:t>%</w:t>
            </w:r>
            <w:r>
              <w:rPr>
                <w:b/>
                <w:bCs/>
                <w:lang w:val="da-DK"/>
              </w:rPr>
              <w:t>)</w:t>
            </w:r>
          </w:p>
        </w:tc>
        <w:tc>
          <w:tcPr>
            <w:tcW w:w="1052" w:type="pct"/>
            <w:tcBorders>
              <w:top w:val="single" w:sz="4" w:space="0" w:color="000000"/>
              <w:left w:val="single" w:sz="4" w:space="0" w:color="000000"/>
              <w:bottom w:val="single" w:sz="4" w:space="0" w:color="000000"/>
              <w:right w:val="single" w:sz="4" w:space="0" w:color="000000"/>
            </w:tcBorders>
            <w:hideMark/>
          </w:tcPr>
          <w:p w14:paraId="5858897B" w14:textId="509DEE79" w:rsidR="00147D71" w:rsidRDefault="00147D71" w:rsidP="007621EC">
            <w:pPr>
              <w:pStyle w:val="Default"/>
              <w:ind w:left="142" w:right="33"/>
              <w:jc w:val="center"/>
              <w:rPr>
                <w:b/>
                <w:bCs/>
                <w:lang w:val="da-DK"/>
              </w:rPr>
            </w:pPr>
            <w:r>
              <w:rPr>
                <w:b/>
                <w:bCs/>
                <w:lang w:val="da-DK"/>
              </w:rPr>
              <w:t xml:space="preserve">Gennemsnitlig ændring fra </w:t>
            </w:r>
            <w:r>
              <w:rPr>
                <w:b/>
                <w:bCs/>
                <w:i/>
                <w:iCs/>
                <w:lang w:val="da-DK"/>
              </w:rPr>
              <w:t>baseline</w:t>
            </w:r>
            <w:r>
              <w:rPr>
                <w:b/>
                <w:bCs/>
                <w:lang w:val="da-DK"/>
              </w:rPr>
              <w:t xml:space="preserve"> HbA</w:t>
            </w:r>
            <w:r>
              <w:rPr>
                <w:b/>
                <w:bCs/>
                <w:vertAlign w:val="subscript"/>
                <w:lang w:val="da-DK"/>
              </w:rPr>
              <w:t>1c</w:t>
            </w:r>
            <w:r>
              <w:rPr>
                <w:b/>
                <w:bCs/>
                <w:lang w:val="da-DK"/>
              </w:rPr>
              <w:t xml:space="preserve"> (</w:t>
            </w:r>
            <w:r w:rsidR="00DF7C99">
              <w:rPr>
                <w:b/>
                <w:bCs/>
                <w:lang w:val="da-DK"/>
              </w:rPr>
              <w:t>%</w:t>
            </w:r>
            <w:r>
              <w:rPr>
                <w:b/>
                <w:bCs/>
                <w:lang w:val="da-DK"/>
              </w:rPr>
              <w:t>)</w:t>
            </w:r>
          </w:p>
        </w:tc>
        <w:tc>
          <w:tcPr>
            <w:tcW w:w="1589" w:type="pct"/>
            <w:tcBorders>
              <w:top w:val="single" w:sz="4" w:space="0" w:color="000000"/>
              <w:left w:val="single" w:sz="4" w:space="0" w:color="000000"/>
              <w:bottom w:val="single" w:sz="4" w:space="0" w:color="000000"/>
              <w:right w:val="single" w:sz="4" w:space="0" w:color="000000"/>
            </w:tcBorders>
            <w:hideMark/>
          </w:tcPr>
          <w:p w14:paraId="579F28A5" w14:textId="77777777" w:rsidR="00147D71" w:rsidRDefault="00147D71" w:rsidP="007621EC">
            <w:pPr>
              <w:pStyle w:val="Default"/>
              <w:ind w:left="142" w:right="33"/>
              <w:jc w:val="center"/>
              <w:rPr>
                <w:b/>
                <w:bCs/>
                <w:lang w:val="da-DK"/>
              </w:rPr>
            </w:pPr>
            <w:r>
              <w:rPr>
                <w:b/>
                <w:bCs/>
                <w:lang w:val="da-DK"/>
              </w:rPr>
              <w:t>Placebokorrigeret gennemsnitlig ændring i HbA</w:t>
            </w:r>
            <w:r>
              <w:rPr>
                <w:b/>
                <w:bCs/>
                <w:vertAlign w:val="subscript"/>
                <w:lang w:val="da-DK"/>
              </w:rPr>
              <w:t>1c</w:t>
            </w:r>
          </w:p>
          <w:p w14:paraId="0FE7308A" w14:textId="3D002D7F" w:rsidR="00147D71" w:rsidRDefault="00147D71" w:rsidP="007621EC">
            <w:pPr>
              <w:pStyle w:val="Default"/>
              <w:ind w:left="142" w:right="33"/>
              <w:jc w:val="center"/>
              <w:rPr>
                <w:b/>
                <w:bCs/>
                <w:lang w:val="da-DK"/>
              </w:rPr>
            </w:pPr>
            <w:r>
              <w:rPr>
                <w:b/>
                <w:bCs/>
                <w:lang w:val="da-DK"/>
              </w:rPr>
              <w:t>(</w:t>
            </w:r>
            <w:r w:rsidR="00DF7C99">
              <w:rPr>
                <w:b/>
                <w:bCs/>
                <w:lang w:val="da-DK"/>
              </w:rPr>
              <w:t xml:space="preserve"> %</w:t>
            </w:r>
            <w:r>
              <w:rPr>
                <w:b/>
                <w:bCs/>
                <w:lang w:val="da-DK"/>
              </w:rPr>
              <w:t>)</w:t>
            </w:r>
          </w:p>
          <w:p w14:paraId="333DD582" w14:textId="486A12EF" w:rsidR="00147D71" w:rsidRDefault="00147D71" w:rsidP="007621EC">
            <w:pPr>
              <w:pStyle w:val="Default"/>
              <w:ind w:left="142" w:right="33"/>
              <w:jc w:val="center"/>
              <w:rPr>
                <w:b/>
                <w:bCs/>
                <w:lang w:val="da-DK"/>
              </w:rPr>
            </w:pPr>
            <w:r>
              <w:rPr>
                <w:b/>
                <w:bCs/>
                <w:lang w:val="da-DK"/>
              </w:rPr>
              <w:t>(95</w:t>
            </w:r>
            <w:r w:rsidR="00DF7C99">
              <w:rPr>
                <w:b/>
                <w:bCs/>
                <w:lang w:val="da-DK"/>
              </w:rPr>
              <w:t xml:space="preserve"> %</w:t>
            </w:r>
            <w:r>
              <w:rPr>
                <w:b/>
                <w:bCs/>
                <w:lang w:val="da-DK"/>
              </w:rPr>
              <w:t xml:space="preserve"> CI)</w:t>
            </w:r>
          </w:p>
        </w:tc>
      </w:tr>
      <w:tr w:rsidR="00147D71" w14:paraId="6AF94EC3" w14:textId="77777777" w:rsidTr="00D45E98">
        <w:trPr>
          <w:trHeight w:val="952"/>
        </w:trPr>
        <w:tc>
          <w:tcPr>
            <w:tcW w:w="1487" w:type="pct"/>
            <w:tcBorders>
              <w:top w:val="single" w:sz="4" w:space="0" w:color="000000"/>
              <w:left w:val="single" w:sz="4" w:space="0" w:color="000000"/>
              <w:bottom w:val="single" w:sz="4" w:space="0" w:color="000000"/>
              <w:right w:val="single" w:sz="4" w:space="0" w:color="000000"/>
            </w:tcBorders>
            <w:hideMark/>
          </w:tcPr>
          <w:p w14:paraId="0ACFCEAD" w14:textId="77777777" w:rsidR="00147D71" w:rsidRDefault="00147D71" w:rsidP="007621EC">
            <w:pPr>
              <w:pStyle w:val="Default"/>
              <w:ind w:left="142" w:right="33"/>
              <w:rPr>
                <w:lang w:val="da-DK"/>
              </w:rPr>
            </w:pPr>
            <w:r>
              <w:rPr>
                <w:lang w:val="da-DK"/>
              </w:rPr>
              <w:t>Sitagliptin 100 mg en gang daglig som supplement til metforminbehandling</w:t>
            </w:r>
            <w:r>
              <w:rPr>
                <w:rFonts w:eastAsia="MathExt"/>
                <w:vertAlign w:val="superscript"/>
                <w:lang w:val="da-DK" w:eastAsia="lv-LV"/>
              </w:rPr>
              <w:t>||</w:t>
            </w:r>
          </w:p>
          <w:p w14:paraId="61387E30" w14:textId="77777777" w:rsidR="00147D71" w:rsidRDefault="00147D71" w:rsidP="007621EC">
            <w:pPr>
              <w:pStyle w:val="Default"/>
              <w:ind w:left="142" w:right="33"/>
              <w:rPr>
                <w:lang w:val="da-DK"/>
              </w:rPr>
            </w:pPr>
            <w:r>
              <w:rPr>
                <w:lang w:val="da-DK"/>
              </w:rPr>
              <w:t>(N=453)</w:t>
            </w:r>
          </w:p>
        </w:tc>
        <w:tc>
          <w:tcPr>
            <w:tcW w:w="872" w:type="pct"/>
            <w:tcBorders>
              <w:top w:val="single" w:sz="4" w:space="0" w:color="000000"/>
              <w:left w:val="single" w:sz="4" w:space="0" w:color="000000"/>
              <w:bottom w:val="single" w:sz="4" w:space="0" w:color="000000"/>
              <w:right w:val="single" w:sz="4" w:space="0" w:color="000000"/>
            </w:tcBorders>
          </w:tcPr>
          <w:p w14:paraId="4F4DF23F" w14:textId="77777777" w:rsidR="00147D71" w:rsidRDefault="00147D71" w:rsidP="007621EC">
            <w:pPr>
              <w:pStyle w:val="Default"/>
              <w:ind w:left="142" w:right="33"/>
              <w:jc w:val="center"/>
              <w:rPr>
                <w:lang w:val="da-DK"/>
              </w:rPr>
            </w:pPr>
          </w:p>
          <w:p w14:paraId="7C53298F" w14:textId="77777777" w:rsidR="00147D71" w:rsidRDefault="00147D71" w:rsidP="007621EC">
            <w:pPr>
              <w:pStyle w:val="Default"/>
              <w:ind w:left="142" w:right="33"/>
              <w:jc w:val="center"/>
              <w:rPr>
                <w:lang w:val="da-DK"/>
              </w:rPr>
            </w:pPr>
            <w:r>
              <w:rPr>
                <w:lang w:val="da-DK"/>
              </w:rPr>
              <w:t>8,0</w:t>
            </w:r>
          </w:p>
        </w:tc>
        <w:tc>
          <w:tcPr>
            <w:tcW w:w="1052" w:type="pct"/>
            <w:tcBorders>
              <w:top w:val="single" w:sz="4" w:space="0" w:color="000000"/>
              <w:left w:val="single" w:sz="4" w:space="0" w:color="000000"/>
              <w:bottom w:val="single" w:sz="4" w:space="0" w:color="000000"/>
              <w:right w:val="single" w:sz="4" w:space="0" w:color="000000"/>
            </w:tcBorders>
          </w:tcPr>
          <w:p w14:paraId="1D6E4884" w14:textId="77777777" w:rsidR="00147D71" w:rsidRDefault="00147D71" w:rsidP="007621EC">
            <w:pPr>
              <w:pStyle w:val="Default"/>
              <w:ind w:left="142" w:right="33"/>
              <w:jc w:val="center"/>
              <w:rPr>
                <w:lang w:val="da-DK"/>
              </w:rPr>
            </w:pPr>
          </w:p>
          <w:p w14:paraId="2AE0A348" w14:textId="77777777" w:rsidR="00147D71" w:rsidRDefault="00147D71" w:rsidP="007621EC">
            <w:pPr>
              <w:pStyle w:val="Default"/>
              <w:ind w:left="142" w:right="33"/>
              <w:jc w:val="center"/>
              <w:rPr>
                <w:lang w:val="da-DK"/>
              </w:rPr>
            </w:pPr>
            <w:r>
              <w:rPr>
                <w:lang w:val="da-DK"/>
              </w:rPr>
              <w:t>-0,7</w:t>
            </w:r>
            <w:r>
              <w:rPr>
                <w:vertAlign w:val="superscript"/>
                <w:lang w:val="da-DK"/>
              </w:rPr>
              <w:t>†</w:t>
            </w:r>
          </w:p>
        </w:tc>
        <w:tc>
          <w:tcPr>
            <w:tcW w:w="1589" w:type="pct"/>
            <w:tcBorders>
              <w:top w:val="single" w:sz="4" w:space="0" w:color="000000"/>
              <w:left w:val="single" w:sz="4" w:space="0" w:color="000000"/>
              <w:bottom w:val="single" w:sz="4" w:space="0" w:color="000000"/>
              <w:right w:val="single" w:sz="4" w:space="0" w:color="000000"/>
            </w:tcBorders>
          </w:tcPr>
          <w:p w14:paraId="55C674B2" w14:textId="77777777" w:rsidR="00D45E98" w:rsidRDefault="00D45E98" w:rsidP="00D45E98">
            <w:pPr>
              <w:pStyle w:val="Default"/>
              <w:ind w:right="33"/>
              <w:rPr>
                <w:lang w:val="da-DK"/>
              </w:rPr>
            </w:pPr>
          </w:p>
          <w:p w14:paraId="3977BAFD" w14:textId="77777777" w:rsidR="00D45E98" w:rsidRDefault="00D45E98" w:rsidP="00D45E98">
            <w:pPr>
              <w:pStyle w:val="Default"/>
              <w:ind w:left="142" w:right="33"/>
              <w:jc w:val="center"/>
              <w:rPr>
                <w:lang w:val="da-DK"/>
              </w:rPr>
            </w:pPr>
            <w:r>
              <w:rPr>
                <w:lang w:val="da-DK"/>
              </w:rPr>
              <w:t>-0,7</w:t>
            </w:r>
            <w:proofErr w:type="gramStart"/>
            <w:r>
              <w:rPr>
                <w:vertAlign w:val="superscript"/>
                <w:lang w:val="da-DK"/>
              </w:rPr>
              <w:t>†,‡</w:t>
            </w:r>
            <w:proofErr w:type="gramEnd"/>
          </w:p>
          <w:p w14:paraId="014FBC59" w14:textId="414D4C15" w:rsidR="00147D71" w:rsidRDefault="00D45E98" w:rsidP="00D45E98">
            <w:pPr>
              <w:pStyle w:val="Default"/>
              <w:ind w:left="142" w:right="33"/>
              <w:jc w:val="center"/>
              <w:rPr>
                <w:lang w:val="da-DK"/>
              </w:rPr>
            </w:pPr>
            <w:r>
              <w:rPr>
                <w:lang w:val="da-DK"/>
              </w:rPr>
              <w:t>(-0,8, -0,5)</w:t>
            </w:r>
          </w:p>
        </w:tc>
      </w:tr>
      <w:tr w:rsidR="00147D71" w14:paraId="33263C85" w14:textId="77777777" w:rsidTr="00D45E98">
        <w:trPr>
          <w:trHeight w:val="1187"/>
        </w:trPr>
        <w:tc>
          <w:tcPr>
            <w:tcW w:w="1487" w:type="pct"/>
            <w:tcBorders>
              <w:top w:val="single" w:sz="4" w:space="0" w:color="000000"/>
              <w:left w:val="single" w:sz="4" w:space="0" w:color="000000"/>
              <w:bottom w:val="single" w:sz="4" w:space="0" w:color="000000"/>
              <w:right w:val="single" w:sz="4" w:space="0" w:color="000000"/>
            </w:tcBorders>
            <w:hideMark/>
          </w:tcPr>
          <w:p w14:paraId="794F8407" w14:textId="77777777" w:rsidR="00147D71" w:rsidRDefault="00147D71" w:rsidP="007621EC">
            <w:pPr>
              <w:pStyle w:val="Default"/>
              <w:ind w:left="142" w:right="33"/>
              <w:rPr>
                <w:lang w:val="da-DK"/>
              </w:rPr>
            </w:pPr>
            <w:r>
              <w:rPr>
                <w:lang w:val="da-DK"/>
              </w:rPr>
              <w:t>Sitagliptin 100 mg en gang daglig som supplement til glimepirid + metforminbehandling</w:t>
            </w:r>
            <w:r>
              <w:rPr>
                <w:rFonts w:eastAsia="MathExt"/>
                <w:vertAlign w:val="superscript"/>
                <w:lang w:val="da-DK" w:eastAsia="lv-LV"/>
              </w:rPr>
              <w:t>||</w:t>
            </w:r>
          </w:p>
          <w:p w14:paraId="7A88E937" w14:textId="77777777" w:rsidR="00147D71" w:rsidRDefault="00147D71" w:rsidP="007621EC">
            <w:pPr>
              <w:pStyle w:val="Default"/>
              <w:ind w:left="142" w:right="33"/>
              <w:rPr>
                <w:lang w:val="da-DK"/>
              </w:rPr>
            </w:pPr>
            <w:r>
              <w:rPr>
                <w:lang w:val="da-DK"/>
              </w:rPr>
              <w:t>(N=115)</w:t>
            </w:r>
          </w:p>
        </w:tc>
        <w:tc>
          <w:tcPr>
            <w:tcW w:w="872" w:type="pct"/>
            <w:tcBorders>
              <w:top w:val="single" w:sz="4" w:space="0" w:color="000000"/>
              <w:left w:val="single" w:sz="4" w:space="0" w:color="000000"/>
              <w:bottom w:val="single" w:sz="4" w:space="0" w:color="000000"/>
              <w:right w:val="single" w:sz="4" w:space="0" w:color="000000"/>
            </w:tcBorders>
          </w:tcPr>
          <w:p w14:paraId="7167D9BD" w14:textId="77777777" w:rsidR="00147D71" w:rsidRDefault="00147D71" w:rsidP="007621EC">
            <w:pPr>
              <w:pStyle w:val="Default"/>
              <w:ind w:left="142" w:right="33"/>
              <w:jc w:val="center"/>
              <w:rPr>
                <w:lang w:val="da-DK"/>
              </w:rPr>
            </w:pPr>
          </w:p>
          <w:p w14:paraId="3819241E" w14:textId="77777777" w:rsidR="00147D71" w:rsidRDefault="00147D71" w:rsidP="007621EC">
            <w:pPr>
              <w:pStyle w:val="Default"/>
              <w:ind w:left="142" w:right="33"/>
              <w:jc w:val="center"/>
              <w:rPr>
                <w:lang w:val="da-DK"/>
              </w:rPr>
            </w:pPr>
          </w:p>
          <w:p w14:paraId="378B6180" w14:textId="77777777" w:rsidR="00147D71" w:rsidRDefault="00147D71" w:rsidP="007621EC">
            <w:pPr>
              <w:pStyle w:val="Default"/>
              <w:ind w:left="142" w:right="33"/>
              <w:jc w:val="center"/>
              <w:rPr>
                <w:lang w:val="da-DK"/>
              </w:rPr>
            </w:pPr>
            <w:r>
              <w:rPr>
                <w:lang w:val="da-DK"/>
              </w:rPr>
              <w:t>8,3</w:t>
            </w:r>
          </w:p>
        </w:tc>
        <w:tc>
          <w:tcPr>
            <w:tcW w:w="1052" w:type="pct"/>
            <w:tcBorders>
              <w:top w:val="single" w:sz="4" w:space="0" w:color="000000"/>
              <w:left w:val="single" w:sz="4" w:space="0" w:color="000000"/>
              <w:bottom w:val="single" w:sz="4" w:space="0" w:color="000000"/>
              <w:right w:val="single" w:sz="4" w:space="0" w:color="000000"/>
            </w:tcBorders>
          </w:tcPr>
          <w:p w14:paraId="792833BA" w14:textId="77777777" w:rsidR="00147D71" w:rsidRDefault="00147D71" w:rsidP="007621EC">
            <w:pPr>
              <w:pStyle w:val="Default"/>
              <w:ind w:left="142" w:right="33"/>
              <w:jc w:val="center"/>
              <w:rPr>
                <w:lang w:val="da-DK"/>
              </w:rPr>
            </w:pPr>
          </w:p>
          <w:p w14:paraId="16556AAC" w14:textId="77777777" w:rsidR="00147D71" w:rsidRDefault="00147D71" w:rsidP="007621EC">
            <w:pPr>
              <w:pStyle w:val="Default"/>
              <w:ind w:left="142" w:right="33"/>
              <w:jc w:val="center"/>
              <w:rPr>
                <w:lang w:val="da-DK"/>
              </w:rPr>
            </w:pPr>
          </w:p>
          <w:p w14:paraId="65EA04F3" w14:textId="77777777" w:rsidR="00147D71" w:rsidRDefault="00147D71" w:rsidP="007621EC">
            <w:pPr>
              <w:pStyle w:val="Default"/>
              <w:ind w:left="142" w:right="33"/>
              <w:jc w:val="center"/>
              <w:rPr>
                <w:lang w:val="da-DK"/>
              </w:rPr>
            </w:pPr>
            <w:r>
              <w:rPr>
                <w:lang w:val="da-DK"/>
              </w:rPr>
              <w:t>-0,6</w:t>
            </w:r>
            <w:r>
              <w:rPr>
                <w:vertAlign w:val="superscript"/>
                <w:lang w:val="da-DK"/>
              </w:rPr>
              <w:t>†</w:t>
            </w:r>
          </w:p>
        </w:tc>
        <w:tc>
          <w:tcPr>
            <w:tcW w:w="1589" w:type="pct"/>
            <w:tcBorders>
              <w:top w:val="single" w:sz="4" w:space="0" w:color="000000"/>
              <w:left w:val="single" w:sz="4" w:space="0" w:color="000000"/>
              <w:bottom w:val="single" w:sz="4" w:space="0" w:color="000000"/>
              <w:right w:val="single" w:sz="4" w:space="0" w:color="000000"/>
            </w:tcBorders>
          </w:tcPr>
          <w:p w14:paraId="5DCCCE85" w14:textId="77777777" w:rsidR="00147D71" w:rsidRDefault="00147D71" w:rsidP="007621EC">
            <w:pPr>
              <w:pStyle w:val="Default"/>
              <w:ind w:left="142" w:right="33"/>
              <w:jc w:val="center"/>
              <w:rPr>
                <w:lang w:val="da-DK"/>
              </w:rPr>
            </w:pPr>
          </w:p>
          <w:p w14:paraId="151BA1E8" w14:textId="77777777" w:rsidR="00147D71" w:rsidRDefault="00147D71" w:rsidP="007621EC">
            <w:pPr>
              <w:pStyle w:val="Default"/>
              <w:ind w:left="142" w:right="33"/>
              <w:jc w:val="center"/>
              <w:rPr>
                <w:lang w:val="da-DK"/>
              </w:rPr>
            </w:pPr>
          </w:p>
          <w:p w14:paraId="601EEFBC" w14:textId="77777777" w:rsidR="00147D71" w:rsidRDefault="00147D71" w:rsidP="007621EC">
            <w:pPr>
              <w:pStyle w:val="Default"/>
              <w:ind w:left="142" w:right="33"/>
              <w:jc w:val="center"/>
              <w:rPr>
                <w:lang w:val="da-DK"/>
              </w:rPr>
            </w:pPr>
            <w:r>
              <w:rPr>
                <w:lang w:val="da-DK"/>
              </w:rPr>
              <w:t>-0,9</w:t>
            </w:r>
            <w:proofErr w:type="gramStart"/>
            <w:r>
              <w:rPr>
                <w:vertAlign w:val="superscript"/>
                <w:lang w:val="da-DK"/>
              </w:rPr>
              <w:t>†,‡</w:t>
            </w:r>
            <w:proofErr w:type="gramEnd"/>
          </w:p>
          <w:p w14:paraId="1DDFF0D1" w14:textId="77777777" w:rsidR="00147D71" w:rsidRDefault="00147D71" w:rsidP="007621EC">
            <w:pPr>
              <w:pStyle w:val="Default"/>
              <w:ind w:left="142" w:right="33"/>
              <w:jc w:val="center"/>
              <w:rPr>
                <w:lang w:val="da-DK"/>
              </w:rPr>
            </w:pPr>
            <w:r>
              <w:rPr>
                <w:lang w:val="da-DK"/>
              </w:rPr>
              <w:t>(-1,1, -0,7)</w:t>
            </w:r>
          </w:p>
        </w:tc>
      </w:tr>
      <w:tr w:rsidR="00147D71" w14:paraId="31607AC3" w14:textId="77777777" w:rsidTr="00D45E98">
        <w:trPr>
          <w:trHeight w:val="1176"/>
        </w:trPr>
        <w:tc>
          <w:tcPr>
            <w:tcW w:w="1487" w:type="pct"/>
            <w:tcBorders>
              <w:top w:val="single" w:sz="4" w:space="0" w:color="000000"/>
              <w:left w:val="single" w:sz="4" w:space="0" w:color="000000"/>
              <w:bottom w:val="single" w:sz="4" w:space="0" w:color="000000"/>
              <w:right w:val="single" w:sz="4" w:space="0" w:color="000000"/>
            </w:tcBorders>
            <w:hideMark/>
          </w:tcPr>
          <w:p w14:paraId="5CEC95CD" w14:textId="77777777" w:rsidR="00147D71" w:rsidRDefault="00147D71" w:rsidP="007621EC">
            <w:pPr>
              <w:pStyle w:val="Default"/>
              <w:ind w:left="142" w:right="33"/>
              <w:rPr>
                <w:lang w:val="da-DK"/>
              </w:rPr>
            </w:pPr>
            <w:r>
              <w:rPr>
                <w:lang w:val="da-DK"/>
              </w:rPr>
              <w:t>Sitagliptin 100 mg en gang daglig som supplement til igangværende behandling</w:t>
            </w:r>
            <w:r>
              <w:rPr>
                <w:rFonts w:eastAsia="TimesNewRoman"/>
                <w:vertAlign w:val="superscript"/>
                <w:lang w:val="da-DK" w:eastAsia="lv-LV"/>
              </w:rPr>
              <w:t>¶</w:t>
            </w:r>
            <w:r>
              <w:rPr>
                <w:lang w:val="da-DK"/>
              </w:rPr>
              <w:t xml:space="preserve"> med pioglitazon + metformin</w:t>
            </w:r>
          </w:p>
          <w:p w14:paraId="7B3BD15B" w14:textId="77777777" w:rsidR="00147D71" w:rsidRDefault="00147D71" w:rsidP="007621EC">
            <w:pPr>
              <w:pStyle w:val="Default"/>
              <w:ind w:left="142" w:right="33"/>
              <w:rPr>
                <w:lang w:val="da-DK"/>
              </w:rPr>
            </w:pPr>
            <w:r>
              <w:rPr>
                <w:lang w:val="da-DK"/>
              </w:rPr>
              <w:t>(N=152)</w:t>
            </w:r>
          </w:p>
        </w:tc>
        <w:tc>
          <w:tcPr>
            <w:tcW w:w="872" w:type="pct"/>
            <w:tcBorders>
              <w:top w:val="single" w:sz="4" w:space="0" w:color="000000"/>
              <w:left w:val="single" w:sz="4" w:space="0" w:color="000000"/>
              <w:bottom w:val="single" w:sz="4" w:space="0" w:color="000000"/>
              <w:right w:val="single" w:sz="4" w:space="0" w:color="000000"/>
            </w:tcBorders>
          </w:tcPr>
          <w:p w14:paraId="40DB81E0" w14:textId="77777777" w:rsidR="00147D71" w:rsidRDefault="00147D71" w:rsidP="007621EC">
            <w:pPr>
              <w:pStyle w:val="Default"/>
              <w:ind w:left="142" w:right="33"/>
              <w:jc w:val="center"/>
              <w:rPr>
                <w:lang w:val="da-DK"/>
              </w:rPr>
            </w:pPr>
          </w:p>
          <w:p w14:paraId="401244EB" w14:textId="77777777" w:rsidR="00147D71" w:rsidRDefault="00147D71" w:rsidP="007621EC">
            <w:pPr>
              <w:pStyle w:val="Default"/>
              <w:ind w:left="142" w:right="33"/>
              <w:jc w:val="center"/>
              <w:rPr>
                <w:lang w:val="da-DK"/>
              </w:rPr>
            </w:pPr>
          </w:p>
          <w:p w14:paraId="17EABD58" w14:textId="77777777" w:rsidR="00147D71" w:rsidRDefault="00147D71" w:rsidP="007621EC">
            <w:pPr>
              <w:pStyle w:val="Default"/>
              <w:ind w:left="142" w:right="33"/>
              <w:jc w:val="center"/>
              <w:rPr>
                <w:lang w:val="da-DK"/>
              </w:rPr>
            </w:pPr>
            <w:r>
              <w:rPr>
                <w:lang w:val="da-DK"/>
              </w:rPr>
              <w:t>8,8</w:t>
            </w:r>
          </w:p>
        </w:tc>
        <w:tc>
          <w:tcPr>
            <w:tcW w:w="1052" w:type="pct"/>
            <w:tcBorders>
              <w:top w:val="single" w:sz="4" w:space="0" w:color="000000"/>
              <w:left w:val="single" w:sz="4" w:space="0" w:color="000000"/>
              <w:bottom w:val="single" w:sz="4" w:space="0" w:color="000000"/>
              <w:right w:val="single" w:sz="4" w:space="0" w:color="000000"/>
            </w:tcBorders>
          </w:tcPr>
          <w:p w14:paraId="236EA7DF" w14:textId="77777777" w:rsidR="00147D71" w:rsidRDefault="00147D71" w:rsidP="007621EC">
            <w:pPr>
              <w:pStyle w:val="Default"/>
              <w:ind w:left="142" w:right="33"/>
              <w:jc w:val="center"/>
              <w:rPr>
                <w:lang w:val="da-DK"/>
              </w:rPr>
            </w:pPr>
          </w:p>
          <w:p w14:paraId="672AD3C0" w14:textId="77777777" w:rsidR="00147D71" w:rsidRDefault="00147D71" w:rsidP="007621EC">
            <w:pPr>
              <w:pStyle w:val="Default"/>
              <w:ind w:left="142" w:right="33"/>
              <w:jc w:val="center"/>
              <w:rPr>
                <w:lang w:val="da-DK"/>
              </w:rPr>
            </w:pPr>
          </w:p>
          <w:p w14:paraId="710A605D" w14:textId="77777777" w:rsidR="00147D71" w:rsidRDefault="00147D71" w:rsidP="007621EC">
            <w:pPr>
              <w:pStyle w:val="Default"/>
              <w:ind w:left="142" w:right="33"/>
              <w:jc w:val="center"/>
              <w:rPr>
                <w:lang w:val="da-DK"/>
              </w:rPr>
            </w:pPr>
            <w:r>
              <w:rPr>
                <w:lang w:val="da-DK"/>
              </w:rPr>
              <w:t>-1,2</w:t>
            </w:r>
            <w:r>
              <w:rPr>
                <w:vertAlign w:val="superscript"/>
                <w:lang w:val="da-DK"/>
              </w:rPr>
              <w:t>†</w:t>
            </w:r>
          </w:p>
        </w:tc>
        <w:tc>
          <w:tcPr>
            <w:tcW w:w="1589" w:type="pct"/>
            <w:tcBorders>
              <w:top w:val="single" w:sz="4" w:space="0" w:color="000000"/>
              <w:left w:val="single" w:sz="4" w:space="0" w:color="000000"/>
              <w:bottom w:val="single" w:sz="4" w:space="0" w:color="000000"/>
              <w:right w:val="single" w:sz="4" w:space="0" w:color="000000"/>
            </w:tcBorders>
          </w:tcPr>
          <w:p w14:paraId="361FB40A" w14:textId="77777777" w:rsidR="00147D71" w:rsidRDefault="00147D71" w:rsidP="007621EC">
            <w:pPr>
              <w:pStyle w:val="Default"/>
              <w:ind w:left="142" w:right="33"/>
              <w:jc w:val="center"/>
              <w:rPr>
                <w:lang w:val="da-DK"/>
              </w:rPr>
            </w:pPr>
          </w:p>
          <w:p w14:paraId="794ABEF8" w14:textId="77777777" w:rsidR="00147D71" w:rsidRDefault="00147D71" w:rsidP="007621EC">
            <w:pPr>
              <w:pStyle w:val="Default"/>
              <w:ind w:left="142" w:right="33"/>
              <w:jc w:val="center"/>
              <w:rPr>
                <w:lang w:val="da-DK"/>
              </w:rPr>
            </w:pPr>
          </w:p>
          <w:p w14:paraId="438D1A0B" w14:textId="77777777" w:rsidR="00147D71" w:rsidRDefault="00147D71" w:rsidP="007621EC">
            <w:pPr>
              <w:pStyle w:val="Default"/>
              <w:ind w:left="142" w:right="33"/>
              <w:jc w:val="center"/>
              <w:rPr>
                <w:lang w:val="da-DK"/>
              </w:rPr>
            </w:pPr>
            <w:r>
              <w:rPr>
                <w:lang w:val="da-DK"/>
              </w:rPr>
              <w:t>-0,7</w:t>
            </w:r>
            <w:proofErr w:type="gramStart"/>
            <w:r>
              <w:rPr>
                <w:vertAlign w:val="superscript"/>
                <w:lang w:val="da-DK"/>
              </w:rPr>
              <w:t>†,‡</w:t>
            </w:r>
            <w:proofErr w:type="gramEnd"/>
          </w:p>
          <w:p w14:paraId="172CEBD8" w14:textId="77777777" w:rsidR="00147D71" w:rsidRDefault="00147D71" w:rsidP="007621EC">
            <w:pPr>
              <w:pStyle w:val="Default"/>
              <w:ind w:left="142" w:right="33"/>
              <w:jc w:val="center"/>
              <w:rPr>
                <w:lang w:val="da-DK"/>
              </w:rPr>
            </w:pPr>
            <w:r>
              <w:rPr>
                <w:lang w:val="da-DK"/>
              </w:rPr>
              <w:t>(-1,0; -0,5)</w:t>
            </w:r>
          </w:p>
        </w:tc>
      </w:tr>
      <w:tr w:rsidR="00147D71" w14:paraId="26FC329E" w14:textId="77777777" w:rsidTr="00D45E98">
        <w:trPr>
          <w:trHeight w:val="1175"/>
        </w:trPr>
        <w:tc>
          <w:tcPr>
            <w:tcW w:w="1487" w:type="pct"/>
            <w:tcBorders>
              <w:top w:val="single" w:sz="4" w:space="0" w:color="000000"/>
              <w:left w:val="single" w:sz="4" w:space="0" w:color="000000"/>
              <w:bottom w:val="single" w:sz="4" w:space="0" w:color="000000"/>
              <w:right w:val="single" w:sz="4" w:space="0" w:color="000000"/>
            </w:tcBorders>
            <w:hideMark/>
          </w:tcPr>
          <w:p w14:paraId="5D5254A5" w14:textId="77777777" w:rsidR="00147D71" w:rsidRDefault="00147D71" w:rsidP="007621EC">
            <w:pPr>
              <w:pStyle w:val="Default"/>
              <w:ind w:left="142" w:right="33"/>
              <w:rPr>
                <w:lang w:val="da-DK"/>
              </w:rPr>
            </w:pPr>
            <w:r>
              <w:rPr>
                <w:lang w:val="da-DK"/>
              </w:rPr>
              <w:t>Sitagliptin 100 mg en gang daglig som supplement til igangværende insulin- + metforminbehandling</w:t>
            </w:r>
            <w:r>
              <w:rPr>
                <w:rFonts w:eastAsia="MathExt"/>
                <w:vertAlign w:val="superscript"/>
                <w:lang w:val="da-DK" w:eastAsia="lv-LV"/>
              </w:rPr>
              <w:t>||</w:t>
            </w:r>
          </w:p>
          <w:p w14:paraId="3A86148F" w14:textId="77777777" w:rsidR="00147D71" w:rsidRDefault="00147D71" w:rsidP="007621EC">
            <w:pPr>
              <w:pStyle w:val="Default"/>
              <w:ind w:left="142" w:right="33"/>
              <w:rPr>
                <w:lang w:val="da-DK"/>
              </w:rPr>
            </w:pPr>
            <w:r>
              <w:rPr>
                <w:lang w:val="da-DK"/>
              </w:rPr>
              <w:t>(N=223)</w:t>
            </w:r>
          </w:p>
        </w:tc>
        <w:tc>
          <w:tcPr>
            <w:tcW w:w="872" w:type="pct"/>
            <w:tcBorders>
              <w:top w:val="single" w:sz="4" w:space="0" w:color="000000"/>
              <w:left w:val="single" w:sz="4" w:space="0" w:color="000000"/>
              <w:bottom w:val="single" w:sz="4" w:space="0" w:color="000000"/>
              <w:right w:val="single" w:sz="4" w:space="0" w:color="000000"/>
            </w:tcBorders>
          </w:tcPr>
          <w:p w14:paraId="44CF8AE4" w14:textId="77777777" w:rsidR="00147D71" w:rsidRDefault="00147D71" w:rsidP="007621EC">
            <w:pPr>
              <w:pStyle w:val="Default"/>
              <w:ind w:left="142" w:right="33"/>
              <w:jc w:val="center"/>
              <w:rPr>
                <w:lang w:val="da-DK"/>
              </w:rPr>
            </w:pPr>
          </w:p>
          <w:p w14:paraId="6910179B" w14:textId="77777777" w:rsidR="00147D71" w:rsidRDefault="00147D71" w:rsidP="007621EC">
            <w:pPr>
              <w:pStyle w:val="Default"/>
              <w:ind w:left="142" w:right="33"/>
              <w:jc w:val="center"/>
              <w:rPr>
                <w:lang w:val="da-DK"/>
              </w:rPr>
            </w:pPr>
          </w:p>
          <w:p w14:paraId="296679CA" w14:textId="77777777" w:rsidR="00147D71" w:rsidRDefault="00147D71" w:rsidP="007621EC">
            <w:pPr>
              <w:pStyle w:val="Default"/>
              <w:ind w:left="142" w:right="33"/>
              <w:jc w:val="center"/>
              <w:rPr>
                <w:lang w:val="da-DK"/>
              </w:rPr>
            </w:pPr>
            <w:r>
              <w:rPr>
                <w:lang w:val="da-DK"/>
              </w:rPr>
              <w:t>8,7</w:t>
            </w:r>
          </w:p>
        </w:tc>
        <w:tc>
          <w:tcPr>
            <w:tcW w:w="1052" w:type="pct"/>
            <w:tcBorders>
              <w:top w:val="single" w:sz="4" w:space="0" w:color="000000"/>
              <w:left w:val="single" w:sz="4" w:space="0" w:color="000000"/>
              <w:bottom w:val="single" w:sz="4" w:space="0" w:color="000000"/>
              <w:right w:val="single" w:sz="4" w:space="0" w:color="000000"/>
            </w:tcBorders>
          </w:tcPr>
          <w:p w14:paraId="5B5B041C" w14:textId="77777777" w:rsidR="00147D71" w:rsidRDefault="00147D71" w:rsidP="007621EC">
            <w:pPr>
              <w:pStyle w:val="Default"/>
              <w:ind w:left="142" w:right="33"/>
              <w:jc w:val="center"/>
              <w:rPr>
                <w:lang w:val="da-DK"/>
              </w:rPr>
            </w:pPr>
          </w:p>
          <w:p w14:paraId="4DB99C2F" w14:textId="77777777" w:rsidR="00147D71" w:rsidRDefault="00147D71" w:rsidP="007621EC">
            <w:pPr>
              <w:pStyle w:val="Default"/>
              <w:ind w:left="142" w:right="33"/>
              <w:jc w:val="center"/>
              <w:rPr>
                <w:lang w:val="da-DK"/>
              </w:rPr>
            </w:pPr>
          </w:p>
          <w:p w14:paraId="64A99422" w14:textId="77777777" w:rsidR="00147D71" w:rsidRDefault="00147D71" w:rsidP="007621EC">
            <w:pPr>
              <w:pStyle w:val="Default"/>
              <w:ind w:left="142" w:right="33"/>
              <w:jc w:val="center"/>
              <w:rPr>
                <w:lang w:val="da-DK"/>
              </w:rPr>
            </w:pPr>
            <w:r>
              <w:rPr>
                <w:lang w:val="da-DK"/>
              </w:rPr>
              <w:t>-0,7</w:t>
            </w:r>
            <w:r>
              <w:rPr>
                <w:vertAlign w:val="superscript"/>
                <w:lang w:val="da-DK"/>
              </w:rPr>
              <w:t>§</w:t>
            </w:r>
          </w:p>
        </w:tc>
        <w:tc>
          <w:tcPr>
            <w:tcW w:w="1589" w:type="pct"/>
            <w:tcBorders>
              <w:top w:val="single" w:sz="4" w:space="0" w:color="000000"/>
              <w:left w:val="single" w:sz="4" w:space="0" w:color="000000"/>
              <w:bottom w:val="single" w:sz="4" w:space="0" w:color="000000"/>
              <w:right w:val="single" w:sz="4" w:space="0" w:color="000000"/>
            </w:tcBorders>
          </w:tcPr>
          <w:p w14:paraId="58A4CD1E" w14:textId="77777777" w:rsidR="00147D71" w:rsidRDefault="00147D71" w:rsidP="007621EC">
            <w:pPr>
              <w:pStyle w:val="Default"/>
              <w:ind w:left="142" w:right="33"/>
              <w:jc w:val="center"/>
              <w:rPr>
                <w:lang w:val="da-DK"/>
              </w:rPr>
            </w:pPr>
          </w:p>
          <w:p w14:paraId="455DDFE6" w14:textId="77777777" w:rsidR="00147D71" w:rsidRDefault="00147D71" w:rsidP="007621EC">
            <w:pPr>
              <w:pStyle w:val="Default"/>
              <w:ind w:left="142" w:right="33"/>
              <w:jc w:val="center"/>
              <w:rPr>
                <w:lang w:val="da-DK"/>
              </w:rPr>
            </w:pPr>
          </w:p>
          <w:p w14:paraId="3D6358E4" w14:textId="77777777" w:rsidR="00147D71" w:rsidRDefault="00147D71" w:rsidP="007621EC">
            <w:pPr>
              <w:pStyle w:val="Default"/>
              <w:ind w:left="142" w:right="33"/>
              <w:jc w:val="center"/>
              <w:rPr>
                <w:lang w:val="da-DK"/>
              </w:rPr>
            </w:pPr>
            <w:r>
              <w:rPr>
                <w:lang w:val="da-DK"/>
              </w:rPr>
              <w:t>-0,5</w:t>
            </w:r>
            <w:proofErr w:type="gramStart"/>
            <w:r>
              <w:rPr>
                <w:vertAlign w:val="superscript"/>
                <w:lang w:val="da-DK"/>
              </w:rPr>
              <w:t>§,‡</w:t>
            </w:r>
            <w:proofErr w:type="gramEnd"/>
          </w:p>
          <w:p w14:paraId="2755F09B" w14:textId="77777777" w:rsidR="00147D71" w:rsidRDefault="00147D71" w:rsidP="007621EC">
            <w:pPr>
              <w:pStyle w:val="Default"/>
              <w:ind w:left="142" w:right="33"/>
              <w:jc w:val="center"/>
              <w:rPr>
                <w:lang w:val="da-DK"/>
              </w:rPr>
            </w:pPr>
            <w:r>
              <w:rPr>
                <w:lang w:val="da-DK"/>
              </w:rPr>
              <w:t>(-0,7; -0,4)</w:t>
            </w:r>
          </w:p>
        </w:tc>
      </w:tr>
      <w:tr w:rsidR="00147D71" w14:paraId="4B8275F5" w14:textId="77777777" w:rsidTr="00D45E98">
        <w:trPr>
          <w:trHeight w:val="940"/>
        </w:trPr>
        <w:tc>
          <w:tcPr>
            <w:tcW w:w="1487" w:type="pct"/>
            <w:tcBorders>
              <w:top w:val="single" w:sz="4" w:space="0" w:color="000000"/>
              <w:left w:val="single" w:sz="4" w:space="0" w:color="000000"/>
              <w:bottom w:val="single" w:sz="4" w:space="0" w:color="000000"/>
              <w:right w:val="single" w:sz="4" w:space="0" w:color="000000"/>
            </w:tcBorders>
            <w:hideMark/>
          </w:tcPr>
          <w:p w14:paraId="342E95BD" w14:textId="77777777" w:rsidR="00147D71" w:rsidRDefault="00147D71" w:rsidP="007621EC">
            <w:pPr>
              <w:pStyle w:val="Default"/>
              <w:ind w:left="142" w:right="33"/>
              <w:rPr>
                <w:lang w:val="da-DK"/>
              </w:rPr>
            </w:pPr>
            <w:r>
              <w:rPr>
                <w:lang w:val="da-DK"/>
              </w:rPr>
              <w:t>Initialbehandling (to gange daglig)</w:t>
            </w:r>
            <w:r>
              <w:rPr>
                <w:rFonts w:eastAsia="MathExt"/>
                <w:vertAlign w:val="superscript"/>
                <w:lang w:val="da-DK" w:eastAsia="lv-LV"/>
              </w:rPr>
              <w:t xml:space="preserve"> ||</w:t>
            </w:r>
            <w:r>
              <w:rPr>
                <w:lang w:val="da-DK"/>
              </w:rPr>
              <w:t>: Sitagliptin 50 mg + metformin 500 mg (N=183)</w:t>
            </w:r>
          </w:p>
        </w:tc>
        <w:tc>
          <w:tcPr>
            <w:tcW w:w="872" w:type="pct"/>
            <w:tcBorders>
              <w:top w:val="single" w:sz="4" w:space="0" w:color="000000"/>
              <w:left w:val="single" w:sz="4" w:space="0" w:color="000000"/>
              <w:bottom w:val="single" w:sz="4" w:space="0" w:color="000000"/>
              <w:right w:val="single" w:sz="4" w:space="0" w:color="000000"/>
            </w:tcBorders>
          </w:tcPr>
          <w:p w14:paraId="7A33524B" w14:textId="77777777" w:rsidR="00147D71" w:rsidRDefault="00147D71" w:rsidP="007621EC">
            <w:pPr>
              <w:pStyle w:val="Default"/>
              <w:ind w:left="142" w:right="33"/>
              <w:jc w:val="center"/>
              <w:rPr>
                <w:lang w:val="da-DK"/>
              </w:rPr>
            </w:pPr>
          </w:p>
          <w:p w14:paraId="1DE8F0E6" w14:textId="77777777" w:rsidR="00147D71" w:rsidRDefault="00147D71" w:rsidP="007621EC">
            <w:pPr>
              <w:pStyle w:val="Default"/>
              <w:ind w:left="142" w:right="33"/>
              <w:jc w:val="center"/>
              <w:rPr>
                <w:lang w:val="da-DK"/>
              </w:rPr>
            </w:pPr>
            <w:r>
              <w:rPr>
                <w:lang w:val="da-DK"/>
              </w:rPr>
              <w:t>8,8</w:t>
            </w:r>
          </w:p>
        </w:tc>
        <w:tc>
          <w:tcPr>
            <w:tcW w:w="1052" w:type="pct"/>
            <w:tcBorders>
              <w:top w:val="single" w:sz="4" w:space="0" w:color="000000"/>
              <w:left w:val="single" w:sz="4" w:space="0" w:color="000000"/>
              <w:bottom w:val="single" w:sz="4" w:space="0" w:color="000000"/>
              <w:right w:val="single" w:sz="4" w:space="0" w:color="000000"/>
            </w:tcBorders>
          </w:tcPr>
          <w:p w14:paraId="0C6E5F88" w14:textId="77777777" w:rsidR="00147D71" w:rsidRDefault="00147D71" w:rsidP="007621EC">
            <w:pPr>
              <w:pStyle w:val="Default"/>
              <w:ind w:left="142" w:right="33"/>
              <w:jc w:val="center"/>
              <w:rPr>
                <w:lang w:val="da-DK"/>
              </w:rPr>
            </w:pPr>
          </w:p>
          <w:p w14:paraId="01538BD3" w14:textId="77777777" w:rsidR="00147D71" w:rsidRDefault="00147D71" w:rsidP="007621EC">
            <w:pPr>
              <w:pStyle w:val="Default"/>
              <w:ind w:left="142" w:right="33"/>
              <w:jc w:val="center"/>
              <w:rPr>
                <w:lang w:val="da-DK"/>
              </w:rPr>
            </w:pPr>
            <w:r>
              <w:rPr>
                <w:lang w:val="da-DK"/>
              </w:rPr>
              <w:t>-1,4</w:t>
            </w:r>
            <w:r>
              <w:rPr>
                <w:vertAlign w:val="superscript"/>
                <w:lang w:val="da-DK"/>
              </w:rPr>
              <w:t>†</w:t>
            </w:r>
          </w:p>
        </w:tc>
        <w:tc>
          <w:tcPr>
            <w:tcW w:w="1589" w:type="pct"/>
            <w:tcBorders>
              <w:top w:val="single" w:sz="4" w:space="0" w:color="000000"/>
              <w:left w:val="single" w:sz="4" w:space="0" w:color="000000"/>
              <w:bottom w:val="single" w:sz="4" w:space="0" w:color="000000"/>
              <w:right w:val="single" w:sz="4" w:space="0" w:color="000000"/>
            </w:tcBorders>
          </w:tcPr>
          <w:p w14:paraId="7D27BF97" w14:textId="77777777" w:rsidR="00147D71" w:rsidRDefault="00147D71" w:rsidP="007621EC">
            <w:pPr>
              <w:pStyle w:val="Default"/>
              <w:ind w:left="142" w:right="33"/>
              <w:jc w:val="center"/>
              <w:rPr>
                <w:lang w:val="da-DK"/>
              </w:rPr>
            </w:pPr>
          </w:p>
          <w:p w14:paraId="78EE0EEC" w14:textId="77777777" w:rsidR="00147D71" w:rsidRDefault="00147D71" w:rsidP="007621EC">
            <w:pPr>
              <w:pStyle w:val="Default"/>
              <w:ind w:left="142" w:right="33"/>
              <w:jc w:val="center"/>
              <w:rPr>
                <w:lang w:val="da-DK"/>
              </w:rPr>
            </w:pPr>
            <w:r>
              <w:rPr>
                <w:lang w:val="da-DK"/>
              </w:rPr>
              <w:t>-1,6</w:t>
            </w:r>
            <w:proofErr w:type="gramStart"/>
            <w:r>
              <w:rPr>
                <w:vertAlign w:val="superscript"/>
                <w:lang w:val="da-DK"/>
              </w:rPr>
              <w:t>†,‡</w:t>
            </w:r>
            <w:proofErr w:type="gramEnd"/>
          </w:p>
          <w:p w14:paraId="5FBF5DE8" w14:textId="77777777" w:rsidR="00147D71" w:rsidRDefault="00147D71" w:rsidP="007621EC">
            <w:pPr>
              <w:pStyle w:val="Default"/>
              <w:ind w:left="142" w:right="33"/>
              <w:jc w:val="center"/>
              <w:rPr>
                <w:lang w:val="da-DK"/>
              </w:rPr>
            </w:pPr>
            <w:r>
              <w:rPr>
                <w:lang w:val="da-DK"/>
              </w:rPr>
              <w:t>(-1,8, -1,3)</w:t>
            </w:r>
          </w:p>
        </w:tc>
      </w:tr>
      <w:tr w:rsidR="00147D71" w14:paraId="5B62A439" w14:textId="77777777" w:rsidTr="00D45E98">
        <w:trPr>
          <w:trHeight w:val="952"/>
        </w:trPr>
        <w:tc>
          <w:tcPr>
            <w:tcW w:w="1487" w:type="pct"/>
            <w:tcBorders>
              <w:top w:val="single" w:sz="4" w:space="0" w:color="000000"/>
              <w:left w:val="single" w:sz="4" w:space="0" w:color="000000"/>
              <w:bottom w:val="single" w:sz="4" w:space="0" w:color="000000"/>
              <w:right w:val="single" w:sz="4" w:space="0" w:color="000000"/>
            </w:tcBorders>
            <w:hideMark/>
          </w:tcPr>
          <w:p w14:paraId="66F40853" w14:textId="77777777" w:rsidR="00147D71" w:rsidRDefault="00147D71" w:rsidP="007621EC">
            <w:pPr>
              <w:pStyle w:val="Default"/>
              <w:ind w:left="142" w:right="33"/>
              <w:rPr>
                <w:lang w:val="da-DK"/>
              </w:rPr>
            </w:pPr>
            <w:r>
              <w:rPr>
                <w:lang w:val="da-DK"/>
              </w:rPr>
              <w:t>Initialbehandling (to gange daglig)</w:t>
            </w:r>
            <w:r>
              <w:rPr>
                <w:rFonts w:eastAsia="MathExt"/>
                <w:vertAlign w:val="superscript"/>
                <w:lang w:val="da-DK" w:eastAsia="lv-LV"/>
              </w:rPr>
              <w:t xml:space="preserve"> ||</w:t>
            </w:r>
            <w:r>
              <w:rPr>
                <w:lang w:val="da-DK"/>
              </w:rPr>
              <w:t>:</w:t>
            </w:r>
          </w:p>
          <w:p w14:paraId="3AF04D91" w14:textId="77777777" w:rsidR="00147D71" w:rsidRDefault="00147D71" w:rsidP="007621EC">
            <w:pPr>
              <w:pStyle w:val="Default"/>
              <w:ind w:left="142" w:right="33"/>
              <w:rPr>
                <w:lang w:val="da-DK"/>
              </w:rPr>
            </w:pPr>
            <w:r>
              <w:rPr>
                <w:lang w:val="da-DK"/>
              </w:rPr>
              <w:t>Sitagliptin 50 mg +</w:t>
            </w:r>
          </w:p>
          <w:p w14:paraId="2FDC7F5B" w14:textId="77777777" w:rsidR="00147D71" w:rsidRDefault="00147D71" w:rsidP="007621EC">
            <w:pPr>
              <w:pStyle w:val="Default"/>
              <w:ind w:left="142" w:right="33"/>
              <w:rPr>
                <w:lang w:val="da-DK"/>
              </w:rPr>
            </w:pPr>
            <w:r>
              <w:rPr>
                <w:lang w:val="da-DK"/>
              </w:rPr>
              <w:t>metformin 1.000 mg (N=178)</w:t>
            </w:r>
          </w:p>
        </w:tc>
        <w:tc>
          <w:tcPr>
            <w:tcW w:w="872" w:type="pct"/>
            <w:tcBorders>
              <w:top w:val="single" w:sz="4" w:space="0" w:color="000000"/>
              <w:left w:val="single" w:sz="4" w:space="0" w:color="000000"/>
              <w:bottom w:val="single" w:sz="4" w:space="0" w:color="000000"/>
              <w:right w:val="single" w:sz="4" w:space="0" w:color="000000"/>
            </w:tcBorders>
          </w:tcPr>
          <w:p w14:paraId="390E8B11" w14:textId="77777777" w:rsidR="00147D71" w:rsidRDefault="00147D71" w:rsidP="007621EC">
            <w:pPr>
              <w:pStyle w:val="Default"/>
              <w:ind w:left="142" w:right="33"/>
              <w:jc w:val="center"/>
              <w:rPr>
                <w:lang w:val="da-DK"/>
              </w:rPr>
            </w:pPr>
          </w:p>
          <w:p w14:paraId="7DF9F02D" w14:textId="77777777" w:rsidR="00147D71" w:rsidRDefault="00147D71" w:rsidP="007621EC">
            <w:pPr>
              <w:pStyle w:val="Default"/>
              <w:ind w:left="142" w:right="33"/>
              <w:jc w:val="center"/>
              <w:rPr>
                <w:lang w:val="da-DK"/>
              </w:rPr>
            </w:pPr>
            <w:r>
              <w:rPr>
                <w:lang w:val="da-DK"/>
              </w:rPr>
              <w:t>8,8</w:t>
            </w:r>
          </w:p>
        </w:tc>
        <w:tc>
          <w:tcPr>
            <w:tcW w:w="1052" w:type="pct"/>
            <w:tcBorders>
              <w:top w:val="single" w:sz="4" w:space="0" w:color="000000"/>
              <w:left w:val="single" w:sz="4" w:space="0" w:color="000000"/>
              <w:bottom w:val="single" w:sz="4" w:space="0" w:color="000000"/>
              <w:right w:val="single" w:sz="4" w:space="0" w:color="000000"/>
            </w:tcBorders>
          </w:tcPr>
          <w:p w14:paraId="787FE8DA" w14:textId="77777777" w:rsidR="00147D71" w:rsidRDefault="00147D71" w:rsidP="007621EC">
            <w:pPr>
              <w:pStyle w:val="Default"/>
              <w:ind w:left="142" w:right="33"/>
              <w:jc w:val="center"/>
              <w:rPr>
                <w:lang w:val="da-DK"/>
              </w:rPr>
            </w:pPr>
          </w:p>
          <w:p w14:paraId="5E14F2CC" w14:textId="77777777" w:rsidR="00147D71" w:rsidRDefault="00147D71" w:rsidP="007621EC">
            <w:pPr>
              <w:pStyle w:val="Default"/>
              <w:ind w:left="142" w:right="33"/>
              <w:jc w:val="center"/>
              <w:rPr>
                <w:lang w:val="da-DK"/>
              </w:rPr>
            </w:pPr>
            <w:r>
              <w:rPr>
                <w:lang w:val="da-DK"/>
              </w:rPr>
              <w:t>-1,9</w:t>
            </w:r>
            <w:r>
              <w:rPr>
                <w:vertAlign w:val="superscript"/>
                <w:lang w:val="da-DK"/>
              </w:rPr>
              <w:t>†</w:t>
            </w:r>
          </w:p>
        </w:tc>
        <w:tc>
          <w:tcPr>
            <w:tcW w:w="1589" w:type="pct"/>
            <w:tcBorders>
              <w:top w:val="single" w:sz="4" w:space="0" w:color="000000"/>
              <w:left w:val="single" w:sz="4" w:space="0" w:color="000000"/>
              <w:bottom w:val="single" w:sz="4" w:space="0" w:color="000000"/>
              <w:right w:val="single" w:sz="4" w:space="0" w:color="000000"/>
            </w:tcBorders>
          </w:tcPr>
          <w:p w14:paraId="64B362D6" w14:textId="77777777" w:rsidR="00147D71" w:rsidRDefault="00147D71" w:rsidP="007621EC">
            <w:pPr>
              <w:pStyle w:val="Default"/>
              <w:ind w:left="142" w:right="33"/>
              <w:jc w:val="center"/>
              <w:rPr>
                <w:lang w:val="da-DK"/>
              </w:rPr>
            </w:pPr>
          </w:p>
          <w:p w14:paraId="50E386B4" w14:textId="77777777" w:rsidR="00147D71" w:rsidRDefault="00147D71" w:rsidP="007621EC">
            <w:pPr>
              <w:pStyle w:val="Default"/>
              <w:ind w:left="142" w:right="33"/>
              <w:jc w:val="center"/>
              <w:rPr>
                <w:lang w:val="da-DK"/>
              </w:rPr>
            </w:pPr>
            <w:r>
              <w:rPr>
                <w:lang w:val="da-DK"/>
              </w:rPr>
              <w:t>-2,1</w:t>
            </w:r>
            <w:proofErr w:type="gramStart"/>
            <w:r>
              <w:rPr>
                <w:vertAlign w:val="superscript"/>
                <w:lang w:val="da-DK"/>
              </w:rPr>
              <w:t>†,‡</w:t>
            </w:r>
            <w:proofErr w:type="gramEnd"/>
          </w:p>
          <w:p w14:paraId="43B394DC" w14:textId="77777777" w:rsidR="00147D71" w:rsidRDefault="00147D71" w:rsidP="007621EC">
            <w:pPr>
              <w:pStyle w:val="Default"/>
              <w:ind w:left="142" w:right="33"/>
              <w:jc w:val="center"/>
              <w:rPr>
                <w:lang w:val="da-DK"/>
              </w:rPr>
            </w:pPr>
            <w:r>
              <w:rPr>
                <w:lang w:val="da-DK"/>
              </w:rPr>
              <w:t>(-2,3, -1,8)</w:t>
            </w:r>
          </w:p>
        </w:tc>
      </w:tr>
    </w:tbl>
    <w:p w14:paraId="7242F28D" w14:textId="77777777" w:rsidR="00147D71" w:rsidRDefault="00147D71" w:rsidP="00D45E98">
      <w:pPr>
        <w:pStyle w:val="Default"/>
        <w:ind w:left="851" w:right="-2"/>
        <w:rPr>
          <w:lang w:val="da-DK"/>
        </w:rPr>
      </w:pPr>
      <w:r>
        <w:rPr>
          <w:lang w:val="da-DK"/>
        </w:rPr>
        <w:t>* Population: alle behandlede patienter (analyse med henblik på behandling)</w:t>
      </w:r>
    </w:p>
    <w:p w14:paraId="0D5FEEE1" w14:textId="77777777" w:rsidR="00147D71" w:rsidRDefault="00147D71" w:rsidP="00D45E98">
      <w:pPr>
        <w:pStyle w:val="Default"/>
        <w:ind w:left="851" w:right="-2"/>
        <w:rPr>
          <w:lang w:val="da-DK"/>
        </w:rPr>
      </w:pPr>
      <w:r>
        <w:rPr>
          <w:lang w:val="da-DK"/>
        </w:rPr>
        <w:t>† Gennemsnit beregnet ved mindste kvadraters metode justeret for status for tidligere antihyperglykæmisk behandling og</w:t>
      </w:r>
      <w:r>
        <w:rPr>
          <w:i/>
          <w:iCs/>
          <w:lang w:val="da-DK"/>
        </w:rPr>
        <w:t xml:space="preserve"> baseline</w:t>
      </w:r>
      <w:r>
        <w:rPr>
          <w:lang w:val="da-DK"/>
        </w:rPr>
        <w:t>-værdi.</w:t>
      </w:r>
    </w:p>
    <w:p w14:paraId="345BF7B2" w14:textId="77777777" w:rsidR="00147D71" w:rsidRDefault="00147D71" w:rsidP="00D45E98">
      <w:pPr>
        <w:pStyle w:val="Default"/>
        <w:ind w:left="851" w:right="-2"/>
        <w:rPr>
          <w:lang w:val="da-DK"/>
        </w:rPr>
      </w:pPr>
      <w:r>
        <w:rPr>
          <w:lang w:val="da-DK"/>
        </w:rPr>
        <w:t>‡ p&lt;0,001 sammenlignet med placebo eller placebo + kombinationsbehandling.</w:t>
      </w:r>
    </w:p>
    <w:p w14:paraId="473A25DB" w14:textId="55D27E4F" w:rsidR="00147D71" w:rsidRDefault="00147D71" w:rsidP="00D45E98">
      <w:pPr>
        <w:pStyle w:val="Default"/>
        <w:ind w:left="851" w:right="-2"/>
        <w:rPr>
          <w:lang w:val="da-DK"/>
        </w:rPr>
      </w:pPr>
      <w:r>
        <w:rPr>
          <w:lang w:val="da-DK"/>
        </w:rPr>
        <w:t>|| HbA1c (</w:t>
      </w:r>
      <w:r w:rsidR="00DF7C99">
        <w:rPr>
          <w:lang w:val="da-DK"/>
        </w:rPr>
        <w:t>%</w:t>
      </w:r>
      <w:r>
        <w:rPr>
          <w:lang w:val="da-DK"/>
        </w:rPr>
        <w:t>) i 24. uge</w:t>
      </w:r>
    </w:p>
    <w:p w14:paraId="1CCB1342" w14:textId="07447B30" w:rsidR="00147D71" w:rsidRDefault="00147D71" w:rsidP="00D45E98">
      <w:pPr>
        <w:pStyle w:val="Default"/>
        <w:ind w:left="851" w:right="-2"/>
        <w:rPr>
          <w:lang w:val="da-DK"/>
        </w:rPr>
      </w:pPr>
      <w:r>
        <w:rPr>
          <w:lang w:val="da-DK"/>
        </w:rPr>
        <w:t>¶ HbA1c (</w:t>
      </w:r>
      <w:r w:rsidR="00DF7C99">
        <w:rPr>
          <w:lang w:val="da-DK"/>
        </w:rPr>
        <w:t>%</w:t>
      </w:r>
      <w:r>
        <w:rPr>
          <w:lang w:val="da-DK"/>
        </w:rPr>
        <w:t>) i 26. uge</w:t>
      </w:r>
    </w:p>
    <w:p w14:paraId="35AE9681" w14:textId="77777777" w:rsidR="00147D71" w:rsidRDefault="00147D71" w:rsidP="00D45E98">
      <w:pPr>
        <w:pStyle w:val="Default"/>
        <w:ind w:left="851" w:right="-2"/>
        <w:rPr>
          <w:lang w:val="da-DK"/>
        </w:rPr>
      </w:pPr>
      <w:r>
        <w:rPr>
          <w:lang w:val="da-DK"/>
        </w:rPr>
        <w:t>§ Gennemsnit beregnet ved mindste kvadraters metode justeret for anvendelse af insulin ved besøg 1 (forblandet versus ikke- forblandet [middellangtidsvirkende eller langtidsvirkende]) og baseline-værdi.</w:t>
      </w:r>
    </w:p>
    <w:p w14:paraId="05D0B04E" w14:textId="77777777" w:rsidR="00147D71" w:rsidRDefault="00147D71" w:rsidP="00D45E98">
      <w:pPr>
        <w:pStyle w:val="Default"/>
        <w:ind w:left="993" w:right="-2"/>
        <w:rPr>
          <w:lang w:val="da-DK"/>
        </w:rPr>
      </w:pPr>
    </w:p>
    <w:p w14:paraId="320840DB" w14:textId="321A3A53" w:rsidR="00147D71" w:rsidRDefault="00147D71" w:rsidP="007D5CAD">
      <w:pPr>
        <w:pStyle w:val="Default"/>
        <w:ind w:left="851" w:right="-2"/>
        <w:rPr>
          <w:lang w:val="da-DK"/>
        </w:rPr>
      </w:pPr>
      <w:r>
        <w:rPr>
          <w:lang w:val="da-DK"/>
        </w:rPr>
        <w:t>I en 52-ugers undersøgelse af effekt og sikkerhed af tillægsbehandling med sitagliptin 100 mg en gang daglig eller glipizid (et sulfonylurinstof) til patienter med utilstrækkelig glykæmisk kontrol i metforminmonoterapi, var sitagliptin sammenlignelig med glipizid mht. reduktion af HbA1c (-0,7</w:t>
      </w:r>
      <w:r w:rsidR="00DF7C99">
        <w:rPr>
          <w:lang w:val="nb-NO"/>
        </w:rPr>
        <w:t xml:space="preserve"> %</w:t>
      </w:r>
      <w:r>
        <w:rPr>
          <w:lang w:val="da-DK"/>
        </w:rPr>
        <w:t xml:space="preserve"> gennemsnitlig ændring i forhold til </w:t>
      </w:r>
      <w:r>
        <w:rPr>
          <w:i/>
          <w:iCs/>
          <w:lang w:val="da-DK"/>
        </w:rPr>
        <w:t>baseline</w:t>
      </w:r>
      <w:r>
        <w:rPr>
          <w:lang w:val="da-DK"/>
        </w:rPr>
        <w:t xml:space="preserve"> i uge 52, med </w:t>
      </w:r>
      <w:r>
        <w:rPr>
          <w:i/>
          <w:iCs/>
          <w:lang w:val="da-DK"/>
        </w:rPr>
        <w:t>baseline</w:t>
      </w:r>
      <w:r>
        <w:rPr>
          <w:lang w:val="da-DK"/>
        </w:rPr>
        <w:t>-HbA</w:t>
      </w:r>
      <w:r>
        <w:rPr>
          <w:vertAlign w:val="subscript"/>
          <w:lang w:val="da-DK"/>
        </w:rPr>
        <w:t>1c</w:t>
      </w:r>
      <w:r>
        <w:rPr>
          <w:lang w:val="da-DK"/>
        </w:rPr>
        <w:t xml:space="preserve"> på ca. 7,5</w:t>
      </w:r>
      <w:r w:rsidR="00DF7C99">
        <w:rPr>
          <w:lang w:val="da-DK"/>
        </w:rPr>
        <w:t xml:space="preserve"> %</w:t>
      </w:r>
      <w:r>
        <w:rPr>
          <w:lang w:val="da-DK"/>
        </w:rPr>
        <w:t xml:space="preserve"> i begge grupper). Den gennemsnitligt anvendte glipiziddosis i sammenligningsgruppen, var 10 mg daglig, og ca. 40</w:t>
      </w:r>
      <w:r w:rsidR="00DF7C99">
        <w:rPr>
          <w:lang w:val="da-DK"/>
        </w:rPr>
        <w:t xml:space="preserve"> %</w:t>
      </w:r>
      <w:r>
        <w:rPr>
          <w:lang w:val="da-DK"/>
        </w:rPr>
        <w:t xml:space="preserve"> af patienterne havde behov for en glipiziddosis på </w:t>
      </w:r>
      <w:r>
        <w:rPr>
          <w:lang w:val="da-DK"/>
        </w:rPr>
        <w:sym w:font="Symbol" w:char="F0A3"/>
      </w:r>
      <w:r>
        <w:rPr>
          <w:lang w:val="da-DK"/>
        </w:rPr>
        <w:t xml:space="preserve"> 5 mg/dag i hele undersøgelsesperioden. Imidlertid ophørte flere patienter i sitagliptingruppen end i glipizidgruppen med behandling på grund af manglende effekt. De patienter, der blev behandlet med sitagliptin, udviste et signifikant gennemsnitligt fald i kropsvægt i forhold til</w:t>
      </w:r>
      <w:r>
        <w:rPr>
          <w:i/>
          <w:iCs/>
          <w:lang w:val="da-DK"/>
        </w:rPr>
        <w:t xml:space="preserve"> baseline</w:t>
      </w:r>
      <w:r>
        <w:rPr>
          <w:lang w:val="da-DK"/>
        </w:rPr>
        <w:t xml:space="preserve"> sammenlignet med en signifikant vægtøgning hos patientgruppen, der fik glipizid (-1,5 </w:t>
      </w:r>
      <w:r>
        <w:rPr>
          <w:i/>
          <w:iCs/>
          <w:lang w:val="da-DK"/>
        </w:rPr>
        <w:t>versus</w:t>
      </w:r>
      <w:r>
        <w:rPr>
          <w:lang w:val="da-DK"/>
        </w:rPr>
        <w:t xml:space="preserve"> +1,1 kg). I denne undersøgelse forbedredes proinsulin/insulinratioen, der er en markør for effektiviteten af insulinsyntese og -sekretion, med sitagliptin og forværredes med glipizidbehandling. Incidensen af hypoglykæmi i gruppen, som blev behandlet med sitagliptin, var signifikant lavere end i glipizidgruppen (4,9</w:t>
      </w:r>
      <w:r w:rsidR="00DF7C99">
        <w:rPr>
          <w:lang w:val="da-DK"/>
        </w:rPr>
        <w:t xml:space="preserve"> %</w:t>
      </w:r>
      <w:r>
        <w:rPr>
          <w:lang w:val="da-DK"/>
        </w:rPr>
        <w:t xml:space="preserve"> </w:t>
      </w:r>
      <w:r>
        <w:rPr>
          <w:i/>
          <w:iCs/>
          <w:lang w:val="da-DK"/>
        </w:rPr>
        <w:t>versus</w:t>
      </w:r>
      <w:r>
        <w:rPr>
          <w:lang w:val="da-DK"/>
        </w:rPr>
        <w:t xml:space="preserve"> 32,0</w:t>
      </w:r>
      <w:r w:rsidR="00DF7C99">
        <w:rPr>
          <w:lang w:val="da-DK"/>
        </w:rPr>
        <w:t xml:space="preserve"> %</w:t>
      </w:r>
      <w:r>
        <w:rPr>
          <w:lang w:val="da-DK"/>
        </w:rPr>
        <w:t>).</w:t>
      </w:r>
    </w:p>
    <w:p w14:paraId="01ACE4F5" w14:textId="77777777" w:rsidR="00147D71" w:rsidRDefault="00147D71" w:rsidP="007D5CAD">
      <w:pPr>
        <w:pStyle w:val="Default"/>
        <w:ind w:left="851" w:right="-2"/>
        <w:rPr>
          <w:lang w:val="da-DK"/>
        </w:rPr>
      </w:pPr>
    </w:p>
    <w:p w14:paraId="60D844D9" w14:textId="77777777" w:rsidR="00147D71" w:rsidRDefault="00147D71" w:rsidP="007D5CAD">
      <w:pPr>
        <w:pStyle w:val="Default"/>
        <w:ind w:left="851" w:right="-2"/>
        <w:rPr>
          <w:lang w:val="da-DK"/>
        </w:rPr>
      </w:pPr>
      <w:r>
        <w:rPr>
          <w:lang w:val="da-DK"/>
        </w:rPr>
        <w:t>En 24-ugers placebokontrolleret undersøgelse med 660 patienter blev designet til at vurdere den insulinbesparende effekt og sikkerheden af sitagliptin (100 mg en gang daglig) som supplement til insulin glargin med eller uden metformin (mindst 1.500 mg) under optrapning af insulinbehandling.</w:t>
      </w:r>
    </w:p>
    <w:p w14:paraId="63D61B5D" w14:textId="1869B10C" w:rsidR="00147D71" w:rsidRDefault="00147D71" w:rsidP="007D5CAD">
      <w:pPr>
        <w:pStyle w:val="Default"/>
        <w:ind w:left="851" w:right="-2"/>
        <w:rPr>
          <w:lang w:val="da-DK"/>
        </w:rPr>
      </w:pPr>
      <w:r>
        <w:rPr>
          <w:lang w:val="da-DK"/>
        </w:rPr>
        <w:t>Blandt de patienter, som tog metformin, var HbA</w:t>
      </w:r>
      <w:r>
        <w:rPr>
          <w:vertAlign w:val="subscript"/>
          <w:lang w:val="da-DK"/>
        </w:rPr>
        <w:t>1c</w:t>
      </w:r>
      <w:r>
        <w:rPr>
          <w:lang w:val="da-DK"/>
        </w:rPr>
        <w:t xml:space="preserve"> ved </w:t>
      </w:r>
      <w:r>
        <w:rPr>
          <w:i/>
          <w:iCs/>
          <w:lang w:val="da-DK"/>
        </w:rPr>
        <w:t>baseline</w:t>
      </w:r>
      <w:r>
        <w:rPr>
          <w:lang w:val="da-DK"/>
        </w:rPr>
        <w:t xml:space="preserve"> 8,70</w:t>
      </w:r>
      <w:r w:rsidR="00DF7C99">
        <w:rPr>
          <w:lang w:val="da-DK"/>
        </w:rPr>
        <w:t xml:space="preserve"> %</w:t>
      </w:r>
      <w:r>
        <w:rPr>
          <w:lang w:val="da-DK"/>
        </w:rPr>
        <w:t xml:space="preserve">, og insulindosis ved </w:t>
      </w:r>
      <w:r>
        <w:rPr>
          <w:i/>
          <w:iCs/>
          <w:lang w:val="da-DK"/>
        </w:rPr>
        <w:t>baseline</w:t>
      </w:r>
      <w:r>
        <w:rPr>
          <w:lang w:val="da-DK"/>
        </w:rPr>
        <w:t xml:space="preserve"> var 37 IE/dag. Patienterne blev instrueret i at titrere deres dosis af insulin glargin på basis af fasteglucose fra fingerprikmålinger. Blandt de patienter, som tog metformin, var stigningen i uge 24 i daglig insulindosis 19 IE/dag hos de patienter, der blev behandlet med sitagliptin, og 24 IE/dag hos de patienter, der blev behandlet med placebo. Reduktionen i HbA</w:t>
      </w:r>
      <w:r>
        <w:rPr>
          <w:vertAlign w:val="subscript"/>
          <w:lang w:val="da-DK"/>
        </w:rPr>
        <w:t>1c</w:t>
      </w:r>
      <w:r>
        <w:rPr>
          <w:lang w:val="da-DK"/>
        </w:rPr>
        <w:t xml:space="preserve"> for de patienter, der blev behandlet med sitagliptin, metformin og insulin, var -1,35</w:t>
      </w:r>
      <w:r w:rsidR="00DF7C99">
        <w:rPr>
          <w:lang w:val="da-DK"/>
        </w:rPr>
        <w:t xml:space="preserve"> %</w:t>
      </w:r>
      <w:r>
        <w:rPr>
          <w:lang w:val="da-DK"/>
        </w:rPr>
        <w:t xml:space="preserve"> sammenlignet med -0,90</w:t>
      </w:r>
      <w:r w:rsidR="00DF7C99">
        <w:rPr>
          <w:lang w:val="da-DK"/>
        </w:rPr>
        <w:t xml:space="preserve"> %</w:t>
      </w:r>
      <w:r>
        <w:rPr>
          <w:lang w:val="da-DK"/>
        </w:rPr>
        <w:t xml:space="preserve"> for de patienter, der blev behandlet med placebo, metformin og insulin, en forskel på -0,45</w:t>
      </w:r>
      <w:r w:rsidR="00DF7C99">
        <w:rPr>
          <w:lang w:val="da-DK"/>
        </w:rPr>
        <w:t xml:space="preserve"> %</w:t>
      </w:r>
      <w:r>
        <w:rPr>
          <w:lang w:val="da-DK"/>
        </w:rPr>
        <w:t xml:space="preserve"> [95</w:t>
      </w:r>
      <w:r w:rsidR="00DF7C99">
        <w:rPr>
          <w:lang w:val="da-DK"/>
        </w:rPr>
        <w:t xml:space="preserve"> %</w:t>
      </w:r>
      <w:r>
        <w:rPr>
          <w:lang w:val="da-DK"/>
        </w:rPr>
        <w:t xml:space="preserve"> konfidensinterval: -0,62; -0,29]. Incidensen af hypoglykæmi var 24,9</w:t>
      </w:r>
      <w:r w:rsidR="00DF7C99">
        <w:rPr>
          <w:lang w:val="da-DK"/>
        </w:rPr>
        <w:t xml:space="preserve"> %</w:t>
      </w:r>
      <w:r>
        <w:rPr>
          <w:lang w:val="da-DK"/>
        </w:rPr>
        <w:t xml:space="preserve"> for de patienter, der blev behandlet med sitagliptin, metformin og insulin, og 37,8</w:t>
      </w:r>
      <w:r w:rsidR="00DF7C99">
        <w:rPr>
          <w:lang w:val="da-DK"/>
        </w:rPr>
        <w:t xml:space="preserve"> %</w:t>
      </w:r>
      <w:r>
        <w:rPr>
          <w:lang w:val="da-DK"/>
        </w:rPr>
        <w:t xml:space="preserve"> for de patienter, der blev behandlet med placebo, metformin og insulin. Forskellen skyldtes hovedsageligt en højere procentdel af patienter i placebogruppen, som oplevede 3 eller flere episoder med hypoglykæmi (9,1 versus 19,8</w:t>
      </w:r>
      <w:r w:rsidR="00DF7C99">
        <w:rPr>
          <w:lang w:val="da-DK"/>
        </w:rPr>
        <w:t xml:space="preserve"> %</w:t>
      </w:r>
      <w:r>
        <w:rPr>
          <w:lang w:val="da-DK"/>
        </w:rPr>
        <w:t>). Der var ingen forskel i incidensen af svær hypoglykæmi.</w:t>
      </w:r>
    </w:p>
    <w:p w14:paraId="27E4AA29" w14:textId="4024015D" w:rsidR="00147D71" w:rsidRDefault="00147D71" w:rsidP="007D5CAD">
      <w:pPr>
        <w:pStyle w:val="Default"/>
        <w:ind w:left="851" w:right="-2"/>
        <w:rPr>
          <w:lang w:val="da-DK"/>
        </w:rPr>
      </w:pPr>
    </w:p>
    <w:p w14:paraId="4055171D" w14:textId="1B649492" w:rsidR="00D45E98" w:rsidRDefault="00D45E98" w:rsidP="007D5CAD">
      <w:pPr>
        <w:pStyle w:val="Default"/>
        <w:ind w:left="851" w:right="-2"/>
        <w:rPr>
          <w:lang w:val="da-DK"/>
        </w:rPr>
      </w:pPr>
    </w:p>
    <w:p w14:paraId="7CA46121" w14:textId="492F22C1" w:rsidR="00D45E98" w:rsidRDefault="00D45E98" w:rsidP="007D5CAD">
      <w:pPr>
        <w:pStyle w:val="Default"/>
        <w:ind w:left="851" w:right="-2"/>
        <w:rPr>
          <w:lang w:val="da-DK"/>
        </w:rPr>
      </w:pPr>
    </w:p>
    <w:p w14:paraId="30551204" w14:textId="77777777" w:rsidR="00D45E98" w:rsidRDefault="00D45E98" w:rsidP="007D5CAD">
      <w:pPr>
        <w:pStyle w:val="Default"/>
        <w:ind w:left="851" w:right="-2"/>
        <w:rPr>
          <w:lang w:val="da-DK"/>
        </w:rPr>
      </w:pPr>
    </w:p>
    <w:p w14:paraId="0A60A58A" w14:textId="77777777" w:rsidR="00147D71" w:rsidRDefault="00147D71" w:rsidP="007D5CAD">
      <w:pPr>
        <w:pStyle w:val="Default"/>
        <w:ind w:left="851" w:right="-2"/>
        <w:rPr>
          <w:u w:val="single"/>
          <w:lang w:val="da-DK"/>
        </w:rPr>
      </w:pPr>
      <w:r>
        <w:rPr>
          <w:u w:val="single"/>
          <w:lang w:val="da-DK"/>
        </w:rPr>
        <w:t>Metformin</w:t>
      </w:r>
    </w:p>
    <w:p w14:paraId="38BB4CEA" w14:textId="77777777" w:rsidR="00147D71" w:rsidRDefault="00147D71" w:rsidP="007D5CAD">
      <w:pPr>
        <w:pStyle w:val="Default"/>
        <w:ind w:left="851" w:right="-2"/>
        <w:rPr>
          <w:i/>
          <w:iCs/>
          <w:lang w:val="da-DK"/>
        </w:rPr>
      </w:pPr>
      <w:r>
        <w:rPr>
          <w:i/>
          <w:iCs/>
          <w:lang w:val="da-DK"/>
        </w:rPr>
        <w:t>Virkningsmekanisme</w:t>
      </w:r>
    </w:p>
    <w:p w14:paraId="1E6225AC" w14:textId="34FF45C2" w:rsidR="007621EC" w:rsidRPr="00D45E98" w:rsidRDefault="00147D71" w:rsidP="00D45E98">
      <w:pPr>
        <w:pStyle w:val="Default"/>
        <w:ind w:left="851" w:right="-2"/>
        <w:rPr>
          <w:lang w:val="da-DK"/>
        </w:rPr>
      </w:pPr>
      <w:r>
        <w:rPr>
          <w:lang w:val="da-DK"/>
        </w:rPr>
        <w:t>Metformin er et biguanid med antihyperglykæmisk virkning, som sænker både basal og postprandial plasmaglucose. Det stimulerer ikke insulinudskillelsen og medfører derfor ikke hypoglykæmi.</w:t>
      </w:r>
    </w:p>
    <w:p w14:paraId="2C38EE5C" w14:textId="77777777" w:rsidR="00147D71" w:rsidRDefault="00147D71" w:rsidP="007D5CAD">
      <w:pPr>
        <w:pStyle w:val="Default"/>
        <w:ind w:left="851" w:right="-2"/>
        <w:rPr>
          <w:lang w:val="da-DK"/>
        </w:rPr>
      </w:pPr>
    </w:p>
    <w:p w14:paraId="364BE93D" w14:textId="77777777" w:rsidR="00147D71" w:rsidRDefault="00147D71" w:rsidP="007D5CAD">
      <w:pPr>
        <w:pStyle w:val="Default"/>
        <w:ind w:left="851" w:right="-2"/>
        <w:rPr>
          <w:lang w:val="da-DK"/>
        </w:rPr>
      </w:pPr>
      <w:r>
        <w:rPr>
          <w:lang w:val="da-DK"/>
        </w:rPr>
        <w:t>Metformin virker via tre mekanismer:</w:t>
      </w:r>
    </w:p>
    <w:p w14:paraId="193F9404" w14:textId="77777777" w:rsidR="00147D71" w:rsidRDefault="00147D71" w:rsidP="007D5CAD">
      <w:pPr>
        <w:pStyle w:val="Default"/>
        <w:numPr>
          <w:ilvl w:val="0"/>
          <w:numId w:val="8"/>
        </w:numPr>
        <w:ind w:left="1276" w:right="-2" w:hanging="425"/>
        <w:rPr>
          <w:lang w:val="da-DK"/>
        </w:rPr>
      </w:pPr>
      <w:r>
        <w:rPr>
          <w:lang w:val="da-DK"/>
        </w:rPr>
        <w:t>ved reduktion af hepatisk glucoseproduktion gennem hæmning af glukoneogenese og glycogenolyse</w:t>
      </w:r>
    </w:p>
    <w:p w14:paraId="371E228A" w14:textId="77777777" w:rsidR="00147D71" w:rsidRDefault="00147D71" w:rsidP="007D5CAD">
      <w:pPr>
        <w:pStyle w:val="Default"/>
        <w:numPr>
          <w:ilvl w:val="0"/>
          <w:numId w:val="8"/>
        </w:numPr>
        <w:ind w:left="1276" w:right="-2" w:hanging="425"/>
        <w:rPr>
          <w:lang w:val="da-DK"/>
        </w:rPr>
      </w:pPr>
      <w:r>
        <w:rPr>
          <w:lang w:val="da-DK"/>
        </w:rPr>
        <w:t>i musklerne, ved let øgning af følsomheden over for insulin, ved forbedring af perifer glucoseoptagelse og ved udnyttelse af glucose.</w:t>
      </w:r>
    </w:p>
    <w:p w14:paraId="1A1FCDBE" w14:textId="77777777" w:rsidR="00147D71" w:rsidRDefault="00147D71" w:rsidP="007D5CAD">
      <w:pPr>
        <w:pStyle w:val="Default"/>
        <w:numPr>
          <w:ilvl w:val="0"/>
          <w:numId w:val="8"/>
        </w:numPr>
        <w:ind w:left="1276" w:right="-2" w:hanging="425"/>
        <w:rPr>
          <w:lang w:val="da-DK"/>
        </w:rPr>
      </w:pPr>
      <w:r>
        <w:rPr>
          <w:lang w:val="da-DK"/>
        </w:rPr>
        <w:t>ved forsinkelse af intestinal glucoseabsorption.</w:t>
      </w:r>
    </w:p>
    <w:p w14:paraId="5124C20C" w14:textId="77777777" w:rsidR="00147D71" w:rsidRDefault="00147D71" w:rsidP="00147D71">
      <w:pPr>
        <w:pStyle w:val="Default"/>
        <w:ind w:right="-2"/>
        <w:rPr>
          <w:lang w:val="da-DK"/>
        </w:rPr>
      </w:pPr>
    </w:p>
    <w:p w14:paraId="0A351FE7" w14:textId="77777777" w:rsidR="00147D71" w:rsidRDefault="00147D71" w:rsidP="007D5CAD">
      <w:pPr>
        <w:pStyle w:val="Default"/>
        <w:ind w:left="851" w:right="-2"/>
        <w:rPr>
          <w:lang w:val="da-DK"/>
        </w:rPr>
      </w:pPr>
      <w:r>
        <w:rPr>
          <w:lang w:val="da-DK"/>
        </w:rPr>
        <w:t>Metformin stimulerer intracellulær glykogensyntese ved at indvirke på glykogensyntasen. Metformin øger transportkapaciteten for specifikke typer af membranglucosetransportører (GLUT-1 og GLUT- 4).</w:t>
      </w:r>
    </w:p>
    <w:p w14:paraId="331596B8" w14:textId="77777777" w:rsidR="00147D71" w:rsidRDefault="00147D71" w:rsidP="007D5CAD">
      <w:pPr>
        <w:pStyle w:val="Default"/>
        <w:ind w:left="851" w:right="-2"/>
        <w:rPr>
          <w:lang w:val="da-DK"/>
        </w:rPr>
      </w:pPr>
    </w:p>
    <w:p w14:paraId="5E43D45A" w14:textId="77777777" w:rsidR="00147D71" w:rsidRDefault="00147D71" w:rsidP="007D5CAD">
      <w:pPr>
        <w:pStyle w:val="Default"/>
        <w:ind w:left="851" w:right="-2"/>
        <w:rPr>
          <w:i/>
          <w:iCs/>
          <w:lang w:val="da-DK"/>
        </w:rPr>
      </w:pPr>
      <w:r>
        <w:rPr>
          <w:i/>
          <w:iCs/>
          <w:lang w:val="da-DK"/>
        </w:rPr>
        <w:t>Klinisk virkning og sikkerhed</w:t>
      </w:r>
    </w:p>
    <w:p w14:paraId="6B3673C8" w14:textId="77777777" w:rsidR="00147D71" w:rsidRDefault="00147D71" w:rsidP="007D5CAD">
      <w:pPr>
        <w:pStyle w:val="Default"/>
        <w:ind w:left="851" w:right="-2"/>
        <w:rPr>
          <w:lang w:val="da-DK"/>
        </w:rPr>
      </w:pPr>
      <w:r>
        <w:rPr>
          <w:lang w:val="da-DK"/>
        </w:rPr>
        <w:t>Hos mennesker har metformin, uafhængigt af dets indvirkning på hyperglykæmi, gunstig indvirkning på lipidmetabolismen. Dette er påvist ved terapeutiske doser i kontrollerede, mellemlange eller langvarige kliniske undersøgelser: Metformin reducerer totalkolesterol, LDL-kolesterol og triglyceridniveauerne.</w:t>
      </w:r>
    </w:p>
    <w:p w14:paraId="2304BFDC" w14:textId="77777777" w:rsidR="00147D71" w:rsidRDefault="00147D71" w:rsidP="007D5CAD">
      <w:pPr>
        <w:pStyle w:val="Default"/>
        <w:ind w:left="851" w:right="-2"/>
        <w:rPr>
          <w:lang w:val="da-DK"/>
        </w:rPr>
      </w:pPr>
    </w:p>
    <w:p w14:paraId="08412CAC" w14:textId="77777777" w:rsidR="00147D71" w:rsidRDefault="00147D71" w:rsidP="007D5CAD">
      <w:pPr>
        <w:pStyle w:val="Default"/>
        <w:ind w:left="851" w:right="-2"/>
        <w:rPr>
          <w:lang w:val="da-DK"/>
        </w:rPr>
      </w:pPr>
      <w:r>
        <w:rPr>
          <w:lang w:val="da-DK"/>
        </w:rPr>
        <w:t>Den prospektive, randomiserede undersøgelse (UKPDS) har fastslået den langvarige, gunstige effekt af intensiv blodglucosekontrol ved type 2-diabetes. Analyse af resultaterne for overvægtige patienter, der blev behandlet med metformin efter svigt af diæt alene, viste:</w:t>
      </w:r>
    </w:p>
    <w:p w14:paraId="475B7C7B" w14:textId="77777777" w:rsidR="00147D71" w:rsidRDefault="00147D71" w:rsidP="007D5CAD">
      <w:pPr>
        <w:pStyle w:val="Default"/>
        <w:numPr>
          <w:ilvl w:val="0"/>
          <w:numId w:val="9"/>
        </w:numPr>
        <w:ind w:left="1276" w:right="-2" w:hanging="425"/>
        <w:rPr>
          <w:lang w:val="da-DK"/>
        </w:rPr>
      </w:pPr>
      <w:r>
        <w:rPr>
          <w:lang w:val="da-DK"/>
        </w:rPr>
        <w:t>signifikant reduktion af den absolutte risiko for diabetesrelaterede komplikationer i metformingruppen (29,8 hændelser/1.000 patientår) versus diæt alene (43,3 hændelser/1.000 patientår), p=0,0023, og versus den kombinerede sulfonylurinstof/insulinmonoterapigruppe (40,1 hændelser/1.000 patientår), p=0,0034.</w:t>
      </w:r>
    </w:p>
    <w:p w14:paraId="1BC344CA" w14:textId="77777777" w:rsidR="00147D71" w:rsidRDefault="00147D71" w:rsidP="007D5CAD">
      <w:pPr>
        <w:pStyle w:val="Default"/>
        <w:numPr>
          <w:ilvl w:val="0"/>
          <w:numId w:val="9"/>
        </w:numPr>
        <w:ind w:left="1276" w:right="-2" w:hanging="425"/>
        <w:rPr>
          <w:lang w:val="da-DK"/>
        </w:rPr>
      </w:pPr>
      <w:r>
        <w:rPr>
          <w:lang w:val="da-DK"/>
        </w:rPr>
        <w:t>signifikant reduktion af den absolutte risiko for diabetesrelateret mortalitet: Metformin 7,5 hændelser/1.000 patientår, diæt alene 12,7 hændelser/1.000 patientår, p=0,017.</w:t>
      </w:r>
    </w:p>
    <w:p w14:paraId="2D32C583" w14:textId="77777777" w:rsidR="00147D71" w:rsidRDefault="00147D71" w:rsidP="007D5CAD">
      <w:pPr>
        <w:pStyle w:val="Default"/>
        <w:numPr>
          <w:ilvl w:val="0"/>
          <w:numId w:val="9"/>
        </w:numPr>
        <w:ind w:left="1276" w:right="-2" w:hanging="425"/>
        <w:rPr>
          <w:lang w:val="da-DK"/>
        </w:rPr>
      </w:pPr>
      <w:r>
        <w:rPr>
          <w:lang w:val="da-DK"/>
        </w:rPr>
        <w:t>signifikant reduktion af den absolutte risiko for total mortalitet: Metformin 13,5 hændelser/1.000 patientår versus diæt alene 20,6 hændelser/1.000 patientår, (p=0,011), og versus den kombinerede sulfonylurinstof/insulinmonoterapigruppe 18,9 hændelser/1.000 patientår (p=0,021).</w:t>
      </w:r>
    </w:p>
    <w:p w14:paraId="0FCFFB0C" w14:textId="77777777" w:rsidR="00147D71" w:rsidRDefault="00147D71" w:rsidP="007D5CAD">
      <w:pPr>
        <w:pStyle w:val="Default"/>
        <w:numPr>
          <w:ilvl w:val="0"/>
          <w:numId w:val="9"/>
        </w:numPr>
        <w:ind w:left="1276" w:right="-2" w:hanging="425"/>
        <w:rPr>
          <w:lang w:val="da-DK"/>
        </w:rPr>
      </w:pPr>
      <w:r>
        <w:rPr>
          <w:lang w:val="da-DK"/>
        </w:rPr>
        <w:t>signifikant reduktion af den absolutte risiko for myokardieinfarkt: Metformin 11 hændelser/1.000 patientår, diæt alene 18 hændelser/1.000 patientår, (p=0,01).</w:t>
      </w:r>
    </w:p>
    <w:p w14:paraId="38DEC7A3" w14:textId="77777777" w:rsidR="00147D71" w:rsidRDefault="00147D71" w:rsidP="00147D71">
      <w:pPr>
        <w:pStyle w:val="Default"/>
        <w:ind w:right="-2"/>
        <w:rPr>
          <w:lang w:val="da-DK"/>
        </w:rPr>
      </w:pPr>
    </w:p>
    <w:p w14:paraId="1874BAB6" w14:textId="2C37C13E" w:rsidR="00147D71" w:rsidRPr="008309FD" w:rsidRDefault="00147D71" w:rsidP="008309FD">
      <w:pPr>
        <w:pStyle w:val="Default"/>
        <w:ind w:left="851" w:right="-2"/>
        <w:rPr>
          <w:lang w:val="da-DK"/>
        </w:rPr>
      </w:pPr>
      <w:r>
        <w:rPr>
          <w:lang w:val="da-DK"/>
        </w:rPr>
        <w:t>TECOS var et randomiseret studie med 14.671 patienter i en</w:t>
      </w:r>
      <w:r>
        <w:rPr>
          <w:i/>
          <w:iCs/>
          <w:lang w:val="da-DK"/>
        </w:rPr>
        <w:t xml:space="preserve"> intention to trea</w:t>
      </w:r>
      <w:r>
        <w:rPr>
          <w:lang w:val="da-DK"/>
        </w:rPr>
        <w:t>t-population med HbA</w:t>
      </w:r>
      <w:r>
        <w:rPr>
          <w:vertAlign w:val="subscript"/>
          <w:lang w:val="da-DK"/>
        </w:rPr>
        <w:t>1c</w:t>
      </w:r>
      <w:r w:rsidR="008309FD" w:rsidRPr="008309FD">
        <w:rPr>
          <w:lang w:val="da-DK"/>
        </w:rPr>
        <w:t xml:space="preserve"> </w:t>
      </w:r>
      <w:r>
        <w:rPr>
          <w:lang w:val="da-DK"/>
        </w:rPr>
        <w:t>≥ 6,5 til 8,0</w:t>
      </w:r>
      <w:r w:rsidR="00DF7C99">
        <w:rPr>
          <w:lang w:val="da-DK"/>
        </w:rPr>
        <w:t xml:space="preserve"> %</w:t>
      </w:r>
      <w:r>
        <w:rPr>
          <w:lang w:val="da-DK"/>
        </w:rPr>
        <w:t xml:space="preserve"> med påvist hjerte-kar-sygdom. Patienterne fik sitagliptin (7.332) 100 mg daglig (eller 50 mg daglig, hvis eGFR ved</w:t>
      </w:r>
      <w:r>
        <w:rPr>
          <w:i/>
          <w:iCs/>
          <w:lang w:val="da-DK"/>
        </w:rPr>
        <w:t xml:space="preserve"> baseline </w:t>
      </w:r>
      <w:r>
        <w:rPr>
          <w:lang w:val="da-DK"/>
        </w:rPr>
        <w:t>var ≥ 30 og &lt; 50 ml/min/1,73 m</w:t>
      </w:r>
      <w:r>
        <w:rPr>
          <w:vertAlign w:val="superscript"/>
          <w:lang w:val="da-DK"/>
        </w:rPr>
        <w:t>2</w:t>
      </w:r>
      <w:r>
        <w:rPr>
          <w:lang w:val="da-DK"/>
        </w:rPr>
        <w:t>) eller placebo (7.339) som supplement til standardbehandling målrettet de regionale standarder for HbA</w:t>
      </w:r>
      <w:r>
        <w:rPr>
          <w:vertAlign w:val="subscript"/>
          <w:lang w:val="da-DK"/>
        </w:rPr>
        <w:t>1c</w:t>
      </w:r>
      <w:r>
        <w:rPr>
          <w:lang w:val="da-DK"/>
        </w:rPr>
        <w:t xml:space="preserve"> og kardiovaskulære risikofaktorer. Patienter med eGFR &lt; 30 ml/min/1,73 m</w:t>
      </w:r>
      <w:r>
        <w:rPr>
          <w:vertAlign w:val="superscript"/>
          <w:lang w:val="da-DK"/>
        </w:rPr>
        <w:t>2</w:t>
      </w:r>
      <w:r>
        <w:rPr>
          <w:lang w:val="da-DK"/>
        </w:rPr>
        <w:t xml:space="preserve"> blev ikke inkluderet i studiet.</w:t>
      </w:r>
    </w:p>
    <w:p w14:paraId="0E2F9C8D" w14:textId="346748A2" w:rsidR="00147D71" w:rsidRDefault="00147D71" w:rsidP="007D5CAD">
      <w:pPr>
        <w:pStyle w:val="Default"/>
        <w:ind w:left="851" w:right="-2"/>
        <w:rPr>
          <w:lang w:val="da-DK"/>
        </w:rPr>
      </w:pPr>
      <w:r>
        <w:rPr>
          <w:lang w:val="da-DK"/>
        </w:rPr>
        <w:t>Studiepopulationen bestod af 2.004 patienter ≥ 75 år og 3.324 patienter med nedsat nyrefunktion</w:t>
      </w:r>
      <w:r w:rsidR="008309FD">
        <w:rPr>
          <w:lang w:val="da-DK"/>
        </w:rPr>
        <w:t xml:space="preserve"> </w:t>
      </w:r>
      <w:r>
        <w:rPr>
          <w:lang w:val="da-DK"/>
        </w:rPr>
        <w:t>(eGFR &lt; 60 ml/min/1,73 m</w:t>
      </w:r>
      <w:r w:rsidRPr="008309FD">
        <w:rPr>
          <w:vertAlign w:val="superscript"/>
          <w:lang w:val="da-DK"/>
        </w:rPr>
        <w:t>2</w:t>
      </w:r>
      <w:r>
        <w:rPr>
          <w:lang w:val="da-DK"/>
        </w:rPr>
        <w:t>).</w:t>
      </w:r>
    </w:p>
    <w:p w14:paraId="53957B27" w14:textId="77777777" w:rsidR="00147D71" w:rsidRDefault="00147D71" w:rsidP="007D5CAD">
      <w:pPr>
        <w:pStyle w:val="Default"/>
        <w:ind w:left="851" w:right="-2"/>
        <w:rPr>
          <w:lang w:val="da-DK"/>
        </w:rPr>
      </w:pPr>
    </w:p>
    <w:p w14:paraId="28A26E45" w14:textId="022078B0" w:rsidR="00147D71" w:rsidRDefault="00147D71" w:rsidP="007D5CAD">
      <w:pPr>
        <w:pStyle w:val="Default"/>
        <w:ind w:left="851" w:right="-2"/>
        <w:rPr>
          <w:lang w:val="da-DK"/>
        </w:rPr>
      </w:pPr>
      <w:r>
        <w:rPr>
          <w:lang w:val="da-DK"/>
        </w:rPr>
        <w:t>I løbet af studiet var den samlede estimerede gennemsnitlige forskel (standardafvigelse (SD)) i HbA</w:t>
      </w:r>
      <w:r>
        <w:rPr>
          <w:vertAlign w:val="subscript"/>
          <w:lang w:val="da-DK"/>
        </w:rPr>
        <w:t>1c</w:t>
      </w:r>
      <w:r>
        <w:rPr>
          <w:lang w:val="da-DK"/>
        </w:rPr>
        <w:t xml:space="preserve"> mellem sitagliptingruppen og placebogruppen 0,29</w:t>
      </w:r>
      <w:r w:rsidR="00DF7C99">
        <w:rPr>
          <w:lang w:val="da-DK"/>
        </w:rPr>
        <w:t xml:space="preserve"> %</w:t>
      </w:r>
      <w:r>
        <w:rPr>
          <w:lang w:val="da-DK"/>
        </w:rPr>
        <w:t xml:space="preserve"> (0,01), 95</w:t>
      </w:r>
      <w:r w:rsidR="00DF7C99">
        <w:rPr>
          <w:lang w:val="da-DK"/>
        </w:rPr>
        <w:t xml:space="preserve"> %</w:t>
      </w:r>
      <w:r>
        <w:rPr>
          <w:lang w:val="da-DK"/>
        </w:rPr>
        <w:t xml:space="preserve"> CI (-0,32; -0,27); p &lt; 0,001.</w:t>
      </w:r>
    </w:p>
    <w:p w14:paraId="7A6D2481" w14:textId="77777777" w:rsidR="00147D71" w:rsidRDefault="00147D71" w:rsidP="007D5CAD">
      <w:pPr>
        <w:pStyle w:val="Default"/>
        <w:ind w:left="851" w:right="-2"/>
        <w:rPr>
          <w:lang w:val="da-DK"/>
        </w:rPr>
      </w:pPr>
    </w:p>
    <w:p w14:paraId="481E6817" w14:textId="77777777" w:rsidR="00147D71" w:rsidRDefault="00147D71" w:rsidP="007D5CAD">
      <w:pPr>
        <w:pStyle w:val="Default"/>
        <w:ind w:left="851" w:right="-2"/>
        <w:rPr>
          <w:lang w:val="da-DK"/>
        </w:rPr>
      </w:pPr>
      <w:r>
        <w:rPr>
          <w:lang w:val="da-DK"/>
        </w:rPr>
        <w:t>Det primære kardiovaskulære endepunkt var sammensat af første forekomst af kardiovaskulær død, ikke-letalt myokardieinfarkt, ikke-letal apopleksi eller hospitalsindlæggelse på grund af ustabil angina. Sekundære kardiovaskulære endepunkter bestod af første forekomst af kardiovaskulær død, ikke-letalt myokardieinfarkt eller ikke-letal apopleksi samt første forekomst af de enkelte komponenter i det primære sammensatte endepunkt, død uanset årsag og hospitalsindlæggelse på grund af kongestivt hjertesvigt.</w:t>
      </w:r>
    </w:p>
    <w:p w14:paraId="518C24AE" w14:textId="77777777" w:rsidR="00147D71" w:rsidRDefault="00147D71" w:rsidP="007D5CAD">
      <w:pPr>
        <w:pStyle w:val="Default"/>
        <w:ind w:left="851" w:right="-2"/>
        <w:rPr>
          <w:lang w:val="da-DK"/>
        </w:rPr>
      </w:pPr>
    </w:p>
    <w:p w14:paraId="0867F763" w14:textId="77777777" w:rsidR="00147D71" w:rsidRDefault="00147D71" w:rsidP="007D5CAD">
      <w:pPr>
        <w:pStyle w:val="Default"/>
        <w:ind w:left="851" w:right="-2"/>
        <w:rPr>
          <w:lang w:val="da-DK"/>
        </w:rPr>
      </w:pPr>
      <w:r>
        <w:rPr>
          <w:lang w:val="da-DK"/>
        </w:rPr>
        <w:t>Med en median opfølgningstid på 3 år øgede sitagliptin som supplement til standardbehandling ikke risikoen for alvorlige kardiovaskulære bivirkninger (</w:t>
      </w:r>
      <w:r>
        <w:rPr>
          <w:i/>
          <w:iCs/>
          <w:lang w:val="da-DK"/>
        </w:rPr>
        <w:t>major adverse cardiovascular events</w:t>
      </w:r>
      <w:r>
        <w:rPr>
          <w:lang w:val="da-DK"/>
        </w:rPr>
        <w:t xml:space="preserve"> - MACE) eller hospitalsindlæggelse på grund af hjertesvigt sammenlignet med standardbehandling uden sitagliptin hos patienter med type 2-diabetes (tabel 3).</w:t>
      </w:r>
    </w:p>
    <w:p w14:paraId="5EBCDEB6" w14:textId="77777777" w:rsidR="00147D71" w:rsidRDefault="00147D71" w:rsidP="00147D71">
      <w:pPr>
        <w:pStyle w:val="Default"/>
        <w:ind w:right="-2"/>
        <w:rPr>
          <w:lang w:val="da-DK"/>
        </w:rPr>
      </w:pPr>
    </w:p>
    <w:p w14:paraId="0EB8C31D" w14:textId="77777777" w:rsidR="00147D71" w:rsidRDefault="00147D71" w:rsidP="00D45E98">
      <w:pPr>
        <w:pStyle w:val="Default"/>
        <w:ind w:left="851" w:right="-2"/>
        <w:rPr>
          <w:b/>
          <w:bCs/>
          <w:lang w:val="da-DK"/>
        </w:rPr>
      </w:pPr>
      <w:r>
        <w:rPr>
          <w:b/>
          <w:bCs/>
          <w:lang w:val="da-DK"/>
        </w:rPr>
        <w:t>Tabel 3: Hyppighed af sammensatte kardiovaskulære endepunkter og vigtige sekundære endepunkter</w:t>
      </w:r>
    </w:p>
    <w:tbl>
      <w:tblPr>
        <w:tblW w:w="5000" w:type="pct"/>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849"/>
        <w:gridCol w:w="1099"/>
        <w:gridCol w:w="1149"/>
        <w:gridCol w:w="953"/>
        <w:gridCol w:w="1149"/>
        <w:gridCol w:w="1540"/>
        <w:gridCol w:w="883"/>
      </w:tblGrid>
      <w:tr w:rsidR="00147D71" w14:paraId="49411A89" w14:textId="77777777" w:rsidTr="00D45E98">
        <w:trPr>
          <w:trHeight w:val="210"/>
        </w:trPr>
        <w:tc>
          <w:tcPr>
            <w:tcW w:w="1481" w:type="pct"/>
            <w:vMerge w:val="restart"/>
            <w:tcBorders>
              <w:top w:val="single" w:sz="6" w:space="0" w:color="000000"/>
              <w:left w:val="single" w:sz="6" w:space="0" w:color="000000"/>
              <w:bottom w:val="single" w:sz="6" w:space="0" w:color="000000"/>
              <w:right w:val="single" w:sz="6" w:space="0" w:color="000000"/>
            </w:tcBorders>
          </w:tcPr>
          <w:p w14:paraId="6121DE97" w14:textId="77777777" w:rsidR="00147D71" w:rsidRDefault="00147D71" w:rsidP="000B2650">
            <w:pPr>
              <w:pStyle w:val="Default"/>
              <w:ind w:left="130" w:right="57"/>
              <w:rPr>
                <w:lang w:val="da-DK"/>
              </w:rPr>
            </w:pPr>
          </w:p>
        </w:tc>
        <w:tc>
          <w:tcPr>
            <w:tcW w:w="1168" w:type="pct"/>
            <w:gridSpan w:val="2"/>
            <w:tcBorders>
              <w:top w:val="single" w:sz="6" w:space="0" w:color="000000"/>
              <w:left w:val="single" w:sz="6" w:space="0" w:color="000000"/>
              <w:bottom w:val="single" w:sz="6" w:space="0" w:color="000000"/>
              <w:right w:val="single" w:sz="6" w:space="0" w:color="000000"/>
            </w:tcBorders>
            <w:hideMark/>
          </w:tcPr>
          <w:p w14:paraId="6B652364" w14:textId="77777777" w:rsidR="00147D71" w:rsidRDefault="00147D71" w:rsidP="000B2650">
            <w:pPr>
              <w:pStyle w:val="Default"/>
              <w:ind w:left="130" w:right="57"/>
              <w:jc w:val="center"/>
              <w:rPr>
                <w:b/>
                <w:bCs/>
                <w:lang w:val="da-DK"/>
              </w:rPr>
            </w:pPr>
            <w:r>
              <w:rPr>
                <w:b/>
                <w:bCs/>
                <w:lang w:val="da-DK"/>
              </w:rPr>
              <w:t>Sitagliptin 100 mg</w:t>
            </w:r>
          </w:p>
        </w:tc>
        <w:tc>
          <w:tcPr>
            <w:tcW w:w="1092" w:type="pct"/>
            <w:gridSpan w:val="2"/>
            <w:tcBorders>
              <w:top w:val="single" w:sz="6" w:space="0" w:color="000000"/>
              <w:left w:val="single" w:sz="6" w:space="0" w:color="000000"/>
              <w:bottom w:val="single" w:sz="6" w:space="0" w:color="000000"/>
              <w:right w:val="single" w:sz="6" w:space="0" w:color="000000"/>
            </w:tcBorders>
            <w:hideMark/>
          </w:tcPr>
          <w:p w14:paraId="220B99AF" w14:textId="77777777" w:rsidR="00147D71" w:rsidRDefault="00147D71" w:rsidP="000B2650">
            <w:pPr>
              <w:pStyle w:val="Default"/>
              <w:ind w:left="130" w:right="57"/>
              <w:jc w:val="center"/>
              <w:rPr>
                <w:b/>
                <w:bCs/>
                <w:lang w:val="da-DK"/>
              </w:rPr>
            </w:pPr>
            <w:r>
              <w:rPr>
                <w:b/>
                <w:bCs/>
                <w:lang w:val="da-DK"/>
              </w:rPr>
              <w:t>Placebo</w:t>
            </w:r>
          </w:p>
        </w:tc>
        <w:tc>
          <w:tcPr>
            <w:tcW w:w="800" w:type="pct"/>
            <w:vMerge w:val="restart"/>
            <w:tcBorders>
              <w:top w:val="single" w:sz="6" w:space="0" w:color="000000"/>
              <w:left w:val="single" w:sz="6" w:space="0" w:color="000000"/>
              <w:bottom w:val="single" w:sz="6" w:space="0" w:color="000000"/>
              <w:right w:val="single" w:sz="6" w:space="0" w:color="000000"/>
            </w:tcBorders>
          </w:tcPr>
          <w:p w14:paraId="321386D9" w14:textId="77777777" w:rsidR="00147D71" w:rsidRDefault="00147D71" w:rsidP="000B2650">
            <w:pPr>
              <w:pStyle w:val="Default"/>
              <w:ind w:left="130" w:right="57"/>
              <w:jc w:val="center"/>
              <w:rPr>
                <w:b/>
                <w:bCs/>
                <w:lang w:val="da-DK"/>
              </w:rPr>
            </w:pPr>
          </w:p>
          <w:p w14:paraId="3228F61E" w14:textId="77777777" w:rsidR="00147D71" w:rsidRDefault="00147D71" w:rsidP="000B2650">
            <w:pPr>
              <w:pStyle w:val="Default"/>
              <w:ind w:left="130" w:right="57"/>
              <w:jc w:val="center"/>
              <w:rPr>
                <w:b/>
                <w:bCs/>
                <w:lang w:val="da-DK"/>
              </w:rPr>
            </w:pPr>
          </w:p>
          <w:p w14:paraId="6876BB15" w14:textId="77777777" w:rsidR="00147D71" w:rsidRDefault="00147D71" w:rsidP="000B2650">
            <w:pPr>
              <w:pStyle w:val="Default"/>
              <w:ind w:left="130" w:right="57"/>
              <w:jc w:val="center"/>
              <w:rPr>
                <w:b/>
                <w:bCs/>
                <w:lang w:val="da-DK"/>
              </w:rPr>
            </w:pPr>
          </w:p>
          <w:p w14:paraId="2DF3FAD5" w14:textId="77777777" w:rsidR="00147D71" w:rsidRDefault="00147D71" w:rsidP="000B2650">
            <w:pPr>
              <w:pStyle w:val="Default"/>
              <w:ind w:left="130" w:right="57"/>
              <w:jc w:val="center"/>
              <w:rPr>
                <w:b/>
                <w:bCs/>
                <w:lang w:val="da-DK"/>
              </w:rPr>
            </w:pPr>
          </w:p>
          <w:p w14:paraId="03EA8DEE" w14:textId="77777777" w:rsidR="00147D71" w:rsidRDefault="00147D71" w:rsidP="000B2650">
            <w:pPr>
              <w:pStyle w:val="Default"/>
              <w:ind w:left="130" w:right="57"/>
              <w:jc w:val="center"/>
              <w:rPr>
                <w:b/>
                <w:bCs/>
                <w:lang w:val="da-DK"/>
              </w:rPr>
            </w:pPr>
            <w:r>
              <w:rPr>
                <w:b/>
                <w:bCs/>
                <w:lang w:val="da-DK"/>
              </w:rPr>
              <w:t>Hazard ratio</w:t>
            </w:r>
          </w:p>
          <w:p w14:paraId="5853A10D" w14:textId="4522A501" w:rsidR="00147D71" w:rsidRDefault="00147D71" w:rsidP="000B2650">
            <w:pPr>
              <w:pStyle w:val="Default"/>
              <w:ind w:left="130" w:right="57"/>
              <w:jc w:val="center"/>
              <w:rPr>
                <w:b/>
                <w:bCs/>
                <w:lang w:val="da-DK"/>
              </w:rPr>
            </w:pPr>
            <w:r>
              <w:rPr>
                <w:b/>
                <w:bCs/>
                <w:lang w:val="da-DK"/>
              </w:rPr>
              <w:t>(95</w:t>
            </w:r>
            <w:r w:rsidR="00DF7C99">
              <w:rPr>
                <w:b/>
                <w:bCs/>
                <w:lang w:val="da-DK"/>
              </w:rPr>
              <w:t xml:space="preserve"> %</w:t>
            </w:r>
            <w:r>
              <w:rPr>
                <w:b/>
                <w:bCs/>
                <w:lang w:val="da-DK"/>
              </w:rPr>
              <w:t xml:space="preserve"> CI)</w:t>
            </w:r>
          </w:p>
        </w:tc>
        <w:tc>
          <w:tcPr>
            <w:tcW w:w="459" w:type="pct"/>
            <w:vMerge w:val="restart"/>
            <w:tcBorders>
              <w:top w:val="single" w:sz="6" w:space="0" w:color="000000"/>
              <w:left w:val="single" w:sz="6" w:space="0" w:color="000000"/>
              <w:bottom w:val="single" w:sz="6" w:space="0" w:color="000000"/>
              <w:right w:val="single" w:sz="6" w:space="0" w:color="000000"/>
            </w:tcBorders>
          </w:tcPr>
          <w:p w14:paraId="1B565567" w14:textId="77777777" w:rsidR="00147D71" w:rsidRDefault="00147D71" w:rsidP="000B2650">
            <w:pPr>
              <w:pStyle w:val="Default"/>
              <w:ind w:left="130" w:right="57"/>
              <w:jc w:val="center"/>
              <w:rPr>
                <w:b/>
                <w:bCs/>
                <w:lang w:val="da-DK"/>
              </w:rPr>
            </w:pPr>
          </w:p>
          <w:p w14:paraId="5A17168D" w14:textId="77777777" w:rsidR="00147D71" w:rsidRDefault="00147D71" w:rsidP="000B2650">
            <w:pPr>
              <w:pStyle w:val="Default"/>
              <w:ind w:left="130" w:right="57"/>
              <w:jc w:val="center"/>
              <w:rPr>
                <w:b/>
                <w:bCs/>
                <w:lang w:val="da-DK"/>
              </w:rPr>
            </w:pPr>
          </w:p>
          <w:p w14:paraId="42C8F9A9" w14:textId="77777777" w:rsidR="00147D71" w:rsidRDefault="00147D71" w:rsidP="000B2650">
            <w:pPr>
              <w:pStyle w:val="Default"/>
              <w:ind w:left="130" w:right="57"/>
              <w:jc w:val="center"/>
              <w:rPr>
                <w:b/>
                <w:bCs/>
                <w:lang w:val="da-DK"/>
              </w:rPr>
            </w:pPr>
          </w:p>
          <w:p w14:paraId="331EAB73" w14:textId="77777777" w:rsidR="00147D71" w:rsidRDefault="00147D71" w:rsidP="000B2650">
            <w:pPr>
              <w:pStyle w:val="Default"/>
              <w:ind w:left="130" w:right="57"/>
              <w:jc w:val="center"/>
              <w:rPr>
                <w:b/>
                <w:bCs/>
                <w:lang w:val="da-DK"/>
              </w:rPr>
            </w:pPr>
          </w:p>
          <w:p w14:paraId="3AA43990" w14:textId="77777777" w:rsidR="00147D71" w:rsidRDefault="00147D71" w:rsidP="000B2650">
            <w:pPr>
              <w:pStyle w:val="Default"/>
              <w:ind w:left="130" w:right="57"/>
              <w:jc w:val="center"/>
              <w:rPr>
                <w:b/>
                <w:bCs/>
                <w:lang w:val="da-DK"/>
              </w:rPr>
            </w:pPr>
            <w:r>
              <w:rPr>
                <w:b/>
                <w:bCs/>
                <w:lang w:val="da-DK"/>
              </w:rPr>
              <w:t>p-værdi</w:t>
            </w:r>
            <w:r>
              <w:rPr>
                <w:b/>
                <w:bCs/>
                <w:vertAlign w:val="superscript"/>
                <w:lang w:val="da-DK"/>
              </w:rPr>
              <w:t>†</w:t>
            </w:r>
          </w:p>
        </w:tc>
      </w:tr>
      <w:tr w:rsidR="00147D71" w14:paraId="021256CB" w14:textId="77777777" w:rsidTr="00D45E98">
        <w:trPr>
          <w:trHeight w:val="1193"/>
        </w:trPr>
        <w:tc>
          <w:tcPr>
            <w:tcW w:w="1481" w:type="pct"/>
            <w:vMerge/>
            <w:tcBorders>
              <w:top w:val="single" w:sz="6" w:space="0" w:color="000000"/>
              <w:left w:val="single" w:sz="6" w:space="0" w:color="000000"/>
              <w:bottom w:val="single" w:sz="6" w:space="0" w:color="000000"/>
              <w:right w:val="single" w:sz="6" w:space="0" w:color="000000"/>
            </w:tcBorders>
            <w:vAlign w:val="center"/>
            <w:hideMark/>
          </w:tcPr>
          <w:p w14:paraId="61A3CFB6" w14:textId="77777777" w:rsidR="00147D71" w:rsidRDefault="00147D71" w:rsidP="000B2650">
            <w:pPr>
              <w:ind w:left="130" w:right="57"/>
              <w:rPr>
                <w:rFonts w:eastAsia="Calibri"/>
                <w:color w:val="000000"/>
                <w:sz w:val="24"/>
                <w:szCs w:val="24"/>
              </w:rPr>
            </w:pPr>
          </w:p>
        </w:tc>
        <w:tc>
          <w:tcPr>
            <w:tcW w:w="571" w:type="pct"/>
            <w:tcBorders>
              <w:top w:val="single" w:sz="6" w:space="0" w:color="000000"/>
              <w:left w:val="single" w:sz="6" w:space="0" w:color="000000"/>
              <w:bottom w:val="single" w:sz="6" w:space="0" w:color="000000"/>
              <w:right w:val="single" w:sz="6" w:space="0" w:color="000000"/>
            </w:tcBorders>
          </w:tcPr>
          <w:p w14:paraId="64646011" w14:textId="77777777" w:rsidR="00147D71" w:rsidRDefault="00147D71" w:rsidP="000B2650">
            <w:pPr>
              <w:pStyle w:val="Default"/>
              <w:ind w:left="130" w:right="57"/>
              <w:jc w:val="center"/>
              <w:rPr>
                <w:b/>
                <w:bCs/>
                <w:lang w:val="da-DK"/>
              </w:rPr>
            </w:pPr>
          </w:p>
          <w:p w14:paraId="79C65C0A" w14:textId="77777777" w:rsidR="00147D71" w:rsidRDefault="00147D71" w:rsidP="000B2650">
            <w:pPr>
              <w:pStyle w:val="Default"/>
              <w:ind w:left="130" w:right="57"/>
              <w:jc w:val="center"/>
              <w:rPr>
                <w:b/>
                <w:bCs/>
                <w:lang w:val="da-DK"/>
              </w:rPr>
            </w:pPr>
          </w:p>
          <w:p w14:paraId="49C5F31A" w14:textId="77777777" w:rsidR="00147D71" w:rsidRDefault="00147D71" w:rsidP="000B2650">
            <w:pPr>
              <w:pStyle w:val="Default"/>
              <w:ind w:left="130" w:right="57"/>
              <w:jc w:val="center"/>
              <w:rPr>
                <w:b/>
                <w:bCs/>
                <w:lang w:val="da-DK"/>
              </w:rPr>
            </w:pPr>
          </w:p>
          <w:p w14:paraId="4A0C15DE" w14:textId="693695C9" w:rsidR="00147D71" w:rsidRDefault="00147D71" w:rsidP="000B2650">
            <w:pPr>
              <w:pStyle w:val="Default"/>
              <w:ind w:left="130" w:right="57"/>
              <w:jc w:val="center"/>
              <w:rPr>
                <w:b/>
                <w:bCs/>
                <w:lang w:val="da-DK"/>
              </w:rPr>
            </w:pPr>
            <w:r>
              <w:rPr>
                <w:b/>
                <w:bCs/>
                <w:lang w:val="da-DK"/>
              </w:rPr>
              <w:t>N (</w:t>
            </w:r>
            <w:r w:rsidR="00DF7C99">
              <w:rPr>
                <w:b/>
                <w:bCs/>
                <w:lang w:val="da-DK"/>
              </w:rPr>
              <w:t>%</w:t>
            </w:r>
            <w:r>
              <w:rPr>
                <w:b/>
                <w:bCs/>
                <w:lang w:val="da-DK"/>
              </w:rPr>
              <w:t>)</w:t>
            </w:r>
          </w:p>
        </w:tc>
        <w:tc>
          <w:tcPr>
            <w:tcW w:w="597" w:type="pct"/>
            <w:tcBorders>
              <w:top w:val="single" w:sz="6" w:space="0" w:color="000000"/>
              <w:left w:val="single" w:sz="6" w:space="0" w:color="000000"/>
              <w:bottom w:val="single" w:sz="6" w:space="0" w:color="000000"/>
              <w:right w:val="single" w:sz="6" w:space="0" w:color="000000"/>
            </w:tcBorders>
            <w:hideMark/>
          </w:tcPr>
          <w:p w14:paraId="4CAFD54B" w14:textId="77777777" w:rsidR="00147D71" w:rsidRDefault="00147D71" w:rsidP="000B2650">
            <w:pPr>
              <w:pStyle w:val="Default"/>
              <w:ind w:left="130" w:right="57"/>
              <w:jc w:val="center"/>
              <w:rPr>
                <w:b/>
                <w:bCs/>
                <w:lang w:val="da-DK"/>
              </w:rPr>
            </w:pPr>
            <w:r>
              <w:rPr>
                <w:b/>
                <w:bCs/>
                <w:lang w:val="da-DK"/>
              </w:rPr>
              <w:t>Incidens- rate pr. 100</w:t>
            </w:r>
          </w:p>
          <w:p w14:paraId="10966A74" w14:textId="77777777" w:rsidR="00147D71" w:rsidRDefault="00147D71" w:rsidP="000B2650">
            <w:pPr>
              <w:pStyle w:val="Default"/>
              <w:ind w:left="130" w:right="57"/>
              <w:jc w:val="center"/>
              <w:rPr>
                <w:b/>
                <w:bCs/>
                <w:lang w:val="da-DK"/>
              </w:rPr>
            </w:pPr>
            <w:r>
              <w:rPr>
                <w:b/>
                <w:bCs/>
                <w:lang w:val="da-DK"/>
              </w:rPr>
              <w:t>patient-</w:t>
            </w:r>
          </w:p>
          <w:p w14:paraId="757E8D33" w14:textId="77777777" w:rsidR="00147D71" w:rsidRDefault="00147D71" w:rsidP="000B2650">
            <w:pPr>
              <w:pStyle w:val="Default"/>
              <w:ind w:left="130" w:right="57"/>
              <w:jc w:val="center"/>
              <w:rPr>
                <w:b/>
                <w:bCs/>
                <w:lang w:val="da-DK"/>
              </w:rPr>
            </w:pPr>
            <w:r>
              <w:rPr>
                <w:b/>
                <w:bCs/>
                <w:lang w:val="da-DK"/>
              </w:rPr>
              <w:t>år</w:t>
            </w:r>
            <w:r>
              <w:rPr>
                <w:b/>
                <w:bCs/>
                <w:vertAlign w:val="superscript"/>
                <w:lang w:val="da-DK"/>
              </w:rPr>
              <w:t>*</w:t>
            </w:r>
          </w:p>
        </w:tc>
        <w:tc>
          <w:tcPr>
            <w:tcW w:w="495" w:type="pct"/>
            <w:tcBorders>
              <w:top w:val="single" w:sz="6" w:space="0" w:color="000000"/>
              <w:left w:val="single" w:sz="6" w:space="0" w:color="000000"/>
              <w:bottom w:val="single" w:sz="6" w:space="0" w:color="000000"/>
              <w:right w:val="single" w:sz="6" w:space="0" w:color="000000"/>
            </w:tcBorders>
          </w:tcPr>
          <w:p w14:paraId="12FBCC0D" w14:textId="77777777" w:rsidR="00147D71" w:rsidRDefault="00147D71" w:rsidP="000B2650">
            <w:pPr>
              <w:pStyle w:val="Default"/>
              <w:ind w:left="130" w:right="57"/>
              <w:jc w:val="center"/>
              <w:rPr>
                <w:b/>
                <w:bCs/>
                <w:lang w:val="da-DK"/>
              </w:rPr>
            </w:pPr>
          </w:p>
          <w:p w14:paraId="60CFBF33" w14:textId="77777777" w:rsidR="00147D71" w:rsidRDefault="00147D71" w:rsidP="000B2650">
            <w:pPr>
              <w:pStyle w:val="Default"/>
              <w:ind w:left="130" w:right="57"/>
              <w:jc w:val="center"/>
              <w:rPr>
                <w:b/>
                <w:bCs/>
                <w:lang w:val="da-DK"/>
              </w:rPr>
            </w:pPr>
          </w:p>
          <w:p w14:paraId="1CE6F560" w14:textId="77777777" w:rsidR="00147D71" w:rsidRDefault="00147D71" w:rsidP="000B2650">
            <w:pPr>
              <w:pStyle w:val="Default"/>
              <w:ind w:left="130" w:right="57"/>
              <w:jc w:val="center"/>
              <w:rPr>
                <w:b/>
                <w:bCs/>
                <w:lang w:val="da-DK"/>
              </w:rPr>
            </w:pPr>
          </w:p>
          <w:p w14:paraId="6360224A" w14:textId="6E1D2672" w:rsidR="00147D71" w:rsidRDefault="00147D71" w:rsidP="000B2650">
            <w:pPr>
              <w:pStyle w:val="Default"/>
              <w:ind w:left="130" w:right="57"/>
              <w:jc w:val="center"/>
              <w:rPr>
                <w:b/>
                <w:bCs/>
                <w:lang w:val="da-DK"/>
              </w:rPr>
            </w:pPr>
            <w:r>
              <w:rPr>
                <w:b/>
                <w:bCs/>
                <w:lang w:val="da-DK"/>
              </w:rPr>
              <w:t>N (</w:t>
            </w:r>
            <w:r w:rsidR="00DF7C99">
              <w:rPr>
                <w:b/>
                <w:bCs/>
                <w:lang w:val="da-DK"/>
              </w:rPr>
              <w:t>%</w:t>
            </w:r>
            <w:r>
              <w:rPr>
                <w:b/>
                <w:bCs/>
                <w:lang w:val="da-DK"/>
              </w:rPr>
              <w:t>)</w:t>
            </w:r>
          </w:p>
        </w:tc>
        <w:tc>
          <w:tcPr>
            <w:tcW w:w="597" w:type="pct"/>
            <w:tcBorders>
              <w:top w:val="single" w:sz="6" w:space="0" w:color="000000"/>
              <w:left w:val="single" w:sz="6" w:space="0" w:color="000000"/>
              <w:bottom w:val="single" w:sz="6" w:space="0" w:color="000000"/>
              <w:right w:val="single" w:sz="6" w:space="0" w:color="000000"/>
            </w:tcBorders>
            <w:hideMark/>
          </w:tcPr>
          <w:p w14:paraId="7A10567B" w14:textId="77777777" w:rsidR="00147D71" w:rsidRDefault="00147D71" w:rsidP="000B2650">
            <w:pPr>
              <w:pStyle w:val="Default"/>
              <w:ind w:left="130" w:right="57"/>
              <w:jc w:val="center"/>
              <w:rPr>
                <w:b/>
                <w:bCs/>
                <w:lang w:val="da-DK"/>
              </w:rPr>
            </w:pPr>
            <w:r>
              <w:rPr>
                <w:b/>
                <w:bCs/>
                <w:lang w:val="da-DK"/>
              </w:rPr>
              <w:t>Incidens- rate pr. 100</w:t>
            </w:r>
          </w:p>
          <w:p w14:paraId="5FD2B893" w14:textId="77777777" w:rsidR="00147D71" w:rsidRDefault="00147D71" w:rsidP="000B2650">
            <w:pPr>
              <w:pStyle w:val="Default"/>
              <w:ind w:left="130" w:right="57"/>
              <w:jc w:val="center"/>
              <w:rPr>
                <w:b/>
                <w:bCs/>
                <w:lang w:val="da-DK"/>
              </w:rPr>
            </w:pPr>
            <w:r>
              <w:rPr>
                <w:b/>
                <w:bCs/>
                <w:lang w:val="da-DK"/>
              </w:rPr>
              <w:t>patient-</w:t>
            </w:r>
          </w:p>
          <w:p w14:paraId="31FFBE0A" w14:textId="77777777" w:rsidR="00147D71" w:rsidRDefault="00147D71" w:rsidP="000B2650">
            <w:pPr>
              <w:pStyle w:val="Default"/>
              <w:ind w:left="130" w:right="57"/>
              <w:jc w:val="center"/>
              <w:rPr>
                <w:b/>
                <w:bCs/>
                <w:lang w:val="da-DK"/>
              </w:rPr>
            </w:pPr>
            <w:r>
              <w:rPr>
                <w:b/>
                <w:bCs/>
                <w:lang w:val="da-DK"/>
              </w:rPr>
              <w:t>år</w:t>
            </w:r>
            <w:r>
              <w:rPr>
                <w:b/>
                <w:bCs/>
                <w:vertAlign w:val="superscript"/>
                <w:lang w:val="da-DK"/>
              </w:rPr>
              <w:t>*</w:t>
            </w:r>
          </w:p>
        </w:tc>
        <w:tc>
          <w:tcPr>
            <w:tcW w:w="800" w:type="pct"/>
            <w:vMerge/>
            <w:tcBorders>
              <w:top w:val="single" w:sz="6" w:space="0" w:color="000000"/>
              <w:left w:val="single" w:sz="6" w:space="0" w:color="000000"/>
              <w:bottom w:val="single" w:sz="6" w:space="0" w:color="000000"/>
              <w:right w:val="single" w:sz="6" w:space="0" w:color="000000"/>
            </w:tcBorders>
            <w:vAlign w:val="center"/>
            <w:hideMark/>
          </w:tcPr>
          <w:p w14:paraId="3B2A48EB" w14:textId="77777777" w:rsidR="00147D71" w:rsidRDefault="00147D71" w:rsidP="000B2650">
            <w:pPr>
              <w:ind w:left="130" w:right="57"/>
              <w:rPr>
                <w:rFonts w:eastAsia="Calibri"/>
                <w:b/>
                <w:bCs/>
                <w:color w:val="000000"/>
                <w:sz w:val="24"/>
                <w:szCs w:val="24"/>
              </w:rPr>
            </w:pPr>
          </w:p>
        </w:tc>
        <w:tc>
          <w:tcPr>
            <w:tcW w:w="459" w:type="pct"/>
            <w:vMerge/>
            <w:tcBorders>
              <w:top w:val="single" w:sz="6" w:space="0" w:color="000000"/>
              <w:left w:val="single" w:sz="6" w:space="0" w:color="000000"/>
              <w:bottom w:val="single" w:sz="6" w:space="0" w:color="000000"/>
              <w:right w:val="single" w:sz="6" w:space="0" w:color="000000"/>
            </w:tcBorders>
            <w:vAlign w:val="center"/>
            <w:hideMark/>
          </w:tcPr>
          <w:p w14:paraId="603C3D8E" w14:textId="77777777" w:rsidR="00147D71" w:rsidRDefault="00147D71" w:rsidP="000B2650">
            <w:pPr>
              <w:ind w:left="130" w:right="57"/>
              <w:rPr>
                <w:rFonts w:eastAsia="Calibri"/>
                <w:b/>
                <w:bCs/>
                <w:color w:val="000000"/>
                <w:sz w:val="24"/>
                <w:szCs w:val="24"/>
              </w:rPr>
            </w:pPr>
          </w:p>
        </w:tc>
      </w:tr>
      <w:tr w:rsidR="00147D71" w14:paraId="32D8B56B" w14:textId="77777777" w:rsidTr="00D45E98">
        <w:trPr>
          <w:trHeight w:val="287"/>
        </w:trPr>
        <w:tc>
          <w:tcPr>
            <w:tcW w:w="5000" w:type="pct"/>
            <w:gridSpan w:val="7"/>
            <w:tcBorders>
              <w:top w:val="single" w:sz="6" w:space="0" w:color="000000"/>
              <w:left w:val="single" w:sz="6" w:space="0" w:color="000000"/>
              <w:bottom w:val="single" w:sz="6" w:space="0" w:color="000000"/>
              <w:right w:val="single" w:sz="6" w:space="0" w:color="000000"/>
            </w:tcBorders>
            <w:hideMark/>
          </w:tcPr>
          <w:p w14:paraId="149853EF" w14:textId="77777777" w:rsidR="00147D71" w:rsidRDefault="00147D71" w:rsidP="000B2650">
            <w:pPr>
              <w:pStyle w:val="Default"/>
              <w:ind w:left="130" w:right="57"/>
              <w:rPr>
                <w:b/>
                <w:bCs/>
                <w:lang w:val="da-DK"/>
              </w:rPr>
            </w:pPr>
            <w:r>
              <w:rPr>
                <w:b/>
                <w:bCs/>
                <w:lang w:val="da-DK"/>
              </w:rPr>
              <w:t>Analyse i Intention to treat-populationen</w:t>
            </w:r>
          </w:p>
        </w:tc>
      </w:tr>
      <w:tr w:rsidR="00147D71" w14:paraId="23E18B5B" w14:textId="77777777" w:rsidTr="00D45E98">
        <w:trPr>
          <w:trHeight w:val="273"/>
        </w:trPr>
        <w:tc>
          <w:tcPr>
            <w:tcW w:w="1481" w:type="pct"/>
            <w:tcBorders>
              <w:top w:val="single" w:sz="6" w:space="0" w:color="000000"/>
              <w:left w:val="single" w:sz="6" w:space="0" w:color="000000"/>
              <w:bottom w:val="single" w:sz="6" w:space="0" w:color="000000"/>
              <w:right w:val="single" w:sz="6" w:space="0" w:color="000000"/>
            </w:tcBorders>
            <w:hideMark/>
          </w:tcPr>
          <w:p w14:paraId="3EB4A030" w14:textId="77777777" w:rsidR="00147D71" w:rsidRDefault="00147D71" w:rsidP="000B2650">
            <w:pPr>
              <w:pStyle w:val="Default"/>
              <w:ind w:left="130" w:right="57"/>
              <w:rPr>
                <w:b/>
                <w:bCs/>
                <w:lang w:val="da-DK"/>
              </w:rPr>
            </w:pPr>
            <w:r>
              <w:rPr>
                <w:b/>
                <w:bCs/>
                <w:lang w:val="da-DK"/>
              </w:rPr>
              <w:t>Antal patienter</w:t>
            </w:r>
          </w:p>
        </w:tc>
        <w:tc>
          <w:tcPr>
            <w:tcW w:w="1168" w:type="pct"/>
            <w:gridSpan w:val="2"/>
            <w:tcBorders>
              <w:top w:val="single" w:sz="6" w:space="0" w:color="000000"/>
              <w:left w:val="single" w:sz="6" w:space="0" w:color="000000"/>
              <w:bottom w:val="single" w:sz="6" w:space="0" w:color="000000"/>
              <w:right w:val="single" w:sz="6" w:space="0" w:color="000000"/>
            </w:tcBorders>
            <w:hideMark/>
          </w:tcPr>
          <w:p w14:paraId="327234DE" w14:textId="77777777" w:rsidR="00147D71" w:rsidRDefault="00147D71" w:rsidP="000B2650">
            <w:pPr>
              <w:pStyle w:val="Default"/>
              <w:ind w:left="130" w:right="57"/>
              <w:jc w:val="center"/>
              <w:rPr>
                <w:b/>
                <w:bCs/>
                <w:lang w:val="da-DK"/>
              </w:rPr>
            </w:pPr>
            <w:r>
              <w:rPr>
                <w:b/>
                <w:bCs/>
                <w:lang w:val="da-DK"/>
              </w:rPr>
              <w:t>7.332</w:t>
            </w:r>
          </w:p>
        </w:tc>
        <w:tc>
          <w:tcPr>
            <w:tcW w:w="1092" w:type="pct"/>
            <w:gridSpan w:val="2"/>
            <w:tcBorders>
              <w:top w:val="single" w:sz="6" w:space="0" w:color="000000"/>
              <w:left w:val="single" w:sz="6" w:space="0" w:color="000000"/>
              <w:bottom w:val="single" w:sz="6" w:space="0" w:color="000000"/>
              <w:right w:val="single" w:sz="6" w:space="0" w:color="000000"/>
            </w:tcBorders>
            <w:hideMark/>
          </w:tcPr>
          <w:p w14:paraId="626303E9" w14:textId="77777777" w:rsidR="00147D71" w:rsidRDefault="00147D71" w:rsidP="000B2650">
            <w:pPr>
              <w:pStyle w:val="Default"/>
              <w:ind w:left="130" w:right="57"/>
              <w:jc w:val="center"/>
              <w:rPr>
                <w:b/>
                <w:bCs/>
                <w:lang w:val="da-DK"/>
              </w:rPr>
            </w:pPr>
            <w:r>
              <w:rPr>
                <w:b/>
                <w:bCs/>
                <w:lang w:val="da-DK"/>
              </w:rPr>
              <w:t>7.339</w:t>
            </w:r>
          </w:p>
        </w:tc>
        <w:tc>
          <w:tcPr>
            <w:tcW w:w="800" w:type="pct"/>
            <w:vMerge w:val="restart"/>
            <w:tcBorders>
              <w:top w:val="single" w:sz="6" w:space="0" w:color="000000"/>
              <w:left w:val="single" w:sz="6" w:space="0" w:color="000000"/>
              <w:bottom w:val="single" w:sz="6" w:space="0" w:color="000000"/>
              <w:right w:val="single" w:sz="6" w:space="0" w:color="000000"/>
            </w:tcBorders>
          </w:tcPr>
          <w:p w14:paraId="0B99E4A1" w14:textId="77777777" w:rsidR="00147D71" w:rsidRDefault="00147D71" w:rsidP="000B2650">
            <w:pPr>
              <w:pStyle w:val="Default"/>
              <w:ind w:left="130" w:right="57"/>
              <w:jc w:val="center"/>
              <w:rPr>
                <w:lang w:val="da-DK"/>
              </w:rPr>
            </w:pPr>
          </w:p>
          <w:p w14:paraId="29E4A5F1" w14:textId="77777777" w:rsidR="00147D71" w:rsidRDefault="00147D71" w:rsidP="000B2650">
            <w:pPr>
              <w:pStyle w:val="Default"/>
              <w:ind w:left="130" w:right="57"/>
              <w:jc w:val="center"/>
              <w:rPr>
                <w:lang w:val="da-DK"/>
              </w:rPr>
            </w:pPr>
          </w:p>
          <w:p w14:paraId="43BEE3E5" w14:textId="77777777" w:rsidR="00147D71" w:rsidRDefault="00147D71" w:rsidP="000B2650">
            <w:pPr>
              <w:pStyle w:val="Default"/>
              <w:ind w:left="130" w:right="57"/>
              <w:jc w:val="center"/>
              <w:rPr>
                <w:lang w:val="da-DK"/>
              </w:rPr>
            </w:pPr>
          </w:p>
          <w:p w14:paraId="0D399DC3" w14:textId="77777777" w:rsidR="00147D71" w:rsidRDefault="00147D71" w:rsidP="000B2650">
            <w:pPr>
              <w:pStyle w:val="Default"/>
              <w:ind w:left="130" w:right="57"/>
              <w:jc w:val="center"/>
              <w:rPr>
                <w:lang w:val="da-DK"/>
              </w:rPr>
            </w:pPr>
          </w:p>
          <w:p w14:paraId="766605F2" w14:textId="77777777" w:rsidR="00147D71" w:rsidRDefault="00147D71" w:rsidP="000B2650">
            <w:pPr>
              <w:pStyle w:val="Default"/>
              <w:ind w:left="130" w:right="57"/>
              <w:jc w:val="center"/>
              <w:rPr>
                <w:lang w:val="da-DK"/>
              </w:rPr>
            </w:pPr>
          </w:p>
          <w:p w14:paraId="42FF1963" w14:textId="77777777" w:rsidR="00147D71" w:rsidRDefault="00147D71" w:rsidP="000B2650">
            <w:pPr>
              <w:pStyle w:val="Default"/>
              <w:ind w:left="130" w:right="57"/>
              <w:jc w:val="center"/>
              <w:rPr>
                <w:lang w:val="da-DK"/>
              </w:rPr>
            </w:pPr>
            <w:r>
              <w:rPr>
                <w:lang w:val="da-DK"/>
              </w:rPr>
              <w:t>0,98 (0,89–1,08)</w:t>
            </w:r>
          </w:p>
        </w:tc>
        <w:tc>
          <w:tcPr>
            <w:tcW w:w="459" w:type="pct"/>
            <w:vMerge w:val="restart"/>
            <w:tcBorders>
              <w:top w:val="single" w:sz="6" w:space="0" w:color="000000"/>
              <w:left w:val="single" w:sz="6" w:space="0" w:color="000000"/>
              <w:bottom w:val="single" w:sz="6" w:space="0" w:color="000000"/>
              <w:right w:val="single" w:sz="6" w:space="0" w:color="000000"/>
            </w:tcBorders>
          </w:tcPr>
          <w:p w14:paraId="4F7DCA33" w14:textId="77777777" w:rsidR="00147D71" w:rsidRDefault="00147D71" w:rsidP="000B2650">
            <w:pPr>
              <w:pStyle w:val="Default"/>
              <w:ind w:left="130" w:right="57"/>
              <w:jc w:val="center"/>
              <w:rPr>
                <w:lang w:val="da-DK"/>
              </w:rPr>
            </w:pPr>
          </w:p>
          <w:p w14:paraId="27C2DB33" w14:textId="77777777" w:rsidR="00147D71" w:rsidRDefault="00147D71" w:rsidP="000B2650">
            <w:pPr>
              <w:pStyle w:val="Default"/>
              <w:ind w:left="130" w:right="57"/>
              <w:jc w:val="center"/>
              <w:rPr>
                <w:lang w:val="da-DK"/>
              </w:rPr>
            </w:pPr>
          </w:p>
          <w:p w14:paraId="795FF0BE" w14:textId="77777777" w:rsidR="00147D71" w:rsidRDefault="00147D71" w:rsidP="000B2650">
            <w:pPr>
              <w:pStyle w:val="Default"/>
              <w:ind w:left="130" w:right="57"/>
              <w:jc w:val="center"/>
              <w:rPr>
                <w:lang w:val="da-DK"/>
              </w:rPr>
            </w:pPr>
          </w:p>
          <w:p w14:paraId="70A39238" w14:textId="77777777" w:rsidR="00147D71" w:rsidRDefault="00147D71" w:rsidP="000B2650">
            <w:pPr>
              <w:pStyle w:val="Default"/>
              <w:ind w:left="130" w:right="57"/>
              <w:jc w:val="center"/>
              <w:rPr>
                <w:lang w:val="da-DK"/>
              </w:rPr>
            </w:pPr>
          </w:p>
          <w:p w14:paraId="4E2D6F72" w14:textId="77777777" w:rsidR="00147D71" w:rsidRDefault="00147D71" w:rsidP="000B2650">
            <w:pPr>
              <w:pStyle w:val="Default"/>
              <w:ind w:left="130" w:right="57"/>
              <w:jc w:val="center"/>
              <w:rPr>
                <w:lang w:val="da-DK"/>
              </w:rPr>
            </w:pPr>
          </w:p>
          <w:p w14:paraId="4019410E" w14:textId="77777777" w:rsidR="00147D71" w:rsidRDefault="00147D71" w:rsidP="000B2650">
            <w:pPr>
              <w:pStyle w:val="Default"/>
              <w:ind w:left="130" w:right="57"/>
              <w:jc w:val="center"/>
              <w:rPr>
                <w:lang w:val="da-DK"/>
              </w:rPr>
            </w:pPr>
            <w:r>
              <w:rPr>
                <w:lang w:val="da-DK"/>
              </w:rPr>
              <w:t>&lt;0,001</w:t>
            </w:r>
          </w:p>
        </w:tc>
      </w:tr>
      <w:tr w:rsidR="00147D71" w14:paraId="62618F63" w14:textId="77777777" w:rsidTr="00D45E98">
        <w:trPr>
          <w:trHeight w:val="1105"/>
        </w:trPr>
        <w:tc>
          <w:tcPr>
            <w:tcW w:w="1481" w:type="pct"/>
            <w:tcBorders>
              <w:top w:val="single" w:sz="6" w:space="0" w:color="000000"/>
              <w:left w:val="single" w:sz="6" w:space="0" w:color="000000"/>
              <w:bottom w:val="single" w:sz="6" w:space="0" w:color="000000"/>
              <w:right w:val="single" w:sz="6" w:space="0" w:color="000000"/>
            </w:tcBorders>
            <w:hideMark/>
          </w:tcPr>
          <w:p w14:paraId="1EABF0A9" w14:textId="77777777" w:rsidR="00147D71" w:rsidRDefault="00147D71" w:rsidP="000B2650">
            <w:pPr>
              <w:pStyle w:val="Default"/>
              <w:ind w:left="130" w:right="57"/>
              <w:rPr>
                <w:lang w:val="da-DK"/>
              </w:rPr>
            </w:pPr>
            <w:r>
              <w:rPr>
                <w:b/>
                <w:bCs/>
                <w:lang w:val="da-DK"/>
              </w:rPr>
              <w:t xml:space="preserve">Primært sammensat endepunkt </w:t>
            </w:r>
            <w:r>
              <w:rPr>
                <w:lang w:val="da-DK"/>
              </w:rPr>
              <w:t>(Kardiovaskulær død, ikke-dødeligt myokardieinfarkt, ikke-dødelig apopleksi eller hospitals-indlæggelse pga. ustabil angina)</w:t>
            </w:r>
          </w:p>
        </w:tc>
        <w:tc>
          <w:tcPr>
            <w:tcW w:w="571" w:type="pct"/>
            <w:tcBorders>
              <w:top w:val="single" w:sz="6" w:space="0" w:color="000000"/>
              <w:left w:val="single" w:sz="6" w:space="0" w:color="000000"/>
              <w:bottom w:val="single" w:sz="6" w:space="0" w:color="000000"/>
              <w:right w:val="single" w:sz="6" w:space="0" w:color="000000"/>
            </w:tcBorders>
          </w:tcPr>
          <w:p w14:paraId="453C4BA0" w14:textId="77777777" w:rsidR="00147D71" w:rsidRDefault="00147D71" w:rsidP="000B2650">
            <w:pPr>
              <w:pStyle w:val="Default"/>
              <w:ind w:left="130" w:right="57"/>
              <w:jc w:val="center"/>
              <w:rPr>
                <w:lang w:val="da-DK"/>
              </w:rPr>
            </w:pPr>
          </w:p>
          <w:p w14:paraId="352E16DC" w14:textId="77777777" w:rsidR="00147D71" w:rsidRDefault="00147D71" w:rsidP="000B2650">
            <w:pPr>
              <w:pStyle w:val="Default"/>
              <w:ind w:left="130" w:right="57"/>
              <w:jc w:val="center"/>
              <w:rPr>
                <w:lang w:val="da-DK"/>
              </w:rPr>
            </w:pPr>
          </w:p>
          <w:p w14:paraId="442FD8AD" w14:textId="77777777" w:rsidR="00147D71" w:rsidRDefault="00147D71" w:rsidP="000B2650">
            <w:pPr>
              <w:pStyle w:val="Default"/>
              <w:ind w:left="130" w:right="57"/>
              <w:jc w:val="center"/>
              <w:rPr>
                <w:lang w:val="da-DK"/>
              </w:rPr>
            </w:pPr>
          </w:p>
          <w:p w14:paraId="7A984E1E" w14:textId="77777777" w:rsidR="00147D71" w:rsidRDefault="00147D71" w:rsidP="000B2650">
            <w:pPr>
              <w:pStyle w:val="Default"/>
              <w:ind w:left="130" w:right="57"/>
              <w:jc w:val="center"/>
              <w:rPr>
                <w:lang w:val="da-DK"/>
              </w:rPr>
            </w:pPr>
          </w:p>
          <w:p w14:paraId="3FF9DCF8" w14:textId="77777777" w:rsidR="00147D71" w:rsidRDefault="00147D71" w:rsidP="000B2650">
            <w:pPr>
              <w:pStyle w:val="Default"/>
              <w:ind w:left="130" w:right="57"/>
              <w:jc w:val="center"/>
              <w:rPr>
                <w:lang w:val="da-DK"/>
              </w:rPr>
            </w:pPr>
            <w:r>
              <w:rPr>
                <w:lang w:val="da-DK"/>
              </w:rPr>
              <w:t>839 (11,4)</w:t>
            </w:r>
          </w:p>
        </w:tc>
        <w:tc>
          <w:tcPr>
            <w:tcW w:w="597" w:type="pct"/>
            <w:tcBorders>
              <w:top w:val="single" w:sz="6" w:space="0" w:color="000000"/>
              <w:left w:val="single" w:sz="6" w:space="0" w:color="000000"/>
              <w:bottom w:val="single" w:sz="6" w:space="0" w:color="000000"/>
              <w:right w:val="single" w:sz="6" w:space="0" w:color="000000"/>
            </w:tcBorders>
          </w:tcPr>
          <w:p w14:paraId="6F9EEA89" w14:textId="77777777" w:rsidR="00147D71" w:rsidRDefault="00147D71" w:rsidP="000B2650">
            <w:pPr>
              <w:pStyle w:val="Default"/>
              <w:ind w:left="130" w:right="57"/>
              <w:jc w:val="center"/>
              <w:rPr>
                <w:lang w:val="da-DK"/>
              </w:rPr>
            </w:pPr>
          </w:p>
          <w:p w14:paraId="3E987ECF" w14:textId="77777777" w:rsidR="00147D71" w:rsidRDefault="00147D71" w:rsidP="000B2650">
            <w:pPr>
              <w:pStyle w:val="Default"/>
              <w:ind w:left="130" w:right="57"/>
              <w:jc w:val="center"/>
              <w:rPr>
                <w:lang w:val="da-DK"/>
              </w:rPr>
            </w:pPr>
          </w:p>
          <w:p w14:paraId="7B459A8C" w14:textId="77777777" w:rsidR="00147D71" w:rsidRDefault="00147D71" w:rsidP="000B2650">
            <w:pPr>
              <w:pStyle w:val="Default"/>
              <w:ind w:left="130" w:right="57"/>
              <w:jc w:val="center"/>
              <w:rPr>
                <w:lang w:val="da-DK"/>
              </w:rPr>
            </w:pPr>
          </w:p>
          <w:p w14:paraId="3846D469" w14:textId="77777777" w:rsidR="00147D71" w:rsidRDefault="00147D71" w:rsidP="000B2650">
            <w:pPr>
              <w:pStyle w:val="Default"/>
              <w:ind w:left="130" w:right="57"/>
              <w:jc w:val="center"/>
              <w:rPr>
                <w:lang w:val="da-DK"/>
              </w:rPr>
            </w:pPr>
          </w:p>
          <w:p w14:paraId="104F9B30" w14:textId="77777777" w:rsidR="00147D71" w:rsidRDefault="00147D71" w:rsidP="000B2650">
            <w:pPr>
              <w:pStyle w:val="Default"/>
              <w:ind w:left="130" w:right="57"/>
              <w:jc w:val="center"/>
              <w:rPr>
                <w:lang w:val="da-DK"/>
              </w:rPr>
            </w:pPr>
            <w:r>
              <w:rPr>
                <w:lang w:val="da-DK"/>
              </w:rPr>
              <w:t>4,1</w:t>
            </w:r>
          </w:p>
        </w:tc>
        <w:tc>
          <w:tcPr>
            <w:tcW w:w="495" w:type="pct"/>
            <w:tcBorders>
              <w:top w:val="single" w:sz="6" w:space="0" w:color="000000"/>
              <w:left w:val="single" w:sz="6" w:space="0" w:color="000000"/>
              <w:bottom w:val="single" w:sz="6" w:space="0" w:color="000000"/>
              <w:right w:val="single" w:sz="6" w:space="0" w:color="000000"/>
            </w:tcBorders>
          </w:tcPr>
          <w:p w14:paraId="59012826" w14:textId="77777777" w:rsidR="00147D71" w:rsidRDefault="00147D71" w:rsidP="000B2650">
            <w:pPr>
              <w:pStyle w:val="Default"/>
              <w:ind w:left="130" w:right="57"/>
              <w:jc w:val="center"/>
              <w:rPr>
                <w:lang w:val="da-DK"/>
              </w:rPr>
            </w:pPr>
          </w:p>
          <w:p w14:paraId="1C6E1DFC" w14:textId="77777777" w:rsidR="00147D71" w:rsidRDefault="00147D71" w:rsidP="000B2650">
            <w:pPr>
              <w:pStyle w:val="Default"/>
              <w:ind w:left="130" w:right="57"/>
              <w:jc w:val="center"/>
              <w:rPr>
                <w:lang w:val="da-DK"/>
              </w:rPr>
            </w:pPr>
          </w:p>
          <w:p w14:paraId="478120C4" w14:textId="77777777" w:rsidR="00147D71" w:rsidRDefault="00147D71" w:rsidP="000B2650">
            <w:pPr>
              <w:pStyle w:val="Default"/>
              <w:ind w:left="130" w:right="57"/>
              <w:jc w:val="center"/>
              <w:rPr>
                <w:lang w:val="da-DK"/>
              </w:rPr>
            </w:pPr>
          </w:p>
          <w:p w14:paraId="3FD2DF56" w14:textId="77777777" w:rsidR="00147D71" w:rsidRDefault="00147D71" w:rsidP="000B2650">
            <w:pPr>
              <w:pStyle w:val="Default"/>
              <w:ind w:left="130" w:right="57"/>
              <w:jc w:val="center"/>
              <w:rPr>
                <w:lang w:val="da-DK"/>
              </w:rPr>
            </w:pPr>
          </w:p>
          <w:p w14:paraId="17CEC1CF" w14:textId="77777777" w:rsidR="00147D71" w:rsidRDefault="00147D71" w:rsidP="000B2650">
            <w:pPr>
              <w:pStyle w:val="Default"/>
              <w:ind w:left="130" w:right="57"/>
              <w:jc w:val="center"/>
              <w:rPr>
                <w:lang w:val="da-DK"/>
              </w:rPr>
            </w:pPr>
            <w:r>
              <w:rPr>
                <w:lang w:val="da-DK"/>
              </w:rPr>
              <w:t>851 (11,6)</w:t>
            </w:r>
          </w:p>
        </w:tc>
        <w:tc>
          <w:tcPr>
            <w:tcW w:w="597" w:type="pct"/>
            <w:tcBorders>
              <w:top w:val="single" w:sz="6" w:space="0" w:color="000000"/>
              <w:left w:val="single" w:sz="6" w:space="0" w:color="000000"/>
              <w:bottom w:val="single" w:sz="6" w:space="0" w:color="000000"/>
              <w:right w:val="single" w:sz="6" w:space="0" w:color="000000"/>
            </w:tcBorders>
          </w:tcPr>
          <w:p w14:paraId="71EDD453" w14:textId="77777777" w:rsidR="00147D71" w:rsidRDefault="00147D71" w:rsidP="000B2650">
            <w:pPr>
              <w:pStyle w:val="Default"/>
              <w:ind w:left="130" w:right="57"/>
              <w:jc w:val="center"/>
              <w:rPr>
                <w:lang w:val="da-DK"/>
              </w:rPr>
            </w:pPr>
          </w:p>
          <w:p w14:paraId="4BF761D9" w14:textId="77777777" w:rsidR="00147D71" w:rsidRDefault="00147D71" w:rsidP="000B2650">
            <w:pPr>
              <w:pStyle w:val="Default"/>
              <w:ind w:left="130" w:right="57"/>
              <w:jc w:val="center"/>
              <w:rPr>
                <w:lang w:val="da-DK"/>
              </w:rPr>
            </w:pPr>
          </w:p>
          <w:p w14:paraId="6C7198AC" w14:textId="77777777" w:rsidR="00147D71" w:rsidRDefault="00147D71" w:rsidP="000B2650">
            <w:pPr>
              <w:pStyle w:val="Default"/>
              <w:ind w:left="130" w:right="57"/>
              <w:jc w:val="center"/>
              <w:rPr>
                <w:lang w:val="da-DK"/>
              </w:rPr>
            </w:pPr>
          </w:p>
          <w:p w14:paraId="5CFAEC54" w14:textId="77777777" w:rsidR="00147D71" w:rsidRDefault="00147D71" w:rsidP="000B2650">
            <w:pPr>
              <w:pStyle w:val="Default"/>
              <w:ind w:left="130" w:right="57"/>
              <w:jc w:val="center"/>
              <w:rPr>
                <w:lang w:val="da-DK"/>
              </w:rPr>
            </w:pPr>
          </w:p>
          <w:p w14:paraId="21493772" w14:textId="77777777" w:rsidR="00147D71" w:rsidRDefault="00147D71" w:rsidP="000B2650">
            <w:pPr>
              <w:pStyle w:val="Default"/>
              <w:ind w:left="130" w:right="57"/>
              <w:jc w:val="center"/>
              <w:rPr>
                <w:lang w:val="da-DK"/>
              </w:rPr>
            </w:pPr>
            <w:r>
              <w:rPr>
                <w:lang w:val="da-DK"/>
              </w:rPr>
              <w:t>4,2</w:t>
            </w:r>
          </w:p>
        </w:tc>
        <w:tc>
          <w:tcPr>
            <w:tcW w:w="800" w:type="pct"/>
            <w:vMerge/>
            <w:tcBorders>
              <w:top w:val="single" w:sz="6" w:space="0" w:color="000000"/>
              <w:left w:val="single" w:sz="6" w:space="0" w:color="000000"/>
              <w:bottom w:val="single" w:sz="6" w:space="0" w:color="000000"/>
              <w:right w:val="single" w:sz="6" w:space="0" w:color="000000"/>
            </w:tcBorders>
            <w:vAlign w:val="center"/>
            <w:hideMark/>
          </w:tcPr>
          <w:p w14:paraId="10E0DD98" w14:textId="77777777" w:rsidR="00147D71" w:rsidRDefault="00147D71" w:rsidP="000B2650">
            <w:pPr>
              <w:ind w:left="130" w:right="57"/>
              <w:rPr>
                <w:rFonts w:eastAsia="Calibri"/>
                <w:color w:val="000000"/>
                <w:sz w:val="24"/>
                <w:szCs w:val="24"/>
              </w:rPr>
            </w:pPr>
          </w:p>
        </w:tc>
        <w:tc>
          <w:tcPr>
            <w:tcW w:w="459" w:type="pct"/>
            <w:vMerge/>
            <w:tcBorders>
              <w:top w:val="single" w:sz="6" w:space="0" w:color="000000"/>
              <w:left w:val="single" w:sz="6" w:space="0" w:color="000000"/>
              <w:bottom w:val="single" w:sz="6" w:space="0" w:color="000000"/>
              <w:right w:val="single" w:sz="6" w:space="0" w:color="000000"/>
            </w:tcBorders>
            <w:vAlign w:val="center"/>
            <w:hideMark/>
          </w:tcPr>
          <w:p w14:paraId="1DA1C725" w14:textId="77777777" w:rsidR="00147D71" w:rsidRDefault="00147D71" w:rsidP="000B2650">
            <w:pPr>
              <w:ind w:left="130" w:right="57"/>
              <w:rPr>
                <w:rFonts w:eastAsia="Calibri"/>
                <w:color w:val="000000"/>
                <w:sz w:val="24"/>
                <w:szCs w:val="24"/>
              </w:rPr>
            </w:pPr>
          </w:p>
        </w:tc>
      </w:tr>
      <w:tr w:rsidR="00147D71" w14:paraId="4C20F09A" w14:textId="77777777" w:rsidTr="00D45E98">
        <w:trPr>
          <w:trHeight w:val="852"/>
        </w:trPr>
        <w:tc>
          <w:tcPr>
            <w:tcW w:w="1481" w:type="pct"/>
            <w:tcBorders>
              <w:top w:val="single" w:sz="6" w:space="0" w:color="000000"/>
              <w:left w:val="single" w:sz="6" w:space="0" w:color="000000"/>
              <w:bottom w:val="single" w:sz="6" w:space="0" w:color="000000"/>
              <w:right w:val="single" w:sz="6" w:space="0" w:color="000000"/>
            </w:tcBorders>
            <w:hideMark/>
          </w:tcPr>
          <w:p w14:paraId="53C6A49A" w14:textId="77777777" w:rsidR="00147D71" w:rsidRDefault="00147D71" w:rsidP="000B2650">
            <w:pPr>
              <w:pStyle w:val="Default"/>
              <w:ind w:left="130" w:right="57"/>
              <w:rPr>
                <w:lang w:val="da-DK"/>
              </w:rPr>
            </w:pPr>
            <w:r>
              <w:rPr>
                <w:b/>
                <w:bCs/>
                <w:lang w:val="da-DK"/>
              </w:rPr>
              <w:t xml:space="preserve">Sekundært sammensat endepunkt </w:t>
            </w:r>
            <w:r>
              <w:rPr>
                <w:lang w:val="da-DK"/>
              </w:rPr>
              <w:t>(Kardiovaskulær død, ikke-dødeligt myokardieinfarkt, ikke-dødelig apopleksi)</w:t>
            </w:r>
          </w:p>
        </w:tc>
        <w:tc>
          <w:tcPr>
            <w:tcW w:w="571" w:type="pct"/>
            <w:tcBorders>
              <w:top w:val="single" w:sz="6" w:space="0" w:color="000000"/>
              <w:left w:val="single" w:sz="6" w:space="0" w:color="000000"/>
              <w:bottom w:val="single" w:sz="6" w:space="0" w:color="000000"/>
              <w:right w:val="single" w:sz="6" w:space="0" w:color="000000"/>
            </w:tcBorders>
          </w:tcPr>
          <w:p w14:paraId="06A58768" w14:textId="77777777" w:rsidR="00147D71" w:rsidRDefault="00147D71" w:rsidP="000B2650">
            <w:pPr>
              <w:pStyle w:val="Default"/>
              <w:ind w:left="130" w:right="57"/>
              <w:jc w:val="center"/>
              <w:rPr>
                <w:lang w:val="da-DK"/>
              </w:rPr>
            </w:pPr>
          </w:p>
          <w:p w14:paraId="174863FF" w14:textId="77777777" w:rsidR="00147D71" w:rsidRDefault="00147D71" w:rsidP="000B2650">
            <w:pPr>
              <w:pStyle w:val="Default"/>
              <w:ind w:left="130" w:right="57"/>
              <w:jc w:val="center"/>
              <w:rPr>
                <w:lang w:val="da-DK"/>
              </w:rPr>
            </w:pPr>
          </w:p>
          <w:p w14:paraId="4F30DE7D" w14:textId="77777777" w:rsidR="00147D71" w:rsidRDefault="00147D71" w:rsidP="000B2650">
            <w:pPr>
              <w:pStyle w:val="Default"/>
              <w:ind w:left="130" w:right="57"/>
              <w:jc w:val="center"/>
              <w:rPr>
                <w:lang w:val="da-DK"/>
              </w:rPr>
            </w:pPr>
          </w:p>
          <w:p w14:paraId="20D44BBC" w14:textId="77777777" w:rsidR="00147D71" w:rsidRDefault="00147D71" w:rsidP="000B2650">
            <w:pPr>
              <w:pStyle w:val="Default"/>
              <w:ind w:left="130" w:right="57"/>
              <w:jc w:val="center"/>
              <w:rPr>
                <w:lang w:val="da-DK"/>
              </w:rPr>
            </w:pPr>
            <w:r>
              <w:rPr>
                <w:lang w:val="da-DK"/>
              </w:rPr>
              <w:t>745 (10,2)</w:t>
            </w:r>
          </w:p>
        </w:tc>
        <w:tc>
          <w:tcPr>
            <w:tcW w:w="597" w:type="pct"/>
            <w:tcBorders>
              <w:top w:val="single" w:sz="6" w:space="0" w:color="000000"/>
              <w:left w:val="single" w:sz="6" w:space="0" w:color="000000"/>
              <w:bottom w:val="single" w:sz="6" w:space="0" w:color="000000"/>
              <w:right w:val="single" w:sz="6" w:space="0" w:color="000000"/>
            </w:tcBorders>
          </w:tcPr>
          <w:p w14:paraId="0B6A3B79" w14:textId="77777777" w:rsidR="00147D71" w:rsidRDefault="00147D71" w:rsidP="000B2650">
            <w:pPr>
              <w:pStyle w:val="Default"/>
              <w:ind w:left="130" w:right="57"/>
              <w:jc w:val="center"/>
              <w:rPr>
                <w:lang w:val="da-DK"/>
              </w:rPr>
            </w:pPr>
          </w:p>
          <w:p w14:paraId="05785213" w14:textId="77777777" w:rsidR="00147D71" w:rsidRDefault="00147D71" w:rsidP="000B2650">
            <w:pPr>
              <w:pStyle w:val="Default"/>
              <w:ind w:left="130" w:right="57"/>
              <w:jc w:val="center"/>
              <w:rPr>
                <w:lang w:val="da-DK"/>
              </w:rPr>
            </w:pPr>
          </w:p>
          <w:p w14:paraId="73F15075" w14:textId="77777777" w:rsidR="00147D71" w:rsidRDefault="00147D71" w:rsidP="000B2650">
            <w:pPr>
              <w:pStyle w:val="Default"/>
              <w:ind w:left="130" w:right="57"/>
              <w:jc w:val="center"/>
              <w:rPr>
                <w:lang w:val="da-DK"/>
              </w:rPr>
            </w:pPr>
          </w:p>
          <w:p w14:paraId="0BA88321" w14:textId="77777777" w:rsidR="00147D71" w:rsidRDefault="00147D71" w:rsidP="000B2650">
            <w:pPr>
              <w:pStyle w:val="Default"/>
              <w:ind w:left="130" w:right="57"/>
              <w:jc w:val="center"/>
              <w:rPr>
                <w:lang w:val="da-DK"/>
              </w:rPr>
            </w:pPr>
            <w:r>
              <w:rPr>
                <w:lang w:val="da-DK"/>
              </w:rPr>
              <w:t>3,6</w:t>
            </w:r>
          </w:p>
        </w:tc>
        <w:tc>
          <w:tcPr>
            <w:tcW w:w="495" w:type="pct"/>
            <w:tcBorders>
              <w:top w:val="single" w:sz="6" w:space="0" w:color="000000"/>
              <w:left w:val="single" w:sz="6" w:space="0" w:color="000000"/>
              <w:bottom w:val="single" w:sz="6" w:space="0" w:color="000000"/>
              <w:right w:val="single" w:sz="6" w:space="0" w:color="000000"/>
            </w:tcBorders>
          </w:tcPr>
          <w:p w14:paraId="5ABB4EBF" w14:textId="77777777" w:rsidR="00147D71" w:rsidRDefault="00147D71" w:rsidP="000B2650">
            <w:pPr>
              <w:pStyle w:val="Default"/>
              <w:ind w:left="130" w:right="57"/>
              <w:jc w:val="center"/>
              <w:rPr>
                <w:lang w:val="da-DK"/>
              </w:rPr>
            </w:pPr>
          </w:p>
          <w:p w14:paraId="5EC8D358" w14:textId="77777777" w:rsidR="00147D71" w:rsidRDefault="00147D71" w:rsidP="000B2650">
            <w:pPr>
              <w:pStyle w:val="Default"/>
              <w:ind w:left="130" w:right="57"/>
              <w:jc w:val="center"/>
              <w:rPr>
                <w:lang w:val="da-DK"/>
              </w:rPr>
            </w:pPr>
          </w:p>
          <w:p w14:paraId="5960CEA1" w14:textId="77777777" w:rsidR="00147D71" w:rsidRDefault="00147D71" w:rsidP="000B2650">
            <w:pPr>
              <w:pStyle w:val="Default"/>
              <w:ind w:left="130" w:right="57"/>
              <w:jc w:val="center"/>
              <w:rPr>
                <w:lang w:val="da-DK"/>
              </w:rPr>
            </w:pPr>
          </w:p>
          <w:p w14:paraId="71E3D366" w14:textId="77777777" w:rsidR="00147D71" w:rsidRDefault="00147D71" w:rsidP="000B2650">
            <w:pPr>
              <w:pStyle w:val="Default"/>
              <w:ind w:left="130" w:right="57"/>
              <w:jc w:val="center"/>
              <w:rPr>
                <w:lang w:val="da-DK"/>
              </w:rPr>
            </w:pPr>
            <w:r>
              <w:rPr>
                <w:lang w:val="da-DK"/>
              </w:rPr>
              <w:t>746 (10,2)</w:t>
            </w:r>
          </w:p>
        </w:tc>
        <w:tc>
          <w:tcPr>
            <w:tcW w:w="597" w:type="pct"/>
            <w:tcBorders>
              <w:top w:val="single" w:sz="6" w:space="0" w:color="000000"/>
              <w:left w:val="single" w:sz="6" w:space="0" w:color="000000"/>
              <w:bottom w:val="single" w:sz="6" w:space="0" w:color="000000"/>
              <w:right w:val="single" w:sz="6" w:space="0" w:color="000000"/>
            </w:tcBorders>
          </w:tcPr>
          <w:p w14:paraId="4C31D2E2" w14:textId="77777777" w:rsidR="00147D71" w:rsidRDefault="00147D71" w:rsidP="000B2650">
            <w:pPr>
              <w:pStyle w:val="Default"/>
              <w:ind w:left="130" w:right="57"/>
              <w:jc w:val="center"/>
              <w:rPr>
                <w:lang w:val="da-DK"/>
              </w:rPr>
            </w:pPr>
          </w:p>
          <w:p w14:paraId="2E74186C" w14:textId="77777777" w:rsidR="00147D71" w:rsidRDefault="00147D71" w:rsidP="000B2650">
            <w:pPr>
              <w:pStyle w:val="Default"/>
              <w:ind w:left="130" w:right="57"/>
              <w:jc w:val="center"/>
              <w:rPr>
                <w:lang w:val="da-DK"/>
              </w:rPr>
            </w:pPr>
          </w:p>
          <w:p w14:paraId="36D9A56D" w14:textId="77777777" w:rsidR="00147D71" w:rsidRDefault="00147D71" w:rsidP="000B2650">
            <w:pPr>
              <w:pStyle w:val="Default"/>
              <w:ind w:left="130" w:right="57"/>
              <w:jc w:val="center"/>
              <w:rPr>
                <w:lang w:val="da-DK"/>
              </w:rPr>
            </w:pPr>
          </w:p>
          <w:p w14:paraId="56AC174B" w14:textId="77777777" w:rsidR="00147D71" w:rsidRDefault="00147D71" w:rsidP="000B2650">
            <w:pPr>
              <w:pStyle w:val="Default"/>
              <w:ind w:left="130" w:right="57"/>
              <w:jc w:val="center"/>
              <w:rPr>
                <w:lang w:val="da-DK"/>
              </w:rPr>
            </w:pPr>
            <w:r>
              <w:rPr>
                <w:lang w:val="da-DK"/>
              </w:rPr>
              <w:t>3,6</w:t>
            </w:r>
          </w:p>
        </w:tc>
        <w:tc>
          <w:tcPr>
            <w:tcW w:w="800" w:type="pct"/>
            <w:tcBorders>
              <w:top w:val="single" w:sz="6" w:space="0" w:color="000000"/>
              <w:left w:val="single" w:sz="6" w:space="0" w:color="000000"/>
              <w:bottom w:val="single" w:sz="6" w:space="0" w:color="000000"/>
              <w:right w:val="single" w:sz="6" w:space="0" w:color="000000"/>
            </w:tcBorders>
          </w:tcPr>
          <w:p w14:paraId="23068A24" w14:textId="77777777" w:rsidR="00147D71" w:rsidRDefault="00147D71" w:rsidP="000B2650">
            <w:pPr>
              <w:pStyle w:val="Default"/>
              <w:ind w:left="130" w:right="57"/>
              <w:jc w:val="center"/>
              <w:rPr>
                <w:lang w:val="da-DK"/>
              </w:rPr>
            </w:pPr>
          </w:p>
          <w:p w14:paraId="4CEE3E26" w14:textId="77777777" w:rsidR="00147D71" w:rsidRDefault="00147D71" w:rsidP="000B2650">
            <w:pPr>
              <w:pStyle w:val="Default"/>
              <w:ind w:left="130" w:right="57"/>
              <w:jc w:val="center"/>
              <w:rPr>
                <w:lang w:val="da-DK"/>
              </w:rPr>
            </w:pPr>
          </w:p>
          <w:p w14:paraId="6AD3250C" w14:textId="77777777" w:rsidR="00147D71" w:rsidRDefault="00147D71" w:rsidP="000B2650">
            <w:pPr>
              <w:pStyle w:val="Default"/>
              <w:ind w:left="130" w:right="57"/>
              <w:jc w:val="center"/>
              <w:rPr>
                <w:lang w:val="da-DK"/>
              </w:rPr>
            </w:pPr>
          </w:p>
          <w:p w14:paraId="4141371E" w14:textId="77777777" w:rsidR="00147D71" w:rsidRDefault="00147D71" w:rsidP="000B2650">
            <w:pPr>
              <w:pStyle w:val="Default"/>
              <w:ind w:left="130" w:right="57"/>
              <w:jc w:val="center"/>
              <w:rPr>
                <w:lang w:val="da-DK"/>
              </w:rPr>
            </w:pPr>
            <w:r>
              <w:rPr>
                <w:lang w:val="da-DK"/>
              </w:rPr>
              <w:t>0,99 (0,89–1,10)</w:t>
            </w:r>
          </w:p>
        </w:tc>
        <w:tc>
          <w:tcPr>
            <w:tcW w:w="459" w:type="pct"/>
            <w:tcBorders>
              <w:top w:val="single" w:sz="6" w:space="0" w:color="000000"/>
              <w:left w:val="single" w:sz="6" w:space="0" w:color="000000"/>
              <w:bottom w:val="single" w:sz="6" w:space="0" w:color="000000"/>
              <w:right w:val="single" w:sz="6" w:space="0" w:color="000000"/>
            </w:tcBorders>
          </w:tcPr>
          <w:p w14:paraId="7DEC5A2E" w14:textId="77777777" w:rsidR="00147D71" w:rsidRDefault="00147D71" w:rsidP="000B2650">
            <w:pPr>
              <w:pStyle w:val="Default"/>
              <w:ind w:left="130" w:right="57"/>
              <w:jc w:val="center"/>
              <w:rPr>
                <w:lang w:val="da-DK"/>
              </w:rPr>
            </w:pPr>
          </w:p>
          <w:p w14:paraId="6F4C8035" w14:textId="77777777" w:rsidR="00147D71" w:rsidRDefault="00147D71" w:rsidP="000B2650">
            <w:pPr>
              <w:pStyle w:val="Default"/>
              <w:ind w:left="130" w:right="57"/>
              <w:jc w:val="center"/>
              <w:rPr>
                <w:lang w:val="da-DK"/>
              </w:rPr>
            </w:pPr>
          </w:p>
          <w:p w14:paraId="64DF67DD" w14:textId="77777777" w:rsidR="00147D71" w:rsidRDefault="00147D71" w:rsidP="000B2650">
            <w:pPr>
              <w:pStyle w:val="Default"/>
              <w:ind w:left="130" w:right="57"/>
              <w:jc w:val="center"/>
              <w:rPr>
                <w:lang w:val="da-DK"/>
              </w:rPr>
            </w:pPr>
          </w:p>
          <w:p w14:paraId="69A077CD" w14:textId="77777777" w:rsidR="00147D71" w:rsidRDefault="00147D71" w:rsidP="000B2650">
            <w:pPr>
              <w:pStyle w:val="Default"/>
              <w:ind w:left="130" w:right="57"/>
              <w:jc w:val="center"/>
              <w:rPr>
                <w:lang w:val="da-DK"/>
              </w:rPr>
            </w:pPr>
            <w:r>
              <w:rPr>
                <w:lang w:val="da-DK"/>
              </w:rPr>
              <w:t>&lt;0,001</w:t>
            </w:r>
          </w:p>
        </w:tc>
      </w:tr>
      <w:tr w:rsidR="00147D71" w14:paraId="7566A330" w14:textId="77777777" w:rsidTr="00D45E98">
        <w:trPr>
          <w:trHeight w:val="272"/>
        </w:trPr>
        <w:tc>
          <w:tcPr>
            <w:tcW w:w="5000" w:type="pct"/>
            <w:gridSpan w:val="7"/>
            <w:tcBorders>
              <w:top w:val="single" w:sz="6" w:space="0" w:color="000000"/>
              <w:left w:val="single" w:sz="6" w:space="0" w:color="000000"/>
              <w:bottom w:val="single" w:sz="6" w:space="0" w:color="000000"/>
              <w:right w:val="single" w:sz="6" w:space="0" w:color="000000"/>
            </w:tcBorders>
            <w:hideMark/>
          </w:tcPr>
          <w:p w14:paraId="26BB2AD3" w14:textId="77777777" w:rsidR="00147D71" w:rsidRDefault="00147D71" w:rsidP="000B2650">
            <w:pPr>
              <w:pStyle w:val="Default"/>
              <w:ind w:left="130" w:right="57"/>
              <w:rPr>
                <w:lang w:val="da-DK"/>
              </w:rPr>
            </w:pPr>
            <w:r>
              <w:rPr>
                <w:b/>
                <w:bCs/>
                <w:lang w:val="da-DK"/>
              </w:rPr>
              <w:t>Sekundære endepunkter</w:t>
            </w:r>
          </w:p>
        </w:tc>
      </w:tr>
      <w:tr w:rsidR="00147D71" w14:paraId="3D5B5D2D" w14:textId="77777777" w:rsidTr="00D45E98">
        <w:trPr>
          <w:trHeight w:val="270"/>
        </w:trPr>
        <w:tc>
          <w:tcPr>
            <w:tcW w:w="1481" w:type="pct"/>
            <w:tcBorders>
              <w:top w:val="single" w:sz="6" w:space="0" w:color="000000"/>
              <w:left w:val="single" w:sz="6" w:space="0" w:color="000000"/>
              <w:bottom w:val="single" w:sz="6" w:space="0" w:color="000000"/>
              <w:right w:val="single" w:sz="6" w:space="0" w:color="000000"/>
            </w:tcBorders>
            <w:hideMark/>
          </w:tcPr>
          <w:p w14:paraId="7D8F4DAA" w14:textId="77777777" w:rsidR="00147D71" w:rsidRDefault="00147D71" w:rsidP="000B2650">
            <w:pPr>
              <w:pStyle w:val="Default"/>
              <w:ind w:left="130" w:right="57"/>
              <w:rPr>
                <w:lang w:val="da-DK"/>
              </w:rPr>
            </w:pPr>
            <w:r>
              <w:rPr>
                <w:lang w:val="da-DK"/>
              </w:rPr>
              <w:t>Kardiovaskulær død</w:t>
            </w:r>
          </w:p>
        </w:tc>
        <w:tc>
          <w:tcPr>
            <w:tcW w:w="571" w:type="pct"/>
            <w:tcBorders>
              <w:top w:val="single" w:sz="6" w:space="0" w:color="000000"/>
              <w:left w:val="single" w:sz="6" w:space="0" w:color="000000"/>
              <w:bottom w:val="single" w:sz="6" w:space="0" w:color="000000"/>
              <w:right w:val="single" w:sz="6" w:space="0" w:color="000000"/>
            </w:tcBorders>
            <w:hideMark/>
          </w:tcPr>
          <w:p w14:paraId="7DA35BE1" w14:textId="77777777" w:rsidR="00147D71" w:rsidRDefault="00147D71" w:rsidP="000B2650">
            <w:pPr>
              <w:pStyle w:val="Default"/>
              <w:ind w:left="130" w:right="57"/>
              <w:rPr>
                <w:lang w:val="da-DK"/>
              </w:rPr>
            </w:pPr>
            <w:r>
              <w:rPr>
                <w:lang w:val="da-DK"/>
              </w:rPr>
              <w:t>380 (5,2)</w:t>
            </w:r>
          </w:p>
        </w:tc>
        <w:tc>
          <w:tcPr>
            <w:tcW w:w="597" w:type="pct"/>
            <w:tcBorders>
              <w:top w:val="single" w:sz="6" w:space="0" w:color="000000"/>
              <w:left w:val="single" w:sz="6" w:space="0" w:color="000000"/>
              <w:bottom w:val="single" w:sz="6" w:space="0" w:color="000000"/>
              <w:right w:val="single" w:sz="6" w:space="0" w:color="000000"/>
            </w:tcBorders>
            <w:hideMark/>
          </w:tcPr>
          <w:p w14:paraId="7F08C0F1" w14:textId="77777777" w:rsidR="00147D71" w:rsidRDefault="00147D71" w:rsidP="000B2650">
            <w:pPr>
              <w:pStyle w:val="Default"/>
              <w:ind w:left="130" w:right="57"/>
              <w:rPr>
                <w:lang w:val="da-DK"/>
              </w:rPr>
            </w:pPr>
            <w:r>
              <w:rPr>
                <w:lang w:val="da-DK"/>
              </w:rPr>
              <w:t>1,7</w:t>
            </w:r>
          </w:p>
        </w:tc>
        <w:tc>
          <w:tcPr>
            <w:tcW w:w="495" w:type="pct"/>
            <w:tcBorders>
              <w:top w:val="single" w:sz="6" w:space="0" w:color="000000"/>
              <w:left w:val="single" w:sz="6" w:space="0" w:color="000000"/>
              <w:bottom w:val="single" w:sz="6" w:space="0" w:color="000000"/>
              <w:right w:val="single" w:sz="6" w:space="0" w:color="000000"/>
            </w:tcBorders>
            <w:hideMark/>
          </w:tcPr>
          <w:p w14:paraId="0DDEE7A6" w14:textId="77777777" w:rsidR="00147D71" w:rsidRDefault="00147D71" w:rsidP="000B2650">
            <w:pPr>
              <w:pStyle w:val="Default"/>
              <w:ind w:left="130" w:right="57"/>
              <w:rPr>
                <w:lang w:val="da-DK"/>
              </w:rPr>
            </w:pPr>
            <w:r>
              <w:rPr>
                <w:lang w:val="da-DK"/>
              </w:rPr>
              <w:t>366 (5,0)</w:t>
            </w:r>
          </w:p>
        </w:tc>
        <w:tc>
          <w:tcPr>
            <w:tcW w:w="597" w:type="pct"/>
            <w:tcBorders>
              <w:top w:val="single" w:sz="6" w:space="0" w:color="000000"/>
              <w:left w:val="single" w:sz="6" w:space="0" w:color="000000"/>
              <w:bottom w:val="single" w:sz="6" w:space="0" w:color="000000"/>
              <w:right w:val="single" w:sz="6" w:space="0" w:color="000000"/>
            </w:tcBorders>
            <w:hideMark/>
          </w:tcPr>
          <w:p w14:paraId="3B6975CA" w14:textId="77777777" w:rsidR="00147D71" w:rsidRDefault="00147D71" w:rsidP="000B2650">
            <w:pPr>
              <w:pStyle w:val="Default"/>
              <w:ind w:left="130" w:right="57"/>
              <w:rPr>
                <w:lang w:val="da-DK"/>
              </w:rPr>
            </w:pPr>
            <w:r>
              <w:rPr>
                <w:lang w:val="da-DK"/>
              </w:rPr>
              <w:t>1,7</w:t>
            </w:r>
          </w:p>
        </w:tc>
        <w:tc>
          <w:tcPr>
            <w:tcW w:w="800" w:type="pct"/>
            <w:tcBorders>
              <w:top w:val="single" w:sz="6" w:space="0" w:color="000000"/>
              <w:left w:val="single" w:sz="6" w:space="0" w:color="000000"/>
              <w:bottom w:val="single" w:sz="6" w:space="0" w:color="000000"/>
              <w:right w:val="single" w:sz="6" w:space="0" w:color="000000"/>
            </w:tcBorders>
            <w:hideMark/>
          </w:tcPr>
          <w:p w14:paraId="57D89FD9" w14:textId="77777777" w:rsidR="00147D71" w:rsidRDefault="00147D71" w:rsidP="000B2650">
            <w:pPr>
              <w:pStyle w:val="Default"/>
              <w:ind w:left="130" w:right="57"/>
              <w:rPr>
                <w:lang w:val="da-DK"/>
              </w:rPr>
            </w:pPr>
            <w:r>
              <w:rPr>
                <w:lang w:val="da-DK"/>
              </w:rPr>
              <w:t>1,03 (0,89-1,19)</w:t>
            </w:r>
          </w:p>
        </w:tc>
        <w:tc>
          <w:tcPr>
            <w:tcW w:w="459" w:type="pct"/>
            <w:tcBorders>
              <w:top w:val="single" w:sz="6" w:space="0" w:color="000000"/>
              <w:left w:val="single" w:sz="6" w:space="0" w:color="000000"/>
              <w:bottom w:val="single" w:sz="6" w:space="0" w:color="000000"/>
              <w:right w:val="single" w:sz="6" w:space="0" w:color="000000"/>
            </w:tcBorders>
            <w:hideMark/>
          </w:tcPr>
          <w:p w14:paraId="2C791D07" w14:textId="77777777" w:rsidR="00147D71" w:rsidRDefault="00147D71" w:rsidP="000B2650">
            <w:pPr>
              <w:pStyle w:val="Default"/>
              <w:ind w:left="130" w:right="57"/>
              <w:rPr>
                <w:lang w:val="da-DK"/>
              </w:rPr>
            </w:pPr>
            <w:r>
              <w:rPr>
                <w:lang w:val="da-DK"/>
              </w:rPr>
              <w:t>0,711</w:t>
            </w:r>
          </w:p>
        </w:tc>
      </w:tr>
      <w:tr w:rsidR="00147D71" w14:paraId="3231AA2B" w14:textId="77777777" w:rsidTr="00D45E98">
        <w:trPr>
          <w:trHeight w:val="486"/>
        </w:trPr>
        <w:tc>
          <w:tcPr>
            <w:tcW w:w="1481" w:type="pct"/>
            <w:tcBorders>
              <w:top w:val="single" w:sz="6" w:space="0" w:color="000000"/>
              <w:left w:val="single" w:sz="6" w:space="0" w:color="000000"/>
              <w:bottom w:val="single" w:sz="6" w:space="0" w:color="000000"/>
              <w:right w:val="single" w:sz="6" w:space="0" w:color="000000"/>
            </w:tcBorders>
            <w:hideMark/>
          </w:tcPr>
          <w:p w14:paraId="751253B2" w14:textId="77777777" w:rsidR="00147D71" w:rsidRDefault="00147D71" w:rsidP="000B2650">
            <w:pPr>
              <w:pStyle w:val="Default"/>
              <w:ind w:left="130" w:right="57"/>
              <w:rPr>
                <w:lang w:val="da-DK"/>
              </w:rPr>
            </w:pPr>
            <w:r>
              <w:rPr>
                <w:lang w:val="da-DK"/>
              </w:rPr>
              <w:t>Alle tilfælde af myokardieinfarkt (dødelige og ikke-dødelige)</w:t>
            </w:r>
          </w:p>
        </w:tc>
        <w:tc>
          <w:tcPr>
            <w:tcW w:w="571" w:type="pct"/>
            <w:tcBorders>
              <w:top w:val="single" w:sz="6" w:space="0" w:color="000000"/>
              <w:left w:val="single" w:sz="6" w:space="0" w:color="000000"/>
              <w:bottom w:val="single" w:sz="6" w:space="0" w:color="000000"/>
              <w:right w:val="single" w:sz="6" w:space="0" w:color="000000"/>
            </w:tcBorders>
          </w:tcPr>
          <w:p w14:paraId="5B21D763" w14:textId="77777777" w:rsidR="00147D71" w:rsidRDefault="00147D71" w:rsidP="000B2650">
            <w:pPr>
              <w:pStyle w:val="Default"/>
              <w:ind w:left="130" w:right="57"/>
              <w:rPr>
                <w:lang w:val="da-DK"/>
              </w:rPr>
            </w:pPr>
          </w:p>
          <w:p w14:paraId="3C50D764" w14:textId="77777777" w:rsidR="00147D71" w:rsidRDefault="00147D71" w:rsidP="000B2650">
            <w:pPr>
              <w:pStyle w:val="Default"/>
              <w:ind w:left="130" w:right="57"/>
              <w:rPr>
                <w:lang w:val="da-DK"/>
              </w:rPr>
            </w:pPr>
            <w:r>
              <w:rPr>
                <w:lang w:val="da-DK"/>
              </w:rPr>
              <w:t>300 (4,1)</w:t>
            </w:r>
          </w:p>
        </w:tc>
        <w:tc>
          <w:tcPr>
            <w:tcW w:w="597" w:type="pct"/>
            <w:tcBorders>
              <w:top w:val="single" w:sz="6" w:space="0" w:color="000000"/>
              <w:left w:val="single" w:sz="6" w:space="0" w:color="000000"/>
              <w:bottom w:val="single" w:sz="6" w:space="0" w:color="000000"/>
              <w:right w:val="single" w:sz="6" w:space="0" w:color="000000"/>
            </w:tcBorders>
          </w:tcPr>
          <w:p w14:paraId="0463FCC9" w14:textId="77777777" w:rsidR="00147D71" w:rsidRDefault="00147D71" w:rsidP="000B2650">
            <w:pPr>
              <w:pStyle w:val="Default"/>
              <w:ind w:left="130" w:right="57"/>
              <w:rPr>
                <w:lang w:val="da-DK"/>
              </w:rPr>
            </w:pPr>
          </w:p>
          <w:p w14:paraId="0AE55C40" w14:textId="77777777" w:rsidR="00147D71" w:rsidRDefault="00147D71" w:rsidP="000B2650">
            <w:pPr>
              <w:pStyle w:val="Default"/>
              <w:ind w:left="130" w:right="57"/>
              <w:rPr>
                <w:lang w:val="da-DK"/>
              </w:rPr>
            </w:pPr>
            <w:r>
              <w:rPr>
                <w:lang w:val="da-DK"/>
              </w:rPr>
              <w:t>1,4</w:t>
            </w:r>
          </w:p>
        </w:tc>
        <w:tc>
          <w:tcPr>
            <w:tcW w:w="495" w:type="pct"/>
            <w:tcBorders>
              <w:top w:val="single" w:sz="6" w:space="0" w:color="000000"/>
              <w:left w:val="single" w:sz="6" w:space="0" w:color="000000"/>
              <w:bottom w:val="single" w:sz="6" w:space="0" w:color="000000"/>
              <w:right w:val="single" w:sz="6" w:space="0" w:color="000000"/>
            </w:tcBorders>
          </w:tcPr>
          <w:p w14:paraId="1C10C3B1" w14:textId="77777777" w:rsidR="00147D71" w:rsidRDefault="00147D71" w:rsidP="000B2650">
            <w:pPr>
              <w:pStyle w:val="Default"/>
              <w:ind w:left="130" w:right="57"/>
              <w:rPr>
                <w:lang w:val="da-DK"/>
              </w:rPr>
            </w:pPr>
          </w:p>
          <w:p w14:paraId="4A3018DE" w14:textId="77777777" w:rsidR="00147D71" w:rsidRDefault="00147D71" w:rsidP="000B2650">
            <w:pPr>
              <w:pStyle w:val="Default"/>
              <w:ind w:left="130" w:right="57"/>
              <w:rPr>
                <w:lang w:val="da-DK"/>
              </w:rPr>
            </w:pPr>
            <w:r>
              <w:rPr>
                <w:lang w:val="da-DK"/>
              </w:rPr>
              <w:t>316 (4,3)</w:t>
            </w:r>
          </w:p>
        </w:tc>
        <w:tc>
          <w:tcPr>
            <w:tcW w:w="597" w:type="pct"/>
            <w:tcBorders>
              <w:top w:val="single" w:sz="6" w:space="0" w:color="000000"/>
              <w:left w:val="single" w:sz="6" w:space="0" w:color="000000"/>
              <w:bottom w:val="single" w:sz="6" w:space="0" w:color="000000"/>
              <w:right w:val="single" w:sz="6" w:space="0" w:color="000000"/>
            </w:tcBorders>
          </w:tcPr>
          <w:p w14:paraId="3236E600" w14:textId="77777777" w:rsidR="00147D71" w:rsidRDefault="00147D71" w:rsidP="000B2650">
            <w:pPr>
              <w:pStyle w:val="Default"/>
              <w:ind w:left="130" w:right="57"/>
              <w:rPr>
                <w:lang w:val="da-DK"/>
              </w:rPr>
            </w:pPr>
          </w:p>
          <w:p w14:paraId="7F22504F" w14:textId="77777777" w:rsidR="00147D71" w:rsidRDefault="00147D71" w:rsidP="000B2650">
            <w:pPr>
              <w:pStyle w:val="Default"/>
              <w:ind w:left="130" w:right="57"/>
              <w:rPr>
                <w:lang w:val="da-DK"/>
              </w:rPr>
            </w:pPr>
            <w:r>
              <w:rPr>
                <w:lang w:val="da-DK"/>
              </w:rPr>
              <w:t>1,5</w:t>
            </w:r>
          </w:p>
        </w:tc>
        <w:tc>
          <w:tcPr>
            <w:tcW w:w="800" w:type="pct"/>
            <w:tcBorders>
              <w:top w:val="single" w:sz="6" w:space="0" w:color="000000"/>
              <w:left w:val="single" w:sz="6" w:space="0" w:color="000000"/>
              <w:bottom w:val="single" w:sz="6" w:space="0" w:color="000000"/>
              <w:right w:val="single" w:sz="6" w:space="0" w:color="000000"/>
            </w:tcBorders>
          </w:tcPr>
          <w:p w14:paraId="626FDD62" w14:textId="77777777" w:rsidR="00147D71" w:rsidRDefault="00147D71" w:rsidP="000B2650">
            <w:pPr>
              <w:pStyle w:val="Default"/>
              <w:ind w:left="130" w:right="57"/>
              <w:rPr>
                <w:lang w:val="da-DK"/>
              </w:rPr>
            </w:pPr>
          </w:p>
          <w:p w14:paraId="788CEE03" w14:textId="77777777" w:rsidR="00147D71" w:rsidRDefault="00147D71" w:rsidP="000B2650">
            <w:pPr>
              <w:pStyle w:val="Default"/>
              <w:ind w:left="130" w:right="57"/>
              <w:rPr>
                <w:lang w:val="da-DK"/>
              </w:rPr>
            </w:pPr>
            <w:r>
              <w:rPr>
                <w:lang w:val="da-DK"/>
              </w:rPr>
              <w:t>0,95 (0,81–1,11)</w:t>
            </w:r>
          </w:p>
        </w:tc>
        <w:tc>
          <w:tcPr>
            <w:tcW w:w="459" w:type="pct"/>
            <w:tcBorders>
              <w:top w:val="single" w:sz="6" w:space="0" w:color="000000"/>
              <w:left w:val="single" w:sz="6" w:space="0" w:color="000000"/>
              <w:bottom w:val="single" w:sz="6" w:space="0" w:color="000000"/>
              <w:right w:val="single" w:sz="6" w:space="0" w:color="000000"/>
            </w:tcBorders>
          </w:tcPr>
          <w:p w14:paraId="5193DB21" w14:textId="77777777" w:rsidR="00147D71" w:rsidRDefault="00147D71" w:rsidP="000B2650">
            <w:pPr>
              <w:pStyle w:val="Default"/>
              <w:ind w:left="130" w:right="57"/>
              <w:rPr>
                <w:lang w:val="da-DK"/>
              </w:rPr>
            </w:pPr>
          </w:p>
          <w:p w14:paraId="304A6C83" w14:textId="77777777" w:rsidR="00147D71" w:rsidRDefault="00147D71" w:rsidP="000B2650">
            <w:pPr>
              <w:pStyle w:val="Default"/>
              <w:ind w:left="130" w:right="57"/>
              <w:rPr>
                <w:lang w:val="da-DK"/>
              </w:rPr>
            </w:pPr>
            <w:r>
              <w:rPr>
                <w:lang w:val="da-DK"/>
              </w:rPr>
              <w:t>0,487</w:t>
            </w:r>
          </w:p>
        </w:tc>
      </w:tr>
      <w:tr w:rsidR="00147D71" w14:paraId="3E64193E" w14:textId="77777777" w:rsidTr="00D45E98">
        <w:trPr>
          <w:trHeight w:val="479"/>
        </w:trPr>
        <w:tc>
          <w:tcPr>
            <w:tcW w:w="1481" w:type="pct"/>
            <w:tcBorders>
              <w:top w:val="single" w:sz="6" w:space="0" w:color="000000"/>
              <w:left w:val="single" w:sz="6" w:space="0" w:color="000000"/>
              <w:bottom w:val="single" w:sz="6" w:space="0" w:color="000000"/>
              <w:right w:val="single" w:sz="6" w:space="0" w:color="000000"/>
            </w:tcBorders>
            <w:hideMark/>
          </w:tcPr>
          <w:p w14:paraId="3659FF86" w14:textId="77777777" w:rsidR="00147D71" w:rsidRDefault="00147D71" w:rsidP="000B2650">
            <w:pPr>
              <w:pStyle w:val="Default"/>
              <w:ind w:left="130" w:right="57"/>
              <w:rPr>
                <w:lang w:val="da-DK"/>
              </w:rPr>
            </w:pPr>
            <w:r>
              <w:rPr>
                <w:lang w:val="da-DK"/>
              </w:rPr>
              <w:t>Alle tilfælde af apopleksi (dødelige og ikke-dødelige)</w:t>
            </w:r>
          </w:p>
        </w:tc>
        <w:tc>
          <w:tcPr>
            <w:tcW w:w="571" w:type="pct"/>
            <w:tcBorders>
              <w:top w:val="single" w:sz="6" w:space="0" w:color="000000"/>
              <w:left w:val="single" w:sz="6" w:space="0" w:color="000000"/>
              <w:bottom w:val="single" w:sz="6" w:space="0" w:color="000000"/>
              <w:right w:val="single" w:sz="6" w:space="0" w:color="000000"/>
            </w:tcBorders>
          </w:tcPr>
          <w:p w14:paraId="35AC9198" w14:textId="77777777" w:rsidR="00147D71" w:rsidRDefault="00147D71" w:rsidP="000B2650">
            <w:pPr>
              <w:pStyle w:val="Default"/>
              <w:ind w:left="130" w:right="57"/>
              <w:rPr>
                <w:lang w:val="da-DK"/>
              </w:rPr>
            </w:pPr>
          </w:p>
          <w:p w14:paraId="385A4CDC" w14:textId="77777777" w:rsidR="00147D71" w:rsidRDefault="00147D71" w:rsidP="000B2650">
            <w:pPr>
              <w:pStyle w:val="Default"/>
              <w:ind w:left="130" w:right="57"/>
              <w:rPr>
                <w:lang w:val="da-DK"/>
              </w:rPr>
            </w:pPr>
            <w:r>
              <w:rPr>
                <w:lang w:val="da-DK"/>
              </w:rPr>
              <w:t>178 (2,4)</w:t>
            </w:r>
          </w:p>
        </w:tc>
        <w:tc>
          <w:tcPr>
            <w:tcW w:w="597" w:type="pct"/>
            <w:tcBorders>
              <w:top w:val="single" w:sz="6" w:space="0" w:color="000000"/>
              <w:left w:val="single" w:sz="6" w:space="0" w:color="000000"/>
              <w:bottom w:val="single" w:sz="6" w:space="0" w:color="000000"/>
              <w:right w:val="single" w:sz="6" w:space="0" w:color="000000"/>
            </w:tcBorders>
          </w:tcPr>
          <w:p w14:paraId="7B436930" w14:textId="77777777" w:rsidR="00147D71" w:rsidRDefault="00147D71" w:rsidP="000B2650">
            <w:pPr>
              <w:pStyle w:val="Default"/>
              <w:ind w:left="130" w:right="57"/>
              <w:rPr>
                <w:lang w:val="da-DK"/>
              </w:rPr>
            </w:pPr>
          </w:p>
          <w:p w14:paraId="64274B66" w14:textId="77777777" w:rsidR="00147D71" w:rsidRDefault="00147D71" w:rsidP="000B2650">
            <w:pPr>
              <w:pStyle w:val="Default"/>
              <w:ind w:left="130" w:right="57"/>
              <w:rPr>
                <w:lang w:val="da-DK"/>
              </w:rPr>
            </w:pPr>
            <w:r>
              <w:rPr>
                <w:lang w:val="da-DK"/>
              </w:rPr>
              <w:t>0,8</w:t>
            </w:r>
          </w:p>
        </w:tc>
        <w:tc>
          <w:tcPr>
            <w:tcW w:w="495" w:type="pct"/>
            <w:tcBorders>
              <w:top w:val="single" w:sz="6" w:space="0" w:color="000000"/>
              <w:left w:val="single" w:sz="6" w:space="0" w:color="000000"/>
              <w:bottom w:val="single" w:sz="6" w:space="0" w:color="000000"/>
              <w:right w:val="single" w:sz="6" w:space="0" w:color="000000"/>
            </w:tcBorders>
          </w:tcPr>
          <w:p w14:paraId="528476B9" w14:textId="77777777" w:rsidR="00147D71" w:rsidRDefault="00147D71" w:rsidP="000B2650">
            <w:pPr>
              <w:pStyle w:val="Default"/>
              <w:ind w:left="130" w:right="57"/>
              <w:rPr>
                <w:lang w:val="da-DK"/>
              </w:rPr>
            </w:pPr>
          </w:p>
          <w:p w14:paraId="3ECB7BE9" w14:textId="77777777" w:rsidR="00147D71" w:rsidRDefault="00147D71" w:rsidP="000B2650">
            <w:pPr>
              <w:pStyle w:val="Default"/>
              <w:ind w:left="130" w:right="57"/>
              <w:rPr>
                <w:lang w:val="da-DK"/>
              </w:rPr>
            </w:pPr>
            <w:r>
              <w:rPr>
                <w:lang w:val="da-DK"/>
              </w:rPr>
              <w:t>183 (2,5)</w:t>
            </w:r>
          </w:p>
        </w:tc>
        <w:tc>
          <w:tcPr>
            <w:tcW w:w="597" w:type="pct"/>
            <w:tcBorders>
              <w:top w:val="single" w:sz="6" w:space="0" w:color="000000"/>
              <w:left w:val="single" w:sz="6" w:space="0" w:color="000000"/>
              <w:bottom w:val="single" w:sz="6" w:space="0" w:color="000000"/>
              <w:right w:val="single" w:sz="6" w:space="0" w:color="000000"/>
            </w:tcBorders>
          </w:tcPr>
          <w:p w14:paraId="1F5D7848" w14:textId="77777777" w:rsidR="00147D71" w:rsidRDefault="00147D71" w:rsidP="000B2650">
            <w:pPr>
              <w:pStyle w:val="Default"/>
              <w:ind w:left="130" w:right="57"/>
              <w:rPr>
                <w:lang w:val="da-DK"/>
              </w:rPr>
            </w:pPr>
          </w:p>
          <w:p w14:paraId="5FDC2571" w14:textId="77777777" w:rsidR="00147D71" w:rsidRDefault="00147D71" w:rsidP="000B2650">
            <w:pPr>
              <w:pStyle w:val="Default"/>
              <w:ind w:left="130" w:right="57"/>
              <w:rPr>
                <w:lang w:val="da-DK"/>
              </w:rPr>
            </w:pPr>
            <w:r>
              <w:rPr>
                <w:lang w:val="da-DK"/>
              </w:rPr>
              <w:t>0,9</w:t>
            </w:r>
          </w:p>
        </w:tc>
        <w:tc>
          <w:tcPr>
            <w:tcW w:w="800" w:type="pct"/>
            <w:tcBorders>
              <w:top w:val="single" w:sz="6" w:space="0" w:color="000000"/>
              <w:left w:val="single" w:sz="6" w:space="0" w:color="000000"/>
              <w:bottom w:val="single" w:sz="6" w:space="0" w:color="000000"/>
              <w:right w:val="single" w:sz="6" w:space="0" w:color="000000"/>
            </w:tcBorders>
          </w:tcPr>
          <w:p w14:paraId="1B953E3D" w14:textId="77777777" w:rsidR="00147D71" w:rsidRDefault="00147D71" w:rsidP="000B2650">
            <w:pPr>
              <w:pStyle w:val="Default"/>
              <w:ind w:left="130" w:right="57"/>
              <w:rPr>
                <w:lang w:val="da-DK"/>
              </w:rPr>
            </w:pPr>
          </w:p>
          <w:p w14:paraId="47816A00" w14:textId="77777777" w:rsidR="00147D71" w:rsidRDefault="00147D71" w:rsidP="000B2650">
            <w:pPr>
              <w:pStyle w:val="Default"/>
              <w:ind w:left="130" w:right="57"/>
              <w:rPr>
                <w:lang w:val="da-DK"/>
              </w:rPr>
            </w:pPr>
            <w:r>
              <w:rPr>
                <w:lang w:val="da-DK"/>
              </w:rPr>
              <w:t>0,97 (0,79–1,19)</w:t>
            </w:r>
          </w:p>
        </w:tc>
        <w:tc>
          <w:tcPr>
            <w:tcW w:w="459" w:type="pct"/>
            <w:tcBorders>
              <w:top w:val="single" w:sz="6" w:space="0" w:color="000000"/>
              <w:left w:val="single" w:sz="6" w:space="0" w:color="000000"/>
              <w:bottom w:val="single" w:sz="6" w:space="0" w:color="000000"/>
              <w:right w:val="single" w:sz="6" w:space="0" w:color="000000"/>
            </w:tcBorders>
          </w:tcPr>
          <w:p w14:paraId="4ACC528C" w14:textId="77777777" w:rsidR="00147D71" w:rsidRDefault="00147D71" w:rsidP="000B2650">
            <w:pPr>
              <w:pStyle w:val="Default"/>
              <w:ind w:left="130" w:right="57"/>
              <w:rPr>
                <w:lang w:val="da-DK"/>
              </w:rPr>
            </w:pPr>
          </w:p>
          <w:p w14:paraId="1B87A8D1" w14:textId="77777777" w:rsidR="00147D71" w:rsidRDefault="00147D71" w:rsidP="000B2650">
            <w:pPr>
              <w:pStyle w:val="Default"/>
              <w:ind w:left="130" w:right="57"/>
              <w:rPr>
                <w:lang w:val="da-DK"/>
              </w:rPr>
            </w:pPr>
            <w:r>
              <w:rPr>
                <w:lang w:val="da-DK"/>
              </w:rPr>
              <w:t>0,760</w:t>
            </w:r>
          </w:p>
        </w:tc>
      </w:tr>
      <w:tr w:rsidR="00147D71" w14:paraId="74EEB6B6" w14:textId="77777777" w:rsidTr="00D45E98">
        <w:trPr>
          <w:trHeight w:val="414"/>
        </w:trPr>
        <w:tc>
          <w:tcPr>
            <w:tcW w:w="1481" w:type="pct"/>
            <w:tcBorders>
              <w:top w:val="single" w:sz="6" w:space="0" w:color="000000"/>
              <w:left w:val="single" w:sz="6" w:space="0" w:color="000000"/>
              <w:bottom w:val="single" w:sz="6" w:space="0" w:color="000000"/>
              <w:right w:val="single" w:sz="6" w:space="0" w:color="000000"/>
            </w:tcBorders>
            <w:hideMark/>
          </w:tcPr>
          <w:p w14:paraId="212925A9" w14:textId="77777777" w:rsidR="00147D71" w:rsidRDefault="00147D71" w:rsidP="000B2650">
            <w:pPr>
              <w:pStyle w:val="Default"/>
              <w:ind w:left="130" w:right="57"/>
              <w:rPr>
                <w:vertAlign w:val="superscript"/>
                <w:lang w:val="da-DK"/>
              </w:rPr>
            </w:pPr>
            <w:r>
              <w:rPr>
                <w:lang w:val="da-DK"/>
              </w:rPr>
              <w:t>Hospitalsindlæggelse pga. ustabil</w:t>
            </w:r>
          </w:p>
          <w:p w14:paraId="42967878" w14:textId="77777777" w:rsidR="00147D71" w:rsidRDefault="00147D71" w:rsidP="000B2650">
            <w:pPr>
              <w:pStyle w:val="Default"/>
              <w:ind w:left="130" w:right="57"/>
              <w:rPr>
                <w:lang w:val="da-DK"/>
              </w:rPr>
            </w:pPr>
            <w:r>
              <w:rPr>
                <w:lang w:val="da-DK"/>
              </w:rPr>
              <w:t>angina</w:t>
            </w:r>
          </w:p>
        </w:tc>
        <w:tc>
          <w:tcPr>
            <w:tcW w:w="571" w:type="pct"/>
            <w:tcBorders>
              <w:top w:val="single" w:sz="6" w:space="0" w:color="000000"/>
              <w:left w:val="single" w:sz="6" w:space="0" w:color="000000"/>
              <w:bottom w:val="single" w:sz="6" w:space="0" w:color="000000"/>
              <w:right w:val="single" w:sz="6" w:space="0" w:color="000000"/>
            </w:tcBorders>
          </w:tcPr>
          <w:p w14:paraId="219876A7" w14:textId="77777777" w:rsidR="00147D71" w:rsidRDefault="00147D71" w:rsidP="000B2650">
            <w:pPr>
              <w:pStyle w:val="Default"/>
              <w:ind w:left="130" w:right="57"/>
              <w:rPr>
                <w:lang w:val="da-DK"/>
              </w:rPr>
            </w:pPr>
          </w:p>
          <w:p w14:paraId="710C9D16" w14:textId="77777777" w:rsidR="00147D71" w:rsidRDefault="00147D71" w:rsidP="000B2650">
            <w:pPr>
              <w:pStyle w:val="Default"/>
              <w:ind w:left="130" w:right="57"/>
              <w:rPr>
                <w:lang w:val="da-DK"/>
              </w:rPr>
            </w:pPr>
            <w:r>
              <w:rPr>
                <w:lang w:val="da-DK"/>
              </w:rPr>
              <w:t>116 (1,6)</w:t>
            </w:r>
          </w:p>
        </w:tc>
        <w:tc>
          <w:tcPr>
            <w:tcW w:w="597" w:type="pct"/>
            <w:tcBorders>
              <w:top w:val="single" w:sz="6" w:space="0" w:color="000000"/>
              <w:left w:val="single" w:sz="6" w:space="0" w:color="000000"/>
              <w:bottom w:val="single" w:sz="6" w:space="0" w:color="000000"/>
              <w:right w:val="single" w:sz="6" w:space="0" w:color="000000"/>
            </w:tcBorders>
          </w:tcPr>
          <w:p w14:paraId="0BF34C95" w14:textId="77777777" w:rsidR="00147D71" w:rsidRDefault="00147D71" w:rsidP="000B2650">
            <w:pPr>
              <w:pStyle w:val="Default"/>
              <w:ind w:left="130" w:right="57"/>
              <w:rPr>
                <w:lang w:val="da-DK"/>
              </w:rPr>
            </w:pPr>
          </w:p>
          <w:p w14:paraId="0FCD9FB6" w14:textId="77777777" w:rsidR="00147D71" w:rsidRDefault="00147D71" w:rsidP="000B2650">
            <w:pPr>
              <w:pStyle w:val="Default"/>
              <w:ind w:left="130" w:right="57"/>
              <w:rPr>
                <w:lang w:val="da-DK"/>
              </w:rPr>
            </w:pPr>
            <w:r>
              <w:rPr>
                <w:lang w:val="da-DK"/>
              </w:rPr>
              <w:t>0,5</w:t>
            </w:r>
          </w:p>
        </w:tc>
        <w:tc>
          <w:tcPr>
            <w:tcW w:w="495" w:type="pct"/>
            <w:tcBorders>
              <w:top w:val="single" w:sz="6" w:space="0" w:color="000000"/>
              <w:left w:val="single" w:sz="6" w:space="0" w:color="000000"/>
              <w:bottom w:val="single" w:sz="6" w:space="0" w:color="000000"/>
              <w:right w:val="single" w:sz="6" w:space="0" w:color="000000"/>
            </w:tcBorders>
          </w:tcPr>
          <w:p w14:paraId="5E74C9B4" w14:textId="77777777" w:rsidR="00147D71" w:rsidRDefault="00147D71" w:rsidP="000B2650">
            <w:pPr>
              <w:pStyle w:val="Default"/>
              <w:ind w:left="130" w:right="57"/>
              <w:rPr>
                <w:lang w:val="da-DK"/>
              </w:rPr>
            </w:pPr>
          </w:p>
          <w:p w14:paraId="416AEE42" w14:textId="77777777" w:rsidR="00147D71" w:rsidRDefault="00147D71" w:rsidP="000B2650">
            <w:pPr>
              <w:pStyle w:val="Default"/>
              <w:ind w:left="130" w:right="57"/>
              <w:rPr>
                <w:lang w:val="da-DK"/>
              </w:rPr>
            </w:pPr>
            <w:r>
              <w:rPr>
                <w:lang w:val="da-DK"/>
              </w:rPr>
              <w:t>129 (1,8)</w:t>
            </w:r>
          </w:p>
        </w:tc>
        <w:tc>
          <w:tcPr>
            <w:tcW w:w="597" w:type="pct"/>
            <w:tcBorders>
              <w:top w:val="single" w:sz="6" w:space="0" w:color="000000"/>
              <w:left w:val="single" w:sz="6" w:space="0" w:color="000000"/>
              <w:bottom w:val="single" w:sz="6" w:space="0" w:color="000000"/>
              <w:right w:val="single" w:sz="6" w:space="0" w:color="000000"/>
            </w:tcBorders>
          </w:tcPr>
          <w:p w14:paraId="3E433B16" w14:textId="77777777" w:rsidR="00147D71" w:rsidRDefault="00147D71" w:rsidP="000B2650">
            <w:pPr>
              <w:pStyle w:val="Default"/>
              <w:ind w:left="130" w:right="57"/>
              <w:rPr>
                <w:lang w:val="da-DK"/>
              </w:rPr>
            </w:pPr>
          </w:p>
          <w:p w14:paraId="343E7E0E" w14:textId="77777777" w:rsidR="00147D71" w:rsidRDefault="00147D71" w:rsidP="000B2650">
            <w:pPr>
              <w:pStyle w:val="Default"/>
              <w:ind w:left="130" w:right="57"/>
              <w:rPr>
                <w:lang w:val="da-DK"/>
              </w:rPr>
            </w:pPr>
            <w:r>
              <w:rPr>
                <w:lang w:val="da-DK"/>
              </w:rPr>
              <w:t>0,6</w:t>
            </w:r>
          </w:p>
        </w:tc>
        <w:tc>
          <w:tcPr>
            <w:tcW w:w="800" w:type="pct"/>
            <w:tcBorders>
              <w:top w:val="single" w:sz="6" w:space="0" w:color="000000"/>
              <w:left w:val="single" w:sz="6" w:space="0" w:color="000000"/>
              <w:bottom w:val="single" w:sz="6" w:space="0" w:color="000000"/>
              <w:right w:val="single" w:sz="6" w:space="0" w:color="000000"/>
            </w:tcBorders>
          </w:tcPr>
          <w:p w14:paraId="5C76A85D" w14:textId="77777777" w:rsidR="00147D71" w:rsidRDefault="00147D71" w:rsidP="000B2650">
            <w:pPr>
              <w:pStyle w:val="Default"/>
              <w:ind w:left="130" w:right="57"/>
              <w:rPr>
                <w:lang w:val="da-DK"/>
              </w:rPr>
            </w:pPr>
          </w:p>
          <w:p w14:paraId="4F25EA5A" w14:textId="77777777" w:rsidR="00147D71" w:rsidRDefault="00147D71" w:rsidP="000B2650">
            <w:pPr>
              <w:pStyle w:val="Default"/>
              <w:ind w:left="130" w:right="57"/>
              <w:rPr>
                <w:lang w:val="da-DK"/>
              </w:rPr>
            </w:pPr>
            <w:r>
              <w:rPr>
                <w:lang w:val="da-DK"/>
              </w:rPr>
              <w:t>0,90 (0,70–1,16)</w:t>
            </w:r>
          </w:p>
        </w:tc>
        <w:tc>
          <w:tcPr>
            <w:tcW w:w="459" w:type="pct"/>
            <w:tcBorders>
              <w:top w:val="single" w:sz="6" w:space="0" w:color="000000"/>
              <w:left w:val="single" w:sz="6" w:space="0" w:color="000000"/>
              <w:bottom w:val="single" w:sz="6" w:space="0" w:color="000000"/>
              <w:right w:val="single" w:sz="6" w:space="0" w:color="000000"/>
            </w:tcBorders>
          </w:tcPr>
          <w:p w14:paraId="7C9C4E1E" w14:textId="77777777" w:rsidR="00147D71" w:rsidRDefault="00147D71" w:rsidP="000B2650">
            <w:pPr>
              <w:pStyle w:val="Default"/>
              <w:ind w:left="130" w:right="57"/>
              <w:rPr>
                <w:lang w:val="da-DK"/>
              </w:rPr>
            </w:pPr>
          </w:p>
          <w:p w14:paraId="136DC36C" w14:textId="77777777" w:rsidR="00147D71" w:rsidRDefault="00147D71" w:rsidP="000B2650">
            <w:pPr>
              <w:pStyle w:val="Default"/>
              <w:ind w:left="130" w:right="57"/>
              <w:rPr>
                <w:lang w:val="da-DK"/>
              </w:rPr>
            </w:pPr>
            <w:r>
              <w:rPr>
                <w:lang w:val="da-DK"/>
              </w:rPr>
              <w:t>0,419</w:t>
            </w:r>
          </w:p>
        </w:tc>
      </w:tr>
      <w:tr w:rsidR="00147D71" w14:paraId="26CAB848" w14:textId="77777777" w:rsidTr="00D45E98">
        <w:trPr>
          <w:trHeight w:val="272"/>
        </w:trPr>
        <w:tc>
          <w:tcPr>
            <w:tcW w:w="1481" w:type="pct"/>
            <w:tcBorders>
              <w:top w:val="single" w:sz="6" w:space="0" w:color="000000"/>
              <w:left w:val="single" w:sz="6" w:space="0" w:color="000000"/>
              <w:bottom w:val="single" w:sz="6" w:space="0" w:color="000000"/>
              <w:right w:val="single" w:sz="6" w:space="0" w:color="000000"/>
            </w:tcBorders>
            <w:hideMark/>
          </w:tcPr>
          <w:p w14:paraId="04E451F7" w14:textId="77777777" w:rsidR="00147D71" w:rsidRDefault="00147D71" w:rsidP="000B2650">
            <w:pPr>
              <w:pStyle w:val="Default"/>
              <w:ind w:left="130" w:right="57"/>
              <w:rPr>
                <w:lang w:val="da-DK"/>
              </w:rPr>
            </w:pPr>
            <w:r>
              <w:rPr>
                <w:lang w:val="da-DK"/>
              </w:rPr>
              <w:t>Død uanset årsag</w:t>
            </w:r>
          </w:p>
        </w:tc>
        <w:tc>
          <w:tcPr>
            <w:tcW w:w="571" w:type="pct"/>
            <w:tcBorders>
              <w:top w:val="single" w:sz="6" w:space="0" w:color="000000"/>
              <w:left w:val="single" w:sz="6" w:space="0" w:color="000000"/>
              <w:bottom w:val="single" w:sz="6" w:space="0" w:color="000000"/>
              <w:right w:val="single" w:sz="6" w:space="0" w:color="000000"/>
            </w:tcBorders>
            <w:hideMark/>
          </w:tcPr>
          <w:p w14:paraId="46292F4C" w14:textId="77777777" w:rsidR="00147D71" w:rsidRDefault="00147D71" w:rsidP="000B2650">
            <w:pPr>
              <w:pStyle w:val="Default"/>
              <w:ind w:left="130" w:right="57"/>
              <w:rPr>
                <w:lang w:val="da-DK"/>
              </w:rPr>
            </w:pPr>
            <w:r>
              <w:rPr>
                <w:lang w:val="da-DK"/>
              </w:rPr>
              <w:t>547 (7,5)</w:t>
            </w:r>
          </w:p>
        </w:tc>
        <w:tc>
          <w:tcPr>
            <w:tcW w:w="597" w:type="pct"/>
            <w:tcBorders>
              <w:top w:val="single" w:sz="6" w:space="0" w:color="000000"/>
              <w:left w:val="single" w:sz="6" w:space="0" w:color="000000"/>
              <w:bottom w:val="single" w:sz="6" w:space="0" w:color="000000"/>
              <w:right w:val="single" w:sz="6" w:space="0" w:color="000000"/>
            </w:tcBorders>
            <w:hideMark/>
          </w:tcPr>
          <w:p w14:paraId="350843C9" w14:textId="77777777" w:rsidR="00147D71" w:rsidRDefault="00147D71" w:rsidP="000B2650">
            <w:pPr>
              <w:pStyle w:val="Default"/>
              <w:ind w:left="130" w:right="57"/>
              <w:rPr>
                <w:lang w:val="da-DK"/>
              </w:rPr>
            </w:pPr>
            <w:r>
              <w:rPr>
                <w:lang w:val="da-DK"/>
              </w:rPr>
              <w:t>2,5</w:t>
            </w:r>
          </w:p>
        </w:tc>
        <w:tc>
          <w:tcPr>
            <w:tcW w:w="495" w:type="pct"/>
            <w:tcBorders>
              <w:top w:val="single" w:sz="6" w:space="0" w:color="000000"/>
              <w:left w:val="single" w:sz="6" w:space="0" w:color="000000"/>
              <w:bottom w:val="single" w:sz="6" w:space="0" w:color="000000"/>
              <w:right w:val="single" w:sz="6" w:space="0" w:color="000000"/>
            </w:tcBorders>
            <w:hideMark/>
          </w:tcPr>
          <w:p w14:paraId="191D534F" w14:textId="77777777" w:rsidR="00147D71" w:rsidRDefault="00147D71" w:rsidP="000B2650">
            <w:pPr>
              <w:pStyle w:val="Default"/>
              <w:ind w:left="130" w:right="57"/>
              <w:rPr>
                <w:lang w:val="da-DK"/>
              </w:rPr>
            </w:pPr>
            <w:r>
              <w:rPr>
                <w:lang w:val="da-DK"/>
              </w:rPr>
              <w:t>537 (7,3)</w:t>
            </w:r>
          </w:p>
        </w:tc>
        <w:tc>
          <w:tcPr>
            <w:tcW w:w="597" w:type="pct"/>
            <w:tcBorders>
              <w:top w:val="single" w:sz="6" w:space="0" w:color="000000"/>
              <w:left w:val="single" w:sz="6" w:space="0" w:color="000000"/>
              <w:bottom w:val="single" w:sz="6" w:space="0" w:color="000000"/>
              <w:right w:val="single" w:sz="6" w:space="0" w:color="000000"/>
            </w:tcBorders>
            <w:hideMark/>
          </w:tcPr>
          <w:p w14:paraId="1511B6A6" w14:textId="77777777" w:rsidR="00147D71" w:rsidRDefault="00147D71" w:rsidP="000B2650">
            <w:pPr>
              <w:pStyle w:val="Default"/>
              <w:ind w:left="130" w:right="57"/>
              <w:rPr>
                <w:lang w:val="da-DK"/>
              </w:rPr>
            </w:pPr>
            <w:r>
              <w:rPr>
                <w:lang w:val="da-DK"/>
              </w:rPr>
              <w:t>2,5</w:t>
            </w:r>
          </w:p>
        </w:tc>
        <w:tc>
          <w:tcPr>
            <w:tcW w:w="800" w:type="pct"/>
            <w:tcBorders>
              <w:top w:val="single" w:sz="6" w:space="0" w:color="000000"/>
              <w:left w:val="single" w:sz="6" w:space="0" w:color="000000"/>
              <w:bottom w:val="single" w:sz="6" w:space="0" w:color="000000"/>
              <w:right w:val="single" w:sz="6" w:space="0" w:color="000000"/>
            </w:tcBorders>
            <w:hideMark/>
          </w:tcPr>
          <w:p w14:paraId="6398B394" w14:textId="77777777" w:rsidR="00147D71" w:rsidRDefault="00147D71" w:rsidP="000B2650">
            <w:pPr>
              <w:pStyle w:val="Default"/>
              <w:ind w:left="130" w:right="57"/>
              <w:rPr>
                <w:lang w:val="da-DK"/>
              </w:rPr>
            </w:pPr>
            <w:r>
              <w:rPr>
                <w:lang w:val="da-DK"/>
              </w:rPr>
              <w:t>1,01 (0,90–1,14)</w:t>
            </w:r>
          </w:p>
        </w:tc>
        <w:tc>
          <w:tcPr>
            <w:tcW w:w="459" w:type="pct"/>
            <w:tcBorders>
              <w:top w:val="single" w:sz="6" w:space="0" w:color="000000"/>
              <w:left w:val="single" w:sz="6" w:space="0" w:color="000000"/>
              <w:bottom w:val="single" w:sz="6" w:space="0" w:color="000000"/>
              <w:right w:val="single" w:sz="6" w:space="0" w:color="000000"/>
            </w:tcBorders>
            <w:hideMark/>
          </w:tcPr>
          <w:p w14:paraId="742E1439" w14:textId="77777777" w:rsidR="00147D71" w:rsidRDefault="00147D71" w:rsidP="000B2650">
            <w:pPr>
              <w:pStyle w:val="Default"/>
              <w:ind w:left="130" w:right="57"/>
              <w:rPr>
                <w:lang w:val="da-DK"/>
              </w:rPr>
            </w:pPr>
            <w:r>
              <w:rPr>
                <w:lang w:val="da-DK"/>
              </w:rPr>
              <w:t>0,875</w:t>
            </w:r>
          </w:p>
        </w:tc>
      </w:tr>
      <w:tr w:rsidR="00147D71" w14:paraId="3662C719" w14:textId="77777777" w:rsidTr="00D45E98">
        <w:trPr>
          <w:trHeight w:val="496"/>
        </w:trPr>
        <w:tc>
          <w:tcPr>
            <w:tcW w:w="1481" w:type="pct"/>
            <w:tcBorders>
              <w:top w:val="single" w:sz="6" w:space="0" w:color="000000"/>
              <w:left w:val="single" w:sz="6" w:space="0" w:color="000000"/>
              <w:bottom w:val="single" w:sz="6" w:space="0" w:color="000000"/>
              <w:right w:val="single" w:sz="6" w:space="0" w:color="000000"/>
            </w:tcBorders>
            <w:hideMark/>
          </w:tcPr>
          <w:p w14:paraId="4A0C7973" w14:textId="77777777" w:rsidR="00147D71" w:rsidRDefault="00147D71" w:rsidP="000B2650">
            <w:pPr>
              <w:pStyle w:val="Default"/>
              <w:ind w:left="130" w:right="57"/>
              <w:rPr>
                <w:lang w:val="da-DK"/>
              </w:rPr>
            </w:pPr>
            <w:r>
              <w:rPr>
                <w:lang w:val="da-DK"/>
              </w:rPr>
              <w:t>Hospitalsindlæggelse pga. hjertesvigt</w:t>
            </w:r>
            <w:r>
              <w:rPr>
                <w:vertAlign w:val="superscript"/>
                <w:lang w:val="da-DK"/>
              </w:rPr>
              <w:t>‡</w:t>
            </w:r>
          </w:p>
        </w:tc>
        <w:tc>
          <w:tcPr>
            <w:tcW w:w="571" w:type="pct"/>
            <w:tcBorders>
              <w:top w:val="single" w:sz="6" w:space="0" w:color="000000"/>
              <w:left w:val="single" w:sz="6" w:space="0" w:color="000000"/>
              <w:bottom w:val="single" w:sz="6" w:space="0" w:color="000000"/>
              <w:right w:val="single" w:sz="6" w:space="0" w:color="000000"/>
            </w:tcBorders>
          </w:tcPr>
          <w:p w14:paraId="5B9BFBB4" w14:textId="77777777" w:rsidR="00147D71" w:rsidRDefault="00147D71" w:rsidP="000B2650">
            <w:pPr>
              <w:pStyle w:val="Default"/>
              <w:ind w:left="130" w:right="57"/>
              <w:rPr>
                <w:lang w:val="da-DK"/>
              </w:rPr>
            </w:pPr>
          </w:p>
          <w:p w14:paraId="0A141ACF" w14:textId="77777777" w:rsidR="00147D71" w:rsidRDefault="00147D71" w:rsidP="000B2650">
            <w:pPr>
              <w:pStyle w:val="Default"/>
              <w:ind w:left="130" w:right="57"/>
              <w:rPr>
                <w:lang w:val="da-DK"/>
              </w:rPr>
            </w:pPr>
            <w:r>
              <w:rPr>
                <w:lang w:val="da-DK"/>
              </w:rPr>
              <w:t>228 (3,1)</w:t>
            </w:r>
          </w:p>
        </w:tc>
        <w:tc>
          <w:tcPr>
            <w:tcW w:w="597" w:type="pct"/>
            <w:tcBorders>
              <w:top w:val="single" w:sz="6" w:space="0" w:color="000000"/>
              <w:left w:val="single" w:sz="6" w:space="0" w:color="000000"/>
              <w:bottom w:val="single" w:sz="6" w:space="0" w:color="000000"/>
              <w:right w:val="single" w:sz="6" w:space="0" w:color="000000"/>
            </w:tcBorders>
          </w:tcPr>
          <w:p w14:paraId="405538B0" w14:textId="77777777" w:rsidR="00147D71" w:rsidRDefault="00147D71" w:rsidP="000B2650">
            <w:pPr>
              <w:pStyle w:val="Default"/>
              <w:ind w:left="130" w:right="57"/>
              <w:rPr>
                <w:lang w:val="da-DK"/>
              </w:rPr>
            </w:pPr>
          </w:p>
          <w:p w14:paraId="206C8856" w14:textId="77777777" w:rsidR="00147D71" w:rsidRDefault="00147D71" w:rsidP="000B2650">
            <w:pPr>
              <w:pStyle w:val="Default"/>
              <w:ind w:left="130" w:right="57"/>
              <w:rPr>
                <w:lang w:val="da-DK"/>
              </w:rPr>
            </w:pPr>
            <w:r>
              <w:rPr>
                <w:lang w:val="da-DK"/>
              </w:rPr>
              <w:t>1,1</w:t>
            </w:r>
          </w:p>
        </w:tc>
        <w:tc>
          <w:tcPr>
            <w:tcW w:w="495" w:type="pct"/>
            <w:tcBorders>
              <w:top w:val="single" w:sz="6" w:space="0" w:color="000000"/>
              <w:left w:val="single" w:sz="6" w:space="0" w:color="000000"/>
              <w:bottom w:val="single" w:sz="6" w:space="0" w:color="000000"/>
              <w:right w:val="single" w:sz="6" w:space="0" w:color="000000"/>
            </w:tcBorders>
          </w:tcPr>
          <w:p w14:paraId="7EB72142" w14:textId="77777777" w:rsidR="00147D71" w:rsidRDefault="00147D71" w:rsidP="000B2650">
            <w:pPr>
              <w:pStyle w:val="Default"/>
              <w:ind w:left="130" w:right="57"/>
              <w:rPr>
                <w:lang w:val="da-DK"/>
              </w:rPr>
            </w:pPr>
          </w:p>
          <w:p w14:paraId="5283CEE5" w14:textId="77777777" w:rsidR="00147D71" w:rsidRDefault="00147D71" w:rsidP="000B2650">
            <w:pPr>
              <w:pStyle w:val="Default"/>
              <w:ind w:left="130" w:right="57"/>
              <w:rPr>
                <w:lang w:val="da-DK"/>
              </w:rPr>
            </w:pPr>
            <w:r>
              <w:rPr>
                <w:lang w:val="da-DK"/>
              </w:rPr>
              <w:t>229 (3,1)</w:t>
            </w:r>
          </w:p>
        </w:tc>
        <w:tc>
          <w:tcPr>
            <w:tcW w:w="597" w:type="pct"/>
            <w:tcBorders>
              <w:top w:val="single" w:sz="6" w:space="0" w:color="000000"/>
              <w:left w:val="single" w:sz="6" w:space="0" w:color="000000"/>
              <w:bottom w:val="single" w:sz="6" w:space="0" w:color="000000"/>
              <w:right w:val="single" w:sz="6" w:space="0" w:color="000000"/>
            </w:tcBorders>
          </w:tcPr>
          <w:p w14:paraId="25A51304" w14:textId="77777777" w:rsidR="00147D71" w:rsidRDefault="00147D71" w:rsidP="000B2650">
            <w:pPr>
              <w:pStyle w:val="Default"/>
              <w:ind w:left="130" w:right="57"/>
              <w:rPr>
                <w:lang w:val="da-DK"/>
              </w:rPr>
            </w:pPr>
          </w:p>
          <w:p w14:paraId="48D7428A" w14:textId="77777777" w:rsidR="00147D71" w:rsidRDefault="00147D71" w:rsidP="000B2650">
            <w:pPr>
              <w:pStyle w:val="Default"/>
              <w:ind w:left="130" w:right="57"/>
              <w:rPr>
                <w:lang w:val="da-DK"/>
              </w:rPr>
            </w:pPr>
            <w:r>
              <w:rPr>
                <w:lang w:val="da-DK"/>
              </w:rPr>
              <w:t>1,1</w:t>
            </w:r>
          </w:p>
        </w:tc>
        <w:tc>
          <w:tcPr>
            <w:tcW w:w="800" w:type="pct"/>
            <w:tcBorders>
              <w:top w:val="single" w:sz="6" w:space="0" w:color="000000"/>
              <w:left w:val="single" w:sz="6" w:space="0" w:color="000000"/>
              <w:bottom w:val="single" w:sz="6" w:space="0" w:color="000000"/>
              <w:right w:val="single" w:sz="6" w:space="0" w:color="000000"/>
            </w:tcBorders>
          </w:tcPr>
          <w:p w14:paraId="052089EB" w14:textId="77777777" w:rsidR="00147D71" w:rsidRDefault="00147D71" w:rsidP="000B2650">
            <w:pPr>
              <w:pStyle w:val="Default"/>
              <w:ind w:left="130" w:right="57"/>
              <w:rPr>
                <w:lang w:val="da-DK"/>
              </w:rPr>
            </w:pPr>
          </w:p>
          <w:p w14:paraId="4C57B16B" w14:textId="77777777" w:rsidR="00147D71" w:rsidRDefault="00147D71" w:rsidP="000B2650">
            <w:pPr>
              <w:pStyle w:val="Default"/>
              <w:ind w:left="130" w:right="57"/>
              <w:rPr>
                <w:lang w:val="da-DK"/>
              </w:rPr>
            </w:pPr>
            <w:r>
              <w:rPr>
                <w:lang w:val="da-DK"/>
              </w:rPr>
              <w:t>1,00 (0,83–1,20)</w:t>
            </w:r>
          </w:p>
        </w:tc>
        <w:tc>
          <w:tcPr>
            <w:tcW w:w="459" w:type="pct"/>
            <w:tcBorders>
              <w:top w:val="single" w:sz="6" w:space="0" w:color="000000"/>
              <w:left w:val="single" w:sz="6" w:space="0" w:color="000000"/>
              <w:bottom w:val="single" w:sz="6" w:space="0" w:color="000000"/>
              <w:right w:val="single" w:sz="6" w:space="0" w:color="000000"/>
            </w:tcBorders>
          </w:tcPr>
          <w:p w14:paraId="5B3E46C9" w14:textId="77777777" w:rsidR="00147D71" w:rsidRDefault="00147D71" w:rsidP="000B2650">
            <w:pPr>
              <w:pStyle w:val="Default"/>
              <w:ind w:left="130" w:right="57"/>
              <w:rPr>
                <w:lang w:val="da-DK"/>
              </w:rPr>
            </w:pPr>
          </w:p>
          <w:p w14:paraId="7F2E82F4" w14:textId="77777777" w:rsidR="00147D71" w:rsidRDefault="00147D71" w:rsidP="000B2650">
            <w:pPr>
              <w:pStyle w:val="Default"/>
              <w:ind w:left="130" w:right="57"/>
              <w:rPr>
                <w:lang w:val="da-DK"/>
              </w:rPr>
            </w:pPr>
            <w:r>
              <w:rPr>
                <w:lang w:val="da-DK"/>
              </w:rPr>
              <w:t>0,983</w:t>
            </w:r>
          </w:p>
        </w:tc>
      </w:tr>
    </w:tbl>
    <w:p w14:paraId="067CD8B0" w14:textId="77777777" w:rsidR="00147D71" w:rsidRDefault="00147D71" w:rsidP="00D45E98">
      <w:pPr>
        <w:pStyle w:val="Default"/>
        <w:ind w:left="851" w:right="-2"/>
        <w:rPr>
          <w:lang w:val="da-DK"/>
        </w:rPr>
      </w:pPr>
      <w:r>
        <w:rPr>
          <w:lang w:val="da-DK"/>
        </w:rPr>
        <w:t>* Incidensrate pr. 100 patientår er beregnet som 100 × (samlet antal patienter med ≥ 1 hændelse i løbet af en egnet eksponeringsperiode pr. samlet antal patientår med opfølgning).</w:t>
      </w:r>
    </w:p>
    <w:p w14:paraId="7E9179CD" w14:textId="77777777" w:rsidR="00147D71" w:rsidRDefault="00147D71" w:rsidP="00D45E98">
      <w:pPr>
        <w:pStyle w:val="Default"/>
        <w:ind w:left="851" w:right="-2"/>
        <w:rPr>
          <w:lang w:val="da-DK"/>
        </w:rPr>
      </w:pPr>
      <w:r>
        <w:rPr>
          <w:lang w:val="da-DK"/>
        </w:rPr>
        <w:t>† Baseret på en Cox-model stratificeret ud fra region. For sammensatte endepunkter svarer p-værdierne til en test af noninferioritet, der tilstræber at vise, at hazard ratio er mindre end 1,3. For alle andre endepunkter svarer p-værdierne til en test af forskellene i hazard ratio.</w:t>
      </w:r>
    </w:p>
    <w:p w14:paraId="2DFAB193" w14:textId="77777777" w:rsidR="00147D71" w:rsidRDefault="00147D71" w:rsidP="00D45E98">
      <w:pPr>
        <w:pStyle w:val="Default"/>
        <w:ind w:left="851" w:right="-2"/>
        <w:rPr>
          <w:lang w:val="da-DK"/>
        </w:rPr>
      </w:pPr>
      <w:r>
        <w:rPr>
          <w:lang w:val="da-DK"/>
        </w:rPr>
        <w:t xml:space="preserve">‡ Analysen af hospitalsindlæggelser pga. hjertesvigt blev justeret for hjertesvigt i anamnesen ved </w:t>
      </w:r>
      <w:r>
        <w:rPr>
          <w:i/>
          <w:iCs/>
          <w:lang w:val="da-DK"/>
        </w:rPr>
        <w:t>baseline</w:t>
      </w:r>
      <w:r>
        <w:rPr>
          <w:lang w:val="da-DK"/>
        </w:rPr>
        <w:t>.</w:t>
      </w:r>
    </w:p>
    <w:p w14:paraId="6F1F7C69" w14:textId="77777777" w:rsidR="00147D71" w:rsidRDefault="00147D71" w:rsidP="00147D71">
      <w:pPr>
        <w:pStyle w:val="Default"/>
        <w:ind w:right="-2"/>
        <w:rPr>
          <w:lang w:val="da-DK"/>
        </w:rPr>
      </w:pPr>
    </w:p>
    <w:p w14:paraId="25F4C354" w14:textId="77777777" w:rsidR="00147D71" w:rsidRDefault="00147D71" w:rsidP="007D5CAD">
      <w:pPr>
        <w:pStyle w:val="Default"/>
        <w:ind w:left="851" w:right="-2"/>
        <w:rPr>
          <w:u w:val="single"/>
          <w:lang w:val="da-DK"/>
        </w:rPr>
      </w:pPr>
      <w:r>
        <w:rPr>
          <w:u w:val="single"/>
          <w:lang w:val="da-DK"/>
        </w:rPr>
        <w:t>Pædiatrisk population</w:t>
      </w:r>
    </w:p>
    <w:p w14:paraId="39F638AB" w14:textId="77777777" w:rsidR="00147D71" w:rsidRDefault="00147D71" w:rsidP="007D5CAD">
      <w:pPr>
        <w:pStyle w:val="Default"/>
        <w:ind w:left="851" w:right="-2"/>
        <w:rPr>
          <w:lang w:val="da-DK"/>
        </w:rPr>
      </w:pPr>
      <w:r>
        <w:rPr>
          <w:lang w:val="da-DK"/>
        </w:rPr>
        <w:t>Det Europæiske Lægemiddelagentur har dispenseret fra kravet om at fremlægge resultaterne af studier med kombinerede aktivstoffer i alle undergrupper af den pædiatriske population ved type 2-diabetes mellitus (se pkt. 4.2 for oplysninger om pædiatrisk anvendelse).</w:t>
      </w:r>
    </w:p>
    <w:p w14:paraId="35E8D914" w14:textId="77777777" w:rsidR="00147D71" w:rsidRDefault="00147D71" w:rsidP="007D5CAD">
      <w:pPr>
        <w:pStyle w:val="Default"/>
        <w:ind w:left="851" w:right="-2"/>
        <w:rPr>
          <w:lang w:val="da-DK"/>
        </w:rPr>
      </w:pPr>
    </w:p>
    <w:p w14:paraId="40DCAFC1" w14:textId="77777777" w:rsidR="00147D71" w:rsidRDefault="00147D71" w:rsidP="007D5CAD">
      <w:pPr>
        <w:pStyle w:val="Default"/>
        <w:ind w:left="851" w:right="-2"/>
        <w:rPr>
          <w:lang w:val="da-DK"/>
        </w:rPr>
      </w:pPr>
      <w:r>
        <w:rPr>
          <w:lang w:val="da-DK"/>
        </w:rPr>
        <w:t>Sikkerheden og virkningen af tillægsbehandling med sitagliptin hos pædiatriske patienter i alderen 10 til 17 år med type 2-diabetes og utilstrækkelig glykæmisk kontrol på metformin med eller uden insulin blev vurderet i to studier i løbet af 54 uger. Tillæg af sitagliptin (administreret som sitagliptin + metformin eller sitagliptin + metformin depottabletter (XR)) blev sammenlignet med tillæg af placebo til metformin eller metformin XR.</w:t>
      </w:r>
    </w:p>
    <w:p w14:paraId="6D4F50A2" w14:textId="77777777" w:rsidR="00147D71" w:rsidRDefault="00147D71" w:rsidP="007D5CAD">
      <w:pPr>
        <w:pStyle w:val="Default"/>
        <w:ind w:left="851" w:right="-2"/>
        <w:rPr>
          <w:lang w:val="da-DK"/>
        </w:rPr>
      </w:pPr>
    </w:p>
    <w:p w14:paraId="16D548AC" w14:textId="1199A740" w:rsidR="00147D71" w:rsidRDefault="00147D71" w:rsidP="007D5CAD">
      <w:pPr>
        <w:pStyle w:val="Default"/>
        <w:ind w:left="851" w:right="-2"/>
        <w:rPr>
          <w:lang w:val="da-DK"/>
        </w:rPr>
      </w:pPr>
      <w:r>
        <w:rPr>
          <w:lang w:val="da-DK"/>
        </w:rPr>
        <w:t>Selvom der blev påvist en bedre (superior) reduktion i HbA</w:t>
      </w:r>
      <w:r>
        <w:rPr>
          <w:vertAlign w:val="subscript"/>
          <w:lang w:val="da-DK"/>
        </w:rPr>
        <w:t xml:space="preserve">1c </w:t>
      </w:r>
      <w:r>
        <w:rPr>
          <w:lang w:val="da-DK"/>
        </w:rPr>
        <w:t xml:space="preserve">for sitagliptin + metformin / sitagliptin + metformin XR i forhold til metformin ved uge 20 i den poolede analyse af disse to studier, var resultaterne fra de individuelle studier inkonsistente. Derudover blev der ikke observeret en bedre virkning for sitagliptin + metformin / sitagliptin + metformin XR sammenlignet med metformin ved uge 54. Derfor må </w:t>
      </w:r>
      <w:r w:rsidR="001A122E">
        <w:rPr>
          <w:lang w:val="da-DK"/>
        </w:rPr>
        <w:t>Sitagliptin/Metformin "Grindeks"</w:t>
      </w:r>
      <w:r>
        <w:rPr>
          <w:lang w:val="da-DK"/>
        </w:rPr>
        <w:t xml:space="preserve"> ikke anvendes til pædiatriske patienter i alderen 10 til 17 år på grund af utilstrækkelig virkning (se pkt. 4.2 for oplysninger om pædiatrisk anvendelse).</w:t>
      </w:r>
    </w:p>
    <w:p w14:paraId="53B72B0A" w14:textId="77777777" w:rsidR="009260DE" w:rsidRPr="00C84483" w:rsidRDefault="009260DE" w:rsidP="009260DE">
      <w:pPr>
        <w:tabs>
          <w:tab w:val="left" w:pos="851"/>
        </w:tabs>
        <w:ind w:left="851"/>
        <w:rPr>
          <w:sz w:val="24"/>
          <w:szCs w:val="24"/>
        </w:rPr>
      </w:pPr>
    </w:p>
    <w:p w14:paraId="34FB05E3"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3CD63244" w14:textId="77777777" w:rsidR="001A122E" w:rsidRDefault="001A122E" w:rsidP="00147D71">
      <w:pPr>
        <w:pStyle w:val="Default"/>
        <w:ind w:right="-2"/>
        <w:rPr>
          <w:u w:val="single"/>
          <w:lang w:val="da-DK"/>
        </w:rPr>
      </w:pPr>
    </w:p>
    <w:p w14:paraId="755814C5" w14:textId="157822A8" w:rsidR="00147D71" w:rsidRDefault="00147D71" w:rsidP="000B2650">
      <w:pPr>
        <w:pStyle w:val="Default"/>
        <w:ind w:left="851" w:right="-2"/>
        <w:rPr>
          <w:u w:val="single"/>
          <w:lang w:val="da-DK"/>
        </w:rPr>
      </w:pPr>
      <w:r>
        <w:rPr>
          <w:u w:val="single"/>
          <w:lang w:val="da-DK"/>
        </w:rPr>
        <w:t>Sitagliptin/metformin</w:t>
      </w:r>
    </w:p>
    <w:p w14:paraId="4F21C4D3" w14:textId="77777777" w:rsidR="00147D71" w:rsidRDefault="00147D71" w:rsidP="000B2650">
      <w:pPr>
        <w:pStyle w:val="Default"/>
        <w:ind w:left="851" w:right="-2"/>
        <w:rPr>
          <w:lang w:val="da-DK"/>
        </w:rPr>
      </w:pPr>
      <w:r>
        <w:rPr>
          <w:lang w:val="da-DK"/>
        </w:rPr>
        <w:t>En bioækvivalensundersøgelse med raske forsøgspersoner viste, at de sitagliptin/metforminhydrochlorid-kombinerede filmovertrukne tabletter er bioækvivalente med samtidig administration af sitagliptin og metforminhydrochlorid som individuelle tabletter.</w:t>
      </w:r>
    </w:p>
    <w:p w14:paraId="5D88A4D9" w14:textId="77777777" w:rsidR="00147D71" w:rsidRDefault="00147D71" w:rsidP="000B2650">
      <w:pPr>
        <w:pStyle w:val="Default"/>
        <w:ind w:left="851" w:right="-2"/>
        <w:rPr>
          <w:lang w:val="da-DK"/>
        </w:rPr>
      </w:pPr>
    </w:p>
    <w:p w14:paraId="5E28FCA3" w14:textId="1D940214" w:rsidR="00147D71" w:rsidRDefault="00147D71" w:rsidP="000B2650">
      <w:pPr>
        <w:pStyle w:val="Default"/>
        <w:ind w:left="851" w:right="-2"/>
        <w:rPr>
          <w:lang w:val="da-DK"/>
        </w:rPr>
      </w:pPr>
      <w:r>
        <w:rPr>
          <w:lang w:val="da-DK"/>
        </w:rPr>
        <w:t xml:space="preserve">Følgende redegørelser viser de farmakokinetiske egenskaber ved de enkelte aktive substanser i </w:t>
      </w:r>
      <w:r w:rsidR="001A122E">
        <w:rPr>
          <w:lang w:val="da-DK"/>
        </w:rPr>
        <w:t>Sitagliptin/Metformin "Grindeks"</w:t>
      </w:r>
      <w:r>
        <w:rPr>
          <w:lang w:val="da-DK"/>
        </w:rPr>
        <w:t>.</w:t>
      </w:r>
    </w:p>
    <w:p w14:paraId="6570D0F4" w14:textId="77777777" w:rsidR="00147D71" w:rsidRDefault="00147D71" w:rsidP="000B2650">
      <w:pPr>
        <w:pStyle w:val="Default"/>
        <w:ind w:left="851" w:right="-2"/>
        <w:rPr>
          <w:lang w:val="da-DK"/>
        </w:rPr>
      </w:pPr>
    </w:p>
    <w:p w14:paraId="340D1561" w14:textId="77777777" w:rsidR="00147D71" w:rsidRDefault="00147D71" w:rsidP="000B2650">
      <w:pPr>
        <w:pStyle w:val="Default"/>
        <w:ind w:left="851" w:right="-2"/>
        <w:rPr>
          <w:u w:val="single"/>
          <w:lang w:val="da-DK"/>
        </w:rPr>
      </w:pPr>
      <w:r>
        <w:rPr>
          <w:u w:val="single"/>
          <w:lang w:val="da-DK"/>
        </w:rPr>
        <w:t>Sitagliptin</w:t>
      </w:r>
    </w:p>
    <w:p w14:paraId="74FA03ED" w14:textId="77777777" w:rsidR="00147D71" w:rsidRDefault="00147D71" w:rsidP="000B2650">
      <w:pPr>
        <w:pStyle w:val="Default"/>
        <w:ind w:left="851" w:right="-2"/>
        <w:rPr>
          <w:i/>
          <w:iCs/>
          <w:lang w:val="da-DK"/>
        </w:rPr>
      </w:pPr>
      <w:r>
        <w:rPr>
          <w:i/>
          <w:iCs/>
          <w:lang w:val="da-DK"/>
        </w:rPr>
        <w:t>Absorption</w:t>
      </w:r>
    </w:p>
    <w:p w14:paraId="36758532" w14:textId="77777777" w:rsidR="00147D71" w:rsidRDefault="00147D71" w:rsidP="000B2650">
      <w:pPr>
        <w:pStyle w:val="Default"/>
        <w:ind w:left="851" w:right="-2"/>
        <w:rPr>
          <w:lang w:val="da-DK"/>
        </w:rPr>
      </w:pPr>
      <w:r>
        <w:rPr>
          <w:lang w:val="da-DK"/>
        </w:rPr>
        <w:t>Efter oral administration af en 100 mg dosis til raske forsøgspersoner absorberedes sitagliptin hurtigt.</w:t>
      </w:r>
    </w:p>
    <w:p w14:paraId="5583B0CB" w14:textId="70289F56" w:rsidR="00147D71" w:rsidRDefault="00147D71" w:rsidP="000B2650">
      <w:pPr>
        <w:pStyle w:val="Default"/>
        <w:ind w:left="851" w:right="-2"/>
        <w:rPr>
          <w:lang w:val="da-DK"/>
        </w:rPr>
      </w:pPr>
      <w:r>
        <w:rPr>
          <w:lang w:val="da-DK"/>
        </w:rPr>
        <w:t>Peak-plasmakoncentrationer (median T</w:t>
      </w:r>
      <w:r>
        <w:rPr>
          <w:vertAlign w:val="subscript"/>
          <w:lang w:val="da-DK"/>
        </w:rPr>
        <w:t>max</w:t>
      </w:r>
      <w:r>
        <w:rPr>
          <w:lang w:val="da-DK"/>
        </w:rPr>
        <w:t>) forekom 1-4 timer efter dosering, gennemsnitlig plasma-AUC for sitagliptin var 8,52 µM•time, C</w:t>
      </w:r>
      <w:r>
        <w:rPr>
          <w:vertAlign w:val="subscript"/>
          <w:lang w:val="da-DK"/>
        </w:rPr>
        <w:t>max</w:t>
      </w:r>
      <w:r>
        <w:rPr>
          <w:lang w:val="da-DK"/>
        </w:rPr>
        <w:t xml:space="preserve"> var 950 nM. Sitagliptins absolutte biotilgængelighed er ca. 87</w:t>
      </w:r>
      <w:r w:rsidR="00DF7C99">
        <w:rPr>
          <w:lang w:val="da-DK"/>
        </w:rPr>
        <w:t xml:space="preserve"> %</w:t>
      </w:r>
      <w:r>
        <w:rPr>
          <w:lang w:val="da-DK"/>
        </w:rPr>
        <w:t>. Eftersom samtidig administration af et fedtrigt måltid sammen med sitagliptin ikke havde nogen effekt på farmakokinetikken, kan sitagliptin administreres med eller uden mad.</w:t>
      </w:r>
    </w:p>
    <w:p w14:paraId="38224F96" w14:textId="77777777" w:rsidR="00147D71" w:rsidRDefault="00147D71" w:rsidP="000B2650">
      <w:pPr>
        <w:pStyle w:val="Default"/>
        <w:ind w:left="851" w:right="-2"/>
        <w:rPr>
          <w:lang w:val="da-DK"/>
        </w:rPr>
      </w:pPr>
    </w:p>
    <w:p w14:paraId="1754004A" w14:textId="77777777" w:rsidR="00147D71" w:rsidRDefault="00147D71" w:rsidP="000B2650">
      <w:pPr>
        <w:pStyle w:val="Default"/>
        <w:ind w:left="851" w:right="-2"/>
        <w:rPr>
          <w:lang w:val="da-DK"/>
        </w:rPr>
      </w:pPr>
      <w:r>
        <w:rPr>
          <w:lang w:val="da-DK"/>
        </w:rPr>
        <w:t>Sitagliptins plasma-AUC steg proportionalt med dosis. Dosisproportionaliteten blev ikke fastslået for C</w:t>
      </w:r>
      <w:r>
        <w:rPr>
          <w:vertAlign w:val="subscript"/>
          <w:lang w:val="da-DK"/>
        </w:rPr>
        <w:t>max</w:t>
      </w:r>
      <w:r>
        <w:rPr>
          <w:lang w:val="da-DK"/>
        </w:rPr>
        <w:t xml:space="preserve"> og C</w:t>
      </w:r>
      <w:r>
        <w:rPr>
          <w:vertAlign w:val="subscript"/>
          <w:lang w:val="da-DK"/>
        </w:rPr>
        <w:t>24t</w:t>
      </w:r>
      <w:r>
        <w:rPr>
          <w:lang w:val="da-DK"/>
        </w:rPr>
        <w:t xml:space="preserve"> (C</w:t>
      </w:r>
      <w:r>
        <w:rPr>
          <w:vertAlign w:val="subscript"/>
          <w:lang w:val="da-DK"/>
        </w:rPr>
        <w:t xml:space="preserve">max </w:t>
      </w:r>
      <w:r>
        <w:rPr>
          <w:lang w:val="da-DK"/>
        </w:rPr>
        <w:t>steg mere end dosisproportionalt og C</w:t>
      </w:r>
      <w:r>
        <w:rPr>
          <w:vertAlign w:val="subscript"/>
          <w:lang w:val="da-DK"/>
        </w:rPr>
        <w:t>24t</w:t>
      </w:r>
      <w:r>
        <w:rPr>
          <w:lang w:val="da-DK"/>
        </w:rPr>
        <w:t xml:space="preserve"> steg mindre end dosisproportionalt).</w:t>
      </w:r>
    </w:p>
    <w:p w14:paraId="3C1EC464" w14:textId="77777777" w:rsidR="00147D71" w:rsidRDefault="00147D71" w:rsidP="000B2650">
      <w:pPr>
        <w:pStyle w:val="Default"/>
        <w:ind w:left="851" w:right="-2"/>
        <w:rPr>
          <w:lang w:val="da-DK"/>
        </w:rPr>
      </w:pPr>
    </w:p>
    <w:p w14:paraId="53C82DE4" w14:textId="77777777" w:rsidR="00147D71" w:rsidRDefault="00147D71" w:rsidP="000B2650">
      <w:pPr>
        <w:pStyle w:val="Default"/>
        <w:ind w:left="851" w:right="-2"/>
        <w:rPr>
          <w:i/>
          <w:iCs/>
          <w:lang w:val="da-DK"/>
        </w:rPr>
      </w:pPr>
      <w:r>
        <w:rPr>
          <w:i/>
          <w:iCs/>
          <w:lang w:val="da-DK"/>
        </w:rPr>
        <w:t>Fordeling</w:t>
      </w:r>
    </w:p>
    <w:p w14:paraId="41955533" w14:textId="77B06A0E" w:rsidR="00147D71" w:rsidRDefault="00147D71" w:rsidP="000B2650">
      <w:pPr>
        <w:pStyle w:val="Default"/>
        <w:ind w:left="851" w:right="-2"/>
        <w:rPr>
          <w:lang w:val="da-DK"/>
        </w:rPr>
      </w:pPr>
      <w:r>
        <w:rPr>
          <w:lang w:val="da-DK"/>
        </w:rPr>
        <w:t>Det gennemsnitlige fordelingsvolumen ved steady state efter en enkelt intravenøs dosis på 100 mg sitagliptin til raske forsøgspersoner er ca. 198 l. Den fraktion af sitagliptin, som er reversibelt bundet til plasmaproteiner, er lav (38</w:t>
      </w:r>
      <w:r w:rsidR="00DF7C99">
        <w:rPr>
          <w:lang w:val="da-DK"/>
        </w:rPr>
        <w:t xml:space="preserve"> %</w:t>
      </w:r>
      <w:r>
        <w:rPr>
          <w:lang w:val="da-DK"/>
        </w:rPr>
        <w:t>).</w:t>
      </w:r>
    </w:p>
    <w:p w14:paraId="18F26969" w14:textId="77777777" w:rsidR="00147D71" w:rsidRDefault="00147D71" w:rsidP="000B2650">
      <w:pPr>
        <w:pStyle w:val="Default"/>
        <w:ind w:left="851" w:right="-2"/>
        <w:rPr>
          <w:lang w:val="da-DK"/>
        </w:rPr>
      </w:pPr>
    </w:p>
    <w:p w14:paraId="26C2997E" w14:textId="77777777" w:rsidR="00147D71" w:rsidRDefault="00147D71" w:rsidP="000B2650">
      <w:pPr>
        <w:pStyle w:val="Default"/>
        <w:ind w:left="851" w:right="-2"/>
        <w:rPr>
          <w:i/>
          <w:iCs/>
          <w:lang w:val="da-DK"/>
        </w:rPr>
      </w:pPr>
      <w:r>
        <w:rPr>
          <w:i/>
          <w:iCs/>
          <w:lang w:val="da-DK"/>
        </w:rPr>
        <w:t>Biotransformation</w:t>
      </w:r>
    </w:p>
    <w:p w14:paraId="12874108" w14:textId="7906EF1C" w:rsidR="00147D71" w:rsidRDefault="00147D71" w:rsidP="000B2650">
      <w:pPr>
        <w:pStyle w:val="Default"/>
        <w:ind w:left="851" w:right="-2"/>
        <w:rPr>
          <w:lang w:val="da-DK"/>
        </w:rPr>
      </w:pPr>
      <w:r>
        <w:rPr>
          <w:lang w:val="da-DK"/>
        </w:rPr>
        <w:t>Sitagliptin metaboliseres i mindre grad og elimineres primært uændret i urinen. Ca. 79</w:t>
      </w:r>
      <w:r w:rsidR="00DF7C99">
        <w:rPr>
          <w:lang w:val="da-DK"/>
        </w:rPr>
        <w:t xml:space="preserve"> %</w:t>
      </w:r>
      <w:r>
        <w:rPr>
          <w:lang w:val="da-DK"/>
        </w:rPr>
        <w:t xml:space="preserve"> af sitagliptin udskilles uændret i urinen.</w:t>
      </w:r>
    </w:p>
    <w:p w14:paraId="69D6839B" w14:textId="77777777" w:rsidR="00147D71" w:rsidRDefault="00147D71" w:rsidP="000B2650">
      <w:pPr>
        <w:pStyle w:val="Default"/>
        <w:ind w:left="851" w:right="-2"/>
        <w:rPr>
          <w:lang w:val="da-DK"/>
        </w:rPr>
      </w:pPr>
    </w:p>
    <w:p w14:paraId="6583B7E2" w14:textId="727D3346" w:rsidR="00147D71" w:rsidRDefault="00147D71" w:rsidP="000B2650">
      <w:pPr>
        <w:pStyle w:val="Default"/>
        <w:ind w:left="851" w:right="-2"/>
        <w:rPr>
          <w:lang w:val="da-DK"/>
        </w:rPr>
      </w:pPr>
      <w:r>
        <w:rPr>
          <w:lang w:val="da-DK"/>
        </w:rPr>
        <w:t>Efter en [</w:t>
      </w:r>
      <w:r>
        <w:rPr>
          <w:vertAlign w:val="superscript"/>
          <w:lang w:val="da-DK"/>
        </w:rPr>
        <w:t>14</w:t>
      </w:r>
      <w:r>
        <w:rPr>
          <w:lang w:val="da-DK"/>
        </w:rPr>
        <w:t>C] oral sitagliptin-dosis udskiltes ca. 16</w:t>
      </w:r>
      <w:r w:rsidR="00DF7C99">
        <w:rPr>
          <w:lang w:val="da-DK"/>
        </w:rPr>
        <w:t xml:space="preserve"> %</w:t>
      </w:r>
      <w:r>
        <w:rPr>
          <w:lang w:val="da-DK"/>
        </w:rPr>
        <w:t xml:space="preserve"> af radioaktiviteten som sitagliptinmetabolitter. Seks metabolitter blev påvist på sporstofniveau og forventes ikke at bidrage til sitagliptins DPP-4-hæmmende aktivitet i plasma. </w:t>
      </w:r>
      <w:r>
        <w:rPr>
          <w:i/>
          <w:iCs/>
          <w:lang w:val="da-DK"/>
        </w:rPr>
        <w:t>In vitro</w:t>
      </w:r>
      <w:r>
        <w:rPr>
          <w:lang w:val="da-DK"/>
        </w:rPr>
        <w:t>-undersøgelser indikerede, at det enzym, der primært er ansvarlig for sitagliptins begrænsede metabolisering, er CYP3A4, med medvirken fra CYP2C8.</w:t>
      </w:r>
    </w:p>
    <w:p w14:paraId="09324C7F" w14:textId="77777777" w:rsidR="00147D71" w:rsidRDefault="00147D71" w:rsidP="000B2650">
      <w:pPr>
        <w:pStyle w:val="Default"/>
        <w:ind w:left="851" w:right="-2"/>
        <w:rPr>
          <w:lang w:val="da-DK"/>
        </w:rPr>
      </w:pPr>
    </w:p>
    <w:p w14:paraId="69AD4D1F" w14:textId="77777777" w:rsidR="00147D71" w:rsidRDefault="00147D71" w:rsidP="000B2650">
      <w:pPr>
        <w:pStyle w:val="Default"/>
        <w:ind w:left="851" w:right="-2"/>
        <w:rPr>
          <w:lang w:val="da-DK"/>
        </w:rPr>
      </w:pPr>
      <w:r>
        <w:rPr>
          <w:i/>
          <w:iCs/>
          <w:lang w:val="da-DK"/>
        </w:rPr>
        <w:t>In vitro</w:t>
      </w:r>
      <w:r>
        <w:rPr>
          <w:lang w:val="da-DK"/>
        </w:rPr>
        <w:t>-data viste, at sitagliptin ikke er en hæmmer af CYP-isozymerne CYP3A4, 2C8, 2C9, 2D6, 1A2, 2C19 eller 2B6, og det inducerer ikke CYP3A4 og CYP1A2.</w:t>
      </w:r>
    </w:p>
    <w:p w14:paraId="387485D0" w14:textId="77777777" w:rsidR="00147D71" w:rsidRDefault="00147D71" w:rsidP="000B2650">
      <w:pPr>
        <w:pStyle w:val="Default"/>
        <w:ind w:left="851" w:right="-2"/>
        <w:rPr>
          <w:lang w:val="da-DK"/>
        </w:rPr>
      </w:pPr>
    </w:p>
    <w:p w14:paraId="693E5773" w14:textId="77777777" w:rsidR="00147D71" w:rsidRDefault="00147D71" w:rsidP="000B2650">
      <w:pPr>
        <w:pStyle w:val="Default"/>
        <w:ind w:left="851" w:right="-2"/>
        <w:rPr>
          <w:i/>
          <w:iCs/>
          <w:lang w:val="da-DK"/>
        </w:rPr>
      </w:pPr>
      <w:r>
        <w:rPr>
          <w:i/>
          <w:iCs/>
          <w:lang w:val="da-DK"/>
        </w:rPr>
        <w:t>Elimination</w:t>
      </w:r>
    </w:p>
    <w:p w14:paraId="17ADBD48" w14:textId="38E68067" w:rsidR="00147D71" w:rsidRDefault="00147D71" w:rsidP="000B2650">
      <w:pPr>
        <w:pStyle w:val="Default"/>
        <w:ind w:left="851" w:right="-2"/>
        <w:rPr>
          <w:lang w:val="da-DK"/>
        </w:rPr>
      </w:pPr>
      <w:r>
        <w:rPr>
          <w:lang w:val="da-DK"/>
        </w:rPr>
        <w:t>Efter administration af en oral [</w:t>
      </w:r>
      <w:r>
        <w:rPr>
          <w:vertAlign w:val="superscript"/>
          <w:lang w:val="da-DK"/>
        </w:rPr>
        <w:t>14</w:t>
      </w:r>
      <w:r>
        <w:rPr>
          <w:lang w:val="da-DK"/>
        </w:rPr>
        <w:t>C] sitagliptindosis til raske forsøgspersoner elimineredes ca. 100</w:t>
      </w:r>
      <w:r w:rsidR="00DF7C99">
        <w:rPr>
          <w:lang w:val="da-DK"/>
        </w:rPr>
        <w:t xml:space="preserve"> %</w:t>
      </w:r>
      <w:r>
        <w:rPr>
          <w:lang w:val="da-DK"/>
        </w:rPr>
        <w:t xml:space="preserve"> af den administrerede radioaktivitet i fæces (13</w:t>
      </w:r>
      <w:r w:rsidR="00DF7C99">
        <w:rPr>
          <w:lang w:val="da-DK"/>
        </w:rPr>
        <w:t xml:space="preserve"> %</w:t>
      </w:r>
      <w:r>
        <w:rPr>
          <w:lang w:val="da-DK"/>
        </w:rPr>
        <w:t>) eller urin (87</w:t>
      </w:r>
      <w:r w:rsidR="00DF7C99">
        <w:rPr>
          <w:lang w:val="da-DK"/>
        </w:rPr>
        <w:t xml:space="preserve"> %</w:t>
      </w:r>
      <w:r>
        <w:rPr>
          <w:lang w:val="da-DK"/>
        </w:rPr>
        <w:t>) inden for en uge efter dosering. Den tilsyneladende terminale halveringstid (t</w:t>
      </w:r>
      <w:r>
        <w:rPr>
          <w:vertAlign w:val="subscript"/>
          <w:lang w:val="da-DK"/>
        </w:rPr>
        <w:t>½)</w:t>
      </w:r>
      <w:r>
        <w:rPr>
          <w:lang w:val="da-DK"/>
        </w:rPr>
        <w:t xml:space="preserve"> efter indgift af en 100 mg oral dosis sitagliptin var ca. 12,4 timer. Sitagliptin akkumuleres kun minimalt efter flere doser. Den renale clearance var ca. 350 ml/min.</w:t>
      </w:r>
    </w:p>
    <w:p w14:paraId="7F433936" w14:textId="77777777" w:rsidR="00147D71" w:rsidRDefault="00147D71" w:rsidP="000B2650">
      <w:pPr>
        <w:pStyle w:val="Default"/>
        <w:ind w:left="851" w:right="-2"/>
        <w:rPr>
          <w:lang w:val="da-DK"/>
        </w:rPr>
      </w:pPr>
    </w:p>
    <w:p w14:paraId="50F6C673" w14:textId="77777777" w:rsidR="00147D71" w:rsidRDefault="00147D71" w:rsidP="000B2650">
      <w:pPr>
        <w:pStyle w:val="Default"/>
        <w:ind w:left="851" w:right="-2"/>
        <w:rPr>
          <w:lang w:val="da-DK"/>
        </w:rPr>
      </w:pPr>
      <w:r>
        <w:rPr>
          <w:lang w:val="da-DK"/>
        </w:rPr>
        <w:t xml:space="preserve">Elimination af sitagliptin foregår primært via renal udskillelse og omfatter aktiv tubulær sekretion. Sitagliptin er et substrat for humant organisk aniontransporter-3 (hOAT-3), som kan være involveret i den renale elimination af sitagliptin. Den kliniske relevans af hOAT-3 i sitagliptin-transport er ikke fastslået. Sitagliptin er også et substrat for p-glykoprotein, som også kan være involveret i sitagliptins renale elimination. Ciclosporin, en p-glykoproteinhæmmer, reducerede dog ikke sitagliptins renale clearance. Sitagliptin er ikke et substrat for OCT2, OAT1 eller PEPT1/2 transportere. </w:t>
      </w:r>
      <w:r>
        <w:rPr>
          <w:i/>
          <w:iCs/>
          <w:lang w:val="da-DK"/>
        </w:rPr>
        <w:t xml:space="preserve">In vitro </w:t>
      </w:r>
      <w:r>
        <w:rPr>
          <w:lang w:val="da-DK"/>
        </w:rPr>
        <w:t>hæmmede sitagliptin ikke OAT3 (IC50=160 µM) eller p-glykoprotein (op til 250 µM) medieret transport ved terapeutisk relevante plasmakoncentrationer. I en klinisk undersøgelse havde sitagliptin en lille effekt på digoxinkoncentrationerne i plasma, hvilket tyder på, at sitagliptin kan være en svag hæmmer af p-glykoprotein.</w:t>
      </w:r>
    </w:p>
    <w:p w14:paraId="2628111B" w14:textId="77777777" w:rsidR="00147D71" w:rsidRDefault="00147D71" w:rsidP="000B2650">
      <w:pPr>
        <w:pStyle w:val="Default"/>
        <w:ind w:left="851" w:right="-2"/>
        <w:rPr>
          <w:lang w:val="da-DK"/>
        </w:rPr>
      </w:pPr>
    </w:p>
    <w:p w14:paraId="6A24FECA" w14:textId="77777777" w:rsidR="00147D71" w:rsidRDefault="00147D71" w:rsidP="000B2650">
      <w:pPr>
        <w:pStyle w:val="Default"/>
        <w:ind w:left="851" w:right="-2"/>
        <w:rPr>
          <w:i/>
          <w:iCs/>
          <w:lang w:val="da-DK"/>
        </w:rPr>
      </w:pPr>
      <w:r>
        <w:rPr>
          <w:i/>
          <w:iCs/>
          <w:lang w:val="da-DK"/>
        </w:rPr>
        <w:t>Patientkarakteristika</w:t>
      </w:r>
    </w:p>
    <w:p w14:paraId="284F7E40" w14:textId="0360FEC8" w:rsidR="00147D71" w:rsidRDefault="00147D71" w:rsidP="000B2650">
      <w:pPr>
        <w:pStyle w:val="Default"/>
        <w:ind w:left="851" w:right="-2"/>
        <w:rPr>
          <w:lang w:val="da-DK"/>
        </w:rPr>
      </w:pPr>
      <w:r>
        <w:rPr>
          <w:lang w:val="da-DK"/>
        </w:rPr>
        <w:t>Sitagliptins farmakokinetik var generelt den samme hos raske personer som hos patienter med type 2-diabetes.</w:t>
      </w:r>
    </w:p>
    <w:p w14:paraId="0CAB2230" w14:textId="77777777" w:rsidR="00147D71" w:rsidRDefault="00147D71" w:rsidP="000B2650">
      <w:pPr>
        <w:pStyle w:val="Default"/>
        <w:ind w:left="851" w:right="-2"/>
        <w:rPr>
          <w:lang w:val="da-DK"/>
        </w:rPr>
      </w:pPr>
    </w:p>
    <w:p w14:paraId="1C4B431D" w14:textId="77777777" w:rsidR="00147D71" w:rsidRDefault="00147D71" w:rsidP="000B2650">
      <w:pPr>
        <w:pStyle w:val="Default"/>
        <w:ind w:left="851" w:right="-2"/>
        <w:rPr>
          <w:i/>
          <w:iCs/>
          <w:lang w:val="da-DK"/>
        </w:rPr>
      </w:pPr>
      <w:r>
        <w:rPr>
          <w:i/>
          <w:iCs/>
          <w:lang w:val="da-DK"/>
        </w:rPr>
        <w:t>Nyreinsufficiens</w:t>
      </w:r>
    </w:p>
    <w:p w14:paraId="0E5A6171" w14:textId="77777777" w:rsidR="00147D71" w:rsidRDefault="00147D71" w:rsidP="000B2650">
      <w:pPr>
        <w:pStyle w:val="Default"/>
        <w:ind w:left="851" w:right="-2"/>
        <w:rPr>
          <w:lang w:val="da-DK"/>
        </w:rPr>
      </w:pPr>
      <w:r>
        <w:rPr>
          <w:lang w:val="da-DK"/>
        </w:rPr>
        <w:t>I en åben undersøgelse med enkeltdosis blev farmakokinetikken for en reduceret dosis sitagliptin (50 mg) vurderet hos patienter med varierende grader af kronisk nyreinsufficiens sammenlignet med normale raske kontrolpersoner. Undersøgelsen omfattede patienter med let, moderat og svær nyreinsufficiens samt patienter med ESRD i hæmodialyse. Derudover blev indvirkningen af nyreinsufficiens på sitagliptins farmakokinetik vurderet hos patienter med type 2-diabetes og let, moderat eller svær nyreinsufficiens (inklusive ESRD) ved hjælp af farmakokinetiske populationsanalyser.</w:t>
      </w:r>
    </w:p>
    <w:p w14:paraId="3C58DE7A" w14:textId="77777777" w:rsidR="00147D71" w:rsidRDefault="00147D71" w:rsidP="000B2650">
      <w:pPr>
        <w:pStyle w:val="Default"/>
        <w:ind w:left="851" w:right="-2"/>
        <w:rPr>
          <w:lang w:val="da-DK"/>
        </w:rPr>
      </w:pPr>
    </w:p>
    <w:p w14:paraId="385BD187" w14:textId="77777777" w:rsidR="00147D71" w:rsidRDefault="00147D71" w:rsidP="000B2650">
      <w:pPr>
        <w:pStyle w:val="Default"/>
        <w:ind w:left="851" w:right="-2"/>
        <w:rPr>
          <w:lang w:val="da-DK"/>
        </w:rPr>
      </w:pPr>
      <w:r>
        <w:rPr>
          <w:lang w:val="da-DK"/>
        </w:rPr>
        <w:t>Sammenlignet med normale raske kontrolpersoner steg sitagliptins plasma-AUC med henholdsvis ca. 1,2 gange og 1,6 gange hos patienter med let nyreinsufficiens (GFR ≥ 60 til &lt; 90 ml/min) og patienter med moderat nyreinsufficiens (GFR ≥ 45 til &lt; 60 ml/min). Dosisjustering er ikke nødvendig hos disse patienter, da stigninger i denne størrelsesorden ikke er klinisk relevante.</w:t>
      </w:r>
    </w:p>
    <w:p w14:paraId="3581EE67" w14:textId="77777777" w:rsidR="00147D71" w:rsidRDefault="00147D71" w:rsidP="000B2650">
      <w:pPr>
        <w:pStyle w:val="Default"/>
        <w:ind w:left="851" w:right="-2"/>
        <w:rPr>
          <w:lang w:val="da-DK"/>
        </w:rPr>
      </w:pPr>
    </w:p>
    <w:p w14:paraId="54A3AE66" w14:textId="01B79EA7" w:rsidR="00147D71" w:rsidRDefault="00147D71" w:rsidP="000B2650">
      <w:pPr>
        <w:pStyle w:val="Default"/>
        <w:ind w:left="851" w:right="-2"/>
        <w:rPr>
          <w:lang w:val="da-DK"/>
        </w:rPr>
      </w:pPr>
      <w:r>
        <w:rPr>
          <w:lang w:val="da-DK"/>
        </w:rPr>
        <w:t>Sitagliptins plasma-AUC steg med ca. det dobbelte hos patienter med moderat nyreinsufficiens (GFR ≥ 30 til &lt; 45 ml/min) og med ca. det firdobbelte hos patienter med svær nyreinsufficiens (GFR &lt; 30 ml/min), inklusive patienter med ESRD i hæmodialyse. Sitagliptin elimineredes moderat ved hæmodialyse (13,5</w:t>
      </w:r>
      <w:r w:rsidR="00DF7C99">
        <w:rPr>
          <w:lang w:val="da-DK"/>
        </w:rPr>
        <w:t xml:space="preserve"> %</w:t>
      </w:r>
      <w:r>
        <w:rPr>
          <w:lang w:val="da-DK"/>
        </w:rPr>
        <w:t xml:space="preserve"> over en 3-4 timers hæmodialysesession med start 4 timer efter dosering).</w:t>
      </w:r>
    </w:p>
    <w:p w14:paraId="266655C0" w14:textId="77777777" w:rsidR="00147D71" w:rsidRDefault="00147D71" w:rsidP="000B2650">
      <w:pPr>
        <w:pStyle w:val="Default"/>
        <w:ind w:left="851" w:right="-2"/>
        <w:rPr>
          <w:i/>
          <w:iCs/>
          <w:lang w:val="da-DK"/>
        </w:rPr>
      </w:pPr>
    </w:p>
    <w:p w14:paraId="3EF4604C" w14:textId="77777777" w:rsidR="00147D71" w:rsidRDefault="00147D71" w:rsidP="000B2650">
      <w:pPr>
        <w:pStyle w:val="Default"/>
        <w:ind w:left="851" w:right="-2"/>
        <w:rPr>
          <w:i/>
          <w:iCs/>
          <w:lang w:val="da-DK"/>
        </w:rPr>
      </w:pPr>
      <w:r>
        <w:rPr>
          <w:i/>
          <w:iCs/>
          <w:lang w:val="da-DK"/>
        </w:rPr>
        <w:t>Leverinsufficiens</w:t>
      </w:r>
    </w:p>
    <w:p w14:paraId="401F0A44" w14:textId="3B1AF8F3" w:rsidR="00147D71" w:rsidRDefault="00147D71" w:rsidP="000B2650">
      <w:pPr>
        <w:pStyle w:val="Default"/>
        <w:ind w:left="851" w:right="-2"/>
        <w:rPr>
          <w:lang w:val="da-DK"/>
        </w:rPr>
      </w:pPr>
      <w:r>
        <w:rPr>
          <w:lang w:val="da-DK"/>
        </w:rPr>
        <w:t>Dosisjustering af sitagliptin er ikke nødvendig hos patienter med let eller moderat leverinsufficiens (Child-Pugh score ≤ 9). Der er ingen klinisk erfaring fra patienter med svær leverinsufficiens (Child-Pugh score &gt; 9), men da sitagliptin primært elimineres renalt, forventes svær leverinsufficiens ikke at påvirke sitagliptins farmakokinetik.</w:t>
      </w:r>
    </w:p>
    <w:p w14:paraId="01D9B790" w14:textId="77777777" w:rsidR="00147D71" w:rsidRDefault="00147D71" w:rsidP="000B2650">
      <w:pPr>
        <w:pStyle w:val="Default"/>
        <w:ind w:left="851" w:right="-2"/>
        <w:rPr>
          <w:lang w:val="da-DK"/>
        </w:rPr>
      </w:pPr>
    </w:p>
    <w:p w14:paraId="1863AF29" w14:textId="77777777" w:rsidR="00147D71" w:rsidRDefault="00147D71" w:rsidP="000B2650">
      <w:pPr>
        <w:pStyle w:val="Default"/>
        <w:ind w:left="851" w:right="-2"/>
        <w:rPr>
          <w:i/>
          <w:iCs/>
          <w:lang w:val="da-DK"/>
        </w:rPr>
      </w:pPr>
      <w:r>
        <w:rPr>
          <w:i/>
          <w:iCs/>
          <w:lang w:val="da-DK"/>
        </w:rPr>
        <w:t>Ældre</w:t>
      </w:r>
    </w:p>
    <w:p w14:paraId="434372F1" w14:textId="5BFA7FB3" w:rsidR="00147D71" w:rsidRDefault="00147D71" w:rsidP="000B2650">
      <w:pPr>
        <w:pStyle w:val="Default"/>
        <w:ind w:left="851" w:right="-2"/>
        <w:rPr>
          <w:lang w:val="da-DK"/>
        </w:rPr>
      </w:pPr>
      <w:r>
        <w:rPr>
          <w:lang w:val="da-DK"/>
        </w:rPr>
        <w:t>Dosisjustering er ikke nødvendig på basis af alder. Alder havde ingen klinisk relevant indflydelse på sitagliptins farmakokinetik baseret på en farmakokinetisk populationsanalyse af fase I- og fase II-data. Ældre patienter (65-80 år) havde ca. 19</w:t>
      </w:r>
      <w:r w:rsidR="00DF7C99">
        <w:rPr>
          <w:lang w:val="da-DK"/>
        </w:rPr>
        <w:t xml:space="preserve"> %</w:t>
      </w:r>
      <w:r>
        <w:rPr>
          <w:lang w:val="da-DK"/>
        </w:rPr>
        <w:t xml:space="preserve"> højere sitagliptinplasmakoncentrationer sammenlignet med yngre patienter.</w:t>
      </w:r>
    </w:p>
    <w:p w14:paraId="0D9D5721" w14:textId="77777777" w:rsidR="00147D71" w:rsidRDefault="00147D71" w:rsidP="000B2650">
      <w:pPr>
        <w:pStyle w:val="Default"/>
        <w:ind w:left="851" w:right="-2"/>
        <w:rPr>
          <w:lang w:val="da-DK"/>
        </w:rPr>
      </w:pPr>
    </w:p>
    <w:p w14:paraId="68243CB7" w14:textId="77777777" w:rsidR="00147D71" w:rsidRDefault="00147D71" w:rsidP="000B2650">
      <w:pPr>
        <w:pStyle w:val="Default"/>
        <w:ind w:left="851" w:right="-2"/>
        <w:rPr>
          <w:i/>
          <w:iCs/>
          <w:lang w:val="da-DK"/>
        </w:rPr>
      </w:pPr>
      <w:r>
        <w:rPr>
          <w:i/>
          <w:iCs/>
          <w:lang w:val="da-DK"/>
        </w:rPr>
        <w:t>Pædiatrisk population</w:t>
      </w:r>
    </w:p>
    <w:p w14:paraId="513A2D5E" w14:textId="48CED86F" w:rsidR="00147D71" w:rsidRDefault="00147D71" w:rsidP="000B2650">
      <w:pPr>
        <w:pStyle w:val="Default"/>
        <w:ind w:left="851" w:right="-2"/>
        <w:rPr>
          <w:lang w:val="da-DK"/>
        </w:rPr>
      </w:pPr>
      <w:r>
        <w:rPr>
          <w:lang w:val="da-DK"/>
        </w:rPr>
        <w:t>Sitagliptins farmakokinetik (enkeltdosis på 50 mg, 100 mg eller 200 mg) blev undersøgt hos pædiatriske patienter (i alderen 10 til 17 år) med type 2-diabetes. I denne population var det dosisjusterede AUC for sitagliptin i plasma ca. 18</w:t>
      </w:r>
      <w:r w:rsidR="00DF7C99">
        <w:rPr>
          <w:lang w:val="da-DK"/>
        </w:rPr>
        <w:t xml:space="preserve"> %</w:t>
      </w:r>
      <w:r>
        <w:rPr>
          <w:lang w:val="da-DK"/>
        </w:rPr>
        <w:t xml:space="preserve"> lavere sammenlignet med voksne patienter med type 2-diabetes for en dosis på 100 mg. Der er ikke udført studier med sitagliptin hos pædiatriske patienter i alderen &lt; 10 år.</w:t>
      </w:r>
    </w:p>
    <w:p w14:paraId="3FEB56C6" w14:textId="77777777" w:rsidR="00147D71" w:rsidRDefault="00147D71" w:rsidP="000B2650">
      <w:pPr>
        <w:pStyle w:val="Default"/>
        <w:ind w:left="851" w:right="-2"/>
        <w:rPr>
          <w:lang w:val="da-DK"/>
        </w:rPr>
      </w:pPr>
    </w:p>
    <w:p w14:paraId="426CCBC9" w14:textId="77777777" w:rsidR="00147D71" w:rsidRDefault="00147D71" w:rsidP="000B2650">
      <w:pPr>
        <w:pStyle w:val="Default"/>
        <w:ind w:left="851" w:right="-2"/>
        <w:rPr>
          <w:i/>
          <w:iCs/>
          <w:lang w:val="da-DK"/>
        </w:rPr>
      </w:pPr>
      <w:r>
        <w:rPr>
          <w:i/>
          <w:iCs/>
          <w:lang w:val="da-DK"/>
        </w:rPr>
        <w:t>Andre patientkarakteristika</w:t>
      </w:r>
    </w:p>
    <w:p w14:paraId="62D2C066" w14:textId="77777777" w:rsidR="00147D71" w:rsidRDefault="00147D71" w:rsidP="000B2650">
      <w:pPr>
        <w:pStyle w:val="Default"/>
        <w:ind w:left="851" w:right="-2"/>
        <w:rPr>
          <w:lang w:val="da-DK"/>
        </w:rPr>
      </w:pPr>
      <w:r>
        <w:rPr>
          <w:lang w:val="da-DK"/>
        </w:rPr>
        <w:t>Dosisjustering er ikke nødvendig på basis af køn, race eller body mass index (BMI). Disse karakteristika havde ingen klinisk relevant virkning på sitagliptins farmakokinetik på basis af en sammensat analyse af fase I farmakokinetiske data og en farmakokinetisk populationsanalyse af fase I- og fase II-data.</w:t>
      </w:r>
    </w:p>
    <w:p w14:paraId="4A2BF5DA" w14:textId="77777777" w:rsidR="00147D71" w:rsidRDefault="00147D71" w:rsidP="000B2650">
      <w:pPr>
        <w:pStyle w:val="Default"/>
        <w:ind w:left="851" w:right="-2"/>
        <w:rPr>
          <w:lang w:val="da-DK"/>
        </w:rPr>
      </w:pPr>
    </w:p>
    <w:p w14:paraId="13837C26" w14:textId="77777777" w:rsidR="00147D71" w:rsidRDefault="00147D71" w:rsidP="000B2650">
      <w:pPr>
        <w:pStyle w:val="Default"/>
        <w:ind w:left="851" w:right="-2"/>
        <w:rPr>
          <w:u w:val="single"/>
          <w:lang w:val="da-DK"/>
        </w:rPr>
      </w:pPr>
      <w:r>
        <w:rPr>
          <w:u w:val="single"/>
          <w:lang w:val="da-DK"/>
        </w:rPr>
        <w:t>Metformin</w:t>
      </w:r>
    </w:p>
    <w:p w14:paraId="363E6A03" w14:textId="77777777" w:rsidR="00147D71" w:rsidRDefault="00147D71" w:rsidP="000B2650">
      <w:pPr>
        <w:pStyle w:val="Default"/>
        <w:ind w:left="851" w:right="-2"/>
        <w:rPr>
          <w:i/>
          <w:iCs/>
          <w:lang w:val="da-DK"/>
        </w:rPr>
      </w:pPr>
      <w:r>
        <w:rPr>
          <w:i/>
          <w:iCs/>
          <w:lang w:val="da-DK"/>
        </w:rPr>
        <w:t>Absorption</w:t>
      </w:r>
    </w:p>
    <w:p w14:paraId="1375D560" w14:textId="65933829" w:rsidR="00147D71" w:rsidRDefault="00147D71" w:rsidP="000B2650">
      <w:pPr>
        <w:pStyle w:val="Default"/>
        <w:ind w:left="851" w:right="-2"/>
        <w:rPr>
          <w:lang w:val="da-DK"/>
        </w:rPr>
      </w:pPr>
      <w:r>
        <w:rPr>
          <w:lang w:val="da-DK"/>
        </w:rPr>
        <w:t>Efter en oral dosis metformin nås T</w:t>
      </w:r>
      <w:r>
        <w:rPr>
          <w:vertAlign w:val="subscript"/>
          <w:lang w:val="da-DK"/>
        </w:rPr>
        <w:t>max</w:t>
      </w:r>
      <w:r>
        <w:rPr>
          <w:lang w:val="da-DK"/>
        </w:rPr>
        <w:t xml:space="preserve"> efter 2,5 timer. Absolut biotilgængelighed for en 500 mg metformintablet er ca. 50-60</w:t>
      </w:r>
      <w:r w:rsidR="00DF7C99">
        <w:rPr>
          <w:lang w:val="da-DK"/>
        </w:rPr>
        <w:t xml:space="preserve"> %</w:t>
      </w:r>
      <w:r>
        <w:rPr>
          <w:lang w:val="da-DK"/>
        </w:rPr>
        <w:t xml:space="preserve"> hos raske forsøgspersoner. Efter en oral dosis var den ikke- absorberede fraktion i fæces 20-30</w:t>
      </w:r>
      <w:r w:rsidR="00DF7C99">
        <w:rPr>
          <w:lang w:val="da-DK"/>
        </w:rPr>
        <w:t xml:space="preserve"> %</w:t>
      </w:r>
      <w:r>
        <w:rPr>
          <w:lang w:val="da-DK"/>
        </w:rPr>
        <w:t>.</w:t>
      </w:r>
    </w:p>
    <w:p w14:paraId="2A878703" w14:textId="77777777" w:rsidR="00147D71" w:rsidRDefault="00147D71" w:rsidP="000B2650">
      <w:pPr>
        <w:pStyle w:val="Default"/>
        <w:ind w:left="851" w:right="-2"/>
        <w:rPr>
          <w:lang w:val="da-DK"/>
        </w:rPr>
      </w:pPr>
    </w:p>
    <w:p w14:paraId="2C534E57" w14:textId="77777777" w:rsidR="00147D71" w:rsidRDefault="00147D71" w:rsidP="000B2650">
      <w:pPr>
        <w:pStyle w:val="Default"/>
        <w:ind w:left="851" w:right="-2"/>
        <w:rPr>
          <w:lang w:val="da-DK"/>
        </w:rPr>
      </w:pPr>
      <w:r>
        <w:rPr>
          <w:lang w:val="da-DK"/>
        </w:rPr>
        <w:t xml:space="preserve">Efter oral administration er absorptionen af metformin mættet og ufuldstændig. Det antages, at farmakokinetikken for metforminabsorption er non-lineær. Ved de normale metformindoser og doseringsregimer nås </w:t>
      </w:r>
      <w:r>
        <w:rPr>
          <w:i/>
          <w:iCs/>
          <w:lang w:val="da-DK"/>
        </w:rPr>
        <w:t>steady state</w:t>
      </w:r>
      <w:r>
        <w:rPr>
          <w:lang w:val="da-DK"/>
        </w:rPr>
        <w:t xml:space="preserve"> plasmakoncentrationer inden for 24-48 timer og er generelt under µg/ml. I kontrollerede kliniske forsøg oversteg metformins maksimale plasmakoncentrationer (C</w:t>
      </w:r>
      <w:r>
        <w:rPr>
          <w:vertAlign w:val="subscript"/>
          <w:lang w:val="da-DK"/>
        </w:rPr>
        <w:t>max</w:t>
      </w:r>
      <w:r>
        <w:rPr>
          <w:lang w:val="da-DK"/>
        </w:rPr>
        <w:t>) ikke 5 µg/ml, selv ved maksimale doser.</w:t>
      </w:r>
    </w:p>
    <w:p w14:paraId="12F127B1" w14:textId="77777777" w:rsidR="00147D71" w:rsidRDefault="00147D71" w:rsidP="000B2650">
      <w:pPr>
        <w:pStyle w:val="Default"/>
        <w:ind w:left="851" w:right="-2"/>
        <w:rPr>
          <w:lang w:val="da-DK"/>
        </w:rPr>
      </w:pPr>
    </w:p>
    <w:p w14:paraId="488C5ABC" w14:textId="5C028FDA" w:rsidR="00147D71" w:rsidRDefault="00147D71" w:rsidP="000B2650">
      <w:pPr>
        <w:pStyle w:val="Default"/>
        <w:ind w:left="851" w:right="-2"/>
        <w:rPr>
          <w:lang w:val="da-DK"/>
        </w:rPr>
      </w:pPr>
      <w:r>
        <w:rPr>
          <w:lang w:val="da-DK"/>
        </w:rPr>
        <w:t>Mad mindsker graden af og forsinker i mindre grad absorptionen af metformin. Efter administration af en dosis på 850 mg sås en 40</w:t>
      </w:r>
      <w:r w:rsidR="00DF7C99">
        <w:rPr>
          <w:lang w:val="da-DK"/>
        </w:rPr>
        <w:t xml:space="preserve"> %</w:t>
      </w:r>
      <w:r>
        <w:rPr>
          <w:lang w:val="da-DK"/>
        </w:rPr>
        <w:t xml:space="preserve"> lavere plasma peakkoncentration, 25</w:t>
      </w:r>
      <w:r w:rsidR="00DF7C99">
        <w:rPr>
          <w:lang w:val="da-DK"/>
        </w:rPr>
        <w:t xml:space="preserve"> %</w:t>
      </w:r>
      <w:r>
        <w:rPr>
          <w:lang w:val="da-DK"/>
        </w:rPr>
        <w:t xml:space="preserve"> fald i AUC og en forlængelse af tiden op til plasma peak-koncentration på 35 minutter. Klinisk relevans af dette fald er ukendt.</w:t>
      </w:r>
    </w:p>
    <w:p w14:paraId="4B81C94B" w14:textId="77777777" w:rsidR="00147D71" w:rsidRDefault="00147D71" w:rsidP="000B2650">
      <w:pPr>
        <w:pStyle w:val="Default"/>
        <w:ind w:left="851" w:right="-2"/>
        <w:rPr>
          <w:lang w:val="da-DK"/>
        </w:rPr>
      </w:pPr>
    </w:p>
    <w:p w14:paraId="4D142AC5" w14:textId="77777777" w:rsidR="00147D71" w:rsidRDefault="00147D71" w:rsidP="000B2650">
      <w:pPr>
        <w:pStyle w:val="Default"/>
        <w:ind w:left="851" w:right="-2"/>
        <w:rPr>
          <w:i/>
          <w:iCs/>
          <w:lang w:val="da-DK"/>
        </w:rPr>
      </w:pPr>
      <w:r>
        <w:rPr>
          <w:i/>
          <w:iCs/>
          <w:lang w:val="da-DK"/>
        </w:rPr>
        <w:t>Fordeling</w:t>
      </w:r>
    </w:p>
    <w:p w14:paraId="19B9B052" w14:textId="77777777" w:rsidR="00147D71" w:rsidRDefault="00147D71" w:rsidP="000B2650">
      <w:pPr>
        <w:pStyle w:val="Default"/>
        <w:ind w:left="851" w:right="-2"/>
        <w:rPr>
          <w:lang w:val="da-DK"/>
        </w:rPr>
      </w:pPr>
      <w:r>
        <w:rPr>
          <w:lang w:val="da-DK"/>
        </w:rPr>
        <w:t>Plasmaproteinbindingen er ubetydelig. Metformin fordeler sig i erytrocytter. Blodpeak er lavere end plasmapeak og fremkommer på ca. samme tidspunkt. De røde blodlegemer udgør sandsynligvis et sekundært fordelingsrum. Gennemsnitligt fordelingsvolumen (Vd) lå på 63-276 l.</w:t>
      </w:r>
    </w:p>
    <w:p w14:paraId="03ADEAB9" w14:textId="77777777" w:rsidR="00147D71" w:rsidRDefault="00147D71" w:rsidP="000B2650">
      <w:pPr>
        <w:pStyle w:val="Default"/>
        <w:ind w:left="851" w:right="-2"/>
        <w:rPr>
          <w:lang w:val="da-DK"/>
        </w:rPr>
      </w:pPr>
    </w:p>
    <w:p w14:paraId="42125FC6" w14:textId="77777777" w:rsidR="00147D71" w:rsidRDefault="00147D71" w:rsidP="000B2650">
      <w:pPr>
        <w:pStyle w:val="Default"/>
        <w:ind w:left="851" w:right="-2"/>
        <w:rPr>
          <w:i/>
          <w:iCs/>
          <w:lang w:val="da-DK"/>
        </w:rPr>
      </w:pPr>
      <w:r>
        <w:rPr>
          <w:i/>
          <w:iCs/>
          <w:lang w:val="da-DK"/>
        </w:rPr>
        <w:t>Biotransformation</w:t>
      </w:r>
    </w:p>
    <w:p w14:paraId="55F0FAFB" w14:textId="77777777" w:rsidR="00147D71" w:rsidRDefault="00147D71" w:rsidP="000B2650">
      <w:pPr>
        <w:pStyle w:val="Default"/>
        <w:ind w:left="851" w:right="-2"/>
        <w:rPr>
          <w:lang w:val="da-DK"/>
        </w:rPr>
      </w:pPr>
      <w:r>
        <w:rPr>
          <w:lang w:val="da-DK"/>
        </w:rPr>
        <w:t>Metformin udskilles uændret i urinen. Der er ikke fundet metabolitter hos mennesker.</w:t>
      </w:r>
    </w:p>
    <w:p w14:paraId="18D95709" w14:textId="77777777" w:rsidR="00147D71" w:rsidRDefault="00147D71" w:rsidP="000B2650">
      <w:pPr>
        <w:pStyle w:val="Default"/>
        <w:ind w:left="851" w:right="-2"/>
        <w:rPr>
          <w:lang w:val="da-DK"/>
        </w:rPr>
      </w:pPr>
    </w:p>
    <w:p w14:paraId="64ECC4AA" w14:textId="77777777" w:rsidR="00147D71" w:rsidRDefault="00147D71" w:rsidP="000B2650">
      <w:pPr>
        <w:pStyle w:val="Default"/>
        <w:ind w:left="851" w:right="-2"/>
        <w:rPr>
          <w:i/>
          <w:iCs/>
          <w:lang w:val="da-DK"/>
        </w:rPr>
      </w:pPr>
      <w:r>
        <w:rPr>
          <w:i/>
          <w:iCs/>
          <w:lang w:val="da-DK"/>
        </w:rPr>
        <w:t>Elimination</w:t>
      </w:r>
    </w:p>
    <w:p w14:paraId="6A41AA23" w14:textId="77777777" w:rsidR="00147D71" w:rsidRDefault="00147D71" w:rsidP="000B2650">
      <w:pPr>
        <w:pStyle w:val="Default"/>
        <w:ind w:left="851" w:right="-2"/>
        <w:rPr>
          <w:lang w:val="da-DK"/>
        </w:rPr>
      </w:pPr>
      <w:r>
        <w:rPr>
          <w:lang w:val="da-DK"/>
        </w:rPr>
        <w:t>Metformins renale clearance er &gt; 400 ml/min, hvilket tyder på, at metformin elimineres ved glomerulær filtration og tubulær sekretion. Efter en oral dosis ser den terminale halveringstid ud til at være ca. 6,5 timer. Når nyrefunktionen er nedsat, er renal clearance nedsat i forhold til kreatinins, og derfor er halveringstiden for elimination forlænget, hvilket fører til øget plasmakoncentration af metformin.</w:t>
      </w:r>
    </w:p>
    <w:p w14:paraId="12D6034F" w14:textId="77777777" w:rsidR="009260DE" w:rsidRPr="00C84483" w:rsidRDefault="009260DE" w:rsidP="009260DE">
      <w:pPr>
        <w:tabs>
          <w:tab w:val="left" w:pos="851"/>
        </w:tabs>
        <w:ind w:left="851"/>
        <w:rPr>
          <w:sz w:val="24"/>
          <w:szCs w:val="24"/>
        </w:rPr>
      </w:pPr>
    </w:p>
    <w:p w14:paraId="3749B242" w14:textId="264F4EEE"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A64350">
        <w:rPr>
          <w:b/>
          <w:sz w:val="24"/>
          <w:szCs w:val="24"/>
        </w:rPr>
        <w:t>Non-</w:t>
      </w:r>
      <w:r w:rsidRPr="00C84483">
        <w:rPr>
          <w:b/>
          <w:sz w:val="24"/>
          <w:szCs w:val="24"/>
        </w:rPr>
        <w:t>kliniske sikkerhedsdata</w:t>
      </w:r>
    </w:p>
    <w:p w14:paraId="3C0FBABD" w14:textId="2F3A06DF" w:rsidR="00147D71" w:rsidRDefault="00147D71" w:rsidP="000B2650">
      <w:pPr>
        <w:pStyle w:val="Default"/>
        <w:ind w:left="851" w:right="-2"/>
        <w:rPr>
          <w:lang w:val="da-DK"/>
        </w:rPr>
      </w:pPr>
      <w:r>
        <w:rPr>
          <w:lang w:val="da-DK"/>
        </w:rPr>
        <w:t xml:space="preserve">Der er ikke udført dyreforsøg med </w:t>
      </w:r>
      <w:r w:rsidR="001A122E">
        <w:rPr>
          <w:lang w:val="da-DK"/>
        </w:rPr>
        <w:t>Sitagliptin/Metformin "Grindeks"</w:t>
      </w:r>
      <w:r>
        <w:rPr>
          <w:lang w:val="da-DK"/>
        </w:rPr>
        <w:t>.</w:t>
      </w:r>
    </w:p>
    <w:p w14:paraId="427BBAFA" w14:textId="77777777" w:rsidR="00147D71" w:rsidRDefault="00147D71" w:rsidP="000B2650">
      <w:pPr>
        <w:pStyle w:val="Default"/>
        <w:ind w:left="851" w:right="-2"/>
        <w:rPr>
          <w:lang w:val="da-DK"/>
        </w:rPr>
      </w:pPr>
    </w:p>
    <w:p w14:paraId="1FC0EC41" w14:textId="35430BDB" w:rsidR="00147D71" w:rsidRDefault="00147D71" w:rsidP="000B2650">
      <w:pPr>
        <w:pStyle w:val="Default"/>
        <w:ind w:left="851" w:right="-2"/>
        <w:rPr>
          <w:lang w:val="da-DK"/>
        </w:rPr>
      </w:pPr>
      <w:r>
        <w:rPr>
          <w:lang w:val="da-DK"/>
        </w:rPr>
        <w:t>I 16-ugers undersøgelser, hvor hunde blev behandlet med enten metformin alene eller en kombination af metformin og sitagliptin, sås ikke øget toksicitet med kombinations</w:t>
      </w:r>
      <w:r w:rsidR="007621EC">
        <w:rPr>
          <w:lang w:val="da-DK"/>
        </w:rPr>
        <w:softHyphen/>
      </w:r>
      <w:r>
        <w:rPr>
          <w:lang w:val="da-DK"/>
        </w:rPr>
        <w:t>behandlingen. No-effect-niveauet i disse undersøgelser blev observeret ved eksponeringer over for sitagliptin og metformin, der var henholdsvis ca. 6 og 2,5 gange højere end hos mennesker.</w:t>
      </w:r>
    </w:p>
    <w:p w14:paraId="47342E83" w14:textId="77777777" w:rsidR="00147D71" w:rsidRDefault="00147D71" w:rsidP="000B2650">
      <w:pPr>
        <w:pStyle w:val="Default"/>
        <w:ind w:left="851" w:right="-2"/>
        <w:rPr>
          <w:lang w:val="da-DK"/>
        </w:rPr>
      </w:pPr>
    </w:p>
    <w:p w14:paraId="37E93A92" w14:textId="77777777" w:rsidR="00147D71" w:rsidRDefault="00147D71" w:rsidP="000B2650">
      <w:pPr>
        <w:pStyle w:val="Default"/>
        <w:ind w:left="851" w:right="-2"/>
        <w:rPr>
          <w:lang w:val="da-DK"/>
        </w:rPr>
      </w:pPr>
      <w:r>
        <w:rPr>
          <w:lang w:val="da-DK"/>
        </w:rPr>
        <w:t>Følgende data er baseret på fund i undersøgelser, der er udført med sitagliptin og metformin hver for sig.</w:t>
      </w:r>
    </w:p>
    <w:p w14:paraId="0978CADC" w14:textId="77777777" w:rsidR="00147D71" w:rsidRDefault="00147D71" w:rsidP="000B2650">
      <w:pPr>
        <w:pStyle w:val="Default"/>
        <w:ind w:left="851" w:right="-2"/>
        <w:rPr>
          <w:lang w:val="da-DK"/>
        </w:rPr>
      </w:pPr>
    </w:p>
    <w:p w14:paraId="7A0B08E6" w14:textId="77777777" w:rsidR="00147D71" w:rsidRDefault="00147D71" w:rsidP="000B2650">
      <w:pPr>
        <w:pStyle w:val="Default"/>
        <w:ind w:left="851" w:right="-2"/>
        <w:rPr>
          <w:u w:val="single"/>
          <w:lang w:val="da-DK"/>
        </w:rPr>
      </w:pPr>
      <w:r>
        <w:rPr>
          <w:u w:val="single"/>
          <w:lang w:val="da-DK"/>
        </w:rPr>
        <w:t>Sitagliptin</w:t>
      </w:r>
    </w:p>
    <w:p w14:paraId="14615B7D" w14:textId="2725679F" w:rsidR="00147D71" w:rsidRDefault="00147D71" w:rsidP="000B2650">
      <w:pPr>
        <w:pStyle w:val="Default"/>
        <w:ind w:left="851" w:right="-2"/>
        <w:rPr>
          <w:lang w:val="da-DK"/>
        </w:rPr>
      </w:pPr>
      <w:r>
        <w:rPr>
          <w:lang w:val="da-DK"/>
        </w:rPr>
        <w:t>Der blev observeret nyre- og levertoksicitet hos gnavere ved systemiske eksponerings</w:t>
      </w:r>
      <w:r w:rsidR="00DF7C99">
        <w:rPr>
          <w:lang w:val="da-DK"/>
        </w:rPr>
        <w:softHyphen/>
      </w:r>
      <w:r>
        <w:rPr>
          <w:lang w:val="da-DK"/>
        </w:rPr>
        <w:t>niveauer, der var 58 gange højere end eksponeringsniveauet hos mennesker, mens no-effect-niveauet fandtes ved et niveau, der var 19 gange højere end eksponeringsniveauet hos mennesker. Abnormiteter af fortænderne observeredes hos rotter ved en eksponering, der var 67 gange højere end det kliniske eksponeringsniveau. No-effect-niveauet for dette fund var 58 gange højere på basis af 14-ugers- rotteundersøgelsen. Relevansen af dette fund for mennesker er ukendt. Hos hunde er der ved et eksponeringsniveau på over 23 gange den kliniske eksponering observeret forbigående behandlingsrelaterede fysiske tegn. Nogle af disse tyder på neural toksicitet: Vejrtrækning med åben mund, spytafsondring, hvid skummende opkastning, ataksi, skælven, nedsat aktivitet og/eller krum stilling. Histologisk blev der desuden observeret en meget let til let degeneration af skeletmuskulaturen ved doser svarende til en systemisk eksponering, der var ca. 23 gange højere end hos mennesker. No-effect-niveauet for disse fund var til stede ved en eksponering, der var 6 gange højere end den kliniske eksponering.</w:t>
      </w:r>
    </w:p>
    <w:p w14:paraId="75FF8EAB" w14:textId="77777777" w:rsidR="00147D71" w:rsidRDefault="00147D71" w:rsidP="000B2650">
      <w:pPr>
        <w:pStyle w:val="Default"/>
        <w:ind w:left="851" w:right="-2"/>
        <w:rPr>
          <w:lang w:val="da-DK"/>
        </w:rPr>
      </w:pPr>
    </w:p>
    <w:p w14:paraId="6811222A" w14:textId="77777777" w:rsidR="00147D71" w:rsidRDefault="00147D71" w:rsidP="000B2650">
      <w:pPr>
        <w:pStyle w:val="Default"/>
        <w:ind w:left="851" w:right="-2"/>
        <w:rPr>
          <w:lang w:val="da-DK"/>
        </w:rPr>
      </w:pPr>
      <w:r>
        <w:rPr>
          <w:lang w:val="da-DK"/>
        </w:rPr>
        <w:t>Non-kliniske studier har ikke vist, at sitagliptin er genotoksisk. Sitagliptin var ikke karcinogent hos mus. Hos rotter var der en øget forekomst af hepatiske adenomer og carcinomer ved en systemisk eksponering, der var 58 gange højere end eksponeringen hos mennesker. Eftersom hepatotoksicitet har vist sig at korrelere med induktion af hepatisk neoplasi hos rotter, var denne øgede forekomst af hepatiske tumorer sandsynligvis sekundær til kronisk hepatisk toksicitet ved denne høje dosis. På grund af den høje sikkerhedsmargin (19 gange på dette no-effect-niveau), anses disse neoplastiske ændringer ikke som relevante for situationen hos mennesker.</w:t>
      </w:r>
    </w:p>
    <w:p w14:paraId="7458A2C3" w14:textId="77777777" w:rsidR="00147D71" w:rsidRDefault="00147D71" w:rsidP="000B2650">
      <w:pPr>
        <w:pStyle w:val="Default"/>
        <w:ind w:left="851" w:right="-2"/>
        <w:rPr>
          <w:lang w:val="da-DK"/>
        </w:rPr>
      </w:pPr>
    </w:p>
    <w:p w14:paraId="0768F633" w14:textId="77777777" w:rsidR="00147D71" w:rsidRDefault="00147D71" w:rsidP="000B2650">
      <w:pPr>
        <w:pStyle w:val="Default"/>
        <w:ind w:left="851" w:right="-2"/>
        <w:rPr>
          <w:lang w:val="da-DK"/>
        </w:rPr>
      </w:pPr>
      <w:r>
        <w:rPr>
          <w:lang w:val="da-DK"/>
        </w:rPr>
        <w:t>Der blev ikke observeret behandlingsrelaterede bivirkninger i fertiliteten hos han- og hunrotter, der blev behandlet med sitagliptin før og under parringsperioden.</w:t>
      </w:r>
    </w:p>
    <w:p w14:paraId="60B9B09B" w14:textId="77777777" w:rsidR="00147D71" w:rsidRDefault="00147D71" w:rsidP="000B2650">
      <w:pPr>
        <w:pStyle w:val="Default"/>
        <w:ind w:left="851" w:right="-2"/>
        <w:rPr>
          <w:lang w:val="da-DK"/>
        </w:rPr>
      </w:pPr>
    </w:p>
    <w:p w14:paraId="4EB91F59" w14:textId="77777777" w:rsidR="00147D71" w:rsidRDefault="00147D71" w:rsidP="000B2650">
      <w:pPr>
        <w:pStyle w:val="Default"/>
        <w:ind w:left="851" w:right="-2"/>
        <w:rPr>
          <w:lang w:val="da-DK"/>
        </w:rPr>
      </w:pPr>
      <w:r>
        <w:rPr>
          <w:lang w:val="da-DK"/>
        </w:rPr>
        <w:t>Sitagliptin viste ingen bivirkninger i en præ- og postnatal udviklingsundersøgelse udført med rotter.</w:t>
      </w:r>
    </w:p>
    <w:p w14:paraId="2EF46888" w14:textId="77777777" w:rsidR="00147D71" w:rsidRDefault="00147D71" w:rsidP="000B2650">
      <w:pPr>
        <w:pStyle w:val="Default"/>
        <w:ind w:left="851" w:right="-2"/>
        <w:rPr>
          <w:lang w:val="da-DK"/>
        </w:rPr>
      </w:pPr>
    </w:p>
    <w:p w14:paraId="715B0305" w14:textId="77777777" w:rsidR="00147D71" w:rsidRDefault="00147D71" w:rsidP="000B2650">
      <w:pPr>
        <w:pStyle w:val="Default"/>
        <w:ind w:left="851" w:right="-2"/>
        <w:rPr>
          <w:lang w:val="da-DK"/>
        </w:rPr>
      </w:pPr>
      <w:r>
        <w:rPr>
          <w:lang w:val="da-DK"/>
        </w:rPr>
        <w:t>Reproduktive toksicitetsundersøgelser viste en let behandlingsrelateret øget forekomst af føtale ribbensdefekter (manglende, hypoplastiske og takkede ribben) hos rotteafkom ved en systemisk eksponering på mere end 29 gange eksponeringen hos mennesker. Maternel toksicitet sås hos kaniner ved eksponeringsniveauer på mere end 29 gange eksponeringen hos mennesker. På grund af de høje sikkerhedsmargener tyder disse fund ikke på en relevant risiko for reproduktionen hos mennesker.</w:t>
      </w:r>
    </w:p>
    <w:p w14:paraId="4B8FB9F2" w14:textId="77777777" w:rsidR="00147D71" w:rsidRDefault="00147D71" w:rsidP="000B2650">
      <w:pPr>
        <w:pStyle w:val="Default"/>
        <w:ind w:left="851" w:right="-2"/>
        <w:rPr>
          <w:lang w:val="da-DK"/>
        </w:rPr>
      </w:pPr>
      <w:r>
        <w:rPr>
          <w:lang w:val="da-DK"/>
        </w:rPr>
        <w:t>Sitagliptin udskilles i betydelige mængder i modermælken hos diegivende rotter (mælk/plasma- ratio: 4:1).</w:t>
      </w:r>
    </w:p>
    <w:p w14:paraId="63DD5EBD" w14:textId="77777777" w:rsidR="00147D71" w:rsidRDefault="00147D71" w:rsidP="000B2650">
      <w:pPr>
        <w:pStyle w:val="Default"/>
        <w:ind w:left="851" w:right="-2"/>
        <w:rPr>
          <w:lang w:val="da-DK"/>
        </w:rPr>
      </w:pPr>
    </w:p>
    <w:p w14:paraId="3E887318" w14:textId="77777777" w:rsidR="00147D71" w:rsidRDefault="00147D71" w:rsidP="000B2650">
      <w:pPr>
        <w:pStyle w:val="Default"/>
        <w:ind w:left="851" w:right="-2"/>
        <w:rPr>
          <w:u w:val="single"/>
          <w:lang w:val="da-DK"/>
        </w:rPr>
      </w:pPr>
      <w:r>
        <w:rPr>
          <w:u w:val="single"/>
          <w:lang w:val="da-DK"/>
        </w:rPr>
        <w:t>Metformin</w:t>
      </w:r>
    </w:p>
    <w:p w14:paraId="13B431EB" w14:textId="77777777" w:rsidR="00147D71" w:rsidRDefault="00147D71" w:rsidP="000B2650">
      <w:pPr>
        <w:pStyle w:val="Default"/>
        <w:ind w:left="851" w:right="-2"/>
        <w:rPr>
          <w:lang w:val="da-DK"/>
        </w:rPr>
      </w:pPr>
      <w:r>
        <w:rPr>
          <w:lang w:val="da-DK"/>
        </w:rPr>
        <w:t>Non-kliniske data for metformin viser ingen særlig risiko for mennesker vurderet ud fra konventionelle studier af sikkerhedsfarmakologi, toksicitet efter gentagne doser, genotoksicitet, karcinogent potentiale samt reproduktionstoksicitet.</w:t>
      </w:r>
    </w:p>
    <w:p w14:paraId="72EBA146" w14:textId="77777777" w:rsidR="009260DE" w:rsidRPr="00C84483" w:rsidRDefault="009260DE" w:rsidP="009260DE">
      <w:pPr>
        <w:tabs>
          <w:tab w:val="left" w:pos="851"/>
        </w:tabs>
        <w:ind w:left="851"/>
        <w:rPr>
          <w:sz w:val="24"/>
          <w:szCs w:val="24"/>
        </w:rPr>
      </w:pPr>
    </w:p>
    <w:p w14:paraId="5496F7B5" w14:textId="77777777" w:rsidR="009260DE" w:rsidRPr="00C84483" w:rsidRDefault="009260DE" w:rsidP="009260DE">
      <w:pPr>
        <w:tabs>
          <w:tab w:val="left" w:pos="851"/>
        </w:tabs>
        <w:ind w:left="851"/>
        <w:rPr>
          <w:sz w:val="24"/>
          <w:szCs w:val="24"/>
        </w:rPr>
      </w:pPr>
    </w:p>
    <w:p w14:paraId="3EA9CF91"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38CCE56" w14:textId="77777777" w:rsidR="009260DE" w:rsidRPr="00BA09F1" w:rsidRDefault="009260DE" w:rsidP="009260DE">
      <w:pPr>
        <w:tabs>
          <w:tab w:val="left" w:pos="851"/>
        </w:tabs>
        <w:ind w:left="851"/>
        <w:rPr>
          <w:sz w:val="24"/>
          <w:szCs w:val="24"/>
        </w:rPr>
      </w:pPr>
    </w:p>
    <w:p w14:paraId="1BD478DC"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4318194" w14:textId="77777777" w:rsidR="001A122E" w:rsidRDefault="001A122E" w:rsidP="009C1069">
      <w:pPr>
        <w:pStyle w:val="Default"/>
        <w:ind w:left="851" w:right="-2"/>
        <w:rPr>
          <w:u w:val="single"/>
          <w:lang w:val="da-DK"/>
        </w:rPr>
      </w:pPr>
    </w:p>
    <w:p w14:paraId="25CC04FE" w14:textId="5220823F" w:rsidR="00147D71" w:rsidRPr="007621EC" w:rsidRDefault="00147D71" w:rsidP="009C1069">
      <w:pPr>
        <w:pStyle w:val="Default"/>
        <w:ind w:left="851" w:right="-2"/>
        <w:rPr>
          <w:u w:val="single"/>
          <w:lang w:val="da-DK"/>
        </w:rPr>
      </w:pPr>
      <w:r w:rsidRPr="007621EC">
        <w:rPr>
          <w:u w:val="single"/>
          <w:lang w:val="da-DK"/>
        </w:rPr>
        <w:t>Tabletkerne</w:t>
      </w:r>
    </w:p>
    <w:p w14:paraId="1EE83E92" w14:textId="77777777" w:rsidR="00147D71" w:rsidRPr="007621EC" w:rsidRDefault="00147D71" w:rsidP="009C1069">
      <w:pPr>
        <w:pStyle w:val="Default"/>
        <w:ind w:left="851" w:right="-2"/>
        <w:rPr>
          <w:lang w:val="da-DK"/>
        </w:rPr>
      </w:pPr>
      <w:r w:rsidRPr="007621EC">
        <w:rPr>
          <w:lang w:val="da-DK"/>
        </w:rPr>
        <w:t>Povidon</w:t>
      </w:r>
    </w:p>
    <w:p w14:paraId="4EB526A7" w14:textId="77777777" w:rsidR="00147D71" w:rsidRPr="007621EC" w:rsidRDefault="00147D71" w:rsidP="009C1069">
      <w:pPr>
        <w:pStyle w:val="Default"/>
        <w:ind w:left="851" w:right="-2"/>
        <w:rPr>
          <w:lang w:val="da-DK"/>
        </w:rPr>
      </w:pPr>
      <w:r w:rsidRPr="007621EC">
        <w:rPr>
          <w:lang w:val="da-DK"/>
        </w:rPr>
        <w:t xml:space="preserve">Natriumlaurilsulfat </w:t>
      </w:r>
    </w:p>
    <w:p w14:paraId="1698B6AD" w14:textId="77777777" w:rsidR="00147D71" w:rsidRPr="007621EC" w:rsidRDefault="00147D71" w:rsidP="009C1069">
      <w:pPr>
        <w:pStyle w:val="Default"/>
        <w:ind w:left="851" w:right="-2"/>
        <w:rPr>
          <w:lang w:val="da-DK"/>
        </w:rPr>
      </w:pPr>
      <w:r w:rsidRPr="007621EC">
        <w:rPr>
          <w:lang w:val="da-DK"/>
        </w:rPr>
        <w:t xml:space="preserve">Mikrokrystallinsk cellulose </w:t>
      </w:r>
    </w:p>
    <w:p w14:paraId="7BA4D4CC" w14:textId="77777777" w:rsidR="00147D71" w:rsidRPr="007621EC" w:rsidRDefault="00147D71" w:rsidP="009C1069">
      <w:pPr>
        <w:pStyle w:val="Default"/>
        <w:ind w:left="851" w:right="-2"/>
        <w:rPr>
          <w:lang w:val="da-DK"/>
        </w:rPr>
      </w:pPr>
      <w:r w:rsidRPr="007621EC">
        <w:rPr>
          <w:lang w:val="da-DK"/>
        </w:rPr>
        <w:t>Natriumstearylfumarat</w:t>
      </w:r>
    </w:p>
    <w:p w14:paraId="7D84A106" w14:textId="77777777" w:rsidR="00147D71" w:rsidRPr="007621EC" w:rsidRDefault="00147D71" w:rsidP="009C1069">
      <w:pPr>
        <w:pStyle w:val="Default"/>
        <w:ind w:left="851" w:right="-2"/>
        <w:rPr>
          <w:lang w:val="da-DK"/>
        </w:rPr>
      </w:pPr>
    </w:p>
    <w:p w14:paraId="64225A64" w14:textId="77777777" w:rsidR="00147D71" w:rsidRPr="007621EC" w:rsidRDefault="00147D71" w:rsidP="009C1069">
      <w:pPr>
        <w:pStyle w:val="Default"/>
        <w:ind w:left="851" w:right="-2"/>
        <w:rPr>
          <w:lang w:val="da-DK"/>
        </w:rPr>
      </w:pPr>
      <w:r w:rsidRPr="007621EC">
        <w:rPr>
          <w:u w:val="single"/>
          <w:lang w:val="da-DK"/>
        </w:rPr>
        <w:t>Filmovertræk</w:t>
      </w:r>
      <w:r w:rsidRPr="007621EC">
        <w:rPr>
          <w:lang w:val="da-DK"/>
        </w:rPr>
        <w:t xml:space="preserve"> </w:t>
      </w:r>
    </w:p>
    <w:p w14:paraId="14F287DF" w14:textId="77777777" w:rsidR="00147D71" w:rsidRPr="007621EC" w:rsidRDefault="00147D71" w:rsidP="009C1069">
      <w:pPr>
        <w:ind w:left="851"/>
        <w:jc w:val="both"/>
        <w:rPr>
          <w:sz w:val="24"/>
          <w:szCs w:val="24"/>
        </w:rPr>
      </w:pPr>
      <w:r w:rsidRPr="007621EC">
        <w:rPr>
          <w:i/>
          <w:sz w:val="24"/>
          <w:szCs w:val="24"/>
        </w:rPr>
        <w:t>50 mg/850 mg tabletter:</w:t>
      </w:r>
      <w:r w:rsidRPr="007621EC">
        <w:rPr>
          <w:sz w:val="24"/>
          <w:szCs w:val="24"/>
        </w:rPr>
        <w:t xml:space="preserve"> </w:t>
      </w:r>
    </w:p>
    <w:p w14:paraId="37532BD0" w14:textId="77777777" w:rsidR="00147D71" w:rsidRPr="007621EC" w:rsidRDefault="00147D71" w:rsidP="009C1069">
      <w:pPr>
        <w:pStyle w:val="Default"/>
        <w:tabs>
          <w:tab w:val="left" w:pos="567"/>
        </w:tabs>
        <w:ind w:left="851" w:right="-2"/>
        <w:rPr>
          <w:color w:val="auto"/>
          <w:lang w:val="da-DK"/>
        </w:rPr>
      </w:pPr>
      <w:r w:rsidRPr="007621EC">
        <w:rPr>
          <w:color w:val="auto"/>
          <w:lang w:val="da-DK"/>
        </w:rPr>
        <w:t xml:space="preserve">Macrogol </w:t>
      </w:r>
      <w:r w:rsidRPr="007621EC">
        <w:rPr>
          <w:color w:val="auto"/>
          <w:shd w:val="clear" w:color="auto" w:fill="FFFFFF"/>
          <w:lang w:val="da-DK"/>
        </w:rPr>
        <w:t>polyethylenglycol podet på polyvinylalkohol (E1209)</w:t>
      </w:r>
    </w:p>
    <w:p w14:paraId="0CC48E14" w14:textId="77777777" w:rsidR="00147D71" w:rsidRPr="007621EC" w:rsidRDefault="00147D71" w:rsidP="009C1069">
      <w:pPr>
        <w:pStyle w:val="Default"/>
        <w:tabs>
          <w:tab w:val="left" w:pos="567"/>
        </w:tabs>
        <w:ind w:left="851" w:right="-2"/>
      </w:pPr>
      <w:r w:rsidRPr="007621EC">
        <w:t xml:space="preserve">Talcum (E553b) </w:t>
      </w:r>
    </w:p>
    <w:p w14:paraId="6B8B3BA0" w14:textId="77777777" w:rsidR="00147D71" w:rsidRPr="007621EC" w:rsidRDefault="00147D71" w:rsidP="009C1069">
      <w:pPr>
        <w:pStyle w:val="Default"/>
        <w:tabs>
          <w:tab w:val="left" w:pos="567"/>
        </w:tabs>
        <w:ind w:left="851" w:right="-2"/>
      </w:pPr>
      <w:r w:rsidRPr="007621EC">
        <w:t xml:space="preserve">Titandioxid (E171) </w:t>
      </w:r>
    </w:p>
    <w:p w14:paraId="577B6954" w14:textId="77777777" w:rsidR="00147D71" w:rsidRPr="007621EC" w:rsidRDefault="00147D71" w:rsidP="009C1069">
      <w:pPr>
        <w:tabs>
          <w:tab w:val="left" w:pos="567"/>
        </w:tabs>
        <w:adjustRightInd w:val="0"/>
        <w:ind w:left="851"/>
        <w:rPr>
          <w:rFonts w:eastAsia="TimesNewRoman"/>
          <w:sz w:val="24"/>
          <w:szCs w:val="24"/>
          <w:lang w:val="en-US" w:eastAsia="lv-LV"/>
        </w:rPr>
      </w:pPr>
      <w:r w:rsidRPr="007621EC">
        <w:rPr>
          <w:rFonts w:eastAsia="TimesNewRoman"/>
          <w:sz w:val="24"/>
          <w:szCs w:val="24"/>
          <w:lang w:val="en-US" w:eastAsia="lv-LV"/>
        </w:rPr>
        <w:t>Glycerol monocaprylocaprat (E471)</w:t>
      </w:r>
    </w:p>
    <w:p w14:paraId="34848D43" w14:textId="77777777" w:rsidR="00147D71" w:rsidRPr="007621EC" w:rsidRDefault="00147D71" w:rsidP="009C1069">
      <w:pPr>
        <w:tabs>
          <w:tab w:val="left" w:pos="567"/>
        </w:tabs>
        <w:adjustRightInd w:val="0"/>
        <w:ind w:left="851"/>
        <w:rPr>
          <w:rFonts w:eastAsia="TimesNewRoman"/>
          <w:sz w:val="24"/>
          <w:szCs w:val="24"/>
          <w:lang w:eastAsia="lv-LV"/>
        </w:rPr>
      </w:pPr>
      <w:r w:rsidRPr="007621EC">
        <w:rPr>
          <w:rFonts w:eastAsia="TimesNewRoman"/>
          <w:sz w:val="24"/>
          <w:szCs w:val="24"/>
          <w:lang w:eastAsia="lv-LV"/>
        </w:rPr>
        <w:t>Poly(vinylalkohol) (E1203)</w:t>
      </w:r>
    </w:p>
    <w:p w14:paraId="5C2C23B2" w14:textId="77777777" w:rsidR="00147D71" w:rsidRPr="007621EC" w:rsidRDefault="00147D71" w:rsidP="009C1069">
      <w:pPr>
        <w:tabs>
          <w:tab w:val="left" w:pos="567"/>
        </w:tabs>
        <w:adjustRightInd w:val="0"/>
        <w:ind w:left="851"/>
        <w:rPr>
          <w:rFonts w:eastAsia="TimesNewRoman"/>
          <w:sz w:val="24"/>
          <w:szCs w:val="24"/>
          <w:lang w:eastAsia="lv-LV"/>
        </w:rPr>
      </w:pPr>
      <w:r w:rsidRPr="007621EC">
        <w:rPr>
          <w:rFonts w:eastAsia="TimesNewRoman"/>
          <w:sz w:val="24"/>
          <w:szCs w:val="24"/>
          <w:lang w:eastAsia="lv-LV"/>
        </w:rPr>
        <w:t xml:space="preserve">Gul </w:t>
      </w:r>
      <w:r w:rsidRPr="007621EC">
        <w:rPr>
          <w:sz w:val="24"/>
          <w:szCs w:val="24"/>
        </w:rPr>
        <w:t>jernoxid</w:t>
      </w:r>
      <w:r w:rsidRPr="007621EC">
        <w:rPr>
          <w:rFonts w:eastAsia="TimesNewRoman"/>
          <w:sz w:val="24"/>
          <w:szCs w:val="24"/>
          <w:lang w:eastAsia="lv-LV"/>
        </w:rPr>
        <w:t xml:space="preserve"> (E172)</w:t>
      </w:r>
    </w:p>
    <w:p w14:paraId="6B42687A" w14:textId="658C5B5B" w:rsidR="007621EC" w:rsidRPr="00D45E98" w:rsidRDefault="00147D71" w:rsidP="00D45E98">
      <w:pPr>
        <w:pStyle w:val="Default"/>
        <w:tabs>
          <w:tab w:val="left" w:pos="567"/>
        </w:tabs>
        <w:ind w:left="851" w:right="-2"/>
        <w:rPr>
          <w:lang w:val="da-DK"/>
        </w:rPr>
      </w:pPr>
      <w:r w:rsidRPr="007621EC">
        <w:rPr>
          <w:lang w:val="da-DK"/>
        </w:rPr>
        <w:t xml:space="preserve">Rød jernoxid (E172) </w:t>
      </w:r>
      <w:bookmarkStart w:id="0" w:name="_GoBack"/>
      <w:bookmarkEnd w:id="0"/>
    </w:p>
    <w:p w14:paraId="471185A6" w14:textId="77777777" w:rsidR="00147D71" w:rsidRPr="007621EC" w:rsidRDefault="00147D71" w:rsidP="009C1069">
      <w:pPr>
        <w:pStyle w:val="Default"/>
        <w:ind w:left="851" w:right="-2"/>
        <w:rPr>
          <w:lang w:val="da-DK"/>
        </w:rPr>
      </w:pPr>
    </w:p>
    <w:p w14:paraId="6DAEFF23" w14:textId="77777777" w:rsidR="00147D71" w:rsidRPr="007621EC" w:rsidRDefault="00147D71" w:rsidP="009C1069">
      <w:pPr>
        <w:ind w:left="851"/>
        <w:jc w:val="both"/>
        <w:rPr>
          <w:sz w:val="24"/>
          <w:szCs w:val="24"/>
        </w:rPr>
      </w:pPr>
      <w:r w:rsidRPr="007621EC">
        <w:rPr>
          <w:i/>
          <w:sz w:val="24"/>
          <w:szCs w:val="24"/>
        </w:rPr>
        <w:t>50 mg/1000 mg tabletter:</w:t>
      </w:r>
      <w:r w:rsidRPr="007621EC">
        <w:rPr>
          <w:sz w:val="24"/>
          <w:szCs w:val="24"/>
        </w:rPr>
        <w:t xml:space="preserve"> </w:t>
      </w:r>
    </w:p>
    <w:p w14:paraId="6D7ED46D" w14:textId="77777777" w:rsidR="00147D71" w:rsidRPr="007621EC" w:rsidRDefault="00147D71" w:rsidP="009C1069">
      <w:pPr>
        <w:pStyle w:val="Default"/>
        <w:tabs>
          <w:tab w:val="left" w:pos="567"/>
        </w:tabs>
        <w:ind w:left="851" w:right="-2"/>
        <w:rPr>
          <w:color w:val="auto"/>
          <w:lang w:val="da-DK"/>
        </w:rPr>
      </w:pPr>
      <w:r w:rsidRPr="007621EC">
        <w:rPr>
          <w:color w:val="auto"/>
          <w:lang w:val="da-DK"/>
        </w:rPr>
        <w:t xml:space="preserve">Macrogol </w:t>
      </w:r>
      <w:r w:rsidRPr="007621EC">
        <w:rPr>
          <w:color w:val="auto"/>
          <w:shd w:val="clear" w:color="auto" w:fill="FFFFFF"/>
          <w:lang w:val="da-DK"/>
        </w:rPr>
        <w:t>polyethylenglycol podet på polyvinylalkohol (E1209)</w:t>
      </w:r>
    </w:p>
    <w:p w14:paraId="35A85D66" w14:textId="77777777" w:rsidR="00147D71" w:rsidRPr="007621EC" w:rsidRDefault="00147D71" w:rsidP="009C1069">
      <w:pPr>
        <w:pStyle w:val="Default"/>
        <w:tabs>
          <w:tab w:val="left" w:pos="567"/>
        </w:tabs>
        <w:ind w:left="851" w:right="-2"/>
      </w:pPr>
      <w:r w:rsidRPr="007621EC">
        <w:t xml:space="preserve">Talcum (E553b) </w:t>
      </w:r>
    </w:p>
    <w:p w14:paraId="1713D904" w14:textId="77777777" w:rsidR="00147D71" w:rsidRPr="007621EC" w:rsidRDefault="00147D71" w:rsidP="009C1069">
      <w:pPr>
        <w:pStyle w:val="Default"/>
        <w:tabs>
          <w:tab w:val="left" w:pos="567"/>
        </w:tabs>
        <w:ind w:left="851" w:right="-2"/>
      </w:pPr>
      <w:r w:rsidRPr="007621EC">
        <w:t xml:space="preserve">Titandioxid (E171) </w:t>
      </w:r>
    </w:p>
    <w:p w14:paraId="6F792273" w14:textId="77777777" w:rsidR="00147D71" w:rsidRPr="007621EC" w:rsidRDefault="00147D71" w:rsidP="009C1069">
      <w:pPr>
        <w:tabs>
          <w:tab w:val="left" w:pos="567"/>
        </w:tabs>
        <w:adjustRightInd w:val="0"/>
        <w:ind w:left="851"/>
        <w:rPr>
          <w:rFonts w:eastAsia="TimesNewRoman"/>
          <w:sz w:val="24"/>
          <w:szCs w:val="24"/>
          <w:lang w:val="en-US" w:eastAsia="lv-LV"/>
        </w:rPr>
      </w:pPr>
      <w:r w:rsidRPr="007621EC">
        <w:rPr>
          <w:rFonts w:eastAsia="TimesNewRoman"/>
          <w:sz w:val="24"/>
          <w:szCs w:val="24"/>
          <w:lang w:val="en-US" w:eastAsia="lv-LV"/>
        </w:rPr>
        <w:t>Glycerol monocaprylocaprat (E471)</w:t>
      </w:r>
    </w:p>
    <w:p w14:paraId="152B983B" w14:textId="77777777" w:rsidR="00147D71" w:rsidRPr="007621EC" w:rsidRDefault="00147D71" w:rsidP="009C1069">
      <w:pPr>
        <w:tabs>
          <w:tab w:val="left" w:pos="567"/>
        </w:tabs>
        <w:adjustRightInd w:val="0"/>
        <w:ind w:left="851"/>
        <w:rPr>
          <w:rFonts w:eastAsia="TimesNewRoman"/>
          <w:sz w:val="24"/>
          <w:szCs w:val="24"/>
          <w:lang w:eastAsia="lv-LV"/>
        </w:rPr>
      </w:pPr>
      <w:r w:rsidRPr="007621EC">
        <w:rPr>
          <w:rFonts w:eastAsia="TimesNewRoman"/>
          <w:sz w:val="24"/>
          <w:szCs w:val="24"/>
          <w:lang w:eastAsia="lv-LV"/>
        </w:rPr>
        <w:t>Poly(vinylalkohol) (E1203)</w:t>
      </w:r>
    </w:p>
    <w:p w14:paraId="447BCC0D" w14:textId="77777777" w:rsidR="00147D71" w:rsidRPr="007621EC" w:rsidRDefault="00147D71" w:rsidP="009C1069">
      <w:pPr>
        <w:pStyle w:val="Default"/>
        <w:tabs>
          <w:tab w:val="left" w:pos="567"/>
        </w:tabs>
        <w:ind w:left="851" w:right="-2"/>
        <w:rPr>
          <w:lang w:val="da-DK"/>
        </w:rPr>
      </w:pPr>
      <w:r w:rsidRPr="007621EC">
        <w:rPr>
          <w:lang w:val="da-DK"/>
        </w:rPr>
        <w:t xml:space="preserve">Rød jernoxid (E172) </w:t>
      </w:r>
    </w:p>
    <w:p w14:paraId="5C4FE68A" w14:textId="77777777" w:rsidR="00147D71" w:rsidRPr="007621EC" w:rsidRDefault="00147D71" w:rsidP="009C1069">
      <w:pPr>
        <w:tabs>
          <w:tab w:val="left" w:pos="567"/>
        </w:tabs>
        <w:adjustRightInd w:val="0"/>
        <w:ind w:left="851"/>
        <w:rPr>
          <w:rFonts w:eastAsia="TimesNewRoman"/>
          <w:sz w:val="24"/>
          <w:szCs w:val="24"/>
          <w:lang w:eastAsia="lv-LV"/>
        </w:rPr>
      </w:pPr>
      <w:r w:rsidRPr="007621EC">
        <w:rPr>
          <w:rFonts w:eastAsia="TimesNewRoman"/>
          <w:sz w:val="24"/>
          <w:szCs w:val="24"/>
          <w:lang w:eastAsia="lv-LV"/>
        </w:rPr>
        <w:t xml:space="preserve">Gul </w:t>
      </w:r>
      <w:r w:rsidRPr="007621EC">
        <w:rPr>
          <w:sz w:val="24"/>
          <w:szCs w:val="24"/>
        </w:rPr>
        <w:t>jernoxid</w:t>
      </w:r>
      <w:r w:rsidRPr="007621EC">
        <w:rPr>
          <w:rFonts w:eastAsia="TimesNewRoman"/>
          <w:sz w:val="24"/>
          <w:szCs w:val="24"/>
          <w:lang w:eastAsia="lv-LV"/>
        </w:rPr>
        <w:t xml:space="preserve"> (E172)</w:t>
      </w:r>
    </w:p>
    <w:p w14:paraId="004C117B" w14:textId="77777777" w:rsidR="00147D71" w:rsidRPr="007621EC" w:rsidRDefault="00147D71" w:rsidP="009C1069">
      <w:pPr>
        <w:pStyle w:val="Default"/>
        <w:tabs>
          <w:tab w:val="left" w:pos="567"/>
        </w:tabs>
        <w:ind w:left="851" w:right="-2"/>
        <w:rPr>
          <w:lang w:val="da-DK"/>
        </w:rPr>
      </w:pPr>
      <w:r w:rsidRPr="007621EC">
        <w:rPr>
          <w:lang w:val="da-DK"/>
        </w:rPr>
        <w:t>Sort jernoxid (E172)</w:t>
      </w:r>
    </w:p>
    <w:p w14:paraId="01B8C3A2" w14:textId="77777777" w:rsidR="009260DE" w:rsidRPr="007621EC" w:rsidRDefault="009260DE" w:rsidP="009260DE">
      <w:pPr>
        <w:tabs>
          <w:tab w:val="left" w:pos="851"/>
        </w:tabs>
        <w:ind w:left="851"/>
        <w:rPr>
          <w:sz w:val="24"/>
          <w:szCs w:val="24"/>
        </w:rPr>
      </w:pPr>
    </w:p>
    <w:p w14:paraId="2835DC0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D5FE952" w14:textId="77777777" w:rsidR="00147D71" w:rsidRDefault="00147D71" w:rsidP="009C1069">
      <w:pPr>
        <w:pStyle w:val="Default"/>
        <w:ind w:left="851" w:right="-2"/>
        <w:rPr>
          <w:lang w:val="da-DK"/>
        </w:rPr>
      </w:pPr>
      <w:r>
        <w:rPr>
          <w:lang w:val="da-DK"/>
        </w:rPr>
        <w:t>Ikke relevant.</w:t>
      </w:r>
    </w:p>
    <w:p w14:paraId="0EA22933" w14:textId="77777777" w:rsidR="009260DE" w:rsidRPr="00C84483" w:rsidRDefault="009260DE" w:rsidP="009260DE">
      <w:pPr>
        <w:tabs>
          <w:tab w:val="left" w:pos="851"/>
        </w:tabs>
        <w:ind w:left="851"/>
        <w:rPr>
          <w:sz w:val="24"/>
          <w:szCs w:val="24"/>
        </w:rPr>
      </w:pPr>
    </w:p>
    <w:p w14:paraId="7E133788"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37CED5D" w14:textId="3A44EAAD" w:rsidR="00147D71" w:rsidRDefault="00147D71" w:rsidP="001A122E">
      <w:pPr>
        <w:pStyle w:val="Default"/>
        <w:ind w:right="-2" w:firstLine="851"/>
        <w:rPr>
          <w:lang w:val="da-DK"/>
        </w:rPr>
      </w:pPr>
      <w:r>
        <w:rPr>
          <w:lang w:val="da-DK"/>
        </w:rPr>
        <w:t>2 år.</w:t>
      </w:r>
    </w:p>
    <w:p w14:paraId="1DA3FDB8" w14:textId="77777777" w:rsidR="009260DE" w:rsidRPr="00C84483" w:rsidRDefault="009260DE" w:rsidP="009260DE">
      <w:pPr>
        <w:tabs>
          <w:tab w:val="left" w:pos="851"/>
        </w:tabs>
        <w:ind w:left="851"/>
        <w:rPr>
          <w:sz w:val="24"/>
          <w:szCs w:val="24"/>
        </w:rPr>
      </w:pPr>
    </w:p>
    <w:p w14:paraId="374935B0"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70E771BF" w14:textId="77777777" w:rsidR="00147D71" w:rsidRDefault="00147D71" w:rsidP="009C1069">
      <w:pPr>
        <w:pStyle w:val="Default"/>
        <w:ind w:left="851" w:right="-2"/>
        <w:rPr>
          <w:lang w:val="da-DK"/>
        </w:rPr>
      </w:pPr>
      <w:r>
        <w:rPr>
          <w:lang w:val="da-DK"/>
        </w:rPr>
        <w:t>Dette lægemiddel kræver ingen særlige forholdsregler vedrørende opbevaringen.</w:t>
      </w:r>
    </w:p>
    <w:p w14:paraId="4BC966F6" w14:textId="77777777" w:rsidR="009260DE" w:rsidRPr="00C84483" w:rsidRDefault="009260DE" w:rsidP="009260DE">
      <w:pPr>
        <w:tabs>
          <w:tab w:val="left" w:pos="851"/>
        </w:tabs>
        <w:ind w:left="851"/>
        <w:rPr>
          <w:sz w:val="24"/>
          <w:szCs w:val="24"/>
        </w:rPr>
      </w:pPr>
    </w:p>
    <w:p w14:paraId="087FD971" w14:textId="4B93C83E"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B98AEBA" w14:textId="77777777" w:rsidR="00147D71" w:rsidRDefault="00147D71" w:rsidP="009C1069">
      <w:pPr>
        <w:pStyle w:val="Default"/>
        <w:ind w:left="851" w:right="-2"/>
        <w:rPr>
          <w:lang w:val="da-DK"/>
        </w:rPr>
      </w:pPr>
      <w:r>
        <w:rPr>
          <w:lang w:val="da-DK"/>
        </w:rPr>
        <w:t>PVC/PVdC//Alu-blister.</w:t>
      </w:r>
    </w:p>
    <w:p w14:paraId="7B73D75B" w14:textId="77777777" w:rsidR="00147D71" w:rsidRDefault="00147D71" w:rsidP="009C1069">
      <w:pPr>
        <w:pStyle w:val="Default"/>
        <w:ind w:left="851" w:right="-2"/>
        <w:rPr>
          <w:lang w:val="da-DK"/>
        </w:rPr>
      </w:pPr>
    </w:p>
    <w:p w14:paraId="2619C153" w14:textId="6FEFBF32" w:rsidR="00147D71" w:rsidRDefault="00147D71" w:rsidP="009C1069">
      <w:pPr>
        <w:pStyle w:val="Default"/>
        <w:ind w:left="851" w:right="-2"/>
        <w:rPr>
          <w:lang w:val="da-DK"/>
        </w:rPr>
      </w:pPr>
      <w:r>
        <w:rPr>
          <w:lang w:val="da-DK"/>
        </w:rPr>
        <w:t>Pakningsstørrelser: 28, 56</w:t>
      </w:r>
      <w:r w:rsidR="00A64350">
        <w:rPr>
          <w:lang w:val="da-DK"/>
        </w:rPr>
        <w:t>, 98</w:t>
      </w:r>
      <w:r>
        <w:rPr>
          <w:lang w:val="da-DK"/>
        </w:rPr>
        <w:t xml:space="preserve"> filmovertrukne tabletter</w:t>
      </w:r>
      <w:r w:rsidR="00A64350">
        <w:rPr>
          <w:lang w:val="da-DK"/>
        </w:rPr>
        <w:t xml:space="preserve"> eller multipakning indeholdende 196 (2 pakninger á 98) filmovertrukne tabletter</w:t>
      </w:r>
      <w:r>
        <w:rPr>
          <w:lang w:val="da-DK"/>
        </w:rPr>
        <w:t>.</w:t>
      </w:r>
    </w:p>
    <w:p w14:paraId="451A60D9" w14:textId="77777777" w:rsidR="00147D71" w:rsidRDefault="00147D71" w:rsidP="009C1069">
      <w:pPr>
        <w:pStyle w:val="Default"/>
        <w:ind w:left="851" w:right="-2"/>
        <w:rPr>
          <w:lang w:val="da-DK"/>
        </w:rPr>
      </w:pPr>
    </w:p>
    <w:p w14:paraId="20023A8D" w14:textId="77777777" w:rsidR="00147D71" w:rsidRDefault="00147D71" w:rsidP="009C1069">
      <w:pPr>
        <w:pStyle w:val="Default"/>
        <w:ind w:left="851" w:right="-2"/>
        <w:rPr>
          <w:lang w:val="da-DK"/>
        </w:rPr>
      </w:pPr>
      <w:r>
        <w:rPr>
          <w:lang w:val="da-DK"/>
        </w:rPr>
        <w:t>Ikke alle pakningsstørrelser er nødvendigvis markedsført.</w:t>
      </w:r>
    </w:p>
    <w:p w14:paraId="508D32F7" w14:textId="77777777" w:rsidR="009260DE" w:rsidRPr="00C84483" w:rsidRDefault="009260DE" w:rsidP="009260DE">
      <w:pPr>
        <w:tabs>
          <w:tab w:val="left" w:pos="851"/>
        </w:tabs>
        <w:ind w:left="851"/>
        <w:rPr>
          <w:sz w:val="24"/>
          <w:szCs w:val="24"/>
        </w:rPr>
      </w:pPr>
    </w:p>
    <w:p w14:paraId="53E91462" w14:textId="06CDB209"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A64350">
        <w:rPr>
          <w:b/>
          <w:sz w:val="24"/>
          <w:szCs w:val="24"/>
        </w:rPr>
        <w:t>bortskaffelse</w:t>
      </w:r>
      <w:r w:rsidRPr="00C84483">
        <w:rPr>
          <w:b/>
          <w:sz w:val="24"/>
          <w:szCs w:val="24"/>
        </w:rPr>
        <w:t xml:space="preserve"> og anden håndtering</w:t>
      </w:r>
    </w:p>
    <w:p w14:paraId="562BEFB7" w14:textId="77777777" w:rsidR="00147D71" w:rsidRDefault="00147D71" w:rsidP="009C1069">
      <w:pPr>
        <w:pStyle w:val="Default"/>
        <w:ind w:left="851" w:right="-2"/>
        <w:rPr>
          <w:lang w:val="da-DK"/>
        </w:rPr>
      </w:pPr>
      <w:r>
        <w:rPr>
          <w:lang w:val="da-DK"/>
        </w:rPr>
        <w:t>Ikke anvendt lægemiddel samt affald heraf skal bortskaffes i henhold til lokale retningslinjer.</w:t>
      </w:r>
    </w:p>
    <w:p w14:paraId="6B5903CF" w14:textId="77777777" w:rsidR="009260DE" w:rsidRPr="00C84483" w:rsidRDefault="009260DE" w:rsidP="000730CA">
      <w:pPr>
        <w:tabs>
          <w:tab w:val="left" w:pos="851"/>
        </w:tabs>
        <w:ind w:left="851"/>
        <w:rPr>
          <w:sz w:val="24"/>
          <w:szCs w:val="24"/>
        </w:rPr>
      </w:pPr>
    </w:p>
    <w:p w14:paraId="50F40420"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BFD6933" w14:textId="77777777" w:rsidR="00147D71" w:rsidRPr="00147D71" w:rsidRDefault="00147D71" w:rsidP="009C1069">
      <w:pPr>
        <w:adjustRightInd w:val="0"/>
        <w:ind w:left="851"/>
        <w:jc w:val="both"/>
        <w:rPr>
          <w:color w:val="000000"/>
          <w:sz w:val="24"/>
          <w:szCs w:val="24"/>
          <w:lang w:eastAsia="lv-LV"/>
        </w:rPr>
      </w:pPr>
      <w:r w:rsidRPr="00147D71">
        <w:rPr>
          <w:color w:val="000000"/>
          <w:szCs w:val="24"/>
          <w:lang w:eastAsia="lv-LV"/>
        </w:rPr>
        <w:t>AS GRINDEKS.</w:t>
      </w:r>
    </w:p>
    <w:p w14:paraId="23B9AFA8" w14:textId="77777777" w:rsidR="00147D71" w:rsidRPr="00147D71" w:rsidRDefault="00147D71" w:rsidP="009C1069">
      <w:pPr>
        <w:adjustRightInd w:val="0"/>
        <w:ind w:left="851"/>
        <w:jc w:val="both"/>
        <w:rPr>
          <w:color w:val="000000"/>
          <w:szCs w:val="24"/>
          <w:lang w:eastAsia="lv-LV"/>
        </w:rPr>
      </w:pPr>
      <w:r w:rsidRPr="00147D71">
        <w:rPr>
          <w:color w:val="000000"/>
          <w:szCs w:val="24"/>
          <w:lang w:eastAsia="lv-LV"/>
        </w:rPr>
        <w:t>Krustpils iela 53</w:t>
      </w:r>
    </w:p>
    <w:p w14:paraId="2594899D" w14:textId="6042A62E" w:rsidR="00147D71" w:rsidRPr="00147D71" w:rsidRDefault="00147D71" w:rsidP="009C1069">
      <w:pPr>
        <w:adjustRightInd w:val="0"/>
        <w:ind w:left="851"/>
        <w:jc w:val="both"/>
        <w:rPr>
          <w:color w:val="000000"/>
          <w:szCs w:val="24"/>
          <w:lang w:eastAsia="lv-LV"/>
        </w:rPr>
      </w:pPr>
      <w:r w:rsidRPr="00147D71">
        <w:rPr>
          <w:color w:val="000000"/>
          <w:szCs w:val="24"/>
          <w:lang w:eastAsia="lv-LV"/>
        </w:rPr>
        <w:t>LV-1057</w:t>
      </w:r>
      <w:r w:rsidR="00B46AEA">
        <w:rPr>
          <w:color w:val="000000"/>
          <w:szCs w:val="24"/>
          <w:lang w:eastAsia="lv-LV"/>
        </w:rPr>
        <w:t xml:space="preserve"> </w:t>
      </w:r>
      <w:r w:rsidR="00B46AEA" w:rsidRPr="00147D71">
        <w:rPr>
          <w:color w:val="000000"/>
          <w:szCs w:val="24"/>
          <w:lang w:eastAsia="lv-LV"/>
        </w:rPr>
        <w:t>Rīga</w:t>
      </w:r>
    </w:p>
    <w:p w14:paraId="4E700DBF" w14:textId="77777777" w:rsidR="00147D71" w:rsidRPr="00147D71" w:rsidRDefault="00147D71" w:rsidP="009C1069">
      <w:pPr>
        <w:adjustRightInd w:val="0"/>
        <w:ind w:left="851"/>
        <w:jc w:val="both"/>
        <w:rPr>
          <w:color w:val="000000"/>
          <w:szCs w:val="24"/>
          <w:lang w:eastAsia="lv-LV"/>
        </w:rPr>
      </w:pPr>
      <w:r w:rsidRPr="00147D71">
        <w:rPr>
          <w:color w:val="000000"/>
          <w:szCs w:val="24"/>
          <w:lang w:eastAsia="lv-LV"/>
        </w:rPr>
        <w:t>Letland</w:t>
      </w:r>
    </w:p>
    <w:p w14:paraId="4134C00A" w14:textId="77777777" w:rsidR="009260DE" w:rsidRPr="00C84483" w:rsidRDefault="009260DE" w:rsidP="009260DE">
      <w:pPr>
        <w:tabs>
          <w:tab w:val="left" w:pos="851"/>
        </w:tabs>
        <w:ind w:left="851"/>
        <w:rPr>
          <w:sz w:val="24"/>
          <w:szCs w:val="24"/>
        </w:rPr>
      </w:pPr>
    </w:p>
    <w:p w14:paraId="1FB829CF" w14:textId="1C33BE51"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64350">
        <w:rPr>
          <w:b/>
          <w:sz w:val="24"/>
          <w:szCs w:val="24"/>
        </w:rPr>
        <w:t>-</w:t>
      </w:r>
      <w:r w:rsidRPr="00C84483">
        <w:rPr>
          <w:b/>
          <w:sz w:val="24"/>
          <w:szCs w:val="24"/>
        </w:rPr>
        <w:t>NUMRE)</w:t>
      </w:r>
    </w:p>
    <w:p w14:paraId="088E8B67" w14:textId="391A56DE" w:rsidR="00147D71" w:rsidRDefault="00147D71" w:rsidP="009C1069">
      <w:pPr>
        <w:pStyle w:val="Default"/>
        <w:tabs>
          <w:tab w:val="left" w:pos="2694"/>
        </w:tabs>
        <w:ind w:left="851" w:right="-2"/>
        <w:rPr>
          <w:lang w:val="da-DK"/>
        </w:rPr>
      </w:pPr>
      <w:r>
        <w:rPr>
          <w:lang w:val="da-DK"/>
        </w:rPr>
        <w:t>50 mg/850 mg</w:t>
      </w:r>
      <w:r w:rsidR="009C1069">
        <w:rPr>
          <w:lang w:val="da-DK"/>
        </w:rPr>
        <w:t>:</w:t>
      </w:r>
      <w:r>
        <w:rPr>
          <w:lang w:val="da-DK"/>
        </w:rPr>
        <w:t xml:space="preserve"> </w:t>
      </w:r>
      <w:r>
        <w:rPr>
          <w:lang w:val="da-DK"/>
        </w:rPr>
        <w:tab/>
        <w:t>65412</w:t>
      </w:r>
    </w:p>
    <w:p w14:paraId="5F86A1F8" w14:textId="48E93057" w:rsidR="00147D71" w:rsidRDefault="00147D71" w:rsidP="009C1069">
      <w:pPr>
        <w:pStyle w:val="Default"/>
        <w:tabs>
          <w:tab w:val="left" w:pos="2694"/>
        </w:tabs>
        <w:ind w:left="851" w:right="-2"/>
        <w:rPr>
          <w:lang w:val="da-DK"/>
        </w:rPr>
      </w:pPr>
      <w:r>
        <w:rPr>
          <w:lang w:val="da-DK"/>
        </w:rPr>
        <w:t>50 mg/1000 mg</w:t>
      </w:r>
      <w:r w:rsidR="009C1069">
        <w:rPr>
          <w:lang w:val="da-DK"/>
        </w:rPr>
        <w:t>:</w:t>
      </w:r>
      <w:r>
        <w:rPr>
          <w:lang w:val="da-DK"/>
        </w:rPr>
        <w:tab/>
        <w:t>65413</w:t>
      </w:r>
    </w:p>
    <w:p w14:paraId="6E6C0E0A" w14:textId="77777777" w:rsidR="009260DE" w:rsidRPr="00C84483" w:rsidRDefault="009260DE" w:rsidP="009260DE">
      <w:pPr>
        <w:tabs>
          <w:tab w:val="left" w:pos="851"/>
        </w:tabs>
        <w:ind w:left="851"/>
        <w:jc w:val="both"/>
        <w:rPr>
          <w:sz w:val="24"/>
          <w:szCs w:val="24"/>
        </w:rPr>
      </w:pPr>
    </w:p>
    <w:p w14:paraId="42638F3E"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07B0FE0" w14:textId="10F51DD7" w:rsidR="009260DE" w:rsidRPr="00C84483" w:rsidRDefault="00147D71" w:rsidP="009260DE">
      <w:pPr>
        <w:tabs>
          <w:tab w:val="left" w:pos="851"/>
        </w:tabs>
        <w:ind w:left="851"/>
        <w:rPr>
          <w:sz w:val="24"/>
          <w:szCs w:val="24"/>
        </w:rPr>
      </w:pPr>
      <w:r>
        <w:rPr>
          <w:sz w:val="24"/>
          <w:szCs w:val="24"/>
        </w:rPr>
        <w:t>4. februar 2022</w:t>
      </w:r>
    </w:p>
    <w:p w14:paraId="0C1CA965" w14:textId="77777777" w:rsidR="009260DE" w:rsidRPr="00C84483" w:rsidRDefault="009260DE" w:rsidP="009260DE">
      <w:pPr>
        <w:tabs>
          <w:tab w:val="left" w:pos="851"/>
        </w:tabs>
        <w:ind w:left="851"/>
        <w:rPr>
          <w:sz w:val="24"/>
          <w:szCs w:val="24"/>
        </w:rPr>
      </w:pPr>
    </w:p>
    <w:p w14:paraId="429B30D4"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6AD0FA4" w14:textId="0F38A41B" w:rsidR="009260DE" w:rsidRPr="00C84483" w:rsidRDefault="00D45E98" w:rsidP="009260DE">
      <w:pPr>
        <w:tabs>
          <w:tab w:val="left" w:pos="851"/>
        </w:tabs>
        <w:ind w:left="851"/>
        <w:rPr>
          <w:sz w:val="24"/>
          <w:szCs w:val="24"/>
        </w:rPr>
      </w:pPr>
      <w:r>
        <w:rPr>
          <w:sz w:val="24"/>
          <w:szCs w:val="24"/>
        </w:rPr>
        <w:t>18. december 2024</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4C62B" w14:textId="77777777" w:rsidR="00147D71" w:rsidRDefault="00147D71">
      <w:r>
        <w:separator/>
      </w:r>
    </w:p>
  </w:endnote>
  <w:endnote w:type="continuationSeparator" w:id="0">
    <w:p w14:paraId="36F1E097" w14:textId="77777777" w:rsidR="00147D71" w:rsidRDefault="0014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EE"/>
    <w:family w:val="auto"/>
    <w:notTrueType/>
    <w:pitch w:val="default"/>
    <w:sig w:usb0="00000007" w:usb1="08070000" w:usb2="00000010" w:usb3="00000000" w:csb0="00020003" w:csb1="00000000"/>
  </w:font>
  <w:font w:name="MathEx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E4BC2" w14:textId="77777777" w:rsidR="00147D71" w:rsidRDefault="00147D71">
    <w:pPr>
      <w:pStyle w:val="Sidefod"/>
      <w:pBdr>
        <w:bottom w:val="single" w:sz="6" w:space="1" w:color="auto"/>
      </w:pBdr>
    </w:pPr>
  </w:p>
  <w:p w14:paraId="327CFBF6" w14:textId="77777777" w:rsidR="00147D71" w:rsidRDefault="00147D71" w:rsidP="00C42586">
    <w:pPr>
      <w:pStyle w:val="Sidefod"/>
      <w:tabs>
        <w:tab w:val="clear" w:pos="4819"/>
        <w:tab w:val="left" w:pos="8505"/>
      </w:tabs>
      <w:rPr>
        <w:i/>
        <w:sz w:val="18"/>
        <w:szCs w:val="18"/>
      </w:rPr>
    </w:pPr>
  </w:p>
  <w:p w14:paraId="7FDAE5D4" w14:textId="3E64677D" w:rsidR="00147D71" w:rsidRPr="00B373D7" w:rsidRDefault="00147D7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621EC">
      <w:rPr>
        <w:i/>
        <w:noProof/>
        <w:sz w:val="18"/>
        <w:szCs w:val="18"/>
      </w:rPr>
      <w:t>Sitagliptin-Metformin Grindeks, filmovertrukne tabletter 50+850 mg og 50+1000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47A92" w14:textId="77777777" w:rsidR="00147D71" w:rsidRDefault="00147D71">
      <w:r>
        <w:separator/>
      </w:r>
    </w:p>
  </w:footnote>
  <w:footnote w:type="continuationSeparator" w:id="0">
    <w:p w14:paraId="577063DB" w14:textId="77777777" w:rsidR="00147D71" w:rsidRDefault="00147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5F8F"/>
    <w:multiLevelType w:val="hybridMultilevel"/>
    <w:tmpl w:val="B2DA0C82"/>
    <w:lvl w:ilvl="0" w:tplc="FFFFFFFF">
      <w:start w:val="1"/>
      <w:numFmt w:val="bullet"/>
      <w:lvlText w:val=""/>
      <w:lvlJc w:val="left"/>
      <w:pPr>
        <w:ind w:left="7019" w:hanging="392"/>
      </w:pPr>
      <w:rPr>
        <w:rFonts w:ascii="Symbol" w:hAnsi="Symbol" w:hint="default"/>
        <w:b w:val="0"/>
        <w:bCs w:val="0"/>
        <w:i w:val="0"/>
        <w:iCs w:val="0"/>
        <w:w w:val="100"/>
        <w:sz w:val="22"/>
        <w:szCs w:val="22"/>
        <w:lang w:eastAsia="en-US" w:bidi="ar-SA"/>
      </w:rPr>
    </w:lvl>
    <w:lvl w:ilvl="1" w:tplc="F48E9B06">
      <w:numFmt w:val="bullet"/>
      <w:lvlText w:val="-"/>
      <w:lvlJc w:val="left"/>
      <w:pPr>
        <w:ind w:left="1364" w:hanging="567"/>
      </w:pPr>
      <w:rPr>
        <w:rFonts w:ascii="Times New Roman" w:eastAsia="Times New Roman" w:hAnsi="Times New Roman" w:cs="Times New Roman" w:hint="default"/>
        <w:b w:val="0"/>
        <w:bCs w:val="0"/>
        <w:i w:val="0"/>
        <w:iCs w:val="0"/>
        <w:w w:val="128"/>
        <w:sz w:val="17"/>
        <w:szCs w:val="17"/>
        <w:lang w:eastAsia="en-US" w:bidi="ar-SA"/>
      </w:rPr>
    </w:lvl>
    <w:lvl w:ilvl="2" w:tplc="DE84EDE0">
      <w:numFmt w:val="bullet"/>
      <w:lvlText w:val="•"/>
      <w:lvlJc w:val="left"/>
      <w:pPr>
        <w:ind w:left="2266" w:hanging="567"/>
      </w:pPr>
      <w:rPr>
        <w:lang w:eastAsia="en-US" w:bidi="ar-SA"/>
      </w:rPr>
    </w:lvl>
    <w:lvl w:ilvl="3" w:tplc="2ED2B4A6">
      <w:numFmt w:val="bullet"/>
      <w:lvlText w:val="•"/>
      <w:lvlJc w:val="left"/>
      <w:pPr>
        <w:ind w:left="3173" w:hanging="567"/>
      </w:pPr>
      <w:rPr>
        <w:lang w:eastAsia="en-US" w:bidi="ar-SA"/>
      </w:rPr>
    </w:lvl>
    <w:lvl w:ilvl="4" w:tplc="EF8436F8">
      <w:numFmt w:val="bullet"/>
      <w:lvlText w:val="•"/>
      <w:lvlJc w:val="left"/>
      <w:pPr>
        <w:ind w:left="4080" w:hanging="567"/>
      </w:pPr>
      <w:rPr>
        <w:lang w:eastAsia="en-US" w:bidi="ar-SA"/>
      </w:rPr>
    </w:lvl>
    <w:lvl w:ilvl="5" w:tplc="39AE4496">
      <w:numFmt w:val="bullet"/>
      <w:lvlText w:val="•"/>
      <w:lvlJc w:val="left"/>
      <w:pPr>
        <w:ind w:left="4987" w:hanging="567"/>
      </w:pPr>
      <w:rPr>
        <w:lang w:eastAsia="en-US" w:bidi="ar-SA"/>
      </w:rPr>
    </w:lvl>
    <w:lvl w:ilvl="6" w:tplc="B56C66E8">
      <w:numFmt w:val="bullet"/>
      <w:lvlText w:val="•"/>
      <w:lvlJc w:val="left"/>
      <w:pPr>
        <w:ind w:left="5894" w:hanging="567"/>
      </w:pPr>
      <w:rPr>
        <w:lang w:eastAsia="en-US" w:bidi="ar-SA"/>
      </w:rPr>
    </w:lvl>
    <w:lvl w:ilvl="7" w:tplc="2FB8026E">
      <w:numFmt w:val="bullet"/>
      <w:lvlText w:val="•"/>
      <w:lvlJc w:val="left"/>
      <w:pPr>
        <w:ind w:left="6801" w:hanging="567"/>
      </w:pPr>
      <w:rPr>
        <w:lang w:eastAsia="en-US" w:bidi="ar-SA"/>
      </w:rPr>
    </w:lvl>
    <w:lvl w:ilvl="8" w:tplc="9AE846FE">
      <w:numFmt w:val="bullet"/>
      <w:lvlText w:val="•"/>
      <w:lvlJc w:val="left"/>
      <w:pPr>
        <w:ind w:left="7707" w:hanging="567"/>
      </w:pPr>
      <w:rPr>
        <w:lang w:eastAsia="en-US" w:bidi="ar-SA"/>
      </w:rPr>
    </w:lvl>
  </w:abstractNum>
  <w:abstractNum w:abstractNumId="1" w15:restartNumberingAfterBreak="0">
    <w:nsid w:val="0FBB3EB4"/>
    <w:multiLevelType w:val="hybridMultilevel"/>
    <w:tmpl w:val="821040B0"/>
    <w:lvl w:ilvl="0" w:tplc="26D4E68A">
      <w:numFmt w:val="bullet"/>
      <w:lvlText w:val="-"/>
      <w:lvlJc w:val="left"/>
      <w:pPr>
        <w:ind w:left="720" w:hanging="360"/>
      </w:pPr>
      <w:rPr>
        <w:rFonts w:ascii="Times New Roman" w:eastAsia="Times New Roman" w:hAnsi="Times New Roman" w:cs="Times New Roman" w:hint="default"/>
        <w:b w:val="0"/>
        <w:bCs w:val="0"/>
        <w:i w:val="0"/>
        <w:iCs w:val="0"/>
        <w:w w:val="128"/>
        <w:sz w:val="17"/>
        <w:szCs w:val="17"/>
        <w:lang w:val="fr-FR"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F37A03"/>
    <w:multiLevelType w:val="hybridMultilevel"/>
    <w:tmpl w:val="23D4D718"/>
    <w:lvl w:ilvl="0" w:tplc="26D4E68A">
      <w:numFmt w:val="bullet"/>
      <w:lvlText w:val="-"/>
      <w:lvlJc w:val="left"/>
      <w:pPr>
        <w:ind w:left="720" w:hanging="360"/>
      </w:pPr>
      <w:rPr>
        <w:rFonts w:ascii="Times New Roman" w:eastAsia="Times New Roman" w:hAnsi="Times New Roman" w:cs="Times New Roman" w:hint="default"/>
        <w:b w:val="0"/>
        <w:bCs w:val="0"/>
        <w:i w:val="0"/>
        <w:iCs w:val="0"/>
        <w:w w:val="128"/>
        <w:sz w:val="17"/>
        <w:szCs w:val="17"/>
        <w:lang w:val="fr-FR"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C1D01BD"/>
    <w:multiLevelType w:val="hybridMultilevel"/>
    <w:tmpl w:val="B9628828"/>
    <w:lvl w:ilvl="0" w:tplc="FFFFFFFF">
      <w:start w:val="1"/>
      <w:numFmt w:val="bullet"/>
      <w:lvlText w:val=""/>
      <w:lvlJc w:val="left"/>
      <w:pPr>
        <w:ind w:left="0" w:firstLine="0"/>
      </w:pPr>
      <w:rPr>
        <w:rFonts w:ascii="Symbol" w:hAnsi="Symbol" w:hint="default"/>
        <w:b w:val="0"/>
        <w:bCs w:val="0"/>
        <w:i w:val="0"/>
        <w:iCs w:val="0"/>
        <w:w w:val="100"/>
        <w:sz w:val="22"/>
        <w:szCs w:val="22"/>
        <w:lang w:eastAsia="en-US" w:bidi="ar-SA"/>
      </w:rPr>
    </w:lvl>
    <w:lvl w:ilvl="1" w:tplc="FFFFFFFF">
      <w:numFmt w:val="bullet"/>
      <w:lvlText w:val="-"/>
      <w:lvlJc w:val="left"/>
      <w:pPr>
        <w:ind w:left="1364" w:hanging="567"/>
      </w:pPr>
      <w:rPr>
        <w:rFonts w:ascii="Times New Roman" w:eastAsia="Times New Roman" w:hAnsi="Times New Roman" w:cs="Times New Roman" w:hint="default"/>
        <w:b w:val="0"/>
        <w:bCs w:val="0"/>
        <w:i w:val="0"/>
        <w:iCs w:val="0"/>
        <w:w w:val="128"/>
        <w:sz w:val="17"/>
        <w:szCs w:val="17"/>
        <w:lang w:eastAsia="en-US" w:bidi="ar-SA"/>
      </w:rPr>
    </w:lvl>
    <w:lvl w:ilvl="2" w:tplc="FFFFFFFF">
      <w:numFmt w:val="bullet"/>
      <w:lvlText w:val="•"/>
      <w:lvlJc w:val="left"/>
      <w:pPr>
        <w:ind w:left="2266" w:hanging="567"/>
      </w:pPr>
      <w:rPr>
        <w:lang w:eastAsia="en-US" w:bidi="ar-SA"/>
      </w:rPr>
    </w:lvl>
    <w:lvl w:ilvl="3" w:tplc="FFFFFFFF">
      <w:numFmt w:val="bullet"/>
      <w:lvlText w:val="•"/>
      <w:lvlJc w:val="left"/>
      <w:pPr>
        <w:ind w:left="3173" w:hanging="567"/>
      </w:pPr>
      <w:rPr>
        <w:lang w:eastAsia="en-US" w:bidi="ar-SA"/>
      </w:rPr>
    </w:lvl>
    <w:lvl w:ilvl="4" w:tplc="FFFFFFFF">
      <w:numFmt w:val="bullet"/>
      <w:lvlText w:val="•"/>
      <w:lvlJc w:val="left"/>
      <w:pPr>
        <w:ind w:left="4080" w:hanging="567"/>
      </w:pPr>
      <w:rPr>
        <w:lang w:eastAsia="en-US" w:bidi="ar-SA"/>
      </w:rPr>
    </w:lvl>
    <w:lvl w:ilvl="5" w:tplc="FFFFFFFF">
      <w:numFmt w:val="bullet"/>
      <w:lvlText w:val="•"/>
      <w:lvlJc w:val="left"/>
      <w:pPr>
        <w:ind w:left="4987" w:hanging="567"/>
      </w:pPr>
      <w:rPr>
        <w:lang w:eastAsia="en-US" w:bidi="ar-SA"/>
      </w:rPr>
    </w:lvl>
    <w:lvl w:ilvl="6" w:tplc="FFFFFFFF">
      <w:numFmt w:val="bullet"/>
      <w:lvlText w:val="•"/>
      <w:lvlJc w:val="left"/>
      <w:pPr>
        <w:ind w:left="5894" w:hanging="567"/>
      </w:pPr>
      <w:rPr>
        <w:lang w:eastAsia="en-US" w:bidi="ar-SA"/>
      </w:rPr>
    </w:lvl>
    <w:lvl w:ilvl="7" w:tplc="FFFFFFFF">
      <w:numFmt w:val="bullet"/>
      <w:lvlText w:val="•"/>
      <w:lvlJc w:val="left"/>
      <w:pPr>
        <w:ind w:left="6801" w:hanging="567"/>
      </w:pPr>
      <w:rPr>
        <w:lang w:eastAsia="en-US" w:bidi="ar-SA"/>
      </w:rPr>
    </w:lvl>
    <w:lvl w:ilvl="8" w:tplc="FFFFFFFF">
      <w:numFmt w:val="bullet"/>
      <w:lvlText w:val="•"/>
      <w:lvlJc w:val="left"/>
      <w:pPr>
        <w:ind w:left="7707" w:hanging="567"/>
      </w:pPr>
      <w:rPr>
        <w:lang w:eastAsia="en-US" w:bidi="ar-SA"/>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81"/>
    <w:rsid w:val="000259B9"/>
    <w:rsid w:val="00041491"/>
    <w:rsid w:val="00050D16"/>
    <w:rsid w:val="000730CA"/>
    <w:rsid w:val="00074F2A"/>
    <w:rsid w:val="000A1CA8"/>
    <w:rsid w:val="000A466B"/>
    <w:rsid w:val="000B058C"/>
    <w:rsid w:val="000B2650"/>
    <w:rsid w:val="000E4EE6"/>
    <w:rsid w:val="001454E2"/>
    <w:rsid w:val="00147D71"/>
    <w:rsid w:val="001A122E"/>
    <w:rsid w:val="00206CE8"/>
    <w:rsid w:val="0021526C"/>
    <w:rsid w:val="00283A2B"/>
    <w:rsid w:val="002B30AD"/>
    <w:rsid w:val="002C2C01"/>
    <w:rsid w:val="003A29AE"/>
    <w:rsid w:val="003A32D7"/>
    <w:rsid w:val="003B4074"/>
    <w:rsid w:val="003C769A"/>
    <w:rsid w:val="003F1838"/>
    <w:rsid w:val="00410876"/>
    <w:rsid w:val="0045746C"/>
    <w:rsid w:val="0049104B"/>
    <w:rsid w:val="004E3B12"/>
    <w:rsid w:val="00532310"/>
    <w:rsid w:val="00565F0F"/>
    <w:rsid w:val="00594A86"/>
    <w:rsid w:val="00596D86"/>
    <w:rsid w:val="005A5B0B"/>
    <w:rsid w:val="00637F5A"/>
    <w:rsid w:val="006560B1"/>
    <w:rsid w:val="006756DD"/>
    <w:rsid w:val="00737275"/>
    <w:rsid w:val="00740EEC"/>
    <w:rsid w:val="007621EC"/>
    <w:rsid w:val="0078011A"/>
    <w:rsid w:val="00782AF4"/>
    <w:rsid w:val="00790EE7"/>
    <w:rsid w:val="007B6649"/>
    <w:rsid w:val="007D5CAD"/>
    <w:rsid w:val="00801B0B"/>
    <w:rsid w:val="0082576E"/>
    <w:rsid w:val="008309FD"/>
    <w:rsid w:val="00876147"/>
    <w:rsid w:val="00907F75"/>
    <w:rsid w:val="009260DE"/>
    <w:rsid w:val="0093258A"/>
    <w:rsid w:val="00947A39"/>
    <w:rsid w:val="009C1069"/>
    <w:rsid w:val="009C7BA3"/>
    <w:rsid w:val="009D1F5A"/>
    <w:rsid w:val="00A10294"/>
    <w:rsid w:val="00A64350"/>
    <w:rsid w:val="00B003BF"/>
    <w:rsid w:val="00B373D7"/>
    <w:rsid w:val="00B46AEA"/>
    <w:rsid w:val="00C36276"/>
    <w:rsid w:val="00C42586"/>
    <w:rsid w:val="00C4549B"/>
    <w:rsid w:val="00C60CCD"/>
    <w:rsid w:val="00C84483"/>
    <w:rsid w:val="00C95551"/>
    <w:rsid w:val="00CB20D7"/>
    <w:rsid w:val="00CE7C13"/>
    <w:rsid w:val="00D020B0"/>
    <w:rsid w:val="00D11748"/>
    <w:rsid w:val="00D366CF"/>
    <w:rsid w:val="00D45E98"/>
    <w:rsid w:val="00D85B81"/>
    <w:rsid w:val="00DD3CE6"/>
    <w:rsid w:val="00DF7C99"/>
    <w:rsid w:val="00E108AA"/>
    <w:rsid w:val="00E13625"/>
    <w:rsid w:val="00E3749A"/>
    <w:rsid w:val="00E7437F"/>
    <w:rsid w:val="00E865B8"/>
    <w:rsid w:val="00EB4A64"/>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EBC803"/>
  <w15:chartTrackingRefBased/>
  <w15:docId w15:val="{0CBB72C5-D386-4450-891D-AE2A7C67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147D71"/>
    <w:pPr>
      <w:autoSpaceDE w:val="0"/>
      <w:autoSpaceDN w:val="0"/>
      <w:adjustRightInd w:val="0"/>
    </w:pPr>
    <w:rPr>
      <w:rFonts w:eastAsia="Calibri"/>
      <w:color w:val="000000"/>
      <w:sz w:val="24"/>
      <w:szCs w:val="24"/>
      <w:lang w:val="en-US" w:eastAsia="en-US"/>
    </w:rPr>
  </w:style>
  <w:style w:type="paragraph" w:styleId="Brdtekst">
    <w:name w:val="Body Text"/>
    <w:basedOn w:val="Normal"/>
    <w:link w:val="BrdtekstTegn"/>
    <w:uiPriority w:val="1"/>
    <w:semiHidden/>
    <w:unhideWhenUsed/>
    <w:qFormat/>
    <w:rsid w:val="00147D71"/>
    <w:pPr>
      <w:widowControl w:val="0"/>
      <w:autoSpaceDE w:val="0"/>
      <w:autoSpaceDN w:val="0"/>
    </w:pPr>
    <w:rPr>
      <w:sz w:val="17"/>
      <w:szCs w:val="17"/>
      <w:lang w:val="lv-LV"/>
    </w:rPr>
  </w:style>
  <w:style w:type="character" w:customStyle="1" w:styleId="BrdtekstTegn">
    <w:name w:val="Brødtekst Tegn"/>
    <w:basedOn w:val="Standardskrifttypeiafsnit"/>
    <w:link w:val="Brdtekst"/>
    <w:uiPriority w:val="1"/>
    <w:semiHidden/>
    <w:rsid w:val="00147D71"/>
    <w:rPr>
      <w:sz w:val="17"/>
      <w:szCs w:val="17"/>
      <w:lang w:val="lv-LV" w:eastAsia="en-US"/>
    </w:rPr>
  </w:style>
  <w:style w:type="paragraph" w:styleId="Listeafsnit">
    <w:name w:val="List Paragraph"/>
    <w:basedOn w:val="Normal"/>
    <w:uiPriority w:val="1"/>
    <w:qFormat/>
    <w:rsid w:val="00147D71"/>
    <w:pPr>
      <w:widowControl w:val="0"/>
      <w:autoSpaceDE w:val="0"/>
      <w:autoSpaceDN w:val="0"/>
      <w:ind w:left="795" w:hanging="568"/>
    </w:pPr>
    <w:rPr>
      <w:sz w:val="22"/>
      <w:szCs w:val="22"/>
      <w:lang w:val="lv-LV"/>
    </w:rPr>
  </w:style>
  <w:style w:type="character" w:styleId="Hyperlink">
    <w:name w:val="Hyperlink"/>
    <w:basedOn w:val="Standardskrifttypeiafsnit"/>
    <w:uiPriority w:val="99"/>
    <w:semiHidden/>
    <w:unhideWhenUsed/>
    <w:rsid w:val="00147D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342">
      <w:bodyDiv w:val="1"/>
      <w:marLeft w:val="0"/>
      <w:marRight w:val="0"/>
      <w:marTop w:val="0"/>
      <w:marBottom w:val="0"/>
      <w:divBdr>
        <w:top w:val="none" w:sz="0" w:space="0" w:color="auto"/>
        <w:left w:val="none" w:sz="0" w:space="0" w:color="auto"/>
        <w:bottom w:val="none" w:sz="0" w:space="0" w:color="auto"/>
        <w:right w:val="none" w:sz="0" w:space="0" w:color="auto"/>
      </w:divBdr>
    </w:div>
    <w:div w:id="56514065">
      <w:bodyDiv w:val="1"/>
      <w:marLeft w:val="0"/>
      <w:marRight w:val="0"/>
      <w:marTop w:val="0"/>
      <w:marBottom w:val="0"/>
      <w:divBdr>
        <w:top w:val="none" w:sz="0" w:space="0" w:color="auto"/>
        <w:left w:val="none" w:sz="0" w:space="0" w:color="auto"/>
        <w:bottom w:val="none" w:sz="0" w:space="0" w:color="auto"/>
        <w:right w:val="none" w:sz="0" w:space="0" w:color="auto"/>
      </w:divBdr>
    </w:div>
    <w:div w:id="13961533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8007634">
      <w:bodyDiv w:val="1"/>
      <w:marLeft w:val="0"/>
      <w:marRight w:val="0"/>
      <w:marTop w:val="0"/>
      <w:marBottom w:val="0"/>
      <w:divBdr>
        <w:top w:val="none" w:sz="0" w:space="0" w:color="auto"/>
        <w:left w:val="none" w:sz="0" w:space="0" w:color="auto"/>
        <w:bottom w:val="none" w:sz="0" w:space="0" w:color="auto"/>
        <w:right w:val="none" w:sz="0" w:space="0" w:color="auto"/>
      </w:divBdr>
    </w:div>
    <w:div w:id="241112745">
      <w:bodyDiv w:val="1"/>
      <w:marLeft w:val="0"/>
      <w:marRight w:val="0"/>
      <w:marTop w:val="0"/>
      <w:marBottom w:val="0"/>
      <w:divBdr>
        <w:top w:val="none" w:sz="0" w:space="0" w:color="auto"/>
        <w:left w:val="none" w:sz="0" w:space="0" w:color="auto"/>
        <w:bottom w:val="none" w:sz="0" w:space="0" w:color="auto"/>
        <w:right w:val="none" w:sz="0" w:space="0" w:color="auto"/>
      </w:divBdr>
    </w:div>
    <w:div w:id="477109671">
      <w:bodyDiv w:val="1"/>
      <w:marLeft w:val="0"/>
      <w:marRight w:val="0"/>
      <w:marTop w:val="0"/>
      <w:marBottom w:val="0"/>
      <w:divBdr>
        <w:top w:val="none" w:sz="0" w:space="0" w:color="auto"/>
        <w:left w:val="none" w:sz="0" w:space="0" w:color="auto"/>
        <w:bottom w:val="none" w:sz="0" w:space="0" w:color="auto"/>
        <w:right w:val="none" w:sz="0" w:space="0" w:color="auto"/>
      </w:divBdr>
    </w:div>
    <w:div w:id="503207198">
      <w:bodyDiv w:val="1"/>
      <w:marLeft w:val="0"/>
      <w:marRight w:val="0"/>
      <w:marTop w:val="0"/>
      <w:marBottom w:val="0"/>
      <w:divBdr>
        <w:top w:val="none" w:sz="0" w:space="0" w:color="auto"/>
        <w:left w:val="none" w:sz="0" w:space="0" w:color="auto"/>
        <w:bottom w:val="none" w:sz="0" w:space="0" w:color="auto"/>
        <w:right w:val="none" w:sz="0" w:space="0" w:color="auto"/>
      </w:divBdr>
    </w:div>
    <w:div w:id="750198437">
      <w:bodyDiv w:val="1"/>
      <w:marLeft w:val="0"/>
      <w:marRight w:val="0"/>
      <w:marTop w:val="0"/>
      <w:marBottom w:val="0"/>
      <w:divBdr>
        <w:top w:val="none" w:sz="0" w:space="0" w:color="auto"/>
        <w:left w:val="none" w:sz="0" w:space="0" w:color="auto"/>
        <w:bottom w:val="none" w:sz="0" w:space="0" w:color="auto"/>
        <w:right w:val="none" w:sz="0" w:space="0" w:color="auto"/>
      </w:divBdr>
    </w:div>
    <w:div w:id="772475215">
      <w:bodyDiv w:val="1"/>
      <w:marLeft w:val="0"/>
      <w:marRight w:val="0"/>
      <w:marTop w:val="0"/>
      <w:marBottom w:val="0"/>
      <w:divBdr>
        <w:top w:val="none" w:sz="0" w:space="0" w:color="auto"/>
        <w:left w:val="none" w:sz="0" w:space="0" w:color="auto"/>
        <w:bottom w:val="none" w:sz="0" w:space="0" w:color="auto"/>
        <w:right w:val="none" w:sz="0" w:space="0" w:color="auto"/>
      </w:divBdr>
    </w:div>
    <w:div w:id="1008290691">
      <w:bodyDiv w:val="1"/>
      <w:marLeft w:val="0"/>
      <w:marRight w:val="0"/>
      <w:marTop w:val="0"/>
      <w:marBottom w:val="0"/>
      <w:divBdr>
        <w:top w:val="none" w:sz="0" w:space="0" w:color="auto"/>
        <w:left w:val="none" w:sz="0" w:space="0" w:color="auto"/>
        <w:bottom w:val="none" w:sz="0" w:space="0" w:color="auto"/>
        <w:right w:val="none" w:sz="0" w:space="0" w:color="auto"/>
      </w:divBdr>
    </w:div>
    <w:div w:id="1152064332">
      <w:bodyDiv w:val="1"/>
      <w:marLeft w:val="0"/>
      <w:marRight w:val="0"/>
      <w:marTop w:val="0"/>
      <w:marBottom w:val="0"/>
      <w:divBdr>
        <w:top w:val="none" w:sz="0" w:space="0" w:color="auto"/>
        <w:left w:val="none" w:sz="0" w:space="0" w:color="auto"/>
        <w:bottom w:val="none" w:sz="0" w:space="0" w:color="auto"/>
        <w:right w:val="none" w:sz="0" w:space="0" w:color="auto"/>
      </w:divBdr>
    </w:div>
    <w:div w:id="1179004897">
      <w:bodyDiv w:val="1"/>
      <w:marLeft w:val="0"/>
      <w:marRight w:val="0"/>
      <w:marTop w:val="0"/>
      <w:marBottom w:val="0"/>
      <w:divBdr>
        <w:top w:val="none" w:sz="0" w:space="0" w:color="auto"/>
        <w:left w:val="none" w:sz="0" w:space="0" w:color="auto"/>
        <w:bottom w:val="none" w:sz="0" w:space="0" w:color="auto"/>
        <w:right w:val="none" w:sz="0" w:space="0" w:color="auto"/>
      </w:divBdr>
    </w:div>
    <w:div w:id="1211764783">
      <w:bodyDiv w:val="1"/>
      <w:marLeft w:val="0"/>
      <w:marRight w:val="0"/>
      <w:marTop w:val="0"/>
      <w:marBottom w:val="0"/>
      <w:divBdr>
        <w:top w:val="none" w:sz="0" w:space="0" w:color="auto"/>
        <w:left w:val="none" w:sz="0" w:space="0" w:color="auto"/>
        <w:bottom w:val="none" w:sz="0" w:space="0" w:color="auto"/>
        <w:right w:val="none" w:sz="0" w:space="0" w:color="auto"/>
      </w:divBdr>
    </w:div>
    <w:div w:id="1317488168">
      <w:bodyDiv w:val="1"/>
      <w:marLeft w:val="0"/>
      <w:marRight w:val="0"/>
      <w:marTop w:val="0"/>
      <w:marBottom w:val="0"/>
      <w:divBdr>
        <w:top w:val="none" w:sz="0" w:space="0" w:color="auto"/>
        <w:left w:val="none" w:sz="0" w:space="0" w:color="auto"/>
        <w:bottom w:val="none" w:sz="0" w:space="0" w:color="auto"/>
        <w:right w:val="none" w:sz="0" w:space="0" w:color="auto"/>
      </w:divBdr>
    </w:div>
    <w:div w:id="1374576114">
      <w:bodyDiv w:val="1"/>
      <w:marLeft w:val="0"/>
      <w:marRight w:val="0"/>
      <w:marTop w:val="0"/>
      <w:marBottom w:val="0"/>
      <w:divBdr>
        <w:top w:val="none" w:sz="0" w:space="0" w:color="auto"/>
        <w:left w:val="none" w:sz="0" w:space="0" w:color="auto"/>
        <w:bottom w:val="none" w:sz="0" w:space="0" w:color="auto"/>
        <w:right w:val="none" w:sz="0" w:space="0" w:color="auto"/>
      </w:divBdr>
    </w:div>
    <w:div w:id="1392536569">
      <w:bodyDiv w:val="1"/>
      <w:marLeft w:val="0"/>
      <w:marRight w:val="0"/>
      <w:marTop w:val="0"/>
      <w:marBottom w:val="0"/>
      <w:divBdr>
        <w:top w:val="none" w:sz="0" w:space="0" w:color="auto"/>
        <w:left w:val="none" w:sz="0" w:space="0" w:color="auto"/>
        <w:bottom w:val="none" w:sz="0" w:space="0" w:color="auto"/>
        <w:right w:val="none" w:sz="0" w:space="0" w:color="auto"/>
      </w:divBdr>
    </w:div>
    <w:div w:id="1574967909">
      <w:bodyDiv w:val="1"/>
      <w:marLeft w:val="0"/>
      <w:marRight w:val="0"/>
      <w:marTop w:val="0"/>
      <w:marBottom w:val="0"/>
      <w:divBdr>
        <w:top w:val="none" w:sz="0" w:space="0" w:color="auto"/>
        <w:left w:val="none" w:sz="0" w:space="0" w:color="auto"/>
        <w:bottom w:val="none" w:sz="0" w:space="0" w:color="auto"/>
        <w:right w:val="none" w:sz="0" w:space="0" w:color="auto"/>
      </w:divBdr>
    </w:div>
    <w:div w:id="1588608773">
      <w:bodyDiv w:val="1"/>
      <w:marLeft w:val="0"/>
      <w:marRight w:val="0"/>
      <w:marTop w:val="0"/>
      <w:marBottom w:val="0"/>
      <w:divBdr>
        <w:top w:val="none" w:sz="0" w:space="0" w:color="auto"/>
        <w:left w:val="none" w:sz="0" w:space="0" w:color="auto"/>
        <w:bottom w:val="none" w:sz="0" w:space="0" w:color="auto"/>
        <w:right w:val="none" w:sz="0" w:space="0" w:color="auto"/>
      </w:divBdr>
    </w:div>
    <w:div w:id="1639916536">
      <w:bodyDiv w:val="1"/>
      <w:marLeft w:val="0"/>
      <w:marRight w:val="0"/>
      <w:marTop w:val="0"/>
      <w:marBottom w:val="0"/>
      <w:divBdr>
        <w:top w:val="none" w:sz="0" w:space="0" w:color="auto"/>
        <w:left w:val="none" w:sz="0" w:space="0" w:color="auto"/>
        <w:bottom w:val="none" w:sz="0" w:space="0" w:color="auto"/>
        <w:right w:val="none" w:sz="0" w:space="0" w:color="auto"/>
      </w:divBdr>
    </w:div>
    <w:div w:id="1691492436">
      <w:bodyDiv w:val="1"/>
      <w:marLeft w:val="0"/>
      <w:marRight w:val="0"/>
      <w:marTop w:val="0"/>
      <w:marBottom w:val="0"/>
      <w:divBdr>
        <w:top w:val="none" w:sz="0" w:space="0" w:color="auto"/>
        <w:left w:val="none" w:sz="0" w:space="0" w:color="auto"/>
        <w:bottom w:val="none" w:sz="0" w:space="0" w:color="auto"/>
        <w:right w:val="none" w:sz="0" w:space="0" w:color="auto"/>
      </w:divBdr>
    </w:div>
    <w:div w:id="1832407176">
      <w:bodyDiv w:val="1"/>
      <w:marLeft w:val="0"/>
      <w:marRight w:val="0"/>
      <w:marTop w:val="0"/>
      <w:marBottom w:val="0"/>
      <w:divBdr>
        <w:top w:val="none" w:sz="0" w:space="0" w:color="auto"/>
        <w:left w:val="none" w:sz="0" w:space="0" w:color="auto"/>
        <w:bottom w:val="none" w:sz="0" w:space="0" w:color="auto"/>
        <w:right w:val="none" w:sz="0" w:space="0" w:color="auto"/>
      </w:divBdr>
    </w:div>
    <w:div w:id="1942568540">
      <w:bodyDiv w:val="1"/>
      <w:marLeft w:val="0"/>
      <w:marRight w:val="0"/>
      <w:marTop w:val="0"/>
      <w:marBottom w:val="0"/>
      <w:divBdr>
        <w:top w:val="none" w:sz="0" w:space="0" w:color="auto"/>
        <w:left w:val="none" w:sz="0" w:space="0" w:color="auto"/>
        <w:bottom w:val="none" w:sz="0" w:space="0" w:color="auto"/>
        <w:right w:val="none" w:sz="0" w:space="0" w:color="auto"/>
      </w:divBdr>
    </w:div>
    <w:div w:id="211840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7851</Words>
  <Characters>51899</Characters>
  <Application>Microsoft Office Word</Application>
  <DocSecurity>0</DocSecurity>
  <Lines>432</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2024090561  - pkt. 4.4, 4.8, 5.1, </dc:description>
  <cp:lastModifiedBy>Line Aaboe Würtz</cp:lastModifiedBy>
  <cp:revision>3</cp:revision>
  <cp:lastPrinted>2012-08-22T08:53:00Z</cp:lastPrinted>
  <dcterms:created xsi:type="dcterms:W3CDTF">2024-12-16T11:25:00Z</dcterms:created>
  <dcterms:modified xsi:type="dcterms:W3CDTF">2024-12-16T11:32:00Z</dcterms:modified>
</cp:coreProperties>
</file>