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B8" w:rsidRPr="008F49E1" w:rsidRDefault="00585EB8" w:rsidP="00585EB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7FD0E8C" wp14:editId="1223D2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85EB8" w:rsidRPr="00C84483" w:rsidRDefault="00585EB8" w:rsidP="00585EB8">
      <w:pPr>
        <w:pStyle w:val="Titel"/>
        <w:tabs>
          <w:tab w:val="right" w:pos="9356"/>
        </w:tabs>
        <w:jc w:val="left"/>
        <w:rPr>
          <w:b w:val="0"/>
          <w:szCs w:val="24"/>
          <w:lang w:eastAsia="en-US"/>
        </w:rPr>
      </w:pPr>
      <w:r w:rsidRPr="00C84483">
        <w:rPr>
          <w:b w:val="0"/>
          <w:szCs w:val="24"/>
          <w:lang w:eastAsia="en-US"/>
        </w:rPr>
        <w:tab/>
      </w:r>
      <w:r w:rsidR="000620DF">
        <w:rPr>
          <w:szCs w:val="24"/>
        </w:rPr>
        <w:t>3. februar 2022</w:t>
      </w:r>
    </w:p>
    <w:p w:rsidR="00585EB8" w:rsidRPr="00C84483" w:rsidRDefault="00585EB8" w:rsidP="00585EB8">
      <w:pPr>
        <w:pStyle w:val="Titel"/>
        <w:tabs>
          <w:tab w:val="left" w:pos="8222"/>
        </w:tabs>
        <w:jc w:val="left"/>
        <w:rPr>
          <w:b w:val="0"/>
          <w:szCs w:val="24"/>
        </w:rPr>
      </w:pPr>
    </w:p>
    <w:p w:rsidR="00585EB8" w:rsidRPr="00C84483" w:rsidRDefault="00585EB8" w:rsidP="00585EB8">
      <w:pPr>
        <w:pStyle w:val="Titel"/>
        <w:jc w:val="left"/>
        <w:rPr>
          <w:b w:val="0"/>
          <w:szCs w:val="24"/>
        </w:rPr>
      </w:pPr>
    </w:p>
    <w:p w:rsidR="00585EB8" w:rsidRPr="00C84483" w:rsidRDefault="00585EB8" w:rsidP="00585EB8">
      <w:pPr>
        <w:pStyle w:val="Titel"/>
        <w:jc w:val="left"/>
        <w:rPr>
          <w:b w:val="0"/>
          <w:szCs w:val="24"/>
        </w:rPr>
      </w:pPr>
    </w:p>
    <w:p w:rsidR="00585EB8" w:rsidRPr="00C84483" w:rsidRDefault="00585EB8" w:rsidP="00585EB8">
      <w:pPr>
        <w:jc w:val="center"/>
        <w:rPr>
          <w:b/>
          <w:sz w:val="24"/>
          <w:szCs w:val="24"/>
        </w:rPr>
      </w:pPr>
      <w:r w:rsidRPr="00C84483">
        <w:rPr>
          <w:b/>
          <w:sz w:val="24"/>
          <w:szCs w:val="24"/>
        </w:rPr>
        <w:t>PRODUKTRESUMÉ</w:t>
      </w:r>
    </w:p>
    <w:p w:rsidR="00585EB8" w:rsidRPr="00C84483" w:rsidRDefault="00585EB8" w:rsidP="00585EB8">
      <w:pPr>
        <w:jc w:val="center"/>
        <w:rPr>
          <w:b/>
          <w:sz w:val="24"/>
          <w:szCs w:val="24"/>
        </w:rPr>
      </w:pPr>
    </w:p>
    <w:p w:rsidR="00585EB8" w:rsidRDefault="00585EB8" w:rsidP="00585EB8">
      <w:pPr>
        <w:jc w:val="center"/>
        <w:rPr>
          <w:b/>
          <w:sz w:val="24"/>
          <w:szCs w:val="24"/>
        </w:rPr>
      </w:pPr>
      <w:r w:rsidRPr="00C84483">
        <w:rPr>
          <w:b/>
          <w:sz w:val="24"/>
          <w:szCs w:val="24"/>
        </w:rPr>
        <w:t>for</w:t>
      </w:r>
    </w:p>
    <w:p w:rsidR="00585EB8" w:rsidRPr="00C84483" w:rsidRDefault="00585EB8" w:rsidP="00585EB8">
      <w:pPr>
        <w:jc w:val="center"/>
        <w:rPr>
          <w:b/>
          <w:sz w:val="24"/>
          <w:szCs w:val="24"/>
        </w:rPr>
      </w:pPr>
    </w:p>
    <w:p w:rsidR="00585EB8" w:rsidRPr="00C84483" w:rsidRDefault="00585EB8" w:rsidP="00585EB8">
      <w:pPr>
        <w:jc w:val="center"/>
        <w:rPr>
          <w:b/>
          <w:sz w:val="24"/>
          <w:szCs w:val="24"/>
        </w:rPr>
      </w:pPr>
      <w:proofErr w:type="spellStart"/>
      <w:r>
        <w:rPr>
          <w:b/>
          <w:sz w:val="24"/>
          <w:szCs w:val="24"/>
        </w:rPr>
        <w:t>Solifenacin</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585EB8" w:rsidRPr="00C84483" w:rsidRDefault="00585EB8" w:rsidP="00585EB8">
      <w:pPr>
        <w:jc w:val="both"/>
        <w:rPr>
          <w:sz w:val="24"/>
          <w:szCs w:val="24"/>
        </w:rPr>
      </w:pPr>
    </w:p>
    <w:p w:rsidR="00585EB8" w:rsidRPr="003B5FC9" w:rsidRDefault="00585EB8" w:rsidP="00585EB8">
      <w:pPr>
        <w:ind w:left="851" w:hanging="851"/>
        <w:jc w:val="both"/>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0.</w:t>
      </w:r>
      <w:r w:rsidRPr="003B5FC9">
        <w:rPr>
          <w:b/>
          <w:sz w:val="24"/>
          <w:szCs w:val="24"/>
        </w:rPr>
        <w:tab/>
        <w:t>D.SP.NR.</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30537</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1.</w:t>
      </w:r>
      <w:r w:rsidRPr="003B5FC9">
        <w:rPr>
          <w:b/>
          <w:sz w:val="24"/>
          <w:szCs w:val="24"/>
        </w:rPr>
        <w:tab/>
        <w:t>LÆGEMIDLETS NAVN</w:t>
      </w: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2.</w:t>
      </w:r>
      <w:r w:rsidRPr="003B5FC9">
        <w:rPr>
          <w:b/>
          <w:sz w:val="24"/>
          <w:szCs w:val="24"/>
        </w:rPr>
        <w:tab/>
        <w:t>KVALITATIV OG KVANTITATIV SAMMENSÆTNING</w:t>
      </w:r>
    </w:p>
    <w:p w:rsidR="00585EB8" w:rsidRPr="003B5FC9" w:rsidRDefault="00585EB8" w:rsidP="00585EB8">
      <w:pPr>
        <w:tabs>
          <w:tab w:val="left" w:pos="851"/>
        </w:tabs>
        <w:ind w:left="851"/>
        <w:rPr>
          <w:sz w:val="24"/>
          <w:szCs w:val="24"/>
          <w:u w:val="single"/>
          <w:lang w:eastAsia="da-DK"/>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5 mg filmovertrukne tabletter</w:t>
      </w:r>
    </w:p>
    <w:p w:rsidR="00585EB8" w:rsidRPr="003B5FC9" w:rsidRDefault="00585EB8" w:rsidP="00585EB8">
      <w:pPr>
        <w:tabs>
          <w:tab w:val="left" w:pos="851"/>
        </w:tabs>
        <w:ind w:left="851"/>
        <w:rPr>
          <w:sz w:val="24"/>
          <w:szCs w:val="24"/>
        </w:rPr>
      </w:pPr>
      <w:r w:rsidRPr="003B5FC9">
        <w:rPr>
          <w:sz w:val="24"/>
          <w:szCs w:val="24"/>
        </w:rPr>
        <w:t xml:space="preserve">Hver </w:t>
      </w:r>
      <w:r>
        <w:rPr>
          <w:sz w:val="24"/>
          <w:szCs w:val="24"/>
        </w:rPr>
        <w:t>filmovertrukket</w:t>
      </w:r>
      <w:r w:rsidRPr="003B5FC9">
        <w:rPr>
          <w:sz w:val="24"/>
          <w:szCs w:val="24"/>
        </w:rPr>
        <w:t xml:space="preserve"> tablet indeholder 5 mg </w:t>
      </w:r>
      <w:proofErr w:type="spellStart"/>
      <w:r w:rsidRPr="003B5FC9">
        <w:rPr>
          <w:sz w:val="24"/>
          <w:szCs w:val="24"/>
        </w:rPr>
        <w:t>solifenacinsuccinat</w:t>
      </w:r>
      <w:proofErr w:type="spellEnd"/>
      <w:r w:rsidRPr="003B5FC9">
        <w:rPr>
          <w:sz w:val="24"/>
          <w:szCs w:val="24"/>
        </w:rPr>
        <w:t xml:space="preserve"> svarende til 3,8 mg </w:t>
      </w:r>
      <w:proofErr w:type="spellStart"/>
      <w:r w:rsidRPr="003B5FC9">
        <w:rPr>
          <w:sz w:val="24"/>
          <w:szCs w:val="24"/>
        </w:rPr>
        <w:t>solifenacin</w:t>
      </w:r>
      <w:proofErr w:type="spellEnd"/>
      <w:r w:rsidRPr="003B5FC9">
        <w:rPr>
          <w:sz w:val="24"/>
          <w:szCs w:val="24"/>
        </w:rPr>
        <w:t>.</w:t>
      </w:r>
    </w:p>
    <w:p w:rsidR="00585EB8" w:rsidRPr="003B5FC9" w:rsidRDefault="00585EB8" w:rsidP="00585EB8">
      <w:pPr>
        <w:tabs>
          <w:tab w:val="left" w:pos="851"/>
        </w:tabs>
        <w:ind w:left="851"/>
        <w:rPr>
          <w:sz w:val="24"/>
          <w:szCs w:val="24"/>
          <w:u w:val="single"/>
        </w:rPr>
      </w:pPr>
    </w:p>
    <w:p w:rsidR="00585EB8" w:rsidRPr="003B5FC9" w:rsidRDefault="00585EB8" w:rsidP="00585EB8">
      <w:pPr>
        <w:tabs>
          <w:tab w:val="left" w:pos="851"/>
        </w:tabs>
        <w:ind w:left="851"/>
        <w:rPr>
          <w:sz w:val="24"/>
          <w:szCs w:val="24"/>
          <w:u w:val="single"/>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10 mg filmovertrukne tabletter</w:t>
      </w:r>
    </w:p>
    <w:p w:rsidR="00585EB8" w:rsidRPr="003B5FC9" w:rsidRDefault="00585EB8" w:rsidP="00585EB8">
      <w:pPr>
        <w:tabs>
          <w:tab w:val="left" w:pos="851"/>
        </w:tabs>
        <w:ind w:left="851"/>
        <w:rPr>
          <w:sz w:val="24"/>
          <w:szCs w:val="24"/>
        </w:rPr>
      </w:pPr>
      <w:r w:rsidRPr="003B5FC9">
        <w:rPr>
          <w:sz w:val="24"/>
          <w:szCs w:val="24"/>
        </w:rPr>
        <w:t xml:space="preserve">Hver </w:t>
      </w:r>
      <w:r>
        <w:rPr>
          <w:sz w:val="24"/>
          <w:szCs w:val="24"/>
        </w:rPr>
        <w:t>filmovertrukket</w:t>
      </w:r>
      <w:r w:rsidRPr="003B5FC9">
        <w:rPr>
          <w:sz w:val="24"/>
          <w:szCs w:val="24"/>
        </w:rPr>
        <w:t xml:space="preserve"> tablet indeholder 10 mg </w:t>
      </w:r>
      <w:proofErr w:type="spellStart"/>
      <w:r w:rsidRPr="003B5FC9">
        <w:rPr>
          <w:sz w:val="24"/>
          <w:szCs w:val="24"/>
        </w:rPr>
        <w:t>solifenacinsuccinat</w:t>
      </w:r>
      <w:proofErr w:type="spellEnd"/>
      <w:r w:rsidRPr="003B5FC9">
        <w:rPr>
          <w:sz w:val="24"/>
          <w:szCs w:val="24"/>
        </w:rPr>
        <w:t xml:space="preserve"> svarende til 7,5 mg </w:t>
      </w:r>
      <w:proofErr w:type="spellStart"/>
      <w:r w:rsidRPr="003B5FC9">
        <w:rPr>
          <w:sz w:val="24"/>
          <w:szCs w:val="24"/>
        </w:rPr>
        <w:t>solifenacin</w:t>
      </w:r>
      <w:proofErr w:type="spellEnd"/>
      <w:r w:rsidRPr="003B5FC9">
        <w:rPr>
          <w:sz w:val="24"/>
          <w:szCs w:val="24"/>
        </w:rPr>
        <w:t>.</w:t>
      </w:r>
    </w:p>
    <w:p w:rsidR="00585EB8" w:rsidRPr="003B5FC9" w:rsidRDefault="00585EB8" w:rsidP="00585EB8">
      <w:pPr>
        <w:tabs>
          <w:tab w:val="left" w:pos="851"/>
        </w:tabs>
        <w:ind w:left="851"/>
        <w:rPr>
          <w:bCs/>
          <w:sz w:val="24"/>
          <w:szCs w:val="24"/>
        </w:rPr>
      </w:pPr>
    </w:p>
    <w:p w:rsidR="00585EB8" w:rsidRPr="003B5FC9" w:rsidRDefault="00585EB8" w:rsidP="00585EB8">
      <w:pPr>
        <w:tabs>
          <w:tab w:val="left" w:pos="851"/>
        </w:tabs>
        <w:ind w:left="851"/>
        <w:rPr>
          <w:bCs/>
          <w:sz w:val="24"/>
          <w:szCs w:val="24"/>
        </w:rPr>
      </w:pPr>
      <w:r w:rsidRPr="003B5FC9">
        <w:rPr>
          <w:sz w:val="24"/>
          <w:szCs w:val="24"/>
        </w:rPr>
        <w:t xml:space="preserve">Hjælpestof som behandleren skal være opmærksom på: </w:t>
      </w:r>
    </w:p>
    <w:p w:rsidR="00585EB8" w:rsidRPr="003B5FC9" w:rsidRDefault="00585EB8" w:rsidP="00585EB8">
      <w:pPr>
        <w:tabs>
          <w:tab w:val="left" w:pos="851"/>
        </w:tabs>
        <w:ind w:left="851"/>
        <w:rPr>
          <w:bCs/>
          <w:sz w:val="24"/>
          <w:szCs w:val="24"/>
        </w:rPr>
      </w:pPr>
    </w:p>
    <w:p w:rsidR="00585EB8" w:rsidRPr="003B5FC9" w:rsidRDefault="00585EB8" w:rsidP="00585EB8">
      <w:pPr>
        <w:tabs>
          <w:tab w:val="left" w:pos="851"/>
        </w:tabs>
        <w:ind w:left="851"/>
        <w:rPr>
          <w:sz w:val="24"/>
          <w:szCs w:val="24"/>
          <w:u w:val="single"/>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5 mg filmovertrukne tabletter </w:t>
      </w:r>
    </w:p>
    <w:p w:rsidR="00585EB8" w:rsidRPr="003B5FC9" w:rsidRDefault="00585EB8" w:rsidP="00585EB8">
      <w:pPr>
        <w:tabs>
          <w:tab w:val="left" w:pos="851"/>
        </w:tabs>
        <w:ind w:left="851"/>
        <w:rPr>
          <w:bCs/>
          <w:sz w:val="24"/>
          <w:szCs w:val="24"/>
        </w:rPr>
      </w:pPr>
      <w:r w:rsidRPr="003B5FC9">
        <w:rPr>
          <w:sz w:val="24"/>
          <w:szCs w:val="24"/>
        </w:rPr>
        <w:t xml:space="preserve">Hver </w:t>
      </w:r>
      <w:r>
        <w:rPr>
          <w:sz w:val="24"/>
          <w:szCs w:val="24"/>
        </w:rPr>
        <w:t>filmovertrukket</w:t>
      </w:r>
      <w:r w:rsidRPr="003B5FC9">
        <w:rPr>
          <w:sz w:val="24"/>
          <w:szCs w:val="24"/>
        </w:rPr>
        <w:t xml:space="preserve"> tablet indeholder 137,5 mg </w:t>
      </w:r>
      <w:proofErr w:type="spellStart"/>
      <w:r w:rsidRPr="003B5FC9">
        <w:rPr>
          <w:sz w:val="24"/>
          <w:szCs w:val="24"/>
        </w:rPr>
        <w:t>lactosemonohydrat</w:t>
      </w:r>
      <w:proofErr w:type="spellEnd"/>
      <w:r w:rsidRPr="003B5FC9">
        <w:rPr>
          <w:sz w:val="24"/>
          <w:szCs w:val="24"/>
        </w:rPr>
        <w:t>.</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u w:val="single"/>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10 mg filmovertrukne tabletter </w:t>
      </w:r>
    </w:p>
    <w:p w:rsidR="00585EB8" w:rsidRPr="003B5FC9" w:rsidRDefault="00585EB8" w:rsidP="00585EB8">
      <w:pPr>
        <w:tabs>
          <w:tab w:val="left" w:pos="851"/>
        </w:tabs>
        <w:ind w:left="851"/>
        <w:rPr>
          <w:bCs/>
          <w:sz w:val="24"/>
          <w:szCs w:val="24"/>
        </w:rPr>
      </w:pPr>
      <w:r w:rsidRPr="003B5FC9">
        <w:rPr>
          <w:sz w:val="24"/>
          <w:szCs w:val="24"/>
        </w:rPr>
        <w:t xml:space="preserve">Hver </w:t>
      </w:r>
      <w:r>
        <w:rPr>
          <w:sz w:val="24"/>
          <w:szCs w:val="24"/>
        </w:rPr>
        <w:t>filmovertrukket</w:t>
      </w:r>
      <w:r w:rsidRPr="003B5FC9">
        <w:rPr>
          <w:sz w:val="24"/>
          <w:szCs w:val="24"/>
        </w:rPr>
        <w:t xml:space="preserve"> tablet indeholder 132,5 mg </w:t>
      </w:r>
      <w:proofErr w:type="spellStart"/>
      <w:r w:rsidRPr="003B5FC9">
        <w:rPr>
          <w:sz w:val="24"/>
          <w:szCs w:val="24"/>
        </w:rPr>
        <w:t>lactosemonohydrat</w:t>
      </w:r>
      <w:proofErr w:type="spellEnd"/>
      <w:r w:rsidRPr="003B5FC9">
        <w:rPr>
          <w:sz w:val="24"/>
          <w:szCs w:val="24"/>
        </w:rPr>
        <w:t>.</w:t>
      </w:r>
    </w:p>
    <w:p w:rsidR="00585EB8" w:rsidRPr="003B5FC9" w:rsidRDefault="00585EB8" w:rsidP="00585EB8">
      <w:pPr>
        <w:tabs>
          <w:tab w:val="left" w:pos="851"/>
        </w:tabs>
        <w:ind w:left="851"/>
        <w:rPr>
          <w:bCs/>
          <w:sz w:val="24"/>
          <w:szCs w:val="24"/>
        </w:rPr>
      </w:pPr>
    </w:p>
    <w:p w:rsidR="00585EB8" w:rsidRPr="003B5FC9" w:rsidRDefault="00585EB8" w:rsidP="00585EB8">
      <w:pPr>
        <w:tabs>
          <w:tab w:val="left" w:pos="851"/>
        </w:tabs>
        <w:ind w:left="851"/>
        <w:rPr>
          <w:sz w:val="24"/>
          <w:szCs w:val="24"/>
        </w:rPr>
      </w:pPr>
      <w:r w:rsidRPr="003B5FC9">
        <w:rPr>
          <w:sz w:val="24"/>
          <w:szCs w:val="24"/>
        </w:rPr>
        <w:t>Alle hjælpestoffer er anført under pkt. 6.1.</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3.</w:t>
      </w:r>
      <w:r w:rsidRPr="003B5FC9">
        <w:rPr>
          <w:b/>
          <w:sz w:val="24"/>
          <w:szCs w:val="24"/>
        </w:rPr>
        <w:tab/>
        <w:t>LÆGEMIDDELFORM</w:t>
      </w:r>
    </w:p>
    <w:p w:rsidR="00585EB8" w:rsidRPr="003B5FC9" w:rsidRDefault="00585EB8" w:rsidP="00585EB8">
      <w:pPr>
        <w:tabs>
          <w:tab w:val="left" w:pos="851"/>
        </w:tabs>
        <w:ind w:left="851" w:hanging="851"/>
        <w:rPr>
          <w:sz w:val="24"/>
          <w:szCs w:val="24"/>
          <w:lang w:eastAsia="da-DK"/>
        </w:rPr>
      </w:pPr>
      <w:r>
        <w:rPr>
          <w:sz w:val="24"/>
          <w:szCs w:val="24"/>
        </w:rPr>
        <w:tab/>
        <w:t>Filmovertrukne tabletter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rPr>
          <w:sz w:val="24"/>
          <w:szCs w:val="24"/>
          <w:u w:val="single"/>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5 mg filmovertrukne tabletter</w:t>
      </w:r>
    </w:p>
    <w:p w:rsidR="00585EB8" w:rsidRPr="003B5FC9" w:rsidRDefault="00585EB8" w:rsidP="00585EB8">
      <w:pPr>
        <w:tabs>
          <w:tab w:val="left" w:pos="851"/>
        </w:tabs>
        <w:ind w:left="851"/>
        <w:rPr>
          <w:sz w:val="24"/>
          <w:szCs w:val="24"/>
        </w:rPr>
      </w:pPr>
      <w:r w:rsidRPr="003B5FC9">
        <w:rPr>
          <w:sz w:val="24"/>
          <w:szCs w:val="24"/>
        </w:rPr>
        <w:t>Hvide til brunhvide, runde, let konvekse filmovertrukne tabletter med skrå kanter. Tabletdiameter: 7,5 mm.</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u w:val="single"/>
        </w:rPr>
      </w:pPr>
      <w:proofErr w:type="spellStart"/>
      <w:r w:rsidRPr="003B5FC9">
        <w:rPr>
          <w:sz w:val="24"/>
          <w:szCs w:val="24"/>
          <w:u w:val="single"/>
        </w:rPr>
        <w:t>Solifenacin</w:t>
      </w:r>
      <w:proofErr w:type="spellEnd"/>
      <w:r w:rsidRPr="003B5FC9">
        <w:rPr>
          <w:sz w:val="24"/>
          <w:szCs w:val="24"/>
          <w:u w:val="single"/>
        </w:rPr>
        <w:t xml:space="preserve"> </w:t>
      </w:r>
      <w:r>
        <w:rPr>
          <w:sz w:val="24"/>
          <w:szCs w:val="24"/>
          <w:u w:val="single"/>
        </w:rPr>
        <w:t>"</w:t>
      </w:r>
      <w:proofErr w:type="spellStart"/>
      <w:r w:rsidRPr="003B5FC9">
        <w:rPr>
          <w:sz w:val="24"/>
          <w:szCs w:val="24"/>
          <w:u w:val="single"/>
        </w:rPr>
        <w:t>Krka</w:t>
      </w:r>
      <w:proofErr w:type="spellEnd"/>
      <w:r>
        <w:rPr>
          <w:sz w:val="24"/>
          <w:szCs w:val="24"/>
          <w:u w:val="single"/>
        </w:rPr>
        <w:t>"</w:t>
      </w:r>
      <w:r w:rsidRPr="003B5FC9">
        <w:rPr>
          <w:sz w:val="24"/>
          <w:szCs w:val="24"/>
          <w:u w:val="single"/>
        </w:rPr>
        <w:t xml:space="preserve"> 10 mg filmovertrukne tabletter</w:t>
      </w:r>
    </w:p>
    <w:p w:rsidR="00585EB8" w:rsidRPr="003B5FC9" w:rsidRDefault="00585EB8" w:rsidP="00585EB8">
      <w:pPr>
        <w:tabs>
          <w:tab w:val="left" w:pos="851"/>
        </w:tabs>
        <w:ind w:left="851"/>
        <w:rPr>
          <w:sz w:val="24"/>
          <w:szCs w:val="24"/>
        </w:rPr>
      </w:pPr>
      <w:r w:rsidRPr="003B5FC9">
        <w:rPr>
          <w:sz w:val="24"/>
          <w:szCs w:val="24"/>
        </w:rPr>
        <w:t>Rosa-hvide, runde, let konvekse filmovertrukne tabletter med skrå kanter. Tabletdiameter: 7,5 mm.</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w:t>
      </w:r>
      <w:r w:rsidRPr="003B5FC9">
        <w:rPr>
          <w:b/>
          <w:sz w:val="24"/>
          <w:szCs w:val="24"/>
        </w:rPr>
        <w:tab/>
        <w:t>KLINISKE OPLYSNINGER</w:t>
      </w:r>
    </w:p>
    <w:p w:rsidR="00585EB8" w:rsidRPr="003B5FC9" w:rsidRDefault="00585EB8" w:rsidP="00585EB8">
      <w:pPr>
        <w:tabs>
          <w:tab w:val="left" w:pos="851"/>
        </w:tabs>
        <w:ind w:left="851" w:hanging="851"/>
        <w:rPr>
          <w:b/>
          <w:sz w:val="24"/>
          <w:szCs w:val="24"/>
        </w:rPr>
      </w:pPr>
    </w:p>
    <w:p w:rsidR="00585EB8" w:rsidRPr="003B5FC9" w:rsidRDefault="00585EB8" w:rsidP="00585EB8">
      <w:pPr>
        <w:tabs>
          <w:tab w:val="left" w:pos="851"/>
        </w:tabs>
        <w:ind w:left="851" w:hanging="851"/>
        <w:rPr>
          <w:b/>
          <w:sz w:val="24"/>
          <w:szCs w:val="24"/>
          <w:u w:val="single"/>
        </w:rPr>
      </w:pPr>
      <w:r w:rsidRPr="003B5FC9">
        <w:rPr>
          <w:b/>
          <w:sz w:val="24"/>
          <w:szCs w:val="24"/>
        </w:rPr>
        <w:t>4.1</w:t>
      </w:r>
      <w:r w:rsidRPr="003B5FC9">
        <w:rPr>
          <w:b/>
          <w:sz w:val="24"/>
          <w:szCs w:val="24"/>
        </w:rPr>
        <w:tab/>
        <w:t>Terapeutiske indikationer</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 xml:space="preserve">Symptomatisk behandling af tranginkontinens og/eller hyppig vandladning og </w:t>
      </w:r>
      <w:proofErr w:type="spellStart"/>
      <w:r w:rsidRPr="003B5FC9">
        <w:rPr>
          <w:sz w:val="24"/>
          <w:szCs w:val="24"/>
        </w:rPr>
        <w:t>imperiøs</w:t>
      </w:r>
      <w:proofErr w:type="spellEnd"/>
      <w:r w:rsidRPr="003B5FC9">
        <w:rPr>
          <w:sz w:val="24"/>
          <w:szCs w:val="24"/>
        </w:rPr>
        <w:t xml:space="preserve"> vandladningstrang, som kan forekomme hos patienter med overaktiv blære.</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4.2</w:t>
      </w:r>
      <w:r w:rsidRPr="003B5FC9">
        <w:rPr>
          <w:b/>
          <w:sz w:val="24"/>
          <w:szCs w:val="24"/>
        </w:rPr>
        <w:tab/>
        <w:t>Dosering og indgivelsesmåde</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sz w:val="24"/>
          <w:szCs w:val="24"/>
          <w:u w:val="single"/>
          <w:lang w:eastAsia="da-DK"/>
        </w:rPr>
      </w:pPr>
      <w:r w:rsidRPr="003B5FC9">
        <w:rPr>
          <w:sz w:val="24"/>
          <w:szCs w:val="24"/>
        </w:rPr>
        <w:tab/>
      </w:r>
      <w:r w:rsidRPr="003B5FC9">
        <w:rPr>
          <w:sz w:val="24"/>
          <w:szCs w:val="24"/>
          <w:u w:val="single"/>
        </w:rPr>
        <w:t>Dosering</w:t>
      </w:r>
    </w:p>
    <w:p w:rsidR="00585EB8" w:rsidRPr="003B5FC9" w:rsidRDefault="00585EB8" w:rsidP="00585EB8">
      <w:pPr>
        <w:tabs>
          <w:tab w:val="left" w:pos="851"/>
        </w:tabs>
        <w:ind w:left="851" w:hanging="851"/>
        <w:rPr>
          <w:i/>
          <w:iCs/>
          <w:sz w:val="24"/>
          <w:szCs w:val="24"/>
        </w:rPr>
      </w:pPr>
    </w:p>
    <w:p w:rsidR="00585EB8" w:rsidRPr="003B5FC9" w:rsidRDefault="00585EB8" w:rsidP="00585EB8">
      <w:pPr>
        <w:tabs>
          <w:tab w:val="left" w:pos="851"/>
        </w:tabs>
        <w:ind w:left="851"/>
        <w:rPr>
          <w:sz w:val="24"/>
          <w:szCs w:val="24"/>
        </w:rPr>
      </w:pPr>
      <w:r w:rsidRPr="003B5FC9">
        <w:rPr>
          <w:i/>
          <w:sz w:val="24"/>
          <w:szCs w:val="24"/>
        </w:rPr>
        <w:t>Voksne, inklusive ældre</w:t>
      </w:r>
    </w:p>
    <w:p w:rsidR="00585EB8" w:rsidRPr="003B5FC9" w:rsidRDefault="00585EB8" w:rsidP="00585EB8">
      <w:pPr>
        <w:tabs>
          <w:tab w:val="left" w:pos="851"/>
        </w:tabs>
        <w:ind w:left="851"/>
        <w:rPr>
          <w:sz w:val="24"/>
          <w:szCs w:val="24"/>
        </w:rPr>
      </w:pPr>
      <w:r w:rsidRPr="003B5FC9">
        <w:rPr>
          <w:sz w:val="24"/>
          <w:szCs w:val="24"/>
        </w:rPr>
        <w:t xml:space="preserve">Den anbefalede dosis er 5 mg </w:t>
      </w:r>
      <w:proofErr w:type="spellStart"/>
      <w:r w:rsidRPr="003B5FC9">
        <w:rPr>
          <w:sz w:val="24"/>
          <w:szCs w:val="24"/>
        </w:rPr>
        <w:t>solifenacinsuccinat</w:t>
      </w:r>
      <w:proofErr w:type="spellEnd"/>
      <w:r w:rsidRPr="003B5FC9">
        <w:rPr>
          <w:sz w:val="24"/>
          <w:szCs w:val="24"/>
        </w:rPr>
        <w:t xml:space="preserve"> én gang </w:t>
      </w:r>
      <w:r>
        <w:rPr>
          <w:sz w:val="24"/>
          <w:szCs w:val="24"/>
        </w:rPr>
        <w:t>daglig</w:t>
      </w:r>
      <w:r w:rsidRPr="003B5FC9">
        <w:rPr>
          <w:sz w:val="24"/>
          <w:szCs w:val="24"/>
        </w:rPr>
        <w:t xml:space="preserve">. Dosis kan øges til 10 mg </w:t>
      </w:r>
      <w:proofErr w:type="spellStart"/>
      <w:r w:rsidRPr="003B5FC9">
        <w:rPr>
          <w:sz w:val="24"/>
          <w:szCs w:val="24"/>
        </w:rPr>
        <w:t>solifenacinsuccinat</w:t>
      </w:r>
      <w:proofErr w:type="spellEnd"/>
      <w:r w:rsidRPr="003B5FC9">
        <w:rPr>
          <w:sz w:val="24"/>
          <w:szCs w:val="24"/>
        </w:rPr>
        <w:t xml:space="preserve"> én gang </w:t>
      </w:r>
      <w:r>
        <w:rPr>
          <w:sz w:val="24"/>
          <w:szCs w:val="24"/>
        </w:rPr>
        <w:t>daglig</w:t>
      </w:r>
      <w:r w:rsidRPr="003B5FC9">
        <w:rPr>
          <w:sz w:val="24"/>
          <w:szCs w:val="24"/>
        </w:rPr>
        <w:t>, hvis der er behov for det.</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b/>
          <w:iCs/>
          <w:sz w:val="24"/>
          <w:szCs w:val="24"/>
        </w:rPr>
      </w:pPr>
      <w:r w:rsidRPr="003B5FC9">
        <w:rPr>
          <w:b/>
          <w:sz w:val="24"/>
          <w:szCs w:val="24"/>
        </w:rPr>
        <w:t>Særlige populationer</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Pædiatrisk population</w:t>
      </w:r>
    </w:p>
    <w:p w:rsidR="00585EB8" w:rsidRPr="003B5FC9" w:rsidRDefault="00585EB8" w:rsidP="00585EB8">
      <w:pPr>
        <w:tabs>
          <w:tab w:val="left" w:pos="851"/>
        </w:tabs>
        <w:ind w:left="851"/>
        <w:rPr>
          <w:sz w:val="24"/>
          <w:szCs w:val="24"/>
        </w:rPr>
      </w:pP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’s sikkerhed og virkning hos børn er ikke klarlagt. Derfor bør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ikke bruges til børn.</w:t>
      </w:r>
    </w:p>
    <w:p w:rsidR="00585EB8" w:rsidRPr="003B5FC9" w:rsidRDefault="00585EB8" w:rsidP="00585EB8">
      <w:pPr>
        <w:tabs>
          <w:tab w:val="left" w:pos="851"/>
        </w:tabs>
        <w:ind w:left="851"/>
        <w:rPr>
          <w:b/>
          <w:bCs/>
          <w:sz w:val="24"/>
          <w:szCs w:val="24"/>
        </w:rPr>
      </w:pPr>
    </w:p>
    <w:p w:rsidR="00585EB8" w:rsidRPr="003B5FC9" w:rsidRDefault="00585EB8" w:rsidP="00585EB8">
      <w:pPr>
        <w:tabs>
          <w:tab w:val="left" w:pos="851"/>
        </w:tabs>
        <w:ind w:left="851"/>
        <w:rPr>
          <w:sz w:val="24"/>
          <w:szCs w:val="24"/>
        </w:rPr>
      </w:pPr>
      <w:r w:rsidRPr="003B5FC9">
        <w:rPr>
          <w:i/>
          <w:sz w:val="24"/>
          <w:szCs w:val="24"/>
        </w:rPr>
        <w:t>Patienter med nedsat nyrefunktion</w:t>
      </w:r>
    </w:p>
    <w:p w:rsidR="00585EB8" w:rsidRPr="003B5FC9" w:rsidRDefault="00585EB8" w:rsidP="00585EB8">
      <w:pPr>
        <w:tabs>
          <w:tab w:val="left" w:pos="851"/>
        </w:tabs>
        <w:ind w:left="851"/>
        <w:rPr>
          <w:sz w:val="24"/>
          <w:szCs w:val="24"/>
        </w:rPr>
      </w:pPr>
      <w:r w:rsidRPr="003B5FC9">
        <w:rPr>
          <w:sz w:val="24"/>
          <w:szCs w:val="24"/>
        </w:rPr>
        <w:t>Dosisjustering er ikke nødvendig for patienter med let til moderat nedsat nyrefunktion (</w:t>
      </w:r>
      <w:proofErr w:type="spellStart"/>
      <w:r w:rsidRPr="003B5FC9">
        <w:rPr>
          <w:sz w:val="24"/>
          <w:szCs w:val="24"/>
        </w:rPr>
        <w:t>kreatininclearance</w:t>
      </w:r>
      <w:proofErr w:type="spellEnd"/>
      <w:r w:rsidRPr="003B5FC9">
        <w:rPr>
          <w:sz w:val="24"/>
          <w:szCs w:val="24"/>
        </w:rPr>
        <w:t xml:space="preserve"> &gt;30 ml/min). Patienter med svært nedsat nyrefunktion (</w:t>
      </w:r>
      <w:proofErr w:type="spellStart"/>
      <w:r w:rsidRPr="003B5FC9">
        <w:rPr>
          <w:sz w:val="24"/>
          <w:szCs w:val="24"/>
        </w:rPr>
        <w:t>kreatininclearance</w:t>
      </w:r>
      <w:proofErr w:type="spellEnd"/>
      <w:r w:rsidRPr="003B5FC9">
        <w:rPr>
          <w:sz w:val="24"/>
          <w:szCs w:val="24"/>
        </w:rPr>
        <w:t xml:space="preserve"> </w:t>
      </w:r>
      <w:r w:rsidRPr="003B5FC9">
        <w:rPr>
          <w:sz w:val="24"/>
          <w:szCs w:val="24"/>
        </w:rPr>
        <w:sym w:font="Symbol" w:char="F0A3"/>
      </w:r>
      <w:r w:rsidRPr="003B5FC9">
        <w:rPr>
          <w:sz w:val="24"/>
          <w:szCs w:val="24"/>
        </w:rPr>
        <w:t xml:space="preserve"> 30 ml/min) skal behandles med forsigtighed og dosis må ikke overskride 5 mg én gang </w:t>
      </w:r>
      <w:r>
        <w:rPr>
          <w:sz w:val="24"/>
          <w:szCs w:val="24"/>
        </w:rPr>
        <w:t>daglig</w:t>
      </w:r>
      <w:r w:rsidRPr="003B5FC9">
        <w:rPr>
          <w:sz w:val="24"/>
          <w:szCs w:val="24"/>
        </w:rPr>
        <w:t xml:space="preserve"> (se pkt. 5.2).</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Patienter med nedsat leverfunktion</w:t>
      </w:r>
    </w:p>
    <w:p w:rsidR="00585EB8" w:rsidRPr="003B5FC9" w:rsidRDefault="00585EB8" w:rsidP="00585EB8">
      <w:pPr>
        <w:tabs>
          <w:tab w:val="left" w:pos="851"/>
        </w:tabs>
        <w:ind w:left="851"/>
        <w:rPr>
          <w:sz w:val="24"/>
          <w:szCs w:val="24"/>
        </w:rPr>
      </w:pPr>
      <w:r w:rsidRPr="003B5FC9">
        <w:rPr>
          <w:sz w:val="24"/>
          <w:szCs w:val="24"/>
        </w:rPr>
        <w:t>Dosisjustering er ikke nødvendig for patienter med let nedsat leverfunktion. Patienter med moderat nedsat leverfunktion (Child-</w:t>
      </w:r>
      <w:proofErr w:type="spellStart"/>
      <w:r w:rsidRPr="003B5FC9">
        <w:rPr>
          <w:sz w:val="24"/>
          <w:szCs w:val="24"/>
        </w:rPr>
        <w:t>Pugh</w:t>
      </w:r>
      <w:proofErr w:type="spellEnd"/>
      <w:r w:rsidRPr="003B5FC9">
        <w:rPr>
          <w:sz w:val="24"/>
          <w:szCs w:val="24"/>
        </w:rPr>
        <w:t xml:space="preserve"> score 7-9) skal behandles med forsigtighed og dosis må ikke overskride 5 mg én gang </w:t>
      </w:r>
      <w:r>
        <w:rPr>
          <w:sz w:val="24"/>
          <w:szCs w:val="24"/>
        </w:rPr>
        <w:t>daglig</w:t>
      </w:r>
      <w:r w:rsidRPr="003B5FC9">
        <w:rPr>
          <w:sz w:val="24"/>
          <w:szCs w:val="24"/>
        </w:rPr>
        <w:t xml:space="preserve"> (se pkt. 5.2).</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 xml:space="preserve">Potente </w:t>
      </w:r>
      <w:proofErr w:type="spellStart"/>
      <w:r w:rsidRPr="003B5FC9">
        <w:rPr>
          <w:i/>
          <w:sz w:val="24"/>
          <w:szCs w:val="24"/>
        </w:rPr>
        <w:t>cytochrom</w:t>
      </w:r>
      <w:proofErr w:type="spellEnd"/>
      <w:r w:rsidRPr="003B5FC9">
        <w:rPr>
          <w:i/>
          <w:sz w:val="24"/>
          <w:szCs w:val="24"/>
        </w:rPr>
        <w:t xml:space="preserve"> P450 3A4-hæmmere</w:t>
      </w:r>
    </w:p>
    <w:p w:rsidR="00585EB8" w:rsidRPr="003B5FC9" w:rsidRDefault="00585EB8" w:rsidP="00585EB8">
      <w:pPr>
        <w:tabs>
          <w:tab w:val="left" w:pos="851"/>
        </w:tabs>
        <w:ind w:left="851"/>
        <w:rPr>
          <w:sz w:val="24"/>
          <w:szCs w:val="24"/>
        </w:rPr>
      </w:pPr>
      <w:r w:rsidRPr="003B5FC9">
        <w:rPr>
          <w:sz w:val="24"/>
          <w:szCs w:val="24"/>
        </w:rPr>
        <w:t xml:space="preserve">Den maksimale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dosis bør begrænses til 5 mg ved samtidig behandling med </w:t>
      </w:r>
      <w:proofErr w:type="spellStart"/>
      <w:r w:rsidRPr="003B5FC9">
        <w:rPr>
          <w:sz w:val="24"/>
          <w:szCs w:val="24"/>
        </w:rPr>
        <w:t>ketoconazol</w:t>
      </w:r>
      <w:proofErr w:type="spellEnd"/>
      <w:r w:rsidRPr="003B5FC9">
        <w:rPr>
          <w:sz w:val="24"/>
          <w:szCs w:val="24"/>
        </w:rPr>
        <w:t xml:space="preserve"> eller terapeutiske doser af andre potente CYP3A4-hæmmere f.eks. </w:t>
      </w:r>
      <w:proofErr w:type="spellStart"/>
      <w:r w:rsidRPr="003B5FC9">
        <w:rPr>
          <w:sz w:val="24"/>
          <w:szCs w:val="24"/>
        </w:rPr>
        <w:t>ritonavir</w:t>
      </w:r>
      <w:proofErr w:type="spellEnd"/>
      <w:r w:rsidRPr="003B5FC9">
        <w:rPr>
          <w:sz w:val="24"/>
          <w:szCs w:val="24"/>
        </w:rPr>
        <w:t xml:space="preserve">, </w:t>
      </w:r>
      <w:proofErr w:type="spellStart"/>
      <w:r w:rsidRPr="003B5FC9">
        <w:rPr>
          <w:sz w:val="24"/>
          <w:szCs w:val="24"/>
        </w:rPr>
        <w:t>nelfinavir</w:t>
      </w:r>
      <w:proofErr w:type="spellEnd"/>
      <w:r w:rsidRPr="003B5FC9">
        <w:rPr>
          <w:sz w:val="24"/>
          <w:szCs w:val="24"/>
        </w:rPr>
        <w:t xml:space="preserve">, </w:t>
      </w:r>
      <w:proofErr w:type="spellStart"/>
      <w:r w:rsidRPr="003B5FC9">
        <w:rPr>
          <w:sz w:val="24"/>
          <w:szCs w:val="24"/>
        </w:rPr>
        <w:t>itraconazol</w:t>
      </w:r>
      <w:proofErr w:type="spellEnd"/>
      <w:r w:rsidRPr="003B5FC9">
        <w:rPr>
          <w:sz w:val="24"/>
          <w:szCs w:val="24"/>
        </w:rPr>
        <w:t xml:space="preserve"> (se pkt. 4.5).</w:t>
      </w:r>
    </w:p>
    <w:p w:rsidR="00585EB8" w:rsidRPr="003B5FC9" w:rsidRDefault="00585EB8" w:rsidP="00585EB8">
      <w:pPr>
        <w:tabs>
          <w:tab w:val="left" w:pos="851"/>
        </w:tabs>
        <w:ind w:left="851"/>
        <w:rPr>
          <w:b/>
          <w:bCs/>
          <w:sz w:val="24"/>
          <w:szCs w:val="24"/>
        </w:rPr>
      </w:pPr>
    </w:p>
    <w:p w:rsidR="00585EB8" w:rsidRPr="003B5FC9" w:rsidRDefault="00585EB8" w:rsidP="00585EB8">
      <w:pPr>
        <w:tabs>
          <w:tab w:val="left" w:pos="851"/>
        </w:tabs>
        <w:ind w:left="851"/>
        <w:rPr>
          <w:sz w:val="24"/>
          <w:szCs w:val="24"/>
          <w:u w:val="single"/>
        </w:rPr>
      </w:pPr>
      <w:r w:rsidRPr="003B5FC9">
        <w:rPr>
          <w:sz w:val="24"/>
          <w:szCs w:val="24"/>
          <w:u w:val="single"/>
        </w:rPr>
        <w:t>Administration</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rPr>
      </w:pP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skal tages oralt og synkes hele med væske. Det kan tages med og uden mad.</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4.3</w:t>
      </w:r>
      <w:r w:rsidRPr="003B5FC9">
        <w:rPr>
          <w:b/>
          <w:sz w:val="24"/>
          <w:szCs w:val="24"/>
        </w:rPr>
        <w:tab/>
        <w:t>Kontraindikationer</w:t>
      </w:r>
    </w:p>
    <w:p w:rsidR="00585EB8" w:rsidRPr="003B5FC9" w:rsidRDefault="00585EB8" w:rsidP="00585EB8">
      <w:pPr>
        <w:numPr>
          <w:ilvl w:val="0"/>
          <w:numId w:val="6"/>
        </w:numPr>
        <w:ind w:left="1276" w:hanging="425"/>
        <w:rPr>
          <w:sz w:val="24"/>
          <w:szCs w:val="24"/>
          <w:lang w:eastAsia="da-DK"/>
        </w:rPr>
      </w:pPr>
      <w:proofErr w:type="spellStart"/>
      <w:r w:rsidRPr="003B5FC9">
        <w:rPr>
          <w:sz w:val="24"/>
          <w:szCs w:val="24"/>
        </w:rPr>
        <w:t>Solifenacin</w:t>
      </w:r>
      <w:proofErr w:type="spellEnd"/>
      <w:r w:rsidRPr="003B5FC9">
        <w:rPr>
          <w:sz w:val="24"/>
          <w:szCs w:val="24"/>
        </w:rPr>
        <w:t xml:space="preserve"> er kontraindiceret hos patienter med urinretention, svær </w:t>
      </w:r>
      <w:proofErr w:type="spellStart"/>
      <w:r w:rsidRPr="003B5FC9">
        <w:rPr>
          <w:sz w:val="24"/>
          <w:szCs w:val="24"/>
        </w:rPr>
        <w:t>gastrointestinal</w:t>
      </w:r>
      <w:proofErr w:type="spellEnd"/>
      <w:r w:rsidRPr="003B5FC9">
        <w:rPr>
          <w:sz w:val="24"/>
          <w:szCs w:val="24"/>
        </w:rPr>
        <w:t xml:space="preserve"> lidelse (inkl. toksisk </w:t>
      </w:r>
      <w:proofErr w:type="spellStart"/>
      <w:r w:rsidRPr="003B5FC9">
        <w:rPr>
          <w:sz w:val="24"/>
          <w:szCs w:val="24"/>
        </w:rPr>
        <w:t>megacolon</w:t>
      </w:r>
      <w:proofErr w:type="spellEnd"/>
      <w:r w:rsidRPr="003B5FC9">
        <w:rPr>
          <w:sz w:val="24"/>
          <w:szCs w:val="24"/>
        </w:rPr>
        <w:t xml:space="preserve">), </w:t>
      </w:r>
      <w:proofErr w:type="spellStart"/>
      <w:r w:rsidRPr="003B5FC9">
        <w:rPr>
          <w:sz w:val="24"/>
          <w:szCs w:val="24"/>
        </w:rPr>
        <w:t>myastenia</w:t>
      </w:r>
      <w:proofErr w:type="spellEnd"/>
      <w:r w:rsidRPr="003B5FC9">
        <w:rPr>
          <w:sz w:val="24"/>
          <w:szCs w:val="24"/>
        </w:rPr>
        <w:t xml:space="preserve"> </w:t>
      </w:r>
      <w:proofErr w:type="spellStart"/>
      <w:r w:rsidRPr="003B5FC9">
        <w:rPr>
          <w:sz w:val="24"/>
          <w:szCs w:val="24"/>
        </w:rPr>
        <w:t>gravis</w:t>
      </w:r>
      <w:proofErr w:type="spellEnd"/>
      <w:r w:rsidRPr="003B5FC9">
        <w:rPr>
          <w:sz w:val="24"/>
          <w:szCs w:val="24"/>
        </w:rPr>
        <w:t xml:space="preserve"> eller </w:t>
      </w:r>
      <w:proofErr w:type="spellStart"/>
      <w:r w:rsidRPr="003B5FC9">
        <w:rPr>
          <w:sz w:val="24"/>
          <w:szCs w:val="24"/>
        </w:rPr>
        <w:t>snævervinkelglaukom</w:t>
      </w:r>
      <w:proofErr w:type="spellEnd"/>
      <w:r w:rsidRPr="003B5FC9">
        <w:rPr>
          <w:sz w:val="24"/>
          <w:szCs w:val="24"/>
        </w:rPr>
        <w:t xml:space="preserve"> og hos patienter med risiko for disse lidelser.</w:t>
      </w:r>
    </w:p>
    <w:p w:rsidR="00585EB8" w:rsidRPr="003B5FC9" w:rsidRDefault="00585EB8" w:rsidP="00585EB8">
      <w:pPr>
        <w:numPr>
          <w:ilvl w:val="0"/>
          <w:numId w:val="6"/>
        </w:numPr>
        <w:ind w:left="1276" w:hanging="425"/>
        <w:rPr>
          <w:sz w:val="24"/>
          <w:szCs w:val="24"/>
        </w:rPr>
      </w:pPr>
      <w:r w:rsidRPr="003B5FC9">
        <w:rPr>
          <w:sz w:val="24"/>
          <w:szCs w:val="24"/>
        </w:rPr>
        <w:t>Overfølsomhed over for det aktive stof eller over for et eller flere af hjælpestofferne anført i pkt. 6.1</w:t>
      </w:r>
    </w:p>
    <w:p w:rsidR="00585EB8" w:rsidRPr="003B5FC9" w:rsidRDefault="00585EB8" w:rsidP="00585EB8">
      <w:pPr>
        <w:numPr>
          <w:ilvl w:val="0"/>
          <w:numId w:val="6"/>
        </w:numPr>
        <w:ind w:left="1276" w:hanging="425"/>
        <w:rPr>
          <w:sz w:val="24"/>
          <w:szCs w:val="24"/>
        </w:rPr>
      </w:pPr>
      <w:r w:rsidRPr="003B5FC9">
        <w:rPr>
          <w:sz w:val="24"/>
          <w:szCs w:val="24"/>
        </w:rPr>
        <w:t>Hæmodialysebehandling (se pkt. 5.2)</w:t>
      </w:r>
    </w:p>
    <w:p w:rsidR="00585EB8" w:rsidRPr="003B5FC9" w:rsidRDefault="00585EB8" w:rsidP="00585EB8">
      <w:pPr>
        <w:numPr>
          <w:ilvl w:val="0"/>
          <w:numId w:val="6"/>
        </w:numPr>
        <w:ind w:left="1276" w:hanging="425"/>
        <w:rPr>
          <w:sz w:val="24"/>
          <w:szCs w:val="24"/>
        </w:rPr>
      </w:pPr>
      <w:r w:rsidRPr="003B5FC9">
        <w:rPr>
          <w:sz w:val="24"/>
          <w:szCs w:val="24"/>
        </w:rPr>
        <w:t>Svært nedsat leverfunktion (se pkt. 5.2)</w:t>
      </w:r>
    </w:p>
    <w:p w:rsidR="00585EB8" w:rsidRPr="003B5FC9" w:rsidRDefault="00585EB8" w:rsidP="00585EB8">
      <w:pPr>
        <w:numPr>
          <w:ilvl w:val="0"/>
          <w:numId w:val="6"/>
        </w:numPr>
        <w:ind w:left="1276" w:hanging="425"/>
        <w:rPr>
          <w:sz w:val="24"/>
          <w:szCs w:val="24"/>
        </w:rPr>
      </w:pPr>
      <w:r w:rsidRPr="003B5FC9">
        <w:rPr>
          <w:sz w:val="24"/>
          <w:szCs w:val="24"/>
        </w:rPr>
        <w:lastRenderedPageBreak/>
        <w:t xml:space="preserve">Samtidig behandling med </w:t>
      </w:r>
      <w:proofErr w:type="spellStart"/>
      <w:r w:rsidRPr="003B5FC9">
        <w:rPr>
          <w:sz w:val="24"/>
          <w:szCs w:val="24"/>
        </w:rPr>
        <w:t>solifenacin</w:t>
      </w:r>
      <w:proofErr w:type="spellEnd"/>
      <w:r w:rsidRPr="003B5FC9">
        <w:rPr>
          <w:sz w:val="24"/>
          <w:szCs w:val="24"/>
        </w:rPr>
        <w:t xml:space="preserve"> og en stærk CYP3A4-hæmmer f.eks. </w:t>
      </w:r>
      <w:proofErr w:type="spellStart"/>
      <w:r w:rsidRPr="003B5FC9">
        <w:rPr>
          <w:sz w:val="24"/>
          <w:szCs w:val="24"/>
        </w:rPr>
        <w:t>ketoconazol</w:t>
      </w:r>
      <w:proofErr w:type="spellEnd"/>
      <w:r w:rsidRPr="003B5FC9">
        <w:rPr>
          <w:sz w:val="24"/>
          <w:szCs w:val="24"/>
        </w:rPr>
        <w:t xml:space="preserve"> ved svær nyreinsufficiens eller moderat nedsat leverfunktion (se pkt. 4.5).</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4.4</w:t>
      </w:r>
      <w:r w:rsidRPr="003B5FC9">
        <w:rPr>
          <w:b/>
          <w:sz w:val="24"/>
          <w:szCs w:val="24"/>
        </w:rPr>
        <w:tab/>
        <w:t>Særlige advarsler og forsigtighedsregler vedrørende brugen</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 xml:space="preserve">Andre årsager til hyppig vandladning (hjertesvigt eller nyrelidelser) bør undersøges før behandling med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påbegyndes. Ved samtidig urinvejsinfektion bør passende antibiotisk behandling igangsættes.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skal anvendes med forsigtighed til patienter med:</w:t>
      </w:r>
    </w:p>
    <w:p w:rsidR="00585EB8" w:rsidRPr="003B5FC9" w:rsidRDefault="00585EB8" w:rsidP="00585EB8">
      <w:pPr>
        <w:numPr>
          <w:ilvl w:val="0"/>
          <w:numId w:val="7"/>
        </w:numPr>
        <w:ind w:left="1276" w:hanging="425"/>
        <w:rPr>
          <w:sz w:val="24"/>
          <w:szCs w:val="24"/>
        </w:rPr>
      </w:pPr>
      <w:r w:rsidRPr="003B5FC9">
        <w:rPr>
          <w:sz w:val="24"/>
          <w:szCs w:val="24"/>
        </w:rPr>
        <w:t>klinisk signifikant blæreobstruktion med risiko for urinretention</w:t>
      </w:r>
    </w:p>
    <w:p w:rsidR="00585EB8" w:rsidRPr="003B5FC9" w:rsidRDefault="00585EB8" w:rsidP="00585EB8">
      <w:pPr>
        <w:numPr>
          <w:ilvl w:val="0"/>
          <w:numId w:val="7"/>
        </w:numPr>
        <w:ind w:left="1276" w:hanging="425"/>
        <w:rPr>
          <w:sz w:val="24"/>
          <w:szCs w:val="24"/>
        </w:rPr>
      </w:pPr>
      <w:proofErr w:type="spellStart"/>
      <w:r w:rsidRPr="003B5FC9">
        <w:rPr>
          <w:sz w:val="24"/>
          <w:szCs w:val="24"/>
        </w:rPr>
        <w:t>gastrointestinale</w:t>
      </w:r>
      <w:proofErr w:type="spellEnd"/>
      <w:r w:rsidRPr="003B5FC9">
        <w:rPr>
          <w:sz w:val="24"/>
          <w:szCs w:val="24"/>
        </w:rPr>
        <w:t xml:space="preserve"> obstruktive lidelser</w:t>
      </w:r>
    </w:p>
    <w:p w:rsidR="00585EB8" w:rsidRPr="003B5FC9" w:rsidRDefault="00585EB8" w:rsidP="00585EB8">
      <w:pPr>
        <w:numPr>
          <w:ilvl w:val="0"/>
          <w:numId w:val="7"/>
        </w:numPr>
        <w:ind w:left="1276" w:hanging="425"/>
        <w:rPr>
          <w:sz w:val="24"/>
          <w:szCs w:val="24"/>
        </w:rPr>
      </w:pPr>
      <w:r w:rsidRPr="003B5FC9">
        <w:rPr>
          <w:sz w:val="24"/>
          <w:szCs w:val="24"/>
        </w:rPr>
        <w:t xml:space="preserve">risiko for nedsat </w:t>
      </w:r>
      <w:proofErr w:type="spellStart"/>
      <w:r w:rsidRPr="003B5FC9">
        <w:rPr>
          <w:sz w:val="24"/>
          <w:szCs w:val="24"/>
        </w:rPr>
        <w:t>gastrointestinal</w:t>
      </w:r>
      <w:proofErr w:type="spellEnd"/>
      <w:r w:rsidRPr="003B5FC9">
        <w:rPr>
          <w:sz w:val="24"/>
          <w:szCs w:val="24"/>
        </w:rPr>
        <w:t xml:space="preserve"> </w:t>
      </w:r>
      <w:proofErr w:type="spellStart"/>
      <w:r w:rsidRPr="003B5FC9">
        <w:rPr>
          <w:sz w:val="24"/>
          <w:szCs w:val="24"/>
        </w:rPr>
        <w:t>motilitet</w:t>
      </w:r>
      <w:proofErr w:type="spellEnd"/>
    </w:p>
    <w:p w:rsidR="00585EB8" w:rsidRPr="003B5FC9" w:rsidRDefault="00585EB8" w:rsidP="00585EB8">
      <w:pPr>
        <w:numPr>
          <w:ilvl w:val="0"/>
          <w:numId w:val="7"/>
        </w:numPr>
        <w:ind w:left="1276" w:hanging="425"/>
        <w:rPr>
          <w:sz w:val="24"/>
          <w:szCs w:val="24"/>
        </w:rPr>
      </w:pPr>
      <w:r w:rsidRPr="003B5FC9">
        <w:rPr>
          <w:sz w:val="24"/>
          <w:szCs w:val="24"/>
        </w:rPr>
        <w:t>svært nedsat nyrefunktion (</w:t>
      </w:r>
      <w:proofErr w:type="spellStart"/>
      <w:r w:rsidRPr="003B5FC9">
        <w:rPr>
          <w:sz w:val="24"/>
          <w:szCs w:val="24"/>
        </w:rPr>
        <w:t>kreatininclearance</w:t>
      </w:r>
      <w:proofErr w:type="spellEnd"/>
      <w:r w:rsidRPr="003B5FC9">
        <w:rPr>
          <w:sz w:val="24"/>
          <w:szCs w:val="24"/>
        </w:rPr>
        <w:t xml:space="preserve"> </w:t>
      </w:r>
      <w:r w:rsidRPr="003B5FC9">
        <w:rPr>
          <w:sz w:val="24"/>
          <w:szCs w:val="24"/>
        </w:rPr>
        <w:sym w:font="Symbol" w:char="F0A3"/>
      </w:r>
      <w:r w:rsidRPr="003B5FC9">
        <w:rPr>
          <w:sz w:val="24"/>
          <w:szCs w:val="24"/>
        </w:rPr>
        <w:t xml:space="preserve"> 30 ml/min, se pkt. 4.2 og 5.2). Dosis bør ikke overskride 5 mg én gang </w:t>
      </w:r>
      <w:r>
        <w:rPr>
          <w:sz w:val="24"/>
          <w:szCs w:val="24"/>
        </w:rPr>
        <w:t>daglig</w:t>
      </w:r>
    </w:p>
    <w:p w:rsidR="00585EB8" w:rsidRPr="003B5FC9" w:rsidRDefault="00585EB8" w:rsidP="00585EB8">
      <w:pPr>
        <w:numPr>
          <w:ilvl w:val="0"/>
          <w:numId w:val="7"/>
        </w:numPr>
        <w:ind w:left="1276" w:hanging="425"/>
        <w:rPr>
          <w:sz w:val="24"/>
          <w:szCs w:val="24"/>
        </w:rPr>
      </w:pPr>
      <w:r w:rsidRPr="003B5FC9">
        <w:rPr>
          <w:sz w:val="24"/>
          <w:szCs w:val="24"/>
        </w:rPr>
        <w:t>moderat nedsat leverfunktion (Child-</w:t>
      </w:r>
      <w:proofErr w:type="spellStart"/>
      <w:r w:rsidRPr="003B5FC9">
        <w:rPr>
          <w:sz w:val="24"/>
          <w:szCs w:val="24"/>
        </w:rPr>
        <w:t>Pugh</w:t>
      </w:r>
      <w:proofErr w:type="spellEnd"/>
      <w:r w:rsidRPr="003B5FC9">
        <w:rPr>
          <w:sz w:val="24"/>
          <w:szCs w:val="24"/>
        </w:rPr>
        <w:t xml:space="preserve"> score 7-9, se pkt. 4.2 og 5.2). Dosis bør ikke overskride 5 mg én gang </w:t>
      </w:r>
      <w:r>
        <w:rPr>
          <w:sz w:val="24"/>
          <w:szCs w:val="24"/>
        </w:rPr>
        <w:t>daglig</w:t>
      </w:r>
    </w:p>
    <w:p w:rsidR="00585EB8" w:rsidRPr="003B5FC9" w:rsidRDefault="00585EB8" w:rsidP="00585EB8">
      <w:pPr>
        <w:numPr>
          <w:ilvl w:val="0"/>
          <w:numId w:val="7"/>
        </w:numPr>
        <w:ind w:left="1276" w:hanging="425"/>
        <w:rPr>
          <w:sz w:val="24"/>
          <w:szCs w:val="24"/>
        </w:rPr>
      </w:pPr>
      <w:r w:rsidRPr="003B5FC9">
        <w:rPr>
          <w:sz w:val="24"/>
          <w:szCs w:val="24"/>
        </w:rPr>
        <w:t xml:space="preserve">samtidig brug af en stærk CYP3A4-hæmmer f.eks. </w:t>
      </w:r>
      <w:proofErr w:type="spellStart"/>
      <w:r w:rsidRPr="003B5FC9">
        <w:rPr>
          <w:sz w:val="24"/>
          <w:szCs w:val="24"/>
        </w:rPr>
        <w:t>ketoconazol</w:t>
      </w:r>
      <w:proofErr w:type="spellEnd"/>
      <w:r w:rsidRPr="003B5FC9">
        <w:rPr>
          <w:sz w:val="24"/>
          <w:szCs w:val="24"/>
        </w:rPr>
        <w:t xml:space="preserve"> (se pkt. 4.2 og 4.5)</w:t>
      </w:r>
    </w:p>
    <w:p w:rsidR="00585EB8" w:rsidRPr="003B5FC9" w:rsidRDefault="00585EB8" w:rsidP="00585EB8">
      <w:pPr>
        <w:numPr>
          <w:ilvl w:val="0"/>
          <w:numId w:val="7"/>
        </w:numPr>
        <w:ind w:left="1276" w:hanging="425"/>
        <w:rPr>
          <w:sz w:val="24"/>
          <w:szCs w:val="24"/>
        </w:rPr>
      </w:pPr>
      <w:proofErr w:type="spellStart"/>
      <w:r w:rsidRPr="003B5FC9">
        <w:rPr>
          <w:sz w:val="24"/>
          <w:szCs w:val="24"/>
        </w:rPr>
        <w:t>hiatus</w:t>
      </w:r>
      <w:proofErr w:type="spellEnd"/>
      <w:r w:rsidRPr="003B5FC9">
        <w:rPr>
          <w:sz w:val="24"/>
          <w:szCs w:val="24"/>
        </w:rPr>
        <w:t xml:space="preserve"> </w:t>
      </w:r>
      <w:proofErr w:type="spellStart"/>
      <w:r w:rsidRPr="003B5FC9">
        <w:rPr>
          <w:sz w:val="24"/>
          <w:szCs w:val="24"/>
        </w:rPr>
        <w:t>hernie</w:t>
      </w:r>
      <w:proofErr w:type="spellEnd"/>
      <w:r w:rsidRPr="003B5FC9">
        <w:rPr>
          <w:sz w:val="24"/>
          <w:szCs w:val="24"/>
        </w:rPr>
        <w:t>/</w:t>
      </w:r>
      <w:proofErr w:type="spellStart"/>
      <w:r w:rsidRPr="003B5FC9">
        <w:rPr>
          <w:sz w:val="24"/>
          <w:szCs w:val="24"/>
        </w:rPr>
        <w:t>gastro-øsofagal</w:t>
      </w:r>
      <w:proofErr w:type="spellEnd"/>
      <w:r w:rsidRPr="003B5FC9">
        <w:rPr>
          <w:sz w:val="24"/>
          <w:szCs w:val="24"/>
        </w:rPr>
        <w:t xml:space="preserve"> </w:t>
      </w:r>
      <w:proofErr w:type="spellStart"/>
      <w:r w:rsidRPr="003B5FC9">
        <w:rPr>
          <w:sz w:val="24"/>
          <w:szCs w:val="24"/>
        </w:rPr>
        <w:t>refluks</w:t>
      </w:r>
      <w:proofErr w:type="spellEnd"/>
      <w:r w:rsidRPr="003B5FC9">
        <w:rPr>
          <w:sz w:val="24"/>
          <w:szCs w:val="24"/>
        </w:rPr>
        <w:t xml:space="preserve"> og/eller til patienter som samtidig tager medicin som kan forårsage eller forværre </w:t>
      </w:r>
      <w:proofErr w:type="spellStart"/>
      <w:r w:rsidRPr="003B5FC9">
        <w:rPr>
          <w:sz w:val="24"/>
          <w:szCs w:val="24"/>
        </w:rPr>
        <w:t>øsofagitis</w:t>
      </w:r>
      <w:proofErr w:type="spellEnd"/>
      <w:r w:rsidRPr="003B5FC9">
        <w:rPr>
          <w:sz w:val="24"/>
          <w:szCs w:val="24"/>
        </w:rPr>
        <w:t xml:space="preserve"> (såsom </w:t>
      </w:r>
      <w:proofErr w:type="spellStart"/>
      <w:r w:rsidRPr="003B5FC9">
        <w:rPr>
          <w:sz w:val="24"/>
          <w:szCs w:val="24"/>
        </w:rPr>
        <w:t>bisphosphonater</w:t>
      </w:r>
      <w:proofErr w:type="spellEnd"/>
      <w:r w:rsidRPr="003B5FC9">
        <w:rPr>
          <w:sz w:val="24"/>
          <w:szCs w:val="24"/>
        </w:rPr>
        <w:t>)</w:t>
      </w:r>
    </w:p>
    <w:p w:rsidR="00585EB8" w:rsidRPr="003B5FC9" w:rsidRDefault="00585EB8" w:rsidP="00585EB8">
      <w:pPr>
        <w:numPr>
          <w:ilvl w:val="0"/>
          <w:numId w:val="7"/>
        </w:numPr>
        <w:ind w:left="1276" w:hanging="425"/>
        <w:rPr>
          <w:sz w:val="24"/>
          <w:szCs w:val="24"/>
        </w:rPr>
      </w:pPr>
      <w:r w:rsidRPr="003B5FC9">
        <w:rPr>
          <w:sz w:val="24"/>
          <w:szCs w:val="24"/>
        </w:rPr>
        <w:t xml:space="preserve">autonom </w:t>
      </w:r>
      <w:proofErr w:type="spellStart"/>
      <w:r w:rsidRPr="003B5FC9">
        <w:rPr>
          <w:sz w:val="24"/>
          <w:szCs w:val="24"/>
        </w:rPr>
        <w:t>neuropati</w:t>
      </w:r>
      <w:proofErr w:type="spellEnd"/>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QT-forlængelse og </w:t>
      </w:r>
      <w:proofErr w:type="spellStart"/>
      <w:r w:rsidRPr="003B5FC9">
        <w:rPr>
          <w:sz w:val="24"/>
          <w:szCs w:val="24"/>
        </w:rPr>
        <w:t>Torsade</w:t>
      </w:r>
      <w:proofErr w:type="spellEnd"/>
      <w:r w:rsidRPr="003B5FC9">
        <w:rPr>
          <w:sz w:val="24"/>
          <w:szCs w:val="24"/>
        </w:rPr>
        <w:t xml:space="preserve"> de Pointes er blevet observeret i patienter med risikofaktorer så som allerede eksisterende langt QT-syndrom eller </w:t>
      </w:r>
      <w:proofErr w:type="spellStart"/>
      <w:r w:rsidRPr="003B5FC9">
        <w:rPr>
          <w:sz w:val="24"/>
          <w:szCs w:val="24"/>
        </w:rPr>
        <w:t>hypokaliæmi</w:t>
      </w:r>
      <w:proofErr w:type="spellEnd"/>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Sikkerhed og effekt er endnu ikke blevet fastslået hos patienter med en </w:t>
      </w:r>
      <w:proofErr w:type="spellStart"/>
      <w:r w:rsidRPr="003B5FC9">
        <w:rPr>
          <w:sz w:val="24"/>
          <w:szCs w:val="24"/>
        </w:rPr>
        <w:t>neurogenisk</w:t>
      </w:r>
      <w:proofErr w:type="spellEnd"/>
      <w:r w:rsidRPr="003B5FC9">
        <w:rPr>
          <w:sz w:val="24"/>
          <w:szCs w:val="24"/>
        </w:rPr>
        <w:t xml:space="preserve"> årsag til </w:t>
      </w:r>
      <w:proofErr w:type="spellStart"/>
      <w:r w:rsidRPr="003B5FC9">
        <w:rPr>
          <w:sz w:val="24"/>
          <w:szCs w:val="24"/>
        </w:rPr>
        <w:t>detrusor</w:t>
      </w:r>
      <w:proofErr w:type="spellEnd"/>
      <w:r w:rsidRPr="003B5FC9">
        <w:rPr>
          <w:sz w:val="24"/>
          <w:szCs w:val="24"/>
        </w:rPr>
        <w:t xml:space="preserve"> overaktivitet.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Angioødem</w:t>
      </w:r>
      <w:proofErr w:type="spellEnd"/>
      <w:r w:rsidRPr="003B5FC9">
        <w:rPr>
          <w:sz w:val="24"/>
          <w:szCs w:val="24"/>
        </w:rPr>
        <w:t xml:space="preserve"> med luftvejsobstruktion er rapporteret hos nogle patienter i behandling med </w:t>
      </w:r>
      <w:proofErr w:type="spellStart"/>
      <w:r w:rsidRPr="003B5FC9">
        <w:rPr>
          <w:sz w:val="24"/>
          <w:szCs w:val="24"/>
        </w:rPr>
        <w:t>solifenacinsuccinat</w:t>
      </w:r>
      <w:proofErr w:type="spellEnd"/>
      <w:r w:rsidRPr="003B5FC9">
        <w:rPr>
          <w:sz w:val="24"/>
          <w:szCs w:val="24"/>
        </w:rPr>
        <w:t xml:space="preserve">. Såfremt </w:t>
      </w:r>
      <w:proofErr w:type="spellStart"/>
      <w:r w:rsidRPr="003B5FC9">
        <w:rPr>
          <w:sz w:val="24"/>
          <w:szCs w:val="24"/>
        </w:rPr>
        <w:t>angioødem</w:t>
      </w:r>
      <w:proofErr w:type="spellEnd"/>
      <w:r w:rsidRPr="003B5FC9">
        <w:rPr>
          <w:sz w:val="24"/>
          <w:szCs w:val="24"/>
        </w:rPr>
        <w:t xml:space="preserve"> opstår bør behandling med </w:t>
      </w:r>
      <w:proofErr w:type="spellStart"/>
      <w:r w:rsidRPr="003B5FC9">
        <w:rPr>
          <w:sz w:val="24"/>
          <w:szCs w:val="24"/>
        </w:rPr>
        <w:t>solifenacinsuccinat</w:t>
      </w:r>
      <w:proofErr w:type="spellEnd"/>
      <w:r w:rsidRPr="003B5FC9">
        <w:rPr>
          <w:sz w:val="24"/>
          <w:szCs w:val="24"/>
        </w:rPr>
        <w:t xml:space="preserve"> seponeres og anden relevant behandling og/eller foranstaltninger igangsættes.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Anafylatisk</w:t>
      </w:r>
      <w:proofErr w:type="spellEnd"/>
      <w:r w:rsidRPr="003B5FC9">
        <w:rPr>
          <w:sz w:val="24"/>
          <w:szCs w:val="24"/>
        </w:rPr>
        <w:t xml:space="preserve"> reaktion er blevet rapporteret hos nogle patienter i behandling med </w:t>
      </w:r>
      <w:proofErr w:type="spellStart"/>
      <w:r w:rsidRPr="003B5FC9">
        <w:rPr>
          <w:sz w:val="24"/>
          <w:szCs w:val="24"/>
        </w:rPr>
        <w:t>solifenacinsuccinat</w:t>
      </w:r>
      <w:proofErr w:type="spellEnd"/>
      <w:r w:rsidRPr="003B5FC9">
        <w:rPr>
          <w:sz w:val="24"/>
          <w:szCs w:val="24"/>
        </w:rPr>
        <w:t xml:space="preserve">. Hos patienter, der udvikler </w:t>
      </w:r>
      <w:proofErr w:type="spellStart"/>
      <w:r w:rsidRPr="003B5FC9">
        <w:rPr>
          <w:sz w:val="24"/>
          <w:szCs w:val="24"/>
        </w:rPr>
        <w:t>anafylaktiske</w:t>
      </w:r>
      <w:proofErr w:type="spellEnd"/>
      <w:r w:rsidRPr="003B5FC9">
        <w:rPr>
          <w:sz w:val="24"/>
          <w:szCs w:val="24"/>
        </w:rPr>
        <w:t xml:space="preserve"> reaktioner, bør behandling med </w:t>
      </w:r>
      <w:proofErr w:type="spellStart"/>
      <w:r w:rsidRPr="003B5FC9">
        <w:rPr>
          <w:sz w:val="24"/>
          <w:szCs w:val="24"/>
        </w:rPr>
        <w:t>solifenacinsuccinat</w:t>
      </w:r>
      <w:proofErr w:type="spellEnd"/>
      <w:r w:rsidRPr="003B5FC9">
        <w:rPr>
          <w:sz w:val="24"/>
          <w:szCs w:val="24"/>
        </w:rPr>
        <w:t xml:space="preserve"> seponeres og anden relevant behandling og/eller foranstaltninger igangsættes.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Den maksimale virkning af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kan tidligst fastslås efter 4 ugers behandling.</w:t>
      </w:r>
    </w:p>
    <w:p w:rsidR="00585EB8" w:rsidRPr="003B5FC9" w:rsidRDefault="00585EB8" w:rsidP="00585EB8">
      <w:pPr>
        <w:tabs>
          <w:tab w:val="left" w:pos="851"/>
        </w:tabs>
        <w:ind w:left="851" w:hanging="851"/>
        <w:rPr>
          <w:sz w:val="24"/>
          <w:szCs w:val="24"/>
        </w:rPr>
      </w:pPr>
    </w:p>
    <w:p w:rsidR="000620DF" w:rsidRPr="00896CF2" w:rsidRDefault="000620DF" w:rsidP="000620DF">
      <w:pPr>
        <w:tabs>
          <w:tab w:val="left" w:pos="851"/>
        </w:tabs>
        <w:ind w:left="851"/>
        <w:rPr>
          <w:i/>
          <w:sz w:val="24"/>
          <w:szCs w:val="24"/>
        </w:rPr>
      </w:pPr>
      <w:proofErr w:type="spellStart"/>
      <w:r w:rsidRPr="00896CF2">
        <w:rPr>
          <w:i/>
          <w:sz w:val="24"/>
          <w:szCs w:val="24"/>
        </w:rPr>
        <w:t>Lactose</w:t>
      </w:r>
      <w:proofErr w:type="spellEnd"/>
    </w:p>
    <w:p w:rsidR="000620DF" w:rsidRDefault="000620DF" w:rsidP="000620DF">
      <w:pPr>
        <w:tabs>
          <w:tab w:val="left" w:pos="851"/>
        </w:tabs>
        <w:ind w:left="851" w:hanging="851"/>
        <w:rPr>
          <w:sz w:val="24"/>
          <w:szCs w:val="24"/>
        </w:rPr>
      </w:pPr>
      <w:r>
        <w:rPr>
          <w:sz w:val="24"/>
          <w:szCs w:val="24"/>
        </w:rPr>
        <w:tab/>
      </w:r>
      <w:r w:rsidRPr="003B5FC9">
        <w:rPr>
          <w:sz w:val="24"/>
          <w:szCs w:val="24"/>
        </w:rPr>
        <w:t xml:space="preserve">Bør ikke anvendes </w:t>
      </w:r>
      <w:r>
        <w:rPr>
          <w:sz w:val="24"/>
          <w:szCs w:val="24"/>
        </w:rPr>
        <w:t>til</w:t>
      </w:r>
      <w:r w:rsidRPr="003B5FC9">
        <w:rPr>
          <w:sz w:val="24"/>
          <w:szCs w:val="24"/>
        </w:rPr>
        <w:t xml:space="preserve"> patienter med </w:t>
      </w:r>
      <w:r w:rsidRPr="00744006">
        <w:rPr>
          <w:sz w:val="24"/>
          <w:szCs w:val="24"/>
        </w:rPr>
        <w:t>hereditær</w:t>
      </w:r>
      <w:r w:rsidRPr="003B5FC9">
        <w:rPr>
          <w:sz w:val="24"/>
          <w:szCs w:val="24"/>
        </w:rPr>
        <w:t xml:space="preserve"> </w:t>
      </w:r>
      <w:proofErr w:type="spellStart"/>
      <w:r w:rsidRPr="003B5FC9">
        <w:rPr>
          <w:sz w:val="24"/>
          <w:szCs w:val="24"/>
        </w:rPr>
        <w:t>galactoseintoleran</w:t>
      </w:r>
      <w:r>
        <w:rPr>
          <w:sz w:val="24"/>
          <w:szCs w:val="24"/>
        </w:rPr>
        <w:t>s</w:t>
      </w:r>
      <w:proofErr w:type="spellEnd"/>
      <w:r w:rsidRPr="003B5FC9">
        <w:rPr>
          <w:sz w:val="24"/>
          <w:szCs w:val="24"/>
        </w:rPr>
        <w:t xml:space="preserve">, </w:t>
      </w:r>
      <w:r w:rsidRPr="00896CF2">
        <w:rPr>
          <w:sz w:val="24"/>
          <w:szCs w:val="24"/>
        </w:rPr>
        <w:t xml:space="preserve">total </w:t>
      </w:r>
      <w:proofErr w:type="spellStart"/>
      <w:r w:rsidRPr="00896CF2">
        <w:rPr>
          <w:sz w:val="24"/>
          <w:szCs w:val="24"/>
        </w:rPr>
        <w:t>lactasemangel</w:t>
      </w:r>
      <w:proofErr w:type="spellEnd"/>
      <w:r w:rsidRPr="003B5FC9">
        <w:rPr>
          <w:sz w:val="24"/>
          <w:szCs w:val="24"/>
        </w:rPr>
        <w:t xml:space="preserve"> eller </w:t>
      </w:r>
      <w:proofErr w:type="spellStart"/>
      <w:r w:rsidRPr="003B5FC9">
        <w:rPr>
          <w:sz w:val="24"/>
          <w:szCs w:val="24"/>
        </w:rPr>
        <w:t>glucose</w:t>
      </w:r>
      <w:proofErr w:type="spellEnd"/>
      <w:r>
        <w:rPr>
          <w:sz w:val="24"/>
          <w:szCs w:val="24"/>
        </w:rPr>
        <w:t>/</w:t>
      </w:r>
      <w:proofErr w:type="spellStart"/>
      <w:r w:rsidRPr="003B5FC9">
        <w:rPr>
          <w:sz w:val="24"/>
          <w:szCs w:val="24"/>
        </w:rPr>
        <w:t>galactosemalabsorption</w:t>
      </w:r>
      <w:proofErr w:type="spellEnd"/>
      <w:r w:rsidRPr="003B5FC9">
        <w:rPr>
          <w:sz w:val="24"/>
          <w:szCs w:val="24"/>
        </w:rPr>
        <w: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4.5</w:t>
      </w:r>
      <w:r w:rsidRPr="003B5FC9">
        <w:rPr>
          <w:b/>
          <w:sz w:val="24"/>
          <w:szCs w:val="24"/>
        </w:rPr>
        <w:tab/>
        <w:t>Interaktion med andre lægemidler og andre former for interaktion</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bCs/>
          <w:sz w:val="24"/>
          <w:szCs w:val="24"/>
          <w:u w:val="single"/>
          <w:lang w:eastAsia="da-DK"/>
        </w:rPr>
      </w:pPr>
      <w:r w:rsidRPr="003B5FC9">
        <w:rPr>
          <w:sz w:val="24"/>
          <w:szCs w:val="24"/>
        </w:rPr>
        <w:tab/>
      </w:r>
      <w:r w:rsidRPr="003B5FC9">
        <w:rPr>
          <w:sz w:val="24"/>
          <w:szCs w:val="24"/>
          <w:u w:val="single"/>
        </w:rPr>
        <w:t>Farmakologiske interaktioner</w:t>
      </w:r>
    </w:p>
    <w:p w:rsidR="00585EB8" w:rsidRPr="003B5FC9"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Samtidig behandling med andre lægemidler, der har </w:t>
      </w:r>
      <w:proofErr w:type="spellStart"/>
      <w:r w:rsidRPr="003B5FC9">
        <w:rPr>
          <w:sz w:val="24"/>
          <w:szCs w:val="24"/>
        </w:rPr>
        <w:t>anticholinerge</w:t>
      </w:r>
      <w:proofErr w:type="spellEnd"/>
      <w:r w:rsidRPr="003B5FC9">
        <w:rPr>
          <w:sz w:val="24"/>
          <w:szCs w:val="24"/>
        </w:rPr>
        <w:t xml:space="preserve"> egenskaber kan resultere i mere udtalte terapeutiske virkninger og bivirkninger. Der skal gå ca. en uge efter ophør af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behandling inden en anden </w:t>
      </w:r>
      <w:proofErr w:type="spellStart"/>
      <w:r w:rsidRPr="003B5FC9">
        <w:rPr>
          <w:sz w:val="24"/>
          <w:szCs w:val="24"/>
        </w:rPr>
        <w:t>anticholinerg</w:t>
      </w:r>
      <w:proofErr w:type="spellEnd"/>
      <w:r w:rsidRPr="003B5FC9">
        <w:rPr>
          <w:sz w:val="24"/>
          <w:szCs w:val="24"/>
        </w:rPr>
        <w:t xml:space="preserve"> behandling påbegyndes. Den terapeutiske virkning af </w:t>
      </w:r>
      <w:proofErr w:type="spellStart"/>
      <w:r w:rsidRPr="003B5FC9">
        <w:rPr>
          <w:sz w:val="24"/>
          <w:szCs w:val="24"/>
        </w:rPr>
        <w:t>solifenacin</w:t>
      </w:r>
      <w:proofErr w:type="spellEnd"/>
      <w:r w:rsidRPr="003B5FC9">
        <w:rPr>
          <w:sz w:val="24"/>
          <w:szCs w:val="24"/>
        </w:rPr>
        <w:t xml:space="preserve"> kan nedsættes ved samtidig </w:t>
      </w:r>
      <w:r w:rsidRPr="003B5FC9">
        <w:rPr>
          <w:sz w:val="24"/>
          <w:szCs w:val="24"/>
        </w:rPr>
        <w:lastRenderedPageBreak/>
        <w:t xml:space="preserve">administration af </w:t>
      </w:r>
      <w:proofErr w:type="spellStart"/>
      <w:r w:rsidRPr="003B5FC9">
        <w:rPr>
          <w:sz w:val="24"/>
          <w:szCs w:val="24"/>
        </w:rPr>
        <w:t>cholinerge</w:t>
      </w:r>
      <w:proofErr w:type="spellEnd"/>
      <w:r w:rsidRPr="003B5FC9">
        <w:rPr>
          <w:sz w:val="24"/>
          <w:szCs w:val="24"/>
        </w:rPr>
        <w:t xml:space="preserve"> receptoragonister. </w:t>
      </w:r>
      <w:proofErr w:type="spellStart"/>
      <w:r w:rsidRPr="003B5FC9">
        <w:rPr>
          <w:sz w:val="24"/>
          <w:szCs w:val="24"/>
        </w:rPr>
        <w:t>Solifenacin</w:t>
      </w:r>
      <w:proofErr w:type="spellEnd"/>
      <w:r w:rsidRPr="003B5FC9">
        <w:rPr>
          <w:sz w:val="24"/>
          <w:szCs w:val="24"/>
        </w:rPr>
        <w:t xml:space="preserve"> kan reducere virkningen af midler, der stimulerer den </w:t>
      </w:r>
      <w:proofErr w:type="spellStart"/>
      <w:r w:rsidRPr="003B5FC9">
        <w:rPr>
          <w:sz w:val="24"/>
          <w:szCs w:val="24"/>
        </w:rPr>
        <w:t>gastrointestinale</w:t>
      </w:r>
      <w:proofErr w:type="spellEnd"/>
      <w:r w:rsidRPr="003B5FC9">
        <w:rPr>
          <w:sz w:val="24"/>
          <w:szCs w:val="24"/>
        </w:rPr>
        <w:t xml:space="preserve"> </w:t>
      </w:r>
      <w:proofErr w:type="spellStart"/>
      <w:r w:rsidRPr="003B5FC9">
        <w:rPr>
          <w:sz w:val="24"/>
          <w:szCs w:val="24"/>
        </w:rPr>
        <w:t>motilitet</w:t>
      </w:r>
      <w:proofErr w:type="spellEnd"/>
      <w:r w:rsidRPr="003B5FC9">
        <w:rPr>
          <w:sz w:val="24"/>
          <w:szCs w:val="24"/>
        </w:rPr>
        <w:t xml:space="preserve">, f.eks. </w:t>
      </w:r>
      <w:proofErr w:type="spellStart"/>
      <w:r w:rsidRPr="003B5FC9">
        <w:rPr>
          <w:sz w:val="24"/>
          <w:szCs w:val="24"/>
        </w:rPr>
        <w:t>metoclopramid</w:t>
      </w:r>
      <w:proofErr w:type="spellEnd"/>
      <w:r w:rsidRPr="003B5FC9">
        <w:rPr>
          <w:sz w:val="24"/>
          <w:szCs w:val="24"/>
        </w:rPr>
        <w:t xml:space="preserve"> og </w:t>
      </w:r>
      <w:proofErr w:type="spellStart"/>
      <w:r w:rsidRPr="003B5FC9">
        <w:rPr>
          <w:sz w:val="24"/>
          <w:szCs w:val="24"/>
        </w:rPr>
        <w:t>cisaprid</w:t>
      </w:r>
      <w:proofErr w:type="spellEnd"/>
      <w:r w:rsidRPr="003B5FC9">
        <w:rPr>
          <w:sz w:val="24"/>
          <w:szCs w:val="24"/>
        </w:rPr>
        <w:t>.</w:t>
      </w:r>
    </w:p>
    <w:p w:rsidR="00585EB8" w:rsidRPr="003B5FC9" w:rsidRDefault="00585EB8" w:rsidP="00585EB8">
      <w:pPr>
        <w:tabs>
          <w:tab w:val="left" w:pos="851"/>
        </w:tabs>
        <w:ind w:left="851" w:hanging="851"/>
        <w:rPr>
          <w:bCs/>
          <w:sz w:val="24"/>
          <w:szCs w:val="24"/>
        </w:rPr>
      </w:pPr>
    </w:p>
    <w:p w:rsidR="00585EB8" w:rsidRPr="003B5FC9" w:rsidRDefault="00585EB8" w:rsidP="00585EB8">
      <w:pPr>
        <w:tabs>
          <w:tab w:val="left" w:pos="851"/>
        </w:tabs>
        <w:ind w:left="851" w:hanging="851"/>
        <w:rPr>
          <w:sz w:val="24"/>
          <w:szCs w:val="24"/>
          <w:u w:val="single"/>
        </w:rPr>
      </w:pPr>
      <w:r w:rsidRPr="003B5FC9">
        <w:rPr>
          <w:sz w:val="24"/>
          <w:szCs w:val="24"/>
        </w:rPr>
        <w:tab/>
      </w:r>
      <w:proofErr w:type="spellStart"/>
      <w:r w:rsidRPr="003B5FC9">
        <w:rPr>
          <w:sz w:val="24"/>
          <w:szCs w:val="24"/>
          <w:u w:val="single"/>
        </w:rPr>
        <w:t>Farmakokinetiske</w:t>
      </w:r>
      <w:proofErr w:type="spellEnd"/>
      <w:r w:rsidRPr="003B5FC9">
        <w:rPr>
          <w:sz w:val="24"/>
          <w:szCs w:val="24"/>
          <w:u w:val="single"/>
        </w:rPr>
        <w:t xml:space="preserve"> interaktioner</w:t>
      </w:r>
    </w:p>
    <w:p w:rsidR="00585EB8" w:rsidRPr="003B5FC9" w:rsidRDefault="00585EB8" w:rsidP="00585EB8">
      <w:pPr>
        <w:tabs>
          <w:tab w:val="left" w:pos="851"/>
        </w:tabs>
        <w:ind w:left="851" w:hanging="851"/>
        <w:rPr>
          <w:i/>
          <w:iCs/>
          <w:sz w:val="24"/>
          <w:szCs w:val="24"/>
        </w:rPr>
      </w:pPr>
    </w:p>
    <w:p w:rsidR="00585EB8" w:rsidRPr="003B5FC9" w:rsidRDefault="00585EB8" w:rsidP="00585EB8">
      <w:pPr>
        <w:tabs>
          <w:tab w:val="left" w:pos="851"/>
        </w:tabs>
        <w:ind w:left="851" w:hanging="851"/>
        <w:rPr>
          <w:sz w:val="24"/>
          <w:szCs w:val="24"/>
        </w:rPr>
      </w:pPr>
      <w:r>
        <w:rPr>
          <w:i/>
          <w:sz w:val="24"/>
          <w:szCs w:val="24"/>
        </w:rPr>
        <w:tab/>
      </w:r>
      <w:r w:rsidRPr="003B5FC9">
        <w:rPr>
          <w:i/>
          <w:sz w:val="24"/>
          <w:szCs w:val="24"/>
        </w:rPr>
        <w:t xml:space="preserve">In </w:t>
      </w:r>
      <w:proofErr w:type="spellStart"/>
      <w:r w:rsidRPr="003B5FC9">
        <w:rPr>
          <w:i/>
          <w:sz w:val="24"/>
          <w:szCs w:val="24"/>
        </w:rPr>
        <w:t>vitro</w:t>
      </w:r>
      <w:proofErr w:type="spellEnd"/>
      <w:r w:rsidRPr="003B5FC9">
        <w:rPr>
          <w:i/>
          <w:sz w:val="24"/>
          <w:szCs w:val="24"/>
        </w:rPr>
        <w:t xml:space="preserve"> </w:t>
      </w:r>
      <w:r w:rsidRPr="003B5FC9">
        <w:rPr>
          <w:sz w:val="24"/>
          <w:szCs w:val="24"/>
        </w:rPr>
        <w:t xml:space="preserve">studier har vist, at </w:t>
      </w:r>
      <w:proofErr w:type="spellStart"/>
      <w:r w:rsidRPr="003B5FC9">
        <w:rPr>
          <w:sz w:val="24"/>
          <w:szCs w:val="24"/>
        </w:rPr>
        <w:t>solifenacin</w:t>
      </w:r>
      <w:proofErr w:type="spellEnd"/>
      <w:r w:rsidRPr="003B5FC9">
        <w:rPr>
          <w:sz w:val="24"/>
          <w:szCs w:val="24"/>
        </w:rPr>
        <w:t xml:space="preserve"> ikke hæmmer CYP1A1/2, 2C9, 2C19, 2D6 eller 3A4 fra humane </w:t>
      </w:r>
      <w:proofErr w:type="spellStart"/>
      <w:r w:rsidRPr="003B5FC9">
        <w:rPr>
          <w:sz w:val="24"/>
          <w:szCs w:val="24"/>
        </w:rPr>
        <w:t>levermicrosomer</w:t>
      </w:r>
      <w:proofErr w:type="spellEnd"/>
      <w:r w:rsidRPr="003B5FC9">
        <w:rPr>
          <w:sz w:val="24"/>
          <w:szCs w:val="24"/>
        </w:rPr>
        <w:t xml:space="preserve"> ved terapeutiske koncentrationer. Det er derfor usandsynligt, at </w:t>
      </w:r>
      <w:proofErr w:type="spellStart"/>
      <w:r w:rsidRPr="003B5FC9">
        <w:rPr>
          <w:sz w:val="24"/>
          <w:szCs w:val="24"/>
        </w:rPr>
        <w:t>solifenacin</w:t>
      </w:r>
      <w:proofErr w:type="spellEnd"/>
      <w:r w:rsidRPr="003B5FC9">
        <w:rPr>
          <w:sz w:val="24"/>
          <w:szCs w:val="24"/>
        </w:rPr>
        <w:t xml:space="preserve"> ændrer </w:t>
      </w:r>
      <w:proofErr w:type="spellStart"/>
      <w:r w:rsidRPr="003B5FC9">
        <w:rPr>
          <w:sz w:val="24"/>
          <w:szCs w:val="24"/>
        </w:rPr>
        <w:t>clearance</w:t>
      </w:r>
      <w:proofErr w:type="spellEnd"/>
      <w:r w:rsidRPr="003B5FC9">
        <w:rPr>
          <w:sz w:val="24"/>
          <w:szCs w:val="24"/>
        </w:rPr>
        <w:t xml:space="preserve"> for lægemidler, der </w:t>
      </w:r>
      <w:proofErr w:type="spellStart"/>
      <w:r w:rsidRPr="003B5FC9">
        <w:rPr>
          <w:sz w:val="24"/>
          <w:szCs w:val="24"/>
        </w:rPr>
        <w:t>metaboliseres</w:t>
      </w:r>
      <w:proofErr w:type="spellEnd"/>
      <w:r w:rsidRPr="003B5FC9">
        <w:rPr>
          <w:sz w:val="24"/>
          <w:szCs w:val="24"/>
        </w:rPr>
        <w:t xml:space="preserve"> af disse CYP-enzymer.</w:t>
      </w:r>
    </w:p>
    <w:p w:rsidR="00585EB8" w:rsidRPr="003B5FC9" w:rsidRDefault="00585EB8" w:rsidP="00585EB8">
      <w:pPr>
        <w:tabs>
          <w:tab w:val="left" w:pos="851"/>
        </w:tabs>
        <w:ind w:left="851" w:hanging="851"/>
        <w:rPr>
          <w:bCs/>
          <w:sz w:val="24"/>
          <w:szCs w:val="24"/>
        </w:rPr>
      </w:pPr>
    </w:p>
    <w:p w:rsidR="00585EB8" w:rsidRPr="003B5FC9" w:rsidRDefault="00585EB8" w:rsidP="00585EB8">
      <w:pPr>
        <w:tabs>
          <w:tab w:val="left" w:pos="851"/>
        </w:tabs>
        <w:ind w:left="851"/>
        <w:rPr>
          <w:sz w:val="24"/>
          <w:szCs w:val="24"/>
          <w:u w:val="single"/>
        </w:rPr>
      </w:pPr>
      <w:r w:rsidRPr="003B5FC9">
        <w:rPr>
          <w:sz w:val="24"/>
          <w:szCs w:val="24"/>
          <w:u w:val="single"/>
        </w:rPr>
        <w:t xml:space="preserve">Andre lægemidlers virkning på </w:t>
      </w:r>
      <w:proofErr w:type="spellStart"/>
      <w:r w:rsidRPr="003B5FC9">
        <w:rPr>
          <w:sz w:val="24"/>
          <w:szCs w:val="24"/>
          <w:u w:val="single"/>
        </w:rPr>
        <w:t>solifenacins</w:t>
      </w:r>
      <w:proofErr w:type="spellEnd"/>
      <w:r w:rsidRPr="003B5FC9">
        <w:rPr>
          <w:sz w:val="24"/>
          <w:szCs w:val="24"/>
          <w:u w:val="single"/>
        </w:rPr>
        <w:t xml:space="preserve"> farmakokinetik</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Solifenacin</w:t>
      </w:r>
      <w:proofErr w:type="spellEnd"/>
      <w:r w:rsidRPr="003B5FC9">
        <w:rPr>
          <w:sz w:val="24"/>
          <w:szCs w:val="24"/>
        </w:rPr>
        <w:t xml:space="preserve"> </w:t>
      </w:r>
      <w:proofErr w:type="spellStart"/>
      <w:r w:rsidRPr="003B5FC9">
        <w:rPr>
          <w:sz w:val="24"/>
          <w:szCs w:val="24"/>
        </w:rPr>
        <w:t>metaboliseres</w:t>
      </w:r>
      <w:proofErr w:type="spellEnd"/>
      <w:r w:rsidRPr="003B5FC9">
        <w:rPr>
          <w:sz w:val="24"/>
          <w:szCs w:val="24"/>
        </w:rPr>
        <w:t xml:space="preserve"> af CYP3A4. Samtidig administration af </w:t>
      </w:r>
      <w:proofErr w:type="spellStart"/>
      <w:r w:rsidRPr="003B5FC9">
        <w:rPr>
          <w:sz w:val="24"/>
          <w:szCs w:val="24"/>
        </w:rPr>
        <w:t>ketoconazol</w:t>
      </w:r>
      <w:proofErr w:type="spellEnd"/>
      <w:r w:rsidRPr="003B5FC9">
        <w:rPr>
          <w:sz w:val="24"/>
          <w:szCs w:val="24"/>
        </w:rPr>
        <w:t xml:space="preserve"> (200 mg/dag), en stærk CYP3A4-hæmmer, resulterede i en fordobling af </w:t>
      </w:r>
      <w:proofErr w:type="spellStart"/>
      <w:r w:rsidRPr="003B5FC9">
        <w:rPr>
          <w:sz w:val="24"/>
          <w:szCs w:val="24"/>
        </w:rPr>
        <w:t>solifenacins</w:t>
      </w:r>
      <w:proofErr w:type="spellEnd"/>
      <w:r w:rsidRPr="003B5FC9">
        <w:rPr>
          <w:sz w:val="24"/>
          <w:szCs w:val="24"/>
        </w:rPr>
        <w:t xml:space="preserve"> AUC, mens </w:t>
      </w:r>
      <w:proofErr w:type="spellStart"/>
      <w:r w:rsidRPr="003B5FC9">
        <w:rPr>
          <w:sz w:val="24"/>
          <w:szCs w:val="24"/>
        </w:rPr>
        <w:t>ketoconazol</w:t>
      </w:r>
      <w:proofErr w:type="spellEnd"/>
      <w:r w:rsidRPr="003B5FC9">
        <w:rPr>
          <w:sz w:val="24"/>
          <w:szCs w:val="24"/>
        </w:rPr>
        <w:t xml:space="preserve"> 400 mg/dag resulterede i en tredobbelt stigning. Derfor bør maksimal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dosis begrænses til 5 mg ved samtidig behandling med </w:t>
      </w:r>
      <w:proofErr w:type="spellStart"/>
      <w:r w:rsidRPr="003B5FC9">
        <w:rPr>
          <w:sz w:val="24"/>
          <w:szCs w:val="24"/>
        </w:rPr>
        <w:t>ketoconazol</w:t>
      </w:r>
      <w:proofErr w:type="spellEnd"/>
      <w:r w:rsidRPr="003B5FC9">
        <w:rPr>
          <w:sz w:val="24"/>
          <w:szCs w:val="24"/>
        </w:rPr>
        <w:t xml:space="preserve"> eller terapeutiske doser af andre stærke CYP3A4-hæmmere (f.eks. </w:t>
      </w:r>
      <w:proofErr w:type="spellStart"/>
      <w:r w:rsidRPr="003B5FC9">
        <w:rPr>
          <w:sz w:val="24"/>
          <w:szCs w:val="24"/>
        </w:rPr>
        <w:t>ritonavir</w:t>
      </w:r>
      <w:proofErr w:type="spellEnd"/>
      <w:r w:rsidRPr="003B5FC9">
        <w:rPr>
          <w:sz w:val="24"/>
          <w:szCs w:val="24"/>
        </w:rPr>
        <w:t xml:space="preserve">, </w:t>
      </w:r>
      <w:proofErr w:type="spellStart"/>
      <w:r w:rsidRPr="003B5FC9">
        <w:rPr>
          <w:sz w:val="24"/>
          <w:szCs w:val="24"/>
        </w:rPr>
        <w:t>nelfinavir</w:t>
      </w:r>
      <w:proofErr w:type="spellEnd"/>
      <w:r w:rsidRPr="003B5FC9">
        <w:rPr>
          <w:sz w:val="24"/>
          <w:szCs w:val="24"/>
        </w:rPr>
        <w:t xml:space="preserve">, </w:t>
      </w:r>
      <w:proofErr w:type="spellStart"/>
      <w:r w:rsidRPr="003B5FC9">
        <w:rPr>
          <w:sz w:val="24"/>
          <w:szCs w:val="24"/>
        </w:rPr>
        <w:t>itraconazol</w:t>
      </w:r>
      <w:proofErr w:type="spellEnd"/>
      <w:r w:rsidRPr="003B5FC9">
        <w:rPr>
          <w:sz w:val="24"/>
          <w:szCs w:val="24"/>
        </w:rPr>
        <w:t>) (se pkt. 4.2).</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Samtidig behandling med </w:t>
      </w:r>
      <w:proofErr w:type="spellStart"/>
      <w:r w:rsidRPr="003B5FC9">
        <w:rPr>
          <w:sz w:val="24"/>
          <w:szCs w:val="24"/>
        </w:rPr>
        <w:t>solifenacin</w:t>
      </w:r>
      <w:proofErr w:type="spellEnd"/>
      <w:r w:rsidRPr="003B5FC9">
        <w:rPr>
          <w:sz w:val="24"/>
          <w:szCs w:val="24"/>
        </w:rPr>
        <w:t xml:space="preserve"> og en stærk CYP3A4 hæmmer er kontraindiceret hos patienter med svær nyreinsufficiens eller moderat leverinsufficiens.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Virkningen af enzyminduktion på </w:t>
      </w:r>
      <w:proofErr w:type="spellStart"/>
      <w:r w:rsidRPr="003B5FC9">
        <w:rPr>
          <w:sz w:val="24"/>
          <w:szCs w:val="24"/>
        </w:rPr>
        <w:t>solifenacins</w:t>
      </w:r>
      <w:proofErr w:type="spellEnd"/>
      <w:r w:rsidRPr="003B5FC9">
        <w:rPr>
          <w:sz w:val="24"/>
          <w:szCs w:val="24"/>
        </w:rPr>
        <w:t xml:space="preserve"> farmakokinetik og dets metabolitter er ikke undersøgt tillige med effekten af højaffinitet CYP3A4-substrater på </w:t>
      </w:r>
      <w:proofErr w:type="spellStart"/>
      <w:r w:rsidRPr="003B5FC9">
        <w:rPr>
          <w:sz w:val="24"/>
          <w:szCs w:val="24"/>
        </w:rPr>
        <w:t>solifenacin</w:t>
      </w:r>
      <w:proofErr w:type="spellEnd"/>
      <w:r w:rsidRPr="003B5FC9">
        <w:rPr>
          <w:sz w:val="24"/>
          <w:szCs w:val="24"/>
        </w:rPr>
        <w:t xml:space="preserve">. Da </w:t>
      </w:r>
      <w:proofErr w:type="spellStart"/>
      <w:r w:rsidRPr="003B5FC9">
        <w:rPr>
          <w:sz w:val="24"/>
          <w:szCs w:val="24"/>
        </w:rPr>
        <w:t>solifenacin</w:t>
      </w:r>
      <w:proofErr w:type="spellEnd"/>
      <w:r w:rsidRPr="003B5FC9">
        <w:rPr>
          <w:sz w:val="24"/>
          <w:szCs w:val="24"/>
        </w:rPr>
        <w:t xml:space="preserve"> </w:t>
      </w:r>
      <w:proofErr w:type="spellStart"/>
      <w:r w:rsidRPr="003B5FC9">
        <w:rPr>
          <w:sz w:val="24"/>
          <w:szCs w:val="24"/>
        </w:rPr>
        <w:t>metaboliseres</w:t>
      </w:r>
      <w:proofErr w:type="spellEnd"/>
      <w:r w:rsidRPr="003B5FC9">
        <w:rPr>
          <w:sz w:val="24"/>
          <w:szCs w:val="24"/>
        </w:rPr>
        <w:t xml:space="preserve"> af CYP3A4, er </w:t>
      </w:r>
      <w:proofErr w:type="spellStart"/>
      <w:r w:rsidRPr="003B5FC9">
        <w:rPr>
          <w:sz w:val="24"/>
          <w:szCs w:val="24"/>
        </w:rPr>
        <w:t>farmakokinetiske</w:t>
      </w:r>
      <w:proofErr w:type="spellEnd"/>
      <w:r w:rsidRPr="003B5FC9">
        <w:rPr>
          <w:sz w:val="24"/>
          <w:szCs w:val="24"/>
        </w:rPr>
        <w:t xml:space="preserve"> interaktioner mulige med andre CYP3A4 substrater med højere affinitet (f.eks. </w:t>
      </w:r>
      <w:proofErr w:type="spellStart"/>
      <w:r w:rsidRPr="003B5FC9">
        <w:rPr>
          <w:sz w:val="24"/>
          <w:szCs w:val="24"/>
        </w:rPr>
        <w:t>verapamil</w:t>
      </w:r>
      <w:proofErr w:type="spellEnd"/>
      <w:r w:rsidRPr="003B5FC9">
        <w:rPr>
          <w:sz w:val="24"/>
          <w:szCs w:val="24"/>
        </w:rPr>
        <w:t xml:space="preserve">, </w:t>
      </w:r>
      <w:proofErr w:type="spellStart"/>
      <w:r w:rsidRPr="003B5FC9">
        <w:rPr>
          <w:sz w:val="24"/>
          <w:szCs w:val="24"/>
        </w:rPr>
        <w:t>diltiazem</w:t>
      </w:r>
      <w:proofErr w:type="spellEnd"/>
      <w:r w:rsidRPr="003B5FC9">
        <w:rPr>
          <w:sz w:val="24"/>
          <w:szCs w:val="24"/>
        </w:rPr>
        <w:t xml:space="preserve">) og CYP3A4-inducere (f.eks. </w:t>
      </w:r>
      <w:proofErr w:type="spellStart"/>
      <w:r w:rsidRPr="003B5FC9">
        <w:rPr>
          <w:sz w:val="24"/>
          <w:szCs w:val="24"/>
        </w:rPr>
        <w:t>rifampicin</w:t>
      </w:r>
      <w:proofErr w:type="spellEnd"/>
      <w:r w:rsidRPr="003B5FC9">
        <w:rPr>
          <w:sz w:val="24"/>
          <w:szCs w:val="24"/>
        </w:rPr>
        <w:t xml:space="preserve">, </w:t>
      </w:r>
      <w:proofErr w:type="spellStart"/>
      <w:r w:rsidRPr="003B5FC9">
        <w:rPr>
          <w:sz w:val="24"/>
          <w:szCs w:val="24"/>
        </w:rPr>
        <w:t>phenytoin</w:t>
      </w:r>
      <w:proofErr w:type="spellEnd"/>
      <w:r w:rsidRPr="003B5FC9">
        <w:rPr>
          <w:sz w:val="24"/>
          <w:szCs w:val="24"/>
        </w:rPr>
        <w:t xml:space="preserve">, </w:t>
      </w:r>
      <w:proofErr w:type="spellStart"/>
      <w:r w:rsidRPr="003B5FC9">
        <w:rPr>
          <w:sz w:val="24"/>
          <w:szCs w:val="24"/>
        </w:rPr>
        <w:t>carbamazepin</w:t>
      </w:r>
      <w:proofErr w:type="spellEnd"/>
      <w:r w:rsidRPr="003B5FC9">
        <w:rPr>
          <w:sz w:val="24"/>
          <w:szCs w:val="24"/>
        </w:rPr>
        <w:t>).</w:t>
      </w:r>
    </w:p>
    <w:p w:rsidR="00585EB8" w:rsidRPr="003B5FC9" w:rsidRDefault="00585EB8" w:rsidP="00585EB8">
      <w:pPr>
        <w:tabs>
          <w:tab w:val="left" w:pos="851"/>
        </w:tabs>
        <w:ind w:left="851" w:hanging="851"/>
        <w:rPr>
          <w:bCs/>
          <w:sz w:val="24"/>
          <w:szCs w:val="24"/>
        </w:rPr>
      </w:pPr>
    </w:p>
    <w:p w:rsidR="00585EB8" w:rsidRPr="003B5FC9" w:rsidRDefault="00585EB8" w:rsidP="00585EB8">
      <w:pPr>
        <w:tabs>
          <w:tab w:val="left" w:pos="851"/>
        </w:tabs>
        <w:ind w:left="851" w:hanging="851"/>
        <w:rPr>
          <w:bCs/>
          <w:sz w:val="24"/>
          <w:szCs w:val="24"/>
          <w:u w:val="single"/>
        </w:rPr>
      </w:pPr>
      <w:r w:rsidRPr="003B5FC9">
        <w:rPr>
          <w:sz w:val="24"/>
          <w:szCs w:val="24"/>
        </w:rPr>
        <w:tab/>
      </w:r>
      <w:proofErr w:type="spellStart"/>
      <w:r w:rsidRPr="003B5FC9">
        <w:rPr>
          <w:sz w:val="24"/>
          <w:szCs w:val="24"/>
          <w:u w:val="single"/>
        </w:rPr>
        <w:t>Solifenacins</w:t>
      </w:r>
      <w:proofErr w:type="spellEnd"/>
      <w:r w:rsidRPr="003B5FC9">
        <w:rPr>
          <w:sz w:val="24"/>
          <w:szCs w:val="24"/>
          <w:u w:val="single"/>
        </w:rPr>
        <w:t xml:space="preserve"> virkning på andre lægemidlers farmakokinetik</w:t>
      </w:r>
    </w:p>
    <w:p w:rsidR="00585EB8" w:rsidRPr="003B5FC9"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sz w:val="24"/>
          <w:szCs w:val="24"/>
        </w:rPr>
      </w:pPr>
      <w:r>
        <w:rPr>
          <w:i/>
          <w:sz w:val="24"/>
          <w:szCs w:val="24"/>
        </w:rPr>
        <w:tab/>
      </w:r>
      <w:r w:rsidRPr="003B5FC9">
        <w:rPr>
          <w:i/>
          <w:sz w:val="24"/>
          <w:szCs w:val="24"/>
        </w:rPr>
        <w:t xml:space="preserve">Orale </w:t>
      </w:r>
      <w:proofErr w:type="spellStart"/>
      <w:r w:rsidRPr="003B5FC9">
        <w:rPr>
          <w:i/>
          <w:sz w:val="24"/>
          <w:szCs w:val="24"/>
        </w:rPr>
        <w:t>kontraceptiva</w:t>
      </w:r>
      <w:proofErr w:type="spellEnd"/>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Administration af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har ikke vist </w:t>
      </w:r>
      <w:proofErr w:type="spellStart"/>
      <w:r w:rsidRPr="003B5FC9">
        <w:rPr>
          <w:sz w:val="24"/>
          <w:szCs w:val="24"/>
        </w:rPr>
        <w:t>farmakokinetisk</w:t>
      </w:r>
      <w:proofErr w:type="spellEnd"/>
      <w:r w:rsidRPr="003B5FC9">
        <w:rPr>
          <w:sz w:val="24"/>
          <w:szCs w:val="24"/>
        </w:rPr>
        <w:t xml:space="preserve"> interaktion af </w:t>
      </w:r>
      <w:proofErr w:type="spellStart"/>
      <w:r w:rsidRPr="003B5FC9">
        <w:rPr>
          <w:sz w:val="24"/>
          <w:szCs w:val="24"/>
        </w:rPr>
        <w:t>solifenacin</w:t>
      </w:r>
      <w:proofErr w:type="spellEnd"/>
      <w:r w:rsidRPr="003B5FC9">
        <w:rPr>
          <w:sz w:val="24"/>
          <w:szCs w:val="24"/>
        </w:rPr>
        <w:t xml:space="preserve"> med orale </w:t>
      </w:r>
      <w:proofErr w:type="spellStart"/>
      <w:r w:rsidRPr="003B5FC9">
        <w:rPr>
          <w:sz w:val="24"/>
          <w:szCs w:val="24"/>
        </w:rPr>
        <w:t>kombinationskontraceptiva</w:t>
      </w:r>
      <w:proofErr w:type="spellEnd"/>
      <w:r w:rsidRPr="003B5FC9">
        <w:rPr>
          <w:sz w:val="24"/>
          <w:szCs w:val="24"/>
        </w:rPr>
        <w:t xml:space="preserve"> (</w:t>
      </w:r>
      <w:proofErr w:type="spellStart"/>
      <w:r w:rsidRPr="003B5FC9">
        <w:rPr>
          <w:sz w:val="24"/>
          <w:szCs w:val="24"/>
        </w:rPr>
        <w:t>ethinylestradiol</w:t>
      </w:r>
      <w:proofErr w:type="spellEnd"/>
      <w:r w:rsidRPr="003B5FC9">
        <w:rPr>
          <w:sz w:val="24"/>
          <w:szCs w:val="24"/>
        </w:rPr>
        <w:t>/</w:t>
      </w:r>
      <w:proofErr w:type="spellStart"/>
      <w:r w:rsidRPr="003B5FC9">
        <w:rPr>
          <w:sz w:val="24"/>
          <w:szCs w:val="24"/>
        </w:rPr>
        <w:t>levonorgestrel</w:t>
      </w:r>
      <w:proofErr w:type="spellEnd"/>
      <w:r w:rsidRPr="003B5FC9">
        <w:rPr>
          <w:sz w:val="24"/>
          <w:szCs w:val="24"/>
        </w:rPr>
        <w:t>).</w:t>
      </w:r>
    </w:p>
    <w:p w:rsidR="00585EB8" w:rsidRPr="003B5FC9" w:rsidRDefault="00585EB8" w:rsidP="00585EB8">
      <w:pPr>
        <w:tabs>
          <w:tab w:val="left" w:pos="851"/>
        </w:tabs>
        <w:ind w:left="851" w:hanging="851"/>
        <w:rPr>
          <w:i/>
          <w:iCs/>
          <w:sz w:val="24"/>
          <w:szCs w:val="24"/>
        </w:rPr>
      </w:pPr>
    </w:p>
    <w:p w:rsidR="00585EB8" w:rsidRPr="003B5FC9" w:rsidRDefault="00585EB8" w:rsidP="00585EB8">
      <w:pPr>
        <w:tabs>
          <w:tab w:val="left" w:pos="851"/>
        </w:tabs>
        <w:ind w:left="851" w:hanging="851"/>
        <w:rPr>
          <w:sz w:val="24"/>
          <w:szCs w:val="24"/>
        </w:rPr>
      </w:pPr>
      <w:r>
        <w:rPr>
          <w:i/>
          <w:sz w:val="24"/>
          <w:szCs w:val="24"/>
        </w:rPr>
        <w:tab/>
      </w:r>
      <w:proofErr w:type="spellStart"/>
      <w:r w:rsidRPr="003B5FC9">
        <w:rPr>
          <w:i/>
          <w:sz w:val="24"/>
          <w:szCs w:val="24"/>
        </w:rPr>
        <w:t>Warfarin</w:t>
      </w:r>
      <w:proofErr w:type="spellEnd"/>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Administration af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ændrede ikke på </w:t>
      </w:r>
      <w:r w:rsidRPr="003B5FC9">
        <w:rPr>
          <w:i/>
          <w:sz w:val="24"/>
          <w:szCs w:val="24"/>
        </w:rPr>
        <w:t>R</w:t>
      </w:r>
      <w:r w:rsidRPr="003B5FC9">
        <w:rPr>
          <w:sz w:val="24"/>
          <w:szCs w:val="24"/>
        </w:rPr>
        <w:t>-</w:t>
      </w:r>
      <w:proofErr w:type="spellStart"/>
      <w:r w:rsidRPr="003B5FC9">
        <w:rPr>
          <w:sz w:val="24"/>
          <w:szCs w:val="24"/>
        </w:rPr>
        <w:t>warfarins</w:t>
      </w:r>
      <w:proofErr w:type="spellEnd"/>
      <w:r w:rsidRPr="003B5FC9">
        <w:rPr>
          <w:sz w:val="24"/>
          <w:szCs w:val="24"/>
        </w:rPr>
        <w:t xml:space="preserve"> eller </w:t>
      </w:r>
      <w:r w:rsidRPr="003B5FC9">
        <w:rPr>
          <w:i/>
          <w:sz w:val="24"/>
          <w:szCs w:val="24"/>
        </w:rPr>
        <w:t>S</w:t>
      </w:r>
      <w:r w:rsidRPr="003B5FC9">
        <w:rPr>
          <w:sz w:val="24"/>
          <w:szCs w:val="24"/>
        </w:rPr>
        <w:t>-</w:t>
      </w:r>
      <w:proofErr w:type="spellStart"/>
      <w:r w:rsidRPr="003B5FC9">
        <w:rPr>
          <w:sz w:val="24"/>
          <w:szCs w:val="24"/>
        </w:rPr>
        <w:t>warfarin</w:t>
      </w:r>
      <w:proofErr w:type="spellEnd"/>
      <w:r w:rsidRPr="003B5FC9">
        <w:rPr>
          <w:sz w:val="24"/>
          <w:szCs w:val="24"/>
        </w:rPr>
        <w:t xml:space="preserve"> farmakokinetik eller deres virkning på </w:t>
      </w:r>
      <w:proofErr w:type="spellStart"/>
      <w:r w:rsidRPr="003B5FC9">
        <w:rPr>
          <w:sz w:val="24"/>
          <w:szCs w:val="24"/>
        </w:rPr>
        <w:t>protrombintiden</w:t>
      </w:r>
      <w:proofErr w:type="spellEnd"/>
      <w:r w:rsidRPr="003B5FC9">
        <w:rPr>
          <w:sz w:val="24"/>
          <w:szCs w:val="24"/>
        </w:rPr>
        <w:t>.</w:t>
      </w:r>
    </w:p>
    <w:p w:rsidR="00585EB8" w:rsidRPr="003B5FC9" w:rsidRDefault="00585EB8" w:rsidP="00585EB8">
      <w:pPr>
        <w:tabs>
          <w:tab w:val="left" w:pos="851"/>
        </w:tabs>
        <w:ind w:left="851" w:hanging="851"/>
        <w:rPr>
          <w:i/>
          <w:iCs/>
          <w:sz w:val="24"/>
          <w:szCs w:val="24"/>
        </w:rPr>
      </w:pPr>
    </w:p>
    <w:p w:rsidR="00585EB8" w:rsidRPr="003B5FC9" w:rsidRDefault="00585EB8" w:rsidP="00585EB8">
      <w:pPr>
        <w:tabs>
          <w:tab w:val="left" w:pos="851"/>
        </w:tabs>
        <w:ind w:left="851" w:hanging="851"/>
        <w:rPr>
          <w:sz w:val="24"/>
          <w:szCs w:val="24"/>
        </w:rPr>
      </w:pPr>
      <w:r>
        <w:rPr>
          <w:i/>
          <w:sz w:val="24"/>
          <w:szCs w:val="24"/>
        </w:rPr>
        <w:tab/>
      </w:r>
      <w:proofErr w:type="spellStart"/>
      <w:r w:rsidRPr="003B5FC9">
        <w:rPr>
          <w:i/>
          <w:sz w:val="24"/>
          <w:szCs w:val="24"/>
        </w:rPr>
        <w:t>Digoxin</w:t>
      </w:r>
      <w:proofErr w:type="spellEnd"/>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Administration af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viste ikke nogen virkning på </w:t>
      </w:r>
      <w:proofErr w:type="spellStart"/>
      <w:r w:rsidRPr="003B5FC9">
        <w:rPr>
          <w:sz w:val="24"/>
          <w:szCs w:val="24"/>
        </w:rPr>
        <w:t>digoxins</w:t>
      </w:r>
      <w:proofErr w:type="spellEnd"/>
      <w:r w:rsidRPr="003B5FC9">
        <w:rPr>
          <w:sz w:val="24"/>
          <w:szCs w:val="24"/>
        </w:rPr>
        <w:t xml:space="preserve"> farmakokinetik.</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4.6</w:t>
      </w:r>
      <w:r w:rsidRPr="003B5FC9">
        <w:rPr>
          <w:b/>
          <w:sz w:val="24"/>
          <w:szCs w:val="24"/>
        </w:rPr>
        <w:tab/>
        <w:t>Graviditet og amning</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rPr>
          <w:sz w:val="24"/>
          <w:szCs w:val="24"/>
          <w:u w:val="single"/>
          <w:lang w:eastAsia="da-DK"/>
        </w:rPr>
      </w:pPr>
      <w:r w:rsidRPr="003B5FC9">
        <w:rPr>
          <w:sz w:val="24"/>
          <w:szCs w:val="24"/>
          <w:u w:val="single"/>
        </w:rPr>
        <w:t>Graviditet</w:t>
      </w:r>
    </w:p>
    <w:p w:rsidR="00585EB8" w:rsidRPr="003B5FC9" w:rsidRDefault="00585EB8" w:rsidP="00585EB8">
      <w:pPr>
        <w:tabs>
          <w:tab w:val="left" w:pos="851"/>
        </w:tabs>
        <w:ind w:left="851"/>
        <w:rPr>
          <w:sz w:val="24"/>
          <w:szCs w:val="24"/>
        </w:rPr>
      </w:pPr>
      <w:r w:rsidRPr="003B5FC9">
        <w:rPr>
          <w:sz w:val="24"/>
          <w:szCs w:val="24"/>
        </w:rPr>
        <w:t xml:space="preserve">Der er ingen erfaring med anvendelse af </w:t>
      </w:r>
      <w:proofErr w:type="spellStart"/>
      <w:r w:rsidRPr="003B5FC9">
        <w:rPr>
          <w:sz w:val="24"/>
          <w:szCs w:val="24"/>
        </w:rPr>
        <w:t>solifenacin</w:t>
      </w:r>
      <w:proofErr w:type="spellEnd"/>
      <w:r w:rsidRPr="003B5FC9">
        <w:rPr>
          <w:sz w:val="24"/>
          <w:szCs w:val="24"/>
        </w:rPr>
        <w:t xml:space="preserve"> til gravide. Dyreforsøg indikerer ikke direkte skadelige virkninger på fertiliteten, embryoets/fosterets udvikling eller fødsel (se pkt. 5.3). Den potentielle risiko for mennesker er ukendt. Bør kun anvendes med forsigtighed til gravide.</w:t>
      </w:r>
    </w:p>
    <w:p w:rsidR="00585EB8" w:rsidRPr="003B5FC9" w:rsidRDefault="00585EB8" w:rsidP="00585EB8">
      <w:pPr>
        <w:tabs>
          <w:tab w:val="left" w:pos="851"/>
        </w:tabs>
        <w:ind w:left="851"/>
        <w:rPr>
          <w:bCs/>
          <w:sz w:val="24"/>
          <w:szCs w:val="24"/>
        </w:rPr>
      </w:pPr>
    </w:p>
    <w:p w:rsidR="00585EB8" w:rsidRPr="003B5FC9" w:rsidRDefault="00585EB8" w:rsidP="00EC7315">
      <w:pPr>
        <w:keepNext/>
        <w:tabs>
          <w:tab w:val="left" w:pos="851"/>
        </w:tabs>
        <w:ind w:left="851"/>
        <w:rPr>
          <w:bCs/>
          <w:sz w:val="24"/>
          <w:szCs w:val="24"/>
          <w:u w:val="single"/>
        </w:rPr>
      </w:pPr>
      <w:r w:rsidRPr="003B5FC9">
        <w:rPr>
          <w:sz w:val="24"/>
          <w:szCs w:val="24"/>
          <w:u w:val="single"/>
        </w:rPr>
        <w:t>Amning</w:t>
      </w:r>
    </w:p>
    <w:p w:rsidR="00585EB8" w:rsidRPr="003B5FC9" w:rsidRDefault="00585EB8" w:rsidP="00585EB8">
      <w:pPr>
        <w:tabs>
          <w:tab w:val="left" w:pos="851"/>
        </w:tabs>
        <w:ind w:left="851"/>
        <w:rPr>
          <w:sz w:val="24"/>
          <w:szCs w:val="24"/>
        </w:rPr>
      </w:pPr>
      <w:r w:rsidRPr="003B5FC9">
        <w:rPr>
          <w:sz w:val="24"/>
          <w:szCs w:val="24"/>
        </w:rPr>
        <w:lastRenderedPageBreak/>
        <w:t xml:space="preserve">Der er ingen data tilgængelige vedrørende udskillelsen af </w:t>
      </w:r>
      <w:proofErr w:type="spellStart"/>
      <w:r w:rsidRPr="003B5FC9">
        <w:rPr>
          <w:sz w:val="24"/>
          <w:szCs w:val="24"/>
        </w:rPr>
        <w:t>solifenacin</w:t>
      </w:r>
      <w:proofErr w:type="spellEnd"/>
      <w:r w:rsidRPr="003B5FC9">
        <w:rPr>
          <w:sz w:val="24"/>
          <w:szCs w:val="24"/>
        </w:rPr>
        <w:t xml:space="preserve"> i modermælk hos mennesker. </w:t>
      </w:r>
      <w:proofErr w:type="spellStart"/>
      <w:r w:rsidRPr="003B5FC9">
        <w:rPr>
          <w:sz w:val="24"/>
          <w:szCs w:val="24"/>
        </w:rPr>
        <w:t>Solifenacin</w:t>
      </w:r>
      <w:proofErr w:type="spellEnd"/>
      <w:r w:rsidRPr="003B5FC9">
        <w:rPr>
          <w:sz w:val="24"/>
          <w:szCs w:val="24"/>
        </w:rPr>
        <w:t xml:space="preserve"> og/eller dets metabolitter udskilles i mælk hos mus og forårsager en dosisafhængig mangel på trivsel hos nyfødte mus (se pkt. 5.3).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bør derfor undgås ved amning.</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4.7</w:t>
      </w:r>
      <w:r w:rsidRPr="003B5FC9">
        <w:rPr>
          <w:b/>
          <w:sz w:val="24"/>
          <w:szCs w:val="24"/>
        </w:rPr>
        <w:tab/>
        <w:t>Virkninger på evnen til at føre motorkøretøj eller betjene maskiner</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Ikke mærkning.</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Da </w:t>
      </w:r>
      <w:proofErr w:type="spellStart"/>
      <w:r w:rsidRPr="003B5FC9">
        <w:rPr>
          <w:sz w:val="24"/>
          <w:szCs w:val="24"/>
        </w:rPr>
        <w:t>solifenacin</w:t>
      </w:r>
      <w:proofErr w:type="spellEnd"/>
      <w:r w:rsidRPr="003B5FC9">
        <w:rPr>
          <w:sz w:val="24"/>
          <w:szCs w:val="24"/>
        </w:rPr>
        <w:t xml:space="preserve">, som øvrige </w:t>
      </w:r>
      <w:proofErr w:type="spellStart"/>
      <w:r w:rsidRPr="003B5FC9">
        <w:rPr>
          <w:sz w:val="24"/>
          <w:szCs w:val="24"/>
        </w:rPr>
        <w:t>anticholinergika</w:t>
      </w:r>
      <w:proofErr w:type="spellEnd"/>
      <w:r w:rsidRPr="003B5FC9">
        <w:rPr>
          <w:sz w:val="24"/>
          <w:szCs w:val="24"/>
        </w:rPr>
        <w:t xml:space="preserve">, kan forårsage sløret syn og i sjældne tilfælde </w:t>
      </w:r>
      <w:proofErr w:type="spellStart"/>
      <w:r w:rsidRPr="003B5FC9">
        <w:rPr>
          <w:sz w:val="24"/>
          <w:szCs w:val="24"/>
        </w:rPr>
        <w:t>somnolens</w:t>
      </w:r>
      <w:proofErr w:type="spellEnd"/>
      <w:r w:rsidRPr="003B5FC9">
        <w:rPr>
          <w:sz w:val="24"/>
          <w:szCs w:val="24"/>
        </w:rPr>
        <w:t xml:space="preserve"> og træthed (se pkt. 4.8), kan evnen til at køre bil og betjene maskiner påvirkes negativt.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4.8</w:t>
      </w:r>
      <w:r w:rsidRPr="003B5FC9">
        <w:rPr>
          <w:b/>
          <w:sz w:val="24"/>
          <w:szCs w:val="24"/>
        </w:rPr>
        <w:tab/>
        <w:t>Bivirkninger</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sz w:val="24"/>
          <w:szCs w:val="24"/>
          <w:u w:val="single"/>
          <w:lang w:eastAsia="da-DK"/>
        </w:rPr>
      </w:pPr>
      <w:r w:rsidRPr="003B5FC9">
        <w:rPr>
          <w:sz w:val="24"/>
          <w:szCs w:val="24"/>
        </w:rPr>
        <w:tab/>
      </w:r>
      <w:r w:rsidRPr="003B5FC9">
        <w:rPr>
          <w:sz w:val="24"/>
          <w:szCs w:val="24"/>
          <w:u w:val="single"/>
        </w:rPr>
        <w:t>Sammendrag af sikkerhedsprofilen</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Som følge af den farmakologiske effekt af </w:t>
      </w:r>
      <w:proofErr w:type="spellStart"/>
      <w:r w:rsidRPr="003B5FC9">
        <w:rPr>
          <w:sz w:val="24"/>
          <w:szCs w:val="24"/>
        </w:rPr>
        <w:t>solifenacin</w:t>
      </w:r>
      <w:proofErr w:type="spellEnd"/>
      <w:r w:rsidRPr="003B5FC9">
        <w:rPr>
          <w:sz w:val="24"/>
          <w:szCs w:val="24"/>
        </w:rPr>
        <w:t xml:space="preserve">, kan </w:t>
      </w:r>
      <w:proofErr w:type="spellStart"/>
      <w:r w:rsidRPr="003B5FC9">
        <w:rPr>
          <w:sz w:val="24"/>
          <w:szCs w:val="24"/>
        </w:rPr>
        <w:t>Solifenacin</w:t>
      </w:r>
      <w:proofErr w:type="spellEnd"/>
      <w:r w:rsidRPr="003B5FC9">
        <w:rPr>
          <w:sz w:val="24"/>
          <w:szCs w:val="24"/>
        </w:rPr>
        <w:t xml:space="preserve"> </w:t>
      </w:r>
      <w:r>
        <w:rPr>
          <w:sz w:val="24"/>
          <w:szCs w:val="24"/>
        </w:rPr>
        <w:t>"</w:t>
      </w:r>
      <w:proofErr w:type="spellStart"/>
      <w:r w:rsidRPr="003B5FC9">
        <w:rPr>
          <w:sz w:val="24"/>
          <w:szCs w:val="24"/>
        </w:rPr>
        <w:t>Krka</w:t>
      </w:r>
      <w:proofErr w:type="spellEnd"/>
      <w:r>
        <w:rPr>
          <w:sz w:val="24"/>
          <w:szCs w:val="24"/>
        </w:rPr>
        <w:t>"</w:t>
      </w:r>
      <w:r w:rsidRPr="003B5FC9">
        <w:rPr>
          <w:sz w:val="24"/>
          <w:szCs w:val="24"/>
        </w:rPr>
        <w:t xml:space="preserve"> forårsage </w:t>
      </w:r>
      <w:proofErr w:type="spellStart"/>
      <w:r w:rsidRPr="003B5FC9">
        <w:rPr>
          <w:sz w:val="24"/>
          <w:szCs w:val="24"/>
        </w:rPr>
        <w:t>anticholinerge</w:t>
      </w:r>
      <w:proofErr w:type="spellEnd"/>
      <w:r w:rsidRPr="003B5FC9">
        <w:rPr>
          <w:sz w:val="24"/>
          <w:szCs w:val="24"/>
        </w:rPr>
        <w:t xml:space="preserve"> bivirkninger, generelt af mild eller moderat grad. Forekomsten af disse bivirkninger er dosisrelateret.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Den hyppigst rapporterede bivirkning er mundtørhed, som forekom hos 11% af patienterne behandlet med 5 mg én gang </w:t>
      </w:r>
      <w:r>
        <w:rPr>
          <w:sz w:val="24"/>
          <w:szCs w:val="24"/>
        </w:rPr>
        <w:t>daglig</w:t>
      </w:r>
      <w:r w:rsidRPr="003B5FC9">
        <w:rPr>
          <w:sz w:val="24"/>
          <w:szCs w:val="24"/>
        </w:rPr>
        <w:t xml:space="preserve">, 22% af patienterne behandlet med 10 mg én gang </w:t>
      </w:r>
      <w:r>
        <w:rPr>
          <w:sz w:val="24"/>
          <w:szCs w:val="24"/>
        </w:rPr>
        <w:t>daglig</w:t>
      </w:r>
      <w:r w:rsidRPr="003B5FC9">
        <w:rPr>
          <w:sz w:val="24"/>
          <w:szCs w:val="24"/>
        </w:rPr>
        <w:t xml:space="preserve"> og 4% af patienterne behandlet med placebo. Graden af mundtørhed var generelt mild og førte kun lejlighedsvis til, at behandlingen blev afbrudt. Generelt er compliance meget høj (ca. 99%), og ca. 90% af patienterne gennemførte den fulde behandlingsperiode på 12 uger.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rPr>
          <w:iCs/>
          <w:sz w:val="24"/>
          <w:szCs w:val="24"/>
          <w:u w:val="single"/>
        </w:rPr>
      </w:pPr>
      <w:r w:rsidRPr="003B5FC9">
        <w:rPr>
          <w:sz w:val="24"/>
          <w:szCs w:val="24"/>
          <w:u w:val="single"/>
        </w:rPr>
        <w:t>Oversigt over bivirkninger i tabelform</w:t>
      </w:r>
    </w:p>
    <w:p w:rsidR="00585EB8" w:rsidRPr="003B5FC9" w:rsidRDefault="00585EB8" w:rsidP="00585EB8">
      <w:pPr>
        <w:tabs>
          <w:tab w:val="left" w:pos="851"/>
        </w:tabs>
        <w:ind w:left="851"/>
        <w:rPr>
          <w:sz w:val="24"/>
          <w:szCs w:val="24"/>
        </w:rPr>
      </w:pPr>
      <w:r w:rsidRPr="003B5FC9">
        <w:rPr>
          <w:sz w:val="24"/>
          <w:szCs w:val="24"/>
        </w:rPr>
        <w:t>Frekvenser er angivet som følger:</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Meget almindelig (</w:t>
      </w:r>
      <w:r w:rsidRPr="003B5FC9">
        <w:rPr>
          <w:sz w:val="24"/>
          <w:szCs w:val="24"/>
        </w:rPr>
        <w:sym w:font="Symbol" w:char="F0B3"/>
      </w:r>
      <w:r w:rsidRPr="003B5FC9">
        <w:rPr>
          <w:sz w:val="24"/>
          <w:szCs w:val="24"/>
        </w:rPr>
        <w:t>1/10)</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Almindelig (</w:t>
      </w:r>
      <w:r w:rsidRPr="003B5FC9">
        <w:rPr>
          <w:sz w:val="24"/>
          <w:szCs w:val="24"/>
        </w:rPr>
        <w:sym w:font="Symbol" w:char="F0B3"/>
      </w:r>
      <w:r w:rsidRPr="003B5FC9">
        <w:rPr>
          <w:sz w:val="24"/>
          <w:szCs w:val="24"/>
        </w:rPr>
        <w:t>1/100 to &lt;1/10)</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Ikke almindelig (</w:t>
      </w:r>
      <w:r w:rsidRPr="003B5FC9">
        <w:rPr>
          <w:sz w:val="24"/>
          <w:szCs w:val="24"/>
        </w:rPr>
        <w:sym w:font="Symbol" w:char="F0B3"/>
      </w:r>
      <w:r w:rsidRPr="003B5FC9">
        <w:rPr>
          <w:sz w:val="24"/>
          <w:szCs w:val="24"/>
        </w:rPr>
        <w:t>1/1.000 to &lt;1/100)</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Sjælden (</w:t>
      </w:r>
      <w:r w:rsidRPr="003B5FC9">
        <w:rPr>
          <w:sz w:val="24"/>
          <w:szCs w:val="24"/>
        </w:rPr>
        <w:sym w:font="Symbol" w:char="F0B3"/>
      </w:r>
      <w:r w:rsidRPr="003B5FC9">
        <w:rPr>
          <w:sz w:val="24"/>
          <w:szCs w:val="24"/>
        </w:rPr>
        <w:t>1/10.000 to &lt;1/1.000)</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Meget sjælden (&lt;1/10.000)</w:t>
      </w:r>
    </w:p>
    <w:p w:rsidR="00585EB8" w:rsidRPr="003B5FC9" w:rsidRDefault="00585EB8" w:rsidP="00585EB8">
      <w:pPr>
        <w:numPr>
          <w:ilvl w:val="0"/>
          <w:numId w:val="8"/>
        </w:numPr>
        <w:tabs>
          <w:tab w:val="clear" w:pos="1418"/>
        </w:tabs>
        <w:ind w:left="1276" w:hanging="425"/>
        <w:rPr>
          <w:sz w:val="24"/>
          <w:szCs w:val="24"/>
        </w:rPr>
      </w:pPr>
      <w:r w:rsidRPr="003B5FC9">
        <w:rPr>
          <w:sz w:val="24"/>
          <w:szCs w:val="24"/>
        </w:rPr>
        <w:t>Ikke kendt (kan ikke estimeres ud fra forhåndenværende data).</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Inden for hver enkelt frekvensgruppe er bivirkningerne opstillet efter, hvor alvorlige de er. De alvorligste bivirkninger er anført først.</w:t>
      </w:r>
    </w:p>
    <w:p w:rsidR="00585EB8" w:rsidRPr="003B5FC9" w:rsidRDefault="00585EB8" w:rsidP="00585EB8">
      <w:pPr>
        <w:tabs>
          <w:tab w:val="left" w:pos="851"/>
        </w:tabs>
        <w:ind w:left="851" w:hanging="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1072"/>
        <w:gridCol w:w="1588"/>
        <w:gridCol w:w="1482"/>
        <w:gridCol w:w="1040"/>
        <w:gridCol w:w="1213"/>
        <w:gridCol w:w="1403"/>
      </w:tblGrid>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proofErr w:type="spellStart"/>
            <w:r w:rsidRPr="003B5FC9">
              <w:rPr>
                <w:b/>
                <w:sz w:val="22"/>
                <w:szCs w:val="22"/>
              </w:rPr>
              <w:t>MedDRA</w:t>
            </w:r>
            <w:proofErr w:type="spellEnd"/>
            <w:r w:rsidRPr="003B5FC9">
              <w:rPr>
                <w:b/>
                <w:sz w:val="22"/>
                <w:szCs w:val="22"/>
              </w:rPr>
              <w:t xml:space="preserve"> </w:t>
            </w:r>
          </w:p>
          <w:p w:rsidR="00585EB8" w:rsidRPr="003B5FC9" w:rsidRDefault="000620DF" w:rsidP="003B4BCE">
            <w:pPr>
              <w:rPr>
                <w:b/>
                <w:sz w:val="22"/>
                <w:szCs w:val="22"/>
              </w:rPr>
            </w:pPr>
            <w:r>
              <w:rPr>
                <w:b/>
                <w:sz w:val="22"/>
                <w:szCs w:val="22"/>
              </w:rPr>
              <w:t>S</w:t>
            </w:r>
            <w:r w:rsidR="00585EB8">
              <w:rPr>
                <w:b/>
                <w:sz w:val="22"/>
                <w:szCs w:val="22"/>
              </w:rPr>
              <w:t>ystem</w:t>
            </w:r>
            <w:r w:rsidR="00585EB8" w:rsidRPr="003B5FC9">
              <w:rPr>
                <w:b/>
                <w:sz w:val="22"/>
                <w:szCs w:val="22"/>
              </w:rPr>
              <w:t>organ</w:t>
            </w:r>
            <w:r>
              <w:rPr>
                <w:b/>
                <w:sz w:val="22"/>
                <w:szCs w:val="22"/>
              </w:rPr>
              <w:softHyphen/>
            </w:r>
            <w:r w:rsidR="00585EB8" w:rsidRPr="003B5FC9">
              <w:rPr>
                <w:b/>
                <w:sz w:val="22"/>
                <w:szCs w:val="22"/>
              </w:rPr>
              <w:t>klasse</w:t>
            </w:r>
          </w:p>
        </w:tc>
        <w:tc>
          <w:tcPr>
            <w:tcW w:w="107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r w:rsidRPr="003B5FC9">
              <w:rPr>
                <w:b/>
                <w:sz w:val="22"/>
                <w:szCs w:val="22"/>
              </w:rPr>
              <w:t>Meget alminde</w:t>
            </w:r>
            <w:r w:rsidR="000620DF">
              <w:rPr>
                <w:b/>
                <w:sz w:val="22"/>
                <w:szCs w:val="22"/>
              </w:rPr>
              <w:softHyphen/>
            </w:r>
            <w:r w:rsidRPr="003B5FC9">
              <w:rPr>
                <w:b/>
                <w:sz w:val="22"/>
                <w:szCs w:val="22"/>
              </w:rPr>
              <w:t>lig</w:t>
            </w:r>
          </w:p>
        </w:tc>
        <w:tc>
          <w:tcPr>
            <w:tcW w:w="1588"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r w:rsidRPr="003B5FC9">
              <w:rPr>
                <w:b/>
                <w:sz w:val="22"/>
                <w:szCs w:val="22"/>
              </w:rPr>
              <w:t>Almindelig</w:t>
            </w: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r w:rsidRPr="003B5FC9">
              <w:rPr>
                <w:b/>
                <w:sz w:val="22"/>
                <w:szCs w:val="22"/>
              </w:rPr>
              <w:t>Ikke almindelig</w:t>
            </w:r>
          </w:p>
        </w:tc>
        <w:tc>
          <w:tcPr>
            <w:tcW w:w="104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r w:rsidRPr="003B5FC9">
              <w:rPr>
                <w:b/>
                <w:sz w:val="22"/>
                <w:szCs w:val="22"/>
              </w:rPr>
              <w:t>Sjælden</w:t>
            </w:r>
          </w:p>
        </w:tc>
        <w:tc>
          <w:tcPr>
            <w:tcW w:w="121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sz w:val="22"/>
                <w:szCs w:val="22"/>
              </w:rPr>
            </w:pPr>
            <w:r w:rsidRPr="003B5FC9">
              <w:rPr>
                <w:b/>
                <w:sz w:val="22"/>
                <w:szCs w:val="22"/>
              </w:rPr>
              <w:t xml:space="preserve">Meget sjælden </w:t>
            </w: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
                <w:bCs/>
                <w:sz w:val="22"/>
                <w:szCs w:val="22"/>
              </w:rPr>
            </w:pPr>
            <w:r w:rsidRPr="003B5FC9">
              <w:rPr>
                <w:b/>
                <w:sz w:val="22"/>
                <w:szCs w:val="22"/>
              </w:rPr>
              <w:t>Ikke kendt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Infektioner og parasitære sygdomme</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Urinvejs</w:t>
            </w:r>
            <w:proofErr w:type="spellEnd"/>
            <w:r w:rsidRPr="003B5FC9">
              <w:rPr>
                <w:sz w:val="22"/>
                <w:szCs w:val="22"/>
              </w:rPr>
              <w:t>-infektion, blærebetændelse</w:t>
            </w: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 xml:space="preserve">Immunsystemet </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Anafylaktisk</w:t>
            </w:r>
            <w:proofErr w:type="spellEnd"/>
            <w:r w:rsidRPr="003B5FC9">
              <w:rPr>
                <w:sz w:val="22"/>
                <w:szCs w:val="22"/>
              </w:rPr>
              <w:t xml:space="preserve"> reaktion*</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 xml:space="preserve">Metabolisme og ernæring </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 xml:space="preserve">Nedsat appetit*, </w:t>
            </w:r>
            <w:proofErr w:type="spellStart"/>
            <w:r w:rsidRPr="003B5FC9">
              <w:rPr>
                <w:sz w:val="22"/>
                <w:szCs w:val="22"/>
              </w:rPr>
              <w:t>hyper</w:t>
            </w:r>
            <w:r w:rsidR="000620DF">
              <w:rPr>
                <w:sz w:val="22"/>
                <w:szCs w:val="22"/>
              </w:rPr>
              <w:softHyphen/>
            </w:r>
            <w:r w:rsidRPr="003B5FC9">
              <w:rPr>
                <w:sz w:val="22"/>
                <w:szCs w:val="22"/>
              </w:rPr>
              <w:t>kaliæmi</w:t>
            </w:r>
            <w:proofErr w:type="spellEnd"/>
            <w:r w:rsidRPr="003B5FC9">
              <w:rPr>
                <w:sz w:val="22"/>
                <w:szCs w:val="22"/>
              </w:rPr>
              <w: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Psykiske forstyrrelser</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Hallucina-tioner</w:t>
            </w:r>
            <w:proofErr w:type="spellEnd"/>
            <w:r w:rsidRPr="003B5FC9">
              <w:rPr>
                <w:sz w:val="22"/>
                <w:szCs w:val="22"/>
              </w:rPr>
              <w:t xml:space="preserve">*, </w:t>
            </w:r>
            <w:r>
              <w:rPr>
                <w:sz w:val="22"/>
                <w:szCs w:val="22"/>
              </w:rPr>
              <w:t>f</w:t>
            </w:r>
            <w:r w:rsidRPr="003B5FC9">
              <w:rPr>
                <w:sz w:val="22"/>
                <w:szCs w:val="22"/>
              </w:rPr>
              <w:t>orvirrings-tilstand*</w:t>
            </w: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Delirium*</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Nervesystemet</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Somnolens</w:t>
            </w:r>
            <w:proofErr w:type="spellEnd"/>
            <w:r w:rsidRPr="003B5FC9">
              <w:rPr>
                <w:sz w:val="22"/>
                <w:szCs w:val="22"/>
              </w:rPr>
              <w:t>, ændret smags-opfattelse</w:t>
            </w:r>
          </w:p>
        </w:tc>
        <w:tc>
          <w:tcPr>
            <w:tcW w:w="104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Svimmel</w:t>
            </w:r>
            <w:r w:rsidRPr="003B5FC9">
              <w:rPr>
                <w:sz w:val="22"/>
                <w:szCs w:val="22"/>
              </w:rPr>
              <w:softHyphen/>
              <w:t>hed*, hoved</w:t>
            </w:r>
            <w:r w:rsidRPr="003B5FC9">
              <w:rPr>
                <w:sz w:val="22"/>
                <w:szCs w:val="22"/>
              </w:rPr>
              <w:softHyphen/>
              <w:t>pine*</w:t>
            </w: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Øjne</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Sløret syn</w:t>
            </w: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Tørre øjne</w:t>
            </w: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Glaukom</w:t>
            </w:r>
            <w:proofErr w:type="spellEnd"/>
            <w:r w:rsidRPr="003B5FC9">
              <w:rPr>
                <w:sz w:val="22"/>
                <w:szCs w:val="22"/>
              </w:rPr>
              <w: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 xml:space="preserve">Hjerte </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Torsades</w:t>
            </w:r>
            <w:proofErr w:type="spellEnd"/>
            <w:r w:rsidRPr="003B5FC9">
              <w:rPr>
                <w:sz w:val="22"/>
                <w:szCs w:val="22"/>
              </w:rPr>
              <w:t xml:space="preserve"> de Pointes*, EKG visende QT-forlængelse*</w:t>
            </w:r>
          </w:p>
          <w:p w:rsidR="00585EB8" w:rsidRPr="003B5FC9" w:rsidRDefault="00585EB8" w:rsidP="003B4BCE">
            <w:pPr>
              <w:rPr>
                <w:sz w:val="22"/>
                <w:szCs w:val="22"/>
              </w:rPr>
            </w:pPr>
            <w:r w:rsidRPr="003B5FC9">
              <w:rPr>
                <w:sz w:val="22"/>
                <w:szCs w:val="22"/>
              </w:rPr>
              <w:t>Atrieflimren*</w:t>
            </w:r>
          </w:p>
          <w:p w:rsidR="00585EB8" w:rsidRPr="003B5FC9" w:rsidRDefault="00585EB8" w:rsidP="003B4BCE">
            <w:pPr>
              <w:rPr>
                <w:sz w:val="22"/>
                <w:szCs w:val="22"/>
              </w:rPr>
            </w:pPr>
            <w:proofErr w:type="spellStart"/>
            <w:r w:rsidRPr="003B5FC9">
              <w:rPr>
                <w:sz w:val="22"/>
                <w:szCs w:val="22"/>
              </w:rPr>
              <w:t>Palpitationer</w:t>
            </w:r>
            <w:proofErr w:type="spellEnd"/>
            <w:r w:rsidRPr="003B5FC9">
              <w:rPr>
                <w:sz w:val="22"/>
                <w:szCs w:val="22"/>
              </w:rPr>
              <w:t>*</w:t>
            </w:r>
          </w:p>
          <w:p w:rsidR="00585EB8" w:rsidRPr="003B5FC9" w:rsidRDefault="00585EB8" w:rsidP="003B4BCE">
            <w:pPr>
              <w:rPr>
                <w:sz w:val="22"/>
                <w:szCs w:val="22"/>
              </w:rPr>
            </w:pPr>
            <w:proofErr w:type="spellStart"/>
            <w:r w:rsidRPr="003B5FC9">
              <w:rPr>
                <w:sz w:val="22"/>
                <w:szCs w:val="22"/>
              </w:rPr>
              <w:t>Takykardi</w:t>
            </w:r>
            <w:proofErr w:type="spellEnd"/>
            <w:r w:rsidRPr="003B5FC9">
              <w:rPr>
                <w:sz w:val="22"/>
                <w:szCs w:val="22"/>
              </w:rPr>
              <w: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 xml:space="preserve">Luftveje, thorax og </w:t>
            </w:r>
            <w:proofErr w:type="spellStart"/>
            <w:r w:rsidRPr="003B5FC9">
              <w:rPr>
                <w:sz w:val="22"/>
                <w:szCs w:val="22"/>
              </w:rPr>
              <w:t>mediastinum</w:t>
            </w:r>
            <w:proofErr w:type="spellEnd"/>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Nasal tørhed</w:t>
            </w: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Dysfoni</w:t>
            </w:r>
            <w:proofErr w:type="spellEnd"/>
            <w:r w:rsidRPr="003B5FC9">
              <w:rPr>
                <w:sz w:val="22"/>
                <w:szCs w:val="22"/>
              </w:rPr>
              <w: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Mave-tarm-kanalen</w:t>
            </w:r>
          </w:p>
        </w:tc>
        <w:tc>
          <w:tcPr>
            <w:tcW w:w="107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Mund</w:t>
            </w:r>
            <w:r w:rsidRPr="003B5FC9">
              <w:rPr>
                <w:sz w:val="22"/>
                <w:szCs w:val="22"/>
              </w:rPr>
              <w:softHyphen/>
              <w:t>tørhed</w:t>
            </w:r>
          </w:p>
        </w:tc>
        <w:tc>
          <w:tcPr>
            <w:tcW w:w="1588"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Konstipa</w:t>
            </w:r>
            <w:r w:rsidRPr="003B5FC9">
              <w:rPr>
                <w:sz w:val="22"/>
                <w:szCs w:val="22"/>
              </w:rPr>
              <w:softHyphen/>
              <w:t xml:space="preserve">tion, kvalme, dyspepsi, </w:t>
            </w:r>
            <w:proofErr w:type="spellStart"/>
            <w:r w:rsidRPr="003B5FC9">
              <w:rPr>
                <w:sz w:val="22"/>
                <w:szCs w:val="22"/>
              </w:rPr>
              <w:t>abdominal</w:t>
            </w:r>
            <w:r w:rsidR="000620DF">
              <w:rPr>
                <w:sz w:val="22"/>
                <w:szCs w:val="22"/>
              </w:rPr>
              <w:softHyphen/>
            </w:r>
            <w:r w:rsidRPr="003B5FC9">
              <w:rPr>
                <w:sz w:val="22"/>
                <w:szCs w:val="22"/>
              </w:rPr>
              <w:t>smerter</w:t>
            </w:r>
            <w:proofErr w:type="spellEnd"/>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Gastro-øsofageal</w:t>
            </w:r>
            <w:proofErr w:type="spellEnd"/>
            <w:r w:rsidRPr="003B5FC9">
              <w:rPr>
                <w:sz w:val="22"/>
                <w:szCs w:val="22"/>
              </w:rPr>
              <w:t xml:space="preserve"> </w:t>
            </w:r>
            <w:proofErr w:type="spellStart"/>
            <w:r w:rsidRPr="003B5FC9">
              <w:rPr>
                <w:sz w:val="22"/>
                <w:szCs w:val="22"/>
              </w:rPr>
              <w:t>refluks</w:t>
            </w:r>
            <w:proofErr w:type="spellEnd"/>
            <w:r w:rsidRPr="003B5FC9">
              <w:rPr>
                <w:sz w:val="22"/>
                <w:szCs w:val="22"/>
              </w:rPr>
              <w:t>, tør hals</w:t>
            </w:r>
          </w:p>
        </w:tc>
        <w:tc>
          <w:tcPr>
            <w:tcW w:w="104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Colon</w:t>
            </w:r>
            <w:proofErr w:type="spellEnd"/>
            <w:r w:rsidRPr="003B5FC9">
              <w:rPr>
                <w:sz w:val="22"/>
                <w:szCs w:val="22"/>
              </w:rPr>
              <w:t xml:space="preserve"> </w:t>
            </w:r>
            <w:proofErr w:type="spellStart"/>
            <w:r w:rsidRPr="003B5FC9">
              <w:rPr>
                <w:sz w:val="22"/>
                <w:szCs w:val="22"/>
              </w:rPr>
              <w:t>obstruk-tion</w:t>
            </w:r>
            <w:proofErr w:type="spellEnd"/>
            <w:r w:rsidRPr="003B5FC9">
              <w:rPr>
                <w:sz w:val="22"/>
                <w:szCs w:val="22"/>
              </w:rPr>
              <w:t>, påvirk</w:t>
            </w:r>
            <w:r w:rsidR="000620DF">
              <w:rPr>
                <w:sz w:val="22"/>
                <w:szCs w:val="22"/>
              </w:rPr>
              <w:softHyphen/>
            </w:r>
            <w:r w:rsidRPr="003B5FC9">
              <w:rPr>
                <w:sz w:val="22"/>
                <w:szCs w:val="22"/>
              </w:rPr>
              <w:t>ning af afføring, opkast</w:t>
            </w:r>
            <w:r w:rsidRPr="003B5FC9">
              <w:rPr>
                <w:sz w:val="22"/>
                <w:szCs w:val="22"/>
              </w:rPr>
              <w:softHyphen/>
              <w:t>ning*</w:t>
            </w: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Ileus</w:t>
            </w:r>
            <w:proofErr w:type="spellEnd"/>
            <w:r w:rsidRPr="003B5FC9">
              <w:rPr>
                <w:sz w:val="22"/>
                <w:szCs w:val="22"/>
              </w:rPr>
              <w:t xml:space="preserve">*, </w:t>
            </w:r>
            <w:proofErr w:type="spellStart"/>
            <w:r w:rsidRPr="003B5FC9">
              <w:rPr>
                <w:sz w:val="22"/>
                <w:szCs w:val="22"/>
              </w:rPr>
              <w:t>abdominalt</w:t>
            </w:r>
            <w:proofErr w:type="spellEnd"/>
            <w:r w:rsidRPr="003B5FC9">
              <w:rPr>
                <w:sz w:val="22"/>
                <w:szCs w:val="22"/>
              </w:rPr>
              <w:t xml:space="preserve"> ubehag*</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 xml:space="preserve">Lever og galdeveje </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Lever</w:t>
            </w:r>
            <w:r w:rsidR="000620DF">
              <w:rPr>
                <w:sz w:val="22"/>
                <w:szCs w:val="22"/>
              </w:rPr>
              <w:softHyphen/>
            </w:r>
            <w:r w:rsidRPr="003B5FC9">
              <w:rPr>
                <w:sz w:val="22"/>
                <w:szCs w:val="22"/>
              </w:rPr>
              <w:t>sygdom*, unormal leverfunk</w:t>
            </w:r>
            <w:r w:rsidR="000620DF">
              <w:rPr>
                <w:sz w:val="22"/>
                <w:szCs w:val="22"/>
              </w:rPr>
              <w:softHyphen/>
            </w:r>
            <w:r w:rsidRPr="003B5FC9">
              <w:rPr>
                <w:sz w:val="22"/>
                <w:szCs w:val="22"/>
              </w:rPr>
              <w:t>tionstest*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Hud og subkutane væv</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Tør hud</w:t>
            </w:r>
          </w:p>
        </w:tc>
        <w:tc>
          <w:tcPr>
            <w:tcW w:w="104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Kløe*, udslæt*,</w:t>
            </w:r>
          </w:p>
        </w:tc>
        <w:tc>
          <w:tcPr>
            <w:tcW w:w="121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Erythema</w:t>
            </w:r>
            <w:proofErr w:type="spellEnd"/>
            <w:r w:rsidRPr="003B5FC9">
              <w:rPr>
                <w:sz w:val="22"/>
                <w:szCs w:val="22"/>
              </w:rPr>
              <w:t xml:space="preserve"> multiforme*, </w:t>
            </w:r>
            <w:proofErr w:type="spellStart"/>
            <w:r w:rsidRPr="003B5FC9">
              <w:rPr>
                <w:sz w:val="22"/>
                <w:szCs w:val="22"/>
              </w:rPr>
              <w:t>urticaria</w:t>
            </w:r>
            <w:proofErr w:type="spellEnd"/>
            <w:r w:rsidRPr="003B5FC9">
              <w:rPr>
                <w:sz w:val="22"/>
                <w:szCs w:val="22"/>
              </w:rPr>
              <w:t xml:space="preserve">*, </w:t>
            </w:r>
            <w:proofErr w:type="spellStart"/>
            <w:r w:rsidRPr="003B5FC9">
              <w:rPr>
                <w:sz w:val="22"/>
                <w:szCs w:val="22"/>
              </w:rPr>
              <w:t>angioødem</w:t>
            </w:r>
            <w:proofErr w:type="spellEnd"/>
            <w:r w:rsidRPr="003B5FC9">
              <w:rPr>
                <w:sz w:val="22"/>
                <w:szCs w:val="22"/>
              </w:rPr>
              <w:t>*</w:t>
            </w: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proofErr w:type="spellStart"/>
            <w:r w:rsidRPr="003B5FC9">
              <w:rPr>
                <w:sz w:val="22"/>
                <w:szCs w:val="22"/>
              </w:rPr>
              <w:t>Eksfoliativ</w:t>
            </w:r>
            <w:proofErr w:type="spellEnd"/>
            <w:r w:rsidRPr="003B5FC9">
              <w:rPr>
                <w:sz w:val="22"/>
                <w:szCs w:val="22"/>
              </w:rPr>
              <w:t xml:space="preserve"> </w:t>
            </w:r>
            <w:proofErr w:type="spellStart"/>
            <w:r w:rsidRPr="003B5FC9">
              <w:rPr>
                <w:sz w:val="22"/>
                <w:szCs w:val="22"/>
              </w:rPr>
              <w:t>dermatitis</w:t>
            </w:r>
            <w:proofErr w:type="spellEnd"/>
            <w:r w:rsidRPr="003B5FC9">
              <w:rPr>
                <w:sz w:val="22"/>
                <w:szCs w:val="22"/>
              </w:rPr>
              <w:t>*</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 xml:space="preserve">Knogler, led, muskler og bindevæv </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Muskel</w:t>
            </w:r>
            <w:r w:rsidRPr="003B5FC9">
              <w:rPr>
                <w:sz w:val="22"/>
                <w:szCs w:val="22"/>
              </w:rPr>
              <w:softHyphen/>
              <w:t>svaghed*</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Nyrer og urinveje</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 </w:t>
            </w: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Vand</w:t>
            </w:r>
            <w:r w:rsidRPr="003B5FC9">
              <w:rPr>
                <w:sz w:val="22"/>
                <w:szCs w:val="22"/>
              </w:rPr>
              <w:softHyphen/>
              <w:t>ladnings-besvær</w:t>
            </w:r>
          </w:p>
        </w:tc>
        <w:tc>
          <w:tcPr>
            <w:tcW w:w="104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Urin</w:t>
            </w:r>
            <w:r w:rsidRPr="003B5FC9">
              <w:rPr>
                <w:sz w:val="22"/>
                <w:szCs w:val="22"/>
              </w:rPr>
              <w:softHyphen/>
              <w:t>retention</w:t>
            </w:r>
          </w:p>
        </w:tc>
        <w:tc>
          <w:tcPr>
            <w:tcW w:w="121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 </w:t>
            </w:r>
          </w:p>
        </w:tc>
        <w:tc>
          <w:tcPr>
            <w:tcW w:w="1403"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Nedsat nyrefunktion*</w:t>
            </w:r>
          </w:p>
        </w:tc>
      </w:tr>
      <w:tr w:rsidR="00585EB8" w:rsidRPr="003B5FC9" w:rsidTr="000620DF">
        <w:tc>
          <w:tcPr>
            <w:tcW w:w="1830"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bCs/>
                <w:sz w:val="22"/>
                <w:szCs w:val="22"/>
              </w:rPr>
            </w:pPr>
            <w:r w:rsidRPr="003B5FC9">
              <w:rPr>
                <w:sz w:val="22"/>
                <w:szCs w:val="22"/>
              </w:rPr>
              <w:t>Almene symptomer og reaktioner på administrations</w:t>
            </w:r>
            <w:r w:rsidR="000620DF">
              <w:rPr>
                <w:sz w:val="22"/>
                <w:szCs w:val="22"/>
              </w:rPr>
              <w:softHyphen/>
            </w:r>
            <w:r w:rsidRPr="003B5FC9">
              <w:rPr>
                <w:sz w:val="22"/>
                <w:szCs w:val="22"/>
              </w:rPr>
              <w:t>stedet</w:t>
            </w:r>
          </w:p>
        </w:tc>
        <w:tc>
          <w:tcPr>
            <w:tcW w:w="1072"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588"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82" w:type="dxa"/>
            <w:tcBorders>
              <w:top w:val="single" w:sz="4" w:space="0" w:color="auto"/>
              <w:left w:val="single" w:sz="4" w:space="0" w:color="auto"/>
              <w:bottom w:val="single" w:sz="4" w:space="0" w:color="auto"/>
              <w:right w:val="single" w:sz="4" w:space="0" w:color="auto"/>
            </w:tcBorders>
            <w:hideMark/>
          </w:tcPr>
          <w:p w:rsidR="00585EB8" w:rsidRPr="003B5FC9" w:rsidRDefault="00585EB8" w:rsidP="003B4BCE">
            <w:pPr>
              <w:rPr>
                <w:sz w:val="22"/>
                <w:szCs w:val="22"/>
              </w:rPr>
            </w:pPr>
            <w:r w:rsidRPr="003B5FC9">
              <w:rPr>
                <w:sz w:val="22"/>
                <w:szCs w:val="22"/>
              </w:rPr>
              <w:t>Træthed, perifert ødem </w:t>
            </w:r>
          </w:p>
        </w:tc>
        <w:tc>
          <w:tcPr>
            <w:tcW w:w="1040"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21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c>
          <w:tcPr>
            <w:tcW w:w="1403" w:type="dxa"/>
            <w:tcBorders>
              <w:top w:val="single" w:sz="4" w:space="0" w:color="auto"/>
              <w:left w:val="single" w:sz="4" w:space="0" w:color="auto"/>
              <w:bottom w:val="single" w:sz="4" w:space="0" w:color="auto"/>
              <w:right w:val="single" w:sz="4" w:space="0" w:color="auto"/>
            </w:tcBorders>
          </w:tcPr>
          <w:p w:rsidR="00585EB8" w:rsidRPr="003B5FC9" w:rsidRDefault="00585EB8" w:rsidP="003B4BCE">
            <w:pPr>
              <w:rPr>
                <w:sz w:val="22"/>
                <w:szCs w:val="22"/>
              </w:rPr>
            </w:pPr>
          </w:p>
        </w:tc>
      </w:tr>
    </w:tbl>
    <w:p w:rsidR="00585EB8" w:rsidRPr="003B5FC9" w:rsidRDefault="00585EB8" w:rsidP="00585EB8">
      <w:pPr>
        <w:tabs>
          <w:tab w:val="left" w:pos="851"/>
        </w:tabs>
        <w:ind w:left="851" w:hanging="851"/>
        <w:rPr>
          <w:sz w:val="24"/>
          <w:szCs w:val="24"/>
        </w:rPr>
      </w:pPr>
      <w:bookmarkStart w:id="1" w:name="OLE_LINK7"/>
      <w:bookmarkStart w:id="2" w:name="OLE_LINK6"/>
      <w:r w:rsidRPr="003B5FC9">
        <w:rPr>
          <w:sz w:val="24"/>
          <w:szCs w:val="24"/>
        </w:rPr>
        <w:t>* Observeret efter markedsføring</w:t>
      </w:r>
      <w:bookmarkEnd w:id="1"/>
      <w:bookmarkEnd w:id="2"/>
    </w:p>
    <w:p w:rsidR="00585EB8" w:rsidRPr="003B5FC9" w:rsidRDefault="00585EB8" w:rsidP="00585EB8">
      <w:pPr>
        <w:tabs>
          <w:tab w:val="left" w:pos="851"/>
        </w:tabs>
        <w:ind w:left="851" w:hanging="851"/>
        <w:rPr>
          <w:sz w:val="24"/>
          <w:szCs w:val="24"/>
        </w:rPr>
      </w:pPr>
    </w:p>
    <w:p w:rsidR="00585EB8" w:rsidRPr="003B5FC9" w:rsidRDefault="00585EB8" w:rsidP="00EC7315">
      <w:pPr>
        <w:keepNext/>
        <w:tabs>
          <w:tab w:val="left" w:pos="851"/>
        </w:tabs>
        <w:ind w:left="851"/>
        <w:rPr>
          <w:sz w:val="24"/>
          <w:szCs w:val="24"/>
          <w:u w:val="single"/>
        </w:rPr>
      </w:pPr>
      <w:r w:rsidRPr="003B5FC9">
        <w:rPr>
          <w:sz w:val="24"/>
          <w:szCs w:val="24"/>
          <w:u w:val="single"/>
        </w:rPr>
        <w:t>Indberetning af formodede bivirkninger</w:t>
      </w:r>
    </w:p>
    <w:p w:rsidR="00585EB8" w:rsidRPr="003B5FC9" w:rsidRDefault="00585EB8" w:rsidP="00585EB8">
      <w:pPr>
        <w:tabs>
          <w:tab w:val="left" w:pos="851"/>
        </w:tabs>
        <w:ind w:left="851"/>
        <w:rPr>
          <w:sz w:val="24"/>
          <w:szCs w:val="24"/>
        </w:rPr>
      </w:pPr>
      <w:r w:rsidRPr="003B5FC9">
        <w:rPr>
          <w:sz w:val="24"/>
          <w:szCs w:val="24"/>
        </w:rPr>
        <w:t>Når lægemidlet er godkendt, er indberetning af formodede bivirkninger vigtig. Det muliggør løbende overvågning af benefit/</w:t>
      </w:r>
      <w:proofErr w:type="spellStart"/>
      <w:r w:rsidRPr="003B5FC9">
        <w:rPr>
          <w:sz w:val="24"/>
          <w:szCs w:val="24"/>
        </w:rPr>
        <w:t>risk</w:t>
      </w:r>
      <w:proofErr w:type="spellEnd"/>
      <w:r w:rsidRPr="003B5FC9">
        <w:rPr>
          <w:sz w:val="24"/>
          <w:szCs w:val="24"/>
        </w:rPr>
        <w:t xml:space="preserve">-forholdet for lægemidlet. </w:t>
      </w:r>
      <w:r w:rsidR="000620DF">
        <w:rPr>
          <w:sz w:val="24"/>
          <w:szCs w:val="24"/>
        </w:rPr>
        <w:t>S</w:t>
      </w:r>
      <w:r w:rsidRPr="003B5FC9">
        <w:rPr>
          <w:sz w:val="24"/>
          <w:szCs w:val="24"/>
        </w:rPr>
        <w:t>undhedsperson</w:t>
      </w:r>
      <w:r w:rsidR="000620DF">
        <w:rPr>
          <w:sz w:val="24"/>
          <w:szCs w:val="24"/>
        </w:rPr>
        <w:t>er</w:t>
      </w:r>
      <w:r w:rsidRPr="003B5FC9">
        <w:rPr>
          <w:sz w:val="24"/>
          <w:szCs w:val="24"/>
        </w:rPr>
        <w:t xml:space="preserve"> anmodes om at indberette alle formodede bivirkninger via:</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rPr>
      </w:pPr>
      <w:r w:rsidRPr="003B5FC9">
        <w:rPr>
          <w:sz w:val="24"/>
          <w:szCs w:val="24"/>
        </w:rPr>
        <w:lastRenderedPageBreak/>
        <w:t>Lægemiddelstyrelsen</w:t>
      </w:r>
    </w:p>
    <w:p w:rsidR="00585EB8" w:rsidRPr="003B5FC9" w:rsidRDefault="00585EB8" w:rsidP="00585EB8">
      <w:pPr>
        <w:tabs>
          <w:tab w:val="left" w:pos="851"/>
        </w:tabs>
        <w:ind w:left="851"/>
        <w:rPr>
          <w:sz w:val="24"/>
          <w:szCs w:val="24"/>
        </w:rPr>
      </w:pPr>
      <w:r w:rsidRPr="003B5FC9">
        <w:rPr>
          <w:sz w:val="24"/>
          <w:szCs w:val="24"/>
        </w:rPr>
        <w:t>Axel Heides Gade 1</w:t>
      </w:r>
    </w:p>
    <w:p w:rsidR="00585EB8" w:rsidRPr="003B5FC9" w:rsidRDefault="00585EB8" w:rsidP="00585EB8">
      <w:pPr>
        <w:tabs>
          <w:tab w:val="left" w:pos="851"/>
        </w:tabs>
        <w:ind w:left="851"/>
        <w:rPr>
          <w:sz w:val="24"/>
          <w:szCs w:val="24"/>
        </w:rPr>
      </w:pPr>
      <w:r w:rsidRPr="003B5FC9">
        <w:rPr>
          <w:sz w:val="24"/>
          <w:szCs w:val="24"/>
        </w:rPr>
        <w:t>DK-2300 København S</w:t>
      </w:r>
    </w:p>
    <w:p w:rsidR="00585EB8" w:rsidRPr="003B5FC9" w:rsidRDefault="00585EB8" w:rsidP="00585EB8">
      <w:pPr>
        <w:tabs>
          <w:tab w:val="left" w:pos="851"/>
        </w:tabs>
        <w:ind w:left="851"/>
        <w:rPr>
          <w:sz w:val="24"/>
          <w:szCs w:val="24"/>
          <w:lang w:val="en-GB"/>
        </w:rPr>
      </w:pPr>
      <w:proofErr w:type="spellStart"/>
      <w:r w:rsidRPr="003B5FC9">
        <w:rPr>
          <w:sz w:val="24"/>
          <w:szCs w:val="24"/>
          <w:lang w:val="en-US"/>
        </w:rPr>
        <w:t>Websted</w:t>
      </w:r>
      <w:proofErr w:type="spellEnd"/>
      <w:r w:rsidRPr="003B5FC9">
        <w:rPr>
          <w:sz w:val="24"/>
          <w:szCs w:val="24"/>
          <w:lang w:val="en-GB"/>
        </w:rPr>
        <w:t xml:space="preserve">: </w:t>
      </w:r>
      <w:hyperlink r:id="rId8" w:history="1">
        <w:r w:rsidRPr="003B5FC9">
          <w:rPr>
            <w:rStyle w:val="Hyperlink"/>
            <w:color w:val="0000FF"/>
            <w:sz w:val="24"/>
            <w:szCs w:val="24"/>
            <w:lang w:val="en-GB"/>
          </w:rPr>
          <w:t>www.meldenbivirkning.dk</w:t>
        </w:r>
      </w:hyperlink>
    </w:p>
    <w:p w:rsidR="00585EB8" w:rsidRPr="003B5FC9" w:rsidRDefault="00585EB8" w:rsidP="00585EB8">
      <w:pPr>
        <w:pStyle w:val="Sidehoved"/>
        <w:tabs>
          <w:tab w:val="left" w:pos="851"/>
        </w:tabs>
        <w:ind w:left="851" w:hanging="851"/>
        <w:rPr>
          <w:szCs w:val="24"/>
          <w:lang w:val="en-US"/>
        </w:rPr>
      </w:pPr>
    </w:p>
    <w:p w:rsidR="00585EB8" w:rsidRPr="003B5FC9" w:rsidRDefault="00585EB8" w:rsidP="00585EB8">
      <w:pPr>
        <w:tabs>
          <w:tab w:val="left" w:pos="851"/>
        </w:tabs>
        <w:ind w:left="851" w:hanging="851"/>
        <w:rPr>
          <w:b/>
          <w:sz w:val="24"/>
          <w:szCs w:val="24"/>
        </w:rPr>
      </w:pPr>
      <w:r w:rsidRPr="003B5FC9">
        <w:rPr>
          <w:b/>
          <w:sz w:val="24"/>
          <w:szCs w:val="24"/>
        </w:rPr>
        <w:t>4.9</w:t>
      </w:r>
      <w:r w:rsidRPr="003B5FC9">
        <w:rPr>
          <w:b/>
          <w:sz w:val="24"/>
          <w:szCs w:val="24"/>
        </w:rPr>
        <w:tab/>
        <w:t>Overdosering</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hanging="851"/>
        <w:rPr>
          <w:sz w:val="24"/>
          <w:szCs w:val="24"/>
          <w:lang w:eastAsia="da-DK"/>
        </w:rPr>
      </w:pPr>
      <w:r w:rsidRPr="004E700F">
        <w:rPr>
          <w:sz w:val="24"/>
          <w:szCs w:val="24"/>
        </w:rPr>
        <w:tab/>
      </w:r>
      <w:r w:rsidRPr="003B5FC9">
        <w:rPr>
          <w:sz w:val="24"/>
          <w:szCs w:val="24"/>
          <w:u w:val="single"/>
        </w:rPr>
        <w:t>Symptomer</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Overdosering med </w:t>
      </w:r>
      <w:proofErr w:type="spellStart"/>
      <w:r w:rsidRPr="003B5FC9">
        <w:rPr>
          <w:sz w:val="24"/>
          <w:szCs w:val="24"/>
        </w:rPr>
        <w:t>solifenacinsuccinat</w:t>
      </w:r>
      <w:proofErr w:type="spellEnd"/>
      <w:r w:rsidRPr="003B5FC9">
        <w:rPr>
          <w:sz w:val="24"/>
          <w:szCs w:val="24"/>
        </w:rPr>
        <w:t xml:space="preserve"> kan give alvorlige </w:t>
      </w:r>
      <w:proofErr w:type="spellStart"/>
      <w:r w:rsidRPr="003B5FC9">
        <w:rPr>
          <w:sz w:val="24"/>
          <w:szCs w:val="24"/>
        </w:rPr>
        <w:t>anticholinerge</w:t>
      </w:r>
      <w:proofErr w:type="spellEnd"/>
      <w:r w:rsidRPr="003B5FC9">
        <w:rPr>
          <w:sz w:val="24"/>
          <w:szCs w:val="24"/>
        </w:rPr>
        <w:t xml:space="preserve"> bivirkninger. Den højeste dosis af </w:t>
      </w:r>
      <w:proofErr w:type="spellStart"/>
      <w:r w:rsidRPr="003B5FC9">
        <w:rPr>
          <w:sz w:val="24"/>
          <w:szCs w:val="24"/>
        </w:rPr>
        <w:t>solifenacinsuccinat</w:t>
      </w:r>
      <w:proofErr w:type="spellEnd"/>
      <w:r w:rsidRPr="003B5FC9">
        <w:rPr>
          <w:sz w:val="24"/>
          <w:szCs w:val="24"/>
        </w:rPr>
        <w:t>, der ved et uheld blev givet til en patient var 280 mg i et tidsrum på 5 timer, hvilket ændrede patientens mentale status, men uden behov for indlæggelse.</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rPr>
          <w:iCs/>
          <w:sz w:val="24"/>
          <w:szCs w:val="24"/>
          <w:u w:val="single"/>
        </w:rPr>
      </w:pPr>
      <w:r w:rsidRPr="003B5FC9">
        <w:rPr>
          <w:sz w:val="24"/>
          <w:szCs w:val="24"/>
          <w:u w:val="single"/>
        </w:rPr>
        <w:t>Behandling</w:t>
      </w:r>
    </w:p>
    <w:p w:rsidR="00585EB8" w:rsidRPr="003B5FC9" w:rsidRDefault="00585EB8" w:rsidP="00585EB8">
      <w:pPr>
        <w:tabs>
          <w:tab w:val="left" w:pos="851"/>
        </w:tabs>
        <w:ind w:left="851"/>
        <w:rPr>
          <w:sz w:val="24"/>
          <w:szCs w:val="24"/>
        </w:rPr>
      </w:pPr>
      <w:r w:rsidRPr="003B5FC9">
        <w:rPr>
          <w:sz w:val="24"/>
          <w:szCs w:val="24"/>
        </w:rPr>
        <w:t xml:space="preserve">I tilfælde af overdosering med </w:t>
      </w:r>
      <w:proofErr w:type="spellStart"/>
      <w:r w:rsidRPr="003B5FC9">
        <w:rPr>
          <w:sz w:val="24"/>
          <w:szCs w:val="24"/>
        </w:rPr>
        <w:t>solifenacinsuccinat</w:t>
      </w:r>
      <w:proofErr w:type="spellEnd"/>
      <w:r w:rsidRPr="003B5FC9">
        <w:rPr>
          <w:sz w:val="24"/>
          <w:szCs w:val="24"/>
        </w:rPr>
        <w:t xml:space="preserve"> skal patienten behandles med aktivt kul. Ventrikelskylning er gavnligt, hvis den udføres indenfor 1 time, men opkastning bør ikke induceres.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Som med øvrige </w:t>
      </w:r>
      <w:proofErr w:type="spellStart"/>
      <w:r w:rsidRPr="003B5FC9">
        <w:rPr>
          <w:sz w:val="24"/>
          <w:szCs w:val="24"/>
        </w:rPr>
        <w:t>anticholinerge</w:t>
      </w:r>
      <w:proofErr w:type="spellEnd"/>
      <w:r w:rsidRPr="003B5FC9">
        <w:rPr>
          <w:sz w:val="24"/>
          <w:szCs w:val="24"/>
        </w:rPr>
        <w:t xml:space="preserve"> midler, kan symptomerne behandles som følger:</w:t>
      </w:r>
    </w:p>
    <w:p w:rsidR="00585EB8" w:rsidRPr="003B5FC9" w:rsidRDefault="00585EB8" w:rsidP="00585EB8">
      <w:pPr>
        <w:numPr>
          <w:ilvl w:val="0"/>
          <w:numId w:val="9"/>
        </w:numPr>
        <w:ind w:left="1276" w:hanging="425"/>
        <w:rPr>
          <w:sz w:val="24"/>
          <w:szCs w:val="24"/>
        </w:rPr>
      </w:pPr>
      <w:r w:rsidRPr="003B5FC9">
        <w:rPr>
          <w:sz w:val="24"/>
          <w:szCs w:val="24"/>
        </w:rPr>
        <w:t xml:space="preserve">Alvorlige centrale </w:t>
      </w:r>
      <w:proofErr w:type="spellStart"/>
      <w:r w:rsidRPr="003B5FC9">
        <w:rPr>
          <w:sz w:val="24"/>
          <w:szCs w:val="24"/>
        </w:rPr>
        <w:t>anticholinerge</w:t>
      </w:r>
      <w:proofErr w:type="spellEnd"/>
      <w:r w:rsidRPr="003B5FC9">
        <w:rPr>
          <w:sz w:val="24"/>
          <w:szCs w:val="24"/>
        </w:rPr>
        <w:t xml:space="preserve"> virkninger som hallucinationer eller udtalt </w:t>
      </w:r>
      <w:proofErr w:type="spellStart"/>
      <w:r w:rsidRPr="003B5FC9">
        <w:rPr>
          <w:sz w:val="24"/>
          <w:szCs w:val="24"/>
        </w:rPr>
        <w:t>excitation</w:t>
      </w:r>
      <w:proofErr w:type="spellEnd"/>
      <w:r w:rsidRPr="003B5FC9">
        <w:rPr>
          <w:sz w:val="24"/>
          <w:szCs w:val="24"/>
        </w:rPr>
        <w:t xml:space="preserve"> behandles med </w:t>
      </w:r>
      <w:proofErr w:type="spellStart"/>
      <w:r w:rsidRPr="003B5FC9">
        <w:rPr>
          <w:sz w:val="24"/>
          <w:szCs w:val="24"/>
        </w:rPr>
        <w:t>physostigmin</w:t>
      </w:r>
      <w:proofErr w:type="spellEnd"/>
      <w:r w:rsidRPr="003B5FC9">
        <w:rPr>
          <w:sz w:val="24"/>
          <w:szCs w:val="24"/>
        </w:rPr>
        <w:t xml:space="preserve"> eller </w:t>
      </w:r>
      <w:proofErr w:type="spellStart"/>
      <w:r w:rsidRPr="003B5FC9">
        <w:rPr>
          <w:sz w:val="24"/>
          <w:szCs w:val="24"/>
        </w:rPr>
        <w:t>carbachol</w:t>
      </w:r>
      <w:proofErr w:type="spellEnd"/>
      <w:r w:rsidRPr="003B5FC9">
        <w:rPr>
          <w:sz w:val="24"/>
          <w:szCs w:val="24"/>
        </w:rPr>
        <w:t>.</w:t>
      </w:r>
    </w:p>
    <w:p w:rsidR="00585EB8" w:rsidRPr="003B5FC9" w:rsidRDefault="00585EB8" w:rsidP="00585EB8">
      <w:pPr>
        <w:numPr>
          <w:ilvl w:val="0"/>
          <w:numId w:val="9"/>
        </w:numPr>
        <w:ind w:left="1276" w:hanging="425"/>
        <w:rPr>
          <w:sz w:val="24"/>
          <w:szCs w:val="24"/>
        </w:rPr>
      </w:pPr>
      <w:r w:rsidRPr="003B5FC9">
        <w:rPr>
          <w:sz w:val="24"/>
          <w:szCs w:val="24"/>
        </w:rPr>
        <w:t xml:space="preserve">Kramper eller udtalt </w:t>
      </w:r>
      <w:proofErr w:type="spellStart"/>
      <w:r w:rsidRPr="003B5FC9">
        <w:rPr>
          <w:sz w:val="24"/>
          <w:szCs w:val="24"/>
        </w:rPr>
        <w:t>excitation</w:t>
      </w:r>
      <w:proofErr w:type="spellEnd"/>
      <w:r w:rsidRPr="003B5FC9">
        <w:rPr>
          <w:sz w:val="24"/>
          <w:szCs w:val="24"/>
        </w:rPr>
        <w:t xml:space="preserve"> behandles med benzodiazepiner.</w:t>
      </w:r>
    </w:p>
    <w:p w:rsidR="00585EB8" w:rsidRPr="003B5FC9" w:rsidRDefault="00585EB8" w:rsidP="00585EB8">
      <w:pPr>
        <w:numPr>
          <w:ilvl w:val="0"/>
          <w:numId w:val="9"/>
        </w:numPr>
        <w:ind w:left="1276" w:hanging="425"/>
        <w:rPr>
          <w:sz w:val="24"/>
          <w:szCs w:val="24"/>
        </w:rPr>
      </w:pPr>
      <w:r w:rsidRPr="003B5FC9">
        <w:rPr>
          <w:sz w:val="24"/>
          <w:szCs w:val="24"/>
        </w:rPr>
        <w:t>Respirationsinsufficiens behandles med kunstigt åndedræt.</w:t>
      </w:r>
    </w:p>
    <w:p w:rsidR="00585EB8" w:rsidRPr="003B5FC9" w:rsidRDefault="00585EB8" w:rsidP="00585EB8">
      <w:pPr>
        <w:numPr>
          <w:ilvl w:val="0"/>
          <w:numId w:val="9"/>
        </w:numPr>
        <w:ind w:left="1276" w:hanging="425"/>
        <w:rPr>
          <w:sz w:val="24"/>
          <w:szCs w:val="24"/>
        </w:rPr>
      </w:pPr>
      <w:proofErr w:type="spellStart"/>
      <w:r w:rsidRPr="003B5FC9">
        <w:rPr>
          <w:sz w:val="24"/>
          <w:szCs w:val="24"/>
        </w:rPr>
        <w:t>Takykardi</w:t>
      </w:r>
      <w:proofErr w:type="spellEnd"/>
      <w:r w:rsidRPr="003B5FC9">
        <w:rPr>
          <w:sz w:val="24"/>
          <w:szCs w:val="24"/>
        </w:rPr>
        <w:t xml:space="preserve"> behandles med beta-</w:t>
      </w:r>
      <w:proofErr w:type="spellStart"/>
      <w:r w:rsidRPr="003B5FC9">
        <w:rPr>
          <w:sz w:val="24"/>
          <w:szCs w:val="24"/>
        </w:rPr>
        <w:t>blokkere</w:t>
      </w:r>
      <w:proofErr w:type="spellEnd"/>
      <w:r w:rsidRPr="003B5FC9">
        <w:rPr>
          <w:sz w:val="24"/>
          <w:szCs w:val="24"/>
        </w:rPr>
        <w:t>.</w:t>
      </w:r>
    </w:p>
    <w:p w:rsidR="00585EB8" w:rsidRPr="003B5FC9" w:rsidRDefault="00585EB8" w:rsidP="00585EB8">
      <w:pPr>
        <w:numPr>
          <w:ilvl w:val="0"/>
          <w:numId w:val="9"/>
        </w:numPr>
        <w:ind w:left="1276" w:hanging="425"/>
        <w:rPr>
          <w:sz w:val="24"/>
          <w:szCs w:val="24"/>
        </w:rPr>
      </w:pPr>
      <w:r w:rsidRPr="003B5FC9">
        <w:rPr>
          <w:sz w:val="24"/>
          <w:szCs w:val="24"/>
        </w:rPr>
        <w:t xml:space="preserve">Urinretention behandles med </w:t>
      </w:r>
      <w:proofErr w:type="spellStart"/>
      <w:r w:rsidRPr="003B5FC9">
        <w:rPr>
          <w:sz w:val="24"/>
          <w:szCs w:val="24"/>
        </w:rPr>
        <w:t>kateterisation</w:t>
      </w:r>
      <w:proofErr w:type="spellEnd"/>
      <w:r w:rsidRPr="003B5FC9">
        <w:rPr>
          <w:sz w:val="24"/>
          <w:szCs w:val="24"/>
        </w:rPr>
        <w:t>.</w:t>
      </w:r>
    </w:p>
    <w:p w:rsidR="00585EB8" w:rsidRPr="003B5FC9" w:rsidRDefault="00585EB8" w:rsidP="00585EB8">
      <w:pPr>
        <w:numPr>
          <w:ilvl w:val="0"/>
          <w:numId w:val="9"/>
        </w:numPr>
        <w:ind w:left="1276" w:hanging="425"/>
        <w:rPr>
          <w:sz w:val="24"/>
          <w:szCs w:val="24"/>
        </w:rPr>
      </w:pPr>
      <w:proofErr w:type="spellStart"/>
      <w:r w:rsidRPr="003B5FC9">
        <w:rPr>
          <w:sz w:val="24"/>
          <w:szCs w:val="24"/>
        </w:rPr>
        <w:t>Mydriasis</w:t>
      </w:r>
      <w:proofErr w:type="spellEnd"/>
      <w:r w:rsidRPr="003B5FC9">
        <w:rPr>
          <w:sz w:val="24"/>
          <w:szCs w:val="24"/>
        </w:rPr>
        <w:t xml:space="preserve"> behandles med </w:t>
      </w:r>
      <w:proofErr w:type="spellStart"/>
      <w:r w:rsidRPr="003B5FC9">
        <w:rPr>
          <w:sz w:val="24"/>
          <w:szCs w:val="24"/>
        </w:rPr>
        <w:t>pilocarpin</w:t>
      </w:r>
      <w:proofErr w:type="spellEnd"/>
      <w:r w:rsidRPr="003B5FC9">
        <w:rPr>
          <w:sz w:val="24"/>
          <w:szCs w:val="24"/>
        </w:rPr>
        <w:t xml:space="preserve"> øjendråber og/eller patienten placeres i et mørkt rum.</w:t>
      </w:r>
    </w:p>
    <w:p w:rsidR="00585EB8" w:rsidRPr="003B5FC9" w:rsidRDefault="00585EB8" w:rsidP="00585EB8">
      <w:pPr>
        <w:tabs>
          <w:tab w:val="left" w:pos="851"/>
        </w:tabs>
        <w:ind w:left="1276" w:hanging="425"/>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Som med øvrige </w:t>
      </w:r>
      <w:proofErr w:type="spellStart"/>
      <w:r w:rsidRPr="003B5FC9">
        <w:rPr>
          <w:sz w:val="24"/>
          <w:szCs w:val="24"/>
        </w:rPr>
        <w:t>antimuscarine</w:t>
      </w:r>
      <w:proofErr w:type="spellEnd"/>
      <w:r w:rsidRPr="003B5FC9">
        <w:rPr>
          <w:sz w:val="24"/>
          <w:szCs w:val="24"/>
        </w:rPr>
        <w:t xml:space="preserve"> midler bør man i tilfælde af overdosering være ekstra opmærksom på patienter med kendt risiko for QT- forlængelse (dvs. </w:t>
      </w:r>
      <w:proofErr w:type="spellStart"/>
      <w:r w:rsidRPr="003B5FC9">
        <w:rPr>
          <w:sz w:val="24"/>
          <w:szCs w:val="24"/>
        </w:rPr>
        <w:t>hypokaliæmi</w:t>
      </w:r>
      <w:proofErr w:type="spellEnd"/>
      <w:r w:rsidRPr="003B5FC9">
        <w:rPr>
          <w:sz w:val="24"/>
          <w:szCs w:val="24"/>
        </w:rPr>
        <w:t xml:space="preserve">, bradykardi og samtidig administration af lægemidler, der forlænger QT-intervallet) og relevante hjertelidelser (dvs. </w:t>
      </w:r>
      <w:proofErr w:type="spellStart"/>
      <w:r w:rsidRPr="003B5FC9">
        <w:rPr>
          <w:sz w:val="24"/>
          <w:szCs w:val="24"/>
        </w:rPr>
        <w:t>myocardie</w:t>
      </w:r>
      <w:proofErr w:type="spellEnd"/>
      <w:r w:rsidRPr="003B5FC9">
        <w:rPr>
          <w:sz w:val="24"/>
          <w:szCs w:val="24"/>
        </w:rPr>
        <w:t xml:space="preserve"> iskæmi, </w:t>
      </w:r>
      <w:proofErr w:type="spellStart"/>
      <w:r w:rsidRPr="003B5FC9">
        <w:rPr>
          <w:sz w:val="24"/>
          <w:szCs w:val="24"/>
        </w:rPr>
        <w:t>arytmi</w:t>
      </w:r>
      <w:proofErr w:type="spellEnd"/>
      <w:r w:rsidRPr="003B5FC9">
        <w:rPr>
          <w:sz w:val="24"/>
          <w:szCs w:val="24"/>
        </w:rPr>
        <w:t>, hjertesvigt).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4.10</w:t>
      </w:r>
      <w:r w:rsidRPr="003B5FC9">
        <w:rPr>
          <w:b/>
          <w:sz w:val="24"/>
          <w:szCs w:val="24"/>
        </w:rPr>
        <w:tab/>
        <w:t>Udlevering</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B</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5.</w:t>
      </w:r>
      <w:r w:rsidRPr="003B5FC9">
        <w:rPr>
          <w:b/>
          <w:sz w:val="24"/>
          <w:szCs w:val="24"/>
        </w:rPr>
        <w:tab/>
        <w:t>FARMAKOLOGISKE EGENSKABER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5.0</w:t>
      </w:r>
      <w:r w:rsidRPr="003B5FC9">
        <w:rPr>
          <w:b/>
          <w:sz w:val="24"/>
          <w:szCs w:val="24"/>
        </w:rPr>
        <w:tab/>
        <w:t>Terapeutisk klassifikation</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 xml:space="preserve">ATC-kode: G04BD08. </w:t>
      </w:r>
      <w:proofErr w:type="spellStart"/>
      <w:r w:rsidRPr="003B5FC9">
        <w:rPr>
          <w:sz w:val="24"/>
          <w:szCs w:val="24"/>
        </w:rPr>
        <w:t>Urologica</w:t>
      </w:r>
      <w:proofErr w:type="spellEnd"/>
      <w:r w:rsidRPr="003B5FC9">
        <w:rPr>
          <w:sz w:val="24"/>
          <w:szCs w:val="24"/>
        </w:rPr>
        <w:t xml:space="preserve">, midler mod hyppig </w:t>
      </w:r>
      <w:proofErr w:type="spellStart"/>
      <w:r w:rsidRPr="003B5FC9">
        <w:rPr>
          <w:sz w:val="24"/>
          <w:szCs w:val="24"/>
        </w:rPr>
        <w:t>urinering</w:t>
      </w:r>
      <w:proofErr w:type="spellEnd"/>
      <w:r w:rsidRPr="003B5FC9">
        <w:rPr>
          <w:sz w:val="24"/>
          <w:szCs w:val="24"/>
        </w:rPr>
        <w:t xml:space="preserve"> og inkontinens. </w:t>
      </w:r>
    </w:p>
    <w:p w:rsidR="00585EB8" w:rsidRPr="003B5FC9" w:rsidRDefault="00585EB8" w:rsidP="00585EB8">
      <w:pPr>
        <w:tabs>
          <w:tab w:val="left" w:pos="851"/>
        </w:tabs>
        <w:ind w:left="851" w:hanging="851"/>
        <w:rPr>
          <w:sz w:val="24"/>
          <w:szCs w:val="24"/>
        </w:rPr>
      </w:pPr>
    </w:p>
    <w:p w:rsidR="00585EB8" w:rsidRPr="003B5FC9" w:rsidRDefault="00585EB8" w:rsidP="00EC7315">
      <w:pPr>
        <w:keepNext/>
        <w:tabs>
          <w:tab w:val="num" w:pos="851"/>
        </w:tabs>
        <w:ind w:left="851" w:hanging="851"/>
        <w:rPr>
          <w:b/>
          <w:sz w:val="24"/>
          <w:szCs w:val="24"/>
        </w:rPr>
      </w:pPr>
      <w:r w:rsidRPr="003B5FC9">
        <w:rPr>
          <w:b/>
          <w:sz w:val="24"/>
          <w:szCs w:val="24"/>
        </w:rPr>
        <w:t>5.1</w:t>
      </w:r>
      <w:r w:rsidRPr="003B5FC9">
        <w:rPr>
          <w:b/>
          <w:sz w:val="24"/>
          <w:szCs w:val="24"/>
        </w:rPr>
        <w:tab/>
      </w:r>
      <w:proofErr w:type="spellStart"/>
      <w:r w:rsidRPr="003B5FC9">
        <w:rPr>
          <w:b/>
          <w:sz w:val="24"/>
          <w:szCs w:val="24"/>
        </w:rPr>
        <w:t>Farmakodynamiske</w:t>
      </w:r>
      <w:proofErr w:type="spellEnd"/>
      <w:r w:rsidRPr="003B5FC9">
        <w:rPr>
          <w:b/>
          <w:sz w:val="24"/>
          <w:szCs w:val="24"/>
        </w:rPr>
        <w:t xml:space="preserve"> egenskaber</w:t>
      </w:r>
    </w:p>
    <w:p w:rsidR="00585EB8" w:rsidRDefault="00585EB8" w:rsidP="00EC7315">
      <w:pPr>
        <w:keepNext/>
        <w:tabs>
          <w:tab w:val="left" w:pos="851"/>
        </w:tabs>
        <w:ind w:left="851" w:hanging="851"/>
        <w:rPr>
          <w:b/>
          <w:sz w:val="24"/>
          <w:szCs w:val="24"/>
        </w:rPr>
      </w:pPr>
    </w:p>
    <w:p w:rsidR="00585EB8" w:rsidRPr="003B5FC9" w:rsidRDefault="00585EB8" w:rsidP="00EC7315">
      <w:pPr>
        <w:keepNext/>
        <w:tabs>
          <w:tab w:val="left" w:pos="851"/>
        </w:tabs>
        <w:ind w:left="851" w:hanging="851"/>
        <w:rPr>
          <w:sz w:val="24"/>
          <w:szCs w:val="24"/>
          <w:lang w:eastAsia="da-DK"/>
        </w:rPr>
      </w:pPr>
      <w:r>
        <w:rPr>
          <w:b/>
          <w:sz w:val="24"/>
          <w:szCs w:val="24"/>
        </w:rPr>
        <w:tab/>
      </w:r>
      <w:r w:rsidRPr="003B5FC9">
        <w:rPr>
          <w:b/>
          <w:sz w:val="24"/>
          <w:szCs w:val="24"/>
        </w:rPr>
        <w:t>Virkningsmekanisme</w:t>
      </w:r>
    </w:p>
    <w:p w:rsidR="00585EB8" w:rsidRPr="003B5FC9" w:rsidRDefault="00585EB8" w:rsidP="00EC7315">
      <w:pPr>
        <w:keepNext/>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proofErr w:type="spellStart"/>
      <w:r w:rsidRPr="003B5FC9">
        <w:rPr>
          <w:sz w:val="24"/>
          <w:szCs w:val="24"/>
        </w:rPr>
        <w:t>Solifenacin</w:t>
      </w:r>
      <w:proofErr w:type="spellEnd"/>
      <w:r w:rsidRPr="003B5FC9">
        <w:rPr>
          <w:sz w:val="24"/>
          <w:szCs w:val="24"/>
        </w:rPr>
        <w:t xml:space="preserve"> er en </w:t>
      </w:r>
      <w:proofErr w:type="spellStart"/>
      <w:r w:rsidRPr="003B5FC9">
        <w:rPr>
          <w:sz w:val="24"/>
          <w:szCs w:val="24"/>
        </w:rPr>
        <w:t>kompetitiv</w:t>
      </w:r>
      <w:proofErr w:type="spellEnd"/>
      <w:r w:rsidRPr="003B5FC9">
        <w:rPr>
          <w:sz w:val="24"/>
          <w:szCs w:val="24"/>
        </w:rPr>
        <w:t xml:space="preserve">, specifik </w:t>
      </w:r>
      <w:proofErr w:type="spellStart"/>
      <w:r w:rsidRPr="003B5FC9">
        <w:rPr>
          <w:sz w:val="24"/>
          <w:szCs w:val="24"/>
        </w:rPr>
        <w:t>cholinerg</w:t>
      </w:r>
      <w:proofErr w:type="spellEnd"/>
      <w:r w:rsidRPr="003B5FC9">
        <w:rPr>
          <w:sz w:val="24"/>
          <w:szCs w:val="24"/>
        </w:rPr>
        <w:t>-receptorantagonist.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Urinblæren </w:t>
      </w:r>
      <w:proofErr w:type="spellStart"/>
      <w:r w:rsidRPr="003B5FC9">
        <w:rPr>
          <w:sz w:val="24"/>
          <w:szCs w:val="24"/>
        </w:rPr>
        <w:t>innerveres</w:t>
      </w:r>
      <w:proofErr w:type="spellEnd"/>
      <w:r w:rsidRPr="003B5FC9">
        <w:rPr>
          <w:sz w:val="24"/>
          <w:szCs w:val="24"/>
        </w:rPr>
        <w:t xml:space="preserve"> af parasympatiske </w:t>
      </w:r>
      <w:proofErr w:type="spellStart"/>
      <w:r w:rsidRPr="003B5FC9">
        <w:rPr>
          <w:sz w:val="24"/>
          <w:szCs w:val="24"/>
        </w:rPr>
        <w:t>cholinerge</w:t>
      </w:r>
      <w:proofErr w:type="spellEnd"/>
      <w:r w:rsidRPr="003B5FC9">
        <w:rPr>
          <w:sz w:val="24"/>
          <w:szCs w:val="24"/>
        </w:rPr>
        <w:t xml:space="preserve"> nerver. </w:t>
      </w:r>
      <w:proofErr w:type="spellStart"/>
      <w:r w:rsidRPr="003B5FC9">
        <w:rPr>
          <w:sz w:val="24"/>
          <w:szCs w:val="24"/>
        </w:rPr>
        <w:t>Acetylcholin</w:t>
      </w:r>
      <w:proofErr w:type="spellEnd"/>
      <w:r w:rsidRPr="003B5FC9">
        <w:rPr>
          <w:sz w:val="24"/>
          <w:szCs w:val="24"/>
        </w:rPr>
        <w:t xml:space="preserve"> sammentrækker den glatte </w:t>
      </w:r>
      <w:proofErr w:type="spellStart"/>
      <w:r w:rsidRPr="003B5FC9">
        <w:rPr>
          <w:sz w:val="24"/>
          <w:szCs w:val="24"/>
        </w:rPr>
        <w:t>detrusor</w:t>
      </w:r>
      <w:proofErr w:type="spellEnd"/>
      <w:r w:rsidRPr="003B5FC9">
        <w:rPr>
          <w:sz w:val="24"/>
          <w:szCs w:val="24"/>
        </w:rPr>
        <w:t xml:space="preserve"> muskel via </w:t>
      </w:r>
      <w:proofErr w:type="spellStart"/>
      <w:r w:rsidRPr="003B5FC9">
        <w:rPr>
          <w:sz w:val="24"/>
          <w:szCs w:val="24"/>
        </w:rPr>
        <w:t>muscarine</w:t>
      </w:r>
      <w:proofErr w:type="spellEnd"/>
      <w:r w:rsidRPr="003B5FC9">
        <w:rPr>
          <w:sz w:val="24"/>
          <w:szCs w:val="24"/>
        </w:rPr>
        <w:t xml:space="preserve"> receptorer, for hvilke M</w:t>
      </w:r>
      <w:r w:rsidRPr="003B5FC9">
        <w:rPr>
          <w:sz w:val="24"/>
          <w:szCs w:val="24"/>
          <w:vertAlign w:val="subscript"/>
        </w:rPr>
        <w:t>3</w:t>
      </w:r>
      <w:r w:rsidRPr="003B5FC9">
        <w:rPr>
          <w:sz w:val="24"/>
          <w:szCs w:val="24"/>
        </w:rPr>
        <w:t xml:space="preserve">-subtypen overvejende </w:t>
      </w:r>
      <w:r w:rsidRPr="003B5FC9">
        <w:rPr>
          <w:sz w:val="24"/>
          <w:szCs w:val="24"/>
        </w:rPr>
        <w:lastRenderedPageBreak/>
        <w:t xml:space="preserve">er involveret. Farmakologiske </w:t>
      </w:r>
      <w:r w:rsidRPr="003B5FC9">
        <w:rPr>
          <w:i/>
          <w:sz w:val="24"/>
          <w:szCs w:val="24"/>
        </w:rPr>
        <w:t xml:space="preserve">in </w:t>
      </w:r>
      <w:proofErr w:type="spellStart"/>
      <w:r w:rsidRPr="003B5FC9">
        <w:rPr>
          <w:i/>
          <w:sz w:val="24"/>
          <w:szCs w:val="24"/>
        </w:rPr>
        <w:t>vitro</w:t>
      </w:r>
      <w:proofErr w:type="spellEnd"/>
      <w:r w:rsidRPr="003B5FC9">
        <w:rPr>
          <w:sz w:val="24"/>
          <w:szCs w:val="24"/>
        </w:rPr>
        <w:t xml:space="preserve"> og </w:t>
      </w:r>
      <w:r w:rsidRPr="003B5FC9">
        <w:rPr>
          <w:i/>
          <w:sz w:val="24"/>
          <w:szCs w:val="24"/>
        </w:rPr>
        <w:t xml:space="preserve">in </w:t>
      </w:r>
      <w:proofErr w:type="spellStart"/>
      <w:r w:rsidRPr="003B5FC9">
        <w:rPr>
          <w:i/>
          <w:sz w:val="24"/>
          <w:szCs w:val="24"/>
        </w:rPr>
        <w:t>vivo</w:t>
      </w:r>
      <w:proofErr w:type="spellEnd"/>
      <w:r w:rsidRPr="003B5FC9">
        <w:rPr>
          <w:sz w:val="24"/>
          <w:szCs w:val="24"/>
        </w:rPr>
        <w:t xml:space="preserve"> undersøgelser viser at </w:t>
      </w:r>
      <w:proofErr w:type="spellStart"/>
      <w:r w:rsidRPr="003B5FC9">
        <w:rPr>
          <w:sz w:val="24"/>
          <w:szCs w:val="24"/>
        </w:rPr>
        <w:t>solifenacin</w:t>
      </w:r>
      <w:proofErr w:type="spellEnd"/>
      <w:r w:rsidRPr="003B5FC9">
        <w:rPr>
          <w:sz w:val="24"/>
          <w:szCs w:val="24"/>
        </w:rPr>
        <w:t xml:space="preserve"> er en </w:t>
      </w:r>
      <w:proofErr w:type="spellStart"/>
      <w:r w:rsidRPr="003B5FC9">
        <w:rPr>
          <w:sz w:val="24"/>
          <w:szCs w:val="24"/>
        </w:rPr>
        <w:t>kompetitiv</w:t>
      </w:r>
      <w:proofErr w:type="spellEnd"/>
      <w:r w:rsidRPr="003B5FC9">
        <w:rPr>
          <w:sz w:val="24"/>
          <w:szCs w:val="24"/>
        </w:rPr>
        <w:t xml:space="preserve"> hæmmer af den </w:t>
      </w:r>
      <w:proofErr w:type="spellStart"/>
      <w:r w:rsidRPr="003B5FC9">
        <w:rPr>
          <w:sz w:val="24"/>
          <w:szCs w:val="24"/>
        </w:rPr>
        <w:t>muscarine</w:t>
      </w:r>
      <w:proofErr w:type="spellEnd"/>
      <w:r w:rsidRPr="003B5FC9">
        <w:rPr>
          <w:sz w:val="24"/>
          <w:szCs w:val="24"/>
        </w:rPr>
        <w:t xml:space="preserve"> M</w:t>
      </w:r>
      <w:r w:rsidRPr="003B5FC9">
        <w:rPr>
          <w:sz w:val="24"/>
          <w:szCs w:val="24"/>
          <w:vertAlign w:val="subscript"/>
        </w:rPr>
        <w:t>3</w:t>
      </w:r>
      <w:r w:rsidRPr="003B5FC9">
        <w:rPr>
          <w:sz w:val="24"/>
          <w:szCs w:val="24"/>
        </w:rPr>
        <w:t xml:space="preserve">-subtype receptor. Det er desuden vist at </w:t>
      </w:r>
      <w:proofErr w:type="spellStart"/>
      <w:r w:rsidRPr="003B5FC9">
        <w:rPr>
          <w:sz w:val="24"/>
          <w:szCs w:val="24"/>
        </w:rPr>
        <w:t>solifenacin</w:t>
      </w:r>
      <w:proofErr w:type="spellEnd"/>
      <w:r w:rsidRPr="003B5FC9">
        <w:rPr>
          <w:sz w:val="24"/>
          <w:szCs w:val="24"/>
        </w:rPr>
        <w:t xml:space="preserve"> er en specifik </w:t>
      </w:r>
      <w:proofErr w:type="spellStart"/>
      <w:r w:rsidRPr="003B5FC9">
        <w:rPr>
          <w:sz w:val="24"/>
          <w:szCs w:val="24"/>
        </w:rPr>
        <w:t>muscarin</w:t>
      </w:r>
      <w:proofErr w:type="spellEnd"/>
      <w:r w:rsidRPr="003B5FC9">
        <w:rPr>
          <w:sz w:val="24"/>
          <w:szCs w:val="24"/>
        </w:rPr>
        <w:t xml:space="preserve"> receptor antagonist idet det har lav eller ingen affinitet for andre undersøgte receptorer og ionkanaler.</w:t>
      </w:r>
    </w:p>
    <w:p w:rsidR="00585EB8" w:rsidRPr="003B5FC9" w:rsidRDefault="00585EB8" w:rsidP="00585EB8">
      <w:pPr>
        <w:tabs>
          <w:tab w:val="left" w:pos="851"/>
        </w:tabs>
        <w:ind w:left="851" w:hanging="851"/>
        <w:rPr>
          <w:b/>
          <w:bCs/>
          <w:sz w:val="24"/>
          <w:szCs w:val="24"/>
        </w:rPr>
      </w:pPr>
    </w:p>
    <w:p w:rsidR="00585EB8" w:rsidRPr="003B5FC9" w:rsidRDefault="00585EB8" w:rsidP="00585EB8">
      <w:pPr>
        <w:tabs>
          <w:tab w:val="left" w:pos="851"/>
        </w:tabs>
        <w:ind w:left="851" w:hanging="851"/>
        <w:rPr>
          <w:sz w:val="24"/>
          <w:szCs w:val="24"/>
        </w:rPr>
      </w:pPr>
      <w:r>
        <w:rPr>
          <w:b/>
          <w:sz w:val="24"/>
          <w:szCs w:val="24"/>
        </w:rPr>
        <w:tab/>
      </w:r>
      <w:proofErr w:type="spellStart"/>
      <w:r w:rsidRPr="003B5FC9">
        <w:rPr>
          <w:b/>
          <w:sz w:val="24"/>
          <w:szCs w:val="24"/>
        </w:rPr>
        <w:t>Farmakodynamiske</w:t>
      </w:r>
      <w:proofErr w:type="spellEnd"/>
      <w:r w:rsidRPr="003B5FC9">
        <w:rPr>
          <w:b/>
          <w:sz w:val="24"/>
          <w:szCs w:val="24"/>
        </w:rPr>
        <w:t xml:space="preserve"> virkninger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Behandling med </w:t>
      </w:r>
      <w:proofErr w:type="spellStart"/>
      <w:r w:rsidRPr="003B5FC9">
        <w:rPr>
          <w:sz w:val="24"/>
          <w:szCs w:val="24"/>
        </w:rPr>
        <w:t>solifenacinsuccinat</w:t>
      </w:r>
      <w:proofErr w:type="spellEnd"/>
      <w:r w:rsidRPr="003B5FC9">
        <w:rPr>
          <w:sz w:val="24"/>
          <w:szCs w:val="24"/>
        </w:rPr>
        <w:t xml:space="preserve"> i doser på 5 mg og 10 mg daglig er blevet undersøgt i adskillige dobbeltblindede randomiserede kontrollerede undersøgelser hos mænd og kvinder med overaktiv blære.</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Som vist i nedenstående tabel giver både 5 mg og 10 mg </w:t>
      </w:r>
      <w:proofErr w:type="spellStart"/>
      <w:r w:rsidRPr="003B5FC9">
        <w:rPr>
          <w:sz w:val="24"/>
          <w:szCs w:val="24"/>
        </w:rPr>
        <w:t>solifenacinsuccinatdoser</w:t>
      </w:r>
      <w:proofErr w:type="spellEnd"/>
      <w:r w:rsidRPr="003B5FC9">
        <w:rPr>
          <w:sz w:val="24"/>
          <w:szCs w:val="24"/>
        </w:rPr>
        <w:t xml:space="preserve"> statistisk signifikante forbedringer i primære og sekundære </w:t>
      </w:r>
      <w:proofErr w:type="spellStart"/>
      <w:r w:rsidRPr="003B5FC9">
        <w:rPr>
          <w:sz w:val="24"/>
          <w:szCs w:val="24"/>
        </w:rPr>
        <w:t>endpoints</w:t>
      </w:r>
      <w:proofErr w:type="spellEnd"/>
      <w:r w:rsidRPr="003B5FC9">
        <w:rPr>
          <w:sz w:val="24"/>
          <w:szCs w:val="24"/>
        </w:rPr>
        <w:t xml:space="preserve"> sammenlignet med placebo. Effekten ses inden</w:t>
      </w:r>
      <w:r>
        <w:rPr>
          <w:sz w:val="24"/>
          <w:szCs w:val="24"/>
        </w:rPr>
        <w:t xml:space="preserve"> </w:t>
      </w:r>
      <w:r w:rsidRPr="003B5FC9">
        <w:rPr>
          <w:sz w:val="24"/>
          <w:szCs w:val="24"/>
        </w:rPr>
        <w:t xml:space="preserve">for en uges behandling og stabiliseres i løbet af de næste 12 uger. Et </w:t>
      </w:r>
      <w:proofErr w:type="spellStart"/>
      <w:r w:rsidRPr="003B5FC9">
        <w:rPr>
          <w:sz w:val="24"/>
          <w:szCs w:val="24"/>
        </w:rPr>
        <w:t>langtids</w:t>
      </w:r>
      <w:proofErr w:type="spellEnd"/>
      <w:r w:rsidRPr="003B5FC9">
        <w:rPr>
          <w:sz w:val="24"/>
          <w:szCs w:val="24"/>
        </w:rPr>
        <w:t xml:space="preserve"> åbent studie viser, at effekten opretholdes i mindst 12 måneder. Efter 12 ugers behandling var ca. 50% af patienterne, der før behandling led af inkontinens, fri for inkontinensepisoder, og 35% af patienterne opnåede en vandladningsfrekvens på mindre end 8 vandladninger per dag. Behandling af symptomerne forbundet med overaktiv blære forbedrer også livskvaliteten (generel sundhedsopfattelse, inkontinensens indvirkning, rolle begrænsninger, fysiske begrænsninger, sociale begrænsninger, følelser, sværhedsgrad af symptomer, sværhedsgradsmålinger, søvn/energi).</w:t>
      </w:r>
    </w:p>
    <w:p w:rsidR="00585EB8" w:rsidRPr="003B5FC9" w:rsidRDefault="00585EB8" w:rsidP="00585EB8">
      <w:pPr>
        <w:tabs>
          <w:tab w:val="left" w:pos="851"/>
        </w:tabs>
        <w:ind w:left="851" w:hanging="851"/>
        <w:rPr>
          <w:i/>
          <w:iCs/>
          <w:sz w:val="24"/>
          <w:szCs w:val="24"/>
        </w:rPr>
      </w:pPr>
    </w:p>
    <w:p w:rsidR="00585EB8" w:rsidRPr="003B5FC9" w:rsidRDefault="00585EB8" w:rsidP="00585EB8">
      <w:pPr>
        <w:tabs>
          <w:tab w:val="left" w:pos="851"/>
        </w:tabs>
        <w:ind w:left="851" w:hanging="851"/>
        <w:rPr>
          <w:i/>
          <w:iCs/>
          <w:sz w:val="24"/>
          <w:szCs w:val="24"/>
        </w:rPr>
      </w:pPr>
      <w:r w:rsidRPr="003B5FC9">
        <w:rPr>
          <w:i/>
          <w:sz w:val="24"/>
          <w:szCs w:val="24"/>
        </w:rPr>
        <w:t>Resultater (</w:t>
      </w:r>
      <w:proofErr w:type="spellStart"/>
      <w:r w:rsidRPr="003B5FC9">
        <w:rPr>
          <w:i/>
          <w:sz w:val="24"/>
          <w:szCs w:val="24"/>
        </w:rPr>
        <w:t>poolede</w:t>
      </w:r>
      <w:proofErr w:type="spellEnd"/>
      <w:r w:rsidRPr="003B5FC9">
        <w:rPr>
          <w:i/>
          <w:sz w:val="24"/>
          <w:szCs w:val="24"/>
        </w:rPr>
        <w:t xml:space="preserve"> data) fra 4 kontrollerede fase 3 studier med 12 ugers behandlingsvarighed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752"/>
        <w:gridCol w:w="1464"/>
        <w:gridCol w:w="400"/>
        <w:gridCol w:w="1625"/>
        <w:gridCol w:w="798"/>
        <w:gridCol w:w="1227"/>
        <w:gridCol w:w="796"/>
        <w:gridCol w:w="467"/>
      </w:tblGrid>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p>
        </w:tc>
        <w:tc>
          <w:tcPr>
            <w:tcW w:w="846" w:type="pct"/>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Placebo</w:t>
            </w:r>
          </w:p>
        </w:tc>
        <w:tc>
          <w:tcPr>
            <w:tcW w:w="846"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b/>
                <w:bCs/>
                <w:sz w:val="22"/>
                <w:szCs w:val="22"/>
              </w:rPr>
            </w:pPr>
            <w:proofErr w:type="spellStart"/>
            <w:r w:rsidRPr="004E700F">
              <w:rPr>
                <w:b/>
                <w:sz w:val="22"/>
                <w:szCs w:val="22"/>
              </w:rPr>
              <w:t>Solifenacinsuccinat</w:t>
            </w:r>
            <w:proofErr w:type="spellEnd"/>
          </w:p>
          <w:p w:rsidR="00585EB8" w:rsidRPr="004E700F" w:rsidRDefault="00585EB8" w:rsidP="003B4BCE">
            <w:pPr>
              <w:rPr>
                <w:b/>
                <w:sz w:val="22"/>
                <w:szCs w:val="22"/>
              </w:rPr>
            </w:pPr>
            <w:r w:rsidRPr="004E700F">
              <w:rPr>
                <w:b/>
                <w:sz w:val="22"/>
                <w:szCs w:val="22"/>
              </w:rPr>
              <w:t>5 mg én gang daglig</w:t>
            </w:r>
          </w:p>
        </w:tc>
        <w:tc>
          <w:tcPr>
            <w:tcW w:w="846"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b/>
                <w:bCs/>
                <w:sz w:val="22"/>
                <w:szCs w:val="22"/>
              </w:rPr>
            </w:pPr>
            <w:proofErr w:type="spellStart"/>
            <w:r w:rsidRPr="004E700F">
              <w:rPr>
                <w:b/>
                <w:sz w:val="22"/>
                <w:szCs w:val="22"/>
              </w:rPr>
              <w:t>Solifenacinsuccinat</w:t>
            </w:r>
            <w:proofErr w:type="spellEnd"/>
          </w:p>
          <w:p w:rsidR="00585EB8" w:rsidRPr="004E700F" w:rsidRDefault="00585EB8" w:rsidP="003B4BCE">
            <w:pPr>
              <w:rPr>
                <w:b/>
                <w:sz w:val="22"/>
                <w:szCs w:val="22"/>
              </w:rPr>
            </w:pPr>
            <w:r w:rsidRPr="004E700F">
              <w:rPr>
                <w:b/>
                <w:sz w:val="22"/>
                <w:szCs w:val="22"/>
              </w:rPr>
              <w:t>10 mg én gang daglig</w:t>
            </w:r>
          </w:p>
        </w:tc>
        <w:tc>
          <w:tcPr>
            <w:tcW w:w="809"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b/>
                <w:sz w:val="22"/>
                <w:szCs w:val="22"/>
              </w:rPr>
            </w:pPr>
            <w:proofErr w:type="spellStart"/>
            <w:r w:rsidRPr="004E700F">
              <w:rPr>
                <w:b/>
                <w:sz w:val="22"/>
                <w:szCs w:val="22"/>
              </w:rPr>
              <w:t>Tolterodin</w:t>
            </w:r>
            <w:proofErr w:type="spellEnd"/>
            <w:r w:rsidRPr="004E700F">
              <w:rPr>
                <w:b/>
                <w:sz w:val="22"/>
                <w:szCs w:val="22"/>
              </w:rPr>
              <w:t xml:space="preserve"> 2 mg 2 gange daglig</w:t>
            </w:r>
          </w:p>
        </w:tc>
      </w:tr>
      <w:tr w:rsidR="00585EB8" w:rsidRPr="004E700F" w:rsidTr="003B4BCE">
        <w:tc>
          <w:tcPr>
            <w:tcW w:w="5000" w:type="pct"/>
            <w:gridSpan w:val="9"/>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Antal vandladninger pr. 24 timer</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reduktion fra baseline</w:t>
            </w:r>
          </w:p>
          <w:p w:rsidR="00585EB8" w:rsidRPr="004E700F" w:rsidRDefault="00585EB8" w:rsidP="003B4BCE">
            <w:pPr>
              <w:rPr>
                <w:sz w:val="22"/>
                <w:szCs w:val="22"/>
              </w:rPr>
            </w:pPr>
            <w:r w:rsidRPr="004E700F">
              <w:rPr>
                <w:sz w:val="22"/>
                <w:szCs w:val="22"/>
              </w:rPr>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11,9</w:t>
            </w:r>
          </w:p>
          <w:p w:rsidR="00585EB8" w:rsidRPr="004E700F" w:rsidRDefault="00585EB8" w:rsidP="003B4BCE">
            <w:pPr>
              <w:rPr>
                <w:sz w:val="22"/>
                <w:szCs w:val="22"/>
              </w:rPr>
            </w:pPr>
            <w:r w:rsidRPr="004E700F">
              <w:rPr>
                <w:sz w:val="22"/>
                <w:szCs w:val="22"/>
              </w:rPr>
              <w:t>1,4</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12%</w:t>
            </w:r>
          </w:p>
          <w:p w:rsidR="00585EB8" w:rsidRPr="004E700F" w:rsidRDefault="00585EB8" w:rsidP="003B4BCE">
            <w:pPr>
              <w:rPr>
                <w:sz w:val="22"/>
                <w:szCs w:val="22"/>
              </w:rPr>
            </w:pPr>
            <w:r w:rsidRPr="004E700F">
              <w:rPr>
                <w:sz w:val="22"/>
                <w:szCs w:val="22"/>
              </w:rPr>
              <w:t>1138</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12,1</w:t>
            </w:r>
          </w:p>
          <w:p w:rsidR="00585EB8" w:rsidRPr="004E700F" w:rsidRDefault="00585EB8" w:rsidP="003B4BCE">
            <w:pPr>
              <w:rPr>
                <w:sz w:val="22"/>
                <w:szCs w:val="22"/>
              </w:rPr>
            </w:pPr>
            <w:r w:rsidRPr="004E700F">
              <w:rPr>
                <w:sz w:val="22"/>
                <w:szCs w:val="22"/>
              </w:rPr>
              <w:t>2,3</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19%</w:t>
            </w:r>
          </w:p>
          <w:p w:rsidR="00585EB8" w:rsidRPr="004E700F" w:rsidRDefault="00585EB8" w:rsidP="003B4BCE">
            <w:pPr>
              <w:rPr>
                <w:sz w:val="22"/>
                <w:szCs w:val="22"/>
              </w:rPr>
            </w:pPr>
            <w:r w:rsidRPr="004E700F">
              <w:rPr>
                <w:sz w:val="22"/>
                <w:szCs w:val="22"/>
              </w:rPr>
              <w:t>552</w:t>
            </w:r>
          </w:p>
          <w:p w:rsidR="00585EB8" w:rsidRPr="004E700F" w:rsidRDefault="00585EB8" w:rsidP="003B4BCE">
            <w:pPr>
              <w:rPr>
                <w:sz w:val="22"/>
                <w:szCs w:val="22"/>
              </w:rPr>
            </w:pPr>
            <w:r w:rsidRPr="004E700F">
              <w:rPr>
                <w:sz w:val="22"/>
                <w:szCs w:val="22"/>
              </w:rPr>
              <w:t>&lt;0,001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11,9</w:t>
            </w:r>
          </w:p>
          <w:p w:rsidR="00585EB8" w:rsidRPr="004E700F" w:rsidRDefault="00585EB8" w:rsidP="003B4BCE">
            <w:pPr>
              <w:rPr>
                <w:sz w:val="22"/>
                <w:szCs w:val="22"/>
              </w:rPr>
            </w:pPr>
            <w:r w:rsidRPr="004E700F">
              <w:rPr>
                <w:sz w:val="22"/>
                <w:szCs w:val="22"/>
              </w:rPr>
              <w:t>2,7</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23%</w:t>
            </w:r>
          </w:p>
          <w:p w:rsidR="00585EB8" w:rsidRPr="004E700F" w:rsidRDefault="00585EB8" w:rsidP="003B4BCE">
            <w:pPr>
              <w:rPr>
                <w:sz w:val="22"/>
                <w:szCs w:val="22"/>
              </w:rPr>
            </w:pPr>
            <w:r w:rsidRPr="004E700F">
              <w:rPr>
                <w:sz w:val="22"/>
                <w:szCs w:val="22"/>
              </w:rPr>
              <w:t>1158</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12,1</w:t>
            </w:r>
          </w:p>
          <w:p w:rsidR="00585EB8" w:rsidRPr="004E700F" w:rsidRDefault="00585EB8" w:rsidP="003B4BCE">
            <w:pPr>
              <w:rPr>
                <w:sz w:val="22"/>
                <w:szCs w:val="22"/>
              </w:rPr>
            </w:pPr>
            <w:r w:rsidRPr="004E700F">
              <w:rPr>
                <w:sz w:val="22"/>
                <w:szCs w:val="22"/>
              </w:rPr>
              <w:t>1,9</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16%</w:t>
            </w:r>
          </w:p>
          <w:p w:rsidR="00585EB8" w:rsidRPr="004E700F" w:rsidRDefault="00585EB8" w:rsidP="003B4BCE">
            <w:pPr>
              <w:rPr>
                <w:sz w:val="22"/>
                <w:szCs w:val="22"/>
              </w:rPr>
            </w:pPr>
            <w:r w:rsidRPr="004E700F">
              <w:rPr>
                <w:sz w:val="22"/>
                <w:szCs w:val="22"/>
              </w:rPr>
              <w:t>250</w:t>
            </w:r>
          </w:p>
          <w:p w:rsidR="00585EB8" w:rsidRPr="004E700F" w:rsidRDefault="00585EB8" w:rsidP="003B4BCE">
            <w:pPr>
              <w:rPr>
                <w:sz w:val="22"/>
                <w:szCs w:val="22"/>
              </w:rPr>
            </w:pPr>
            <w:r w:rsidRPr="004E700F">
              <w:rPr>
                <w:sz w:val="22"/>
                <w:szCs w:val="22"/>
              </w:rPr>
              <w:t>0,004</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 xml:space="preserve">Antal </w:t>
            </w:r>
            <w:proofErr w:type="spellStart"/>
            <w:r w:rsidRPr="004E700F">
              <w:rPr>
                <w:b/>
                <w:sz w:val="22"/>
                <w:szCs w:val="22"/>
              </w:rPr>
              <w:t>urgeepisoder</w:t>
            </w:r>
            <w:proofErr w:type="spellEnd"/>
            <w:r w:rsidRPr="004E700F">
              <w:rPr>
                <w:b/>
                <w:sz w:val="22"/>
                <w:szCs w:val="22"/>
              </w:rPr>
              <w:t xml:space="preserve"> pr. 24 timer</w:t>
            </w:r>
          </w:p>
        </w:tc>
        <w:tc>
          <w:tcPr>
            <w:tcW w:w="1013"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p>
        </w:tc>
        <w:tc>
          <w:tcPr>
            <w:tcW w:w="1012"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p>
        </w:tc>
        <w:tc>
          <w:tcPr>
            <w:tcW w:w="1012"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p>
        </w:tc>
        <w:tc>
          <w:tcPr>
            <w:tcW w:w="310"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reduktion fra baseline</w:t>
            </w:r>
          </w:p>
          <w:p w:rsidR="00585EB8" w:rsidRPr="004E700F" w:rsidRDefault="00585EB8" w:rsidP="003B4BCE">
            <w:pPr>
              <w:rPr>
                <w:sz w:val="22"/>
                <w:szCs w:val="22"/>
              </w:rPr>
            </w:pPr>
            <w:r w:rsidRPr="004E700F">
              <w:rPr>
                <w:sz w:val="22"/>
                <w:szCs w:val="22"/>
              </w:rPr>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6,3</w:t>
            </w:r>
          </w:p>
          <w:p w:rsidR="00585EB8" w:rsidRPr="004E700F" w:rsidRDefault="00585EB8" w:rsidP="003B4BCE">
            <w:pPr>
              <w:rPr>
                <w:sz w:val="22"/>
                <w:szCs w:val="22"/>
              </w:rPr>
            </w:pPr>
            <w:r w:rsidRPr="004E700F">
              <w:rPr>
                <w:sz w:val="22"/>
                <w:szCs w:val="22"/>
              </w:rPr>
              <w:t>2,0</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32%</w:t>
            </w:r>
          </w:p>
          <w:p w:rsidR="00585EB8" w:rsidRPr="004E700F" w:rsidRDefault="00585EB8" w:rsidP="003B4BCE">
            <w:pPr>
              <w:rPr>
                <w:sz w:val="22"/>
                <w:szCs w:val="22"/>
              </w:rPr>
            </w:pPr>
            <w:r w:rsidRPr="004E700F">
              <w:rPr>
                <w:sz w:val="22"/>
                <w:szCs w:val="22"/>
              </w:rPr>
              <w:t>1124</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5,9</w:t>
            </w:r>
          </w:p>
          <w:p w:rsidR="00585EB8" w:rsidRPr="004E700F" w:rsidRDefault="00585EB8" w:rsidP="003B4BCE">
            <w:pPr>
              <w:rPr>
                <w:sz w:val="22"/>
                <w:szCs w:val="22"/>
              </w:rPr>
            </w:pPr>
            <w:r w:rsidRPr="004E700F">
              <w:rPr>
                <w:sz w:val="22"/>
                <w:szCs w:val="22"/>
              </w:rPr>
              <w:t>2,9</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49%</w:t>
            </w:r>
          </w:p>
          <w:p w:rsidR="00585EB8" w:rsidRPr="004E700F" w:rsidRDefault="00585EB8" w:rsidP="003B4BCE">
            <w:pPr>
              <w:rPr>
                <w:sz w:val="22"/>
                <w:szCs w:val="22"/>
              </w:rPr>
            </w:pPr>
            <w:r w:rsidRPr="004E700F">
              <w:rPr>
                <w:sz w:val="22"/>
                <w:szCs w:val="22"/>
              </w:rPr>
              <w:t>548</w:t>
            </w:r>
          </w:p>
          <w:p w:rsidR="00585EB8" w:rsidRPr="004E700F" w:rsidRDefault="00585EB8" w:rsidP="003B4BCE">
            <w:pPr>
              <w:rPr>
                <w:sz w:val="22"/>
                <w:szCs w:val="22"/>
              </w:rPr>
            </w:pPr>
            <w:r w:rsidRPr="004E700F">
              <w:rPr>
                <w:sz w:val="22"/>
                <w:szCs w:val="22"/>
              </w:rPr>
              <w:t>&lt;0,001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6,2</w:t>
            </w:r>
          </w:p>
          <w:p w:rsidR="00585EB8" w:rsidRPr="004E700F" w:rsidRDefault="00585EB8" w:rsidP="003B4BCE">
            <w:pPr>
              <w:rPr>
                <w:sz w:val="22"/>
                <w:szCs w:val="22"/>
              </w:rPr>
            </w:pPr>
            <w:r w:rsidRPr="004E700F">
              <w:rPr>
                <w:sz w:val="22"/>
                <w:szCs w:val="22"/>
              </w:rPr>
              <w:t>3,4</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55%</w:t>
            </w:r>
          </w:p>
          <w:p w:rsidR="00585EB8" w:rsidRPr="004E700F" w:rsidRDefault="00585EB8" w:rsidP="003B4BCE">
            <w:pPr>
              <w:rPr>
                <w:sz w:val="22"/>
                <w:szCs w:val="22"/>
              </w:rPr>
            </w:pPr>
            <w:r w:rsidRPr="004E700F">
              <w:rPr>
                <w:sz w:val="22"/>
                <w:szCs w:val="22"/>
              </w:rPr>
              <w:t>1151</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5,4</w:t>
            </w:r>
          </w:p>
          <w:p w:rsidR="00585EB8" w:rsidRPr="004E700F" w:rsidRDefault="00585EB8" w:rsidP="003B4BCE">
            <w:pPr>
              <w:rPr>
                <w:sz w:val="22"/>
                <w:szCs w:val="22"/>
              </w:rPr>
            </w:pPr>
            <w:r w:rsidRPr="004E700F">
              <w:rPr>
                <w:sz w:val="22"/>
                <w:szCs w:val="22"/>
              </w:rPr>
              <w:t>2,1</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39%</w:t>
            </w:r>
          </w:p>
          <w:p w:rsidR="00585EB8" w:rsidRPr="004E700F" w:rsidRDefault="00585EB8" w:rsidP="003B4BCE">
            <w:pPr>
              <w:rPr>
                <w:sz w:val="22"/>
                <w:szCs w:val="22"/>
              </w:rPr>
            </w:pPr>
            <w:r w:rsidRPr="004E700F">
              <w:rPr>
                <w:sz w:val="22"/>
                <w:szCs w:val="22"/>
              </w:rPr>
              <w:t>250</w:t>
            </w:r>
          </w:p>
          <w:p w:rsidR="00585EB8" w:rsidRPr="004E700F" w:rsidRDefault="00585EB8" w:rsidP="003B4BCE">
            <w:pPr>
              <w:rPr>
                <w:sz w:val="22"/>
                <w:szCs w:val="22"/>
              </w:rPr>
            </w:pPr>
            <w:r w:rsidRPr="004E700F">
              <w:rPr>
                <w:sz w:val="22"/>
                <w:szCs w:val="22"/>
              </w:rPr>
              <w:t>0,031</w:t>
            </w:r>
          </w:p>
        </w:tc>
      </w:tr>
      <w:tr w:rsidR="00585EB8" w:rsidRPr="004E700F" w:rsidTr="003B4BCE">
        <w:tc>
          <w:tcPr>
            <w:tcW w:w="5000" w:type="pct"/>
            <w:gridSpan w:val="9"/>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Antal episoder af inkontinens pr. 24 timer</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reduktion fra baseline</w:t>
            </w:r>
          </w:p>
          <w:p w:rsidR="00585EB8" w:rsidRPr="004E700F" w:rsidRDefault="00585EB8" w:rsidP="003B4BCE">
            <w:pPr>
              <w:rPr>
                <w:sz w:val="22"/>
                <w:szCs w:val="22"/>
              </w:rPr>
            </w:pPr>
            <w:r w:rsidRPr="004E700F">
              <w:rPr>
                <w:sz w:val="22"/>
                <w:szCs w:val="22"/>
              </w:rPr>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2,9</w:t>
            </w:r>
          </w:p>
          <w:p w:rsidR="00585EB8" w:rsidRPr="004E700F" w:rsidRDefault="00585EB8" w:rsidP="003B4BCE">
            <w:pPr>
              <w:rPr>
                <w:sz w:val="22"/>
                <w:szCs w:val="22"/>
              </w:rPr>
            </w:pPr>
            <w:r w:rsidRPr="004E700F">
              <w:rPr>
                <w:sz w:val="22"/>
                <w:szCs w:val="22"/>
              </w:rPr>
              <w:t>1,1</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38%</w:t>
            </w:r>
          </w:p>
          <w:p w:rsidR="00585EB8" w:rsidRPr="004E700F" w:rsidRDefault="00585EB8" w:rsidP="003B4BCE">
            <w:pPr>
              <w:rPr>
                <w:sz w:val="22"/>
                <w:szCs w:val="22"/>
              </w:rPr>
            </w:pPr>
            <w:r w:rsidRPr="004E700F">
              <w:rPr>
                <w:sz w:val="22"/>
                <w:szCs w:val="22"/>
              </w:rPr>
              <w:t>781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2,6</w:t>
            </w:r>
          </w:p>
          <w:p w:rsidR="00585EB8" w:rsidRPr="004E700F" w:rsidRDefault="00585EB8" w:rsidP="003B4BCE">
            <w:pPr>
              <w:rPr>
                <w:sz w:val="22"/>
                <w:szCs w:val="22"/>
              </w:rPr>
            </w:pPr>
            <w:r w:rsidRPr="004E700F">
              <w:rPr>
                <w:sz w:val="22"/>
                <w:szCs w:val="22"/>
              </w:rPr>
              <w:t>1,5</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58%</w:t>
            </w:r>
          </w:p>
          <w:p w:rsidR="00585EB8" w:rsidRPr="004E700F" w:rsidRDefault="00585EB8" w:rsidP="003B4BCE">
            <w:pPr>
              <w:rPr>
                <w:sz w:val="22"/>
                <w:szCs w:val="22"/>
              </w:rPr>
            </w:pPr>
            <w:r w:rsidRPr="004E700F">
              <w:rPr>
                <w:sz w:val="22"/>
                <w:szCs w:val="22"/>
              </w:rPr>
              <w:t>314</w:t>
            </w:r>
          </w:p>
          <w:p w:rsidR="00585EB8" w:rsidRPr="004E700F" w:rsidRDefault="00585EB8" w:rsidP="003B4BCE">
            <w:pPr>
              <w:rPr>
                <w:sz w:val="22"/>
                <w:szCs w:val="22"/>
              </w:rPr>
            </w:pPr>
            <w:r w:rsidRPr="004E700F">
              <w:rPr>
                <w:sz w:val="22"/>
                <w:szCs w:val="22"/>
              </w:rPr>
              <w:t>&lt;0,001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2,9</w:t>
            </w:r>
          </w:p>
          <w:p w:rsidR="00585EB8" w:rsidRPr="004E700F" w:rsidRDefault="00585EB8" w:rsidP="003B4BCE">
            <w:pPr>
              <w:rPr>
                <w:sz w:val="22"/>
                <w:szCs w:val="22"/>
              </w:rPr>
            </w:pPr>
            <w:r w:rsidRPr="004E700F">
              <w:rPr>
                <w:sz w:val="22"/>
                <w:szCs w:val="22"/>
              </w:rPr>
              <w:t>1,8</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62%</w:t>
            </w:r>
          </w:p>
          <w:p w:rsidR="00585EB8" w:rsidRPr="004E700F" w:rsidRDefault="00585EB8" w:rsidP="003B4BCE">
            <w:pPr>
              <w:rPr>
                <w:sz w:val="22"/>
                <w:szCs w:val="22"/>
              </w:rPr>
            </w:pPr>
            <w:r w:rsidRPr="004E700F">
              <w:rPr>
                <w:sz w:val="22"/>
                <w:szCs w:val="22"/>
              </w:rPr>
              <w:t>778</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2,3</w:t>
            </w:r>
          </w:p>
          <w:p w:rsidR="00585EB8" w:rsidRPr="004E700F" w:rsidRDefault="00585EB8" w:rsidP="003B4BCE">
            <w:pPr>
              <w:rPr>
                <w:sz w:val="22"/>
                <w:szCs w:val="22"/>
              </w:rPr>
            </w:pPr>
            <w:r w:rsidRPr="004E700F">
              <w:rPr>
                <w:sz w:val="22"/>
                <w:szCs w:val="22"/>
              </w:rPr>
              <w:t>1,1</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48%</w:t>
            </w:r>
          </w:p>
          <w:p w:rsidR="00585EB8" w:rsidRPr="004E700F" w:rsidRDefault="00585EB8" w:rsidP="003B4BCE">
            <w:pPr>
              <w:rPr>
                <w:sz w:val="22"/>
                <w:szCs w:val="22"/>
              </w:rPr>
            </w:pPr>
            <w:r w:rsidRPr="004E700F">
              <w:rPr>
                <w:sz w:val="22"/>
                <w:szCs w:val="22"/>
              </w:rPr>
              <w:t>157</w:t>
            </w:r>
          </w:p>
          <w:p w:rsidR="00585EB8" w:rsidRPr="004E700F" w:rsidRDefault="00585EB8" w:rsidP="003B4BCE">
            <w:pPr>
              <w:rPr>
                <w:sz w:val="22"/>
                <w:szCs w:val="22"/>
              </w:rPr>
            </w:pPr>
            <w:r w:rsidRPr="004E700F">
              <w:rPr>
                <w:sz w:val="22"/>
                <w:szCs w:val="22"/>
              </w:rPr>
              <w:t>0,009</w:t>
            </w:r>
          </w:p>
        </w:tc>
      </w:tr>
      <w:tr w:rsidR="00585EB8" w:rsidRPr="004E700F" w:rsidTr="003B4BCE">
        <w:tc>
          <w:tcPr>
            <w:tcW w:w="5000" w:type="pct"/>
            <w:gridSpan w:val="9"/>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 xml:space="preserve">Antal episoder af </w:t>
            </w:r>
            <w:proofErr w:type="spellStart"/>
            <w:r w:rsidRPr="004E700F">
              <w:rPr>
                <w:b/>
                <w:sz w:val="22"/>
                <w:szCs w:val="22"/>
              </w:rPr>
              <w:t>nocturi</w:t>
            </w:r>
            <w:proofErr w:type="spellEnd"/>
            <w:r w:rsidRPr="004E700F">
              <w:rPr>
                <w:b/>
                <w:sz w:val="22"/>
                <w:szCs w:val="22"/>
              </w:rPr>
              <w:t xml:space="preserve"> pr. 24 timer</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reduktion fra baseline</w:t>
            </w:r>
          </w:p>
          <w:p w:rsidR="00585EB8" w:rsidRPr="004E700F" w:rsidRDefault="00585EB8" w:rsidP="003B4BCE">
            <w:pPr>
              <w:rPr>
                <w:sz w:val="22"/>
                <w:szCs w:val="22"/>
              </w:rPr>
            </w:pPr>
            <w:r w:rsidRPr="004E700F">
              <w:rPr>
                <w:sz w:val="22"/>
                <w:szCs w:val="22"/>
              </w:rPr>
              <w:lastRenderedPageBreak/>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lastRenderedPageBreak/>
              <w:t>1,8</w:t>
            </w:r>
          </w:p>
          <w:p w:rsidR="00585EB8" w:rsidRPr="004E700F" w:rsidRDefault="00585EB8" w:rsidP="003B4BCE">
            <w:pPr>
              <w:rPr>
                <w:sz w:val="22"/>
                <w:szCs w:val="22"/>
              </w:rPr>
            </w:pPr>
            <w:r w:rsidRPr="004E700F">
              <w:rPr>
                <w:sz w:val="22"/>
                <w:szCs w:val="22"/>
              </w:rPr>
              <w:t>0,4</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lastRenderedPageBreak/>
              <w:t>22%</w:t>
            </w:r>
          </w:p>
          <w:p w:rsidR="00585EB8" w:rsidRPr="004E700F" w:rsidRDefault="00585EB8" w:rsidP="003B4BCE">
            <w:pPr>
              <w:rPr>
                <w:sz w:val="22"/>
                <w:szCs w:val="22"/>
              </w:rPr>
            </w:pPr>
            <w:r w:rsidRPr="004E700F">
              <w:rPr>
                <w:sz w:val="22"/>
                <w:szCs w:val="22"/>
              </w:rPr>
              <w:t>1005</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lastRenderedPageBreak/>
              <w:t>2,0</w:t>
            </w:r>
          </w:p>
          <w:p w:rsidR="00585EB8" w:rsidRPr="004E700F" w:rsidRDefault="00585EB8" w:rsidP="003B4BCE">
            <w:pPr>
              <w:rPr>
                <w:sz w:val="22"/>
                <w:szCs w:val="22"/>
              </w:rPr>
            </w:pPr>
            <w:r w:rsidRPr="004E700F">
              <w:rPr>
                <w:sz w:val="22"/>
                <w:szCs w:val="22"/>
              </w:rPr>
              <w:t>0,6</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lastRenderedPageBreak/>
              <w:t>30%</w:t>
            </w:r>
          </w:p>
          <w:p w:rsidR="00585EB8" w:rsidRPr="004E700F" w:rsidRDefault="00585EB8" w:rsidP="003B4BCE">
            <w:pPr>
              <w:rPr>
                <w:sz w:val="22"/>
                <w:szCs w:val="22"/>
              </w:rPr>
            </w:pPr>
            <w:r w:rsidRPr="004E700F">
              <w:rPr>
                <w:sz w:val="22"/>
                <w:szCs w:val="22"/>
              </w:rPr>
              <w:t>494</w:t>
            </w:r>
          </w:p>
          <w:p w:rsidR="00585EB8" w:rsidRPr="004E700F" w:rsidRDefault="00585EB8" w:rsidP="003B4BCE">
            <w:pPr>
              <w:rPr>
                <w:sz w:val="22"/>
                <w:szCs w:val="22"/>
              </w:rPr>
            </w:pPr>
            <w:r w:rsidRPr="004E700F">
              <w:rPr>
                <w:sz w:val="22"/>
                <w:szCs w:val="22"/>
              </w:rPr>
              <w:t>0,025</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lastRenderedPageBreak/>
              <w:t>1,8</w:t>
            </w:r>
          </w:p>
          <w:p w:rsidR="00585EB8" w:rsidRPr="004E700F" w:rsidRDefault="00585EB8" w:rsidP="003B4BCE">
            <w:pPr>
              <w:rPr>
                <w:sz w:val="22"/>
                <w:szCs w:val="22"/>
              </w:rPr>
            </w:pPr>
            <w:r w:rsidRPr="004E700F">
              <w:rPr>
                <w:sz w:val="22"/>
                <w:szCs w:val="22"/>
              </w:rPr>
              <w:t>0,6</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lastRenderedPageBreak/>
              <w:t>33%</w:t>
            </w:r>
          </w:p>
          <w:p w:rsidR="00585EB8" w:rsidRPr="004E700F" w:rsidRDefault="00585EB8" w:rsidP="003B4BCE">
            <w:pPr>
              <w:rPr>
                <w:sz w:val="22"/>
                <w:szCs w:val="22"/>
              </w:rPr>
            </w:pPr>
            <w:r w:rsidRPr="004E700F">
              <w:rPr>
                <w:sz w:val="22"/>
                <w:szCs w:val="22"/>
              </w:rPr>
              <w:t>1035</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lastRenderedPageBreak/>
              <w:t>1,9</w:t>
            </w:r>
          </w:p>
          <w:p w:rsidR="00585EB8" w:rsidRPr="004E700F" w:rsidRDefault="00585EB8" w:rsidP="003B4BCE">
            <w:pPr>
              <w:rPr>
                <w:sz w:val="22"/>
                <w:szCs w:val="22"/>
              </w:rPr>
            </w:pPr>
            <w:r w:rsidRPr="004E700F">
              <w:rPr>
                <w:sz w:val="22"/>
                <w:szCs w:val="22"/>
              </w:rPr>
              <w:t>0,5</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lastRenderedPageBreak/>
              <w:t>26%</w:t>
            </w:r>
          </w:p>
          <w:p w:rsidR="00585EB8" w:rsidRPr="004E700F" w:rsidRDefault="00585EB8" w:rsidP="003B4BCE">
            <w:pPr>
              <w:rPr>
                <w:sz w:val="22"/>
                <w:szCs w:val="22"/>
              </w:rPr>
            </w:pPr>
            <w:r w:rsidRPr="004E700F">
              <w:rPr>
                <w:sz w:val="22"/>
                <w:szCs w:val="22"/>
              </w:rPr>
              <w:t>232</w:t>
            </w:r>
          </w:p>
          <w:p w:rsidR="00585EB8" w:rsidRPr="004E700F" w:rsidRDefault="00585EB8" w:rsidP="003B4BCE">
            <w:pPr>
              <w:rPr>
                <w:sz w:val="22"/>
                <w:szCs w:val="22"/>
              </w:rPr>
            </w:pPr>
            <w:r w:rsidRPr="004E700F">
              <w:rPr>
                <w:sz w:val="22"/>
                <w:szCs w:val="22"/>
              </w:rPr>
              <w:t>0,199</w:t>
            </w:r>
          </w:p>
        </w:tc>
      </w:tr>
      <w:tr w:rsidR="00585EB8" w:rsidRPr="004E700F" w:rsidTr="003B4BCE">
        <w:tc>
          <w:tcPr>
            <w:tcW w:w="5000" w:type="pct"/>
            <w:gridSpan w:val="9"/>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lastRenderedPageBreak/>
              <w:t>Mængde af udtømning/pr. vandladning</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øgning fra baseline</w:t>
            </w:r>
          </w:p>
          <w:p w:rsidR="00585EB8" w:rsidRPr="004E700F" w:rsidRDefault="00585EB8" w:rsidP="003B4BCE">
            <w:pPr>
              <w:rPr>
                <w:sz w:val="22"/>
                <w:szCs w:val="22"/>
              </w:rPr>
            </w:pPr>
            <w:r w:rsidRPr="004E700F">
              <w:rPr>
                <w:sz w:val="22"/>
                <w:szCs w:val="22"/>
              </w:rPr>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166 ml</w:t>
            </w:r>
          </w:p>
          <w:p w:rsidR="00585EB8" w:rsidRPr="004E700F" w:rsidRDefault="00585EB8" w:rsidP="003B4BCE">
            <w:pPr>
              <w:rPr>
                <w:sz w:val="22"/>
                <w:szCs w:val="22"/>
              </w:rPr>
            </w:pPr>
            <w:r w:rsidRPr="004E700F">
              <w:rPr>
                <w:sz w:val="22"/>
                <w:szCs w:val="22"/>
              </w:rPr>
              <w:t>9 ml</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5%</w:t>
            </w:r>
          </w:p>
          <w:p w:rsidR="00585EB8" w:rsidRPr="004E700F" w:rsidRDefault="00585EB8" w:rsidP="003B4BCE">
            <w:pPr>
              <w:rPr>
                <w:sz w:val="22"/>
                <w:szCs w:val="22"/>
              </w:rPr>
            </w:pPr>
            <w:r w:rsidRPr="004E700F">
              <w:rPr>
                <w:sz w:val="22"/>
                <w:szCs w:val="22"/>
              </w:rPr>
              <w:t>1135</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146 ml</w:t>
            </w:r>
          </w:p>
          <w:p w:rsidR="00585EB8" w:rsidRPr="004E700F" w:rsidRDefault="00585EB8" w:rsidP="003B4BCE">
            <w:pPr>
              <w:rPr>
                <w:sz w:val="22"/>
                <w:szCs w:val="22"/>
              </w:rPr>
            </w:pPr>
            <w:r w:rsidRPr="004E700F">
              <w:rPr>
                <w:sz w:val="22"/>
                <w:szCs w:val="22"/>
              </w:rPr>
              <w:t>32 ml</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21%</w:t>
            </w:r>
          </w:p>
          <w:p w:rsidR="00585EB8" w:rsidRPr="004E700F" w:rsidRDefault="00585EB8" w:rsidP="003B4BCE">
            <w:pPr>
              <w:rPr>
                <w:sz w:val="22"/>
                <w:szCs w:val="22"/>
              </w:rPr>
            </w:pPr>
            <w:r w:rsidRPr="004E700F">
              <w:rPr>
                <w:sz w:val="22"/>
                <w:szCs w:val="22"/>
              </w:rPr>
              <w:t>552</w:t>
            </w:r>
          </w:p>
          <w:p w:rsidR="00585EB8" w:rsidRPr="004E700F" w:rsidRDefault="00585EB8" w:rsidP="003B4BCE">
            <w:pPr>
              <w:rPr>
                <w:sz w:val="22"/>
                <w:szCs w:val="22"/>
              </w:rPr>
            </w:pPr>
            <w:r w:rsidRPr="004E700F">
              <w:rPr>
                <w:sz w:val="22"/>
                <w:szCs w:val="22"/>
              </w:rPr>
              <w:t>&lt;0,001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163 ml</w:t>
            </w:r>
          </w:p>
          <w:p w:rsidR="00585EB8" w:rsidRPr="004E700F" w:rsidRDefault="00585EB8" w:rsidP="003B4BCE">
            <w:pPr>
              <w:rPr>
                <w:sz w:val="22"/>
                <w:szCs w:val="22"/>
              </w:rPr>
            </w:pPr>
            <w:r w:rsidRPr="004E700F">
              <w:rPr>
                <w:sz w:val="22"/>
                <w:szCs w:val="22"/>
              </w:rPr>
              <w:t>43 ml</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26%</w:t>
            </w:r>
          </w:p>
          <w:p w:rsidR="00585EB8" w:rsidRPr="004E700F" w:rsidRDefault="00585EB8" w:rsidP="003B4BCE">
            <w:pPr>
              <w:rPr>
                <w:sz w:val="22"/>
                <w:szCs w:val="22"/>
              </w:rPr>
            </w:pPr>
            <w:r w:rsidRPr="004E700F">
              <w:rPr>
                <w:sz w:val="22"/>
                <w:szCs w:val="22"/>
              </w:rPr>
              <w:t>1156</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147 ml</w:t>
            </w:r>
          </w:p>
          <w:p w:rsidR="00585EB8" w:rsidRPr="004E700F" w:rsidRDefault="00585EB8" w:rsidP="003B4BCE">
            <w:pPr>
              <w:rPr>
                <w:sz w:val="22"/>
                <w:szCs w:val="22"/>
              </w:rPr>
            </w:pPr>
            <w:r w:rsidRPr="004E700F">
              <w:rPr>
                <w:sz w:val="22"/>
                <w:szCs w:val="22"/>
              </w:rPr>
              <w:t>24 ml</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16%</w:t>
            </w:r>
          </w:p>
          <w:p w:rsidR="00585EB8" w:rsidRPr="004E700F" w:rsidRDefault="00585EB8" w:rsidP="003B4BCE">
            <w:pPr>
              <w:rPr>
                <w:sz w:val="22"/>
                <w:szCs w:val="22"/>
              </w:rPr>
            </w:pPr>
            <w:r w:rsidRPr="004E700F">
              <w:rPr>
                <w:sz w:val="22"/>
                <w:szCs w:val="22"/>
              </w:rPr>
              <w:t>250</w:t>
            </w:r>
          </w:p>
          <w:p w:rsidR="00585EB8" w:rsidRPr="004E700F" w:rsidRDefault="00585EB8" w:rsidP="003B4BCE">
            <w:pPr>
              <w:rPr>
                <w:sz w:val="22"/>
                <w:szCs w:val="22"/>
              </w:rPr>
            </w:pPr>
            <w:r w:rsidRPr="004E700F">
              <w:rPr>
                <w:sz w:val="22"/>
                <w:szCs w:val="22"/>
              </w:rPr>
              <w:t>&lt;0,001</w:t>
            </w:r>
          </w:p>
        </w:tc>
      </w:tr>
      <w:tr w:rsidR="00585EB8" w:rsidRPr="004E700F" w:rsidTr="003B4BCE">
        <w:tc>
          <w:tcPr>
            <w:tcW w:w="5000" w:type="pct"/>
            <w:gridSpan w:val="9"/>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b/>
                <w:sz w:val="22"/>
                <w:szCs w:val="22"/>
              </w:rPr>
              <w:t>Antal af bind pr. 24 timer</w:t>
            </w:r>
          </w:p>
        </w:tc>
      </w:tr>
      <w:tr w:rsidR="00585EB8" w:rsidRPr="004E700F" w:rsidTr="003B4BCE">
        <w:tc>
          <w:tcPr>
            <w:tcW w:w="1653" w:type="pct"/>
            <w:gridSpan w:val="2"/>
            <w:tcBorders>
              <w:top w:val="single" w:sz="4" w:space="0" w:color="auto"/>
              <w:left w:val="single" w:sz="4" w:space="0" w:color="auto"/>
              <w:bottom w:val="single" w:sz="4" w:space="0" w:color="auto"/>
              <w:right w:val="single" w:sz="4" w:space="0" w:color="auto"/>
            </w:tcBorders>
            <w:hideMark/>
          </w:tcPr>
          <w:p w:rsidR="00585EB8" w:rsidRPr="004E700F" w:rsidRDefault="00585EB8" w:rsidP="003B4BCE">
            <w:pPr>
              <w:rPr>
                <w:sz w:val="22"/>
                <w:szCs w:val="22"/>
              </w:rPr>
            </w:pPr>
            <w:r w:rsidRPr="004E700F">
              <w:rPr>
                <w:sz w:val="22"/>
                <w:szCs w:val="22"/>
              </w:rPr>
              <w:t>Gennemsnitlig baseline</w:t>
            </w:r>
          </w:p>
          <w:p w:rsidR="00585EB8" w:rsidRPr="004E700F" w:rsidRDefault="00585EB8" w:rsidP="003B4BCE">
            <w:pPr>
              <w:rPr>
                <w:sz w:val="22"/>
                <w:szCs w:val="22"/>
              </w:rPr>
            </w:pPr>
            <w:r w:rsidRPr="004E700F">
              <w:rPr>
                <w:sz w:val="22"/>
                <w:szCs w:val="22"/>
              </w:rPr>
              <w:t>Gennemsnitlig reduktion fra baseline</w:t>
            </w:r>
          </w:p>
          <w:p w:rsidR="00585EB8" w:rsidRPr="004E700F" w:rsidRDefault="00585EB8" w:rsidP="003B4BCE">
            <w:pPr>
              <w:rPr>
                <w:sz w:val="22"/>
                <w:szCs w:val="22"/>
              </w:rPr>
            </w:pPr>
            <w:r w:rsidRPr="004E700F">
              <w:rPr>
                <w:sz w:val="22"/>
                <w:szCs w:val="22"/>
              </w:rPr>
              <w:t>% ændring fra baseline</w:t>
            </w:r>
          </w:p>
          <w:p w:rsidR="00585EB8" w:rsidRPr="004E700F" w:rsidRDefault="00585EB8" w:rsidP="003B4BCE">
            <w:pPr>
              <w:rPr>
                <w:sz w:val="22"/>
                <w:szCs w:val="22"/>
              </w:rPr>
            </w:pPr>
            <w:r w:rsidRPr="004E700F">
              <w:rPr>
                <w:sz w:val="22"/>
                <w:szCs w:val="22"/>
              </w:rPr>
              <w:t>n</w:t>
            </w:r>
          </w:p>
          <w:p w:rsidR="00585EB8" w:rsidRPr="004E700F" w:rsidRDefault="00585EB8" w:rsidP="003B4BCE">
            <w:pPr>
              <w:rPr>
                <w:sz w:val="22"/>
                <w:szCs w:val="22"/>
              </w:rPr>
            </w:pPr>
            <w:proofErr w:type="spellStart"/>
            <w:r w:rsidRPr="004E700F">
              <w:rPr>
                <w:sz w:val="22"/>
                <w:szCs w:val="22"/>
              </w:rPr>
              <w:t>p-værdi</w:t>
            </w:r>
            <w:proofErr w:type="spellEnd"/>
            <w:r w:rsidRPr="004E700F">
              <w:rPr>
                <w:sz w:val="22"/>
                <w:szCs w:val="22"/>
              </w:rPr>
              <w:t>*</w:t>
            </w:r>
          </w:p>
        </w:tc>
        <w:tc>
          <w:tcPr>
            <w:tcW w:w="846" w:type="pct"/>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3,0</w:t>
            </w:r>
          </w:p>
          <w:p w:rsidR="00585EB8" w:rsidRPr="004E700F" w:rsidRDefault="00585EB8" w:rsidP="003B4BCE">
            <w:pPr>
              <w:rPr>
                <w:sz w:val="22"/>
                <w:szCs w:val="22"/>
              </w:rPr>
            </w:pPr>
            <w:r w:rsidRPr="004E700F">
              <w:rPr>
                <w:sz w:val="22"/>
                <w:szCs w:val="22"/>
              </w:rPr>
              <w:t>0,8</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27%</w:t>
            </w:r>
          </w:p>
          <w:p w:rsidR="00585EB8" w:rsidRPr="004E700F" w:rsidRDefault="00585EB8" w:rsidP="003B4BCE">
            <w:pPr>
              <w:rPr>
                <w:sz w:val="22"/>
                <w:szCs w:val="22"/>
              </w:rPr>
            </w:pPr>
            <w:r w:rsidRPr="004E700F">
              <w:rPr>
                <w:sz w:val="22"/>
                <w:szCs w:val="22"/>
              </w:rPr>
              <w:t>238</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2,8</w:t>
            </w:r>
          </w:p>
          <w:p w:rsidR="00585EB8" w:rsidRPr="004E700F" w:rsidRDefault="00585EB8" w:rsidP="003B4BCE">
            <w:pPr>
              <w:rPr>
                <w:sz w:val="22"/>
                <w:szCs w:val="22"/>
              </w:rPr>
            </w:pPr>
            <w:r w:rsidRPr="004E700F">
              <w:rPr>
                <w:sz w:val="22"/>
                <w:szCs w:val="22"/>
              </w:rPr>
              <w:t>1,3</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46%</w:t>
            </w:r>
          </w:p>
          <w:p w:rsidR="00585EB8" w:rsidRPr="004E700F" w:rsidRDefault="00585EB8" w:rsidP="003B4BCE">
            <w:pPr>
              <w:rPr>
                <w:sz w:val="22"/>
                <w:szCs w:val="22"/>
              </w:rPr>
            </w:pPr>
            <w:r w:rsidRPr="004E700F">
              <w:rPr>
                <w:sz w:val="22"/>
                <w:szCs w:val="22"/>
              </w:rPr>
              <w:t>236</w:t>
            </w:r>
          </w:p>
          <w:p w:rsidR="00585EB8" w:rsidRPr="004E700F" w:rsidRDefault="00585EB8" w:rsidP="003B4BCE">
            <w:pPr>
              <w:rPr>
                <w:sz w:val="22"/>
                <w:szCs w:val="22"/>
              </w:rPr>
            </w:pPr>
            <w:r w:rsidRPr="004E700F">
              <w:rPr>
                <w:sz w:val="22"/>
                <w:szCs w:val="22"/>
              </w:rPr>
              <w:t>&lt;0,001</w:t>
            </w:r>
          </w:p>
        </w:tc>
        <w:tc>
          <w:tcPr>
            <w:tcW w:w="846"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2,7</w:t>
            </w:r>
          </w:p>
          <w:p w:rsidR="00585EB8" w:rsidRPr="004E700F" w:rsidRDefault="00585EB8" w:rsidP="003B4BCE">
            <w:pPr>
              <w:rPr>
                <w:sz w:val="22"/>
                <w:szCs w:val="22"/>
              </w:rPr>
            </w:pPr>
            <w:r w:rsidRPr="004E700F">
              <w:rPr>
                <w:sz w:val="22"/>
                <w:szCs w:val="22"/>
              </w:rPr>
              <w:t>1,3</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48%</w:t>
            </w:r>
          </w:p>
          <w:p w:rsidR="00585EB8" w:rsidRPr="004E700F" w:rsidRDefault="00585EB8" w:rsidP="003B4BCE">
            <w:pPr>
              <w:rPr>
                <w:sz w:val="22"/>
                <w:szCs w:val="22"/>
              </w:rPr>
            </w:pPr>
            <w:r w:rsidRPr="004E700F">
              <w:rPr>
                <w:sz w:val="22"/>
                <w:szCs w:val="22"/>
              </w:rPr>
              <w:t>242</w:t>
            </w:r>
          </w:p>
          <w:p w:rsidR="00585EB8" w:rsidRPr="004E700F" w:rsidRDefault="00585EB8" w:rsidP="003B4BCE">
            <w:pPr>
              <w:rPr>
                <w:sz w:val="22"/>
                <w:szCs w:val="22"/>
              </w:rPr>
            </w:pPr>
            <w:r w:rsidRPr="004E700F">
              <w:rPr>
                <w:sz w:val="22"/>
                <w:szCs w:val="22"/>
              </w:rPr>
              <w:t>&lt;0,001</w:t>
            </w:r>
          </w:p>
        </w:tc>
        <w:tc>
          <w:tcPr>
            <w:tcW w:w="809" w:type="pct"/>
            <w:gridSpan w:val="2"/>
            <w:tcBorders>
              <w:top w:val="single" w:sz="4" w:space="0" w:color="auto"/>
              <w:left w:val="single" w:sz="4" w:space="0" w:color="auto"/>
              <w:bottom w:val="single" w:sz="4" w:space="0" w:color="auto"/>
              <w:right w:val="single" w:sz="4" w:space="0" w:color="auto"/>
            </w:tcBorders>
          </w:tcPr>
          <w:p w:rsidR="00585EB8" w:rsidRPr="004E700F" w:rsidRDefault="00585EB8" w:rsidP="003B4BCE">
            <w:pPr>
              <w:rPr>
                <w:sz w:val="22"/>
                <w:szCs w:val="22"/>
              </w:rPr>
            </w:pPr>
            <w:r w:rsidRPr="004E700F">
              <w:rPr>
                <w:sz w:val="22"/>
                <w:szCs w:val="22"/>
              </w:rPr>
              <w:t>2,7</w:t>
            </w:r>
          </w:p>
          <w:p w:rsidR="00585EB8" w:rsidRPr="004E700F" w:rsidRDefault="00585EB8" w:rsidP="003B4BCE">
            <w:pPr>
              <w:rPr>
                <w:sz w:val="22"/>
                <w:szCs w:val="22"/>
              </w:rPr>
            </w:pPr>
            <w:r w:rsidRPr="004E700F">
              <w:rPr>
                <w:sz w:val="22"/>
                <w:szCs w:val="22"/>
              </w:rPr>
              <w:t>1,0</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37%</w:t>
            </w:r>
          </w:p>
          <w:p w:rsidR="00585EB8" w:rsidRPr="004E700F" w:rsidRDefault="00585EB8" w:rsidP="003B4BCE">
            <w:pPr>
              <w:rPr>
                <w:sz w:val="22"/>
                <w:szCs w:val="22"/>
              </w:rPr>
            </w:pPr>
            <w:r w:rsidRPr="004E700F">
              <w:rPr>
                <w:sz w:val="22"/>
                <w:szCs w:val="22"/>
              </w:rPr>
              <w:t>250</w:t>
            </w:r>
          </w:p>
          <w:p w:rsidR="00585EB8" w:rsidRPr="004E700F" w:rsidRDefault="00585EB8" w:rsidP="003B4BCE">
            <w:pPr>
              <w:rPr>
                <w:sz w:val="22"/>
                <w:szCs w:val="22"/>
              </w:rPr>
            </w:pPr>
            <w:r w:rsidRPr="004E700F">
              <w:rPr>
                <w:sz w:val="22"/>
                <w:szCs w:val="22"/>
              </w:rPr>
              <w:t>0,010</w:t>
            </w:r>
          </w:p>
        </w:tc>
      </w:tr>
      <w:tr w:rsidR="00585EB8" w:rsidRPr="004E700F" w:rsidTr="003B4BCE">
        <w:tc>
          <w:tcPr>
            <w:tcW w:w="1653" w:type="pct"/>
            <w:gridSpan w:val="2"/>
            <w:tcBorders>
              <w:top w:val="single" w:sz="4" w:space="0" w:color="auto"/>
              <w:left w:val="nil"/>
              <w:bottom w:val="nil"/>
              <w:right w:val="nil"/>
            </w:tcBorders>
          </w:tcPr>
          <w:p w:rsidR="00585EB8" w:rsidRPr="004E700F" w:rsidRDefault="00585EB8" w:rsidP="003B4BCE">
            <w:pPr>
              <w:rPr>
                <w:sz w:val="22"/>
                <w:szCs w:val="22"/>
              </w:rPr>
            </w:pPr>
          </w:p>
        </w:tc>
        <w:tc>
          <w:tcPr>
            <w:tcW w:w="1013" w:type="pct"/>
            <w:gridSpan w:val="2"/>
            <w:tcBorders>
              <w:top w:val="single" w:sz="4" w:space="0" w:color="auto"/>
              <w:left w:val="nil"/>
              <w:bottom w:val="nil"/>
              <w:right w:val="nil"/>
            </w:tcBorders>
          </w:tcPr>
          <w:p w:rsidR="00585EB8" w:rsidRPr="004E700F" w:rsidRDefault="00585EB8" w:rsidP="003B4BCE">
            <w:pPr>
              <w:rPr>
                <w:sz w:val="22"/>
                <w:szCs w:val="22"/>
              </w:rPr>
            </w:pPr>
          </w:p>
        </w:tc>
        <w:tc>
          <w:tcPr>
            <w:tcW w:w="1012" w:type="pct"/>
            <w:gridSpan w:val="2"/>
            <w:tcBorders>
              <w:top w:val="single" w:sz="4" w:space="0" w:color="auto"/>
              <w:left w:val="nil"/>
              <w:bottom w:val="nil"/>
              <w:right w:val="nil"/>
            </w:tcBorders>
          </w:tcPr>
          <w:p w:rsidR="00585EB8" w:rsidRPr="004E700F" w:rsidRDefault="00585EB8" w:rsidP="003B4BCE">
            <w:pPr>
              <w:rPr>
                <w:sz w:val="22"/>
                <w:szCs w:val="22"/>
              </w:rPr>
            </w:pPr>
          </w:p>
        </w:tc>
        <w:tc>
          <w:tcPr>
            <w:tcW w:w="1012" w:type="pct"/>
            <w:gridSpan w:val="2"/>
            <w:tcBorders>
              <w:top w:val="single" w:sz="4" w:space="0" w:color="auto"/>
              <w:left w:val="nil"/>
              <w:bottom w:val="nil"/>
              <w:right w:val="nil"/>
            </w:tcBorders>
          </w:tcPr>
          <w:p w:rsidR="00585EB8" w:rsidRPr="004E700F" w:rsidRDefault="00585EB8" w:rsidP="003B4BCE">
            <w:pPr>
              <w:rPr>
                <w:sz w:val="22"/>
                <w:szCs w:val="22"/>
              </w:rPr>
            </w:pPr>
          </w:p>
        </w:tc>
        <w:tc>
          <w:tcPr>
            <w:tcW w:w="310" w:type="pct"/>
            <w:tcBorders>
              <w:top w:val="single" w:sz="4" w:space="0" w:color="auto"/>
              <w:left w:val="nil"/>
              <w:bottom w:val="nil"/>
              <w:right w:val="nil"/>
            </w:tcBorders>
          </w:tcPr>
          <w:p w:rsidR="00585EB8" w:rsidRPr="004E700F" w:rsidRDefault="00585EB8" w:rsidP="003B4BCE">
            <w:pPr>
              <w:rPr>
                <w:sz w:val="22"/>
                <w:szCs w:val="22"/>
              </w:rPr>
            </w:pPr>
          </w:p>
        </w:tc>
      </w:tr>
      <w:tr w:rsidR="00585EB8" w:rsidRPr="004E700F" w:rsidTr="003B4BCE">
        <w:tc>
          <w:tcPr>
            <w:tcW w:w="657" w:type="pct"/>
            <w:tcBorders>
              <w:top w:val="nil"/>
              <w:left w:val="nil"/>
              <w:bottom w:val="nil"/>
              <w:right w:val="nil"/>
            </w:tcBorders>
            <w:hideMark/>
          </w:tcPr>
          <w:p w:rsidR="00585EB8" w:rsidRPr="004E700F" w:rsidRDefault="00585EB8" w:rsidP="003B4BCE">
            <w:pPr>
              <w:rPr>
                <w:sz w:val="22"/>
                <w:szCs w:val="22"/>
              </w:rPr>
            </w:pPr>
            <w:r w:rsidRPr="004E700F">
              <w:rPr>
                <w:sz w:val="22"/>
                <w:szCs w:val="22"/>
              </w:rPr>
              <w:t>Bemærk:</w:t>
            </w:r>
          </w:p>
        </w:tc>
        <w:tc>
          <w:tcPr>
            <w:tcW w:w="4343" w:type="pct"/>
            <w:gridSpan w:val="8"/>
            <w:tcBorders>
              <w:top w:val="nil"/>
              <w:left w:val="nil"/>
              <w:bottom w:val="nil"/>
              <w:right w:val="nil"/>
            </w:tcBorders>
          </w:tcPr>
          <w:p w:rsidR="00585EB8" w:rsidRPr="004E700F" w:rsidRDefault="00585EB8" w:rsidP="003B4BCE">
            <w:pPr>
              <w:rPr>
                <w:sz w:val="22"/>
                <w:szCs w:val="22"/>
              </w:rPr>
            </w:pPr>
            <w:r w:rsidRPr="004E700F">
              <w:rPr>
                <w:sz w:val="22"/>
                <w:szCs w:val="22"/>
              </w:rPr>
              <w:t xml:space="preserve">I 4 af de pivotale studier blev der brugt </w:t>
            </w:r>
            <w:proofErr w:type="spellStart"/>
            <w:r w:rsidRPr="004E700F">
              <w:rPr>
                <w:sz w:val="22"/>
                <w:szCs w:val="22"/>
              </w:rPr>
              <w:t>solifenacinsuccinat</w:t>
            </w:r>
            <w:proofErr w:type="spellEnd"/>
            <w:r w:rsidRPr="004E700F">
              <w:rPr>
                <w:sz w:val="22"/>
                <w:szCs w:val="22"/>
              </w:rPr>
              <w:t xml:space="preserve"> 10 mg og placebo. I 2 ud af 4 studier blev også </w:t>
            </w:r>
            <w:proofErr w:type="spellStart"/>
            <w:r w:rsidRPr="004E700F">
              <w:rPr>
                <w:sz w:val="22"/>
                <w:szCs w:val="22"/>
              </w:rPr>
              <w:t>solifenacinsuccinat</w:t>
            </w:r>
            <w:proofErr w:type="spellEnd"/>
            <w:r w:rsidRPr="004E700F">
              <w:rPr>
                <w:sz w:val="22"/>
                <w:szCs w:val="22"/>
              </w:rPr>
              <w:t xml:space="preserve"> 5 mg brugt og ét af studierne inkluderede </w:t>
            </w:r>
            <w:proofErr w:type="spellStart"/>
            <w:r w:rsidRPr="004E700F">
              <w:rPr>
                <w:sz w:val="22"/>
                <w:szCs w:val="22"/>
              </w:rPr>
              <w:t>tolterodin</w:t>
            </w:r>
            <w:proofErr w:type="spellEnd"/>
            <w:r w:rsidRPr="004E700F">
              <w:rPr>
                <w:sz w:val="22"/>
                <w:szCs w:val="22"/>
              </w:rPr>
              <w:t xml:space="preserve"> 2 mg 2 gange daglig.</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Ikke alle parametre og behandlingsgrupper er evalueret for de enkelte studier. Derfor kan antallet af patienter afvige pr. parameter og behandlingsgruppe.</w:t>
            </w:r>
          </w:p>
          <w:p w:rsidR="00585EB8" w:rsidRPr="004E700F" w:rsidRDefault="00585EB8" w:rsidP="003B4BCE">
            <w:pPr>
              <w:rPr>
                <w:sz w:val="22"/>
                <w:szCs w:val="22"/>
              </w:rPr>
            </w:pPr>
          </w:p>
          <w:p w:rsidR="00585EB8" w:rsidRPr="004E700F" w:rsidRDefault="00585EB8" w:rsidP="003B4BCE">
            <w:pPr>
              <w:rPr>
                <w:sz w:val="22"/>
                <w:szCs w:val="22"/>
              </w:rPr>
            </w:pPr>
            <w:r w:rsidRPr="004E700F">
              <w:rPr>
                <w:sz w:val="22"/>
                <w:szCs w:val="22"/>
              </w:rPr>
              <w:t>*</w:t>
            </w:r>
            <w:proofErr w:type="spellStart"/>
            <w:r w:rsidRPr="004E700F">
              <w:rPr>
                <w:sz w:val="22"/>
                <w:szCs w:val="22"/>
              </w:rPr>
              <w:t>p-værdi</w:t>
            </w:r>
            <w:proofErr w:type="spellEnd"/>
            <w:r w:rsidRPr="004E700F">
              <w:rPr>
                <w:sz w:val="22"/>
                <w:szCs w:val="22"/>
              </w:rPr>
              <w:t xml:space="preserve"> for den parvise sammenligning med placebo</w:t>
            </w:r>
          </w:p>
        </w:tc>
      </w:tr>
    </w:tbl>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5.2</w:t>
      </w:r>
      <w:r w:rsidRPr="003B5FC9">
        <w:rPr>
          <w:b/>
          <w:sz w:val="24"/>
          <w:szCs w:val="24"/>
        </w:rPr>
        <w:tab/>
      </w:r>
      <w:proofErr w:type="spellStart"/>
      <w:r w:rsidRPr="003B5FC9">
        <w:rPr>
          <w:b/>
          <w:sz w:val="24"/>
          <w:szCs w:val="24"/>
        </w:rPr>
        <w:t>Farmakokinetiske</w:t>
      </w:r>
      <w:proofErr w:type="spellEnd"/>
      <w:r w:rsidRPr="003B5FC9">
        <w:rPr>
          <w:b/>
          <w:sz w:val="24"/>
          <w:szCs w:val="24"/>
        </w:rPr>
        <w:t xml:space="preserve"> egenskaber</w:t>
      </w:r>
    </w:p>
    <w:p w:rsidR="00585EB8" w:rsidRPr="000F430D"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u w:val="single"/>
          <w:lang w:eastAsia="da-DK"/>
        </w:rPr>
      </w:pPr>
      <w:r w:rsidRPr="004E700F">
        <w:rPr>
          <w:sz w:val="24"/>
          <w:szCs w:val="24"/>
        </w:rPr>
        <w:tab/>
      </w:r>
      <w:r w:rsidRPr="003B5FC9">
        <w:rPr>
          <w:sz w:val="24"/>
          <w:szCs w:val="24"/>
          <w:u w:val="single"/>
        </w:rPr>
        <w:t>Absorption</w:t>
      </w:r>
    </w:p>
    <w:p w:rsidR="00585EB8" w:rsidRPr="003B5FC9" w:rsidRDefault="00585EB8" w:rsidP="00585EB8">
      <w:pPr>
        <w:tabs>
          <w:tab w:val="left" w:pos="851"/>
        </w:tabs>
        <w:ind w:left="851"/>
        <w:rPr>
          <w:sz w:val="24"/>
          <w:szCs w:val="24"/>
        </w:rPr>
      </w:pPr>
      <w:r w:rsidRPr="003B5FC9">
        <w:rPr>
          <w:sz w:val="24"/>
          <w:szCs w:val="24"/>
        </w:rPr>
        <w:t xml:space="preserve">Efter oral indgift af </w:t>
      </w:r>
      <w:proofErr w:type="spellStart"/>
      <w:r w:rsidRPr="003B5FC9">
        <w:rPr>
          <w:sz w:val="24"/>
          <w:szCs w:val="24"/>
        </w:rPr>
        <w:t>solifenacinsuccinattabletter</w:t>
      </w:r>
      <w:proofErr w:type="spellEnd"/>
      <w:r w:rsidRPr="003B5FC9">
        <w:rPr>
          <w:sz w:val="24"/>
          <w:szCs w:val="24"/>
        </w:rPr>
        <w:t xml:space="preserve">, nås maksimal </w:t>
      </w:r>
      <w:proofErr w:type="spellStart"/>
      <w:r w:rsidRPr="003B5FC9">
        <w:rPr>
          <w:sz w:val="24"/>
          <w:szCs w:val="24"/>
        </w:rPr>
        <w:t>solifenacinplasma</w:t>
      </w:r>
      <w:r>
        <w:rPr>
          <w:sz w:val="24"/>
          <w:szCs w:val="24"/>
        </w:rPr>
        <w:softHyphen/>
      </w:r>
      <w:r w:rsidRPr="003B5FC9">
        <w:rPr>
          <w:sz w:val="24"/>
          <w:szCs w:val="24"/>
        </w:rPr>
        <w:t>koncentration</w:t>
      </w:r>
      <w:proofErr w:type="spellEnd"/>
      <w:r w:rsidRPr="003B5FC9">
        <w:rPr>
          <w:sz w:val="24"/>
          <w:szCs w:val="24"/>
        </w:rPr>
        <w:t xml:space="preserve">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efter 3-8 timer. </w:t>
      </w:r>
      <w:proofErr w:type="spellStart"/>
      <w:r w:rsidRPr="003B5FC9">
        <w:rPr>
          <w:sz w:val="24"/>
          <w:szCs w:val="24"/>
        </w:rPr>
        <w:t>t</w:t>
      </w:r>
      <w:r w:rsidRPr="003B5FC9">
        <w:rPr>
          <w:sz w:val="24"/>
          <w:szCs w:val="24"/>
          <w:vertAlign w:val="subscript"/>
        </w:rPr>
        <w:t>max</w:t>
      </w:r>
      <w:proofErr w:type="spellEnd"/>
      <w:r w:rsidRPr="003B5FC9">
        <w:rPr>
          <w:sz w:val="24"/>
          <w:szCs w:val="24"/>
        </w:rPr>
        <w:t xml:space="preserve"> er uafhængig af dosis.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og areal under kurven (AUC) stiger proportionalt med dosis fra 5 mg til 40 mg. Den absolutte biotilgængelighed er ca. 90%.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og AUC-værdier påvirkes ikke af fødeindtagelse.</w:t>
      </w:r>
    </w:p>
    <w:p w:rsidR="00585EB8" w:rsidRPr="000F430D" w:rsidRDefault="00585EB8" w:rsidP="00585EB8">
      <w:pPr>
        <w:tabs>
          <w:tab w:val="left" w:pos="851"/>
        </w:tabs>
        <w:ind w:left="851"/>
        <w:rPr>
          <w:iCs/>
          <w:sz w:val="24"/>
          <w:szCs w:val="24"/>
        </w:rPr>
      </w:pPr>
    </w:p>
    <w:p w:rsidR="00585EB8" w:rsidRPr="003B5FC9" w:rsidRDefault="00585EB8" w:rsidP="00585EB8">
      <w:pPr>
        <w:tabs>
          <w:tab w:val="left" w:pos="851"/>
        </w:tabs>
        <w:ind w:left="851"/>
        <w:rPr>
          <w:sz w:val="24"/>
          <w:szCs w:val="24"/>
          <w:u w:val="single"/>
        </w:rPr>
      </w:pPr>
      <w:r w:rsidRPr="003B5FC9">
        <w:rPr>
          <w:sz w:val="24"/>
          <w:szCs w:val="24"/>
          <w:u w:val="single"/>
        </w:rPr>
        <w:t>Fordeling</w:t>
      </w: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tilsyneladende fordelingsvolumen er 600 l efter intravenøs administration. En stor del af </w:t>
      </w:r>
      <w:proofErr w:type="spellStart"/>
      <w:r w:rsidRPr="003B5FC9">
        <w:rPr>
          <w:sz w:val="24"/>
          <w:szCs w:val="24"/>
        </w:rPr>
        <w:t>solifenacin</w:t>
      </w:r>
      <w:proofErr w:type="spellEnd"/>
      <w:r w:rsidRPr="003B5FC9">
        <w:rPr>
          <w:sz w:val="24"/>
          <w:szCs w:val="24"/>
        </w:rPr>
        <w:t xml:space="preserve"> (ca. 98%) er bundet til plasmaproteiner, primært α</w:t>
      </w:r>
      <w:r w:rsidRPr="003B5FC9">
        <w:rPr>
          <w:sz w:val="24"/>
          <w:szCs w:val="24"/>
          <w:vertAlign w:val="subscript"/>
        </w:rPr>
        <w:t>1</w:t>
      </w:r>
      <w:r w:rsidRPr="003B5FC9">
        <w:rPr>
          <w:sz w:val="24"/>
          <w:szCs w:val="24"/>
        </w:rPr>
        <w:t xml:space="preserve">-syre </w:t>
      </w:r>
      <w:proofErr w:type="spellStart"/>
      <w:r w:rsidRPr="003B5FC9">
        <w:rPr>
          <w:sz w:val="24"/>
          <w:szCs w:val="24"/>
        </w:rPr>
        <w:t>glycoprotein</w:t>
      </w:r>
      <w:proofErr w:type="spellEnd"/>
      <w:r w:rsidRPr="003B5FC9">
        <w:rPr>
          <w:sz w:val="24"/>
          <w:szCs w:val="24"/>
        </w:rPr>
        <w:t>.</w:t>
      </w:r>
    </w:p>
    <w:p w:rsidR="00585EB8" w:rsidRPr="000F430D" w:rsidRDefault="00585EB8" w:rsidP="00585EB8">
      <w:pPr>
        <w:tabs>
          <w:tab w:val="left" w:pos="851"/>
        </w:tabs>
        <w:ind w:left="851"/>
        <w:rPr>
          <w:iCs/>
          <w:sz w:val="24"/>
          <w:szCs w:val="24"/>
        </w:rPr>
      </w:pPr>
    </w:p>
    <w:p w:rsidR="00585EB8" w:rsidRPr="003B5FC9" w:rsidRDefault="00585EB8" w:rsidP="00585EB8">
      <w:pPr>
        <w:tabs>
          <w:tab w:val="left" w:pos="851"/>
        </w:tabs>
        <w:ind w:left="851"/>
        <w:rPr>
          <w:iCs/>
          <w:sz w:val="24"/>
          <w:szCs w:val="24"/>
          <w:u w:val="single"/>
        </w:rPr>
      </w:pPr>
      <w:r w:rsidRPr="003B5FC9">
        <w:rPr>
          <w:sz w:val="24"/>
          <w:szCs w:val="24"/>
          <w:u w:val="single"/>
        </w:rPr>
        <w:t>Biotransformation</w:t>
      </w:r>
    </w:p>
    <w:p w:rsidR="00585EB8" w:rsidRPr="003B5FC9" w:rsidRDefault="00585EB8" w:rsidP="00585EB8">
      <w:pPr>
        <w:tabs>
          <w:tab w:val="left" w:pos="851"/>
        </w:tabs>
        <w:ind w:left="851"/>
        <w:rPr>
          <w:sz w:val="24"/>
          <w:szCs w:val="24"/>
        </w:rPr>
      </w:pPr>
      <w:proofErr w:type="spellStart"/>
      <w:r w:rsidRPr="003B5FC9">
        <w:rPr>
          <w:sz w:val="24"/>
          <w:szCs w:val="24"/>
        </w:rPr>
        <w:t>Solifenacin</w:t>
      </w:r>
      <w:proofErr w:type="spellEnd"/>
      <w:r w:rsidRPr="003B5FC9">
        <w:rPr>
          <w:sz w:val="24"/>
          <w:szCs w:val="24"/>
        </w:rPr>
        <w:t xml:space="preserve"> </w:t>
      </w:r>
      <w:proofErr w:type="spellStart"/>
      <w:r w:rsidRPr="003B5FC9">
        <w:rPr>
          <w:sz w:val="24"/>
          <w:szCs w:val="24"/>
        </w:rPr>
        <w:t>metaboliseres</w:t>
      </w:r>
      <w:proofErr w:type="spellEnd"/>
      <w:r w:rsidRPr="003B5FC9">
        <w:rPr>
          <w:sz w:val="24"/>
          <w:szCs w:val="24"/>
        </w:rPr>
        <w:t xml:space="preserve"> hovedsageligt i leveren af </w:t>
      </w:r>
      <w:proofErr w:type="spellStart"/>
      <w:r w:rsidRPr="003B5FC9">
        <w:rPr>
          <w:sz w:val="24"/>
          <w:szCs w:val="24"/>
        </w:rPr>
        <w:t>cytochrom</w:t>
      </w:r>
      <w:proofErr w:type="spellEnd"/>
      <w:r w:rsidRPr="003B5FC9">
        <w:rPr>
          <w:sz w:val="24"/>
          <w:szCs w:val="24"/>
        </w:rPr>
        <w:t xml:space="preserve"> P450 3A4 (CYP3A4). Der eksisterer dog alternative </w:t>
      </w:r>
      <w:proofErr w:type="spellStart"/>
      <w:r w:rsidRPr="003B5FC9">
        <w:rPr>
          <w:sz w:val="24"/>
          <w:szCs w:val="24"/>
        </w:rPr>
        <w:t>metaboliseringsveje</w:t>
      </w:r>
      <w:proofErr w:type="spellEnd"/>
      <w:r w:rsidRPr="003B5FC9">
        <w:rPr>
          <w:sz w:val="24"/>
          <w:szCs w:val="24"/>
        </w:rPr>
        <w:t xml:space="preserve">, som kan bidrage til </w:t>
      </w:r>
      <w:proofErr w:type="spellStart"/>
      <w:r w:rsidRPr="003B5FC9">
        <w:rPr>
          <w:sz w:val="24"/>
          <w:szCs w:val="24"/>
        </w:rPr>
        <w:t>solifenacins</w:t>
      </w:r>
      <w:proofErr w:type="spellEnd"/>
      <w:r w:rsidRPr="003B5FC9">
        <w:rPr>
          <w:sz w:val="24"/>
          <w:szCs w:val="24"/>
        </w:rPr>
        <w:t xml:space="preserve"> metabolisme. Den systemiske </w:t>
      </w:r>
      <w:proofErr w:type="spellStart"/>
      <w:r w:rsidRPr="003B5FC9">
        <w:rPr>
          <w:sz w:val="24"/>
          <w:szCs w:val="24"/>
        </w:rPr>
        <w:t>clearance</w:t>
      </w:r>
      <w:proofErr w:type="spellEnd"/>
      <w:r w:rsidRPr="003B5FC9">
        <w:rPr>
          <w:sz w:val="24"/>
          <w:szCs w:val="24"/>
        </w:rPr>
        <w:t xml:space="preserve"> er omkring 9,5 l/t og </w:t>
      </w:r>
      <w:proofErr w:type="spellStart"/>
      <w:r w:rsidRPr="003B5FC9">
        <w:rPr>
          <w:sz w:val="24"/>
          <w:szCs w:val="24"/>
        </w:rPr>
        <w:t>solifenacins</w:t>
      </w:r>
      <w:proofErr w:type="spellEnd"/>
      <w:r w:rsidRPr="003B5FC9">
        <w:rPr>
          <w:sz w:val="24"/>
          <w:szCs w:val="24"/>
        </w:rPr>
        <w:t xml:space="preserve"> terminale halveringstid er 45-68 timer. Efter oral administration er en farmakologisk aktiv (4</w:t>
      </w:r>
      <w:r w:rsidRPr="003B5FC9">
        <w:rPr>
          <w:i/>
          <w:sz w:val="24"/>
          <w:szCs w:val="24"/>
        </w:rPr>
        <w:t>R</w:t>
      </w:r>
      <w:r w:rsidRPr="003B5FC9">
        <w:rPr>
          <w:sz w:val="24"/>
          <w:szCs w:val="24"/>
        </w:rPr>
        <w:t>-hydroxysolifenacin) og tre inaktive metabolitter (</w:t>
      </w:r>
      <w:r w:rsidRPr="003B5FC9">
        <w:rPr>
          <w:i/>
          <w:sz w:val="24"/>
          <w:szCs w:val="24"/>
        </w:rPr>
        <w:t>N</w:t>
      </w:r>
      <w:r w:rsidRPr="003B5FC9">
        <w:rPr>
          <w:sz w:val="24"/>
          <w:szCs w:val="24"/>
        </w:rPr>
        <w:t>-</w:t>
      </w:r>
      <w:proofErr w:type="spellStart"/>
      <w:r w:rsidRPr="003B5FC9">
        <w:rPr>
          <w:sz w:val="24"/>
          <w:szCs w:val="24"/>
        </w:rPr>
        <w:t>glucuronid</w:t>
      </w:r>
      <w:proofErr w:type="spellEnd"/>
      <w:r w:rsidRPr="003B5FC9">
        <w:rPr>
          <w:sz w:val="24"/>
          <w:szCs w:val="24"/>
        </w:rPr>
        <w:t xml:space="preserve">, </w:t>
      </w:r>
      <w:r w:rsidRPr="003B5FC9">
        <w:rPr>
          <w:i/>
          <w:sz w:val="24"/>
          <w:szCs w:val="24"/>
        </w:rPr>
        <w:t>N</w:t>
      </w:r>
      <w:r w:rsidRPr="003B5FC9">
        <w:rPr>
          <w:sz w:val="24"/>
          <w:szCs w:val="24"/>
        </w:rPr>
        <w:t>-oxid og 4</w:t>
      </w:r>
      <w:r w:rsidRPr="003B5FC9">
        <w:rPr>
          <w:i/>
          <w:sz w:val="24"/>
          <w:szCs w:val="24"/>
        </w:rPr>
        <w:t>R</w:t>
      </w:r>
      <w:r w:rsidRPr="003B5FC9">
        <w:rPr>
          <w:sz w:val="24"/>
          <w:szCs w:val="24"/>
        </w:rPr>
        <w:t>-hydroxy-</w:t>
      </w:r>
      <w:r w:rsidRPr="003B5FC9">
        <w:rPr>
          <w:i/>
          <w:sz w:val="24"/>
          <w:szCs w:val="24"/>
        </w:rPr>
        <w:t>N</w:t>
      </w:r>
      <w:r w:rsidRPr="003B5FC9">
        <w:rPr>
          <w:sz w:val="24"/>
          <w:szCs w:val="24"/>
        </w:rPr>
        <w:t xml:space="preserve">-oxid af </w:t>
      </w:r>
      <w:proofErr w:type="spellStart"/>
      <w:r w:rsidRPr="003B5FC9">
        <w:rPr>
          <w:sz w:val="24"/>
          <w:szCs w:val="24"/>
        </w:rPr>
        <w:t>solifenacin</w:t>
      </w:r>
      <w:proofErr w:type="spellEnd"/>
      <w:r w:rsidRPr="003B5FC9">
        <w:rPr>
          <w:sz w:val="24"/>
          <w:szCs w:val="24"/>
        </w:rPr>
        <w:t>) blevet identificeret i plasma.</w:t>
      </w:r>
    </w:p>
    <w:p w:rsidR="00585EB8" w:rsidRPr="000F430D" w:rsidRDefault="00585EB8" w:rsidP="00585EB8">
      <w:pPr>
        <w:tabs>
          <w:tab w:val="left" w:pos="851"/>
        </w:tabs>
        <w:ind w:left="851"/>
        <w:rPr>
          <w:iCs/>
          <w:sz w:val="24"/>
          <w:szCs w:val="24"/>
        </w:rPr>
      </w:pPr>
    </w:p>
    <w:p w:rsidR="00585EB8" w:rsidRPr="003B5FC9" w:rsidRDefault="00585EB8" w:rsidP="00585EB8">
      <w:pPr>
        <w:tabs>
          <w:tab w:val="left" w:pos="851"/>
        </w:tabs>
        <w:ind w:left="851"/>
        <w:rPr>
          <w:iCs/>
          <w:sz w:val="24"/>
          <w:szCs w:val="24"/>
          <w:u w:val="single"/>
        </w:rPr>
      </w:pPr>
      <w:r w:rsidRPr="003B5FC9">
        <w:rPr>
          <w:sz w:val="24"/>
          <w:szCs w:val="24"/>
          <w:u w:val="single"/>
        </w:rPr>
        <w:t>Elimination</w:t>
      </w:r>
    </w:p>
    <w:p w:rsidR="00585EB8" w:rsidRPr="003B5FC9" w:rsidRDefault="00585EB8" w:rsidP="00585EB8">
      <w:pPr>
        <w:tabs>
          <w:tab w:val="left" w:pos="851"/>
        </w:tabs>
        <w:ind w:left="851"/>
        <w:rPr>
          <w:sz w:val="24"/>
          <w:szCs w:val="24"/>
          <w:lang w:val="nb-NO"/>
        </w:rPr>
      </w:pPr>
      <w:r w:rsidRPr="003B5FC9">
        <w:rPr>
          <w:sz w:val="24"/>
          <w:szCs w:val="24"/>
        </w:rPr>
        <w:t xml:space="preserve">Efter administration af 10 mg </w:t>
      </w:r>
      <w:proofErr w:type="spellStart"/>
      <w:r w:rsidRPr="003B5FC9">
        <w:rPr>
          <w:sz w:val="24"/>
          <w:szCs w:val="24"/>
        </w:rPr>
        <w:t>solifenacin</w:t>
      </w:r>
      <w:proofErr w:type="spellEnd"/>
      <w:r w:rsidRPr="003B5FC9">
        <w:rPr>
          <w:sz w:val="24"/>
          <w:szCs w:val="24"/>
        </w:rPr>
        <w:t xml:space="preserve"> (</w:t>
      </w:r>
      <w:r w:rsidRPr="003B5FC9">
        <w:rPr>
          <w:sz w:val="24"/>
          <w:szCs w:val="24"/>
          <w:vertAlign w:val="superscript"/>
        </w:rPr>
        <w:t>14</w:t>
      </w:r>
      <w:r w:rsidRPr="003B5FC9">
        <w:rPr>
          <w:sz w:val="24"/>
          <w:szCs w:val="24"/>
        </w:rPr>
        <w:t xml:space="preserve">C-mærket), udskilles ca. 70% radioaktivitet i urin og 23% i fæces i løbet af 26 dage. </w:t>
      </w:r>
      <w:r w:rsidRPr="003B5FC9">
        <w:rPr>
          <w:sz w:val="24"/>
          <w:szCs w:val="24"/>
          <w:lang w:val="nb-NO"/>
        </w:rPr>
        <w:t xml:space="preserve">I urinen udskilles ca. 11% radioaktivitet som uomdannet aktiv substans, ca. 18% som </w:t>
      </w:r>
      <w:r w:rsidRPr="003B5FC9">
        <w:rPr>
          <w:i/>
          <w:sz w:val="24"/>
          <w:szCs w:val="24"/>
          <w:lang w:val="nb-NO"/>
        </w:rPr>
        <w:t>N</w:t>
      </w:r>
      <w:r w:rsidRPr="003B5FC9">
        <w:rPr>
          <w:sz w:val="24"/>
          <w:szCs w:val="24"/>
          <w:lang w:val="nb-NO"/>
        </w:rPr>
        <w:t>-oxid metabolit, 9% som 4</w:t>
      </w:r>
      <w:r w:rsidRPr="003B5FC9">
        <w:rPr>
          <w:i/>
          <w:sz w:val="24"/>
          <w:szCs w:val="24"/>
          <w:lang w:val="nb-NO"/>
        </w:rPr>
        <w:t>R</w:t>
      </w:r>
      <w:r w:rsidRPr="003B5FC9">
        <w:rPr>
          <w:sz w:val="24"/>
          <w:szCs w:val="24"/>
          <w:lang w:val="nb-NO"/>
        </w:rPr>
        <w:t>-hydroxy-</w:t>
      </w:r>
      <w:r w:rsidRPr="003B5FC9">
        <w:rPr>
          <w:i/>
          <w:sz w:val="24"/>
          <w:szCs w:val="24"/>
          <w:lang w:val="nb-NO"/>
        </w:rPr>
        <w:t>N</w:t>
      </w:r>
      <w:r w:rsidRPr="003B5FC9">
        <w:rPr>
          <w:sz w:val="24"/>
          <w:szCs w:val="24"/>
          <w:lang w:val="nb-NO"/>
        </w:rPr>
        <w:t>-oxid metabolit og 8% som 4</w:t>
      </w:r>
      <w:r w:rsidRPr="003B5FC9">
        <w:rPr>
          <w:i/>
          <w:sz w:val="24"/>
          <w:szCs w:val="24"/>
          <w:lang w:val="nb-NO"/>
        </w:rPr>
        <w:t>R</w:t>
      </w:r>
      <w:r w:rsidRPr="003B5FC9">
        <w:rPr>
          <w:sz w:val="24"/>
          <w:szCs w:val="24"/>
          <w:lang w:val="nb-NO"/>
        </w:rPr>
        <w:t>-hydroxy metabolit (aktiv metabolit).</w:t>
      </w:r>
    </w:p>
    <w:p w:rsidR="00585EB8" w:rsidRPr="000F430D" w:rsidRDefault="00585EB8" w:rsidP="00585EB8">
      <w:pPr>
        <w:tabs>
          <w:tab w:val="left" w:pos="851"/>
        </w:tabs>
        <w:ind w:left="851"/>
        <w:rPr>
          <w:iCs/>
          <w:sz w:val="24"/>
          <w:szCs w:val="24"/>
          <w:lang w:val="nb-NO"/>
        </w:rPr>
      </w:pPr>
    </w:p>
    <w:p w:rsidR="00585EB8" w:rsidRPr="003B5FC9" w:rsidRDefault="00585EB8" w:rsidP="00585EB8">
      <w:pPr>
        <w:tabs>
          <w:tab w:val="left" w:pos="851"/>
        </w:tabs>
        <w:ind w:left="851"/>
        <w:rPr>
          <w:iCs/>
          <w:sz w:val="24"/>
          <w:szCs w:val="24"/>
          <w:u w:val="single"/>
          <w:lang w:val="nb-NO"/>
        </w:rPr>
      </w:pPr>
      <w:r w:rsidRPr="003B5FC9">
        <w:rPr>
          <w:sz w:val="24"/>
          <w:szCs w:val="24"/>
          <w:u w:val="single"/>
          <w:lang w:val="nb-NO"/>
        </w:rPr>
        <w:t>Linearitet/non-linearitet</w:t>
      </w:r>
    </w:p>
    <w:p w:rsidR="00585EB8" w:rsidRPr="003B5FC9" w:rsidRDefault="00585EB8" w:rsidP="00585EB8">
      <w:pPr>
        <w:tabs>
          <w:tab w:val="left" w:pos="851"/>
        </w:tabs>
        <w:ind w:left="851"/>
        <w:rPr>
          <w:sz w:val="24"/>
          <w:szCs w:val="24"/>
          <w:lang w:val="nb-NO"/>
        </w:rPr>
      </w:pPr>
      <w:r w:rsidRPr="003B5FC9">
        <w:rPr>
          <w:sz w:val="24"/>
          <w:szCs w:val="24"/>
          <w:lang w:val="nb-NO"/>
        </w:rPr>
        <w:t>Der er lineær farmakokinetik i det terapeutiske dosisinterval.</w:t>
      </w:r>
    </w:p>
    <w:p w:rsidR="00585EB8" w:rsidRPr="003B5FC9" w:rsidRDefault="00585EB8" w:rsidP="00585EB8">
      <w:pPr>
        <w:tabs>
          <w:tab w:val="left" w:pos="851"/>
        </w:tabs>
        <w:ind w:left="851"/>
        <w:rPr>
          <w:b/>
          <w:bCs/>
          <w:sz w:val="24"/>
          <w:szCs w:val="24"/>
          <w:lang w:val="nb-NO"/>
        </w:rPr>
      </w:pPr>
    </w:p>
    <w:p w:rsidR="00585EB8" w:rsidRPr="003B5FC9" w:rsidRDefault="00585EB8" w:rsidP="00585EB8">
      <w:pPr>
        <w:tabs>
          <w:tab w:val="left" w:pos="851"/>
        </w:tabs>
        <w:ind w:left="851"/>
        <w:rPr>
          <w:bCs/>
          <w:sz w:val="24"/>
          <w:szCs w:val="24"/>
          <w:u w:val="single"/>
        </w:rPr>
      </w:pPr>
      <w:r w:rsidRPr="003B5FC9">
        <w:rPr>
          <w:sz w:val="24"/>
          <w:szCs w:val="24"/>
          <w:u w:val="single"/>
        </w:rPr>
        <w:t>Andre særlige populationer</w:t>
      </w:r>
    </w:p>
    <w:p w:rsidR="00585EB8" w:rsidRPr="003B5FC9" w:rsidRDefault="00585EB8" w:rsidP="00585EB8">
      <w:pPr>
        <w:tabs>
          <w:tab w:val="left" w:pos="851"/>
        </w:tabs>
        <w:ind w:left="851"/>
        <w:rPr>
          <w:i/>
          <w:iCs/>
          <w:sz w:val="24"/>
          <w:szCs w:val="24"/>
          <w:u w:val="single"/>
        </w:rPr>
      </w:pPr>
    </w:p>
    <w:p w:rsidR="00585EB8" w:rsidRPr="003B5FC9" w:rsidRDefault="00585EB8" w:rsidP="00585EB8">
      <w:pPr>
        <w:tabs>
          <w:tab w:val="left" w:pos="851"/>
        </w:tabs>
        <w:ind w:left="851"/>
        <w:rPr>
          <w:i/>
          <w:iCs/>
          <w:sz w:val="24"/>
          <w:szCs w:val="24"/>
        </w:rPr>
      </w:pPr>
      <w:r w:rsidRPr="003B5FC9">
        <w:rPr>
          <w:i/>
          <w:sz w:val="24"/>
          <w:szCs w:val="24"/>
        </w:rPr>
        <w:t>Ældre</w:t>
      </w:r>
    </w:p>
    <w:p w:rsidR="00585EB8" w:rsidRPr="003B5FC9" w:rsidRDefault="00585EB8" w:rsidP="00585EB8">
      <w:pPr>
        <w:tabs>
          <w:tab w:val="left" w:pos="851"/>
        </w:tabs>
        <w:ind w:left="851"/>
        <w:rPr>
          <w:sz w:val="24"/>
          <w:szCs w:val="24"/>
        </w:rPr>
      </w:pPr>
      <w:r w:rsidRPr="003B5FC9">
        <w:rPr>
          <w:sz w:val="24"/>
          <w:szCs w:val="24"/>
        </w:rPr>
        <w:t xml:space="preserve">Dosisjustering baseret på alder er ikke nødvendig. Undersøgelser hos ældre har vist, at eksponering med </w:t>
      </w:r>
      <w:proofErr w:type="spellStart"/>
      <w:r w:rsidRPr="003B5FC9">
        <w:rPr>
          <w:sz w:val="24"/>
          <w:szCs w:val="24"/>
        </w:rPr>
        <w:t>solifenacin</w:t>
      </w:r>
      <w:proofErr w:type="spellEnd"/>
      <w:r w:rsidRPr="003B5FC9">
        <w:rPr>
          <w:sz w:val="24"/>
          <w:szCs w:val="24"/>
        </w:rPr>
        <w:t xml:space="preserve">, udtrykt som AUC, efter administration af </w:t>
      </w:r>
      <w:proofErr w:type="spellStart"/>
      <w:r w:rsidRPr="003B5FC9">
        <w:rPr>
          <w:sz w:val="24"/>
          <w:szCs w:val="24"/>
        </w:rPr>
        <w:t>solifenacinsuccinat</w:t>
      </w:r>
      <w:proofErr w:type="spellEnd"/>
      <w:r w:rsidRPr="003B5FC9">
        <w:rPr>
          <w:sz w:val="24"/>
          <w:szCs w:val="24"/>
        </w:rPr>
        <w:t xml:space="preserve"> (5 mg og 10 mg én gang </w:t>
      </w:r>
      <w:r>
        <w:rPr>
          <w:sz w:val="24"/>
          <w:szCs w:val="24"/>
        </w:rPr>
        <w:t>daglig</w:t>
      </w:r>
      <w:r w:rsidRPr="003B5FC9">
        <w:rPr>
          <w:sz w:val="24"/>
          <w:szCs w:val="24"/>
        </w:rPr>
        <w:t xml:space="preserve">), var ens hos raske ældre patienter (mellem 65 og 80 år) og raske yngre patienter (under 55 år). Den gennemsnitlige absorptionshastighed, udtrykt som </w:t>
      </w:r>
      <w:proofErr w:type="spellStart"/>
      <w:r w:rsidRPr="003B5FC9">
        <w:rPr>
          <w:sz w:val="24"/>
          <w:szCs w:val="24"/>
        </w:rPr>
        <w:t>t</w:t>
      </w:r>
      <w:r w:rsidRPr="003B5FC9">
        <w:rPr>
          <w:sz w:val="24"/>
          <w:szCs w:val="24"/>
          <w:vertAlign w:val="subscript"/>
        </w:rPr>
        <w:t>max</w:t>
      </w:r>
      <w:proofErr w:type="spellEnd"/>
      <w:r w:rsidRPr="003B5FC9">
        <w:rPr>
          <w:sz w:val="24"/>
          <w:szCs w:val="24"/>
        </w:rPr>
        <w:t>; var lidt lavere blandt ældre patienter, og den terminale halveringstid var ca. 20% højere blandt ældre patienter. Disse mindre forskelle anses ikke for at være klinisk signifikante.</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farmakokinetik er ikke fastslået hos børn og unge.</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Køn</w:t>
      </w: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w:t>
      </w:r>
      <w:proofErr w:type="spellStart"/>
      <w:r w:rsidRPr="003B5FC9">
        <w:rPr>
          <w:sz w:val="24"/>
          <w:szCs w:val="24"/>
        </w:rPr>
        <w:t>famakokinetik</w:t>
      </w:r>
      <w:proofErr w:type="spellEnd"/>
      <w:r w:rsidRPr="003B5FC9">
        <w:rPr>
          <w:sz w:val="24"/>
          <w:szCs w:val="24"/>
        </w:rPr>
        <w:t xml:space="preserve"> påvirkes ikke af køn.</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Race</w:t>
      </w: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farmakokinetik påvirkes ikke af race.</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Nedsat nyrefunktion</w:t>
      </w: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AUC og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hos patienter med let til moderat nedsat nyrefunktion er ikke signifikant forskellig fra værdierne fundet hos raske frivillige. Hos patienter med svært nedsat nyrefunktion (</w:t>
      </w:r>
      <w:proofErr w:type="spellStart"/>
      <w:r w:rsidRPr="003B5FC9">
        <w:rPr>
          <w:sz w:val="24"/>
          <w:szCs w:val="24"/>
        </w:rPr>
        <w:t>kreatininclearance</w:t>
      </w:r>
      <w:proofErr w:type="spellEnd"/>
      <w:r w:rsidRPr="003B5FC9">
        <w:rPr>
          <w:sz w:val="24"/>
          <w:szCs w:val="24"/>
        </w:rPr>
        <w:t xml:space="preserve"> </w:t>
      </w:r>
      <w:r w:rsidRPr="003B5FC9">
        <w:rPr>
          <w:sz w:val="24"/>
          <w:szCs w:val="24"/>
        </w:rPr>
        <w:sym w:font="Symbol" w:char="F0A3"/>
      </w:r>
      <w:r w:rsidRPr="003B5FC9">
        <w:rPr>
          <w:sz w:val="24"/>
          <w:szCs w:val="24"/>
        </w:rPr>
        <w:t xml:space="preserve"> 30 ml/min) er </w:t>
      </w:r>
      <w:proofErr w:type="spellStart"/>
      <w:r w:rsidRPr="003B5FC9">
        <w:rPr>
          <w:sz w:val="24"/>
          <w:szCs w:val="24"/>
        </w:rPr>
        <w:t>solifenacineksponeringen</w:t>
      </w:r>
      <w:proofErr w:type="spellEnd"/>
      <w:r w:rsidRPr="003B5FC9">
        <w:rPr>
          <w:sz w:val="24"/>
          <w:szCs w:val="24"/>
        </w:rPr>
        <w:t xml:space="preserve"> signifikant højere end i kontrolgruppen med stigninger i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på ca. 30%, AUC mere end 100% og t</w:t>
      </w:r>
      <w:r w:rsidRPr="003B5FC9">
        <w:rPr>
          <w:sz w:val="24"/>
          <w:szCs w:val="24"/>
          <w:vertAlign w:val="subscript"/>
        </w:rPr>
        <w:t>½</w:t>
      </w:r>
      <w:r w:rsidRPr="003B5FC9">
        <w:rPr>
          <w:sz w:val="24"/>
          <w:szCs w:val="24"/>
        </w:rPr>
        <w:t xml:space="preserve"> mere end 60%. Der er set en statistisk signifikant sammenhæng mellem </w:t>
      </w:r>
      <w:proofErr w:type="spellStart"/>
      <w:r w:rsidRPr="003B5FC9">
        <w:rPr>
          <w:sz w:val="24"/>
          <w:szCs w:val="24"/>
        </w:rPr>
        <w:t>kreatininclearance</w:t>
      </w:r>
      <w:proofErr w:type="spellEnd"/>
      <w:r w:rsidRPr="003B5FC9">
        <w:rPr>
          <w:sz w:val="24"/>
          <w:szCs w:val="24"/>
        </w:rPr>
        <w:t xml:space="preserve"> og </w:t>
      </w:r>
      <w:proofErr w:type="spellStart"/>
      <w:r w:rsidRPr="003B5FC9">
        <w:rPr>
          <w:sz w:val="24"/>
          <w:szCs w:val="24"/>
        </w:rPr>
        <w:t>solifenacinclearance</w:t>
      </w:r>
      <w:proofErr w:type="spellEnd"/>
      <w:r w:rsidRPr="003B5FC9">
        <w:rPr>
          <w:sz w:val="24"/>
          <w:szCs w:val="24"/>
        </w:rPr>
        <w:t>.</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rPr>
      </w:pPr>
      <w:proofErr w:type="spellStart"/>
      <w:r w:rsidRPr="003B5FC9">
        <w:rPr>
          <w:sz w:val="24"/>
          <w:szCs w:val="24"/>
        </w:rPr>
        <w:t>Solifenacins</w:t>
      </w:r>
      <w:proofErr w:type="spellEnd"/>
      <w:r w:rsidRPr="003B5FC9">
        <w:rPr>
          <w:sz w:val="24"/>
          <w:szCs w:val="24"/>
        </w:rPr>
        <w:t xml:space="preserve"> farmakokinetik er ikke undersøgt hos patienter i hæmodialyse.</w:t>
      </w:r>
    </w:p>
    <w:p w:rsidR="00585EB8" w:rsidRPr="003B5FC9" w:rsidRDefault="00585EB8" w:rsidP="00585EB8">
      <w:pPr>
        <w:tabs>
          <w:tab w:val="left" w:pos="851"/>
        </w:tabs>
        <w:ind w:left="851"/>
        <w:rPr>
          <w:i/>
          <w:iCs/>
          <w:sz w:val="24"/>
          <w:szCs w:val="24"/>
        </w:rPr>
      </w:pPr>
    </w:p>
    <w:p w:rsidR="00585EB8" w:rsidRPr="003B5FC9" w:rsidRDefault="00585EB8" w:rsidP="00585EB8">
      <w:pPr>
        <w:tabs>
          <w:tab w:val="left" w:pos="851"/>
        </w:tabs>
        <w:ind w:left="851"/>
        <w:rPr>
          <w:sz w:val="24"/>
          <w:szCs w:val="24"/>
        </w:rPr>
      </w:pPr>
      <w:r w:rsidRPr="003B5FC9">
        <w:rPr>
          <w:i/>
          <w:sz w:val="24"/>
          <w:szCs w:val="24"/>
        </w:rPr>
        <w:t>Nedsat leverfunktion</w:t>
      </w:r>
    </w:p>
    <w:p w:rsidR="00585EB8" w:rsidRPr="003B5FC9" w:rsidRDefault="00585EB8" w:rsidP="00585EB8">
      <w:pPr>
        <w:tabs>
          <w:tab w:val="left" w:pos="851"/>
        </w:tabs>
        <w:ind w:left="851"/>
        <w:rPr>
          <w:sz w:val="24"/>
          <w:szCs w:val="24"/>
        </w:rPr>
      </w:pPr>
      <w:r w:rsidRPr="003B5FC9">
        <w:rPr>
          <w:sz w:val="24"/>
          <w:szCs w:val="24"/>
        </w:rPr>
        <w:t>Hos patienter med moderat nedsat leverfunktion (Child-</w:t>
      </w:r>
      <w:proofErr w:type="spellStart"/>
      <w:r w:rsidRPr="003B5FC9">
        <w:rPr>
          <w:sz w:val="24"/>
          <w:szCs w:val="24"/>
        </w:rPr>
        <w:t>Pugh</w:t>
      </w:r>
      <w:proofErr w:type="spellEnd"/>
      <w:r w:rsidRPr="003B5FC9">
        <w:rPr>
          <w:sz w:val="24"/>
          <w:szCs w:val="24"/>
        </w:rPr>
        <w:t xml:space="preserve"> score 7-9) påvirkes </w:t>
      </w:r>
      <w:proofErr w:type="spellStart"/>
      <w:r w:rsidRPr="003B5FC9">
        <w:rPr>
          <w:sz w:val="24"/>
          <w:szCs w:val="24"/>
        </w:rPr>
        <w:t>C</w:t>
      </w:r>
      <w:r w:rsidRPr="003B5FC9">
        <w:rPr>
          <w:sz w:val="24"/>
          <w:szCs w:val="24"/>
          <w:vertAlign w:val="subscript"/>
        </w:rPr>
        <w:t>max</w:t>
      </w:r>
      <w:proofErr w:type="spellEnd"/>
      <w:r w:rsidRPr="003B5FC9">
        <w:rPr>
          <w:sz w:val="24"/>
          <w:szCs w:val="24"/>
        </w:rPr>
        <w:t xml:space="preserve"> ikke, AUC stiger med 60% og t</w:t>
      </w:r>
      <w:r w:rsidRPr="003B5FC9">
        <w:rPr>
          <w:sz w:val="24"/>
          <w:szCs w:val="24"/>
          <w:vertAlign w:val="subscript"/>
        </w:rPr>
        <w:t>½</w:t>
      </w:r>
      <w:r w:rsidRPr="003B5FC9">
        <w:rPr>
          <w:sz w:val="24"/>
          <w:szCs w:val="24"/>
        </w:rPr>
        <w:t xml:space="preserve"> fordobles. </w:t>
      </w:r>
      <w:proofErr w:type="spellStart"/>
      <w:r w:rsidRPr="003B5FC9">
        <w:rPr>
          <w:sz w:val="24"/>
          <w:szCs w:val="24"/>
        </w:rPr>
        <w:t>Solifenacins</w:t>
      </w:r>
      <w:proofErr w:type="spellEnd"/>
      <w:r w:rsidRPr="003B5FC9">
        <w:rPr>
          <w:sz w:val="24"/>
          <w:szCs w:val="24"/>
        </w:rPr>
        <w:t xml:space="preserve"> farmakokinetik er ikke undersøgt hos patienter med svær leverinsufficiens.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5.3</w:t>
      </w:r>
      <w:r w:rsidRPr="003B5FC9">
        <w:rPr>
          <w:b/>
          <w:sz w:val="24"/>
          <w:szCs w:val="24"/>
        </w:rPr>
        <w:tab/>
        <w:t>Prækliniske sikkerhedsdata</w:t>
      </w:r>
    </w:p>
    <w:p w:rsidR="00585EB8" w:rsidRPr="003B5FC9" w:rsidRDefault="00585EB8" w:rsidP="00585EB8">
      <w:pPr>
        <w:tabs>
          <w:tab w:val="left" w:pos="851"/>
        </w:tabs>
        <w:ind w:left="851" w:hanging="851"/>
        <w:rPr>
          <w:b/>
          <w:sz w:val="24"/>
          <w:szCs w:val="24"/>
          <w:lang w:eastAsia="da-DK"/>
        </w:rPr>
      </w:pPr>
      <w:r>
        <w:rPr>
          <w:sz w:val="24"/>
          <w:szCs w:val="24"/>
        </w:rPr>
        <w:tab/>
      </w:r>
      <w:r w:rsidRPr="003B5FC9">
        <w:rPr>
          <w:sz w:val="24"/>
          <w:szCs w:val="24"/>
        </w:rPr>
        <w:t xml:space="preserve">De </w:t>
      </w:r>
      <w:r w:rsidR="000620DF">
        <w:rPr>
          <w:sz w:val="24"/>
          <w:szCs w:val="24"/>
        </w:rPr>
        <w:t>non</w:t>
      </w:r>
      <w:r w:rsidRPr="003B5FC9">
        <w:rPr>
          <w:sz w:val="24"/>
          <w:szCs w:val="24"/>
        </w:rPr>
        <w:t xml:space="preserve">kliniske data viser ingen særlig risiko for mennesker vurderet ud fra konventionelle undersøgelser af sikkerhedsfarmakologi, toksicitet efter gentagne doser, fertilitet, fosterudvikling, genotoksicitet og </w:t>
      </w:r>
      <w:proofErr w:type="spellStart"/>
      <w:r w:rsidR="000620DF" w:rsidRPr="00903C1E">
        <w:rPr>
          <w:sz w:val="24"/>
          <w:szCs w:val="24"/>
        </w:rPr>
        <w:t>karcinogent</w:t>
      </w:r>
      <w:proofErr w:type="spellEnd"/>
      <w:r w:rsidR="000620DF" w:rsidRPr="00903C1E">
        <w:rPr>
          <w:sz w:val="24"/>
          <w:szCs w:val="24"/>
        </w:rPr>
        <w:t xml:space="preserve"> potentiale</w:t>
      </w:r>
      <w:r w:rsidR="000620DF" w:rsidRPr="003B5FC9">
        <w:rPr>
          <w:sz w:val="24"/>
          <w:szCs w:val="24"/>
        </w:rPr>
        <w:t>.</w:t>
      </w:r>
      <w:r w:rsidRPr="003B5FC9">
        <w:rPr>
          <w:sz w:val="24"/>
          <w:szCs w:val="24"/>
        </w:rPr>
        <w:t xml:space="preserve"> I præ- og </w:t>
      </w:r>
      <w:proofErr w:type="spellStart"/>
      <w:r w:rsidRPr="003B5FC9">
        <w:rPr>
          <w:sz w:val="24"/>
          <w:szCs w:val="24"/>
        </w:rPr>
        <w:t>postnatale</w:t>
      </w:r>
      <w:proofErr w:type="spellEnd"/>
      <w:r w:rsidRPr="003B5FC9">
        <w:rPr>
          <w:sz w:val="24"/>
          <w:szCs w:val="24"/>
        </w:rPr>
        <w:t xml:space="preserve"> udviklingsstudier hos mus, forårsager </w:t>
      </w:r>
      <w:proofErr w:type="spellStart"/>
      <w:r w:rsidRPr="003B5FC9">
        <w:rPr>
          <w:sz w:val="24"/>
          <w:szCs w:val="24"/>
        </w:rPr>
        <w:t>solifenacinbehandling</w:t>
      </w:r>
      <w:proofErr w:type="spellEnd"/>
      <w:r w:rsidRPr="003B5FC9">
        <w:rPr>
          <w:sz w:val="24"/>
          <w:szCs w:val="24"/>
        </w:rPr>
        <w:t xml:space="preserve"> af moderen ved diegivning et dosisafhængigt fald i overlevelsesratio, nedsat vægt, og nedsat fysisk udvikling ved kliniske relevante niveauer. 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sidRPr="003B5FC9">
        <w:rPr>
          <w:sz w:val="24"/>
          <w:szCs w:val="24"/>
        </w:rPr>
        <w:t>postnatalt</w:t>
      </w:r>
      <w:proofErr w:type="spellEnd"/>
      <w:r w:rsidRPr="003B5FC9">
        <w:rPr>
          <w:sz w:val="24"/>
          <w:szCs w:val="24"/>
        </w:rPr>
        <w:t xml:space="preserve">, var plasmaeksponeringen højere end hos voksne mus; fra dag 21 </w:t>
      </w:r>
      <w:proofErr w:type="spellStart"/>
      <w:r w:rsidRPr="003B5FC9">
        <w:rPr>
          <w:sz w:val="24"/>
          <w:szCs w:val="24"/>
        </w:rPr>
        <w:t>postnatalt</w:t>
      </w:r>
      <w:proofErr w:type="spellEnd"/>
      <w:r w:rsidRPr="003B5FC9">
        <w:rPr>
          <w:sz w:val="24"/>
          <w:szCs w:val="24"/>
        </w:rPr>
        <w:t xml:space="preserve"> og fremefter, var den systemiske eksponering sammenlignelig med den hos voksne mus. De kliniske implikationer af den øgede dødelighed hos juvenile mus er ikke kendt.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w:t>
      </w:r>
      <w:r w:rsidRPr="003B5FC9">
        <w:rPr>
          <w:b/>
          <w:sz w:val="24"/>
          <w:szCs w:val="24"/>
        </w:rPr>
        <w:tab/>
        <w:t>FARMACEUTISKE OPLYSNINGER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6.1</w:t>
      </w:r>
      <w:r w:rsidRPr="003B5FC9">
        <w:rPr>
          <w:b/>
          <w:sz w:val="24"/>
          <w:szCs w:val="24"/>
        </w:rPr>
        <w:tab/>
        <w:t>Hjælpestoffer</w:t>
      </w:r>
    </w:p>
    <w:p w:rsidR="00585EB8" w:rsidRDefault="00585EB8" w:rsidP="00585EB8">
      <w:pPr>
        <w:tabs>
          <w:tab w:val="left" w:pos="851"/>
        </w:tabs>
        <w:ind w:left="851" w:hanging="851"/>
        <w:rPr>
          <w:sz w:val="24"/>
          <w:szCs w:val="24"/>
          <w:u w:val="single"/>
        </w:rPr>
      </w:pPr>
    </w:p>
    <w:p w:rsidR="00585EB8" w:rsidRPr="003B5FC9" w:rsidRDefault="00585EB8" w:rsidP="00585EB8">
      <w:pPr>
        <w:tabs>
          <w:tab w:val="left" w:pos="851"/>
        </w:tabs>
        <w:ind w:left="851"/>
        <w:rPr>
          <w:sz w:val="24"/>
          <w:szCs w:val="24"/>
          <w:u w:val="single"/>
          <w:lang w:eastAsia="da-DK"/>
        </w:rPr>
      </w:pPr>
      <w:r w:rsidRPr="003B5FC9">
        <w:rPr>
          <w:sz w:val="24"/>
          <w:szCs w:val="24"/>
          <w:u w:val="single"/>
        </w:rPr>
        <w:t>Tabletkerne:</w:t>
      </w:r>
    </w:p>
    <w:p w:rsidR="00585EB8" w:rsidRPr="003B5FC9" w:rsidRDefault="00585EB8" w:rsidP="00585EB8">
      <w:pPr>
        <w:tabs>
          <w:tab w:val="left" w:pos="851"/>
        </w:tabs>
        <w:ind w:left="851"/>
        <w:rPr>
          <w:sz w:val="24"/>
          <w:szCs w:val="24"/>
        </w:rPr>
      </w:pPr>
      <w:proofErr w:type="spellStart"/>
      <w:r w:rsidRPr="003B5FC9">
        <w:rPr>
          <w:sz w:val="24"/>
          <w:szCs w:val="24"/>
        </w:rPr>
        <w:t>Lactosemonohydrat</w:t>
      </w:r>
      <w:proofErr w:type="spellEnd"/>
    </w:p>
    <w:p w:rsidR="00585EB8" w:rsidRPr="003B5FC9" w:rsidRDefault="00585EB8" w:rsidP="00585EB8">
      <w:pPr>
        <w:tabs>
          <w:tab w:val="left" w:pos="851"/>
        </w:tabs>
        <w:ind w:left="851"/>
        <w:rPr>
          <w:sz w:val="24"/>
          <w:szCs w:val="24"/>
        </w:rPr>
      </w:pPr>
      <w:proofErr w:type="spellStart"/>
      <w:r w:rsidRPr="003B5FC9">
        <w:rPr>
          <w:sz w:val="24"/>
          <w:szCs w:val="24"/>
        </w:rPr>
        <w:t>Povidon</w:t>
      </w:r>
      <w:proofErr w:type="spellEnd"/>
      <w:r w:rsidRPr="003B5FC9">
        <w:rPr>
          <w:sz w:val="24"/>
          <w:szCs w:val="24"/>
        </w:rPr>
        <w:t xml:space="preserve"> </w:t>
      </w:r>
    </w:p>
    <w:p w:rsidR="00585EB8" w:rsidRPr="003B5FC9" w:rsidRDefault="00585EB8" w:rsidP="00585EB8">
      <w:pPr>
        <w:tabs>
          <w:tab w:val="left" w:pos="851"/>
        </w:tabs>
        <w:ind w:left="851"/>
        <w:rPr>
          <w:sz w:val="24"/>
          <w:szCs w:val="24"/>
        </w:rPr>
      </w:pPr>
      <w:proofErr w:type="spellStart"/>
      <w:r w:rsidRPr="003B5FC9">
        <w:rPr>
          <w:sz w:val="24"/>
          <w:szCs w:val="24"/>
        </w:rPr>
        <w:t>Magnesiumsterat</w:t>
      </w:r>
      <w:proofErr w:type="spellEnd"/>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sz w:val="24"/>
          <w:szCs w:val="24"/>
          <w:u w:val="single"/>
        </w:rPr>
      </w:pPr>
      <w:r w:rsidRPr="003B5FC9">
        <w:rPr>
          <w:sz w:val="24"/>
          <w:szCs w:val="24"/>
          <w:u w:val="single"/>
        </w:rPr>
        <w:t>Tabletovertræk:</w:t>
      </w:r>
    </w:p>
    <w:p w:rsidR="00585EB8" w:rsidRPr="003B5FC9" w:rsidRDefault="00585EB8" w:rsidP="00585EB8">
      <w:pPr>
        <w:tabs>
          <w:tab w:val="left" w:pos="851"/>
        </w:tabs>
        <w:ind w:left="851"/>
        <w:rPr>
          <w:sz w:val="24"/>
          <w:szCs w:val="24"/>
        </w:rPr>
      </w:pPr>
      <w:proofErr w:type="spellStart"/>
      <w:r w:rsidRPr="003B5FC9">
        <w:rPr>
          <w:sz w:val="24"/>
          <w:szCs w:val="24"/>
        </w:rPr>
        <w:t>Hypromellose</w:t>
      </w:r>
      <w:proofErr w:type="spellEnd"/>
    </w:p>
    <w:p w:rsidR="00585EB8" w:rsidRPr="003B5FC9" w:rsidRDefault="00585EB8" w:rsidP="00585EB8">
      <w:pPr>
        <w:tabs>
          <w:tab w:val="left" w:pos="851"/>
        </w:tabs>
        <w:ind w:left="851"/>
        <w:rPr>
          <w:sz w:val="24"/>
          <w:szCs w:val="24"/>
        </w:rPr>
      </w:pPr>
      <w:proofErr w:type="spellStart"/>
      <w:r w:rsidRPr="003B5FC9">
        <w:rPr>
          <w:sz w:val="24"/>
          <w:szCs w:val="24"/>
        </w:rPr>
        <w:t>Talcum</w:t>
      </w:r>
      <w:proofErr w:type="spellEnd"/>
    </w:p>
    <w:p w:rsidR="00585EB8" w:rsidRPr="003B5FC9" w:rsidRDefault="00585EB8" w:rsidP="00585EB8">
      <w:pPr>
        <w:tabs>
          <w:tab w:val="left" w:pos="851"/>
        </w:tabs>
        <w:ind w:left="851"/>
        <w:rPr>
          <w:sz w:val="24"/>
          <w:szCs w:val="24"/>
        </w:rPr>
      </w:pPr>
      <w:r w:rsidRPr="003B5FC9">
        <w:rPr>
          <w:sz w:val="24"/>
          <w:szCs w:val="24"/>
        </w:rPr>
        <w:t>Titandioxid (E171)</w:t>
      </w:r>
    </w:p>
    <w:p w:rsidR="00585EB8" w:rsidRPr="003B5FC9" w:rsidRDefault="00585EB8" w:rsidP="00585EB8">
      <w:pPr>
        <w:tabs>
          <w:tab w:val="left" w:pos="851"/>
        </w:tabs>
        <w:ind w:left="851"/>
        <w:rPr>
          <w:sz w:val="24"/>
          <w:szCs w:val="24"/>
        </w:rPr>
      </w:pPr>
      <w:proofErr w:type="spellStart"/>
      <w:r w:rsidRPr="003B5FC9">
        <w:rPr>
          <w:sz w:val="24"/>
          <w:szCs w:val="24"/>
        </w:rPr>
        <w:t>Triacetin</w:t>
      </w:r>
      <w:proofErr w:type="spellEnd"/>
    </w:p>
    <w:p w:rsidR="00585EB8" w:rsidRPr="003B5FC9" w:rsidRDefault="00585EB8" w:rsidP="00585EB8">
      <w:pPr>
        <w:tabs>
          <w:tab w:val="left" w:pos="851"/>
        </w:tabs>
        <w:ind w:left="851"/>
        <w:rPr>
          <w:sz w:val="24"/>
          <w:szCs w:val="24"/>
        </w:rPr>
      </w:pPr>
      <w:r w:rsidRPr="003B5FC9">
        <w:rPr>
          <w:sz w:val="24"/>
          <w:szCs w:val="24"/>
        </w:rPr>
        <w:t>Rød jernoxid (E172) (kun i 10 mg tabletter)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6.2</w:t>
      </w:r>
      <w:r w:rsidRPr="003B5FC9">
        <w:rPr>
          <w:b/>
          <w:sz w:val="24"/>
          <w:szCs w:val="24"/>
        </w:rPr>
        <w:tab/>
        <w:t>Uforligeligheder</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Ikke relevant.</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6.3</w:t>
      </w:r>
      <w:r w:rsidRPr="003B5FC9">
        <w:rPr>
          <w:b/>
          <w:sz w:val="24"/>
          <w:szCs w:val="24"/>
        </w:rPr>
        <w:tab/>
        <w:t>Opbevaringstid</w:t>
      </w:r>
    </w:p>
    <w:p w:rsidR="00585EB8" w:rsidRPr="003B5FC9" w:rsidRDefault="00585EB8" w:rsidP="00585EB8">
      <w:pPr>
        <w:tabs>
          <w:tab w:val="left" w:pos="851"/>
        </w:tabs>
        <w:ind w:left="851" w:hanging="851"/>
        <w:rPr>
          <w:sz w:val="24"/>
          <w:szCs w:val="24"/>
          <w:lang w:eastAsia="da-DK"/>
        </w:rPr>
      </w:pPr>
      <w:r w:rsidRPr="003B5FC9">
        <w:rPr>
          <w:sz w:val="24"/>
          <w:szCs w:val="24"/>
        </w:rPr>
        <w:tab/>
        <w:t>3 år.</w:t>
      </w:r>
    </w:p>
    <w:p w:rsidR="00585EB8" w:rsidRPr="003B5FC9" w:rsidRDefault="00585EB8" w:rsidP="00585EB8">
      <w:pPr>
        <w:tabs>
          <w:tab w:val="left" w:pos="851"/>
        </w:tabs>
        <w:ind w:left="851"/>
        <w:rPr>
          <w:sz w:val="24"/>
          <w:szCs w:val="24"/>
        </w:rPr>
      </w:pPr>
    </w:p>
    <w:p w:rsidR="00585EB8" w:rsidRPr="003B5FC9" w:rsidRDefault="00585EB8" w:rsidP="00585EB8">
      <w:pPr>
        <w:tabs>
          <w:tab w:val="left" w:pos="851"/>
        </w:tabs>
        <w:ind w:left="851"/>
        <w:rPr>
          <w:i/>
          <w:sz w:val="24"/>
          <w:szCs w:val="24"/>
          <w:u w:val="single"/>
        </w:rPr>
      </w:pPr>
      <w:r w:rsidRPr="003B5FC9">
        <w:rPr>
          <w:i/>
          <w:sz w:val="24"/>
          <w:szCs w:val="24"/>
          <w:u w:val="single"/>
        </w:rPr>
        <w:t>HDPE-tabletbeholder efter åbning:</w:t>
      </w:r>
    </w:p>
    <w:p w:rsidR="00585EB8" w:rsidRPr="003B5FC9" w:rsidRDefault="00585EB8" w:rsidP="00585EB8">
      <w:pPr>
        <w:tabs>
          <w:tab w:val="left" w:pos="851"/>
        </w:tabs>
        <w:ind w:left="851"/>
        <w:rPr>
          <w:sz w:val="24"/>
          <w:szCs w:val="24"/>
        </w:rPr>
      </w:pPr>
      <w:r w:rsidRPr="003B5FC9">
        <w:rPr>
          <w:sz w:val="24"/>
          <w:szCs w:val="24"/>
        </w:rPr>
        <w:t>Må ikke opbevares ved temperaturer over 25 °C.</w:t>
      </w:r>
    </w:p>
    <w:p w:rsidR="00585EB8" w:rsidRPr="003B5FC9" w:rsidRDefault="00585EB8" w:rsidP="00585EB8">
      <w:pPr>
        <w:tabs>
          <w:tab w:val="left" w:pos="851"/>
        </w:tabs>
        <w:ind w:left="851"/>
        <w:rPr>
          <w:sz w:val="24"/>
          <w:szCs w:val="24"/>
        </w:rPr>
      </w:pPr>
      <w:r w:rsidRPr="003B5FC9">
        <w:rPr>
          <w:sz w:val="24"/>
          <w:szCs w:val="24"/>
        </w:rPr>
        <w:t>Holdbarhed efter åbning er 12 måneder.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6.4</w:t>
      </w:r>
      <w:r w:rsidRPr="003B5FC9">
        <w:rPr>
          <w:b/>
          <w:sz w:val="24"/>
          <w:szCs w:val="24"/>
        </w:rPr>
        <w:tab/>
        <w:t>Særlige opbevaringsforhold</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Dette lægemiddel kræver ingen særlige forholdsregler vedrørende opbevaringen.</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Opbevaringsforhold efter åbning af lægemidlet, se pkt. 6.3.</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6.5</w:t>
      </w:r>
      <w:r w:rsidRPr="003B5FC9">
        <w:rPr>
          <w:b/>
          <w:sz w:val="24"/>
          <w:szCs w:val="24"/>
        </w:rPr>
        <w:tab/>
        <w:t>Emballagetyper og pakningsstørrelser</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Blister (PVC/PVDC//</w:t>
      </w:r>
      <w:proofErr w:type="spellStart"/>
      <w:r w:rsidRPr="003B5FC9">
        <w:rPr>
          <w:sz w:val="24"/>
          <w:szCs w:val="24"/>
        </w:rPr>
        <w:t>Alu-folie</w:t>
      </w:r>
      <w:proofErr w:type="spellEnd"/>
      <w:r w:rsidRPr="003B5FC9">
        <w:rPr>
          <w:sz w:val="24"/>
          <w:szCs w:val="24"/>
        </w:rPr>
        <w:t>): 10, 30, 50, 60, 90, 100 filmovertrukne tabletter i en æske.</w:t>
      </w: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 xml:space="preserve">HDPE-tabletbeholder med </w:t>
      </w:r>
      <w:proofErr w:type="gramStart"/>
      <w:r w:rsidRPr="003B5FC9">
        <w:rPr>
          <w:sz w:val="24"/>
          <w:szCs w:val="24"/>
        </w:rPr>
        <w:t>PP lukning</w:t>
      </w:r>
      <w:proofErr w:type="gramEnd"/>
      <w:r w:rsidRPr="003B5FC9">
        <w:rPr>
          <w:sz w:val="24"/>
          <w:szCs w:val="24"/>
        </w:rPr>
        <w:t>: 250 filmovertrukne tabletter.</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sz w:val="24"/>
          <w:szCs w:val="24"/>
        </w:rPr>
      </w:pPr>
      <w:r>
        <w:rPr>
          <w:sz w:val="24"/>
          <w:szCs w:val="24"/>
        </w:rPr>
        <w:tab/>
      </w:r>
      <w:r w:rsidRPr="003B5FC9">
        <w:rPr>
          <w:sz w:val="24"/>
          <w:szCs w:val="24"/>
        </w:rPr>
        <w:t>Ikke alle pakningsstørrelser markedsføres nødvendigvis.</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6.6</w:t>
      </w:r>
      <w:r w:rsidRPr="003B5FC9">
        <w:rPr>
          <w:b/>
          <w:sz w:val="24"/>
          <w:szCs w:val="24"/>
        </w:rPr>
        <w:tab/>
        <w:t>Regler for destruktion og anden håndtering</w:t>
      </w:r>
    </w:p>
    <w:p w:rsidR="00585EB8" w:rsidRPr="003B5FC9" w:rsidRDefault="00585EB8" w:rsidP="00585EB8">
      <w:pPr>
        <w:tabs>
          <w:tab w:val="left" w:pos="851"/>
        </w:tabs>
        <w:ind w:left="851" w:hanging="851"/>
        <w:rPr>
          <w:sz w:val="24"/>
          <w:szCs w:val="24"/>
          <w:lang w:eastAsia="da-DK"/>
        </w:rPr>
      </w:pPr>
      <w:r>
        <w:rPr>
          <w:sz w:val="24"/>
          <w:szCs w:val="24"/>
        </w:rPr>
        <w:tab/>
      </w:r>
      <w:r w:rsidRPr="003B5FC9">
        <w:rPr>
          <w:sz w:val="24"/>
          <w:szCs w:val="24"/>
        </w:rPr>
        <w:t>Ingen særlige forholdsregler.</w:t>
      </w:r>
    </w:p>
    <w:p w:rsidR="00585EB8" w:rsidRPr="003B5FC9" w:rsidRDefault="00585EB8" w:rsidP="00585EB8">
      <w:pPr>
        <w:tabs>
          <w:tab w:val="left" w:pos="851"/>
        </w:tabs>
        <w:ind w:left="851" w:hanging="851"/>
        <w:jc w:val="both"/>
        <w:rPr>
          <w:sz w:val="24"/>
          <w:szCs w:val="24"/>
        </w:rPr>
      </w:pPr>
    </w:p>
    <w:p w:rsidR="00585EB8" w:rsidRPr="003B5FC9" w:rsidRDefault="00585EB8" w:rsidP="00EC7315">
      <w:pPr>
        <w:keepNext/>
        <w:tabs>
          <w:tab w:val="left" w:pos="851"/>
        </w:tabs>
        <w:ind w:left="851" w:hanging="851"/>
        <w:rPr>
          <w:b/>
          <w:sz w:val="24"/>
          <w:szCs w:val="24"/>
        </w:rPr>
      </w:pPr>
      <w:r w:rsidRPr="003B5FC9">
        <w:rPr>
          <w:b/>
          <w:sz w:val="24"/>
          <w:szCs w:val="24"/>
        </w:rPr>
        <w:t>7.</w:t>
      </w:r>
      <w:r w:rsidRPr="003B5FC9">
        <w:rPr>
          <w:b/>
          <w:sz w:val="24"/>
          <w:szCs w:val="24"/>
        </w:rPr>
        <w:tab/>
        <w:t>INDEHAVER AF MARKEDSFØRINGSTILLADELSEN</w:t>
      </w:r>
    </w:p>
    <w:p w:rsidR="00585EB8" w:rsidRPr="003B5FC9" w:rsidRDefault="00585EB8" w:rsidP="00585EB8">
      <w:pPr>
        <w:ind w:left="851"/>
        <w:rPr>
          <w:sz w:val="24"/>
          <w:szCs w:val="24"/>
          <w:lang w:eastAsia="da-DK"/>
        </w:rPr>
      </w:pPr>
      <w:r w:rsidRPr="003B5FC9">
        <w:rPr>
          <w:sz w:val="24"/>
          <w:szCs w:val="24"/>
        </w:rPr>
        <w:t xml:space="preserve">KRKA, d.d., Novo </w:t>
      </w:r>
      <w:proofErr w:type="spellStart"/>
      <w:r w:rsidRPr="003B5FC9">
        <w:rPr>
          <w:sz w:val="24"/>
          <w:szCs w:val="24"/>
        </w:rPr>
        <w:t>mesto</w:t>
      </w:r>
      <w:proofErr w:type="spellEnd"/>
    </w:p>
    <w:p w:rsidR="00585EB8" w:rsidRPr="003B5FC9" w:rsidRDefault="00585EB8" w:rsidP="00585EB8">
      <w:pPr>
        <w:ind w:left="851"/>
        <w:rPr>
          <w:sz w:val="24"/>
          <w:szCs w:val="24"/>
        </w:rPr>
      </w:pPr>
      <w:proofErr w:type="spellStart"/>
      <w:r w:rsidRPr="003B5FC9">
        <w:rPr>
          <w:sz w:val="24"/>
          <w:szCs w:val="24"/>
        </w:rPr>
        <w:t>Šmarješka</w:t>
      </w:r>
      <w:proofErr w:type="spellEnd"/>
      <w:r w:rsidRPr="003B5FC9">
        <w:rPr>
          <w:sz w:val="24"/>
          <w:szCs w:val="24"/>
        </w:rPr>
        <w:t xml:space="preserve"> </w:t>
      </w:r>
      <w:proofErr w:type="spellStart"/>
      <w:r w:rsidRPr="003B5FC9">
        <w:rPr>
          <w:sz w:val="24"/>
          <w:szCs w:val="24"/>
        </w:rPr>
        <w:t>cesta</w:t>
      </w:r>
      <w:proofErr w:type="spellEnd"/>
      <w:r w:rsidRPr="003B5FC9">
        <w:rPr>
          <w:sz w:val="24"/>
          <w:szCs w:val="24"/>
        </w:rPr>
        <w:t xml:space="preserve"> 6</w:t>
      </w:r>
    </w:p>
    <w:p w:rsidR="00585EB8" w:rsidRPr="003B5FC9" w:rsidRDefault="00585EB8" w:rsidP="00585EB8">
      <w:pPr>
        <w:ind w:left="851"/>
        <w:rPr>
          <w:sz w:val="24"/>
          <w:szCs w:val="24"/>
        </w:rPr>
      </w:pPr>
      <w:r w:rsidRPr="003B5FC9">
        <w:rPr>
          <w:sz w:val="24"/>
          <w:szCs w:val="24"/>
        </w:rPr>
        <w:t xml:space="preserve">8501 Novo </w:t>
      </w:r>
      <w:proofErr w:type="spellStart"/>
      <w:r w:rsidRPr="003B5FC9">
        <w:rPr>
          <w:sz w:val="24"/>
          <w:szCs w:val="24"/>
        </w:rPr>
        <w:t>mesto</w:t>
      </w:r>
      <w:proofErr w:type="spellEnd"/>
    </w:p>
    <w:p w:rsidR="00585EB8" w:rsidRPr="003B5FC9" w:rsidRDefault="00585EB8" w:rsidP="00585EB8">
      <w:pPr>
        <w:ind w:left="851"/>
        <w:rPr>
          <w:sz w:val="24"/>
          <w:szCs w:val="24"/>
        </w:rPr>
      </w:pPr>
      <w:r w:rsidRPr="003B5FC9">
        <w:rPr>
          <w:sz w:val="24"/>
          <w:szCs w:val="24"/>
        </w:rPr>
        <w:t>Slovenien</w:t>
      </w:r>
    </w:p>
    <w:p w:rsidR="00585EB8" w:rsidRPr="003B5FC9" w:rsidRDefault="00585EB8" w:rsidP="00585EB8">
      <w:pPr>
        <w:ind w:left="851"/>
        <w:rPr>
          <w:sz w:val="24"/>
          <w:szCs w:val="24"/>
        </w:rPr>
      </w:pPr>
    </w:p>
    <w:p w:rsidR="00585EB8" w:rsidRPr="003B5FC9" w:rsidRDefault="00585EB8" w:rsidP="00585EB8">
      <w:pPr>
        <w:ind w:left="851"/>
        <w:rPr>
          <w:b/>
          <w:sz w:val="24"/>
          <w:szCs w:val="24"/>
        </w:rPr>
      </w:pPr>
      <w:r w:rsidRPr="003B5FC9">
        <w:rPr>
          <w:b/>
          <w:sz w:val="24"/>
          <w:szCs w:val="24"/>
        </w:rPr>
        <w:t>Repræsentant</w:t>
      </w:r>
    </w:p>
    <w:p w:rsidR="00585EB8" w:rsidRPr="003B5FC9" w:rsidRDefault="00585EB8" w:rsidP="00585EB8">
      <w:pPr>
        <w:ind w:left="851"/>
        <w:rPr>
          <w:sz w:val="24"/>
          <w:szCs w:val="24"/>
        </w:rPr>
      </w:pPr>
      <w:r w:rsidRPr="003B5FC9">
        <w:rPr>
          <w:sz w:val="24"/>
          <w:szCs w:val="24"/>
        </w:rPr>
        <w:t>KRKA Sverige AB</w:t>
      </w:r>
    </w:p>
    <w:p w:rsidR="00585EB8" w:rsidRPr="003B5FC9" w:rsidRDefault="00585EB8" w:rsidP="00585EB8">
      <w:pPr>
        <w:ind w:left="851"/>
        <w:rPr>
          <w:sz w:val="24"/>
          <w:szCs w:val="24"/>
        </w:rPr>
      </w:pPr>
      <w:r w:rsidRPr="003B5FC9">
        <w:rPr>
          <w:sz w:val="24"/>
          <w:szCs w:val="24"/>
        </w:rPr>
        <w:t>Göta Ark 175</w:t>
      </w:r>
    </w:p>
    <w:p w:rsidR="00585EB8" w:rsidRPr="003B5FC9" w:rsidRDefault="00585EB8" w:rsidP="00585EB8">
      <w:pPr>
        <w:ind w:left="851"/>
        <w:rPr>
          <w:sz w:val="24"/>
          <w:szCs w:val="24"/>
        </w:rPr>
      </w:pPr>
      <w:r w:rsidRPr="003B5FC9">
        <w:rPr>
          <w:sz w:val="24"/>
          <w:szCs w:val="24"/>
        </w:rPr>
        <w:t>118 72 Stockholm</w:t>
      </w:r>
    </w:p>
    <w:p w:rsidR="00585EB8" w:rsidRPr="003B5FC9" w:rsidRDefault="00585EB8" w:rsidP="00585EB8">
      <w:pPr>
        <w:ind w:left="851"/>
        <w:rPr>
          <w:sz w:val="24"/>
          <w:szCs w:val="24"/>
        </w:rPr>
      </w:pPr>
      <w:r w:rsidRPr="003B5FC9">
        <w:rPr>
          <w:sz w:val="24"/>
          <w:szCs w:val="24"/>
        </w:rPr>
        <w:t>Sverige</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8.</w:t>
      </w:r>
      <w:r w:rsidRPr="003B5FC9">
        <w:rPr>
          <w:b/>
          <w:sz w:val="24"/>
          <w:szCs w:val="24"/>
        </w:rPr>
        <w:tab/>
        <w:t>MARKEDSFØRINGSTILLADELSESNUMMER (NUMRE)</w:t>
      </w:r>
    </w:p>
    <w:p w:rsidR="00585EB8" w:rsidRPr="003B5FC9" w:rsidRDefault="00585EB8" w:rsidP="00585EB8">
      <w:pPr>
        <w:tabs>
          <w:tab w:val="left" w:pos="851"/>
          <w:tab w:val="left" w:pos="1701"/>
        </w:tabs>
        <w:ind w:left="851" w:hanging="851"/>
        <w:rPr>
          <w:sz w:val="24"/>
          <w:szCs w:val="24"/>
        </w:rPr>
      </w:pPr>
      <w:r>
        <w:rPr>
          <w:sz w:val="24"/>
          <w:szCs w:val="24"/>
        </w:rPr>
        <w:tab/>
      </w:r>
      <w:r w:rsidRPr="003B5FC9">
        <w:rPr>
          <w:sz w:val="24"/>
          <w:szCs w:val="24"/>
        </w:rPr>
        <w:t>5 mg:</w:t>
      </w:r>
      <w:r>
        <w:rPr>
          <w:sz w:val="24"/>
          <w:szCs w:val="24"/>
        </w:rPr>
        <w:tab/>
        <w:t>58685</w:t>
      </w:r>
    </w:p>
    <w:p w:rsidR="00585EB8" w:rsidRPr="003B5FC9" w:rsidRDefault="00585EB8" w:rsidP="00585EB8">
      <w:pPr>
        <w:tabs>
          <w:tab w:val="left" w:pos="851"/>
          <w:tab w:val="left" w:pos="1701"/>
        </w:tabs>
        <w:ind w:left="851" w:hanging="851"/>
        <w:rPr>
          <w:sz w:val="24"/>
          <w:szCs w:val="24"/>
        </w:rPr>
      </w:pPr>
      <w:r>
        <w:rPr>
          <w:sz w:val="24"/>
          <w:szCs w:val="24"/>
        </w:rPr>
        <w:tab/>
      </w:r>
      <w:r w:rsidRPr="003B5FC9">
        <w:rPr>
          <w:sz w:val="24"/>
          <w:szCs w:val="24"/>
        </w:rPr>
        <w:t>10 mg:</w:t>
      </w:r>
      <w:r>
        <w:rPr>
          <w:sz w:val="24"/>
          <w:szCs w:val="24"/>
        </w:rPr>
        <w:tab/>
        <w:t>58686</w:t>
      </w:r>
    </w:p>
    <w:p w:rsidR="00585EB8" w:rsidRPr="003B5FC9" w:rsidRDefault="00585EB8" w:rsidP="00585EB8">
      <w:pPr>
        <w:tabs>
          <w:tab w:val="left" w:pos="851"/>
        </w:tabs>
        <w:ind w:left="851" w:hanging="851"/>
        <w:jc w:val="both"/>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9.</w:t>
      </w:r>
      <w:r w:rsidRPr="003B5FC9">
        <w:rPr>
          <w:b/>
          <w:sz w:val="24"/>
          <w:szCs w:val="24"/>
        </w:rPr>
        <w:tab/>
        <w:t>DATO FOR FØRSTE MARKEDSFØRINGSTILLADELSE</w:t>
      </w:r>
    </w:p>
    <w:p w:rsidR="00585EB8" w:rsidRPr="003B5FC9" w:rsidRDefault="00585EB8" w:rsidP="00585EB8">
      <w:pPr>
        <w:tabs>
          <w:tab w:val="left" w:pos="851"/>
        </w:tabs>
        <w:ind w:left="851" w:hanging="851"/>
        <w:rPr>
          <w:sz w:val="24"/>
          <w:szCs w:val="24"/>
        </w:rPr>
      </w:pPr>
      <w:r>
        <w:rPr>
          <w:sz w:val="24"/>
          <w:szCs w:val="24"/>
        </w:rPr>
        <w:tab/>
        <w:t>14. november 2017</w:t>
      </w:r>
    </w:p>
    <w:p w:rsidR="00585EB8" w:rsidRPr="003B5FC9" w:rsidRDefault="00585EB8" w:rsidP="00585EB8">
      <w:pPr>
        <w:tabs>
          <w:tab w:val="left" w:pos="851"/>
        </w:tabs>
        <w:ind w:left="851" w:hanging="851"/>
        <w:rPr>
          <w:sz w:val="24"/>
          <w:szCs w:val="24"/>
        </w:rPr>
      </w:pPr>
    </w:p>
    <w:p w:rsidR="00585EB8" w:rsidRPr="003B5FC9" w:rsidRDefault="00585EB8" w:rsidP="00585EB8">
      <w:pPr>
        <w:tabs>
          <w:tab w:val="left" w:pos="851"/>
        </w:tabs>
        <w:ind w:left="851" w:hanging="851"/>
        <w:rPr>
          <w:b/>
          <w:sz w:val="24"/>
          <w:szCs w:val="24"/>
        </w:rPr>
      </w:pPr>
      <w:r w:rsidRPr="003B5FC9">
        <w:rPr>
          <w:b/>
          <w:sz w:val="24"/>
          <w:szCs w:val="24"/>
        </w:rPr>
        <w:t>10.</w:t>
      </w:r>
      <w:r w:rsidRPr="003B5FC9">
        <w:rPr>
          <w:b/>
          <w:sz w:val="24"/>
          <w:szCs w:val="24"/>
        </w:rPr>
        <w:tab/>
        <w:t>DATO FOR ÆNDRING AF TEKSTEN</w:t>
      </w:r>
    </w:p>
    <w:p w:rsidR="00585EB8" w:rsidRPr="000620DF" w:rsidRDefault="00585EB8" w:rsidP="000620DF">
      <w:pPr>
        <w:tabs>
          <w:tab w:val="left" w:pos="851"/>
        </w:tabs>
        <w:ind w:left="851" w:hanging="851"/>
        <w:rPr>
          <w:sz w:val="24"/>
          <w:szCs w:val="24"/>
        </w:rPr>
      </w:pPr>
      <w:r w:rsidRPr="000620DF">
        <w:rPr>
          <w:sz w:val="24"/>
          <w:szCs w:val="24"/>
        </w:rPr>
        <w:tab/>
      </w:r>
      <w:r w:rsidR="000620DF" w:rsidRPr="000620DF">
        <w:rPr>
          <w:sz w:val="24"/>
          <w:szCs w:val="24"/>
        </w:rPr>
        <w:t>3. februar 2022</w:t>
      </w:r>
    </w:p>
    <w:p w:rsidR="00585EB8" w:rsidRPr="00161BC4" w:rsidRDefault="00585EB8" w:rsidP="00585EB8"/>
    <w:p w:rsidR="009260DE" w:rsidRPr="00585EB8" w:rsidRDefault="009260DE" w:rsidP="00585EB8"/>
    <w:sectPr w:rsidR="009260DE" w:rsidRPr="00585EB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EB8" w:rsidRDefault="00585EB8">
      <w:r>
        <w:separator/>
      </w:r>
    </w:p>
  </w:endnote>
  <w:endnote w:type="continuationSeparator" w:id="0">
    <w:p w:rsidR="00585EB8" w:rsidRDefault="0058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620DF">
      <w:rPr>
        <w:i/>
        <w:noProof/>
        <w:sz w:val="18"/>
        <w:szCs w:val="18"/>
      </w:rPr>
      <w:t>Solifenacin Krka, filmovertrukne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EB8" w:rsidRDefault="00585EB8">
      <w:r>
        <w:separator/>
      </w:r>
    </w:p>
  </w:footnote>
  <w:footnote w:type="continuationSeparator" w:id="0">
    <w:p w:rsidR="00585EB8" w:rsidRDefault="0058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92B2E"/>
    <w:multiLevelType w:val="hybridMultilevel"/>
    <w:tmpl w:val="9A5A16F8"/>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CF7219"/>
    <w:multiLevelType w:val="hybridMultilevel"/>
    <w:tmpl w:val="DF347AD4"/>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5D46CDB"/>
    <w:multiLevelType w:val="hybridMultilevel"/>
    <w:tmpl w:val="D1924C7C"/>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abstractNum w:abstractNumId="8" w15:restartNumberingAfterBreak="0">
    <w:nsid w:val="6AB60803"/>
    <w:multiLevelType w:val="hybridMultilevel"/>
    <w:tmpl w:val="17F0B1F0"/>
    <w:lvl w:ilvl="0" w:tplc="FFFFFFFF">
      <w:start w:val="1"/>
      <w:numFmt w:val="bullet"/>
      <w:lvlText w:val="-"/>
      <w:lvlJc w:val="left"/>
      <w:pPr>
        <w:tabs>
          <w:tab w:val="num" w:pos="1418"/>
        </w:tabs>
        <w:ind w:left="1418" w:hanging="567"/>
      </w:pPr>
      <w:rPr>
        <w:rFonts w:ascii="Times New Roman" w:eastAsia="Times New Roman" w:hAnsi="Times New Roman"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B8"/>
    <w:rsid w:val="000259B9"/>
    <w:rsid w:val="00041491"/>
    <w:rsid w:val="00050D16"/>
    <w:rsid w:val="000620DF"/>
    <w:rsid w:val="00074F2A"/>
    <w:rsid w:val="000A1CA8"/>
    <w:rsid w:val="000A466B"/>
    <w:rsid w:val="000B058C"/>
    <w:rsid w:val="000E4EE6"/>
    <w:rsid w:val="00136672"/>
    <w:rsid w:val="001454E2"/>
    <w:rsid w:val="00206CE8"/>
    <w:rsid w:val="0021526C"/>
    <w:rsid w:val="00283A2B"/>
    <w:rsid w:val="002B30AD"/>
    <w:rsid w:val="002C2C01"/>
    <w:rsid w:val="003A29AE"/>
    <w:rsid w:val="003A32D7"/>
    <w:rsid w:val="003A62C9"/>
    <w:rsid w:val="003B4074"/>
    <w:rsid w:val="003C769A"/>
    <w:rsid w:val="003F1838"/>
    <w:rsid w:val="0045746C"/>
    <w:rsid w:val="0049104B"/>
    <w:rsid w:val="004E3B12"/>
    <w:rsid w:val="004F04D9"/>
    <w:rsid w:val="00532310"/>
    <w:rsid w:val="00560ECC"/>
    <w:rsid w:val="00565F0F"/>
    <w:rsid w:val="00585EB8"/>
    <w:rsid w:val="00594A86"/>
    <w:rsid w:val="00596D86"/>
    <w:rsid w:val="00637F5A"/>
    <w:rsid w:val="006560B1"/>
    <w:rsid w:val="006756DD"/>
    <w:rsid w:val="00737275"/>
    <w:rsid w:val="00740EEC"/>
    <w:rsid w:val="0078011A"/>
    <w:rsid w:val="00782AF4"/>
    <w:rsid w:val="00790EE7"/>
    <w:rsid w:val="007B6649"/>
    <w:rsid w:val="0081546F"/>
    <w:rsid w:val="0082576E"/>
    <w:rsid w:val="00865137"/>
    <w:rsid w:val="00907F75"/>
    <w:rsid w:val="009260DE"/>
    <w:rsid w:val="0093258A"/>
    <w:rsid w:val="009C7BA3"/>
    <w:rsid w:val="009D1F5A"/>
    <w:rsid w:val="00AB169C"/>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731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F98C5"/>
  <w15:chartTrackingRefBased/>
  <w15:docId w15:val="{E537D158-3BC3-454C-ADCD-66E111D6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85E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12</Pages>
  <Words>2871</Words>
  <Characters>19233</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2020093770_x000d_
SPC pkt. 4.4, 4.8, 5.3</dc:description>
  <cp:lastModifiedBy>Betty Winther Andersen</cp:lastModifiedBy>
  <cp:revision>6</cp:revision>
  <cp:lastPrinted>2012-08-22T08:53:00Z</cp:lastPrinted>
  <dcterms:created xsi:type="dcterms:W3CDTF">2022-02-01T12:57:00Z</dcterms:created>
  <dcterms:modified xsi:type="dcterms:W3CDTF">2022-02-01T13:06:00Z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