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C36" w:rsidRPr="008F49E1" w:rsidRDefault="00281C36" w:rsidP="00281C36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7C32D2A" wp14:editId="35A8685E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281C36" w:rsidRPr="00C84483" w:rsidRDefault="00281C36" w:rsidP="00281C36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8954FA">
        <w:rPr>
          <w:szCs w:val="24"/>
        </w:rPr>
        <w:t>5</w:t>
      </w:r>
      <w:r>
        <w:rPr>
          <w:szCs w:val="24"/>
        </w:rPr>
        <w:t xml:space="preserve">. </w:t>
      </w:r>
      <w:r w:rsidR="008954FA">
        <w:rPr>
          <w:szCs w:val="24"/>
        </w:rPr>
        <w:t>september</w:t>
      </w:r>
      <w:r>
        <w:rPr>
          <w:szCs w:val="24"/>
        </w:rPr>
        <w:t xml:space="preserve"> 20</w:t>
      </w:r>
      <w:r w:rsidR="00025790">
        <w:rPr>
          <w:szCs w:val="24"/>
        </w:rPr>
        <w:t>2</w:t>
      </w:r>
      <w:r w:rsidR="008954FA">
        <w:rPr>
          <w:szCs w:val="24"/>
        </w:rPr>
        <w:t>4</w:t>
      </w:r>
    </w:p>
    <w:p w:rsidR="00154920" w:rsidRDefault="00154920" w:rsidP="00281C36">
      <w:pPr>
        <w:pStyle w:val="Titel"/>
        <w:jc w:val="left"/>
        <w:rPr>
          <w:b w:val="0"/>
          <w:szCs w:val="24"/>
        </w:rPr>
      </w:pPr>
    </w:p>
    <w:p w:rsidR="008954FA" w:rsidRPr="00C84483" w:rsidRDefault="008954FA" w:rsidP="00281C36">
      <w:pPr>
        <w:pStyle w:val="Titel"/>
        <w:jc w:val="left"/>
        <w:rPr>
          <w:b w:val="0"/>
          <w:szCs w:val="24"/>
        </w:rPr>
      </w:pPr>
    </w:p>
    <w:p w:rsidR="00281C36" w:rsidRPr="00C84483" w:rsidRDefault="00281C36" w:rsidP="00281C36">
      <w:pPr>
        <w:pStyle w:val="Titel"/>
        <w:jc w:val="left"/>
        <w:rPr>
          <w:b w:val="0"/>
          <w:szCs w:val="24"/>
        </w:rPr>
      </w:pPr>
    </w:p>
    <w:p w:rsidR="00281C36" w:rsidRPr="00C84483" w:rsidRDefault="00281C36" w:rsidP="00281C36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281C36" w:rsidRPr="00C84483" w:rsidRDefault="00281C36" w:rsidP="00281C36">
      <w:pPr>
        <w:jc w:val="center"/>
        <w:rPr>
          <w:b/>
          <w:sz w:val="24"/>
          <w:szCs w:val="24"/>
        </w:rPr>
      </w:pPr>
    </w:p>
    <w:p w:rsidR="00281C36" w:rsidRDefault="00281C36" w:rsidP="00281C36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281C36" w:rsidRPr="00C84483" w:rsidRDefault="00281C36" w:rsidP="00281C36">
      <w:pPr>
        <w:jc w:val="center"/>
        <w:rPr>
          <w:b/>
          <w:sz w:val="24"/>
          <w:szCs w:val="24"/>
        </w:rPr>
      </w:pPr>
    </w:p>
    <w:p w:rsidR="00281C36" w:rsidRPr="00C84483" w:rsidRDefault="008954FA" w:rsidP="00281C3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Solifenacin</w:t>
      </w:r>
      <w:proofErr w:type="spellEnd"/>
      <w:r>
        <w:rPr>
          <w:b/>
          <w:sz w:val="24"/>
          <w:szCs w:val="24"/>
        </w:rPr>
        <w:t xml:space="preserve"> ”</w:t>
      </w:r>
      <w:proofErr w:type="spellStart"/>
      <w:r>
        <w:rPr>
          <w:b/>
          <w:sz w:val="24"/>
          <w:szCs w:val="24"/>
        </w:rPr>
        <w:t>Viatris</w:t>
      </w:r>
      <w:proofErr w:type="spellEnd"/>
      <w:r>
        <w:rPr>
          <w:b/>
          <w:sz w:val="24"/>
          <w:szCs w:val="24"/>
        </w:rPr>
        <w:t>”</w:t>
      </w:r>
      <w:r w:rsidR="00281C36">
        <w:rPr>
          <w:b/>
          <w:sz w:val="24"/>
          <w:szCs w:val="24"/>
        </w:rPr>
        <w:t>, filmovertrukne tabletter</w:t>
      </w:r>
    </w:p>
    <w:p w:rsidR="00281C36" w:rsidRPr="00C84483" w:rsidRDefault="00281C36" w:rsidP="00281C36">
      <w:pPr>
        <w:jc w:val="both"/>
        <w:rPr>
          <w:sz w:val="24"/>
          <w:szCs w:val="24"/>
        </w:rPr>
      </w:pPr>
    </w:p>
    <w:p w:rsidR="00281C36" w:rsidRPr="00826006" w:rsidRDefault="00281C36" w:rsidP="00281C36">
      <w:pPr>
        <w:ind w:left="851" w:hanging="851"/>
        <w:jc w:val="both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0.</w:t>
      </w:r>
      <w:r w:rsidRPr="00826006">
        <w:rPr>
          <w:b/>
          <w:sz w:val="24"/>
          <w:szCs w:val="24"/>
        </w:rPr>
        <w:tab/>
        <w:t>D.SP.NR.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826006">
        <w:rPr>
          <w:sz w:val="24"/>
          <w:szCs w:val="24"/>
        </w:rPr>
        <w:t>29416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1.</w:t>
      </w:r>
      <w:r w:rsidRPr="00826006">
        <w:rPr>
          <w:b/>
          <w:sz w:val="24"/>
          <w:szCs w:val="24"/>
        </w:rPr>
        <w:tab/>
        <w:t>LÆGEMIDLETS NAVN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8954FA">
        <w:rPr>
          <w:sz w:val="24"/>
          <w:szCs w:val="24"/>
        </w:rPr>
        <w:t>Solifenacin</w:t>
      </w:r>
      <w:proofErr w:type="spellEnd"/>
      <w:r w:rsidR="008954FA">
        <w:rPr>
          <w:sz w:val="24"/>
          <w:szCs w:val="24"/>
        </w:rPr>
        <w:t xml:space="preserve"> ”</w:t>
      </w:r>
      <w:proofErr w:type="spellStart"/>
      <w:r w:rsidR="008954FA">
        <w:rPr>
          <w:sz w:val="24"/>
          <w:szCs w:val="24"/>
        </w:rPr>
        <w:t>Viatris</w:t>
      </w:r>
      <w:proofErr w:type="spellEnd"/>
      <w:r w:rsidR="008954FA">
        <w:rPr>
          <w:sz w:val="24"/>
          <w:szCs w:val="24"/>
        </w:rPr>
        <w:t>”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2.</w:t>
      </w:r>
      <w:r w:rsidRPr="00826006">
        <w:rPr>
          <w:b/>
          <w:sz w:val="24"/>
          <w:szCs w:val="24"/>
        </w:rPr>
        <w:tab/>
        <w:t>KVALITATIV OG KVANTITATIV SAMMENSÆTNING</w:t>
      </w:r>
    </w:p>
    <w:p w:rsidR="00281C36" w:rsidRPr="00826006" w:rsidRDefault="00281C36" w:rsidP="00281C36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826006">
        <w:rPr>
          <w:sz w:val="24"/>
          <w:szCs w:val="24"/>
          <w:lang w:val="da-DK"/>
        </w:rPr>
        <w:t xml:space="preserve">Hver filmovertrukne tablet indeholder </w:t>
      </w:r>
      <w:proofErr w:type="spellStart"/>
      <w:r w:rsidRPr="00826006">
        <w:rPr>
          <w:sz w:val="24"/>
          <w:szCs w:val="24"/>
          <w:lang w:val="da-DK"/>
        </w:rPr>
        <w:t>solifenacinsuccinat</w:t>
      </w:r>
      <w:proofErr w:type="spellEnd"/>
      <w:r w:rsidRPr="00826006">
        <w:rPr>
          <w:sz w:val="24"/>
          <w:szCs w:val="24"/>
          <w:lang w:val="da-DK"/>
        </w:rPr>
        <w:t xml:space="preserve"> 5 mg svarende til 3,8 mg </w:t>
      </w:r>
      <w:proofErr w:type="spellStart"/>
      <w:r w:rsidRPr="00826006">
        <w:rPr>
          <w:sz w:val="24"/>
          <w:szCs w:val="24"/>
          <w:lang w:val="da-DK"/>
        </w:rPr>
        <w:t>solifenacin</w:t>
      </w:r>
      <w:proofErr w:type="spellEnd"/>
      <w:r w:rsidRPr="00826006">
        <w:rPr>
          <w:sz w:val="24"/>
          <w:szCs w:val="24"/>
          <w:lang w:val="da-DK"/>
        </w:rPr>
        <w:t>.</w:t>
      </w:r>
    </w:p>
    <w:p w:rsidR="00281C36" w:rsidRPr="00826006" w:rsidRDefault="00281C36" w:rsidP="00281C36">
      <w:pPr>
        <w:suppressAutoHyphens/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Hver filmovertrukne tablet indeholder </w:t>
      </w:r>
      <w:proofErr w:type="spellStart"/>
      <w:r w:rsidRPr="00826006">
        <w:rPr>
          <w:sz w:val="24"/>
          <w:szCs w:val="24"/>
        </w:rPr>
        <w:t>solifenacinsuccinat</w:t>
      </w:r>
      <w:proofErr w:type="spellEnd"/>
      <w:r w:rsidRPr="00826006">
        <w:rPr>
          <w:sz w:val="24"/>
          <w:szCs w:val="24"/>
        </w:rPr>
        <w:t xml:space="preserve"> 10 mg svarende til 7,5 mg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>.</w:t>
      </w:r>
    </w:p>
    <w:p w:rsidR="00281C36" w:rsidRPr="00826006" w:rsidRDefault="00281C36" w:rsidP="00281C36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</w:p>
    <w:p w:rsidR="00281C36" w:rsidRPr="00826006" w:rsidRDefault="00281C36" w:rsidP="00281C36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u w:val="single"/>
          <w:lang w:val="da-DK"/>
        </w:rPr>
      </w:pPr>
      <w:r w:rsidRPr="00826006">
        <w:rPr>
          <w:sz w:val="24"/>
          <w:szCs w:val="24"/>
          <w:u w:val="single"/>
          <w:lang w:val="da-DK"/>
        </w:rPr>
        <w:t>Hjælpestof, som behandleren skal være opmærksom på:</w:t>
      </w:r>
    </w:p>
    <w:p w:rsidR="00281C36" w:rsidRPr="00826006" w:rsidRDefault="00281C36" w:rsidP="00281C36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826006">
        <w:rPr>
          <w:sz w:val="24"/>
          <w:szCs w:val="24"/>
          <w:lang w:val="da-DK"/>
        </w:rPr>
        <w:t xml:space="preserve">Hver filmovertrukne tablet indeholder 57 mg </w:t>
      </w:r>
      <w:proofErr w:type="spellStart"/>
      <w:r w:rsidRPr="00826006">
        <w:rPr>
          <w:sz w:val="24"/>
          <w:szCs w:val="24"/>
          <w:lang w:val="da-DK"/>
        </w:rPr>
        <w:t>lactose</w:t>
      </w:r>
      <w:proofErr w:type="spellEnd"/>
      <w:r w:rsidRPr="00826006">
        <w:rPr>
          <w:sz w:val="24"/>
          <w:szCs w:val="24"/>
          <w:lang w:val="da-DK"/>
        </w:rPr>
        <w:t xml:space="preserve"> (som </w:t>
      </w:r>
      <w:proofErr w:type="spellStart"/>
      <w:r w:rsidRPr="00826006">
        <w:rPr>
          <w:sz w:val="24"/>
          <w:szCs w:val="24"/>
          <w:lang w:val="da-DK"/>
        </w:rPr>
        <w:t>lactosemonohydrat</w:t>
      </w:r>
      <w:proofErr w:type="spellEnd"/>
      <w:r w:rsidRPr="00826006">
        <w:rPr>
          <w:sz w:val="24"/>
          <w:szCs w:val="24"/>
          <w:lang w:val="da-DK"/>
        </w:rPr>
        <w:t>).</w:t>
      </w:r>
    </w:p>
    <w:p w:rsidR="00281C36" w:rsidRPr="00826006" w:rsidRDefault="00281C36" w:rsidP="00281C36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826006">
        <w:rPr>
          <w:sz w:val="24"/>
          <w:szCs w:val="24"/>
          <w:lang w:val="da-DK"/>
        </w:rPr>
        <w:t xml:space="preserve">Hver filmovertrukne tablet indeholder 113 mg </w:t>
      </w:r>
      <w:proofErr w:type="spellStart"/>
      <w:r w:rsidRPr="00826006">
        <w:rPr>
          <w:sz w:val="24"/>
          <w:szCs w:val="24"/>
          <w:lang w:val="da-DK"/>
        </w:rPr>
        <w:t>lactose</w:t>
      </w:r>
      <w:proofErr w:type="spellEnd"/>
      <w:r w:rsidRPr="00826006">
        <w:rPr>
          <w:sz w:val="24"/>
          <w:szCs w:val="24"/>
          <w:lang w:val="da-DK"/>
        </w:rPr>
        <w:t xml:space="preserve"> (som </w:t>
      </w:r>
      <w:proofErr w:type="spellStart"/>
      <w:r w:rsidRPr="00826006">
        <w:rPr>
          <w:sz w:val="24"/>
          <w:szCs w:val="24"/>
          <w:lang w:val="da-DK"/>
        </w:rPr>
        <w:t>lactosemonohydrat</w:t>
      </w:r>
      <w:proofErr w:type="spellEnd"/>
      <w:r w:rsidRPr="00826006">
        <w:rPr>
          <w:sz w:val="24"/>
          <w:szCs w:val="24"/>
          <w:lang w:val="da-DK"/>
        </w:rPr>
        <w:t>).</w:t>
      </w:r>
    </w:p>
    <w:p w:rsidR="00281C36" w:rsidRPr="00826006" w:rsidRDefault="00281C36" w:rsidP="00281C36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</w:p>
    <w:p w:rsidR="00281C36" w:rsidRPr="00826006" w:rsidRDefault="00281C36" w:rsidP="00281C36">
      <w:pPr>
        <w:tabs>
          <w:tab w:val="left" w:pos="567"/>
        </w:tabs>
        <w:ind w:left="851"/>
        <w:rPr>
          <w:sz w:val="24"/>
          <w:szCs w:val="24"/>
        </w:rPr>
      </w:pPr>
      <w:r w:rsidRPr="00826006">
        <w:rPr>
          <w:sz w:val="24"/>
          <w:szCs w:val="24"/>
        </w:rPr>
        <w:t>Alle hjælpestoffer er anført under pkt. 6.1.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3.</w:t>
      </w:r>
      <w:r w:rsidRPr="00826006">
        <w:rPr>
          <w:b/>
          <w:sz w:val="24"/>
          <w:szCs w:val="24"/>
        </w:rPr>
        <w:tab/>
        <w:t>LÆGEMIDDELFORM</w:t>
      </w:r>
    </w:p>
    <w:p w:rsidR="00281C36" w:rsidRPr="00826006" w:rsidRDefault="00281C36" w:rsidP="00281C36">
      <w:pPr>
        <w:suppressAutoHyphens/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Filmovertrukne tabletter</w:t>
      </w:r>
    </w:p>
    <w:p w:rsidR="00281C36" w:rsidRPr="00826006" w:rsidRDefault="00281C36" w:rsidP="00281C36">
      <w:pPr>
        <w:suppressAutoHyphens/>
        <w:ind w:left="851" w:hanging="851"/>
        <w:rPr>
          <w:spacing w:val="-3"/>
          <w:sz w:val="24"/>
          <w:szCs w:val="24"/>
        </w:rPr>
      </w:pPr>
    </w:p>
    <w:p w:rsidR="00281C36" w:rsidRPr="00826006" w:rsidRDefault="00281C36" w:rsidP="00281C36">
      <w:pPr>
        <w:suppressAutoHyphens/>
        <w:ind w:left="851"/>
        <w:rPr>
          <w:spacing w:val="-3"/>
          <w:sz w:val="24"/>
          <w:szCs w:val="24"/>
        </w:rPr>
      </w:pPr>
      <w:r w:rsidRPr="00826006">
        <w:rPr>
          <w:spacing w:val="-3"/>
          <w:sz w:val="24"/>
          <w:szCs w:val="24"/>
        </w:rPr>
        <w:t xml:space="preserve">Gul, filmovertrukket, ca. 5,6 mm, rund, </w:t>
      </w:r>
      <w:proofErr w:type="spellStart"/>
      <w:r w:rsidRPr="00826006">
        <w:rPr>
          <w:spacing w:val="-3"/>
          <w:sz w:val="24"/>
          <w:szCs w:val="24"/>
        </w:rPr>
        <w:t>bikonveks</w:t>
      </w:r>
      <w:proofErr w:type="spellEnd"/>
      <w:r w:rsidRPr="00826006">
        <w:rPr>
          <w:spacing w:val="-3"/>
          <w:sz w:val="24"/>
          <w:szCs w:val="24"/>
        </w:rPr>
        <w:t xml:space="preserve"> tablet. Tabletten er præget med ”M” på den ene side og ”SF” over ”5” på den anden side.</w:t>
      </w:r>
    </w:p>
    <w:p w:rsidR="00281C36" w:rsidRPr="00826006" w:rsidRDefault="00281C36" w:rsidP="00281C36">
      <w:pPr>
        <w:suppressAutoHyphens/>
        <w:ind w:left="851" w:hanging="851"/>
        <w:rPr>
          <w:spacing w:val="-3"/>
          <w:sz w:val="24"/>
          <w:szCs w:val="24"/>
        </w:rPr>
      </w:pPr>
    </w:p>
    <w:p w:rsidR="00281C36" w:rsidRPr="00826006" w:rsidRDefault="00281C36" w:rsidP="00281C36">
      <w:pPr>
        <w:suppressAutoHyphens/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Lyserød, filmovertrukket, ca. 7,6 mm, rund, </w:t>
      </w:r>
      <w:proofErr w:type="spellStart"/>
      <w:r w:rsidRPr="00826006">
        <w:rPr>
          <w:sz w:val="24"/>
          <w:szCs w:val="24"/>
        </w:rPr>
        <w:t>bikonveks</w:t>
      </w:r>
      <w:proofErr w:type="spellEnd"/>
      <w:r w:rsidRPr="00826006">
        <w:rPr>
          <w:sz w:val="24"/>
          <w:szCs w:val="24"/>
        </w:rPr>
        <w:t xml:space="preserve"> tablet. Tabletten er præget med ”M” på den ene side og ”SF” over ”10” på den anden side.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4.</w:t>
      </w:r>
      <w:r w:rsidRPr="00826006">
        <w:rPr>
          <w:b/>
          <w:sz w:val="24"/>
          <w:szCs w:val="24"/>
        </w:rPr>
        <w:tab/>
        <w:t>KLINISKE OPLYSNINGER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826006">
        <w:rPr>
          <w:b/>
          <w:sz w:val="24"/>
          <w:szCs w:val="24"/>
        </w:rPr>
        <w:t>4.1</w:t>
      </w:r>
      <w:r w:rsidRPr="00826006">
        <w:rPr>
          <w:b/>
          <w:sz w:val="24"/>
          <w:szCs w:val="24"/>
        </w:rPr>
        <w:tab/>
        <w:t>Terapeutiske indikationer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Symptomatisk behandling af tranginkontinens og/eller hyppig vandladning og </w:t>
      </w:r>
      <w:proofErr w:type="spellStart"/>
      <w:r w:rsidRPr="00826006">
        <w:rPr>
          <w:sz w:val="24"/>
          <w:szCs w:val="24"/>
        </w:rPr>
        <w:t>imperiøs</w:t>
      </w:r>
      <w:proofErr w:type="spellEnd"/>
      <w:r w:rsidRPr="00826006">
        <w:rPr>
          <w:sz w:val="24"/>
          <w:szCs w:val="24"/>
        </w:rPr>
        <w:t xml:space="preserve"> vandladningstrang, der kan forekomme hos patienter med overaktiv blære.</w:t>
      </w:r>
    </w:p>
    <w:p w:rsidR="00281C3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954FA" w:rsidRPr="00826006" w:rsidRDefault="008954FA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lastRenderedPageBreak/>
        <w:t>4.2</w:t>
      </w:r>
      <w:r w:rsidRPr="00826006">
        <w:rPr>
          <w:b/>
          <w:sz w:val="24"/>
          <w:szCs w:val="24"/>
        </w:rPr>
        <w:tab/>
        <w:t xml:space="preserve">Dosering og </w:t>
      </w:r>
      <w:r w:rsidR="008954FA">
        <w:rPr>
          <w:b/>
          <w:sz w:val="24"/>
          <w:szCs w:val="24"/>
        </w:rPr>
        <w:t>administration</w:t>
      </w:r>
    </w:p>
    <w:p w:rsidR="00281C36" w:rsidRDefault="00281C36" w:rsidP="00281C36">
      <w:pPr>
        <w:ind w:left="851"/>
        <w:rPr>
          <w:sz w:val="24"/>
          <w:szCs w:val="24"/>
          <w:u w:val="single"/>
        </w:rPr>
      </w:pPr>
    </w:p>
    <w:p w:rsidR="00281C36" w:rsidRPr="00826006" w:rsidRDefault="00281C36" w:rsidP="00281C36">
      <w:pPr>
        <w:ind w:left="851"/>
        <w:rPr>
          <w:sz w:val="24"/>
          <w:szCs w:val="24"/>
          <w:u w:val="single"/>
        </w:rPr>
      </w:pPr>
      <w:r w:rsidRPr="00826006">
        <w:rPr>
          <w:sz w:val="24"/>
          <w:szCs w:val="24"/>
          <w:u w:val="single"/>
        </w:rPr>
        <w:t>Dosering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i/>
          <w:sz w:val="24"/>
          <w:szCs w:val="24"/>
        </w:rPr>
      </w:pPr>
      <w:r w:rsidRPr="00826006">
        <w:rPr>
          <w:i/>
          <w:sz w:val="24"/>
          <w:szCs w:val="24"/>
        </w:rPr>
        <w:t>Voksne, inklusive ældre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Den anbefalede dosis er 5 mg </w:t>
      </w:r>
      <w:proofErr w:type="spellStart"/>
      <w:r w:rsidRPr="00826006">
        <w:rPr>
          <w:sz w:val="24"/>
          <w:szCs w:val="24"/>
        </w:rPr>
        <w:t>solifenacinsuccinat</w:t>
      </w:r>
      <w:proofErr w:type="spellEnd"/>
      <w:r w:rsidRPr="00826006">
        <w:rPr>
          <w:sz w:val="24"/>
          <w:szCs w:val="24"/>
        </w:rPr>
        <w:t xml:space="preserve"> én gang dagligt. Dosis kan øges til 10 mg </w:t>
      </w:r>
      <w:proofErr w:type="spellStart"/>
      <w:r w:rsidRPr="00826006">
        <w:rPr>
          <w:sz w:val="24"/>
          <w:szCs w:val="24"/>
        </w:rPr>
        <w:t>solifenacinsuccinat</w:t>
      </w:r>
      <w:proofErr w:type="spellEnd"/>
      <w:r w:rsidRPr="00826006">
        <w:rPr>
          <w:sz w:val="24"/>
          <w:szCs w:val="24"/>
        </w:rPr>
        <w:t xml:space="preserve"> én gang dagligt, hvis der er behov for det.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i/>
          <w:sz w:val="24"/>
          <w:szCs w:val="24"/>
        </w:rPr>
      </w:pPr>
      <w:r w:rsidRPr="00826006">
        <w:rPr>
          <w:i/>
          <w:sz w:val="24"/>
          <w:szCs w:val="24"/>
        </w:rPr>
        <w:t>Pædiatrisk population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Mylans sikkerhed og virkning hos børn er ikke klarlagt. Derfor bør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Mylan ikke anvendes til børn.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i/>
          <w:sz w:val="24"/>
          <w:szCs w:val="24"/>
        </w:rPr>
      </w:pPr>
      <w:r w:rsidRPr="00826006">
        <w:rPr>
          <w:i/>
          <w:sz w:val="24"/>
          <w:szCs w:val="24"/>
        </w:rPr>
        <w:t>Patienter med nedsat nyrefunktion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>Dosisjustering er ikke nødvendig for patienter med let til moderat nedsat nyrefunktion (</w:t>
      </w:r>
      <w:proofErr w:type="spellStart"/>
      <w:r w:rsidRPr="00826006">
        <w:rPr>
          <w:sz w:val="24"/>
          <w:szCs w:val="24"/>
        </w:rPr>
        <w:t>kreatinin</w:t>
      </w:r>
      <w:r w:rsidRPr="00826006">
        <w:rPr>
          <w:i/>
          <w:sz w:val="24"/>
          <w:szCs w:val="24"/>
        </w:rPr>
        <w:t>clearance</w:t>
      </w:r>
      <w:proofErr w:type="spellEnd"/>
      <w:r w:rsidRPr="00826006">
        <w:rPr>
          <w:sz w:val="24"/>
          <w:szCs w:val="24"/>
        </w:rPr>
        <w:t xml:space="preserve"> &gt; 30 ml/min). Patienter med svært nedsat nyrefunktion (</w:t>
      </w:r>
      <w:proofErr w:type="spellStart"/>
      <w:r w:rsidRPr="00826006">
        <w:rPr>
          <w:sz w:val="24"/>
          <w:szCs w:val="24"/>
        </w:rPr>
        <w:t>kreatinin</w:t>
      </w:r>
      <w:r w:rsidRPr="00826006">
        <w:rPr>
          <w:i/>
          <w:sz w:val="24"/>
          <w:szCs w:val="24"/>
        </w:rPr>
        <w:t>clearance</w:t>
      </w:r>
      <w:proofErr w:type="spellEnd"/>
      <w:r w:rsidRPr="00826006">
        <w:rPr>
          <w:sz w:val="24"/>
          <w:szCs w:val="24"/>
        </w:rPr>
        <w:t xml:space="preserve"> ≤ 30 ml/min) skal behandles med forsigtighed, og dosis må ikke overskride 5 mg én gang dagligt (se pkt. 5.2).</w:t>
      </w:r>
    </w:p>
    <w:p w:rsidR="00281C36" w:rsidRPr="00826006" w:rsidRDefault="00281C36" w:rsidP="00281C36">
      <w:pPr>
        <w:ind w:left="851"/>
        <w:rPr>
          <w:i/>
          <w:sz w:val="24"/>
          <w:szCs w:val="24"/>
        </w:rPr>
      </w:pPr>
    </w:p>
    <w:p w:rsidR="00281C36" w:rsidRPr="00826006" w:rsidRDefault="00281C36" w:rsidP="00281C36">
      <w:pPr>
        <w:ind w:left="851"/>
        <w:rPr>
          <w:i/>
          <w:sz w:val="24"/>
          <w:szCs w:val="24"/>
        </w:rPr>
      </w:pPr>
      <w:r w:rsidRPr="00826006">
        <w:rPr>
          <w:i/>
          <w:sz w:val="24"/>
          <w:szCs w:val="24"/>
        </w:rPr>
        <w:t>Patienter med nedsat leverfunktion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>Dosisjustering er ikke nødvendig for patienter med let nedsat leverfunktion. Patienter med moderat nedsat leverfunktion (Child-</w:t>
      </w:r>
      <w:proofErr w:type="spellStart"/>
      <w:r w:rsidRPr="00826006">
        <w:rPr>
          <w:sz w:val="24"/>
          <w:szCs w:val="24"/>
        </w:rPr>
        <w:t>Pugh</w:t>
      </w:r>
      <w:proofErr w:type="spellEnd"/>
      <w:r w:rsidRPr="00826006">
        <w:rPr>
          <w:sz w:val="24"/>
          <w:szCs w:val="24"/>
        </w:rPr>
        <w:t xml:space="preserve"> score 7-9) skal behandles med forsigtighed, og dosis må ikke overskride 5 mg én gang dagligt (se pkt. 5.2).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i/>
          <w:sz w:val="24"/>
          <w:szCs w:val="24"/>
        </w:rPr>
      </w:pPr>
      <w:r w:rsidRPr="00826006">
        <w:rPr>
          <w:i/>
          <w:sz w:val="24"/>
          <w:szCs w:val="24"/>
        </w:rPr>
        <w:t xml:space="preserve">Potente </w:t>
      </w:r>
      <w:proofErr w:type="spellStart"/>
      <w:r w:rsidRPr="00826006">
        <w:rPr>
          <w:i/>
          <w:sz w:val="24"/>
          <w:szCs w:val="24"/>
        </w:rPr>
        <w:t>cytochrom</w:t>
      </w:r>
      <w:proofErr w:type="spellEnd"/>
      <w:r w:rsidRPr="00826006">
        <w:rPr>
          <w:i/>
          <w:sz w:val="24"/>
          <w:szCs w:val="24"/>
        </w:rPr>
        <w:t xml:space="preserve"> P450 3A4-hæmmere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Den maksimale dosis af </w:t>
      </w:r>
      <w:proofErr w:type="spellStart"/>
      <w:r w:rsidRPr="00826006">
        <w:rPr>
          <w:sz w:val="24"/>
          <w:szCs w:val="24"/>
        </w:rPr>
        <w:t>solifenacinsuccinat</w:t>
      </w:r>
      <w:proofErr w:type="spellEnd"/>
      <w:r w:rsidRPr="00826006">
        <w:rPr>
          <w:sz w:val="24"/>
          <w:szCs w:val="24"/>
        </w:rPr>
        <w:t xml:space="preserve"> bør begrænses til 5 mg ved samtidig behandling med </w:t>
      </w:r>
      <w:proofErr w:type="spellStart"/>
      <w:r w:rsidRPr="00826006">
        <w:rPr>
          <w:sz w:val="24"/>
          <w:szCs w:val="24"/>
        </w:rPr>
        <w:t>ketoconazol</w:t>
      </w:r>
      <w:proofErr w:type="spellEnd"/>
      <w:r w:rsidRPr="00826006">
        <w:rPr>
          <w:sz w:val="24"/>
          <w:szCs w:val="24"/>
        </w:rPr>
        <w:t xml:space="preserve"> eller terapeutiske doser af andre potente CYP3A4-hæmmere f.eks. </w:t>
      </w:r>
      <w:proofErr w:type="spellStart"/>
      <w:r w:rsidRPr="00826006">
        <w:rPr>
          <w:sz w:val="24"/>
          <w:szCs w:val="24"/>
        </w:rPr>
        <w:t>ritonavir</w:t>
      </w:r>
      <w:proofErr w:type="spellEnd"/>
      <w:r w:rsidRPr="00826006">
        <w:rPr>
          <w:sz w:val="24"/>
          <w:szCs w:val="24"/>
        </w:rPr>
        <w:t xml:space="preserve">, </w:t>
      </w:r>
      <w:proofErr w:type="spellStart"/>
      <w:r w:rsidRPr="00826006">
        <w:rPr>
          <w:sz w:val="24"/>
          <w:szCs w:val="24"/>
        </w:rPr>
        <w:t>nelfinavir</w:t>
      </w:r>
      <w:proofErr w:type="spellEnd"/>
      <w:r w:rsidRPr="00826006">
        <w:rPr>
          <w:sz w:val="24"/>
          <w:szCs w:val="24"/>
        </w:rPr>
        <w:t xml:space="preserve">, </w:t>
      </w:r>
      <w:proofErr w:type="spellStart"/>
      <w:r w:rsidRPr="00826006">
        <w:rPr>
          <w:sz w:val="24"/>
          <w:szCs w:val="24"/>
        </w:rPr>
        <w:t>itraconazol</w:t>
      </w:r>
      <w:proofErr w:type="spellEnd"/>
      <w:r w:rsidRPr="00826006">
        <w:rPr>
          <w:sz w:val="24"/>
          <w:szCs w:val="24"/>
        </w:rPr>
        <w:t xml:space="preserve"> (se pkt. 4.5).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  <w:u w:val="single"/>
        </w:rPr>
      </w:pPr>
      <w:r w:rsidRPr="00826006">
        <w:rPr>
          <w:sz w:val="24"/>
          <w:szCs w:val="24"/>
          <w:u w:val="single"/>
        </w:rPr>
        <w:t>Administration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Mylan er til oral anvendelse. Tabletten skal synkes hel med væske. Den kan tages med eller uden mad.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4.3</w:t>
      </w:r>
      <w:r w:rsidRPr="00826006">
        <w:rPr>
          <w:b/>
          <w:sz w:val="24"/>
          <w:szCs w:val="24"/>
        </w:rPr>
        <w:tab/>
        <w:t>Kontraindikationer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er kontraindiceret hos patienter med urinretention, svær </w:t>
      </w:r>
      <w:proofErr w:type="spellStart"/>
      <w:r w:rsidRPr="00826006">
        <w:rPr>
          <w:sz w:val="24"/>
          <w:szCs w:val="24"/>
        </w:rPr>
        <w:t>gastrointestinal</w:t>
      </w:r>
      <w:proofErr w:type="spellEnd"/>
      <w:r w:rsidRPr="00826006">
        <w:rPr>
          <w:sz w:val="24"/>
          <w:szCs w:val="24"/>
        </w:rPr>
        <w:t xml:space="preserve"> lidelse (inkl. toksisk </w:t>
      </w:r>
      <w:proofErr w:type="spellStart"/>
      <w:r w:rsidRPr="00826006">
        <w:rPr>
          <w:sz w:val="24"/>
          <w:szCs w:val="24"/>
        </w:rPr>
        <w:t>megacolon</w:t>
      </w:r>
      <w:proofErr w:type="spellEnd"/>
      <w:r w:rsidRPr="00826006">
        <w:rPr>
          <w:sz w:val="24"/>
          <w:szCs w:val="24"/>
        </w:rPr>
        <w:t xml:space="preserve">), </w:t>
      </w:r>
      <w:proofErr w:type="spellStart"/>
      <w:r w:rsidRPr="00826006">
        <w:rPr>
          <w:sz w:val="24"/>
          <w:szCs w:val="24"/>
        </w:rPr>
        <w:t>myastenia</w:t>
      </w:r>
      <w:proofErr w:type="spellEnd"/>
      <w:r w:rsidRPr="00826006">
        <w:rPr>
          <w:sz w:val="24"/>
          <w:szCs w:val="24"/>
        </w:rPr>
        <w:t xml:space="preserve"> </w:t>
      </w:r>
      <w:proofErr w:type="spellStart"/>
      <w:r w:rsidRPr="00826006">
        <w:rPr>
          <w:sz w:val="24"/>
          <w:szCs w:val="24"/>
        </w:rPr>
        <w:t>gravis</w:t>
      </w:r>
      <w:proofErr w:type="spellEnd"/>
      <w:r w:rsidRPr="00826006">
        <w:rPr>
          <w:sz w:val="24"/>
          <w:szCs w:val="24"/>
        </w:rPr>
        <w:t xml:space="preserve"> eller </w:t>
      </w:r>
      <w:proofErr w:type="spellStart"/>
      <w:r w:rsidRPr="00826006">
        <w:rPr>
          <w:sz w:val="24"/>
          <w:szCs w:val="24"/>
        </w:rPr>
        <w:t>snævervinkelglaukom</w:t>
      </w:r>
      <w:proofErr w:type="spellEnd"/>
      <w:r w:rsidRPr="00826006">
        <w:rPr>
          <w:sz w:val="24"/>
          <w:szCs w:val="24"/>
        </w:rPr>
        <w:t xml:space="preserve"> og hos patienter med risiko for disse lidelser.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26006">
        <w:rPr>
          <w:sz w:val="24"/>
          <w:szCs w:val="24"/>
        </w:rPr>
        <w:t>Overfølsomhed over for det aktive stof eller over for et eller flere af hjælpestofferne anført i pkt. 6.1.</w:t>
      </w:r>
    </w:p>
    <w:p w:rsidR="00281C36" w:rsidRPr="00826006" w:rsidRDefault="00281C36" w:rsidP="00281C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26006">
        <w:rPr>
          <w:sz w:val="24"/>
          <w:szCs w:val="24"/>
        </w:rPr>
        <w:t>Patienter i hæmodialysebehandling (se pkt. 5.2).</w:t>
      </w:r>
    </w:p>
    <w:p w:rsidR="00281C36" w:rsidRPr="00826006" w:rsidRDefault="00281C36" w:rsidP="00281C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26006">
        <w:rPr>
          <w:sz w:val="24"/>
          <w:szCs w:val="24"/>
        </w:rPr>
        <w:t>Patienter med svært nedsat leverfunktion (se pkt. 5.2).</w:t>
      </w:r>
    </w:p>
    <w:p w:rsidR="00281C36" w:rsidRPr="00826006" w:rsidRDefault="00281C36" w:rsidP="00281C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26006">
        <w:rPr>
          <w:sz w:val="24"/>
          <w:szCs w:val="24"/>
        </w:rPr>
        <w:t xml:space="preserve">Patienter med svært nedsat nyrefunktion eller moderat nedsat leverfunktion og samtidig behandling med en stærk CYP3A4-hæmmer som f.eks. </w:t>
      </w:r>
      <w:proofErr w:type="spellStart"/>
      <w:r w:rsidRPr="00826006">
        <w:rPr>
          <w:sz w:val="24"/>
          <w:szCs w:val="24"/>
        </w:rPr>
        <w:t>ketoconazol</w:t>
      </w:r>
      <w:proofErr w:type="spellEnd"/>
      <w:r w:rsidRPr="00826006">
        <w:rPr>
          <w:sz w:val="24"/>
          <w:szCs w:val="24"/>
        </w:rPr>
        <w:t xml:space="preserve"> (se pkt. 4.5).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4.4</w:t>
      </w:r>
      <w:r w:rsidRPr="00826006">
        <w:rPr>
          <w:b/>
          <w:sz w:val="24"/>
          <w:szCs w:val="24"/>
        </w:rPr>
        <w:tab/>
        <w:t>Særlige advarsler og forsigtighedsregler vedrørende brugen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Andre årsager til hyppig vandladning (hjertesvigt eller nyrelidelser) bør undersøges, før behandling med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påbegyndes. Ved samtidig urinvejsinfektion bør passende antibiotisk behandling igangsættes.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skal anvendes med forsigtighed til patienter med:</w:t>
      </w:r>
    </w:p>
    <w:p w:rsidR="00281C36" w:rsidRPr="00826006" w:rsidRDefault="00281C36" w:rsidP="00281C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26006">
        <w:rPr>
          <w:sz w:val="24"/>
          <w:szCs w:val="24"/>
        </w:rPr>
        <w:lastRenderedPageBreak/>
        <w:t>klinisk signifikant blæreobstruktion med risiko for urinretention.</w:t>
      </w:r>
    </w:p>
    <w:p w:rsidR="00281C36" w:rsidRPr="00826006" w:rsidRDefault="00281C36" w:rsidP="00281C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gastrointestinale</w:t>
      </w:r>
      <w:proofErr w:type="spellEnd"/>
      <w:r w:rsidRPr="00826006">
        <w:rPr>
          <w:sz w:val="24"/>
          <w:szCs w:val="24"/>
        </w:rPr>
        <w:t xml:space="preserve"> obstruktive lidelser.</w:t>
      </w:r>
    </w:p>
    <w:p w:rsidR="00281C36" w:rsidRPr="00826006" w:rsidRDefault="00281C36" w:rsidP="00281C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26006">
        <w:rPr>
          <w:sz w:val="24"/>
          <w:szCs w:val="24"/>
        </w:rPr>
        <w:t xml:space="preserve">risiko for nedsat </w:t>
      </w:r>
      <w:proofErr w:type="spellStart"/>
      <w:r w:rsidRPr="00826006">
        <w:rPr>
          <w:sz w:val="24"/>
          <w:szCs w:val="24"/>
        </w:rPr>
        <w:t>gastrointestinal</w:t>
      </w:r>
      <w:proofErr w:type="spellEnd"/>
      <w:r w:rsidRPr="00826006">
        <w:rPr>
          <w:sz w:val="24"/>
          <w:szCs w:val="24"/>
        </w:rPr>
        <w:t xml:space="preserve"> </w:t>
      </w:r>
      <w:proofErr w:type="spellStart"/>
      <w:r w:rsidRPr="00826006">
        <w:rPr>
          <w:sz w:val="24"/>
          <w:szCs w:val="24"/>
        </w:rPr>
        <w:t>motilitet</w:t>
      </w:r>
      <w:proofErr w:type="spellEnd"/>
      <w:r w:rsidRPr="00826006">
        <w:rPr>
          <w:sz w:val="24"/>
          <w:szCs w:val="24"/>
        </w:rPr>
        <w:t>.</w:t>
      </w:r>
    </w:p>
    <w:p w:rsidR="00281C36" w:rsidRPr="00826006" w:rsidRDefault="00281C36" w:rsidP="00281C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26006">
        <w:rPr>
          <w:sz w:val="24"/>
          <w:szCs w:val="24"/>
        </w:rPr>
        <w:t>svært nedsat nyrefunktion (</w:t>
      </w:r>
      <w:proofErr w:type="spellStart"/>
      <w:r w:rsidRPr="00826006">
        <w:rPr>
          <w:sz w:val="24"/>
          <w:szCs w:val="24"/>
        </w:rPr>
        <w:t>kreatininclearance</w:t>
      </w:r>
      <w:proofErr w:type="spellEnd"/>
      <w:r w:rsidRPr="00826006">
        <w:rPr>
          <w:sz w:val="24"/>
          <w:szCs w:val="24"/>
        </w:rPr>
        <w:t xml:space="preserve"> ≤ 30 ml/min, (se pkt. 4.2. og 5.2.), og dosis bør ikke overskride 5 mg for disse patienter.</w:t>
      </w:r>
    </w:p>
    <w:p w:rsidR="00281C36" w:rsidRPr="00826006" w:rsidRDefault="00281C36" w:rsidP="00281C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26006">
        <w:rPr>
          <w:sz w:val="24"/>
          <w:szCs w:val="24"/>
        </w:rPr>
        <w:t>moderat nedsat leverfunktion (Child-</w:t>
      </w:r>
      <w:proofErr w:type="spellStart"/>
      <w:r w:rsidRPr="00826006">
        <w:rPr>
          <w:sz w:val="24"/>
          <w:szCs w:val="24"/>
        </w:rPr>
        <w:t>Pugh</w:t>
      </w:r>
      <w:proofErr w:type="spellEnd"/>
      <w:r w:rsidRPr="00826006">
        <w:rPr>
          <w:sz w:val="24"/>
          <w:szCs w:val="24"/>
        </w:rPr>
        <w:t xml:space="preserve"> score 7-9) (se pkt. 4.2. og 5.2.), og dosis bør ikke overskride 5 mg for disse patienter.</w:t>
      </w:r>
    </w:p>
    <w:p w:rsidR="00281C36" w:rsidRPr="00826006" w:rsidRDefault="00281C36" w:rsidP="00281C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26006">
        <w:rPr>
          <w:sz w:val="24"/>
          <w:szCs w:val="24"/>
        </w:rPr>
        <w:t xml:space="preserve">samtidig brug af en stærk CYP3A4-hæmmer som f.eks. </w:t>
      </w:r>
      <w:proofErr w:type="spellStart"/>
      <w:r w:rsidRPr="00826006">
        <w:rPr>
          <w:sz w:val="24"/>
          <w:szCs w:val="24"/>
        </w:rPr>
        <w:t>ketoconazol</w:t>
      </w:r>
      <w:proofErr w:type="spellEnd"/>
      <w:r w:rsidRPr="00826006">
        <w:rPr>
          <w:sz w:val="24"/>
          <w:szCs w:val="24"/>
        </w:rPr>
        <w:t xml:space="preserve"> (se pkt. 4.2 og 4.5).</w:t>
      </w:r>
    </w:p>
    <w:p w:rsidR="00281C36" w:rsidRPr="00826006" w:rsidRDefault="00281C36" w:rsidP="00281C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hiatus</w:t>
      </w:r>
      <w:proofErr w:type="spellEnd"/>
      <w:r w:rsidRPr="00826006">
        <w:rPr>
          <w:sz w:val="24"/>
          <w:szCs w:val="24"/>
        </w:rPr>
        <w:t xml:space="preserve"> </w:t>
      </w:r>
      <w:proofErr w:type="spellStart"/>
      <w:r w:rsidRPr="00826006">
        <w:rPr>
          <w:sz w:val="24"/>
          <w:szCs w:val="24"/>
        </w:rPr>
        <w:t>hernie</w:t>
      </w:r>
      <w:proofErr w:type="spellEnd"/>
      <w:r w:rsidRPr="00826006">
        <w:rPr>
          <w:sz w:val="24"/>
          <w:szCs w:val="24"/>
        </w:rPr>
        <w:t>/</w:t>
      </w:r>
      <w:proofErr w:type="spellStart"/>
      <w:r w:rsidRPr="00826006">
        <w:rPr>
          <w:sz w:val="24"/>
          <w:szCs w:val="24"/>
        </w:rPr>
        <w:t>gastro-øsofagal</w:t>
      </w:r>
      <w:proofErr w:type="spellEnd"/>
      <w:r w:rsidRPr="00826006">
        <w:rPr>
          <w:sz w:val="24"/>
          <w:szCs w:val="24"/>
        </w:rPr>
        <w:t xml:space="preserve"> </w:t>
      </w:r>
      <w:proofErr w:type="spellStart"/>
      <w:r w:rsidRPr="00826006">
        <w:rPr>
          <w:sz w:val="24"/>
          <w:szCs w:val="24"/>
        </w:rPr>
        <w:t>refluks</w:t>
      </w:r>
      <w:proofErr w:type="spellEnd"/>
      <w:r w:rsidRPr="00826006">
        <w:rPr>
          <w:sz w:val="24"/>
          <w:szCs w:val="24"/>
        </w:rPr>
        <w:t xml:space="preserve"> og/eller til patienter, som samtidig tager medicin (såsom </w:t>
      </w:r>
      <w:proofErr w:type="spellStart"/>
      <w:r w:rsidRPr="00826006">
        <w:rPr>
          <w:sz w:val="24"/>
          <w:szCs w:val="24"/>
        </w:rPr>
        <w:t>bisfosfonater</w:t>
      </w:r>
      <w:proofErr w:type="spellEnd"/>
      <w:r w:rsidRPr="00826006">
        <w:rPr>
          <w:sz w:val="24"/>
          <w:szCs w:val="24"/>
        </w:rPr>
        <w:t xml:space="preserve">), der kan forårsage eller forværre </w:t>
      </w:r>
      <w:proofErr w:type="spellStart"/>
      <w:r w:rsidRPr="00826006">
        <w:rPr>
          <w:sz w:val="24"/>
          <w:szCs w:val="24"/>
        </w:rPr>
        <w:t>øsofagitis</w:t>
      </w:r>
      <w:proofErr w:type="spellEnd"/>
      <w:r w:rsidRPr="00826006">
        <w:rPr>
          <w:sz w:val="24"/>
          <w:szCs w:val="24"/>
        </w:rPr>
        <w:t xml:space="preserve">. </w:t>
      </w:r>
    </w:p>
    <w:p w:rsidR="00281C36" w:rsidRPr="00826006" w:rsidRDefault="00281C36" w:rsidP="00281C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26006">
        <w:rPr>
          <w:sz w:val="24"/>
          <w:szCs w:val="24"/>
        </w:rPr>
        <w:t xml:space="preserve">autonom </w:t>
      </w:r>
      <w:proofErr w:type="spellStart"/>
      <w:r w:rsidRPr="00826006">
        <w:rPr>
          <w:sz w:val="24"/>
          <w:szCs w:val="24"/>
        </w:rPr>
        <w:t>neuropati</w:t>
      </w:r>
      <w:proofErr w:type="spellEnd"/>
      <w:r w:rsidRPr="00826006">
        <w:rPr>
          <w:sz w:val="24"/>
          <w:szCs w:val="24"/>
        </w:rPr>
        <w:t>.</w:t>
      </w:r>
    </w:p>
    <w:p w:rsidR="00281C36" w:rsidRPr="00826006" w:rsidRDefault="00281C36" w:rsidP="00281C36">
      <w:pPr>
        <w:ind w:left="1276" w:hanging="425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QT-forlængelse og </w:t>
      </w:r>
      <w:proofErr w:type="spellStart"/>
      <w:r w:rsidRPr="00826006">
        <w:rPr>
          <w:sz w:val="24"/>
          <w:szCs w:val="24"/>
        </w:rPr>
        <w:t>Torsade</w:t>
      </w:r>
      <w:proofErr w:type="spellEnd"/>
      <w:r w:rsidRPr="00826006">
        <w:rPr>
          <w:sz w:val="24"/>
          <w:szCs w:val="24"/>
        </w:rPr>
        <w:t xml:space="preserve"> de Pointes er blevet observeret i patienter med risikofaktorer såsom allerede eksisterende langt QT-syndrom eller </w:t>
      </w:r>
      <w:proofErr w:type="spellStart"/>
      <w:r w:rsidRPr="00826006">
        <w:rPr>
          <w:sz w:val="24"/>
          <w:szCs w:val="24"/>
        </w:rPr>
        <w:t>hypokaliæmi</w:t>
      </w:r>
      <w:proofErr w:type="spellEnd"/>
      <w:r w:rsidRPr="00826006">
        <w:rPr>
          <w:sz w:val="24"/>
          <w:szCs w:val="24"/>
        </w:rPr>
        <w:t>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Sikkerhed og effekt er endnu ikke blevet fastslået hos patienter med en </w:t>
      </w:r>
      <w:proofErr w:type="spellStart"/>
      <w:r w:rsidRPr="00826006">
        <w:rPr>
          <w:sz w:val="24"/>
          <w:szCs w:val="24"/>
        </w:rPr>
        <w:t>neurogenisk</w:t>
      </w:r>
      <w:proofErr w:type="spellEnd"/>
      <w:r w:rsidRPr="00826006">
        <w:rPr>
          <w:sz w:val="24"/>
          <w:szCs w:val="24"/>
        </w:rPr>
        <w:t xml:space="preserve"> årsag til </w:t>
      </w:r>
      <w:proofErr w:type="spellStart"/>
      <w:r w:rsidRPr="00826006">
        <w:rPr>
          <w:sz w:val="24"/>
          <w:szCs w:val="24"/>
        </w:rPr>
        <w:t>detrusor</w:t>
      </w:r>
      <w:proofErr w:type="spellEnd"/>
      <w:r w:rsidRPr="00826006">
        <w:rPr>
          <w:sz w:val="24"/>
          <w:szCs w:val="24"/>
        </w:rPr>
        <w:t xml:space="preserve"> overaktivitet.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Angioødem</w:t>
      </w:r>
      <w:proofErr w:type="spellEnd"/>
      <w:r w:rsidRPr="00826006">
        <w:rPr>
          <w:sz w:val="24"/>
          <w:szCs w:val="24"/>
        </w:rPr>
        <w:t xml:space="preserve"> med luftvejsobstruktion er rapporteret hos nogle patienter i behandling med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. Såfremt </w:t>
      </w:r>
      <w:proofErr w:type="spellStart"/>
      <w:r w:rsidRPr="00826006">
        <w:rPr>
          <w:sz w:val="24"/>
          <w:szCs w:val="24"/>
        </w:rPr>
        <w:t>angioødem</w:t>
      </w:r>
      <w:proofErr w:type="spellEnd"/>
      <w:r w:rsidRPr="00826006">
        <w:rPr>
          <w:sz w:val="24"/>
          <w:szCs w:val="24"/>
        </w:rPr>
        <w:t xml:space="preserve"> opstår, bør behandling med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seponeres, og anden relevant behandling og/eller foranstaltninger igangsættes.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Anafylaktisk</w:t>
      </w:r>
      <w:proofErr w:type="spellEnd"/>
      <w:r w:rsidRPr="00826006">
        <w:rPr>
          <w:sz w:val="24"/>
          <w:szCs w:val="24"/>
        </w:rPr>
        <w:t xml:space="preserve"> reaktion er blevet rapporteret hos nogle patienter i behandling med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. Hos patienter, der udvikler </w:t>
      </w:r>
      <w:proofErr w:type="spellStart"/>
      <w:r w:rsidRPr="00826006">
        <w:rPr>
          <w:sz w:val="24"/>
          <w:szCs w:val="24"/>
        </w:rPr>
        <w:t>anafylaktiske</w:t>
      </w:r>
      <w:proofErr w:type="spellEnd"/>
      <w:r w:rsidRPr="00826006">
        <w:rPr>
          <w:sz w:val="24"/>
          <w:szCs w:val="24"/>
        </w:rPr>
        <w:t xml:space="preserve"> reaktioner, bør behandling med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seponeres og anden relevant behandling og/eller foranstaltninger igangsættes.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Den maksimale virkning af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kan tidligst fastslås efter 4 ugers behandling.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Patienter med sjældne arvelige tilstande som </w:t>
      </w:r>
      <w:proofErr w:type="spellStart"/>
      <w:r w:rsidRPr="00826006">
        <w:rPr>
          <w:sz w:val="24"/>
          <w:szCs w:val="24"/>
        </w:rPr>
        <w:t>galactose</w:t>
      </w:r>
      <w:proofErr w:type="spellEnd"/>
      <w:r w:rsidRPr="00826006">
        <w:rPr>
          <w:sz w:val="24"/>
          <w:szCs w:val="24"/>
        </w:rPr>
        <w:t xml:space="preserve"> </w:t>
      </w:r>
      <w:proofErr w:type="spellStart"/>
      <w:r w:rsidRPr="00826006">
        <w:rPr>
          <w:sz w:val="24"/>
          <w:szCs w:val="24"/>
        </w:rPr>
        <w:t>intolerans</w:t>
      </w:r>
      <w:proofErr w:type="spellEnd"/>
      <w:r w:rsidRPr="00826006">
        <w:rPr>
          <w:sz w:val="24"/>
          <w:szCs w:val="24"/>
        </w:rPr>
        <w:t xml:space="preserve">, Lapp </w:t>
      </w:r>
      <w:proofErr w:type="spellStart"/>
      <w:r w:rsidRPr="00826006">
        <w:rPr>
          <w:sz w:val="24"/>
          <w:szCs w:val="24"/>
        </w:rPr>
        <w:t>lactase</w:t>
      </w:r>
      <w:proofErr w:type="spellEnd"/>
      <w:r w:rsidRPr="00826006">
        <w:rPr>
          <w:sz w:val="24"/>
          <w:szCs w:val="24"/>
        </w:rPr>
        <w:t xml:space="preserve"> mangel eller </w:t>
      </w:r>
      <w:proofErr w:type="spellStart"/>
      <w:r w:rsidRPr="00826006">
        <w:rPr>
          <w:sz w:val="24"/>
          <w:szCs w:val="24"/>
        </w:rPr>
        <w:t>glucose-galactose</w:t>
      </w:r>
      <w:proofErr w:type="spellEnd"/>
      <w:r w:rsidRPr="00826006">
        <w:rPr>
          <w:sz w:val="24"/>
          <w:szCs w:val="24"/>
        </w:rPr>
        <w:t xml:space="preserve"> </w:t>
      </w:r>
      <w:proofErr w:type="spellStart"/>
      <w:r w:rsidRPr="00826006">
        <w:rPr>
          <w:sz w:val="24"/>
          <w:szCs w:val="24"/>
        </w:rPr>
        <w:t>malabsorption</w:t>
      </w:r>
      <w:proofErr w:type="spellEnd"/>
      <w:r w:rsidRPr="00826006">
        <w:rPr>
          <w:sz w:val="24"/>
          <w:szCs w:val="24"/>
        </w:rPr>
        <w:t xml:space="preserve"> bør ikke tage dette lægemiddel.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4.5</w:t>
      </w:r>
      <w:r w:rsidRPr="00826006">
        <w:rPr>
          <w:b/>
          <w:sz w:val="24"/>
          <w:szCs w:val="24"/>
        </w:rPr>
        <w:tab/>
        <w:t>Interaktion med andre lægemidler og andre former for interaktion</w:t>
      </w:r>
    </w:p>
    <w:p w:rsidR="00281C36" w:rsidRDefault="00281C36" w:rsidP="00281C36">
      <w:pPr>
        <w:ind w:left="851" w:hanging="851"/>
        <w:rPr>
          <w:sz w:val="24"/>
          <w:szCs w:val="24"/>
          <w:u w:val="single"/>
        </w:rPr>
      </w:pPr>
    </w:p>
    <w:p w:rsidR="00281C36" w:rsidRPr="00826006" w:rsidRDefault="00281C36" w:rsidP="00281C36">
      <w:pPr>
        <w:ind w:left="851"/>
        <w:rPr>
          <w:sz w:val="24"/>
          <w:szCs w:val="24"/>
          <w:u w:val="single"/>
        </w:rPr>
      </w:pPr>
      <w:r w:rsidRPr="00826006">
        <w:rPr>
          <w:sz w:val="24"/>
          <w:szCs w:val="24"/>
          <w:u w:val="single"/>
        </w:rPr>
        <w:t>Farmakologiske interaktioner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Samtidig behandling med andre lægemidler, der har </w:t>
      </w:r>
      <w:proofErr w:type="spellStart"/>
      <w:r w:rsidRPr="00826006">
        <w:rPr>
          <w:sz w:val="24"/>
          <w:szCs w:val="24"/>
        </w:rPr>
        <w:t>antikolinerge</w:t>
      </w:r>
      <w:proofErr w:type="spellEnd"/>
      <w:r w:rsidRPr="00826006">
        <w:rPr>
          <w:sz w:val="24"/>
          <w:szCs w:val="24"/>
        </w:rPr>
        <w:t xml:space="preserve"> egenskaber, kan resultere i mere udtalte terapeutiske virkninger og bivirkninger. Der skal gå ca. en uge efter ophør af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behandling, inden en anden </w:t>
      </w:r>
      <w:proofErr w:type="spellStart"/>
      <w:r w:rsidRPr="00826006">
        <w:rPr>
          <w:sz w:val="24"/>
          <w:szCs w:val="24"/>
        </w:rPr>
        <w:t>antikolinerg</w:t>
      </w:r>
      <w:proofErr w:type="spellEnd"/>
      <w:r w:rsidRPr="00826006">
        <w:rPr>
          <w:sz w:val="24"/>
          <w:szCs w:val="24"/>
        </w:rPr>
        <w:t xml:space="preserve"> behandling påbegyndes. Den terapeutiske virkning af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kan nedsættes ved samtidig administration af </w:t>
      </w:r>
      <w:proofErr w:type="spellStart"/>
      <w:r w:rsidRPr="00826006">
        <w:rPr>
          <w:sz w:val="24"/>
          <w:szCs w:val="24"/>
        </w:rPr>
        <w:t>kolinerge</w:t>
      </w:r>
      <w:proofErr w:type="spellEnd"/>
      <w:r w:rsidRPr="00826006">
        <w:rPr>
          <w:sz w:val="24"/>
          <w:szCs w:val="24"/>
        </w:rPr>
        <w:t xml:space="preserve"> receptoragonister.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kan reducere virkningen af midler, der stimulerer den </w:t>
      </w:r>
      <w:proofErr w:type="spellStart"/>
      <w:r w:rsidRPr="00826006">
        <w:rPr>
          <w:sz w:val="24"/>
          <w:szCs w:val="24"/>
        </w:rPr>
        <w:t>gastrointestinale</w:t>
      </w:r>
      <w:proofErr w:type="spellEnd"/>
      <w:r w:rsidRPr="00826006">
        <w:rPr>
          <w:sz w:val="24"/>
          <w:szCs w:val="24"/>
        </w:rPr>
        <w:t xml:space="preserve"> </w:t>
      </w:r>
      <w:proofErr w:type="spellStart"/>
      <w:r w:rsidRPr="00826006">
        <w:rPr>
          <w:sz w:val="24"/>
          <w:szCs w:val="24"/>
        </w:rPr>
        <w:t>motilitet</w:t>
      </w:r>
      <w:proofErr w:type="spellEnd"/>
      <w:r w:rsidRPr="00826006">
        <w:rPr>
          <w:sz w:val="24"/>
          <w:szCs w:val="24"/>
        </w:rPr>
        <w:t xml:space="preserve">, f.eks. </w:t>
      </w:r>
      <w:proofErr w:type="spellStart"/>
      <w:r w:rsidRPr="00826006">
        <w:rPr>
          <w:sz w:val="24"/>
          <w:szCs w:val="24"/>
        </w:rPr>
        <w:t>metoclopramid</w:t>
      </w:r>
      <w:proofErr w:type="spellEnd"/>
      <w:r w:rsidRPr="00826006">
        <w:rPr>
          <w:sz w:val="24"/>
          <w:szCs w:val="24"/>
        </w:rPr>
        <w:t xml:space="preserve"> og </w:t>
      </w:r>
      <w:proofErr w:type="spellStart"/>
      <w:r w:rsidRPr="00826006">
        <w:rPr>
          <w:sz w:val="24"/>
          <w:szCs w:val="24"/>
        </w:rPr>
        <w:t>cisaprid</w:t>
      </w:r>
      <w:proofErr w:type="spellEnd"/>
      <w:r w:rsidRPr="00826006">
        <w:rPr>
          <w:sz w:val="24"/>
          <w:szCs w:val="24"/>
        </w:rPr>
        <w:t>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  <w:u w:val="single"/>
        </w:rPr>
      </w:pPr>
      <w:proofErr w:type="spellStart"/>
      <w:r w:rsidRPr="00826006">
        <w:rPr>
          <w:sz w:val="24"/>
          <w:szCs w:val="24"/>
          <w:u w:val="single"/>
        </w:rPr>
        <w:t>Farmakokinetiske</w:t>
      </w:r>
      <w:proofErr w:type="spellEnd"/>
      <w:r w:rsidRPr="00826006">
        <w:rPr>
          <w:sz w:val="24"/>
          <w:szCs w:val="24"/>
          <w:u w:val="single"/>
        </w:rPr>
        <w:t xml:space="preserve"> interaktioner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i/>
          <w:sz w:val="24"/>
          <w:szCs w:val="24"/>
        </w:rPr>
        <w:t xml:space="preserve">In </w:t>
      </w:r>
      <w:proofErr w:type="spellStart"/>
      <w:r w:rsidRPr="00826006">
        <w:rPr>
          <w:i/>
          <w:sz w:val="24"/>
          <w:szCs w:val="24"/>
        </w:rPr>
        <w:t>vitro</w:t>
      </w:r>
      <w:proofErr w:type="spellEnd"/>
      <w:r w:rsidRPr="00826006">
        <w:rPr>
          <w:sz w:val="24"/>
          <w:szCs w:val="24"/>
        </w:rPr>
        <w:t xml:space="preserve"> studier har vist, at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ikke hæmmer CYP1A1/2, 2C9, 2C19, 2D6 eller 3A4 fra humane </w:t>
      </w:r>
      <w:proofErr w:type="spellStart"/>
      <w:r w:rsidRPr="00826006">
        <w:rPr>
          <w:sz w:val="24"/>
          <w:szCs w:val="24"/>
        </w:rPr>
        <w:t>levermikrosomer</w:t>
      </w:r>
      <w:proofErr w:type="spellEnd"/>
      <w:r w:rsidRPr="00826006">
        <w:rPr>
          <w:sz w:val="24"/>
          <w:szCs w:val="24"/>
        </w:rPr>
        <w:t xml:space="preserve"> ved terapeutiske koncentrationer. Det er derfor usandsynligt, at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ændrer </w:t>
      </w:r>
      <w:proofErr w:type="spellStart"/>
      <w:r w:rsidRPr="00826006">
        <w:rPr>
          <w:i/>
          <w:sz w:val="24"/>
          <w:szCs w:val="24"/>
        </w:rPr>
        <w:t>clearance</w:t>
      </w:r>
      <w:proofErr w:type="spellEnd"/>
      <w:r w:rsidRPr="00826006">
        <w:rPr>
          <w:sz w:val="24"/>
          <w:szCs w:val="24"/>
        </w:rPr>
        <w:t xml:space="preserve"> for lægemidler, der </w:t>
      </w:r>
      <w:proofErr w:type="spellStart"/>
      <w:r w:rsidRPr="00826006">
        <w:rPr>
          <w:sz w:val="24"/>
          <w:szCs w:val="24"/>
        </w:rPr>
        <w:t>metaboliseres</w:t>
      </w:r>
      <w:proofErr w:type="spellEnd"/>
      <w:r w:rsidRPr="00826006">
        <w:rPr>
          <w:sz w:val="24"/>
          <w:szCs w:val="24"/>
        </w:rPr>
        <w:t xml:space="preserve"> af disse CYP-enzymer.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  <w:u w:val="single"/>
        </w:rPr>
      </w:pPr>
      <w:r w:rsidRPr="00826006">
        <w:rPr>
          <w:sz w:val="24"/>
          <w:szCs w:val="24"/>
          <w:u w:val="single"/>
        </w:rPr>
        <w:t xml:space="preserve">Andre lægemidlers virkning på </w:t>
      </w:r>
      <w:proofErr w:type="spellStart"/>
      <w:r w:rsidRPr="00826006">
        <w:rPr>
          <w:sz w:val="24"/>
          <w:szCs w:val="24"/>
          <w:u w:val="single"/>
        </w:rPr>
        <w:t>solifenacins</w:t>
      </w:r>
      <w:proofErr w:type="spellEnd"/>
      <w:r w:rsidRPr="00826006">
        <w:rPr>
          <w:sz w:val="24"/>
          <w:szCs w:val="24"/>
          <w:u w:val="single"/>
        </w:rPr>
        <w:t xml:space="preserve"> farmakokinetik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lastRenderedPageBreak/>
        <w:t>Solifenacin</w:t>
      </w:r>
      <w:proofErr w:type="spellEnd"/>
      <w:r w:rsidRPr="00826006">
        <w:rPr>
          <w:sz w:val="24"/>
          <w:szCs w:val="24"/>
        </w:rPr>
        <w:t xml:space="preserve"> </w:t>
      </w:r>
      <w:proofErr w:type="spellStart"/>
      <w:r w:rsidRPr="00826006">
        <w:rPr>
          <w:sz w:val="24"/>
          <w:szCs w:val="24"/>
        </w:rPr>
        <w:t>metaboliseres</w:t>
      </w:r>
      <w:proofErr w:type="spellEnd"/>
      <w:r w:rsidRPr="00826006">
        <w:rPr>
          <w:sz w:val="24"/>
          <w:szCs w:val="24"/>
        </w:rPr>
        <w:t xml:space="preserve"> af CYP3A4. Samtidig administration af </w:t>
      </w:r>
      <w:proofErr w:type="spellStart"/>
      <w:r w:rsidRPr="00826006">
        <w:rPr>
          <w:sz w:val="24"/>
          <w:szCs w:val="24"/>
        </w:rPr>
        <w:t>ketoconazol</w:t>
      </w:r>
      <w:proofErr w:type="spellEnd"/>
      <w:r w:rsidRPr="00826006">
        <w:rPr>
          <w:sz w:val="24"/>
          <w:szCs w:val="24"/>
        </w:rPr>
        <w:t xml:space="preserve"> (200 mg/dag), en stærk CYP3A4-hæmmer, resulterede i en fordobling af </w:t>
      </w:r>
      <w:proofErr w:type="spellStart"/>
      <w:r w:rsidRPr="00826006">
        <w:rPr>
          <w:sz w:val="24"/>
          <w:szCs w:val="24"/>
        </w:rPr>
        <w:t>solifenacins</w:t>
      </w:r>
      <w:proofErr w:type="spellEnd"/>
      <w:r w:rsidRPr="00826006">
        <w:rPr>
          <w:sz w:val="24"/>
          <w:szCs w:val="24"/>
        </w:rPr>
        <w:t xml:space="preserve"> AUC, mens </w:t>
      </w:r>
      <w:proofErr w:type="spellStart"/>
      <w:r w:rsidRPr="00826006">
        <w:rPr>
          <w:sz w:val="24"/>
          <w:szCs w:val="24"/>
        </w:rPr>
        <w:t>ketoconazol</w:t>
      </w:r>
      <w:proofErr w:type="spellEnd"/>
      <w:r w:rsidRPr="00826006">
        <w:rPr>
          <w:sz w:val="24"/>
          <w:szCs w:val="24"/>
        </w:rPr>
        <w:t xml:space="preserve"> 400 mg/dag resulterede i en tredobbelt stigning af AUC for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.  Derfor bør maksimal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dosis begrænses til 5 mg ved samtidig behandling med </w:t>
      </w:r>
      <w:proofErr w:type="spellStart"/>
      <w:r w:rsidRPr="00826006">
        <w:rPr>
          <w:sz w:val="24"/>
          <w:szCs w:val="24"/>
        </w:rPr>
        <w:t>ketoconazol</w:t>
      </w:r>
      <w:proofErr w:type="spellEnd"/>
      <w:r w:rsidRPr="00826006">
        <w:rPr>
          <w:sz w:val="24"/>
          <w:szCs w:val="24"/>
        </w:rPr>
        <w:t xml:space="preserve"> eller terapeutiske doser af andre stærke CYP3A4-hæmmere (f.eks. </w:t>
      </w:r>
      <w:proofErr w:type="spellStart"/>
      <w:r w:rsidRPr="00826006">
        <w:rPr>
          <w:sz w:val="24"/>
          <w:szCs w:val="24"/>
        </w:rPr>
        <w:t>ritonavir</w:t>
      </w:r>
      <w:proofErr w:type="spellEnd"/>
      <w:r w:rsidRPr="00826006">
        <w:rPr>
          <w:sz w:val="24"/>
          <w:szCs w:val="24"/>
        </w:rPr>
        <w:t xml:space="preserve">, </w:t>
      </w:r>
      <w:proofErr w:type="spellStart"/>
      <w:r w:rsidRPr="00826006">
        <w:rPr>
          <w:sz w:val="24"/>
          <w:szCs w:val="24"/>
        </w:rPr>
        <w:t>nelfinavir</w:t>
      </w:r>
      <w:proofErr w:type="spellEnd"/>
      <w:r w:rsidRPr="00826006">
        <w:rPr>
          <w:sz w:val="24"/>
          <w:szCs w:val="24"/>
        </w:rPr>
        <w:t xml:space="preserve">, </w:t>
      </w:r>
      <w:proofErr w:type="spellStart"/>
      <w:r w:rsidRPr="00826006">
        <w:rPr>
          <w:sz w:val="24"/>
          <w:szCs w:val="24"/>
        </w:rPr>
        <w:t>itraconazol</w:t>
      </w:r>
      <w:proofErr w:type="spellEnd"/>
      <w:r w:rsidRPr="00826006">
        <w:rPr>
          <w:sz w:val="24"/>
          <w:szCs w:val="24"/>
        </w:rPr>
        <w:t xml:space="preserve">) (se pkt. 4.2). 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Samtidig behandling med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og en stærk CYP3A4-hæmmer er kontraindiceret hos patienter med svært nedsat nyrefunktion eller moderat nedsat leverfunktion.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Virkningen af enzyminduktion eller effekten af højaffinitet CYP3A4-substrater på </w:t>
      </w:r>
      <w:proofErr w:type="spellStart"/>
      <w:r w:rsidRPr="00826006">
        <w:rPr>
          <w:sz w:val="24"/>
          <w:szCs w:val="24"/>
        </w:rPr>
        <w:t>solifenacins</w:t>
      </w:r>
      <w:proofErr w:type="spellEnd"/>
      <w:r w:rsidRPr="00826006">
        <w:rPr>
          <w:sz w:val="24"/>
          <w:szCs w:val="24"/>
        </w:rPr>
        <w:t xml:space="preserve"> farmakokinetik og dets </w:t>
      </w:r>
      <w:proofErr w:type="spellStart"/>
      <w:r w:rsidRPr="00826006">
        <w:rPr>
          <w:sz w:val="24"/>
          <w:szCs w:val="24"/>
        </w:rPr>
        <w:t>metaboliter</w:t>
      </w:r>
      <w:proofErr w:type="spellEnd"/>
      <w:r w:rsidRPr="00826006">
        <w:rPr>
          <w:sz w:val="24"/>
          <w:szCs w:val="24"/>
        </w:rPr>
        <w:t xml:space="preserve"> er ikke undersøgt. Da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</w:t>
      </w:r>
      <w:proofErr w:type="spellStart"/>
      <w:r w:rsidRPr="00826006">
        <w:rPr>
          <w:sz w:val="24"/>
          <w:szCs w:val="24"/>
        </w:rPr>
        <w:t>metaboliseres</w:t>
      </w:r>
      <w:proofErr w:type="spellEnd"/>
      <w:r w:rsidRPr="00826006">
        <w:rPr>
          <w:sz w:val="24"/>
          <w:szCs w:val="24"/>
        </w:rPr>
        <w:t xml:space="preserve"> af CYP3A4, er </w:t>
      </w:r>
      <w:proofErr w:type="spellStart"/>
      <w:r w:rsidRPr="00826006">
        <w:rPr>
          <w:sz w:val="24"/>
          <w:szCs w:val="24"/>
        </w:rPr>
        <w:t>farmakokinetiske</w:t>
      </w:r>
      <w:proofErr w:type="spellEnd"/>
      <w:r w:rsidRPr="00826006">
        <w:rPr>
          <w:sz w:val="24"/>
          <w:szCs w:val="24"/>
        </w:rPr>
        <w:t xml:space="preserve"> interaktioner mulige med andre CYP3A4-substrater med højere affinitet (f.eks. </w:t>
      </w:r>
      <w:proofErr w:type="spellStart"/>
      <w:r w:rsidRPr="00826006">
        <w:rPr>
          <w:sz w:val="24"/>
          <w:szCs w:val="24"/>
        </w:rPr>
        <w:t>verapamil</w:t>
      </w:r>
      <w:proofErr w:type="spellEnd"/>
      <w:r w:rsidRPr="00826006">
        <w:rPr>
          <w:sz w:val="24"/>
          <w:szCs w:val="24"/>
        </w:rPr>
        <w:t xml:space="preserve">, </w:t>
      </w:r>
      <w:proofErr w:type="spellStart"/>
      <w:r w:rsidRPr="00826006">
        <w:rPr>
          <w:sz w:val="24"/>
          <w:szCs w:val="24"/>
        </w:rPr>
        <w:t>diltiazem</w:t>
      </w:r>
      <w:proofErr w:type="spellEnd"/>
      <w:r w:rsidRPr="00826006">
        <w:rPr>
          <w:sz w:val="24"/>
          <w:szCs w:val="24"/>
        </w:rPr>
        <w:t xml:space="preserve">) og CYP3A4-inducere (f.eks. </w:t>
      </w:r>
      <w:proofErr w:type="spellStart"/>
      <w:r w:rsidRPr="00826006">
        <w:rPr>
          <w:sz w:val="24"/>
          <w:szCs w:val="24"/>
        </w:rPr>
        <w:t>rifampicin</w:t>
      </w:r>
      <w:proofErr w:type="spellEnd"/>
      <w:r w:rsidRPr="00826006">
        <w:rPr>
          <w:sz w:val="24"/>
          <w:szCs w:val="24"/>
        </w:rPr>
        <w:t xml:space="preserve">, </w:t>
      </w:r>
      <w:proofErr w:type="spellStart"/>
      <w:r w:rsidRPr="00826006">
        <w:rPr>
          <w:sz w:val="24"/>
          <w:szCs w:val="24"/>
        </w:rPr>
        <w:t>phenytoin</w:t>
      </w:r>
      <w:proofErr w:type="spellEnd"/>
      <w:r w:rsidRPr="00826006">
        <w:rPr>
          <w:sz w:val="24"/>
          <w:szCs w:val="24"/>
        </w:rPr>
        <w:t xml:space="preserve">, </w:t>
      </w:r>
      <w:proofErr w:type="spellStart"/>
      <w:r w:rsidRPr="00826006">
        <w:rPr>
          <w:sz w:val="24"/>
          <w:szCs w:val="24"/>
        </w:rPr>
        <w:t>carbamazepin</w:t>
      </w:r>
      <w:proofErr w:type="spellEnd"/>
      <w:r w:rsidRPr="00826006">
        <w:rPr>
          <w:sz w:val="24"/>
          <w:szCs w:val="24"/>
        </w:rPr>
        <w:t>).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  <w:u w:val="single"/>
        </w:rPr>
      </w:pPr>
      <w:proofErr w:type="spellStart"/>
      <w:r w:rsidRPr="00826006">
        <w:rPr>
          <w:sz w:val="24"/>
          <w:szCs w:val="24"/>
          <w:u w:val="single"/>
        </w:rPr>
        <w:t>Solifenacins</w:t>
      </w:r>
      <w:proofErr w:type="spellEnd"/>
      <w:r w:rsidRPr="00826006">
        <w:rPr>
          <w:sz w:val="24"/>
          <w:szCs w:val="24"/>
          <w:u w:val="single"/>
        </w:rPr>
        <w:t xml:space="preserve"> virkning på andre lægemidlers farmakokinetik</w:t>
      </w:r>
    </w:p>
    <w:p w:rsidR="00281C36" w:rsidRPr="00826006" w:rsidRDefault="00281C36" w:rsidP="00281C36">
      <w:pPr>
        <w:ind w:left="851" w:hanging="851"/>
        <w:rPr>
          <w:sz w:val="24"/>
          <w:szCs w:val="24"/>
          <w:u w:val="single"/>
        </w:rPr>
      </w:pPr>
    </w:p>
    <w:p w:rsidR="00281C36" w:rsidRPr="00826006" w:rsidRDefault="00281C36" w:rsidP="00281C36">
      <w:pPr>
        <w:ind w:left="851"/>
        <w:rPr>
          <w:i/>
          <w:sz w:val="24"/>
          <w:szCs w:val="24"/>
        </w:rPr>
      </w:pPr>
      <w:r w:rsidRPr="00826006">
        <w:rPr>
          <w:i/>
          <w:sz w:val="24"/>
          <w:szCs w:val="24"/>
        </w:rPr>
        <w:t xml:space="preserve">Orale </w:t>
      </w:r>
      <w:proofErr w:type="spellStart"/>
      <w:r w:rsidRPr="00826006">
        <w:rPr>
          <w:i/>
          <w:sz w:val="24"/>
          <w:szCs w:val="24"/>
        </w:rPr>
        <w:t>kontraceptiva</w:t>
      </w:r>
      <w:proofErr w:type="spellEnd"/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Administration af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har ikke vist </w:t>
      </w:r>
      <w:proofErr w:type="spellStart"/>
      <w:r w:rsidRPr="00826006">
        <w:rPr>
          <w:sz w:val="24"/>
          <w:szCs w:val="24"/>
        </w:rPr>
        <w:t>farmakokinetisk</w:t>
      </w:r>
      <w:proofErr w:type="spellEnd"/>
      <w:r w:rsidRPr="00826006">
        <w:rPr>
          <w:sz w:val="24"/>
          <w:szCs w:val="24"/>
        </w:rPr>
        <w:t xml:space="preserve"> interaktion af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med orale </w:t>
      </w:r>
      <w:proofErr w:type="spellStart"/>
      <w:r w:rsidRPr="00826006">
        <w:rPr>
          <w:sz w:val="24"/>
          <w:szCs w:val="24"/>
        </w:rPr>
        <w:t>kombinationskontraceptiva</w:t>
      </w:r>
      <w:proofErr w:type="spellEnd"/>
      <w:r w:rsidRPr="00826006">
        <w:rPr>
          <w:sz w:val="24"/>
          <w:szCs w:val="24"/>
        </w:rPr>
        <w:t xml:space="preserve"> (</w:t>
      </w:r>
      <w:proofErr w:type="spellStart"/>
      <w:r w:rsidRPr="00826006">
        <w:rPr>
          <w:sz w:val="24"/>
          <w:szCs w:val="24"/>
        </w:rPr>
        <w:t>ethinylestradiol</w:t>
      </w:r>
      <w:proofErr w:type="spellEnd"/>
      <w:r w:rsidRPr="00826006">
        <w:rPr>
          <w:sz w:val="24"/>
          <w:szCs w:val="24"/>
        </w:rPr>
        <w:t>/</w:t>
      </w:r>
      <w:proofErr w:type="spellStart"/>
      <w:r w:rsidRPr="00826006">
        <w:rPr>
          <w:sz w:val="24"/>
          <w:szCs w:val="24"/>
        </w:rPr>
        <w:t>levonorgestrel</w:t>
      </w:r>
      <w:proofErr w:type="spellEnd"/>
      <w:r w:rsidRPr="00826006">
        <w:rPr>
          <w:sz w:val="24"/>
          <w:szCs w:val="24"/>
        </w:rPr>
        <w:t>).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i/>
          <w:sz w:val="24"/>
          <w:szCs w:val="24"/>
        </w:rPr>
      </w:pPr>
      <w:proofErr w:type="spellStart"/>
      <w:r w:rsidRPr="00826006">
        <w:rPr>
          <w:i/>
          <w:sz w:val="24"/>
          <w:szCs w:val="24"/>
        </w:rPr>
        <w:t>Warfarin</w:t>
      </w:r>
      <w:proofErr w:type="spellEnd"/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Administration af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ændrede ikke på R-</w:t>
      </w:r>
      <w:proofErr w:type="spellStart"/>
      <w:r w:rsidRPr="00826006">
        <w:rPr>
          <w:sz w:val="24"/>
          <w:szCs w:val="24"/>
        </w:rPr>
        <w:t>warfarins</w:t>
      </w:r>
      <w:proofErr w:type="spellEnd"/>
      <w:r w:rsidRPr="00826006">
        <w:rPr>
          <w:sz w:val="24"/>
          <w:szCs w:val="24"/>
        </w:rPr>
        <w:t xml:space="preserve"> eller S-</w:t>
      </w:r>
      <w:proofErr w:type="spellStart"/>
      <w:r w:rsidRPr="00826006">
        <w:rPr>
          <w:sz w:val="24"/>
          <w:szCs w:val="24"/>
        </w:rPr>
        <w:t>warfarins</w:t>
      </w:r>
      <w:proofErr w:type="spellEnd"/>
      <w:r w:rsidRPr="00826006">
        <w:rPr>
          <w:sz w:val="24"/>
          <w:szCs w:val="24"/>
        </w:rPr>
        <w:t xml:space="preserve"> farmakokinetik eller deres virkning på </w:t>
      </w:r>
      <w:proofErr w:type="spellStart"/>
      <w:r w:rsidRPr="00826006">
        <w:rPr>
          <w:sz w:val="24"/>
          <w:szCs w:val="24"/>
        </w:rPr>
        <w:t>protrombintiden</w:t>
      </w:r>
      <w:proofErr w:type="spellEnd"/>
      <w:r w:rsidRPr="00826006">
        <w:rPr>
          <w:sz w:val="24"/>
          <w:szCs w:val="24"/>
        </w:rPr>
        <w:t>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i/>
          <w:sz w:val="24"/>
          <w:szCs w:val="24"/>
        </w:rPr>
      </w:pPr>
      <w:proofErr w:type="spellStart"/>
      <w:r w:rsidRPr="00826006">
        <w:rPr>
          <w:i/>
          <w:sz w:val="24"/>
          <w:szCs w:val="24"/>
        </w:rPr>
        <w:t>Digoxin</w:t>
      </w:r>
      <w:proofErr w:type="spellEnd"/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Administration af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viste ikke nogen virkning på </w:t>
      </w:r>
      <w:proofErr w:type="spellStart"/>
      <w:r w:rsidRPr="00826006">
        <w:rPr>
          <w:sz w:val="24"/>
          <w:szCs w:val="24"/>
        </w:rPr>
        <w:t>digoxins</w:t>
      </w:r>
      <w:proofErr w:type="spellEnd"/>
      <w:r w:rsidRPr="00826006">
        <w:rPr>
          <w:sz w:val="24"/>
          <w:szCs w:val="24"/>
        </w:rPr>
        <w:t xml:space="preserve"> farmakokinetik.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4.6</w:t>
      </w:r>
      <w:r w:rsidRPr="00826006">
        <w:rPr>
          <w:b/>
          <w:sz w:val="24"/>
          <w:szCs w:val="24"/>
        </w:rPr>
        <w:tab/>
      </w:r>
      <w:r w:rsidR="008954FA">
        <w:rPr>
          <w:b/>
          <w:sz w:val="24"/>
          <w:szCs w:val="24"/>
        </w:rPr>
        <w:t>Fertilitet, g</w:t>
      </w:r>
      <w:r w:rsidRPr="00826006">
        <w:rPr>
          <w:b/>
          <w:sz w:val="24"/>
          <w:szCs w:val="24"/>
        </w:rPr>
        <w:t>raviditet og amning</w:t>
      </w:r>
    </w:p>
    <w:p w:rsidR="00281C36" w:rsidRDefault="00281C36" w:rsidP="00281C36">
      <w:pPr>
        <w:ind w:left="851" w:hanging="851"/>
        <w:rPr>
          <w:sz w:val="24"/>
          <w:szCs w:val="24"/>
          <w:u w:val="single"/>
        </w:rPr>
      </w:pPr>
    </w:p>
    <w:p w:rsidR="00281C36" w:rsidRPr="00826006" w:rsidRDefault="00281C36" w:rsidP="00281C36">
      <w:pPr>
        <w:ind w:left="851"/>
        <w:rPr>
          <w:sz w:val="24"/>
          <w:szCs w:val="24"/>
          <w:u w:val="single"/>
        </w:rPr>
      </w:pPr>
      <w:r w:rsidRPr="00826006">
        <w:rPr>
          <w:sz w:val="24"/>
          <w:szCs w:val="24"/>
          <w:u w:val="single"/>
        </w:rPr>
        <w:t>Graviditet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Der er ingen tilgængelige kliniske data vedrørende anvendelse af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i forbindelse med graviditet. Dyreforsøg indikerer ikke direkte skadelige virkninger på drægtighed, embryoets/fosterets udvikling eller fødsel (se pkt. 5.3). Den potentielle risiko for mennesker kendes ikke. Bør kun anvendes med forsigtighed til gravide.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  <w:u w:val="single"/>
        </w:rPr>
      </w:pPr>
      <w:r w:rsidRPr="00826006">
        <w:rPr>
          <w:sz w:val="24"/>
          <w:szCs w:val="24"/>
          <w:u w:val="single"/>
        </w:rPr>
        <w:t>Amning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Der er ingen tilgængelige data vedrørende udskillelsen af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i modermælk hos mennesker.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og/eller dets metabolitter udskilles i mælk hos mus og forårsager en dosisafhængig mangel på trivsel hos nyfødte mus (se pkt. 5.3). </w:t>
      </w:r>
      <w:proofErr w:type="spellStart"/>
      <w:r w:rsidRPr="00826006">
        <w:rPr>
          <w:sz w:val="24"/>
          <w:szCs w:val="24"/>
        </w:rPr>
        <w:t>Solifenacinsuccinat</w:t>
      </w:r>
      <w:proofErr w:type="spellEnd"/>
      <w:r w:rsidRPr="00826006">
        <w:rPr>
          <w:sz w:val="24"/>
          <w:szCs w:val="24"/>
        </w:rPr>
        <w:t xml:space="preserve"> bør ikke anvendes i </w:t>
      </w:r>
      <w:proofErr w:type="spellStart"/>
      <w:r w:rsidRPr="00826006">
        <w:rPr>
          <w:sz w:val="24"/>
          <w:szCs w:val="24"/>
        </w:rPr>
        <w:t>ammeperioden</w:t>
      </w:r>
      <w:proofErr w:type="spellEnd"/>
      <w:r w:rsidRPr="00826006">
        <w:rPr>
          <w:sz w:val="24"/>
          <w:szCs w:val="24"/>
        </w:rPr>
        <w:t>.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4.7</w:t>
      </w:r>
      <w:r w:rsidRPr="00826006">
        <w:rPr>
          <w:b/>
          <w:sz w:val="24"/>
          <w:szCs w:val="24"/>
        </w:rPr>
        <w:tab/>
        <w:t xml:space="preserve">Virkning på evnen til at føre motorkøretøj </w:t>
      </w:r>
      <w:r w:rsidR="008954FA">
        <w:rPr>
          <w:b/>
          <w:sz w:val="24"/>
          <w:szCs w:val="24"/>
        </w:rPr>
        <w:t>og</w:t>
      </w:r>
      <w:r w:rsidRPr="00826006">
        <w:rPr>
          <w:b/>
          <w:sz w:val="24"/>
          <w:szCs w:val="24"/>
        </w:rPr>
        <w:t xml:space="preserve"> betjene maskiner</w:t>
      </w:r>
    </w:p>
    <w:p w:rsidR="00281C36" w:rsidRDefault="00281C36" w:rsidP="00281C36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Da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, som øvrige </w:t>
      </w:r>
      <w:proofErr w:type="spellStart"/>
      <w:r w:rsidRPr="00826006">
        <w:rPr>
          <w:sz w:val="24"/>
          <w:szCs w:val="24"/>
        </w:rPr>
        <w:t>antikolinergika</w:t>
      </w:r>
      <w:proofErr w:type="spellEnd"/>
      <w:r w:rsidRPr="00826006">
        <w:rPr>
          <w:sz w:val="24"/>
          <w:szCs w:val="24"/>
        </w:rPr>
        <w:t xml:space="preserve">, kan forårsage akkommodationsforstyrrelser og i sjældne tilfælde </w:t>
      </w:r>
      <w:proofErr w:type="spellStart"/>
      <w:r w:rsidRPr="00826006">
        <w:rPr>
          <w:sz w:val="24"/>
          <w:szCs w:val="24"/>
        </w:rPr>
        <w:t>somnolens</w:t>
      </w:r>
      <w:proofErr w:type="spellEnd"/>
      <w:r w:rsidRPr="00826006">
        <w:rPr>
          <w:sz w:val="24"/>
          <w:szCs w:val="24"/>
        </w:rPr>
        <w:t xml:space="preserve"> og træthed (se pkt. 4.8</w:t>
      </w:r>
      <w:r>
        <w:rPr>
          <w:sz w:val="24"/>
          <w:szCs w:val="24"/>
        </w:rPr>
        <w:t>)</w:t>
      </w:r>
      <w:r w:rsidRPr="00826006">
        <w:rPr>
          <w:sz w:val="24"/>
          <w:szCs w:val="24"/>
        </w:rPr>
        <w:t>, kan evnen til at føre motorkøretøj og betjene maskiner påvirkes negativt.</w:t>
      </w:r>
    </w:p>
    <w:p w:rsidR="00281C3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954FA" w:rsidRDefault="008954FA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954FA" w:rsidRPr="00826006" w:rsidRDefault="008954FA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lastRenderedPageBreak/>
        <w:t>4.8</w:t>
      </w:r>
      <w:r w:rsidRPr="00826006">
        <w:rPr>
          <w:b/>
          <w:sz w:val="24"/>
          <w:szCs w:val="24"/>
        </w:rPr>
        <w:tab/>
        <w:t>Bivirkninger</w:t>
      </w:r>
    </w:p>
    <w:p w:rsidR="00281C36" w:rsidRDefault="00281C36" w:rsidP="00281C36">
      <w:pPr>
        <w:suppressAutoHyphens/>
        <w:ind w:left="851" w:hanging="851"/>
        <w:rPr>
          <w:sz w:val="24"/>
          <w:szCs w:val="24"/>
          <w:u w:val="single"/>
        </w:rPr>
      </w:pPr>
    </w:p>
    <w:p w:rsidR="00281C36" w:rsidRPr="00826006" w:rsidRDefault="00281C36" w:rsidP="00281C36">
      <w:pPr>
        <w:suppressAutoHyphens/>
        <w:ind w:left="851"/>
        <w:rPr>
          <w:sz w:val="24"/>
          <w:szCs w:val="24"/>
        </w:rPr>
      </w:pPr>
      <w:r w:rsidRPr="00826006">
        <w:rPr>
          <w:sz w:val="24"/>
          <w:szCs w:val="24"/>
          <w:u w:val="single"/>
        </w:rPr>
        <w:t>Sammendrag af sikkerhedsprofilen</w:t>
      </w:r>
    </w:p>
    <w:p w:rsidR="00281C36" w:rsidRPr="00826006" w:rsidRDefault="00281C36" w:rsidP="00281C36">
      <w:pPr>
        <w:suppressAutoHyphens/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Som følge af </w:t>
      </w:r>
      <w:proofErr w:type="spellStart"/>
      <w:r w:rsidRPr="00826006">
        <w:rPr>
          <w:sz w:val="24"/>
          <w:szCs w:val="24"/>
        </w:rPr>
        <w:t>solifenacins</w:t>
      </w:r>
      <w:proofErr w:type="spellEnd"/>
      <w:r w:rsidRPr="00826006">
        <w:rPr>
          <w:sz w:val="24"/>
          <w:szCs w:val="24"/>
        </w:rPr>
        <w:t xml:space="preserve"> farmakologiske virkning kan dette lægemiddel forårsage </w:t>
      </w:r>
      <w:proofErr w:type="spellStart"/>
      <w:r w:rsidRPr="00826006">
        <w:rPr>
          <w:sz w:val="24"/>
          <w:szCs w:val="24"/>
        </w:rPr>
        <w:t>antikolinerge</w:t>
      </w:r>
      <w:proofErr w:type="spellEnd"/>
      <w:r w:rsidRPr="00826006">
        <w:rPr>
          <w:sz w:val="24"/>
          <w:szCs w:val="24"/>
        </w:rPr>
        <w:t xml:space="preserve"> bivirkninger, generelt af mild eller moderat grad. Forekomsten af </w:t>
      </w:r>
      <w:proofErr w:type="spellStart"/>
      <w:r w:rsidRPr="00826006">
        <w:rPr>
          <w:sz w:val="24"/>
          <w:szCs w:val="24"/>
        </w:rPr>
        <w:t>antikolinerge</w:t>
      </w:r>
      <w:proofErr w:type="spellEnd"/>
      <w:r w:rsidRPr="00826006">
        <w:rPr>
          <w:sz w:val="24"/>
          <w:szCs w:val="24"/>
        </w:rPr>
        <w:t xml:space="preserve"> bivirkninger er dosisrelateret.</w:t>
      </w:r>
    </w:p>
    <w:p w:rsidR="00281C36" w:rsidRPr="00826006" w:rsidRDefault="00281C36" w:rsidP="00281C36">
      <w:pPr>
        <w:suppressAutoHyphens/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suppressAutoHyphens/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Den hyppigst rapporterede bivirkning af </w:t>
      </w:r>
      <w:proofErr w:type="spellStart"/>
      <w:r w:rsidRPr="00826006">
        <w:rPr>
          <w:sz w:val="24"/>
          <w:szCs w:val="24"/>
        </w:rPr>
        <w:t>solifenacinsuccinat</w:t>
      </w:r>
      <w:proofErr w:type="spellEnd"/>
      <w:r w:rsidRPr="00826006">
        <w:rPr>
          <w:sz w:val="24"/>
          <w:szCs w:val="24"/>
        </w:rPr>
        <w:t xml:space="preserve"> er mundtørhed. Det forekom hos 11% af patienterne behandlet med 5 mg én gang dagligt, hos 22% af patienterne behandlet med 10 mg én gang dagligt og hos 4% af patienterne behandlet med placebo. Graden af mundtørhed var generelt mild og førte kun lejlighedsvis til, at behandlingen blev afbrudt. Generelt var </w:t>
      </w:r>
      <w:r w:rsidRPr="00826006">
        <w:rPr>
          <w:i/>
          <w:sz w:val="24"/>
          <w:szCs w:val="24"/>
        </w:rPr>
        <w:t>compliance</w:t>
      </w:r>
      <w:r w:rsidRPr="00826006">
        <w:rPr>
          <w:sz w:val="24"/>
          <w:szCs w:val="24"/>
        </w:rPr>
        <w:t xml:space="preserve"> meget høj (ca. 99%), og ca. 90% af patienterne gennemførte den fulde behandlingsperiode på 12 uger med </w:t>
      </w:r>
      <w:proofErr w:type="spellStart"/>
      <w:r w:rsidRPr="00826006">
        <w:rPr>
          <w:sz w:val="24"/>
          <w:szCs w:val="24"/>
        </w:rPr>
        <w:t>solifenacinsuccinat</w:t>
      </w:r>
      <w:proofErr w:type="spellEnd"/>
      <w:r w:rsidRPr="00826006">
        <w:rPr>
          <w:sz w:val="24"/>
          <w:szCs w:val="24"/>
        </w:rPr>
        <w:t>.</w:t>
      </w:r>
    </w:p>
    <w:p w:rsidR="00281C36" w:rsidRPr="00826006" w:rsidRDefault="00281C36" w:rsidP="00281C36">
      <w:pPr>
        <w:suppressAutoHyphens/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suppressAutoHyphens/>
        <w:ind w:left="851" w:hanging="851"/>
        <w:rPr>
          <w:sz w:val="24"/>
          <w:szCs w:val="24"/>
          <w:u w:val="single"/>
        </w:rPr>
      </w:pPr>
      <w:r w:rsidRPr="00826006">
        <w:rPr>
          <w:sz w:val="24"/>
          <w:szCs w:val="24"/>
          <w:u w:val="single"/>
        </w:rPr>
        <w:t>Tabel over bivirkninger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977"/>
        <w:gridCol w:w="1089"/>
        <w:gridCol w:w="1449"/>
        <w:gridCol w:w="1197"/>
        <w:gridCol w:w="1558"/>
        <w:gridCol w:w="1586"/>
      </w:tblGrid>
      <w:tr w:rsidR="00281C36" w:rsidRPr="00F92727" w:rsidTr="003B4BCE">
        <w:trPr>
          <w:trHeight w:val="608"/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 xml:space="preserve">Systemorgan-klasser i henhold til </w:t>
            </w:r>
            <w:proofErr w:type="spellStart"/>
            <w:r w:rsidRPr="00F92727">
              <w:rPr>
                <w:b/>
                <w:sz w:val="22"/>
                <w:szCs w:val="22"/>
              </w:rPr>
              <w:t>MedDRA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Meget almindelig</w:t>
            </w:r>
          </w:p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(≥1/10)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Almindelig</w:t>
            </w:r>
          </w:p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(≥1/100 til &lt; 1/10)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Ikke almindelig</w:t>
            </w:r>
          </w:p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(≥ 1/1.000 til &lt; 1/100)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Sjælden</w:t>
            </w:r>
          </w:p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(≥1/10.000 til &lt; 1/1.000)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Meget sjælden</w:t>
            </w:r>
          </w:p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(&lt;1/10.000)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Ikke kendt</w:t>
            </w:r>
          </w:p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 xml:space="preserve">(kan </w:t>
            </w:r>
            <w:r>
              <w:rPr>
                <w:b/>
                <w:sz w:val="22"/>
                <w:szCs w:val="22"/>
              </w:rPr>
              <w:t>ikke estimeres ud fra forhånden</w:t>
            </w:r>
            <w:r w:rsidRPr="00F92727">
              <w:rPr>
                <w:b/>
                <w:sz w:val="22"/>
                <w:szCs w:val="22"/>
              </w:rPr>
              <w:t>værende data)</w:t>
            </w:r>
          </w:p>
        </w:tc>
      </w:tr>
      <w:tr w:rsidR="00281C36" w:rsidRPr="00826006" w:rsidTr="003B4BCE">
        <w:trPr>
          <w:trHeight w:val="826"/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Infektioner og parasitære sygdomme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Urinvejs</w:t>
            </w:r>
            <w:r w:rsidRPr="00826006">
              <w:rPr>
                <w:sz w:val="22"/>
                <w:szCs w:val="22"/>
              </w:rPr>
              <w:t>infektion, blærebetændelse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</w:tr>
      <w:tr w:rsidR="00281C36" w:rsidRPr="00826006" w:rsidTr="003B4BCE">
        <w:trPr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Immun</w:t>
            </w:r>
            <w:r w:rsidRPr="00F92727">
              <w:rPr>
                <w:b/>
                <w:sz w:val="22"/>
                <w:szCs w:val="22"/>
              </w:rPr>
              <w:t>systemet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proofErr w:type="spellStart"/>
            <w:r w:rsidRPr="00826006">
              <w:rPr>
                <w:sz w:val="22"/>
                <w:szCs w:val="22"/>
              </w:rPr>
              <w:t>Anafylaktisk</w:t>
            </w:r>
            <w:proofErr w:type="spellEnd"/>
            <w:r w:rsidRPr="00826006">
              <w:rPr>
                <w:sz w:val="22"/>
                <w:szCs w:val="22"/>
              </w:rPr>
              <w:t xml:space="preserve"> reaktion*</w:t>
            </w:r>
          </w:p>
        </w:tc>
      </w:tr>
      <w:tr w:rsidR="00281C36" w:rsidRPr="00826006" w:rsidTr="003B4BCE">
        <w:trPr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Metabolisme og ernæring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Nedsat appetit*</w:t>
            </w:r>
          </w:p>
          <w:p w:rsidR="00281C36" w:rsidRPr="00826006" w:rsidRDefault="00281C36" w:rsidP="003B4BCE">
            <w:pPr>
              <w:rPr>
                <w:sz w:val="22"/>
                <w:szCs w:val="22"/>
              </w:rPr>
            </w:pPr>
            <w:proofErr w:type="spellStart"/>
            <w:r w:rsidRPr="00826006">
              <w:rPr>
                <w:sz w:val="22"/>
                <w:szCs w:val="22"/>
              </w:rPr>
              <w:t>Hyperkaliæmi</w:t>
            </w:r>
            <w:proofErr w:type="spellEnd"/>
            <w:r w:rsidRPr="00826006">
              <w:rPr>
                <w:sz w:val="22"/>
                <w:szCs w:val="22"/>
              </w:rPr>
              <w:t>*</w:t>
            </w:r>
          </w:p>
        </w:tc>
      </w:tr>
      <w:tr w:rsidR="00281C36" w:rsidRPr="00826006" w:rsidTr="003B4BCE">
        <w:trPr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Psykiske forstyrrelser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proofErr w:type="spellStart"/>
            <w:r w:rsidRPr="00826006">
              <w:rPr>
                <w:sz w:val="22"/>
                <w:szCs w:val="22"/>
              </w:rPr>
              <w:t>Hallucina-tioner</w:t>
            </w:r>
            <w:proofErr w:type="spellEnd"/>
            <w:r w:rsidRPr="00826006">
              <w:rPr>
                <w:sz w:val="22"/>
                <w:szCs w:val="22"/>
              </w:rPr>
              <w:t>*</w:t>
            </w:r>
          </w:p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Forvirringstilstand*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Delirium*</w:t>
            </w:r>
          </w:p>
        </w:tc>
      </w:tr>
      <w:tr w:rsidR="00281C36" w:rsidRPr="00826006" w:rsidTr="003B4BCE">
        <w:trPr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Nervesystemet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proofErr w:type="spellStart"/>
            <w:r w:rsidRPr="00826006">
              <w:rPr>
                <w:sz w:val="22"/>
                <w:szCs w:val="22"/>
              </w:rPr>
              <w:t>Somnolens</w:t>
            </w:r>
            <w:proofErr w:type="spellEnd"/>
            <w:r w:rsidRPr="00826006">
              <w:rPr>
                <w:sz w:val="22"/>
                <w:szCs w:val="22"/>
              </w:rPr>
              <w:t xml:space="preserve"> Ændret smagsopfattelse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Svimmelhed*, Hovedpine*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</w:tr>
      <w:tr w:rsidR="00281C36" w:rsidRPr="00826006" w:rsidTr="003B4BCE">
        <w:trPr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Øjne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Sløret syn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Tørre øjne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proofErr w:type="spellStart"/>
            <w:r w:rsidRPr="00826006">
              <w:rPr>
                <w:sz w:val="22"/>
                <w:szCs w:val="22"/>
              </w:rPr>
              <w:t>Glaukom</w:t>
            </w:r>
            <w:proofErr w:type="spellEnd"/>
            <w:r w:rsidRPr="00826006">
              <w:rPr>
                <w:sz w:val="22"/>
                <w:szCs w:val="22"/>
              </w:rPr>
              <w:t>*</w:t>
            </w:r>
          </w:p>
        </w:tc>
      </w:tr>
      <w:tr w:rsidR="00281C36" w:rsidRPr="00826006" w:rsidTr="003B4BCE">
        <w:trPr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Hjerte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proofErr w:type="spellStart"/>
            <w:r w:rsidRPr="00826006">
              <w:rPr>
                <w:sz w:val="22"/>
                <w:szCs w:val="22"/>
              </w:rPr>
              <w:t>Torsades</w:t>
            </w:r>
            <w:proofErr w:type="spellEnd"/>
            <w:r w:rsidRPr="00826006">
              <w:rPr>
                <w:sz w:val="22"/>
                <w:szCs w:val="22"/>
              </w:rPr>
              <w:t xml:space="preserve"> de Pointes*</w:t>
            </w:r>
          </w:p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EKG visende QT-forlængelse*</w:t>
            </w:r>
          </w:p>
          <w:p w:rsidR="00281C36" w:rsidRPr="00826006" w:rsidRDefault="00281C36" w:rsidP="003B4BCE">
            <w:pPr>
              <w:rPr>
                <w:sz w:val="22"/>
                <w:szCs w:val="22"/>
              </w:rPr>
            </w:pPr>
            <w:proofErr w:type="spellStart"/>
            <w:r w:rsidRPr="00826006">
              <w:rPr>
                <w:sz w:val="22"/>
                <w:szCs w:val="22"/>
              </w:rPr>
              <w:t>Atrieflimmer</w:t>
            </w:r>
            <w:proofErr w:type="spellEnd"/>
            <w:r w:rsidRPr="00826006">
              <w:rPr>
                <w:sz w:val="22"/>
                <w:szCs w:val="22"/>
              </w:rPr>
              <w:t>*</w:t>
            </w:r>
          </w:p>
          <w:p w:rsidR="00281C36" w:rsidRPr="00826006" w:rsidRDefault="00281C36" w:rsidP="003B4BCE">
            <w:pPr>
              <w:rPr>
                <w:sz w:val="22"/>
                <w:szCs w:val="22"/>
              </w:rPr>
            </w:pPr>
            <w:proofErr w:type="spellStart"/>
            <w:r w:rsidRPr="00826006">
              <w:rPr>
                <w:sz w:val="22"/>
                <w:szCs w:val="22"/>
              </w:rPr>
              <w:t>Palpitationer</w:t>
            </w:r>
            <w:proofErr w:type="spellEnd"/>
            <w:r w:rsidRPr="00826006">
              <w:rPr>
                <w:sz w:val="22"/>
                <w:szCs w:val="22"/>
              </w:rPr>
              <w:t>*</w:t>
            </w:r>
          </w:p>
          <w:p w:rsidR="00281C36" w:rsidRPr="00826006" w:rsidRDefault="00281C36" w:rsidP="003B4BCE">
            <w:pPr>
              <w:rPr>
                <w:sz w:val="22"/>
                <w:szCs w:val="22"/>
              </w:rPr>
            </w:pPr>
            <w:proofErr w:type="spellStart"/>
            <w:r w:rsidRPr="00826006">
              <w:rPr>
                <w:sz w:val="22"/>
                <w:szCs w:val="22"/>
              </w:rPr>
              <w:t>Takykardi</w:t>
            </w:r>
            <w:proofErr w:type="spellEnd"/>
            <w:r w:rsidRPr="00826006">
              <w:rPr>
                <w:sz w:val="22"/>
                <w:szCs w:val="22"/>
              </w:rPr>
              <w:t>*</w:t>
            </w:r>
          </w:p>
        </w:tc>
      </w:tr>
      <w:tr w:rsidR="00281C36" w:rsidRPr="00826006" w:rsidTr="003B4BCE">
        <w:trPr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 xml:space="preserve">Luftveje thorax og </w:t>
            </w:r>
            <w:proofErr w:type="spellStart"/>
            <w:r w:rsidRPr="00F92727">
              <w:rPr>
                <w:b/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Nasal tørhed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proofErr w:type="spellStart"/>
            <w:r w:rsidRPr="00826006">
              <w:rPr>
                <w:sz w:val="22"/>
                <w:szCs w:val="22"/>
              </w:rPr>
              <w:t>Dysfoni</w:t>
            </w:r>
            <w:proofErr w:type="spellEnd"/>
            <w:r w:rsidRPr="00826006">
              <w:rPr>
                <w:sz w:val="22"/>
                <w:szCs w:val="22"/>
              </w:rPr>
              <w:t>*</w:t>
            </w:r>
          </w:p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</w:tr>
      <w:tr w:rsidR="00281C36" w:rsidRPr="00826006" w:rsidTr="003B4BCE">
        <w:trPr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Mave-tarm-kanalen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Mund-tørhed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 xml:space="preserve">Konstipation </w:t>
            </w:r>
          </w:p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Kvalme</w:t>
            </w:r>
          </w:p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lastRenderedPageBreak/>
              <w:t>Dyspepsi</w:t>
            </w:r>
          </w:p>
          <w:p w:rsidR="00281C36" w:rsidRPr="00826006" w:rsidRDefault="00281C36" w:rsidP="003B4BCE">
            <w:pPr>
              <w:rPr>
                <w:sz w:val="22"/>
                <w:szCs w:val="22"/>
              </w:rPr>
            </w:pPr>
            <w:proofErr w:type="spellStart"/>
            <w:r w:rsidRPr="00826006">
              <w:rPr>
                <w:sz w:val="22"/>
                <w:szCs w:val="22"/>
              </w:rPr>
              <w:t>Abdominal</w:t>
            </w:r>
            <w:proofErr w:type="spellEnd"/>
            <w:r w:rsidRPr="00826006">
              <w:rPr>
                <w:sz w:val="22"/>
                <w:szCs w:val="22"/>
              </w:rPr>
              <w:t>-smerter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proofErr w:type="spellStart"/>
            <w:r w:rsidRPr="00826006">
              <w:rPr>
                <w:sz w:val="22"/>
                <w:szCs w:val="22"/>
              </w:rPr>
              <w:lastRenderedPageBreak/>
              <w:t>Gastroøsofageal</w:t>
            </w:r>
            <w:proofErr w:type="spellEnd"/>
            <w:r w:rsidRPr="00826006">
              <w:rPr>
                <w:sz w:val="22"/>
                <w:szCs w:val="22"/>
              </w:rPr>
              <w:t xml:space="preserve"> </w:t>
            </w:r>
            <w:proofErr w:type="spellStart"/>
            <w:r w:rsidRPr="00826006">
              <w:rPr>
                <w:sz w:val="22"/>
                <w:szCs w:val="22"/>
              </w:rPr>
              <w:t>refluks</w:t>
            </w:r>
            <w:proofErr w:type="spellEnd"/>
            <w:r w:rsidRPr="00826006">
              <w:rPr>
                <w:sz w:val="22"/>
                <w:szCs w:val="22"/>
              </w:rPr>
              <w:t xml:space="preserve"> </w:t>
            </w:r>
          </w:p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Tør hals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proofErr w:type="spellStart"/>
            <w:r w:rsidRPr="00826006">
              <w:rPr>
                <w:sz w:val="22"/>
                <w:szCs w:val="22"/>
              </w:rPr>
              <w:t>Colon</w:t>
            </w:r>
            <w:proofErr w:type="spellEnd"/>
            <w:r w:rsidRPr="00826006">
              <w:rPr>
                <w:sz w:val="22"/>
                <w:szCs w:val="22"/>
              </w:rPr>
              <w:t xml:space="preserve"> obstruktion Fækal </w:t>
            </w:r>
            <w:r w:rsidRPr="00826006">
              <w:rPr>
                <w:sz w:val="22"/>
                <w:szCs w:val="22"/>
              </w:rPr>
              <w:lastRenderedPageBreak/>
              <w:t>ophobning,</w:t>
            </w:r>
          </w:p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Opkastning*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proofErr w:type="spellStart"/>
            <w:r w:rsidRPr="00826006">
              <w:rPr>
                <w:sz w:val="22"/>
                <w:szCs w:val="22"/>
              </w:rPr>
              <w:t>Ileus</w:t>
            </w:r>
            <w:proofErr w:type="spellEnd"/>
            <w:r w:rsidRPr="00826006">
              <w:rPr>
                <w:sz w:val="22"/>
                <w:szCs w:val="22"/>
              </w:rPr>
              <w:t>*</w:t>
            </w:r>
          </w:p>
          <w:p w:rsidR="00281C36" w:rsidRPr="00826006" w:rsidRDefault="00281C36" w:rsidP="003B4BCE">
            <w:pPr>
              <w:rPr>
                <w:sz w:val="22"/>
                <w:szCs w:val="22"/>
              </w:rPr>
            </w:pPr>
            <w:proofErr w:type="spellStart"/>
            <w:r w:rsidRPr="00826006">
              <w:rPr>
                <w:sz w:val="22"/>
                <w:szCs w:val="22"/>
              </w:rPr>
              <w:t>Abdominalt</w:t>
            </w:r>
            <w:proofErr w:type="spellEnd"/>
            <w:r w:rsidRPr="00826006">
              <w:rPr>
                <w:sz w:val="22"/>
                <w:szCs w:val="22"/>
              </w:rPr>
              <w:t xml:space="preserve"> ubehag*</w:t>
            </w:r>
          </w:p>
        </w:tc>
      </w:tr>
      <w:tr w:rsidR="00281C36" w:rsidRPr="00826006" w:rsidTr="003B4BCE">
        <w:trPr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Lever og galdeveje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Leversygdom*</w:t>
            </w:r>
          </w:p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Unormal leverfunktionstest*</w:t>
            </w:r>
          </w:p>
        </w:tc>
      </w:tr>
      <w:tr w:rsidR="00281C36" w:rsidRPr="00826006" w:rsidTr="003B4BCE">
        <w:trPr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Hud og subkutane væv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Tør hud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Kløe*,</w:t>
            </w:r>
          </w:p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 xml:space="preserve">Udslæt*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proofErr w:type="spellStart"/>
            <w:r w:rsidRPr="00826006">
              <w:rPr>
                <w:sz w:val="22"/>
                <w:szCs w:val="22"/>
              </w:rPr>
              <w:t>Erythema</w:t>
            </w:r>
            <w:proofErr w:type="spellEnd"/>
            <w:r w:rsidRPr="00826006">
              <w:rPr>
                <w:sz w:val="22"/>
                <w:szCs w:val="22"/>
              </w:rPr>
              <w:t xml:space="preserve"> multiforme*, Nældefeber*</w:t>
            </w:r>
          </w:p>
          <w:p w:rsidR="00281C36" w:rsidRPr="00826006" w:rsidRDefault="00281C36" w:rsidP="003B4BCE">
            <w:pPr>
              <w:rPr>
                <w:sz w:val="22"/>
                <w:szCs w:val="22"/>
              </w:rPr>
            </w:pPr>
            <w:proofErr w:type="spellStart"/>
            <w:r w:rsidRPr="00826006">
              <w:rPr>
                <w:sz w:val="22"/>
                <w:szCs w:val="22"/>
              </w:rPr>
              <w:t>Angioødem</w:t>
            </w:r>
            <w:proofErr w:type="spellEnd"/>
            <w:r w:rsidRPr="00826006">
              <w:rPr>
                <w:sz w:val="22"/>
                <w:szCs w:val="22"/>
              </w:rPr>
              <w:t>*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proofErr w:type="spellStart"/>
            <w:r w:rsidRPr="00826006">
              <w:rPr>
                <w:sz w:val="22"/>
                <w:szCs w:val="22"/>
              </w:rPr>
              <w:t>Eksfoliativ</w:t>
            </w:r>
            <w:proofErr w:type="spellEnd"/>
            <w:r w:rsidRPr="00826006">
              <w:rPr>
                <w:sz w:val="22"/>
                <w:szCs w:val="22"/>
              </w:rPr>
              <w:t xml:space="preserve"> </w:t>
            </w:r>
            <w:proofErr w:type="spellStart"/>
            <w:r w:rsidRPr="00826006">
              <w:rPr>
                <w:sz w:val="22"/>
                <w:szCs w:val="22"/>
              </w:rPr>
              <w:t>dermatitis</w:t>
            </w:r>
            <w:proofErr w:type="spellEnd"/>
            <w:r w:rsidRPr="00826006">
              <w:rPr>
                <w:sz w:val="22"/>
                <w:szCs w:val="22"/>
              </w:rPr>
              <w:t>*</w:t>
            </w:r>
          </w:p>
        </w:tc>
      </w:tr>
      <w:tr w:rsidR="00281C36" w:rsidRPr="00826006" w:rsidTr="003B4BCE">
        <w:trPr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rFonts w:eastAsia="Calibri"/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Knogler, led, muskler og bindevæv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rFonts w:eastAsia="Calibri"/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Muskelsvaghed*</w:t>
            </w:r>
          </w:p>
        </w:tc>
      </w:tr>
      <w:tr w:rsidR="00281C36" w:rsidRPr="00826006" w:rsidTr="003B4BCE">
        <w:trPr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rFonts w:eastAsia="Calibri"/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Nyrer og urinveje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Vandladnings-besvær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Urinretention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Nedsat nyrefunktion*</w:t>
            </w:r>
          </w:p>
        </w:tc>
      </w:tr>
      <w:tr w:rsidR="00281C36" w:rsidRPr="00826006" w:rsidTr="003B4BCE">
        <w:trPr>
          <w:jc w:val="center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F92727" w:rsidRDefault="00281C36" w:rsidP="003B4BCE">
            <w:pPr>
              <w:rPr>
                <w:b/>
                <w:sz w:val="22"/>
                <w:szCs w:val="22"/>
              </w:rPr>
            </w:pPr>
            <w:r w:rsidRPr="00F92727">
              <w:rPr>
                <w:b/>
                <w:sz w:val="22"/>
                <w:szCs w:val="22"/>
              </w:rPr>
              <w:t>Almene symptomer og reaktioner på administrationsstedet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Træthed</w:t>
            </w:r>
          </w:p>
          <w:p w:rsidR="00281C36" w:rsidRPr="00826006" w:rsidRDefault="00281C36" w:rsidP="003B4BCE">
            <w:pPr>
              <w:rPr>
                <w:sz w:val="22"/>
                <w:szCs w:val="22"/>
              </w:rPr>
            </w:pPr>
            <w:r w:rsidRPr="00826006">
              <w:rPr>
                <w:sz w:val="22"/>
                <w:szCs w:val="22"/>
              </w:rPr>
              <w:t>Perifere ødemer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36" w:rsidRPr="00826006" w:rsidRDefault="00281C36" w:rsidP="003B4BCE">
            <w:pPr>
              <w:rPr>
                <w:sz w:val="22"/>
                <w:szCs w:val="22"/>
              </w:rPr>
            </w:pPr>
          </w:p>
        </w:tc>
      </w:tr>
    </w:tbl>
    <w:p w:rsidR="00281C36" w:rsidRPr="00826006" w:rsidRDefault="00281C36" w:rsidP="00281C36">
      <w:pPr>
        <w:ind w:left="851" w:hanging="851"/>
        <w:rPr>
          <w:sz w:val="24"/>
          <w:szCs w:val="24"/>
        </w:rPr>
      </w:pPr>
      <w:r w:rsidRPr="00826006">
        <w:rPr>
          <w:sz w:val="24"/>
          <w:szCs w:val="24"/>
        </w:rPr>
        <w:t>*observeret efter markedsføring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826006">
        <w:rPr>
          <w:sz w:val="24"/>
          <w:szCs w:val="24"/>
          <w:u w:val="single"/>
        </w:rPr>
        <w:t>Indberetning af formodede bivirkninger</w:t>
      </w:r>
    </w:p>
    <w:p w:rsidR="00281C36" w:rsidRPr="00826006" w:rsidRDefault="00281C36" w:rsidP="00281C3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826006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826006">
        <w:rPr>
          <w:sz w:val="24"/>
          <w:szCs w:val="24"/>
        </w:rPr>
        <w:t>risk</w:t>
      </w:r>
      <w:proofErr w:type="spellEnd"/>
      <w:r w:rsidRPr="00826006">
        <w:rPr>
          <w:sz w:val="24"/>
          <w:szCs w:val="24"/>
        </w:rPr>
        <w:t xml:space="preserve">-forholdet for lægemidlet. </w:t>
      </w:r>
      <w:r w:rsidR="00025790">
        <w:rPr>
          <w:sz w:val="24"/>
          <w:szCs w:val="24"/>
        </w:rPr>
        <w:t>S</w:t>
      </w:r>
      <w:r w:rsidRPr="00826006">
        <w:rPr>
          <w:sz w:val="24"/>
          <w:szCs w:val="24"/>
        </w:rPr>
        <w:t>undhedsperson</w:t>
      </w:r>
      <w:r w:rsidR="00025790">
        <w:rPr>
          <w:sz w:val="24"/>
          <w:szCs w:val="24"/>
        </w:rPr>
        <w:t>er</w:t>
      </w:r>
      <w:r w:rsidRPr="00826006">
        <w:rPr>
          <w:sz w:val="24"/>
          <w:szCs w:val="24"/>
        </w:rPr>
        <w:t xml:space="preserve"> anmodes om at indberette alle formodede bivirkninger via </w:t>
      </w:r>
    </w:p>
    <w:p w:rsidR="00281C36" w:rsidRDefault="00281C36" w:rsidP="00281C3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81C36" w:rsidRPr="00826006" w:rsidRDefault="00281C36" w:rsidP="00281C3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826006">
        <w:rPr>
          <w:sz w:val="24"/>
          <w:szCs w:val="24"/>
        </w:rPr>
        <w:t>Lægemiddelstyrelsen</w:t>
      </w:r>
    </w:p>
    <w:p w:rsidR="00281C36" w:rsidRPr="00826006" w:rsidRDefault="00281C36" w:rsidP="00281C3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826006">
        <w:rPr>
          <w:sz w:val="24"/>
          <w:szCs w:val="24"/>
        </w:rPr>
        <w:t>Axel Heides Gade 1</w:t>
      </w:r>
    </w:p>
    <w:p w:rsidR="00281C36" w:rsidRPr="00826006" w:rsidRDefault="00281C36" w:rsidP="00281C3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826006">
        <w:rPr>
          <w:sz w:val="24"/>
          <w:szCs w:val="24"/>
        </w:rPr>
        <w:t>DK-2300 København S</w:t>
      </w:r>
    </w:p>
    <w:p w:rsidR="00025790" w:rsidRPr="00154920" w:rsidRDefault="00281C36" w:rsidP="00025790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54920">
        <w:rPr>
          <w:sz w:val="24"/>
          <w:szCs w:val="24"/>
        </w:rPr>
        <w:t xml:space="preserve">Websted: </w:t>
      </w:r>
      <w:hyperlink r:id="rId8" w:tooltip="http://www.meldenbivirkning.dk/" w:history="1">
        <w:r w:rsidRPr="00154920">
          <w:rPr>
            <w:rStyle w:val="Hyperlink"/>
            <w:sz w:val="24"/>
            <w:szCs w:val="24"/>
          </w:rPr>
          <w:t>www.meldenbivirkning.dk</w:t>
        </w:r>
      </w:hyperlink>
    </w:p>
    <w:p w:rsidR="00281C36" w:rsidRPr="00154920" w:rsidRDefault="00281C36" w:rsidP="00281C36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4.9</w:t>
      </w:r>
      <w:r w:rsidRPr="00826006">
        <w:rPr>
          <w:b/>
          <w:sz w:val="24"/>
          <w:szCs w:val="24"/>
        </w:rPr>
        <w:tab/>
        <w:t>Overdosering</w:t>
      </w:r>
    </w:p>
    <w:p w:rsidR="00281C36" w:rsidRDefault="00281C36" w:rsidP="00281C36">
      <w:pPr>
        <w:suppressAutoHyphens/>
        <w:ind w:left="851" w:hanging="851"/>
        <w:rPr>
          <w:sz w:val="24"/>
          <w:szCs w:val="24"/>
          <w:u w:val="single"/>
        </w:rPr>
      </w:pPr>
    </w:p>
    <w:p w:rsidR="00281C36" w:rsidRPr="00826006" w:rsidRDefault="00281C36" w:rsidP="00281C36">
      <w:pPr>
        <w:suppressAutoHyphens/>
        <w:ind w:left="851"/>
        <w:rPr>
          <w:sz w:val="24"/>
          <w:szCs w:val="24"/>
          <w:u w:val="single"/>
        </w:rPr>
      </w:pPr>
      <w:r w:rsidRPr="00826006">
        <w:rPr>
          <w:sz w:val="24"/>
          <w:szCs w:val="24"/>
          <w:u w:val="single"/>
        </w:rPr>
        <w:t>Symptomer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Overdosering med </w:t>
      </w:r>
      <w:proofErr w:type="spellStart"/>
      <w:r w:rsidRPr="00826006">
        <w:rPr>
          <w:sz w:val="24"/>
          <w:szCs w:val="24"/>
        </w:rPr>
        <w:t>solifenacinsuccinat</w:t>
      </w:r>
      <w:proofErr w:type="spellEnd"/>
      <w:r w:rsidRPr="00826006">
        <w:rPr>
          <w:sz w:val="24"/>
          <w:szCs w:val="24"/>
        </w:rPr>
        <w:t xml:space="preserve"> kan give alvorlige </w:t>
      </w:r>
      <w:proofErr w:type="spellStart"/>
      <w:r w:rsidRPr="00826006">
        <w:rPr>
          <w:sz w:val="24"/>
          <w:szCs w:val="24"/>
        </w:rPr>
        <w:t>antikolinerge</w:t>
      </w:r>
      <w:proofErr w:type="spellEnd"/>
      <w:r w:rsidRPr="00826006">
        <w:rPr>
          <w:sz w:val="24"/>
          <w:szCs w:val="24"/>
        </w:rPr>
        <w:t xml:space="preserve"> bivirkninger. Den højeste dosis af </w:t>
      </w:r>
      <w:proofErr w:type="spellStart"/>
      <w:r w:rsidRPr="00826006">
        <w:rPr>
          <w:sz w:val="24"/>
          <w:szCs w:val="24"/>
        </w:rPr>
        <w:t>solifenacinsuccinat</w:t>
      </w:r>
      <w:proofErr w:type="spellEnd"/>
      <w:r w:rsidRPr="00826006">
        <w:rPr>
          <w:sz w:val="24"/>
          <w:szCs w:val="24"/>
        </w:rPr>
        <w:t>, der ved et uheld blev givet en patient, var 280 mg i et tidsrum på 5 timer, hvilket ændrede patientens mentale status, men uden behov for indlæggelse.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  <w:u w:val="single"/>
        </w:rPr>
      </w:pPr>
      <w:r w:rsidRPr="00826006">
        <w:rPr>
          <w:sz w:val="24"/>
          <w:szCs w:val="24"/>
          <w:u w:val="single"/>
        </w:rPr>
        <w:t>Behandling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I tilfælde af overdosering med </w:t>
      </w:r>
      <w:proofErr w:type="spellStart"/>
      <w:r w:rsidRPr="00826006">
        <w:rPr>
          <w:sz w:val="24"/>
          <w:szCs w:val="24"/>
        </w:rPr>
        <w:t>solifenacinsuccinat</w:t>
      </w:r>
      <w:proofErr w:type="spellEnd"/>
      <w:r w:rsidRPr="00826006">
        <w:rPr>
          <w:sz w:val="24"/>
          <w:szCs w:val="24"/>
        </w:rPr>
        <w:t xml:space="preserve"> skal patienten behandles med aktivt kul. Ventrikelskylning er gavnligt, hvis den udføres inden for 1 time; men opkastning bør ikke induceres.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Som med øvrige </w:t>
      </w:r>
      <w:proofErr w:type="spellStart"/>
      <w:r w:rsidRPr="00826006">
        <w:rPr>
          <w:sz w:val="24"/>
          <w:szCs w:val="24"/>
        </w:rPr>
        <w:t>antikolinerge</w:t>
      </w:r>
      <w:proofErr w:type="spellEnd"/>
      <w:r w:rsidRPr="00826006">
        <w:rPr>
          <w:sz w:val="24"/>
          <w:szCs w:val="24"/>
        </w:rPr>
        <w:t xml:space="preserve"> midler kan symptomerne behandles som følger:</w:t>
      </w:r>
    </w:p>
    <w:p w:rsidR="00281C36" w:rsidRPr="00826006" w:rsidRDefault="00281C36" w:rsidP="00281C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26006">
        <w:rPr>
          <w:sz w:val="24"/>
          <w:szCs w:val="24"/>
        </w:rPr>
        <w:t xml:space="preserve">Alvorlige centrale </w:t>
      </w:r>
      <w:proofErr w:type="spellStart"/>
      <w:r w:rsidRPr="00826006">
        <w:rPr>
          <w:sz w:val="24"/>
          <w:szCs w:val="24"/>
        </w:rPr>
        <w:t>antikolinerge</w:t>
      </w:r>
      <w:proofErr w:type="spellEnd"/>
      <w:r w:rsidRPr="00826006">
        <w:rPr>
          <w:sz w:val="24"/>
          <w:szCs w:val="24"/>
        </w:rPr>
        <w:t xml:space="preserve"> virkninger som hallucinationer eller udtalt </w:t>
      </w:r>
      <w:proofErr w:type="spellStart"/>
      <w:r w:rsidRPr="00826006">
        <w:rPr>
          <w:sz w:val="24"/>
          <w:szCs w:val="24"/>
        </w:rPr>
        <w:t>excitation</w:t>
      </w:r>
      <w:proofErr w:type="spellEnd"/>
      <w:r w:rsidRPr="00826006">
        <w:rPr>
          <w:sz w:val="24"/>
          <w:szCs w:val="24"/>
        </w:rPr>
        <w:t xml:space="preserve"> behandles med </w:t>
      </w:r>
      <w:proofErr w:type="spellStart"/>
      <w:r w:rsidRPr="00826006">
        <w:rPr>
          <w:sz w:val="24"/>
          <w:szCs w:val="24"/>
        </w:rPr>
        <w:t>physostigmin</w:t>
      </w:r>
      <w:proofErr w:type="spellEnd"/>
      <w:r w:rsidRPr="00826006">
        <w:rPr>
          <w:sz w:val="24"/>
          <w:szCs w:val="24"/>
        </w:rPr>
        <w:t xml:space="preserve"> eller </w:t>
      </w:r>
      <w:proofErr w:type="spellStart"/>
      <w:r w:rsidRPr="00826006">
        <w:rPr>
          <w:sz w:val="24"/>
          <w:szCs w:val="24"/>
        </w:rPr>
        <w:t>carbachol</w:t>
      </w:r>
      <w:proofErr w:type="spellEnd"/>
      <w:r w:rsidRPr="00826006">
        <w:rPr>
          <w:sz w:val="24"/>
          <w:szCs w:val="24"/>
        </w:rPr>
        <w:t>.</w:t>
      </w:r>
    </w:p>
    <w:p w:rsidR="00281C36" w:rsidRPr="00826006" w:rsidRDefault="00281C36" w:rsidP="00281C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26006">
        <w:rPr>
          <w:sz w:val="24"/>
          <w:szCs w:val="24"/>
        </w:rPr>
        <w:t xml:space="preserve">Kramper eller udtalt </w:t>
      </w:r>
      <w:proofErr w:type="spellStart"/>
      <w:r w:rsidRPr="00826006">
        <w:rPr>
          <w:sz w:val="24"/>
          <w:szCs w:val="24"/>
        </w:rPr>
        <w:t>excitation</w:t>
      </w:r>
      <w:proofErr w:type="spellEnd"/>
      <w:r w:rsidRPr="00826006">
        <w:rPr>
          <w:sz w:val="24"/>
          <w:szCs w:val="24"/>
        </w:rPr>
        <w:t xml:space="preserve"> behandles med benzodiazepiner.</w:t>
      </w:r>
    </w:p>
    <w:p w:rsidR="00281C36" w:rsidRPr="00826006" w:rsidRDefault="00281C36" w:rsidP="00281C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26006">
        <w:rPr>
          <w:sz w:val="24"/>
          <w:szCs w:val="24"/>
        </w:rPr>
        <w:t>Respirationsinsufficiens behandles med kunstigt åndedræt.</w:t>
      </w:r>
    </w:p>
    <w:p w:rsidR="00281C36" w:rsidRPr="00826006" w:rsidRDefault="00281C36" w:rsidP="00281C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Takykardi</w:t>
      </w:r>
      <w:proofErr w:type="spellEnd"/>
      <w:r w:rsidRPr="00826006">
        <w:rPr>
          <w:sz w:val="24"/>
          <w:szCs w:val="24"/>
        </w:rPr>
        <w:t xml:space="preserve"> behandles med betablokkere.</w:t>
      </w:r>
    </w:p>
    <w:p w:rsidR="00281C36" w:rsidRPr="00826006" w:rsidRDefault="00281C36" w:rsidP="00281C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26006">
        <w:rPr>
          <w:sz w:val="24"/>
          <w:szCs w:val="24"/>
        </w:rPr>
        <w:lastRenderedPageBreak/>
        <w:t xml:space="preserve">Urinretention behandles med </w:t>
      </w:r>
      <w:proofErr w:type="spellStart"/>
      <w:r w:rsidRPr="00826006">
        <w:rPr>
          <w:sz w:val="24"/>
          <w:szCs w:val="24"/>
        </w:rPr>
        <w:t>kateterisation</w:t>
      </w:r>
      <w:proofErr w:type="spellEnd"/>
      <w:r w:rsidRPr="00826006">
        <w:rPr>
          <w:sz w:val="24"/>
          <w:szCs w:val="24"/>
        </w:rPr>
        <w:t>.</w:t>
      </w:r>
    </w:p>
    <w:p w:rsidR="00281C36" w:rsidRPr="00826006" w:rsidRDefault="00281C36" w:rsidP="00281C36">
      <w:pPr>
        <w:numPr>
          <w:ilvl w:val="0"/>
          <w:numId w:val="6"/>
        </w:numPr>
        <w:ind w:left="1276" w:hanging="425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Mydriasis</w:t>
      </w:r>
      <w:proofErr w:type="spellEnd"/>
      <w:r w:rsidRPr="00826006">
        <w:rPr>
          <w:sz w:val="24"/>
          <w:szCs w:val="24"/>
        </w:rPr>
        <w:t xml:space="preserve"> behandles med </w:t>
      </w:r>
      <w:proofErr w:type="spellStart"/>
      <w:r w:rsidRPr="00826006">
        <w:rPr>
          <w:sz w:val="24"/>
          <w:szCs w:val="24"/>
        </w:rPr>
        <w:t>pilocarpin</w:t>
      </w:r>
      <w:proofErr w:type="spellEnd"/>
      <w:r w:rsidRPr="00826006">
        <w:rPr>
          <w:sz w:val="24"/>
          <w:szCs w:val="24"/>
        </w:rPr>
        <w:t xml:space="preserve">-øjendråber og/eller patienten placeres i et mørkt rum. 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Som med øvrige </w:t>
      </w:r>
      <w:proofErr w:type="spellStart"/>
      <w:r w:rsidRPr="00826006">
        <w:rPr>
          <w:sz w:val="24"/>
          <w:szCs w:val="24"/>
        </w:rPr>
        <w:t>antimuscarine</w:t>
      </w:r>
      <w:proofErr w:type="spellEnd"/>
      <w:r w:rsidRPr="00826006">
        <w:rPr>
          <w:sz w:val="24"/>
          <w:szCs w:val="24"/>
        </w:rPr>
        <w:t xml:space="preserve"> midler bør man i tilfælde af overdosering være ekstra opmærksom på patienter med kendt risiko for QT-forlængelse (dvs. </w:t>
      </w:r>
      <w:proofErr w:type="spellStart"/>
      <w:r w:rsidRPr="00826006">
        <w:rPr>
          <w:sz w:val="24"/>
          <w:szCs w:val="24"/>
        </w:rPr>
        <w:t>hypokalæmi</w:t>
      </w:r>
      <w:proofErr w:type="spellEnd"/>
      <w:r w:rsidRPr="00826006">
        <w:rPr>
          <w:sz w:val="24"/>
          <w:szCs w:val="24"/>
        </w:rPr>
        <w:t xml:space="preserve">, bradykardi og samtidig administration af lægemidler, der forlænger QT-intervallet) og relevante præeksisterende hjertelidelser (dvs. </w:t>
      </w:r>
      <w:proofErr w:type="spellStart"/>
      <w:r w:rsidRPr="00826006">
        <w:rPr>
          <w:sz w:val="24"/>
          <w:szCs w:val="24"/>
        </w:rPr>
        <w:t>myokardieiskæmi</w:t>
      </w:r>
      <w:proofErr w:type="spellEnd"/>
      <w:r w:rsidRPr="00826006">
        <w:rPr>
          <w:sz w:val="24"/>
          <w:szCs w:val="24"/>
        </w:rPr>
        <w:t xml:space="preserve">, </w:t>
      </w:r>
      <w:proofErr w:type="spellStart"/>
      <w:r w:rsidRPr="00826006">
        <w:rPr>
          <w:sz w:val="24"/>
          <w:szCs w:val="24"/>
        </w:rPr>
        <w:t>arytmi</w:t>
      </w:r>
      <w:proofErr w:type="spellEnd"/>
      <w:r w:rsidRPr="00826006">
        <w:rPr>
          <w:sz w:val="24"/>
          <w:szCs w:val="24"/>
        </w:rPr>
        <w:t xml:space="preserve">, </w:t>
      </w:r>
      <w:proofErr w:type="spellStart"/>
      <w:r w:rsidRPr="00826006">
        <w:rPr>
          <w:sz w:val="24"/>
          <w:szCs w:val="24"/>
        </w:rPr>
        <w:t>kongestivt</w:t>
      </w:r>
      <w:proofErr w:type="spellEnd"/>
      <w:r w:rsidRPr="00826006">
        <w:rPr>
          <w:sz w:val="24"/>
          <w:szCs w:val="24"/>
        </w:rPr>
        <w:t xml:space="preserve"> hjertesvigt).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4.10</w:t>
      </w:r>
      <w:r w:rsidRPr="00826006">
        <w:rPr>
          <w:b/>
          <w:sz w:val="24"/>
          <w:szCs w:val="24"/>
        </w:rPr>
        <w:tab/>
        <w:t>Udlevering</w:t>
      </w:r>
    </w:p>
    <w:p w:rsidR="00281C36" w:rsidRPr="00826006" w:rsidRDefault="00281C36" w:rsidP="00281C3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5.</w:t>
      </w:r>
      <w:r w:rsidRPr="00826006">
        <w:rPr>
          <w:b/>
          <w:sz w:val="24"/>
          <w:szCs w:val="24"/>
        </w:rPr>
        <w:tab/>
        <w:t>FARMAKOLOGISKE EGENSKABER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5.1</w:t>
      </w:r>
      <w:r w:rsidRPr="00826006">
        <w:rPr>
          <w:b/>
          <w:sz w:val="24"/>
          <w:szCs w:val="24"/>
        </w:rPr>
        <w:tab/>
      </w:r>
      <w:proofErr w:type="spellStart"/>
      <w:r w:rsidRPr="00826006">
        <w:rPr>
          <w:b/>
          <w:sz w:val="24"/>
          <w:szCs w:val="24"/>
        </w:rPr>
        <w:t>Farmakodynamiske</w:t>
      </w:r>
      <w:proofErr w:type="spellEnd"/>
      <w:r w:rsidRPr="00826006">
        <w:rPr>
          <w:b/>
          <w:sz w:val="24"/>
          <w:szCs w:val="24"/>
        </w:rPr>
        <w:t xml:space="preserve"> egenskaber</w:t>
      </w:r>
    </w:p>
    <w:p w:rsidR="008954FA" w:rsidRDefault="008954FA" w:rsidP="008954FA">
      <w:pPr>
        <w:suppressAutoHyphens/>
        <w:ind w:left="851"/>
        <w:rPr>
          <w:sz w:val="24"/>
          <w:szCs w:val="24"/>
        </w:rPr>
      </w:pPr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Urolo</w:t>
      </w:r>
      <w:r w:rsidRPr="00826006">
        <w:rPr>
          <w:sz w:val="24"/>
          <w:szCs w:val="24"/>
        </w:rPr>
        <w:t>gica</w:t>
      </w:r>
      <w:proofErr w:type="spellEnd"/>
      <w:r w:rsidRPr="00826006">
        <w:rPr>
          <w:sz w:val="24"/>
          <w:szCs w:val="24"/>
        </w:rPr>
        <w:t xml:space="preserve">, midler mod hyppig </w:t>
      </w:r>
      <w:proofErr w:type="spellStart"/>
      <w:r w:rsidRPr="00826006">
        <w:rPr>
          <w:sz w:val="24"/>
          <w:szCs w:val="24"/>
        </w:rPr>
        <w:t>urinering</w:t>
      </w:r>
      <w:proofErr w:type="spellEnd"/>
      <w:r w:rsidRPr="00826006">
        <w:rPr>
          <w:sz w:val="24"/>
          <w:szCs w:val="24"/>
        </w:rPr>
        <w:t xml:space="preserve"> og inkontinens</w:t>
      </w:r>
      <w:r>
        <w:rPr>
          <w:sz w:val="24"/>
          <w:szCs w:val="24"/>
        </w:rPr>
        <w:t>.</w:t>
      </w:r>
    </w:p>
    <w:p w:rsidR="008954FA" w:rsidRPr="00826006" w:rsidRDefault="008954FA" w:rsidP="008954FA">
      <w:pPr>
        <w:suppressAutoHyphens/>
        <w:ind w:left="851"/>
        <w:rPr>
          <w:sz w:val="24"/>
          <w:szCs w:val="24"/>
        </w:rPr>
      </w:pPr>
      <w:r w:rsidRPr="00826006">
        <w:rPr>
          <w:sz w:val="24"/>
          <w:szCs w:val="24"/>
        </w:rPr>
        <w:t>ATC-kode: G</w:t>
      </w:r>
      <w:r>
        <w:rPr>
          <w:sz w:val="24"/>
          <w:szCs w:val="24"/>
        </w:rPr>
        <w:t xml:space="preserve"> </w:t>
      </w:r>
      <w:r w:rsidRPr="00826006">
        <w:rPr>
          <w:sz w:val="24"/>
          <w:szCs w:val="24"/>
        </w:rPr>
        <w:t>04</w:t>
      </w:r>
      <w:r>
        <w:rPr>
          <w:sz w:val="24"/>
          <w:szCs w:val="24"/>
        </w:rPr>
        <w:t xml:space="preserve"> </w:t>
      </w:r>
      <w:r w:rsidRPr="00826006">
        <w:rPr>
          <w:sz w:val="24"/>
          <w:szCs w:val="24"/>
        </w:rPr>
        <w:t>BD</w:t>
      </w:r>
      <w:r>
        <w:rPr>
          <w:sz w:val="24"/>
          <w:szCs w:val="24"/>
        </w:rPr>
        <w:t xml:space="preserve"> </w:t>
      </w:r>
      <w:r w:rsidRPr="00826006">
        <w:rPr>
          <w:sz w:val="24"/>
          <w:szCs w:val="24"/>
        </w:rPr>
        <w:t>08</w:t>
      </w:r>
      <w:r>
        <w:rPr>
          <w:sz w:val="24"/>
          <w:szCs w:val="24"/>
        </w:rPr>
        <w:t>.</w:t>
      </w:r>
    </w:p>
    <w:p w:rsidR="00281C36" w:rsidRPr="008954FA" w:rsidRDefault="00281C36" w:rsidP="00281C36">
      <w:pPr>
        <w:suppressAutoHyphens/>
        <w:ind w:left="851" w:hanging="851"/>
        <w:rPr>
          <w:bCs/>
          <w:sz w:val="24"/>
          <w:szCs w:val="24"/>
        </w:rPr>
      </w:pPr>
    </w:p>
    <w:p w:rsidR="00281C36" w:rsidRPr="00826006" w:rsidRDefault="00281C36" w:rsidP="00281C36">
      <w:pPr>
        <w:suppressAutoHyphens/>
        <w:ind w:left="851"/>
        <w:rPr>
          <w:bCs/>
          <w:sz w:val="24"/>
          <w:szCs w:val="24"/>
          <w:u w:val="single"/>
        </w:rPr>
      </w:pPr>
      <w:r w:rsidRPr="00826006">
        <w:rPr>
          <w:bCs/>
          <w:sz w:val="24"/>
          <w:szCs w:val="24"/>
          <w:u w:val="single"/>
        </w:rPr>
        <w:t>Virkningsmekanisme</w:t>
      </w:r>
    </w:p>
    <w:p w:rsidR="00281C36" w:rsidRPr="00826006" w:rsidRDefault="00281C36" w:rsidP="00281C36">
      <w:pPr>
        <w:suppressAutoHyphens/>
        <w:ind w:left="851"/>
        <w:rPr>
          <w:bCs/>
          <w:sz w:val="24"/>
          <w:szCs w:val="24"/>
        </w:rPr>
      </w:pPr>
      <w:proofErr w:type="spellStart"/>
      <w:r w:rsidRPr="00826006">
        <w:rPr>
          <w:bCs/>
          <w:sz w:val="24"/>
          <w:szCs w:val="24"/>
        </w:rPr>
        <w:t>Solifenacin</w:t>
      </w:r>
      <w:proofErr w:type="spellEnd"/>
      <w:r w:rsidRPr="00826006">
        <w:rPr>
          <w:bCs/>
          <w:sz w:val="24"/>
          <w:szCs w:val="24"/>
        </w:rPr>
        <w:t xml:space="preserve"> er en </w:t>
      </w:r>
      <w:proofErr w:type="spellStart"/>
      <w:r w:rsidRPr="00826006">
        <w:rPr>
          <w:bCs/>
          <w:sz w:val="24"/>
          <w:szCs w:val="24"/>
        </w:rPr>
        <w:t>kompetitiv</w:t>
      </w:r>
      <w:proofErr w:type="spellEnd"/>
      <w:r w:rsidRPr="00826006">
        <w:rPr>
          <w:bCs/>
          <w:sz w:val="24"/>
          <w:szCs w:val="24"/>
        </w:rPr>
        <w:t xml:space="preserve">, specifik </w:t>
      </w:r>
      <w:proofErr w:type="spellStart"/>
      <w:r w:rsidRPr="00826006">
        <w:rPr>
          <w:bCs/>
          <w:sz w:val="24"/>
          <w:szCs w:val="24"/>
        </w:rPr>
        <w:t>kolinerg</w:t>
      </w:r>
      <w:proofErr w:type="spellEnd"/>
      <w:r w:rsidRPr="00826006">
        <w:rPr>
          <w:bCs/>
          <w:sz w:val="24"/>
          <w:szCs w:val="24"/>
        </w:rPr>
        <w:t>-receptorantagonist.</w:t>
      </w:r>
    </w:p>
    <w:p w:rsidR="00281C36" w:rsidRPr="00826006" w:rsidRDefault="00281C36" w:rsidP="00281C36">
      <w:pPr>
        <w:suppressAutoHyphens/>
        <w:ind w:left="851" w:hanging="851"/>
        <w:rPr>
          <w:bCs/>
          <w:sz w:val="24"/>
          <w:szCs w:val="24"/>
        </w:rPr>
      </w:pPr>
    </w:p>
    <w:p w:rsidR="00281C36" w:rsidRPr="00826006" w:rsidRDefault="00281C36" w:rsidP="00281C36">
      <w:pPr>
        <w:suppressAutoHyphens/>
        <w:ind w:left="851"/>
        <w:rPr>
          <w:bCs/>
          <w:sz w:val="24"/>
          <w:szCs w:val="24"/>
        </w:rPr>
      </w:pPr>
      <w:r w:rsidRPr="00826006">
        <w:rPr>
          <w:bCs/>
          <w:sz w:val="24"/>
          <w:szCs w:val="24"/>
        </w:rPr>
        <w:t xml:space="preserve">Urinblæren </w:t>
      </w:r>
      <w:proofErr w:type="spellStart"/>
      <w:r w:rsidRPr="00826006">
        <w:rPr>
          <w:bCs/>
          <w:sz w:val="24"/>
          <w:szCs w:val="24"/>
        </w:rPr>
        <w:t>innerveres</w:t>
      </w:r>
      <w:proofErr w:type="spellEnd"/>
      <w:r w:rsidRPr="00826006">
        <w:rPr>
          <w:bCs/>
          <w:sz w:val="24"/>
          <w:szCs w:val="24"/>
        </w:rPr>
        <w:t xml:space="preserve"> af parasympatiske </w:t>
      </w:r>
      <w:proofErr w:type="spellStart"/>
      <w:r w:rsidRPr="00826006">
        <w:rPr>
          <w:bCs/>
          <w:sz w:val="24"/>
          <w:szCs w:val="24"/>
        </w:rPr>
        <w:t>kolinerge</w:t>
      </w:r>
      <w:proofErr w:type="spellEnd"/>
      <w:r w:rsidRPr="00826006">
        <w:rPr>
          <w:bCs/>
          <w:sz w:val="24"/>
          <w:szCs w:val="24"/>
        </w:rPr>
        <w:t xml:space="preserve"> nerver. </w:t>
      </w:r>
      <w:proofErr w:type="spellStart"/>
      <w:r w:rsidRPr="00826006">
        <w:rPr>
          <w:bCs/>
          <w:sz w:val="24"/>
          <w:szCs w:val="24"/>
        </w:rPr>
        <w:t>Acetylcholin</w:t>
      </w:r>
      <w:proofErr w:type="spellEnd"/>
      <w:r w:rsidRPr="00826006">
        <w:rPr>
          <w:bCs/>
          <w:sz w:val="24"/>
          <w:szCs w:val="24"/>
        </w:rPr>
        <w:t xml:space="preserve"> sammentrækker den glatte </w:t>
      </w:r>
      <w:proofErr w:type="spellStart"/>
      <w:r w:rsidRPr="00826006">
        <w:rPr>
          <w:bCs/>
          <w:sz w:val="24"/>
          <w:szCs w:val="24"/>
        </w:rPr>
        <w:t>detrusormuskel</w:t>
      </w:r>
      <w:proofErr w:type="spellEnd"/>
      <w:r w:rsidRPr="00826006">
        <w:rPr>
          <w:bCs/>
          <w:sz w:val="24"/>
          <w:szCs w:val="24"/>
        </w:rPr>
        <w:t xml:space="preserve"> via </w:t>
      </w:r>
      <w:proofErr w:type="spellStart"/>
      <w:r w:rsidRPr="00826006">
        <w:rPr>
          <w:bCs/>
          <w:sz w:val="24"/>
          <w:szCs w:val="24"/>
        </w:rPr>
        <w:t>muscarine</w:t>
      </w:r>
      <w:proofErr w:type="spellEnd"/>
      <w:r w:rsidRPr="00826006">
        <w:rPr>
          <w:bCs/>
          <w:sz w:val="24"/>
          <w:szCs w:val="24"/>
        </w:rPr>
        <w:t xml:space="preserve"> receptorer, for hvilke M</w:t>
      </w:r>
      <w:r w:rsidRPr="00826006">
        <w:rPr>
          <w:bCs/>
          <w:sz w:val="24"/>
          <w:szCs w:val="24"/>
          <w:vertAlign w:val="subscript"/>
        </w:rPr>
        <w:t>3</w:t>
      </w:r>
      <w:r w:rsidRPr="00826006">
        <w:rPr>
          <w:bCs/>
          <w:sz w:val="24"/>
          <w:szCs w:val="24"/>
        </w:rPr>
        <w:t xml:space="preserve">-undertypen overvejende er involveret. Farmakologiske </w:t>
      </w:r>
      <w:r w:rsidRPr="00826006">
        <w:rPr>
          <w:bCs/>
          <w:i/>
          <w:sz w:val="24"/>
          <w:szCs w:val="24"/>
        </w:rPr>
        <w:t xml:space="preserve">in </w:t>
      </w:r>
      <w:proofErr w:type="spellStart"/>
      <w:r w:rsidRPr="00826006">
        <w:rPr>
          <w:bCs/>
          <w:i/>
          <w:sz w:val="24"/>
          <w:szCs w:val="24"/>
        </w:rPr>
        <w:t>vitro</w:t>
      </w:r>
      <w:proofErr w:type="spellEnd"/>
      <w:r w:rsidRPr="00826006">
        <w:rPr>
          <w:bCs/>
          <w:sz w:val="24"/>
          <w:szCs w:val="24"/>
        </w:rPr>
        <w:t xml:space="preserve"> og </w:t>
      </w:r>
      <w:r w:rsidRPr="00826006">
        <w:rPr>
          <w:bCs/>
          <w:i/>
          <w:sz w:val="24"/>
          <w:szCs w:val="24"/>
        </w:rPr>
        <w:t xml:space="preserve">in </w:t>
      </w:r>
      <w:proofErr w:type="spellStart"/>
      <w:r w:rsidRPr="00826006">
        <w:rPr>
          <w:bCs/>
          <w:i/>
          <w:sz w:val="24"/>
          <w:szCs w:val="24"/>
        </w:rPr>
        <w:t>vivo</w:t>
      </w:r>
      <w:proofErr w:type="spellEnd"/>
      <w:r w:rsidRPr="00826006">
        <w:rPr>
          <w:bCs/>
          <w:sz w:val="24"/>
          <w:szCs w:val="24"/>
        </w:rPr>
        <w:t xml:space="preserve"> undersøgelser viser, at </w:t>
      </w:r>
      <w:proofErr w:type="spellStart"/>
      <w:r w:rsidRPr="00826006">
        <w:rPr>
          <w:bCs/>
          <w:sz w:val="24"/>
          <w:szCs w:val="24"/>
        </w:rPr>
        <w:t>solifenacin</w:t>
      </w:r>
      <w:proofErr w:type="spellEnd"/>
      <w:r w:rsidRPr="00826006">
        <w:rPr>
          <w:bCs/>
          <w:sz w:val="24"/>
          <w:szCs w:val="24"/>
        </w:rPr>
        <w:t xml:space="preserve"> er en </w:t>
      </w:r>
      <w:proofErr w:type="spellStart"/>
      <w:r w:rsidRPr="00826006">
        <w:rPr>
          <w:bCs/>
          <w:sz w:val="24"/>
          <w:szCs w:val="24"/>
        </w:rPr>
        <w:t>kompetitiv</w:t>
      </w:r>
      <w:proofErr w:type="spellEnd"/>
      <w:r w:rsidRPr="00826006">
        <w:rPr>
          <w:bCs/>
          <w:sz w:val="24"/>
          <w:szCs w:val="24"/>
        </w:rPr>
        <w:t xml:space="preserve"> hæmmer af den </w:t>
      </w:r>
      <w:proofErr w:type="spellStart"/>
      <w:r w:rsidRPr="00826006">
        <w:rPr>
          <w:bCs/>
          <w:sz w:val="24"/>
          <w:szCs w:val="24"/>
        </w:rPr>
        <w:t>muscarine</w:t>
      </w:r>
      <w:proofErr w:type="spellEnd"/>
      <w:r w:rsidRPr="00826006">
        <w:rPr>
          <w:bCs/>
          <w:sz w:val="24"/>
          <w:szCs w:val="24"/>
        </w:rPr>
        <w:t xml:space="preserve"> M</w:t>
      </w:r>
      <w:r w:rsidRPr="00826006">
        <w:rPr>
          <w:bCs/>
          <w:sz w:val="24"/>
          <w:szCs w:val="24"/>
          <w:vertAlign w:val="subscript"/>
        </w:rPr>
        <w:t>3</w:t>
      </w:r>
      <w:r w:rsidRPr="00826006">
        <w:rPr>
          <w:bCs/>
          <w:sz w:val="24"/>
          <w:szCs w:val="24"/>
        </w:rPr>
        <w:t xml:space="preserve">-undertype-receptor. Det er desuden vist, at </w:t>
      </w:r>
      <w:proofErr w:type="spellStart"/>
      <w:r w:rsidRPr="00826006">
        <w:rPr>
          <w:bCs/>
          <w:sz w:val="24"/>
          <w:szCs w:val="24"/>
        </w:rPr>
        <w:t>solifenacin</w:t>
      </w:r>
      <w:proofErr w:type="spellEnd"/>
      <w:r w:rsidRPr="00826006">
        <w:rPr>
          <w:bCs/>
          <w:sz w:val="24"/>
          <w:szCs w:val="24"/>
        </w:rPr>
        <w:t xml:space="preserve"> er en specifik </w:t>
      </w:r>
      <w:proofErr w:type="spellStart"/>
      <w:r w:rsidRPr="00826006">
        <w:rPr>
          <w:bCs/>
          <w:sz w:val="24"/>
          <w:szCs w:val="24"/>
        </w:rPr>
        <w:t>muscarin</w:t>
      </w:r>
      <w:proofErr w:type="spellEnd"/>
      <w:r w:rsidRPr="00826006">
        <w:rPr>
          <w:bCs/>
          <w:sz w:val="24"/>
          <w:szCs w:val="24"/>
        </w:rPr>
        <w:t>-receptor antagonist, idet det har lav eller ingen affinitet for andre undersøgte receptorer og ionkanaler.</w:t>
      </w:r>
    </w:p>
    <w:p w:rsidR="00281C36" w:rsidRPr="00826006" w:rsidRDefault="00281C36" w:rsidP="00281C36">
      <w:pPr>
        <w:suppressAutoHyphens/>
        <w:ind w:left="851" w:hanging="851"/>
        <w:rPr>
          <w:bCs/>
          <w:sz w:val="24"/>
          <w:szCs w:val="24"/>
          <w:u w:val="single"/>
        </w:rPr>
      </w:pPr>
    </w:p>
    <w:p w:rsidR="00281C36" w:rsidRPr="00826006" w:rsidRDefault="00281C36" w:rsidP="00281C36">
      <w:pPr>
        <w:suppressAutoHyphens/>
        <w:ind w:left="851"/>
        <w:rPr>
          <w:bCs/>
          <w:sz w:val="24"/>
          <w:szCs w:val="24"/>
          <w:u w:val="single"/>
        </w:rPr>
      </w:pPr>
      <w:proofErr w:type="spellStart"/>
      <w:r w:rsidRPr="00826006">
        <w:rPr>
          <w:bCs/>
          <w:sz w:val="24"/>
          <w:szCs w:val="24"/>
          <w:u w:val="single"/>
        </w:rPr>
        <w:t>Farmakodynamisk</w:t>
      </w:r>
      <w:proofErr w:type="spellEnd"/>
      <w:r w:rsidRPr="00826006">
        <w:rPr>
          <w:bCs/>
          <w:sz w:val="24"/>
          <w:szCs w:val="24"/>
          <w:u w:val="single"/>
        </w:rPr>
        <w:t xml:space="preserve"> virkning</w:t>
      </w:r>
    </w:p>
    <w:p w:rsidR="00281C36" w:rsidRPr="00826006" w:rsidRDefault="00281C36" w:rsidP="00281C36">
      <w:pPr>
        <w:suppressAutoHyphens/>
        <w:ind w:left="851"/>
        <w:rPr>
          <w:bCs/>
          <w:sz w:val="24"/>
          <w:szCs w:val="24"/>
        </w:rPr>
      </w:pPr>
      <w:r w:rsidRPr="00826006">
        <w:rPr>
          <w:bCs/>
          <w:sz w:val="24"/>
          <w:szCs w:val="24"/>
        </w:rPr>
        <w:t xml:space="preserve">Behandling med </w:t>
      </w:r>
      <w:proofErr w:type="spellStart"/>
      <w:r w:rsidRPr="00826006">
        <w:rPr>
          <w:bCs/>
          <w:sz w:val="24"/>
          <w:szCs w:val="24"/>
        </w:rPr>
        <w:t>solifenacinsuccinat</w:t>
      </w:r>
      <w:proofErr w:type="spellEnd"/>
      <w:r w:rsidRPr="00826006">
        <w:rPr>
          <w:bCs/>
          <w:sz w:val="24"/>
          <w:szCs w:val="24"/>
        </w:rPr>
        <w:t xml:space="preserve"> i doser på 5 mg og 10 mg daglig er blevet undersøgt i adskillige dobbeltblindede randomiserede kontrollerede undersøgelser hos mænd og kvinder med overaktiv blære.</w:t>
      </w:r>
    </w:p>
    <w:p w:rsidR="00281C36" w:rsidRPr="00826006" w:rsidRDefault="00281C36" w:rsidP="00281C36">
      <w:pPr>
        <w:suppressAutoHyphens/>
        <w:ind w:left="851" w:hanging="851"/>
        <w:rPr>
          <w:bCs/>
          <w:sz w:val="24"/>
          <w:szCs w:val="24"/>
        </w:rPr>
      </w:pPr>
    </w:p>
    <w:p w:rsidR="00281C36" w:rsidRPr="00826006" w:rsidRDefault="00281C36" w:rsidP="00281C36">
      <w:pPr>
        <w:suppressAutoHyphens/>
        <w:ind w:left="851"/>
        <w:rPr>
          <w:bCs/>
          <w:sz w:val="24"/>
          <w:szCs w:val="24"/>
        </w:rPr>
      </w:pPr>
      <w:r w:rsidRPr="00826006">
        <w:rPr>
          <w:bCs/>
          <w:sz w:val="24"/>
          <w:szCs w:val="24"/>
        </w:rPr>
        <w:t xml:space="preserve">Som vist i nedenstående tabel giver både 5 mg og 10 mg doser af </w:t>
      </w:r>
      <w:proofErr w:type="spellStart"/>
      <w:r w:rsidRPr="00826006">
        <w:rPr>
          <w:bCs/>
          <w:sz w:val="24"/>
          <w:szCs w:val="24"/>
        </w:rPr>
        <w:t>solifenacinsuccinat</w:t>
      </w:r>
      <w:proofErr w:type="spellEnd"/>
      <w:r w:rsidRPr="00826006">
        <w:rPr>
          <w:bCs/>
          <w:sz w:val="24"/>
          <w:szCs w:val="24"/>
        </w:rPr>
        <w:t xml:space="preserve"> statistisk signifikante forbedringer i primære og sekundære </w:t>
      </w:r>
      <w:proofErr w:type="spellStart"/>
      <w:r w:rsidRPr="00826006">
        <w:rPr>
          <w:bCs/>
          <w:i/>
          <w:sz w:val="24"/>
          <w:szCs w:val="24"/>
        </w:rPr>
        <w:t>endpoints</w:t>
      </w:r>
      <w:proofErr w:type="spellEnd"/>
      <w:r w:rsidRPr="00826006">
        <w:rPr>
          <w:bCs/>
          <w:sz w:val="24"/>
          <w:szCs w:val="24"/>
        </w:rPr>
        <w:t xml:space="preserve"> sammenlignet med placebo. Effekten ses inden for en uges behandling og stabiliseres i løbet af de næste 12 uger. Et åbent langtidsstudie viser, at effekten opretholdes i mindst 12 måneder. Efter 12 ugers behandling var ca. 50% af patienterne, der før behandling led af inkontinens, fri for inkontinensepisoder, og 35% af patienterne opnåede en vandladningsfrekvens på mindre end 8 vandladninger pr. dag.</w:t>
      </w:r>
    </w:p>
    <w:p w:rsidR="00281C36" w:rsidRPr="00826006" w:rsidRDefault="00281C36" w:rsidP="00281C36">
      <w:pPr>
        <w:suppressAutoHyphens/>
        <w:ind w:left="851" w:hanging="851"/>
        <w:rPr>
          <w:bCs/>
          <w:sz w:val="24"/>
          <w:szCs w:val="24"/>
        </w:rPr>
      </w:pPr>
    </w:p>
    <w:p w:rsidR="00281C36" w:rsidRPr="00826006" w:rsidRDefault="00281C36" w:rsidP="00281C36">
      <w:pPr>
        <w:suppressAutoHyphens/>
        <w:ind w:left="851"/>
        <w:rPr>
          <w:bCs/>
          <w:sz w:val="24"/>
          <w:szCs w:val="24"/>
        </w:rPr>
      </w:pPr>
      <w:r w:rsidRPr="00826006">
        <w:rPr>
          <w:bCs/>
          <w:sz w:val="24"/>
          <w:szCs w:val="24"/>
        </w:rPr>
        <w:t>Behandling af symptomerne forbundet med overaktiv blære forbedrer også livskvaliteten vurderet på generel sundhedsopfattelse, inkontinensens indvirkning, rollebegrænsninger, fysiske begrænsninger, sociale begrænsninger, følelser, sværhedsgrad af symptomer, sværhedsgradsmålinger og søvn/energi.</w:t>
      </w:r>
    </w:p>
    <w:p w:rsidR="00281C36" w:rsidRDefault="00281C36" w:rsidP="00281C36">
      <w:pPr>
        <w:suppressAutoHyphens/>
        <w:ind w:left="851" w:hanging="851"/>
        <w:rPr>
          <w:bCs/>
          <w:sz w:val="24"/>
          <w:szCs w:val="24"/>
        </w:rPr>
      </w:pPr>
    </w:p>
    <w:p w:rsidR="008954FA" w:rsidRDefault="008954FA" w:rsidP="00281C36">
      <w:pPr>
        <w:suppressAutoHyphens/>
        <w:ind w:left="851" w:hanging="851"/>
        <w:rPr>
          <w:bCs/>
          <w:sz w:val="24"/>
          <w:szCs w:val="24"/>
        </w:rPr>
      </w:pPr>
    </w:p>
    <w:p w:rsidR="008954FA" w:rsidRDefault="008954FA" w:rsidP="00281C36">
      <w:pPr>
        <w:suppressAutoHyphens/>
        <w:ind w:left="851" w:hanging="851"/>
        <w:rPr>
          <w:bCs/>
          <w:sz w:val="24"/>
          <w:szCs w:val="24"/>
        </w:rPr>
      </w:pPr>
    </w:p>
    <w:p w:rsidR="008954FA" w:rsidRPr="00826006" w:rsidRDefault="008954FA" w:rsidP="00281C36">
      <w:pPr>
        <w:suppressAutoHyphens/>
        <w:ind w:left="851" w:hanging="851"/>
        <w:rPr>
          <w:bCs/>
          <w:sz w:val="24"/>
          <w:szCs w:val="24"/>
        </w:rPr>
      </w:pPr>
    </w:p>
    <w:p w:rsidR="00281C36" w:rsidRPr="00826006" w:rsidRDefault="00281C36" w:rsidP="00281C36">
      <w:pPr>
        <w:suppressAutoHyphens/>
        <w:rPr>
          <w:bCs/>
          <w:i/>
          <w:sz w:val="24"/>
          <w:szCs w:val="24"/>
        </w:rPr>
      </w:pPr>
      <w:r w:rsidRPr="00826006">
        <w:rPr>
          <w:bCs/>
          <w:i/>
          <w:sz w:val="24"/>
          <w:szCs w:val="24"/>
        </w:rPr>
        <w:lastRenderedPageBreak/>
        <w:t>Resultater (</w:t>
      </w:r>
      <w:proofErr w:type="spellStart"/>
      <w:r w:rsidRPr="00826006">
        <w:rPr>
          <w:bCs/>
          <w:i/>
          <w:sz w:val="24"/>
          <w:szCs w:val="24"/>
        </w:rPr>
        <w:t>puljede</w:t>
      </w:r>
      <w:proofErr w:type="spellEnd"/>
      <w:r w:rsidRPr="00826006">
        <w:rPr>
          <w:bCs/>
          <w:i/>
          <w:sz w:val="24"/>
          <w:szCs w:val="24"/>
        </w:rPr>
        <w:t xml:space="preserve"> data) fra 4 kontrollerede fase 3-studier med en behandlingsvarighed på 12 uger</w:t>
      </w:r>
    </w:p>
    <w:p w:rsidR="00281C36" w:rsidRPr="00826006" w:rsidRDefault="00281C36" w:rsidP="00281C36">
      <w:pPr>
        <w:suppressAutoHyphens/>
        <w:ind w:left="851" w:hanging="851"/>
        <w:rPr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659"/>
        <w:gridCol w:w="2190"/>
        <w:gridCol w:w="2190"/>
        <w:gridCol w:w="1743"/>
      </w:tblGrid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b/>
                <w:sz w:val="24"/>
                <w:szCs w:val="24"/>
              </w:rPr>
            </w:pPr>
            <w:r w:rsidRPr="00826006">
              <w:rPr>
                <w:b/>
                <w:sz w:val="24"/>
                <w:szCs w:val="24"/>
              </w:rPr>
              <w:t>Placebo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b/>
                <w:sz w:val="24"/>
                <w:szCs w:val="24"/>
              </w:rPr>
            </w:pPr>
            <w:proofErr w:type="spellStart"/>
            <w:r w:rsidRPr="00826006">
              <w:rPr>
                <w:b/>
                <w:sz w:val="24"/>
                <w:szCs w:val="24"/>
              </w:rPr>
              <w:t>Solifenacinsuccinat</w:t>
            </w:r>
            <w:proofErr w:type="spellEnd"/>
            <w:r w:rsidRPr="00826006">
              <w:rPr>
                <w:b/>
                <w:sz w:val="24"/>
                <w:szCs w:val="24"/>
              </w:rPr>
              <w:t xml:space="preserve"> 5 mg</w:t>
            </w:r>
          </w:p>
          <w:p w:rsidR="00281C36" w:rsidRPr="00826006" w:rsidRDefault="00281C36" w:rsidP="003B4BCE">
            <w:pPr>
              <w:rPr>
                <w:b/>
                <w:sz w:val="24"/>
                <w:szCs w:val="24"/>
              </w:rPr>
            </w:pPr>
            <w:r w:rsidRPr="00826006">
              <w:rPr>
                <w:b/>
                <w:sz w:val="24"/>
                <w:szCs w:val="24"/>
              </w:rPr>
              <w:t>1 gang dagligt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826006">
              <w:rPr>
                <w:b/>
                <w:sz w:val="24"/>
                <w:szCs w:val="24"/>
              </w:rPr>
              <w:t>Solifenacinsuccinat</w:t>
            </w:r>
            <w:proofErr w:type="spellEnd"/>
            <w:r w:rsidRPr="00826006">
              <w:rPr>
                <w:b/>
                <w:sz w:val="24"/>
                <w:szCs w:val="24"/>
              </w:rPr>
              <w:t xml:space="preserve"> 10 mg </w:t>
            </w:r>
          </w:p>
          <w:p w:rsidR="00281C36" w:rsidRPr="00826006" w:rsidRDefault="00281C36" w:rsidP="003B4BC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26006">
              <w:rPr>
                <w:b/>
                <w:sz w:val="24"/>
                <w:szCs w:val="24"/>
              </w:rPr>
              <w:t>1 gang dagligt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826006">
              <w:rPr>
                <w:b/>
                <w:sz w:val="24"/>
                <w:szCs w:val="24"/>
              </w:rPr>
              <w:t>Tolterodin</w:t>
            </w:r>
            <w:proofErr w:type="spellEnd"/>
            <w:r w:rsidRPr="00826006">
              <w:rPr>
                <w:b/>
                <w:sz w:val="24"/>
                <w:szCs w:val="24"/>
              </w:rPr>
              <w:t xml:space="preserve"> 2 mg </w:t>
            </w:r>
          </w:p>
          <w:p w:rsidR="00281C36" w:rsidRPr="00826006" w:rsidRDefault="00281C36" w:rsidP="003B4BC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26006">
              <w:rPr>
                <w:b/>
                <w:sz w:val="24"/>
                <w:szCs w:val="24"/>
              </w:rPr>
              <w:t>2 gange dagligt</w:t>
            </w:r>
          </w:p>
        </w:tc>
      </w:tr>
      <w:tr w:rsidR="00281C36" w:rsidRPr="00826006" w:rsidTr="003B4BCE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b/>
                <w:sz w:val="24"/>
                <w:szCs w:val="24"/>
              </w:rPr>
            </w:pPr>
            <w:r w:rsidRPr="00826006">
              <w:rPr>
                <w:b/>
                <w:sz w:val="24"/>
                <w:szCs w:val="24"/>
              </w:rPr>
              <w:t>Antal vandladninger pr. 24 timer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proofErr w:type="spellStart"/>
            <w:r w:rsidRPr="00826006">
              <w:rPr>
                <w:sz w:val="24"/>
                <w:szCs w:val="24"/>
              </w:rPr>
              <w:t>Gennemsnitslig</w:t>
            </w:r>
            <w:proofErr w:type="spellEnd"/>
            <w:r w:rsidRPr="00826006">
              <w:rPr>
                <w:sz w:val="24"/>
                <w:szCs w:val="24"/>
              </w:rPr>
              <w:t xml:space="preserve"> </w:t>
            </w:r>
            <w:r w:rsidRPr="00826006">
              <w:rPr>
                <w:i/>
                <w:sz w:val="24"/>
                <w:szCs w:val="24"/>
              </w:rPr>
              <w:t>baseline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11,9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12,1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11,9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12,1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proofErr w:type="spellStart"/>
            <w:r w:rsidRPr="00826006">
              <w:rPr>
                <w:sz w:val="24"/>
                <w:szCs w:val="24"/>
              </w:rPr>
              <w:t>Gennemsnitslig</w:t>
            </w:r>
            <w:proofErr w:type="spellEnd"/>
            <w:r w:rsidRPr="00826006">
              <w:rPr>
                <w:sz w:val="24"/>
                <w:szCs w:val="24"/>
              </w:rPr>
              <w:t xml:space="preserve"> reduktion fra basislinje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1,4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2,3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2,7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1,9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 xml:space="preserve">% ændring fra </w:t>
            </w:r>
            <w:r w:rsidRPr="00826006">
              <w:rPr>
                <w:i/>
                <w:sz w:val="24"/>
                <w:szCs w:val="24"/>
              </w:rPr>
              <w:t>baseline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(12%)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(19%)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(23%)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(16%)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n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1138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552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1158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250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tabs>
                <w:tab w:val="left" w:pos="1320"/>
              </w:tabs>
              <w:rPr>
                <w:sz w:val="24"/>
                <w:szCs w:val="24"/>
              </w:rPr>
            </w:pPr>
            <w:proofErr w:type="spellStart"/>
            <w:r w:rsidRPr="00826006">
              <w:rPr>
                <w:sz w:val="24"/>
                <w:szCs w:val="24"/>
              </w:rPr>
              <w:t>p-værdi</w:t>
            </w:r>
            <w:proofErr w:type="spellEnd"/>
            <w:r w:rsidRPr="00826006">
              <w:rPr>
                <w:sz w:val="24"/>
                <w:szCs w:val="24"/>
              </w:rPr>
              <w:t>*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&lt;0,001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&lt;0,001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0,004</w:t>
            </w:r>
          </w:p>
        </w:tc>
      </w:tr>
      <w:tr w:rsidR="00281C36" w:rsidRPr="00826006" w:rsidTr="003B4BCE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b/>
                <w:sz w:val="24"/>
                <w:szCs w:val="24"/>
              </w:rPr>
            </w:pPr>
            <w:r w:rsidRPr="00826006">
              <w:rPr>
                <w:b/>
                <w:sz w:val="24"/>
                <w:szCs w:val="24"/>
              </w:rPr>
              <w:t xml:space="preserve">Antal </w:t>
            </w:r>
            <w:proofErr w:type="spellStart"/>
            <w:r w:rsidRPr="00826006">
              <w:rPr>
                <w:b/>
                <w:sz w:val="24"/>
                <w:szCs w:val="24"/>
              </w:rPr>
              <w:t>urgeepisoder</w:t>
            </w:r>
            <w:proofErr w:type="spellEnd"/>
            <w:r w:rsidRPr="00826006">
              <w:rPr>
                <w:b/>
                <w:sz w:val="24"/>
                <w:szCs w:val="24"/>
              </w:rPr>
              <w:t xml:space="preserve"> pr. 24 timer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proofErr w:type="spellStart"/>
            <w:r w:rsidRPr="00826006">
              <w:rPr>
                <w:sz w:val="24"/>
                <w:szCs w:val="24"/>
              </w:rPr>
              <w:t>Gennemsnitslig</w:t>
            </w:r>
            <w:proofErr w:type="spellEnd"/>
            <w:r w:rsidRPr="00826006">
              <w:rPr>
                <w:sz w:val="24"/>
                <w:szCs w:val="24"/>
              </w:rPr>
              <w:t xml:space="preserve"> </w:t>
            </w:r>
            <w:r w:rsidRPr="00826006">
              <w:rPr>
                <w:i/>
                <w:sz w:val="24"/>
                <w:szCs w:val="24"/>
              </w:rPr>
              <w:t>baseline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6,3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5,9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6,2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5,4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proofErr w:type="spellStart"/>
            <w:r w:rsidRPr="00826006">
              <w:rPr>
                <w:sz w:val="24"/>
                <w:szCs w:val="24"/>
              </w:rPr>
              <w:t>Gennemsnitslig</w:t>
            </w:r>
            <w:proofErr w:type="spellEnd"/>
            <w:r w:rsidRPr="00826006">
              <w:rPr>
                <w:sz w:val="24"/>
                <w:szCs w:val="24"/>
              </w:rPr>
              <w:t xml:space="preserve"> reduktion fra </w:t>
            </w:r>
            <w:r w:rsidRPr="00826006">
              <w:rPr>
                <w:i/>
                <w:sz w:val="24"/>
                <w:szCs w:val="24"/>
              </w:rPr>
              <w:t>baseline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2,0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2,9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3,4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2,1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 xml:space="preserve">% ændring fra </w:t>
            </w:r>
            <w:r w:rsidRPr="00826006">
              <w:rPr>
                <w:i/>
                <w:sz w:val="24"/>
                <w:szCs w:val="24"/>
              </w:rPr>
              <w:t>baseline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(32%)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(49%)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(55%)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(39%)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n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1124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548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1151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250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proofErr w:type="spellStart"/>
            <w:r w:rsidRPr="00826006">
              <w:rPr>
                <w:sz w:val="24"/>
                <w:szCs w:val="24"/>
              </w:rPr>
              <w:t>p-værdi</w:t>
            </w:r>
            <w:proofErr w:type="spellEnd"/>
            <w:r w:rsidRPr="00826006">
              <w:rPr>
                <w:sz w:val="24"/>
                <w:szCs w:val="24"/>
              </w:rPr>
              <w:t>*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&lt;0,001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&lt;0,001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0,031</w:t>
            </w:r>
          </w:p>
        </w:tc>
      </w:tr>
      <w:tr w:rsidR="00281C36" w:rsidRPr="00826006" w:rsidTr="003B4BCE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b/>
                <w:sz w:val="24"/>
                <w:szCs w:val="24"/>
              </w:rPr>
            </w:pPr>
            <w:r w:rsidRPr="00826006">
              <w:rPr>
                <w:b/>
                <w:sz w:val="24"/>
                <w:szCs w:val="24"/>
              </w:rPr>
              <w:t>Antal episoder af inkontinens pr. 24 timer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proofErr w:type="spellStart"/>
            <w:r w:rsidRPr="00826006">
              <w:rPr>
                <w:sz w:val="24"/>
                <w:szCs w:val="24"/>
              </w:rPr>
              <w:t>Gennemsnitslig</w:t>
            </w:r>
            <w:proofErr w:type="spellEnd"/>
            <w:r w:rsidRPr="00826006">
              <w:rPr>
                <w:sz w:val="24"/>
                <w:szCs w:val="24"/>
              </w:rPr>
              <w:t xml:space="preserve"> </w:t>
            </w:r>
            <w:r w:rsidRPr="00826006">
              <w:rPr>
                <w:i/>
                <w:sz w:val="24"/>
                <w:szCs w:val="24"/>
              </w:rPr>
              <w:t>baseline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2,9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2,6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2,9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2,3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proofErr w:type="spellStart"/>
            <w:r w:rsidRPr="00826006">
              <w:rPr>
                <w:sz w:val="24"/>
                <w:szCs w:val="24"/>
              </w:rPr>
              <w:t>Gennemsnitslig</w:t>
            </w:r>
            <w:proofErr w:type="spellEnd"/>
            <w:r w:rsidRPr="00826006">
              <w:rPr>
                <w:sz w:val="24"/>
                <w:szCs w:val="24"/>
              </w:rPr>
              <w:t xml:space="preserve"> reduktion fra </w:t>
            </w:r>
            <w:r w:rsidRPr="00826006">
              <w:rPr>
                <w:i/>
                <w:sz w:val="24"/>
                <w:szCs w:val="24"/>
              </w:rPr>
              <w:t>baseline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1,1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1,5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1,8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1,1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 xml:space="preserve">% ændring fra </w:t>
            </w:r>
            <w:r w:rsidRPr="00826006">
              <w:rPr>
                <w:i/>
                <w:sz w:val="24"/>
                <w:szCs w:val="24"/>
              </w:rPr>
              <w:t>baseline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(38%)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(58%)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(62%)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(48%)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n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781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314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778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157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proofErr w:type="spellStart"/>
            <w:r w:rsidRPr="00826006">
              <w:rPr>
                <w:sz w:val="24"/>
                <w:szCs w:val="24"/>
              </w:rPr>
              <w:t>p-værdi</w:t>
            </w:r>
            <w:proofErr w:type="spellEnd"/>
            <w:r w:rsidRPr="00826006">
              <w:rPr>
                <w:sz w:val="24"/>
                <w:szCs w:val="24"/>
              </w:rPr>
              <w:t>*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&lt;0,001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&lt;0,001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0,009</w:t>
            </w:r>
          </w:p>
        </w:tc>
      </w:tr>
      <w:tr w:rsidR="00281C36" w:rsidRPr="00826006" w:rsidTr="003B4BCE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b/>
                <w:sz w:val="24"/>
                <w:szCs w:val="24"/>
              </w:rPr>
            </w:pPr>
            <w:r w:rsidRPr="00826006">
              <w:rPr>
                <w:b/>
                <w:sz w:val="24"/>
                <w:szCs w:val="24"/>
              </w:rPr>
              <w:t xml:space="preserve">Antal episoder af </w:t>
            </w:r>
            <w:proofErr w:type="spellStart"/>
            <w:r w:rsidRPr="00826006">
              <w:rPr>
                <w:b/>
                <w:sz w:val="24"/>
                <w:szCs w:val="24"/>
              </w:rPr>
              <w:t>nocturi</w:t>
            </w:r>
            <w:proofErr w:type="spellEnd"/>
            <w:r w:rsidRPr="00826006">
              <w:rPr>
                <w:b/>
                <w:sz w:val="24"/>
                <w:szCs w:val="24"/>
              </w:rPr>
              <w:t xml:space="preserve"> pr. 24 timer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proofErr w:type="spellStart"/>
            <w:r w:rsidRPr="00826006">
              <w:rPr>
                <w:sz w:val="24"/>
                <w:szCs w:val="24"/>
              </w:rPr>
              <w:t>Gennemsnitslig</w:t>
            </w:r>
            <w:proofErr w:type="spellEnd"/>
            <w:r w:rsidRPr="00826006">
              <w:rPr>
                <w:sz w:val="24"/>
                <w:szCs w:val="24"/>
              </w:rPr>
              <w:t xml:space="preserve"> </w:t>
            </w:r>
            <w:r w:rsidRPr="00826006">
              <w:rPr>
                <w:i/>
                <w:sz w:val="24"/>
                <w:szCs w:val="24"/>
              </w:rPr>
              <w:t>baseline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1,8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2,0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1,8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1,9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proofErr w:type="spellStart"/>
            <w:r w:rsidRPr="00826006">
              <w:rPr>
                <w:sz w:val="24"/>
                <w:szCs w:val="24"/>
              </w:rPr>
              <w:t>Gennemsnitslig</w:t>
            </w:r>
            <w:proofErr w:type="spellEnd"/>
            <w:r w:rsidRPr="00826006">
              <w:rPr>
                <w:sz w:val="24"/>
                <w:szCs w:val="24"/>
              </w:rPr>
              <w:t xml:space="preserve"> reduktion fra </w:t>
            </w:r>
            <w:r w:rsidRPr="00826006">
              <w:rPr>
                <w:i/>
                <w:sz w:val="24"/>
                <w:szCs w:val="24"/>
              </w:rPr>
              <w:t>baseline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0,4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0,6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0,6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0,5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 xml:space="preserve">% ændring fra </w:t>
            </w:r>
            <w:r w:rsidRPr="00826006">
              <w:rPr>
                <w:i/>
                <w:sz w:val="24"/>
                <w:szCs w:val="24"/>
              </w:rPr>
              <w:t>baseline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(22%)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(30%)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(33%)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(26%)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n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1005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494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1035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232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proofErr w:type="spellStart"/>
            <w:r w:rsidRPr="00826006">
              <w:rPr>
                <w:sz w:val="24"/>
                <w:szCs w:val="24"/>
              </w:rPr>
              <w:t>p-værdi</w:t>
            </w:r>
            <w:proofErr w:type="spellEnd"/>
            <w:r w:rsidRPr="00826006">
              <w:rPr>
                <w:sz w:val="24"/>
                <w:szCs w:val="24"/>
              </w:rPr>
              <w:t>*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0,025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&lt;0,001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0,199</w:t>
            </w:r>
          </w:p>
        </w:tc>
      </w:tr>
      <w:tr w:rsidR="00281C36" w:rsidRPr="00826006" w:rsidTr="003B4BCE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b/>
                <w:sz w:val="24"/>
                <w:szCs w:val="24"/>
              </w:rPr>
            </w:pPr>
            <w:r w:rsidRPr="00826006">
              <w:rPr>
                <w:b/>
                <w:sz w:val="24"/>
                <w:szCs w:val="24"/>
              </w:rPr>
              <w:t>Udtømningsvolumen pr. vandladning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proofErr w:type="spellStart"/>
            <w:r w:rsidRPr="00826006">
              <w:rPr>
                <w:sz w:val="24"/>
                <w:szCs w:val="24"/>
              </w:rPr>
              <w:t>Gennemsnitslig</w:t>
            </w:r>
            <w:proofErr w:type="spellEnd"/>
            <w:r w:rsidRPr="00826006">
              <w:rPr>
                <w:sz w:val="24"/>
                <w:szCs w:val="24"/>
              </w:rPr>
              <w:t xml:space="preserve"> </w:t>
            </w:r>
            <w:r w:rsidRPr="00826006">
              <w:rPr>
                <w:i/>
                <w:sz w:val="24"/>
                <w:szCs w:val="24"/>
              </w:rPr>
              <w:t>baseline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166 ml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146 ml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163 ml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147 ml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proofErr w:type="spellStart"/>
            <w:r w:rsidRPr="00826006">
              <w:rPr>
                <w:sz w:val="24"/>
                <w:szCs w:val="24"/>
              </w:rPr>
              <w:lastRenderedPageBreak/>
              <w:t>Gennemsnitslig</w:t>
            </w:r>
            <w:proofErr w:type="spellEnd"/>
            <w:r w:rsidRPr="00826006">
              <w:rPr>
                <w:sz w:val="24"/>
                <w:szCs w:val="24"/>
              </w:rPr>
              <w:t xml:space="preserve"> reduktion fra </w:t>
            </w:r>
            <w:r w:rsidRPr="00826006">
              <w:rPr>
                <w:i/>
                <w:sz w:val="24"/>
                <w:szCs w:val="24"/>
              </w:rPr>
              <w:t>baseline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9 ml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32 ml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43 ml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24 ml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 xml:space="preserve">% ændring fra </w:t>
            </w:r>
            <w:r w:rsidRPr="00826006">
              <w:rPr>
                <w:i/>
                <w:sz w:val="24"/>
                <w:szCs w:val="24"/>
              </w:rPr>
              <w:t>baseline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(5%)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(21%)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(26%)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(16%)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n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1135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552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1156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250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proofErr w:type="spellStart"/>
            <w:r w:rsidRPr="00826006">
              <w:rPr>
                <w:sz w:val="24"/>
                <w:szCs w:val="24"/>
              </w:rPr>
              <w:t>p-værdi</w:t>
            </w:r>
            <w:proofErr w:type="spellEnd"/>
            <w:r w:rsidRPr="00826006">
              <w:rPr>
                <w:sz w:val="24"/>
                <w:szCs w:val="24"/>
              </w:rPr>
              <w:t>*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&lt;0,001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&lt;0,001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&lt;0,001</w:t>
            </w:r>
          </w:p>
        </w:tc>
      </w:tr>
      <w:tr w:rsidR="00281C36" w:rsidRPr="00826006" w:rsidTr="003B4BCE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b/>
                <w:sz w:val="24"/>
                <w:szCs w:val="24"/>
              </w:rPr>
            </w:pPr>
            <w:r w:rsidRPr="00826006">
              <w:rPr>
                <w:b/>
                <w:sz w:val="24"/>
                <w:szCs w:val="24"/>
              </w:rPr>
              <w:t>Antal af bind pr. 24 timer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proofErr w:type="spellStart"/>
            <w:r w:rsidRPr="00826006">
              <w:rPr>
                <w:sz w:val="24"/>
                <w:szCs w:val="24"/>
              </w:rPr>
              <w:t>Gennemsnitslig</w:t>
            </w:r>
            <w:proofErr w:type="spellEnd"/>
            <w:r w:rsidRPr="00826006">
              <w:rPr>
                <w:sz w:val="24"/>
                <w:szCs w:val="24"/>
              </w:rPr>
              <w:t xml:space="preserve"> </w:t>
            </w:r>
            <w:r w:rsidRPr="00826006">
              <w:rPr>
                <w:i/>
                <w:sz w:val="24"/>
                <w:szCs w:val="24"/>
              </w:rPr>
              <w:t>baseline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3,0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2,8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2,7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2,7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proofErr w:type="spellStart"/>
            <w:r w:rsidRPr="00826006">
              <w:rPr>
                <w:sz w:val="24"/>
                <w:szCs w:val="24"/>
              </w:rPr>
              <w:t>Gennemsnitslig</w:t>
            </w:r>
            <w:proofErr w:type="spellEnd"/>
            <w:r w:rsidRPr="00826006">
              <w:rPr>
                <w:sz w:val="24"/>
                <w:szCs w:val="24"/>
              </w:rPr>
              <w:t xml:space="preserve"> reduktion fra </w:t>
            </w:r>
            <w:r w:rsidRPr="00826006">
              <w:rPr>
                <w:i/>
                <w:sz w:val="24"/>
                <w:szCs w:val="24"/>
              </w:rPr>
              <w:t>baseline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0,8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1,3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1,3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1,0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 xml:space="preserve">% ændring fra </w:t>
            </w:r>
            <w:r w:rsidRPr="00826006">
              <w:rPr>
                <w:i/>
                <w:sz w:val="24"/>
                <w:szCs w:val="24"/>
              </w:rPr>
              <w:t>baseline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(27%)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(46%)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(48%)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(37%)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n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238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236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242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250</w:t>
            </w:r>
          </w:p>
        </w:tc>
      </w:tr>
      <w:tr w:rsidR="00281C36" w:rsidRPr="00826006" w:rsidTr="003B4BCE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proofErr w:type="spellStart"/>
            <w:r w:rsidRPr="00826006">
              <w:rPr>
                <w:sz w:val="24"/>
                <w:szCs w:val="24"/>
              </w:rPr>
              <w:t>p-værdi</w:t>
            </w:r>
            <w:proofErr w:type="spellEnd"/>
            <w:r w:rsidRPr="00826006">
              <w:rPr>
                <w:sz w:val="24"/>
                <w:szCs w:val="24"/>
              </w:rPr>
              <w:t>*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&lt;0,001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&lt;0,001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C36" w:rsidRPr="00826006" w:rsidRDefault="00281C36" w:rsidP="003B4BCE">
            <w:pPr>
              <w:rPr>
                <w:sz w:val="24"/>
                <w:szCs w:val="24"/>
              </w:rPr>
            </w:pPr>
            <w:r w:rsidRPr="00826006">
              <w:rPr>
                <w:sz w:val="24"/>
                <w:szCs w:val="24"/>
              </w:rPr>
              <w:t>0,010</w:t>
            </w:r>
          </w:p>
        </w:tc>
      </w:tr>
    </w:tbl>
    <w:p w:rsidR="00281C36" w:rsidRPr="00826006" w:rsidRDefault="00281C36" w:rsidP="00281C36">
      <w:pPr>
        <w:suppressAutoHyphens/>
        <w:ind w:left="851" w:hanging="851"/>
        <w:rPr>
          <w:bCs/>
          <w:sz w:val="24"/>
          <w:szCs w:val="24"/>
        </w:rPr>
      </w:pPr>
    </w:p>
    <w:p w:rsidR="00281C36" w:rsidRPr="00826006" w:rsidRDefault="00281C36" w:rsidP="00281C36">
      <w:pPr>
        <w:suppressAutoHyphens/>
        <w:ind w:left="851"/>
        <w:rPr>
          <w:bCs/>
          <w:sz w:val="24"/>
          <w:szCs w:val="24"/>
        </w:rPr>
      </w:pPr>
      <w:r w:rsidRPr="00826006">
        <w:rPr>
          <w:bCs/>
          <w:sz w:val="24"/>
          <w:szCs w:val="24"/>
          <w:u w:val="single"/>
        </w:rPr>
        <w:t>Bemærk</w:t>
      </w:r>
      <w:r w:rsidRPr="00826006">
        <w:rPr>
          <w:bCs/>
          <w:sz w:val="24"/>
          <w:szCs w:val="24"/>
        </w:rPr>
        <w:t xml:space="preserve">: I 4 af de pivotale studier blev der anvendt 10 mg </w:t>
      </w:r>
      <w:proofErr w:type="spellStart"/>
      <w:r w:rsidRPr="00826006">
        <w:rPr>
          <w:bCs/>
          <w:sz w:val="24"/>
          <w:szCs w:val="24"/>
        </w:rPr>
        <w:t>solifenacinsuccinat</w:t>
      </w:r>
      <w:proofErr w:type="spellEnd"/>
      <w:r w:rsidRPr="00826006">
        <w:rPr>
          <w:bCs/>
          <w:sz w:val="24"/>
          <w:szCs w:val="24"/>
        </w:rPr>
        <w:t xml:space="preserve"> og placebo. I 2 ud af 4 studier blev der også brugt 5 mg </w:t>
      </w:r>
      <w:proofErr w:type="spellStart"/>
      <w:r w:rsidRPr="00826006">
        <w:rPr>
          <w:bCs/>
          <w:sz w:val="24"/>
          <w:szCs w:val="24"/>
        </w:rPr>
        <w:t>solifenacinsuccinat</w:t>
      </w:r>
      <w:proofErr w:type="spellEnd"/>
      <w:r w:rsidRPr="00826006">
        <w:rPr>
          <w:bCs/>
          <w:sz w:val="24"/>
          <w:szCs w:val="24"/>
        </w:rPr>
        <w:t xml:space="preserve">, og ét af studierne inkluderede 2 mg </w:t>
      </w:r>
      <w:proofErr w:type="spellStart"/>
      <w:r w:rsidRPr="00826006">
        <w:rPr>
          <w:bCs/>
          <w:sz w:val="24"/>
          <w:szCs w:val="24"/>
        </w:rPr>
        <w:t>tolterodin</w:t>
      </w:r>
      <w:proofErr w:type="spellEnd"/>
      <w:r w:rsidRPr="00826006">
        <w:rPr>
          <w:bCs/>
          <w:sz w:val="24"/>
          <w:szCs w:val="24"/>
        </w:rPr>
        <w:t xml:space="preserve"> to gange dagligt.</w:t>
      </w:r>
    </w:p>
    <w:p w:rsidR="00281C36" w:rsidRPr="00826006" w:rsidRDefault="00281C36" w:rsidP="00281C36">
      <w:pPr>
        <w:suppressAutoHyphens/>
        <w:ind w:left="851" w:hanging="851"/>
        <w:rPr>
          <w:bCs/>
          <w:sz w:val="24"/>
          <w:szCs w:val="24"/>
        </w:rPr>
      </w:pPr>
    </w:p>
    <w:p w:rsidR="00281C36" w:rsidRPr="00826006" w:rsidRDefault="00281C36" w:rsidP="00281C36">
      <w:pPr>
        <w:suppressAutoHyphens/>
        <w:ind w:left="851"/>
        <w:rPr>
          <w:bCs/>
          <w:sz w:val="24"/>
          <w:szCs w:val="24"/>
        </w:rPr>
      </w:pPr>
      <w:r w:rsidRPr="00826006">
        <w:rPr>
          <w:bCs/>
          <w:sz w:val="24"/>
          <w:szCs w:val="24"/>
        </w:rPr>
        <w:t>Ikke alle parametre og behandlingsgrupper blev evalueret i de enkelte studier. Derfor kan det angivne antal patienter afvige for de enkelte parametre og behandlingsgrupper.</w:t>
      </w:r>
    </w:p>
    <w:p w:rsidR="00281C36" w:rsidRPr="00826006" w:rsidRDefault="00281C36" w:rsidP="00281C36">
      <w:pPr>
        <w:suppressAutoHyphens/>
        <w:ind w:left="851" w:hanging="851"/>
        <w:rPr>
          <w:bCs/>
          <w:sz w:val="24"/>
          <w:szCs w:val="24"/>
        </w:rPr>
      </w:pPr>
    </w:p>
    <w:p w:rsidR="00281C36" w:rsidRPr="00826006" w:rsidRDefault="00281C36" w:rsidP="00281C36">
      <w:pPr>
        <w:suppressAutoHyphens/>
        <w:ind w:left="851"/>
        <w:rPr>
          <w:bCs/>
          <w:sz w:val="24"/>
          <w:szCs w:val="24"/>
        </w:rPr>
      </w:pPr>
      <w:r w:rsidRPr="00826006">
        <w:rPr>
          <w:bCs/>
          <w:sz w:val="24"/>
          <w:szCs w:val="24"/>
        </w:rPr>
        <w:t>*</w:t>
      </w:r>
      <w:proofErr w:type="spellStart"/>
      <w:r w:rsidRPr="00826006">
        <w:rPr>
          <w:bCs/>
          <w:sz w:val="24"/>
          <w:szCs w:val="24"/>
        </w:rPr>
        <w:t>p-værdi</w:t>
      </w:r>
      <w:proofErr w:type="spellEnd"/>
      <w:r w:rsidRPr="00826006">
        <w:rPr>
          <w:bCs/>
          <w:sz w:val="24"/>
          <w:szCs w:val="24"/>
        </w:rPr>
        <w:t xml:space="preserve"> for den parvise sammenligning med placebo.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5.2</w:t>
      </w:r>
      <w:r w:rsidRPr="00826006">
        <w:rPr>
          <w:b/>
          <w:sz w:val="24"/>
          <w:szCs w:val="24"/>
        </w:rPr>
        <w:tab/>
      </w:r>
      <w:proofErr w:type="spellStart"/>
      <w:r w:rsidRPr="00826006">
        <w:rPr>
          <w:b/>
          <w:sz w:val="24"/>
          <w:szCs w:val="24"/>
        </w:rPr>
        <w:t>Farmakokinetiske</w:t>
      </w:r>
      <w:proofErr w:type="spellEnd"/>
      <w:r w:rsidRPr="00826006">
        <w:rPr>
          <w:b/>
          <w:sz w:val="24"/>
          <w:szCs w:val="24"/>
        </w:rPr>
        <w:t xml:space="preserve"> egenskaber</w:t>
      </w:r>
    </w:p>
    <w:p w:rsidR="00281C36" w:rsidRDefault="00281C36" w:rsidP="00281C36">
      <w:pPr>
        <w:ind w:left="851" w:hanging="851"/>
        <w:rPr>
          <w:sz w:val="24"/>
          <w:szCs w:val="24"/>
          <w:u w:val="single"/>
        </w:rPr>
      </w:pPr>
    </w:p>
    <w:p w:rsidR="00281C36" w:rsidRPr="00826006" w:rsidRDefault="00281C36" w:rsidP="00281C36">
      <w:pPr>
        <w:ind w:left="851"/>
        <w:rPr>
          <w:sz w:val="24"/>
          <w:szCs w:val="24"/>
          <w:u w:val="single"/>
        </w:rPr>
      </w:pPr>
      <w:r w:rsidRPr="00826006">
        <w:rPr>
          <w:sz w:val="24"/>
          <w:szCs w:val="24"/>
          <w:u w:val="single"/>
        </w:rPr>
        <w:t>Absorption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Efter oral indgift af </w:t>
      </w:r>
      <w:proofErr w:type="spellStart"/>
      <w:r w:rsidRPr="00826006">
        <w:rPr>
          <w:sz w:val="24"/>
          <w:szCs w:val="24"/>
        </w:rPr>
        <w:t>solifenacinsuccinat</w:t>
      </w:r>
      <w:proofErr w:type="spellEnd"/>
      <w:r w:rsidRPr="00826006">
        <w:rPr>
          <w:sz w:val="24"/>
          <w:szCs w:val="24"/>
        </w:rPr>
        <w:t xml:space="preserve"> tabletter nås maksimal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plasmakoncentration (</w:t>
      </w:r>
      <w:proofErr w:type="spellStart"/>
      <w:r w:rsidRPr="00826006">
        <w:rPr>
          <w:sz w:val="24"/>
          <w:szCs w:val="24"/>
        </w:rPr>
        <w:t>C</w:t>
      </w:r>
      <w:r w:rsidRPr="00826006">
        <w:rPr>
          <w:sz w:val="24"/>
          <w:szCs w:val="24"/>
          <w:vertAlign w:val="subscript"/>
        </w:rPr>
        <w:t>max</w:t>
      </w:r>
      <w:proofErr w:type="spellEnd"/>
      <w:r w:rsidRPr="00826006">
        <w:rPr>
          <w:sz w:val="24"/>
          <w:szCs w:val="24"/>
        </w:rPr>
        <w:t xml:space="preserve">) efter 3-8 timer. </w:t>
      </w:r>
      <w:proofErr w:type="spellStart"/>
      <w:r w:rsidRPr="00826006">
        <w:rPr>
          <w:sz w:val="24"/>
          <w:szCs w:val="24"/>
        </w:rPr>
        <w:t>t</w:t>
      </w:r>
      <w:r w:rsidRPr="00826006">
        <w:rPr>
          <w:sz w:val="24"/>
          <w:szCs w:val="24"/>
          <w:vertAlign w:val="subscript"/>
        </w:rPr>
        <w:t>max</w:t>
      </w:r>
      <w:proofErr w:type="spellEnd"/>
      <w:r w:rsidRPr="00826006">
        <w:rPr>
          <w:sz w:val="24"/>
          <w:szCs w:val="24"/>
        </w:rPr>
        <w:t xml:space="preserve"> er uafhængig af dosis. </w:t>
      </w:r>
      <w:proofErr w:type="spellStart"/>
      <w:r w:rsidRPr="00826006">
        <w:rPr>
          <w:sz w:val="24"/>
          <w:szCs w:val="24"/>
        </w:rPr>
        <w:t>C</w:t>
      </w:r>
      <w:r w:rsidRPr="00826006">
        <w:rPr>
          <w:sz w:val="24"/>
          <w:szCs w:val="24"/>
          <w:vertAlign w:val="subscript"/>
        </w:rPr>
        <w:t>max</w:t>
      </w:r>
      <w:proofErr w:type="spellEnd"/>
      <w:r w:rsidRPr="00826006">
        <w:rPr>
          <w:sz w:val="24"/>
          <w:szCs w:val="24"/>
        </w:rPr>
        <w:t xml:space="preserve"> og areal under kurven (AUC) stiger proportionalt med dosis fra 5 mg til 40 mg.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>Den absolutte biotilgængelighed er ca. 90%.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C</w:t>
      </w:r>
      <w:r w:rsidRPr="00826006">
        <w:rPr>
          <w:sz w:val="24"/>
          <w:szCs w:val="24"/>
          <w:vertAlign w:val="subscript"/>
        </w:rPr>
        <w:t>max</w:t>
      </w:r>
      <w:proofErr w:type="spellEnd"/>
      <w:r w:rsidRPr="00826006">
        <w:rPr>
          <w:sz w:val="24"/>
          <w:szCs w:val="24"/>
        </w:rPr>
        <w:t xml:space="preserve"> og AUC-værdier påvirkes ikke af fødeindtagelse.</w:t>
      </w:r>
    </w:p>
    <w:p w:rsidR="00281C36" w:rsidRPr="00826006" w:rsidRDefault="00281C36" w:rsidP="00281C36">
      <w:pPr>
        <w:ind w:left="851" w:hanging="851"/>
        <w:rPr>
          <w:sz w:val="24"/>
          <w:szCs w:val="24"/>
          <w:u w:val="single"/>
        </w:rPr>
      </w:pP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  <w:u w:val="single"/>
        </w:rPr>
        <w:t>Fordeling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Solifenacins</w:t>
      </w:r>
      <w:proofErr w:type="spellEnd"/>
      <w:r w:rsidRPr="00826006">
        <w:rPr>
          <w:sz w:val="24"/>
          <w:szCs w:val="24"/>
        </w:rPr>
        <w:t xml:space="preserve"> tilsyneladende fordelingsvolumen er 600 l efter intravenøs administration. En stor del af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(ca. 98%) er bundet til plasmaproteiner, primært α1-syre </w:t>
      </w:r>
      <w:proofErr w:type="spellStart"/>
      <w:r w:rsidRPr="00826006">
        <w:rPr>
          <w:sz w:val="24"/>
          <w:szCs w:val="24"/>
        </w:rPr>
        <w:t>glycoprotein</w:t>
      </w:r>
      <w:proofErr w:type="spellEnd"/>
      <w:r w:rsidRPr="00826006">
        <w:rPr>
          <w:sz w:val="24"/>
          <w:szCs w:val="24"/>
        </w:rPr>
        <w:t>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  <w:u w:val="single"/>
        </w:rPr>
        <w:t>Biotransformation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</w:t>
      </w:r>
      <w:proofErr w:type="spellStart"/>
      <w:r w:rsidRPr="00826006">
        <w:rPr>
          <w:sz w:val="24"/>
          <w:szCs w:val="24"/>
        </w:rPr>
        <w:t>metaboliseres</w:t>
      </w:r>
      <w:proofErr w:type="spellEnd"/>
      <w:r w:rsidRPr="00826006">
        <w:rPr>
          <w:sz w:val="24"/>
          <w:szCs w:val="24"/>
        </w:rPr>
        <w:t xml:space="preserve"> hovedsageligt i leveren af </w:t>
      </w:r>
      <w:proofErr w:type="spellStart"/>
      <w:r w:rsidRPr="00826006">
        <w:rPr>
          <w:sz w:val="24"/>
          <w:szCs w:val="24"/>
        </w:rPr>
        <w:t>cytochrom</w:t>
      </w:r>
      <w:proofErr w:type="spellEnd"/>
      <w:r w:rsidRPr="00826006">
        <w:rPr>
          <w:sz w:val="24"/>
          <w:szCs w:val="24"/>
        </w:rPr>
        <w:t xml:space="preserve"> P450 3A4 (CYP3A4). Der eksisterer dog alternative </w:t>
      </w:r>
      <w:proofErr w:type="spellStart"/>
      <w:r w:rsidRPr="00826006">
        <w:rPr>
          <w:sz w:val="24"/>
          <w:szCs w:val="24"/>
        </w:rPr>
        <w:t>metaboliseringsveje</w:t>
      </w:r>
      <w:proofErr w:type="spellEnd"/>
      <w:r w:rsidRPr="00826006">
        <w:rPr>
          <w:sz w:val="24"/>
          <w:szCs w:val="24"/>
        </w:rPr>
        <w:t xml:space="preserve">, som kan bidrage til </w:t>
      </w:r>
      <w:proofErr w:type="spellStart"/>
      <w:r w:rsidRPr="00826006">
        <w:rPr>
          <w:sz w:val="24"/>
          <w:szCs w:val="24"/>
        </w:rPr>
        <w:t>solifenacins</w:t>
      </w:r>
      <w:proofErr w:type="spellEnd"/>
      <w:r w:rsidRPr="00826006">
        <w:rPr>
          <w:sz w:val="24"/>
          <w:szCs w:val="24"/>
        </w:rPr>
        <w:t xml:space="preserve"> metabolisme. Den systemiske </w:t>
      </w:r>
      <w:proofErr w:type="spellStart"/>
      <w:r w:rsidRPr="00826006">
        <w:rPr>
          <w:i/>
          <w:sz w:val="24"/>
          <w:szCs w:val="24"/>
        </w:rPr>
        <w:t>clearance</w:t>
      </w:r>
      <w:proofErr w:type="spellEnd"/>
      <w:r w:rsidRPr="00826006">
        <w:rPr>
          <w:sz w:val="24"/>
          <w:szCs w:val="24"/>
        </w:rPr>
        <w:t xml:space="preserve"> er omkring 9,5 l/t, og </w:t>
      </w:r>
      <w:proofErr w:type="spellStart"/>
      <w:r w:rsidRPr="00826006">
        <w:rPr>
          <w:sz w:val="24"/>
          <w:szCs w:val="24"/>
        </w:rPr>
        <w:t>solifenacins</w:t>
      </w:r>
      <w:proofErr w:type="spellEnd"/>
      <w:r w:rsidRPr="00826006">
        <w:rPr>
          <w:sz w:val="24"/>
          <w:szCs w:val="24"/>
        </w:rPr>
        <w:t xml:space="preserve"> terminale halveringstid er 45-68 timer. Efter oral administration er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samt en farmakologisk aktiv (4R-hydroxy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>) og tre inaktive metabolitter (N-</w:t>
      </w:r>
      <w:proofErr w:type="spellStart"/>
      <w:r w:rsidRPr="00826006">
        <w:rPr>
          <w:sz w:val="24"/>
          <w:szCs w:val="24"/>
        </w:rPr>
        <w:t>glucuronid</w:t>
      </w:r>
      <w:proofErr w:type="spellEnd"/>
      <w:r w:rsidRPr="00826006">
        <w:rPr>
          <w:sz w:val="24"/>
          <w:szCs w:val="24"/>
        </w:rPr>
        <w:t xml:space="preserve">, N-oxid og 4R-hydroxy-N-oxid af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>) blevet identificeret i plasma.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  <w:u w:val="single"/>
        </w:rPr>
      </w:pPr>
      <w:r w:rsidRPr="00826006">
        <w:rPr>
          <w:sz w:val="24"/>
          <w:szCs w:val="24"/>
          <w:u w:val="single"/>
        </w:rPr>
        <w:lastRenderedPageBreak/>
        <w:t>Elimination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Efter administration af en enkeltdosis på 10 mg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[14C-mærket] sporedes ca. 70% af radioaktiviteten i urin og 23 % i fæces i løbet af 26 dage. I urinen genfindes ca. 11% af radioaktiviteten som </w:t>
      </w:r>
      <w:proofErr w:type="spellStart"/>
      <w:r w:rsidRPr="00826006">
        <w:rPr>
          <w:sz w:val="24"/>
          <w:szCs w:val="24"/>
        </w:rPr>
        <w:t>uomdannet</w:t>
      </w:r>
      <w:proofErr w:type="spellEnd"/>
      <w:r w:rsidRPr="00826006">
        <w:rPr>
          <w:sz w:val="24"/>
          <w:szCs w:val="24"/>
        </w:rPr>
        <w:t xml:space="preserve"> aktiv substans, ca. 18 % som N-oxid-metabolit, 9% som 4R-hydroxy-N-oxid-metabolit og 8 % som 4R-hydroxy-metabolit (aktiv metabolit).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  <w:u w:val="single"/>
        </w:rPr>
      </w:pPr>
      <w:r w:rsidRPr="00826006">
        <w:rPr>
          <w:sz w:val="24"/>
          <w:szCs w:val="24"/>
          <w:u w:val="single"/>
        </w:rPr>
        <w:t>Linearitet/non-linearitet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>Der er lineær farmakokinetik i det terapeutiske dosisinterval.</w:t>
      </w:r>
    </w:p>
    <w:p w:rsidR="00281C36" w:rsidRPr="00826006" w:rsidRDefault="00281C36" w:rsidP="00281C36">
      <w:pPr>
        <w:ind w:left="851" w:hanging="851"/>
        <w:rPr>
          <w:sz w:val="24"/>
          <w:szCs w:val="24"/>
          <w:u w:val="single"/>
        </w:rPr>
      </w:pPr>
    </w:p>
    <w:p w:rsidR="00281C36" w:rsidRPr="00826006" w:rsidRDefault="00281C36" w:rsidP="00281C36">
      <w:pPr>
        <w:ind w:left="851"/>
        <w:rPr>
          <w:sz w:val="24"/>
          <w:szCs w:val="24"/>
          <w:u w:val="single"/>
        </w:rPr>
      </w:pPr>
      <w:r w:rsidRPr="00826006">
        <w:rPr>
          <w:sz w:val="24"/>
          <w:szCs w:val="24"/>
          <w:u w:val="single"/>
        </w:rPr>
        <w:t>Andre særlige populationer</w:t>
      </w:r>
    </w:p>
    <w:p w:rsidR="00281C36" w:rsidRPr="00826006" w:rsidRDefault="00281C36" w:rsidP="00281C36">
      <w:pPr>
        <w:ind w:left="851" w:hanging="851"/>
        <w:rPr>
          <w:i/>
          <w:sz w:val="24"/>
          <w:szCs w:val="24"/>
        </w:rPr>
      </w:pPr>
    </w:p>
    <w:p w:rsidR="00281C36" w:rsidRPr="00826006" w:rsidRDefault="00281C36" w:rsidP="00281C36">
      <w:pPr>
        <w:ind w:left="851"/>
        <w:rPr>
          <w:i/>
          <w:sz w:val="24"/>
          <w:szCs w:val="24"/>
        </w:rPr>
      </w:pPr>
      <w:r w:rsidRPr="00826006">
        <w:rPr>
          <w:i/>
          <w:sz w:val="24"/>
          <w:szCs w:val="24"/>
        </w:rPr>
        <w:t>Ældre patienter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Dosisjustering baseret på patientens alder er ikke nødvendig. Studier med ældre patienter har vist, at eksponeringen for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, udtrykt som AUC, efter administration af </w:t>
      </w:r>
      <w:proofErr w:type="spellStart"/>
      <w:r w:rsidRPr="00826006">
        <w:rPr>
          <w:sz w:val="24"/>
          <w:szCs w:val="24"/>
        </w:rPr>
        <w:t>solifenacinsuccinat</w:t>
      </w:r>
      <w:proofErr w:type="spellEnd"/>
      <w:r w:rsidRPr="00826006">
        <w:rPr>
          <w:sz w:val="24"/>
          <w:szCs w:val="24"/>
        </w:rPr>
        <w:t xml:space="preserve"> (5 mg og 10 mg én gang dagligt), var ens hos raske ældre patienter (mellem 65 og 80 år) og raske yngre patienter (under 55 år). Den gennemsnitlige absorptionshastighed, udtrykt som </w:t>
      </w:r>
      <w:proofErr w:type="spellStart"/>
      <w:r w:rsidRPr="00826006">
        <w:rPr>
          <w:sz w:val="24"/>
          <w:szCs w:val="24"/>
        </w:rPr>
        <w:t>t</w:t>
      </w:r>
      <w:r w:rsidRPr="00826006">
        <w:rPr>
          <w:sz w:val="24"/>
          <w:szCs w:val="24"/>
          <w:vertAlign w:val="subscript"/>
        </w:rPr>
        <w:t>max</w:t>
      </w:r>
      <w:proofErr w:type="spellEnd"/>
      <w:r w:rsidRPr="00826006">
        <w:rPr>
          <w:sz w:val="24"/>
          <w:szCs w:val="24"/>
        </w:rPr>
        <w:t>, var lidt lavere hos ældre patienter, og den terminale halveringstid var ca. 20 % længere hos ældre patienter. Disse beskedne forskelle anses ikke for at være klinisk signifikante.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Solifenacins</w:t>
      </w:r>
      <w:proofErr w:type="spellEnd"/>
      <w:r w:rsidRPr="00826006">
        <w:rPr>
          <w:sz w:val="24"/>
          <w:szCs w:val="24"/>
        </w:rPr>
        <w:t xml:space="preserve"> farmakokinetik er ikke fastslået hos børn og unge.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i/>
          <w:sz w:val="24"/>
          <w:szCs w:val="24"/>
        </w:rPr>
      </w:pPr>
      <w:r w:rsidRPr="00826006">
        <w:rPr>
          <w:i/>
          <w:sz w:val="24"/>
          <w:szCs w:val="24"/>
        </w:rPr>
        <w:t>Køn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Solifenacins</w:t>
      </w:r>
      <w:proofErr w:type="spellEnd"/>
      <w:r w:rsidRPr="00826006">
        <w:rPr>
          <w:sz w:val="24"/>
          <w:szCs w:val="24"/>
        </w:rPr>
        <w:t xml:space="preserve"> </w:t>
      </w:r>
      <w:proofErr w:type="spellStart"/>
      <w:r w:rsidRPr="00826006">
        <w:rPr>
          <w:sz w:val="24"/>
          <w:szCs w:val="24"/>
        </w:rPr>
        <w:t>famakokinetik</w:t>
      </w:r>
      <w:proofErr w:type="spellEnd"/>
      <w:r w:rsidRPr="00826006">
        <w:rPr>
          <w:sz w:val="24"/>
          <w:szCs w:val="24"/>
        </w:rPr>
        <w:t xml:space="preserve"> er ikke påvirket af køn.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i/>
          <w:sz w:val="24"/>
          <w:szCs w:val="24"/>
        </w:rPr>
      </w:pPr>
      <w:r w:rsidRPr="00826006">
        <w:rPr>
          <w:i/>
          <w:sz w:val="24"/>
          <w:szCs w:val="24"/>
        </w:rPr>
        <w:t>Race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Solifenacins</w:t>
      </w:r>
      <w:proofErr w:type="spellEnd"/>
      <w:r w:rsidRPr="00826006">
        <w:rPr>
          <w:sz w:val="24"/>
          <w:szCs w:val="24"/>
        </w:rPr>
        <w:t xml:space="preserve"> farmakokinetik er ikke påvirket af race.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i/>
          <w:sz w:val="24"/>
          <w:szCs w:val="24"/>
        </w:rPr>
      </w:pPr>
      <w:r w:rsidRPr="00826006">
        <w:rPr>
          <w:i/>
          <w:sz w:val="24"/>
          <w:szCs w:val="24"/>
        </w:rPr>
        <w:t>Nedsat nyrefunktion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Solifenacins</w:t>
      </w:r>
      <w:proofErr w:type="spellEnd"/>
      <w:r w:rsidRPr="00826006">
        <w:rPr>
          <w:sz w:val="24"/>
          <w:szCs w:val="24"/>
        </w:rPr>
        <w:t xml:space="preserve"> AUC og </w:t>
      </w:r>
      <w:proofErr w:type="spellStart"/>
      <w:r w:rsidRPr="00826006">
        <w:rPr>
          <w:sz w:val="24"/>
          <w:szCs w:val="24"/>
        </w:rPr>
        <w:t>C</w:t>
      </w:r>
      <w:r w:rsidRPr="00826006">
        <w:rPr>
          <w:sz w:val="24"/>
          <w:szCs w:val="24"/>
          <w:vertAlign w:val="subscript"/>
        </w:rPr>
        <w:t>max</w:t>
      </w:r>
      <w:proofErr w:type="spellEnd"/>
      <w:r w:rsidRPr="00826006">
        <w:rPr>
          <w:sz w:val="24"/>
          <w:szCs w:val="24"/>
        </w:rPr>
        <w:t xml:space="preserve"> hos patienter med let til moderat nedsat nyrefunktion er ikke signifikant anderledes end de værdier, der ses hos raske frivillige forsøgspersoner. Hos patienter med alvorligt nedsat nyrefunktion (</w:t>
      </w:r>
      <w:proofErr w:type="spellStart"/>
      <w:r w:rsidRPr="00826006">
        <w:rPr>
          <w:sz w:val="24"/>
          <w:szCs w:val="24"/>
        </w:rPr>
        <w:t>kreatinin</w:t>
      </w:r>
      <w:r w:rsidRPr="00826006">
        <w:rPr>
          <w:i/>
          <w:sz w:val="24"/>
          <w:szCs w:val="24"/>
        </w:rPr>
        <w:t>clearance</w:t>
      </w:r>
      <w:proofErr w:type="spellEnd"/>
      <w:r w:rsidRPr="00826006">
        <w:rPr>
          <w:sz w:val="24"/>
          <w:szCs w:val="24"/>
        </w:rPr>
        <w:t xml:space="preserve"> ≤ 30 ml/min) er eksponeringen for </w:t>
      </w:r>
      <w:proofErr w:type="spellStart"/>
      <w:r w:rsidRPr="00826006">
        <w:rPr>
          <w:sz w:val="24"/>
          <w:szCs w:val="24"/>
        </w:rPr>
        <w:t>solifenacin</w:t>
      </w:r>
      <w:proofErr w:type="spellEnd"/>
      <w:r w:rsidRPr="00826006">
        <w:rPr>
          <w:sz w:val="24"/>
          <w:szCs w:val="24"/>
        </w:rPr>
        <w:t xml:space="preserve"> signifikant højere end i kontrolgrupperne med stigninger i </w:t>
      </w:r>
      <w:proofErr w:type="spellStart"/>
      <w:r w:rsidRPr="00826006">
        <w:rPr>
          <w:sz w:val="24"/>
          <w:szCs w:val="24"/>
        </w:rPr>
        <w:t>C</w:t>
      </w:r>
      <w:r w:rsidRPr="00826006">
        <w:rPr>
          <w:sz w:val="24"/>
          <w:szCs w:val="24"/>
          <w:vertAlign w:val="subscript"/>
        </w:rPr>
        <w:t>max</w:t>
      </w:r>
      <w:proofErr w:type="spellEnd"/>
      <w:r w:rsidRPr="00826006">
        <w:rPr>
          <w:sz w:val="24"/>
          <w:szCs w:val="24"/>
        </w:rPr>
        <w:t xml:space="preserve"> på ca. 30 %, i AUC på mere end 100 % og i t</w:t>
      </w:r>
      <w:r w:rsidRPr="00826006">
        <w:rPr>
          <w:sz w:val="24"/>
          <w:szCs w:val="24"/>
          <w:vertAlign w:val="subscript"/>
        </w:rPr>
        <w:t>½</w:t>
      </w:r>
      <w:r w:rsidRPr="00826006">
        <w:rPr>
          <w:sz w:val="24"/>
          <w:szCs w:val="24"/>
        </w:rPr>
        <w:t xml:space="preserve"> på mere end 60 %. Der er observeret en statistisk signifikant sammenhæng mellem </w:t>
      </w:r>
      <w:proofErr w:type="spellStart"/>
      <w:r w:rsidRPr="00826006">
        <w:rPr>
          <w:sz w:val="24"/>
          <w:szCs w:val="24"/>
        </w:rPr>
        <w:t>kreatinin</w:t>
      </w:r>
      <w:r w:rsidRPr="00826006">
        <w:rPr>
          <w:i/>
          <w:sz w:val="24"/>
          <w:szCs w:val="24"/>
        </w:rPr>
        <w:t>clearance</w:t>
      </w:r>
      <w:proofErr w:type="spellEnd"/>
      <w:r w:rsidRPr="00826006">
        <w:rPr>
          <w:sz w:val="24"/>
          <w:szCs w:val="24"/>
        </w:rPr>
        <w:t xml:space="preserve"> og </w:t>
      </w:r>
      <w:proofErr w:type="spellStart"/>
      <w:r w:rsidRPr="00826006">
        <w:rPr>
          <w:sz w:val="24"/>
          <w:szCs w:val="24"/>
        </w:rPr>
        <w:t>solifenacin</w:t>
      </w:r>
      <w:r w:rsidRPr="00826006">
        <w:rPr>
          <w:i/>
          <w:sz w:val="24"/>
          <w:szCs w:val="24"/>
        </w:rPr>
        <w:t>clearance</w:t>
      </w:r>
      <w:proofErr w:type="spellEnd"/>
      <w:r w:rsidRPr="00826006">
        <w:rPr>
          <w:sz w:val="24"/>
          <w:szCs w:val="24"/>
        </w:rPr>
        <w:t>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Solifenacins</w:t>
      </w:r>
      <w:proofErr w:type="spellEnd"/>
      <w:r w:rsidRPr="00826006">
        <w:rPr>
          <w:sz w:val="24"/>
          <w:szCs w:val="24"/>
        </w:rPr>
        <w:t xml:space="preserve"> farmakokinetik er ikke undersøgt hos patienter i hæmodialyse.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i/>
          <w:sz w:val="24"/>
          <w:szCs w:val="24"/>
        </w:rPr>
      </w:pPr>
      <w:r w:rsidRPr="00826006">
        <w:rPr>
          <w:i/>
          <w:sz w:val="24"/>
          <w:szCs w:val="24"/>
        </w:rPr>
        <w:t>Nedsat leverfunktion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>Hos patienter med moderat nedsat leverfunktion (Child-</w:t>
      </w:r>
      <w:proofErr w:type="spellStart"/>
      <w:r w:rsidRPr="00826006">
        <w:rPr>
          <w:sz w:val="24"/>
          <w:szCs w:val="24"/>
        </w:rPr>
        <w:t>Pugh</w:t>
      </w:r>
      <w:proofErr w:type="spellEnd"/>
      <w:r w:rsidRPr="00826006">
        <w:rPr>
          <w:sz w:val="24"/>
          <w:szCs w:val="24"/>
        </w:rPr>
        <w:t xml:space="preserve">-score 7-9) påvirkes </w:t>
      </w:r>
      <w:proofErr w:type="spellStart"/>
      <w:r w:rsidRPr="00826006">
        <w:rPr>
          <w:sz w:val="24"/>
          <w:szCs w:val="24"/>
        </w:rPr>
        <w:t>C</w:t>
      </w:r>
      <w:r w:rsidRPr="00826006">
        <w:rPr>
          <w:sz w:val="24"/>
          <w:szCs w:val="24"/>
          <w:vertAlign w:val="subscript"/>
        </w:rPr>
        <w:t>max</w:t>
      </w:r>
      <w:proofErr w:type="spellEnd"/>
      <w:r w:rsidRPr="00826006">
        <w:rPr>
          <w:sz w:val="24"/>
          <w:szCs w:val="24"/>
        </w:rPr>
        <w:t xml:space="preserve"> ikke, AUC stiger med 60% og t</w:t>
      </w:r>
      <w:r w:rsidRPr="00826006">
        <w:rPr>
          <w:sz w:val="24"/>
          <w:szCs w:val="24"/>
          <w:vertAlign w:val="subscript"/>
        </w:rPr>
        <w:t>½</w:t>
      </w:r>
      <w:r w:rsidRPr="00826006">
        <w:rPr>
          <w:sz w:val="24"/>
          <w:szCs w:val="24"/>
        </w:rPr>
        <w:t xml:space="preserve"> fordobles. </w:t>
      </w:r>
      <w:proofErr w:type="spellStart"/>
      <w:r w:rsidRPr="00826006">
        <w:rPr>
          <w:sz w:val="24"/>
          <w:szCs w:val="24"/>
        </w:rPr>
        <w:t>Solifenacins</w:t>
      </w:r>
      <w:proofErr w:type="spellEnd"/>
      <w:r w:rsidRPr="00826006">
        <w:rPr>
          <w:sz w:val="24"/>
          <w:szCs w:val="24"/>
        </w:rPr>
        <w:t xml:space="preserve"> farmakokinetik er ikke undersøgt hos patienter med alvorligt nedsat leverfunktion.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5.3</w:t>
      </w:r>
      <w:r w:rsidRPr="00826006">
        <w:rPr>
          <w:b/>
          <w:sz w:val="24"/>
          <w:szCs w:val="24"/>
        </w:rPr>
        <w:tab/>
      </w:r>
      <w:r w:rsidR="008954FA">
        <w:rPr>
          <w:b/>
          <w:sz w:val="24"/>
          <w:szCs w:val="24"/>
        </w:rPr>
        <w:t>Non-</w:t>
      </w:r>
      <w:r w:rsidRPr="00826006">
        <w:rPr>
          <w:b/>
          <w:sz w:val="24"/>
          <w:szCs w:val="24"/>
        </w:rPr>
        <w:t>kliniske sikkerhedsdata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 xml:space="preserve">De </w:t>
      </w:r>
      <w:r w:rsidR="008954FA">
        <w:rPr>
          <w:sz w:val="24"/>
          <w:szCs w:val="24"/>
        </w:rPr>
        <w:t>non-</w:t>
      </w:r>
      <w:r w:rsidRPr="00826006">
        <w:rPr>
          <w:sz w:val="24"/>
          <w:szCs w:val="24"/>
        </w:rPr>
        <w:t xml:space="preserve">kliniske data viser ingen særlig risiko for mennesker vurderet ud fra konventionelle undersøgelser af sikkerhedsfarmakologi, toksicitet efter gentagne doser, fertilitet, fosterudvikling, genotoksicitet og </w:t>
      </w:r>
      <w:proofErr w:type="spellStart"/>
      <w:r w:rsidRPr="00826006">
        <w:rPr>
          <w:sz w:val="24"/>
          <w:szCs w:val="24"/>
        </w:rPr>
        <w:t>karcinogenicitet</w:t>
      </w:r>
      <w:proofErr w:type="spellEnd"/>
      <w:r w:rsidRPr="00826006">
        <w:rPr>
          <w:sz w:val="24"/>
          <w:szCs w:val="24"/>
        </w:rPr>
        <w:t xml:space="preserve">. I præ- og </w:t>
      </w:r>
      <w:proofErr w:type="spellStart"/>
      <w:r w:rsidRPr="00826006">
        <w:rPr>
          <w:sz w:val="24"/>
          <w:szCs w:val="24"/>
        </w:rPr>
        <w:t>postnatale</w:t>
      </w:r>
      <w:proofErr w:type="spellEnd"/>
      <w:r w:rsidRPr="00826006">
        <w:rPr>
          <w:sz w:val="24"/>
          <w:szCs w:val="24"/>
        </w:rPr>
        <w:t xml:space="preserve"> udviklingsstudier hos mus, forårsager </w:t>
      </w:r>
      <w:proofErr w:type="spellStart"/>
      <w:r w:rsidRPr="00826006">
        <w:rPr>
          <w:sz w:val="24"/>
          <w:szCs w:val="24"/>
        </w:rPr>
        <w:t>solifenacinbehandling</w:t>
      </w:r>
      <w:proofErr w:type="spellEnd"/>
      <w:r w:rsidRPr="00826006">
        <w:rPr>
          <w:sz w:val="24"/>
          <w:szCs w:val="24"/>
        </w:rPr>
        <w:t xml:space="preserve"> af moderen ved diegivning et dosisafhængigt fald i overlevelsesratio, nedsat vægt af unger, og langsommere fysisk udvikling ved kliniske relevante niveauer. Dosisrelateret øget dødelighed uden forudgående kliniske tegn </w:t>
      </w:r>
      <w:r w:rsidRPr="00826006">
        <w:rPr>
          <w:sz w:val="24"/>
          <w:szCs w:val="24"/>
        </w:rPr>
        <w:lastRenderedPageBreak/>
        <w:t>forekom hos juvenile mus, som blev behandlet fra dag 10 eller 21 efter fødslen med doser, som gav farmakologisk effekt, og begge grupper havde højere dødelighed i forhold til voksne mus. Hos juvenile mus behandlet fra dag 10 efter fødslen, var plasmaeksponeringen højere end hos voksne mus; fra dag 21 efter fødslen og fremefter, var den systemiske eksponering sammenlignelig med den hos voksne mus. De kliniske implikationer af den øgede dødelighed hos juvenile mus er ikke kendt.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6.</w:t>
      </w:r>
      <w:r w:rsidRPr="00826006">
        <w:rPr>
          <w:b/>
          <w:sz w:val="24"/>
          <w:szCs w:val="24"/>
        </w:rPr>
        <w:tab/>
        <w:t>FARMACEUTISKE OPLYSNINGER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6.1</w:t>
      </w:r>
      <w:r w:rsidRPr="00826006">
        <w:rPr>
          <w:b/>
          <w:sz w:val="24"/>
          <w:szCs w:val="24"/>
        </w:rPr>
        <w:tab/>
        <w:t>Hjælpestoffer</w:t>
      </w:r>
    </w:p>
    <w:p w:rsidR="00281C36" w:rsidRDefault="00281C36" w:rsidP="00281C36">
      <w:pPr>
        <w:ind w:left="851"/>
        <w:rPr>
          <w:sz w:val="24"/>
          <w:szCs w:val="24"/>
          <w:u w:val="single"/>
        </w:rPr>
      </w:pPr>
    </w:p>
    <w:p w:rsidR="00281C36" w:rsidRPr="00826006" w:rsidRDefault="00281C36" w:rsidP="00281C36">
      <w:pPr>
        <w:ind w:left="851"/>
        <w:rPr>
          <w:sz w:val="24"/>
          <w:szCs w:val="24"/>
          <w:u w:val="single"/>
        </w:rPr>
      </w:pPr>
      <w:r w:rsidRPr="00826006">
        <w:rPr>
          <w:sz w:val="24"/>
          <w:szCs w:val="24"/>
          <w:u w:val="single"/>
        </w:rPr>
        <w:t>Tabletkerne: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Lactosemonohydrat</w:t>
      </w:r>
      <w:proofErr w:type="spellEnd"/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>Majsstivelse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Hypromellose</w:t>
      </w:r>
      <w:proofErr w:type="spellEnd"/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Talcum</w:t>
      </w:r>
      <w:proofErr w:type="spellEnd"/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Magnesiumstearat</w:t>
      </w:r>
      <w:proofErr w:type="spellEnd"/>
    </w:p>
    <w:p w:rsidR="00281C36" w:rsidRPr="00826006" w:rsidRDefault="00281C36" w:rsidP="00281C36">
      <w:pPr>
        <w:ind w:left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  <w:u w:val="single"/>
        </w:rPr>
      </w:pPr>
      <w:r w:rsidRPr="00826006">
        <w:rPr>
          <w:sz w:val="24"/>
          <w:szCs w:val="24"/>
          <w:u w:val="single"/>
        </w:rPr>
        <w:t>Filmovertræk: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sz w:val="24"/>
          <w:szCs w:val="24"/>
          <w:u w:val="single"/>
        </w:rPr>
      </w:pPr>
      <w:r w:rsidRPr="00826006">
        <w:rPr>
          <w:sz w:val="24"/>
          <w:szCs w:val="24"/>
          <w:u w:val="single"/>
        </w:rPr>
        <w:t xml:space="preserve">5 mg  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proofErr w:type="spellStart"/>
      <w:r w:rsidRPr="00826006">
        <w:rPr>
          <w:sz w:val="24"/>
          <w:szCs w:val="24"/>
        </w:rPr>
        <w:t>Hypromellose</w:t>
      </w:r>
      <w:proofErr w:type="spellEnd"/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>Titandioxid (E171)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>Propylenglycol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>Gul jernoxid (E172)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</w:p>
    <w:p w:rsidR="00281C36" w:rsidRPr="00405E9B" w:rsidRDefault="00281C36" w:rsidP="00281C36">
      <w:pPr>
        <w:ind w:left="851"/>
        <w:rPr>
          <w:sz w:val="24"/>
          <w:szCs w:val="24"/>
          <w:u w:val="single"/>
        </w:rPr>
      </w:pPr>
      <w:r w:rsidRPr="00405E9B">
        <w:rPr>
          <w:sz w:val="24"/>
          <w:szCs w:val="24"/>
          <w:u w:val="single"/>
        </w:rPr>
        <w:t>10 mg</w:t>
      </w:r>
    </w:p>
    <w:p w:rsidR="00281C36" w:rsidRPr="00405E9B" w:rsidRDefault="00281C36" w:rsidP="00281C36">
      <w:pPr>
        <w:ind w:left="851"/>
        <w:rPr>
          <w:sz w:val="24"/>
          <w:szCs w:val="24"/>
          <w:lang w:val="en-US"/>
        </w:rPr>
      </w:pPr>
      <w:r w:rsidRPr="00405E9B">
        <w:rPr>
          <w:sz w:val="24"/>
          <w:szCs w:val="24"/>
          <w:lang w:val="en-US"/>
        </w:rPr>
        <w:t>Hypromellose</w:t>
      </w:r>
    </w:p>
    <w:p w:rsidR="00281C36" w:rsidRPr="00405E9B" w:rsidRDefault="00281C36" w:rsidP="00281C36">
      <w:pPr>
        <w:ind w:left="851"/>
        <w:rPr>
          <w:sz w:val="24"/>
          <w:szCs w:val="24"/>
          <w:lang w:val="en-US"/>
        </w:rPr>
      </w:pPr>
      <w:proofErr w:type="spellStart"/>
      <w:r w:rsidRPr="00405E9B">
        <w:rPr>
          <w:sz w:val="24"/>
          <w:szCs w:val="24"/>
          <w:lang w:val="en-US"/>
        </w:rPr>
        <w:t>Titandioxid</w:t>
      </w:r>
      <w:proofErr w:type="spellEnd"/>
      <w:r w:rsidRPr="00405E9B">
        <w:rPr>
          <w:sz w:val="24"/>
          <w:szCs w:val="24"/>
          <w:lang w:val="en-US"/>
        </w:rPr>
        <w:t xml:space="preserve"> (E171) </w:t>
      </w:r>
    </w:p>
    <w:p w:rsidR="00281C36" w:rsidRPr="00405E9B" w:rsidRDefault="00281C36" w:rsidP="00281C36">
      <w:pPr>
        <w:ind w:left="851"/>
        <w:rPr>
          <w:sz w:val="24"/>
          <w:szCs w:val="24"/>
          <w:lang w:val="en-US"/>
        </w:rPr>
      </w:pPr>
      <w:proofErr w:type="spellStart"/>
      <w:r w:rsidRPr="00405E9B">
        <w:rPr>
          <w:sz w:val="24"/>
          <w:szCs w:val="24"/>
          <w:lang w:val="en-US"/>
        </w:rPr>
        <w:t>Propylenglycol</w:t>
      </w:r>
      <w:proofErr w:type="spellEnd"/>
    </w:p>
    <w:p w:rsidR="00281C36" w:rsidRPr="00405E9B" w:rsidRDefault="00281C36" w:rsidP="00281C36">
      <w:pPr>
        <w:ind w:left="851"/>
        <w:rPr>
          <w:sz w:val="24"/>
          <w:szCs w:val="24"/>
          <w:lang w:val="en-US"/>
        </w:rPr>
      </w:pPr>
      <w:proofErr w:type="spellStart"/>
      <w:r w:rsidRPr="00405E9B">
        <w:rPr>
          <w:sz w:val="24"/>
          <w:szCs w:val="24"/>
          <w:lang w:val="en-US"/>
        </w:rPr>
        <w:t>Rød</w:t>
      </w:r>
      <w:proofErr w:type="spellEnd"/>
      <w:r w:rsidRPr="00405E9B">
        <w:rPr>
          <w:sz w:val="24"/>
          <w:szCs w:val="24"/>
          <w:lang w:val="en-US"/>
        </w:rPr>
        <w:t xml:space="preserve"> </w:t>
      </w:r>
      <w:proofErr w:type="spellStart"/>
      <w:r w:rsidRPr="00405E9B">
        <w:rPr>
          <w:sz w:val="24"/>
          <w:szCs w:val="24"/>
          <w:lang w:val="en-US"/>
        </w:rPr>
        <w:t>jernoxid</w:t>
      </w:r>
      <w:proofErr w:type="spellEnd"/>
      <w:r w:rsidRPr="00405E9B">
        <w:rPr>
          <w:sz w:val="24"/>
          <w:szCs w:val="24"/>
          <w:lang w:val="en-US"/>
        </w:rPr>
        <w:t xml:space="preserve"> (E172)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405E9B">
        <w:rPr>
          <w:sz w:val="24"/>
          <w:szCs w:val="24"/>
        </w:rPr>
        <w:t>Gul jernoxid (E172)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6.2</w:t>
      </w:r>
      <w:r w:rsidRPr="00826006">
        <w:rPr>
          <w:b/>
          <w:sz w:val="24"/>
          <w:szCs w:val="24"/>
        </w:rPr>
        <w:tab/>
        <w:t>Uforligeligheder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>Ikke relevant.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6.3</w:t>
      </w:r>
      <w:r w:rsidRPr="00826006">
        <w:rPr>
          <w:b/>
          <w:sz w:val="24"/>
          <w:szCs w:val="24"/>
        </w:rPr>
        <w:tab/>
        <w:t>Opbevaringstid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  <w:r w:rsidRPr="00826006">
        <w:rPr>
          <w:sz w:val="24"/>
          <w:szCs w:val="24"/>
        </w:rPr>
        <w:tab/>
      </w:r>
      <w:r>
        <w:rPr>
          <w:sz w:val="24"/>
          <w:szCs w:val="24"/>
        </w:rPr>
        <w:t>Blisters: 3</w:t>
      </w:r>
      <w:r w:rsidRPr="00826006">
        <w:rPr>
          <w:sz w:val="24"/>
          <w:szCs w:val="24"/>
        </w:rPr>
        <w:t xml:space="preserve"> år.</w:t>
      </w:r>
    </w:p>
    <w:p w:rsidR="00281C36" w:rsidRPr="00826006" w:rsidRDefault="00281C36" w:rsidP="00281C36">
      <w:pPr>
        <w:ind w:left="851" w:hanging="851"/>
        <w:rPr>
          <w:spacing w:val="-3"/>
          <w:sz w:val="24"/>
          <w:szCs w:val="24"/>
        </w:rPr>
      </w:pPr>
    </w:p>
    <w:p w:rsidR="00281C36" w:rsidRPr="00826006" w:rsidRDefault="00281C36" w:rsidP="00281C36">
      <w:pPr>
        <w:pStyle w:val="Sidehoved"/>
        <w:tabs>
          <w:tab w:val="left" w:pos="1304"/>
        </w:tabs>
        <w:ind w:left="851" w:hanging="851"/>
        <w:rPr>
          <w:szCs w:val="24"/>
        </w:rPr>
      </w:pPr>
      <w:r>
        <w:rPr>
          <w:i/>
          <w:szCs w:val="24"/>
        </w:rPr>
        <w:tab/>
      </w:r>
      <w:r w:rsidRPr="00826006">
        <w:rPr>
          <w:i/>
          <w:szCs w:val="24"/>
        </w:rPr>
        <w:t>HDPE-</w:t>
      </w:r>
      <w:r>
        <w:rPr>
          <w:i/>
          <w:szCs w:val="24"/>
        </w:rPr>
        <w:t>beholder</w:t>
      </w:r>
      <w:r w:rsidRPr="00826006">
        <w:rPr>
          <w:i/>
          <w:szCs w:val="24"/>
        </w:rPr>
        <w:t>:</w:t>
      </w:r>
      <w:r w:rsidRPr="00826006">
        <w:rPr>
          <w:szCs w:val="24"/>
        </w:rPr>
        <w:t xml:space="preserve"> </w:t>
      </w:r>
      <w:r>
        <w:rPr>
          <w:szCs w:val="24"/>
        </w:rPr>
        <w:t xml:space="preserve">2 år. </w:t>
      </w:r>
      <w:r w:rsidRPr="00826006">
        <w:rPr>
          <w:szCs w:val="24"/>
        </w:rPr>
        <w:t xml:space="preserve">Anvendes inden for 100 dage efter åbning. 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6.4</w:t>
      </w:r>
      <w:r w:rsidRPr="00826006">
        <w:rPr>
          <w:b/>
          <w:sz w:val="24"/>
          <w:szCs w:val="24"/>
        </w:rPr>
        <w:tab/>
        <w:t>Særlige opbevaringsforhold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>Dette lægemiddel kræver ingen særlige forhold</w:t>
      </w:r>
      <w:r>
        <w:rPr>
          <w:sz w:val="24"/>
          <w:szCs w:val="24"/>
        </w:rPr>
        <w:t>sregler</w:t>
      </w:r>
      <w:r w:rsidRPr="00826006">
        <w:rPr>
          <w:sz w:val="24"/>
          <w:szCs w:val="24"/>
        </w:rPr>
        <w:t xml:space="preserve"> vedrørende opbevaringen.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6.5</w:t>
      </w:r>
      <w:r w:rsidRPr="00826006">
        <w:rPr>
          <w:b/>
          <w:sz w:val="24"/>
          <w:szCs w:val="24"/>
        </w:rPr>
        <w:tab/>
        <w:t>Emballagetype og pakningsstørrelser</w:t>
      </w:r>
    </w:p>
    <w:p w:rsidR="00281C36" w:rsidRPr="00826006" w:rsidRDefault="00281C36" w:rsidP="00281C36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en-GB"/>
        </w:rPr>
      </w:pPr>
      <w:r w:rsidRPr="00826006">
        <w:rPr>
          <w:sz w:val="24"/>
          <w:szCs w:val="24"/>
        </w:rPr>
        <w:t>P</w:t>
      </w:r>
      <w:r w:rsidRPr="00826006">
        <w:rPr>
          <w:color w:val="000000"/>
          <w:sz w:val="24"/>
          <w:szCs w:val="24"/>
          <w:lang w:eastAsia="en-GB"/>
        </w:rPr>
        <w:t>VC-blisterpakningen (PVC-Al) består af klar, transparent PVC på den ene side og hårdt hærdet aluminiums-folie overtrukket med varmeforseglet lak på den anden side.</w:t>
      </w:r>
    </w:p>
    <w:p w:rsidR="00281C36" w:rsidRPr="00826006" w:rsidRDefault="00281C36" w:rsidP="00281C36">
      <w:pPr>
        <w:autoSpaceDE w:val="0"/>
        <w:autoSpaceDN w:val="0"/>
        <w:adjustRightInd w:val="0"/>
        <w:ind w:left="851" w:hanging="851"/>
        <w:rPr>
          <w:color w:val="000000"/>
          <w:sz w:val="24"/>
          <w:szCs w:val="24"/>
          <w:lang w:eastAsia="en-GB"/>
        </w:rPr>
      </w:pPr>
    </w:p>
    <w:p w:rsidR="00281C36" w:rsidRPr="00826006" w:rsidRDefault="00281C36" w:rsidP="00281C36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826006">
        <w:rPr>
          <w:sz w:val="24"/>
          <w:szCs w:val="24"/>
        </w:rPr>
        <w:t>Pakningstørrelser: 3, 5, 10, 20, 30, 30 x 1, 50, 60, 90, 100, 200 tabletter.</w:t>
      </w:r>
    </w:p>
    <w:p w:rsidR="00281C36" w:rsidRPr="00826006" w:rsidRDefault="00281C36" w:rsidP="00281C36">
      <w:pPr>
        <w:ind w:left="851" w:hanging="851"/>
        <w:rPr>
          <w:sz w:val="24"/>
          <w:szCs w:val="24"/>
          <w:highlight w:val="lightGray"/>
        </w:rPr>
      </w:pP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lastRenderedPageBreak/>
        <w:t>HDPE-</w:t>
      </w:r>
      <w:r>
        <w:rPr>
          <w:sz w:val="24"/>
          <w:szCs w:val="24"/>
        </w:rPr>
        <w:t>beholderen</w:t>
      </w:r>
      <w:r w:rsidRPr="00826006">
        <w:rPr>
          <w:sz w:val="24"/>
          <w:szCs w:val="24"/>
        </w:rPr>
        <w:t xml:space="preserve"> består af en hvid, rund HDPE-</w:t>
      </w:r>
      <w:r>
        <w:rPr>
          <w:sz w:val="24"/>
          <w:szCs w:val="24"/>
        </w:rPr>
        <w:t>beholder</w:t>
      </w:r>
      <w:r w:rsidRPr="00826006">
        <w:rPr>
          <w:sz w:val="24"/>
          <w:szCs w:val="24"/>
        </w:rPr>
        <w:t xml:space="preserve"> med rund, bred hals og et hvidt, uigennemsigtigt låg af polypropylen med induktionsforsegling af aluminium.</w:t>
      </w:r>
    </w:p>
    <w:p w:rsidR="00281C36" w:rsidRPr="00826006" w:rsidRDefault="00281C36" w:rsidP="00281C36">
      <w:pPr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ind w:left="851"/>
        <w:rPr>
          <w:color w:val="000000"/>
          <w:sz w:val="24"/>
          <w:szCs w:val="24"/>
          <w:lang w:eastAsia="en-GB"/>
        </w:rPr>
      </w:pPr>
      <w:r w:rsidRPr="00826006">
        <w:rPr>
          <w:sz w:val="24"/>
          <w:szCs w:val="24"/>
        </w:rPr>
        <w:t>Pakningsstørrelser: 30, 50, 90, 100, 200, 250, 500 tabletter.</w:t>
      </w:r>
    </w:p>
    <w:p w:rsidR="00281C36" w:rsidRPr="00826006" w:rsidRDefault="00281C36" w:rsidP="00281C36">
      <w:pPr>
        <w:autoSpaceDE w:val="0"/>
        <w:autoSpaceDN w:val="0"/>
        <w:adjustRightInd w:val="0"/>
        <w:ind w:left="851" w:hanging="851"/>
        <w:rPr>
          <w:color w:val="000000"/>
          <w:sz w:val="24"/>
          <w:szCs w:val="24"/>
          <w:lang w:eastAsia="en-GB"/>
        </w:rPr>
      </w:pPr>
    </w:p>
    <w:p w:rsidR="00281C36" w:rsidRPr="00826006" w:rsidRDefault="00281C36" w:rsidP="00281C36">
      <w:pPr>
        <w:suppressAutoHyphens/>
        <w:ind w:left="851"/>
        <w:rPr>
          <w:sz w:val="24"/>
          <w:szCs w:val="24"/>
        </w:rPr>
      </w:pPr>
      <w:r w:rsidRPr="00826006">
        <w:rPr>
          <w:sz w:val="24"/>
          <w:szCs w:val="24"/>
        </w:rPr>
        <w:t>Ikke alle pakningsstørrelser er nødvendigvis markedsført.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6.6</w:t>
      </w:r>
      <w:r w:rsidRPr="00826006">
        <w:rPr>
          <w:b/>
          <w:sz w:val="24"/>
          <w:szCs w:val="24"/>
        </w:rPr>
        <w:tab/>
        <w:t xml:space="preserve">Regler for </w:t>
      </w:r>
      <w:r w:rsidR="008954FA">
        <w:rPr>
          <w:b/>
          <w:sz w:val="24"/>
          <w:szCs w:val="24"/>
        </w:rPr>
        <w:t>bortskaffelse</w:t>
      </w:r>
      <w:r w:rsidRPr="00826006">
        <w:rPr>
          <w:b/>
          <w:sz w:val="24"/>
          <w:szCs w:val="24"/>
        </w:rPr>
        <w:t xml:space="preserve"> og anden håndtering</w:t>
      </w:r>
    </w:p>
    <w:p w:rsidR="00281C36" w:rsidRPr="00826006" w:rsidRDefault="00281C36" w:rsidP="00281C36">
      <w:pPr>
        <w:ind w:left="851"/>
        <w:rPr>
          <w:sz w:val="24"/>
          <w:szCs w:val="24"/>
        </w:rPr>
      </w:pPr>
      <w:r w:rsidRPr="00826006">
        <w:rPr>
          <w:sz w:val="24"/>
          <w:szCs w:val="24"/>
        </w:rPr>
        <w:t>Ingen særlige forholdsregler.</w:t>
      </w:r>
    </w:p>
    <w:p w:rsidR="00281C36" w:rsidRPr="00826006" w:rsidRDefault="00281C36" w:rsidP="00281C36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7.</w:t>
      </w:r>
      <w:r w:rsidRPr="00826006">
        <w:rPr>
          <w:b/>
          <w:sz w:val="24"/>
          <w:szCs w:val="24"/>
        </w:rPr>
        <w:tab/>
        <w:t>INDEHAVER AF MARKEDSFØRINGSTILLADELSEN</w:t>
      </w:r>
    </w:p>
    <w:p w:rsidR="008954FA" w:rsidRDefault="008954FA" w:rsidP="00281C36">
      <w:pPr>
        <w:shd w:val="clear" w:color="auto" w:fill="FFFFFF"/>
        <w:ind w:left="851"/>
        <w:rPr>
          <w:sz w:val="24"/>
          <w:szCs w:val="24"/>
          <w:lang w:val="en-US"/>
        </w:rPr>
      </w:pPr>
      <w:proofErr w:type="spellStart"/>
      <w:r w:rsidRPr="00DC6A0F">
        <w:rPr>
          <w:sz w:val="24"/>
          <w:szCs w:val="24"/>
          <w:lang w:val="en-US"/>
        </w:rPr>
        <w:t>Viatris</w:t>
      </w:r>
      <w:proofErr w:type="spellEnd"/>
      <w:r w:rsidRPr="00DC6A0F">
        <w:rPr>
          <w:sz w:val="24"/>
          <w:szCs w:val="24"/>
          <w:lang w:val="en-US"/>
        </w:rPr>
        <w:t xml:space="preserve"> Limited</w:t>
      </w:r>
    </w:p>
    <w:p w:rsidR="008954FA" w:rsidRDefault="008954FA" w:rsidP="00281C36">
      <w:pPr>
        <w:shd w:val="clear" w:color="auto" w:fill="FFFFFF"/>
        <w:ind w:left="851"/>
        <w:rPr>
          <w:sz w:val="24"/>
          <w:szCs w:val="24"/>
          <w:lang w:val="en-US"/>
        </w:rPr>
      </w:pPr>
      <w:proofErr w:type="spellStart"/>
      <w:r w:rsidRPr="00DC6A0F">
        <w:rPr>
          <w:sz w:val="24"/>
          <w:szCs w:val="24"/>
          <w:lang w:val="en-US"/>
        </w:rPr>
        <w:t>Damastown</w:t>
      </w:r>
      <w:proofErr w:type="spellEnd"/>
      <w:r w:rsidRPr="00DC6A0F">
        <w:rPr>
          <w:sz w:val="24"/>
          <w:szCs w:val="24"/>
          <w:lang w:val="en-US"/>
        </w:rPr>
        <w:t xml:space="preserve"> Industrial Park</w:t>
      </w:r>
    </w:p>
    <w:p w:rsidR="008954FA" w:rsidRDefault="008954FA" w:rsidP="00281C36">
      <w:pPr>
        <w:shd w:val="clear" w:color="auto" w:fill="FFFFFF"/>
        <w:ind w:left="851"/>
        <w:rPr>
          <w:sz w:val="24"/>
          <w:szCs w:val="24"/>
          <w:lang w:val="en-US"/>
        </w:rPr>
      </w:pPr>
      <w:proofErr w:type="spellStart"/>
      <w:r w:rsidRPr="00DC6A0F">
        <w:rPr>
          <w:sz w:val="24"/>
          <w:szCs w:val="24"/>
          <w:lang w:val="en-US"/>
        </w:rPr>
        <w:t>Mulhuddart</w:t>
      </w:r>
      <w:proofErr w:type="spellEnd"/>
    </w:p>
    <w:p w:rsidR="008954FA" w:rsidRDefault="008954FA" w:rsidP="00281C36">
      <w:pPr>
        <w:shd w:val="clear" w:color="auto" w:fill="FFFFFF"/>
        <w:ind w:left="851"/>
        <w:rPr>
          <w:sz w:val="24"/>
          <w:szCs w:val="24"/>
          <w:lang w:val="en-US"/>
        </w:rPr>
      </w:pPr>
      <w:r w:rsidRPr="00DC6A0F">
        <w:rPr>
          <w:sz w:val="24"/>
          <w:szCs w:val="24"/>
          <w:lang w:val="en-US"/>
        </w:rPr>
        <w:t>Dublin 15</w:t>
      </w:r>
    </w:p>
    <w:p w:rsidR="008954FA" w:rsidRDefault="008954FA" w:rsidP="00281C36">
      <w:pPr>
        <w:shd w:val="clear" w:color="auto" w:fill="FFFFFF"/>
        <w:ind w:left="851"/>
        <w:rPr>
          <w:sz w:val="24"/>
          <w:szCs w:val="24"/>
          <w:lang w:val="en-US"/>
        </w:rPr>
      </w:pPr>
      <w:r w:rsidRPr="00DC6A0F">
        <w:rPr>
          <w:sz w:val="24"/>
          <w:szCs w:val="24"/>
          <w:lang w:val="en-US"/>
        </w:rPr>
        <w:t>Dublin</w:t>
      </w:r>
    </w:p>
    <w:p w:rsidR="00025790" w:rsidRDefault="008954FA" w:rsidP="00281C36">
      <w:pPr>
        <w:shd w:val="clear" w:color="auto" w:fill="FFFFFF"/>
        <w:ind w:left="851"/>
        <w:rPr>
          <w:sz w:val="24"/>
          <w:szCs w:val="24"/>
          <w:lang w:val="en-US"/>
        </w:rPr>
      </w:pPr>
      <w:r w:rsidRPr="00DC6A0F">
        <w:rPr>
          <w:sz w:val="24"/>
          <w:szCs w:val="24"/>
          <w:lang w:val="en-US"/>
        </w:rPr>
        <w:t>Ireland</w:t>
      </w:r>
    </w:p>
    <w:p w:rsidR="008954FA" w:rsidRPr="008954FA" w:rsidRDefault="008954FA" w:rsidP="00281C36">
      <w:pPr>
        <w:shd w:val="clear" w:color="auto" w:fill="FFFFFF"/>
        <w:ind w:left="851"/>
        <w:rPr>
          <w:sz w:val="24"/>
          <w:szCs w:val="24"/>
          <w:lang w:val="en-US" w:eastAsia="da-DK"/>
        </w:rPr>
      </w:pPr>
    </w:p>
    <w:p w:rsidR="00025790" w:rsidRDefault="00025790" w:rsidP="00025790">
      <w:pPr>
        <w:ind w:left="851"/>
        <w:rPr>
          <w:sz w:val="24"/>
          <w:szCs w:val="24"/>
        </w:rPr>
      </w:pPr>
      <w:r>
        <w:rPr>
          <w:b/>
          <w:sz w:val="24"/>
          <w:szCs w:val="24"/>
        </w:rPr>
        <w:t>Repræsentant</w:t>
      </w:r>
    </w:p>
    <w:p w:rsidR="00025790" w:rsidRPr="00C31E00" w:rsidRDefault="00025790" w:rsidP="00025790">
      <w:pPr>
        <w:ind w:left="851"/>
        <w:rPr>
          <w:sz w:val="24"/>
          <w:szCs w:val="24"/>
        </w:rPr>
      </w:pPr>
      <w:proofErr w:type="spellStart"/>
      <w:r w:rsidRPr="00C31E00">
        <w:rPr>
          <w:sz w:val="24"/>
          <w:szCs w:val="24"/>
        </w:rPr>
        <w:t>Viatris</w:t>
      </w:r>
      <w:proofErr w:type="spellEnd"/>
      <w:r w:rsidRPr="00C31E00">
        <w:rPr>
          <w:sz w:val="24"/>
          <w:szCs w:val="24"/>
        </w:rPr>
        <w:t xml:space="preserve"> ApS</w:t>
      </w:r>
    </w:p>
    <w:p w:rsidR="00025790" w:rsidRPr="00C31E00" w:rsidRDefault="00025790" w:rsidP="00025790">
      <w:pPr>
        <w:ind w:left="851"/>
        <w:rPr>
          <w:sz w:val="24"/>
          <w:szCs w:val="24"/>
        </w:rPr>
      </w:pPr>
      <w:r w:rsidRPr="00C31E00">
        <w:rPr>
          <w:sz w:val="24"/>
          <w:szCs w:val="24"/>
        </w:rPr>
        <w:t>Borupvang 1</w:t>
      </w:r>
    </w:p>
    <w:p w:rsidR="00025790" w:rsidRPr="002F0C87" w:rsidRDefault="00025790" w:rsidP="00025790">
      <w:pPr>
        <w:shd w:val="clear" w:color="auto" w:fill="FFFFFF"/>
        <w:ind w:left="851"/>
        <w:rPr>
          <w:sz w:val="24"/>
          <w:szCs w:val="24"/>
          <w:lang w:eastAsia="da-DK"/>
        </w:rPr>
      </w:pPr>
      <w:r w:rsidRPr="00C31E00">
        <w:rPr>
          <w:sz w:val="24"/>
          <w:szCs w:val="24"/>
        </w:rPr>
        <w:t>2750 Ballerup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8.</w:t>
      </w:r>
      <w:r w:rsidRPr="00826006">
        <w:rPr>
          <w:b/>
          <w:sz w:val="24"/>
          <w:szCs w:val="24"/>
        </w:rPr>
        <w:tab/>
        <w:t>MARKEDSFØRINGSTILLADELSESNUMMER (</w:t>
      </w:r>
      <w:r w:rsidR="008954FA">
        <w:rPr>
          <w:b/>
          <w:sz w:val="24"/>
          <w:szCs w:val="24"/>
        </w:rPr>
        <w:t>-</w:t>
      </w:r>
      <w:r w:rsidRPr="00826006">
        <w:rPr>
          <w:b/>
          <w:sz w:val="24"/>
          <w:szCs w:val="24"/>
        </w:rPr>
        <w:t>NUMRE)</w:t>
      </w:r>
    </w:p>
    <w:p w:rsidR="00281C36" w:rsidRPr="00826006" w:rsidRDefault="00281C36" w:rsidP="00281C36">
      <w:pPr>
        <w:tabs>
          <w:tab w:val="left" w:pos="851"/>
          <w:tab w:val="left" w:pos="170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826006">
        <w:rPr>
          <w:sz w:val="24"/>
          <w:szCs w:val="24"/>
        </w:rPr>
        <w:t>5 mg:</w:t>
      </w:r>
      <w:r>
        <w:rPr>
          <w:sz w:val="24"/>
          <w:szCs w:val="24"/>
        </w:rPr>
        <w:tab/>
        <w:t>54629</w:t>
      </w:r>
    </w:p>
    <w:p w:rsidR="00281C36" w:rsidRPr="00826006" w:rsidRDefault="00281C36" w:rsidP="00281C36">
      <w:pPr>
        <w:tabs>
          <w:tab w:val="left" w:pos="851"/>
          <w:tab w:val="left" w:pos="170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826006">
        <w:rPr>
          <w:sz w:val="24"/>
          <w:szCs w:val="24"/>
        </w:rPr>
        <w:t>10 mg:</w:t>
      </w:r>
      <w:r>
        <w:rPr>
          <w:sz w:val="24"/>
          <w:szCs w:val="24"/>
        </w:rPr>
        <w:tab/>
        <w:t>54630</w:t>
      </w:r>
    </w:p>
    <w:p w:rsidR="00281C36" w:rsidRPr="00826006" w:rsidRDefault="00281C36" w:rsidP="00281C36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9.</w:t>
      </w:r>
      <w:r w:rsidRPr="00826006">
        <w:rPr>
          <w:b/>
          <w:sz w:val="24"/>
          <w:szCs w:val="24"/>
        </w:rPr>
        <w:tab/>
        <w:t>DATO FOR FØRSTE MARKEDSFØRINGSTILLADELSE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826006">
        <w:rPr>
          <w:sz w:val="24"/>
          <w:szCs w:val="24"/>
        </w:rPr>
        <w:t>7. oktober 2016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81C36" w:rsidRPr="00826006" w:rsidRDefault="00281C36" w:rsidP="00281C3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26006">
        <w:rPr>
          <w:b/>
          <w:sz w:val="24"/>
          <w:szCs w:val="24"/>
        </w:rPr>
        <w:t>10.</w:t>
      </w:r>
      <w:r w:rsidRPr="00826006">
        <w:rPr>
          <w:b/>
          <w:sz w:val="24"/>
          <w:szCs w:val="24"/>
        </w:rPr>
        <w:tab/>
        <w:t>DATO FOR ÆNDRING AF TEKSTEN</w:t>
      </w:r>
    </w:p>
    <w:p w:rsidR="00281C36" w:rsidRPr="00826006" w:rsidRDefault="00281C36" w:rsidP="00281C36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954FA">
        <w:rPr>
          <w:sz w:val="24"/>
          <w:szCs w:val="24"/>
        </w:rPr>
        <w:t>5. september 2024</w:t>
      </w:r>
    </w:p>
    <w:p w:rsidR="00281C36" w:rsidRPr="0067757A" w:rsidRDefault="00281C36" w:rsidP="00281C36"/>
    <w:p w:rsidR="00281C36" w:rsidRPr="00D04DDD" w:rsidRDefault="00281C36" w:rsidP="00281C36"/>
    <w:p w:rsidR="009260DE" w:rsidRPr="00281C36" w:rsidRDefault="009260DE" w:rsidP="00281C36"/>
    <w:sectPr w:rsidR="009260DE" w:rsidRPr="00281C36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C36" w:rsidRDefault="00281C36">
      <w:r>
        <w:separator/>
      </w:r>
    </w:p>
  </w:endnote>
  <w:endnote w:type="continuationSeparator" w:id="0">
    <w:p w:rsidR="00281C36" w:rsidRDefault="0028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2E2D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proofErr w:type="spellStart"/>
    <w:r w:rsidRPr="002E2DB9">
      <w:rPr>
        <w:i/>
        <w:sz w:val="18"/>
        <w:szCs w:val="18"/>
      </w:rPr>
      <w:t>Solifenacin</w:t>
    </w:r>
    <w:proofErr w:type="spellEnd"/>
    <w:r w:rsidRPr="002E2DB9">
      <w:rPr>
        <w:i/>
        <w:sz w:val="18"/>
        <w:szCs w:val="18"/>
      </w:rPr>
      <w:t xml:space="preserve"> </w:t>
    </w:r>
    <w:proofErr w:type="spellStart"/>
    <w:r w:rsidR="008954FA">
      <w:rPr>
        <w:i/>
        <w:sz w:val="18"/>
        <w:szCs w:val="18"/>
      </w:rPr>
      <w:t>Viatris</w:t>
    </w:r>
    <w:proofErr w:type="spellEnd"/>
    <w:r w:rsidRPr="002E2DB9">
      <w:rPr>
        <w:i/>
        <w:sz w:val="18"/>
        <w:szCs w:val="18"/>
      </w:rPr>
      <w:t>, filmovertrukne tabletter 5 mg og 10 mg</w:t>
    </w:r>
    <w:r w:rsidR="000259B9" w:rsidRPr="00B373D7">
      <w:rPr>
        <w:i/>
        <w:sz w:val="18"/>
        <w:szCs w:val="18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C36" w:rsidRDefault="00281C36">
      <w:r>
        <w:separator/>
      </w:r>
    </w:p>
  </w:footnote>
  <w:footnote w:type="continuationSeparator" w:id="0">
    <w:p w:rsidR="00281C36" w:rsidRDefault="00281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E4F4BE5"/>
    <w:multiLevelType w:val="hybridMultilevel"/>
    <w:tmpl w:val="B7EC6E0C"/>
    <w:lvl w:ilvl="0" w:tplc="646C03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36"/>
    <w:rsid w:val="00025790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54920"/>
    <w:rsid w:val="00206CE8"/>
    <w:rsid w:val="0021526C"/>
    <w:rsid w:val="00281C36"/>
    <w:rsid w:val="00283A2B"/>
    <w:rsid w:val="002B30AD"/>
    <w:rsid w:val="002C2C01"/>
    <w:rsid w:val="002E2DB9"/>
    <w:rsid w:val="003A29AE"/>
    <w:rsid w:val="003A32D7"/>
    <w:rsid w:val="003B4074"/>
    <w:rsid w:val="003C769A"/>
    <w:rsid w:val="003E7990"/>
    <w:rsid w:val="003F1838"/>
    <w:rsid w:val="0045746C"/>
    <w:rsid w:val="0049104B"/>
    <w:rsid w:val="004A3A41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02DDD"/>
    <w:rsid w:val="00737275"/>
    <w:rsid w:val="00740EEC"/>
    <w:rsid w:val="0078011A"/>
    <w:rsid w:val="00782AF4"/>
    <w:rsid w:val="00790EE7"/>
    <w:rsid w:val="007B6649"/>
    <w:rsid w:val="0081546F"/>
    <w:rsid w:val="0082576E"/>
    <w:rsid w:val="008954FA"/>
    <w:rsid w:val="00907F75"/>
    <w:rsid w:val="009260DE"/>
    <w:rsid w:val="0093258A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CF1F0F"/>
    <w:rsid w:val="00D020B0"/>
    <w:rsid w:val="00D11748"/>
    <w:rsid w:val="00D30583"/>
    <w:rsid w:val="00D366CF"/>
    <w:rsid w:val="00DC6A0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1067E"/>
  <w15:chartTrackingRefBased/>
  <w15:docId w15:val="{8249FA99-0CE0-4071-84D6-0983AC2D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4F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281C36"/>
    <w:pPr>
      <w:spacing w:before="120" w:after="120"/>
      <w:jc w:val="both"/>
    </w:pPr>
    <w:rPr>
      <w:sz w:val="22"/>
      <w:lang w:val="en-US"/>
    </w:rPr>
  </w:style>
  <w:style w:type="character" w:styleId="Hyperlink">
    <w:name w:val="Hyperlink"/>
    <w:basedOn w:val="Standardskrifttypeiafsnit"/>
    <w:uiPriority w:val="99"/>
    <w:unhideWhenUsed/>
    <w:rsid w:val="00281C36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25790"/>
    <w:rPr>
      <w:color w:val="605E5C"/>
      <w:shd w:val="clear" w:color="auto" w:fill="E1DFDD"/>
    </w:rPr>
  </w:style>
  <w:style w:type="paragraph" w:customStyle="1" w:styleId="LMSMargentekst">
    <w:name w:val="LMSMargentekst"/>
    <w:basedOn w:val="Normal"/>
    <w:rsid w:val="00154920"/>
    <w:pPr>
      <w:spacing w:line="312" w:lineRule="auto"/>
    </w:pPr>
    <w:rPr>
      <w:sz w:val="18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2930</Words>
  <Characters>19434</Characters>
  <Application>Microsoft Office Word</Application>
  <DocSecurity>0</DocSecurity>
  <Lines>161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22320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2023042408+2023051360_x000d_
Skift af MAH fra Mylan AB samt præparatnavn fra "Mylan"</dc:description>
  <cp:lastModifiedBy>Marianne Ott Jensen</cp:lastModifiedBy>
  <cp:revision>4</cp:revision>
  <cp:lastPrinted>2012-08-22T08:53:00Z</cp:lastPrinted>
  <dcterms:created xsi:type="dcterms:W3CDTF">2024-09-05T08:24:00Z</dcterms:created>
  <dcterms:modified xsi:type="dcterms:W3CDTF">2024-09-05T08:29:00Z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