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8351D3" w14:textId="36F49517" w:rsidR="00B003BF" w:rsidRPr="00C84483" w:rsidRDefault="00C829C7" w:rsidP="00B003BF">
      <w:pPr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  <w:lang w:eastAsia="da-DK"/>
        </w:rPr>
        <w:drawing>
          <wp:inline distT="0" distB="0" distL="0" distR="0" wp14:anchorId="60086327" wp14:editId="2E82C5C9">
            <wp:extent cx="2465832" cy="688848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MST-logo (EN) - mindr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5832" cy="688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E6D6A8" w14:textId="77777777" w:rsidR="00B003BF" w:rsidRPr="00C84483" w:rsidRDefault="00B003BF" w:rsidP="00B003BF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</w:p>
    <w:p w14:paraId="0CC5BE0E" w14:textId="51DA43B9" w:rsidR="00B003BF" w:rsidRPr="00C84483" w:rsidRDefault="00B003BF" w:rsidP="00B003BF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C84483">
        <w:rPr>
          <w:b w:val="0"/>
          <w:szCs w:val="24"/>
          <w:lang w:eastAsia="en-US"/>
        </w:rPr>
        <w:tab/>
      </w:r>
      <w:r w:rsidR="00C829C7">
        <w:rPr>
          <w:szCs w:val="24"/>
        </w:rPr>
        <w:t>14</w:t>
      </w:r>
      <w:r w:rsidR="00EA030F">
        <w:rPr>
          <w:szCs w:val="24"/>
        </w:rPr>
        <w:t xml:space="preserve">. </w:t>
      </w:r>
      <w:r w:rsidR="00C829C7">
        <w:rPr>
          <w:szCs w:val="24"/>
        </w:rPr>
        <w:t>oktober</w:t>
      </w:r>
      <w:r w:rsidR="00EA030F">
        <w:rPr>
          <w:szCs w:val="24"/>
        </w:rPr>
        <w:t xml:space="preserve"> 201</w:t>
      </w:r>
      <w:r w:rsidR="00C829C7">
        <w:rPr>
          <w:szCs w:val="24"/>
        </w:rPr>
        <w:t>9</w:t>
      </w:r>
    </w:p>
    <w:p w14:paraId="1918DC74" w14:textId="551E4CDA" w:rsidR="00B003BF" w:rsidRPr="00C84483" w:rsidRDefault="00B003BF" w:rsidP="00B003BF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14:paraId="69CE1EE9" w14:textId="77777777" w:rsidR="00B003BF" w:rsidRPr="00C84483" w:rsidRDefault="00B003BF" w:rsidP="00B003BF">
      <w:pPr>
        <w:pStyle w:val="Titel"/>
        <w:jc w:val="left"/>
        <w:rPr>
          <w:b w:val="0"/>
          <w:szCs w:val="24"/>
        </w:rPr>
      </w:pPr>
    </w:p>
    <w:p w14:paraId="2384C982" w14:textId="77777777" w:rsidR="00B003BF" w:rsidRPr="00C84483" w:rsidRDefault="00B003BF" w:rsidP="00B003BF">
      <w:pPr>
        <w:pStyle w:val="Titel"/>
        <w:jc w:val="left"/>
        <w:rPr>
          <w:b w:val="0"/>
          <w:szCs w:val="24"/>
        </w:rPr>
      </w:pPr>
    </w:p>
    <w:p w14:paraId="3833332E" w14:textId="77777777" w:rsidR="00B003BF" w:rsidRPr="00C84483" w:rsidRDefault="00B003BF" w:rsidP="00B003BF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PRODUKTRESUMÉ</w:t>
      </w:r>
    </w:p>
    <w:p w14:paraId="1F3F32F8" w14:textId="77777777" w:rsidR="00B003BF" w:rsidRPr="00C84483" w:rsidRDefault="00B003BF" w:rsidP="00B003BF">
      <w:pPr>
        <w:jc w:val="center"/>
        <w:rPr>
          <w:b/>
          <w:sz w:val="24"/>
          <w:szCs w:val="24"/>
        </w:rPr>
      </w:pPr>
    </w:p>
    <w:p w14:paraId="569323F7" w14:textId="77777777" w:rsidR="00B003BF" w:rsidRPr="00C84483" w:rsidRDefault="00B003BF" w:rsidP="00B003BF">
      <w:pPr>
        <w:jc w:val="center"/>
        <w:rPr>
          <w:b/>
          <w:sz w:val="24"/>
          <w:szCs w:val="24"/>
        </w:rPr>
      </w:pPr>
      <w:proofErr w:type="gramStart"/>
      <w:r w:rsidRPr="00C84483">
        <w:rPr>
          <w:b/>
          <w:sz w:val="24"/>
          <w:szCs w:val="24"/>
        </w:rPr>
        <w:t>for</w:t>
      </w:r>
      <w:proofErr w:type="gramEnd"/>
    </w:p>
    <w:p w14:paraId="65D7ACB2" w14:textId="77777777" w:rsidR="00B003BF" w:rsidRPr="00C84483" w:rsidRDefault="00B003BF" w:rsidP="00B003BF">
      <w:pPr>
        <w:jc w:val="center"/>
        <w:rPr>
          <w:b/>
          <w:sz w:val="24"/>
          <w:szCs w:val="24"/>
        </w:rPr>
      </w:pPr>
    </w:p>
    <w:p w14:paraId="1E090D12" w14:textId="5EDCC991" w:rsidR="00B003BF" w:rsidRPr="00C84483" w:rsidRDefault="00EA030F" w:rsidP="00B003BF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Solifenacinsuccinat</w:t>
      </w:r>
      <w:proofErr w:type="spellEnd"/>
      <w:r>
        <w:rPr>
          <w:b/>
          <w:sz w:val="24"/>
          <w:szCs w:val="24"/>
        </w:rPr>
        <w:t xml:space="preserve"> ”</w:t>
      </w:r>
      <w:proofErr w:type="spellStart"/>
      <w:r>
        <w:rPr>
          <w:b/>
          <w:sz w:val="24"/>
          <w:szCs w:val="24"/>
        </w:rPr>
        <w:t>Accord</w:t>
      </w:r>
      <w:proofErr w:type="spellEnd"/>
      <w:r>
        <w:rPr>
          <w:b/>
          <w:sz w:val="24"/>
          <w:szCs w:val="24"/>
        </w:rPr>
        <w:t>”, filmovertrukne tabletter</w:t>
      </w:r>
    </w:p>
    <w:p w14:paraId="5C472E4C" w14:textId="77777777" w:rsidR="00B003BF" w:rsidRPr="00C84483" w:rsidRDefault="00B003BF" w:rsidP="00B003BF">
      <w:pPr>
        <w:jc w:val="both"/>
        <w:rPr>
          <w:sz w:val="24"/>
          <w:szCs w:val="24"/>
        </w:rPr>
      </w:pPr>
    </w:p>
    <w:p w14:paraId="31C813BE" w14:textId="77777777" w:rsidR="00B003BF" w:rsidRPr="00CF5D9E" w:rsidRDefault="00B003BF" w:rsidP="00CF5D9E">
      <w:pPr>
        <w:ind w:left="851" w:hanging="851"/>
        <w:jc w:val="both"/>
        <w:rPr>
          <w:sz w:val="24"/>
          <w:szCs w:val="24"/>
        </w:rPr>
      </w:pPr>
    </w:p>
    <w:p w14:paraId="63AA3CB5" w14:textId="77777777" w:rsidR="00B003BF" w:rsidRPr="00CF5D9E" w:rsidRDefault="00B003BF" w:rsidP="00CF5D9E">
      <w:pPr>
        <w:ind w:left="851" w:hanging="851"/>
        <w:rPr>
          <w:b/>
          <w:sz w:val="24"/>
          <w:szCs w:val="24"/>
        </w:rPr>
      </w:pPr>
      <w:r w:rsidRPr="00CF5D9E">
        <w:rPr>
          <w:b/>
          <w:sz w:val="24"/>
          <w:szCs w:val="24"/>
        </w:rPr>
        <w:t>0.</w:t>
      </w:r>
      <w:r w:rsidRPr="00CF5D9E">
        <w:rPr>
          <w:b/>
          <w:sz w:val="24"/>
          <w:szCs w:val="24"/>
        </w:rPr>
        <w:tab/>
        <w:t>D.SP.NR.</w:t>
      </w:r>
    </w:p>
    <w:p w14:paraId="14E7E00C" w14:textId="10364F4E" w:rsidR="00B003BF" w:rsidRPr="00CF5D9E" w:rsidRDefault="00B003BF" w:rsidP="00CF5D9E">
      <w:pPr>
        <w:ind w:left="851" w:hanging="851"/>
        <w:rPr>
          <w:sz w:val="24"/>
          <w:szCs w:val="24"/>
        </w:rPr>
      </w:pPr>
      <w:r w:rsidRPr="00CF5D9E">
        <w:rPr>
          <w:sz w:val="24"/>
          <w:szCs w:val="24"/>
        </w:rPr>
        <w:tab/>
      </w:r>
      <w:r w:rsidR="00EA030F" w:rsidRPr="00CF5D9E">
        <w:rPr>
          <w:sz w:val="24"/>
          <w:szCs w:val="24"/>
        </w:rPr>
        <w:t>28909</w:t>
      </w:r>
    </w:p>
    <w:p w14:paraId="1E8ADC3E" w14:textId="77777777" w:rsidR="00B003BF" w:rsidRPr="00CF5D9E" w:rsidRDefault="00B003BF" w:rsidP="00CF5D9E">
      <w:pPr>
        <w:ind w:left="851" w:hanging="851"/>
        <w:rPr>
          <w:sz w:val="24"/>
          <w:szCs w:val="24"/>
        </w:rPr>
      </w:pPr>
    </w:p>
    <w:p w14:paraId="502FEC9F" w14:textId="77777777" w:rsidR="00B003BF" w:rsidRPr="00CF5D9E" w:rsidRDefault="00B003BF" w:rsidP="00CF5D9E">
      <w:pPr>
        <w:ind w:left="851" w:hanging="851"/>
        <w:rPr>
          <w:b/>
          <w:sz w:val="24"/>
          <w:szCs w:val="24"/>
        </w:rPr>
      </w:pPr>
      <w:r w:rsidRPr="00CF5D9E">
        <w:rPr>
          <w:b/>
          <w:sz w:val="24"/>
          <w:szCs w:val="24"/>
        </w:rPr>
        <w:t>1.</w:t>
      </w:r>
      <w:r w:rsidRPr="00CF5D9E">
        <w:rPr>
          <w:b/>
          <w:sz w:val="24"/>
          <w:szCs w:val="24"/>
        </w:rPr>
        <w:tab/>
        <w:t>LÆGEMIDLETS NAVN</w:t>
      </w:r>
    </w:p>
    <w:p w14:paraId="59956F25" w14:textId="5182C0C6" w:rsidR="00B003BF" w:rsidRPr="00CF5D9E" w:rsidRDefault="00B003BF" w:rsidP="00CF5D9E">
      <w:pPr>
        <w:ind w:left="851" w:hanging="851"/>
        <w:rPr>
          <w:sz w:val="24"/>
          <w:szCs w:val="24"/>
        </w:rPr>
      </w:pPr>
      <w:r w:rsidRPr="00CF5D9E">
        <w:rPr>
          <w:sz w:val="24"/>
          <w:szCs w:val="24"/>
        </w:rPr>
        <w:tab/>
      </w:r>
      <w:proofErr w:type="spellStart"/>
      <w:r w:rsidR="00EA030F" w:rsidRPr="00CF5D9E">
        <w:rPr>
          <w:sz w:val="24"/>
          <w:szCs w:val="24"/>
        </w:rPr>
        <w:t>Solifenacinsuccinat</w:t>
      </w:r>
      <w:proofErr w:type="spellEnd"/>
      <w:r w:rsidR="00EA030F" w:rsidRPr="00CF5D9E">
        <w:rPr>
          <w:sz w:val="24"/>
          <w:szCs w:val="24"/>
        </w:rPr>
        <w:t xml:space="preserve"> ”</w:t>
      </w:r>
      <w:proofErr w:type="spellStart"/>
      <w:r w:rsidR="00EA030F" w:rsidRPr="00CF5D9E">
        <w:rPr>
          <w:sz w:val="24"/>
          <w:szCs w:val="24"/>
        </w:rPr>
        <w:t>Accord</w:t>
      </w:r>
      <w:proofErr w:type="spellEnd"/>
      <w:r w:rsidR="00EA030F" w:rsidRPr="00CF5D9E">
        <w:rPr>
          <w:sz w:val="24"/>
          <w:szCs w:val="24"/>
        </w:rPr>
        <w:t>”</w:t>
      </w:r>
    </w:p>
    <w:p w14:paraId="54D5C10C" w14:textId="77777777" w:rsidR="00B003BF" w:rsidRPr="00CF5D9E" w:rsidRDefault="00B003BF" w:rsidP="00CF5D9E">
      <w:pPr>
        <w:ind w:left="851" w:hanging="851"/>
        <w:rPr>
          <w:sz w:val="24"/>
          <w:szCs w:val="24"/>
        </w:rPr>
      </w:pPr>
      <w:r w:rsidRPr="00CF5D9E">
        <w:rPr>
          <w:sz w:val="24"/>
          <w:szCs w:val="24"/>
        </w:rPr>
        <w:tab/>
      </w:r>
    </w:p>
    <w:p w14:paraId="275BC4B3" w14:textId="77777777" w:rsidR="00B003BF" w:rsidRPr="00CF5D9E" w:rsidRDefault="00B003BF" w:rsidP="00CF5D9E">
      <w:pPr>
        <w:ind w:left="851" w:hanging="851"/>
        <w:rPr>
          <w:b/>
          <w:sz w:val="24"/>
          <w:szCs w:val="24"/>
        </w:rPr>
      </w:pPr>
      <w:r w:rsidRPr="00CF5D9E">
        <w:rPr>
          <w:b/>
          <w:sz w:val="24"/>
          <w:szCs w:val="24"/>
        </w:rPr>
        <w:t>2.</w:t>
      </w:r>
      <w:r w:rsidRPr="00CF5D9E">
        <w:rPr>
          <w:b/>
          <w:sz w:val="24"/>
          <w:szCs w:val="24"/>
        </w:rPr>
        <w:tab/>
        <w:t>KVALITATIV OG KVANTITATIV SAMMENSÆTNING</w:t>
      </w:r>
    </w:p>
    <w:p w14:paraId="21F6DED8" w14:textId="00780AB2" w:rsidR="003F530C" w:rsidRPr="00CF5D9E" w:rsidRDefault="003F530C" w:rsidP="00D37D8E">
      <w:pPr>
        <w:pStyle w:val="Brdtekst2"/>
        <w:ind w:left="851"/>
        <w:jc w:val="left"/>
        <w:rPr>
          <w:szCs w:val="24"/>
          <w:lang w:val="da-DK"/>
        </w:rPr>
      </w:pPr>
      <w:r w:rsidRPr="00CF5D9E">
        <w:rPr>
          <w:szCs w:val="24"/>
          <w:lang w:val="da-DK"/>
        </w:rPr>
        <w:t xml:space="preserve">Hver filmovertrukne tablet indeholder 5 mg </w:t>
      </w:r>
      <w:proofErr w:type="spellStart"/>
      <w:r w:rsidRPr="00CF5D9E">
        <w:rPr>
          <w:szCs w:val="24"/>
          <w:lang w:val="da-DK"/>
        </w:rPr>
        <w:t>solifenacinsuccinat</w:t>
      </w:r>
      <w:proofErr w:type="spellEnd"/>
      <w:r w:rsidRPr="00CF5D9E">
        <w:rPr>
          <w:szCs w:val="24"/>
          <w:lang w:val="da-DK"/>
        </w:rPr>
        <w:t xml:space="preserve">, svarende til 3,8 mg </w:t>
      </w:r>
      <w:proofErr w:type="spellStart"/>
      <w:r w:rsidRPr="00CF5D9E">
        <w:rPr>
          <w:szCs w:val="24"/>
          <w:lang w:val="da-DK"/>
        </w:rPr>
        <w:t>solifenacin</w:t>
      </w:r>
      <w:proofErr w:type="spellEnd"/>
      <w:r w:rsidRPr="00CF5D9E">
        <w:rPr>
          <w:szCs w:val="24"/>
          <w:lang w:val="da-DK"/>
        </w:rPr>
        <w:t>.</w:t>
      </w:r>
    </w:p>
    <w:p w14:paraId="16CFDB9D" w14:textId="77777777" w:rsidR="003F530C" w:rsidRPr="00CF5D9E" w:rsidRDefault="003F530C" w:rsidP="00D37D8E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CF5D9E">
        <w:rPr>
          <w:sz w:val="24"/>
          <w:szCs w:val="24"/>
        </w:rPr>
        <w:t xml:space="preserve">Hver filmovertrukne tablet indeholder 10 mg </w:t>
      </w:r>
      <w:proofErr w:type="spellStart"/>
      <w:r w:rsidRPr="00CF5D9E">
        <w:rPr>
          <w:sz w:val="24"/>
          <w:szCs w:val="24"/>
        </w:rPr>
        <w:t>solifenacinsuccinat</w:t>
      </w:r>
      <w:proofErr w:type="spellEnd"/>
      <w:r w:rsidRPr="00CF5D9E">
        <w:rPr>
          <w:sz w:val="24"/>
          <w:szCs w:val="24"/>
        </w:rPr>
        <w:t xml:space="preserve">, svarende til 7,5 mg </w:t>
      </w:r>
      <w:proofErr w:type="spellStart"/>
      <w:r w:rsidRPr="00CF5D9E">
        <w:rPr>
          <w:sz w:val="24"/>
          <w:szCs w:val="24"/>
        </w:rPr>
        <w:t>solifenacin</w:t>
      </w:r>
      <w:proofErr w:type="spellEnd"/>
      <w:r w:rsidRPr="00CF5D9E">
        <w:rPr>
          <w:sz w:val="24"/>
          <w:szCs w:val="24"/>
        </w:rPr>
        <w:t>.</w:t>
      </w:r>
    </w:p>
    <w:p w14:paraId="3F28D307" w14:textId="77777777" w:rsidR="003F530C" w:rsidRPr="00CF5D9E" w:rsidRDefault="003F530C" w:rsidP="00CF5D9E">
      <w:pPr>
        <w:pStyle w:val="Brdtekst2"/>
        <w:ind w:left="851" w:hanging="851"/>
        <w:jc w:val="left"/>
        <w:rPr>
          <w:szCs w:val="24"/>
          <w:lang w:val="da-DK"/>
        </w:rPr>
      </w:pPr>
    </w:p>
    <w:p w14:paraId="183EFF38" w14:textId="77777777" w:rsidR="00CF5D9E" w:rsidRPr="00CF5D9E" w:rsidRDefault="003F530C" w:rsidP="00D37D8E">
      <w:pPr>
        <w:ind w:left="851"/>
        <w:rPr>
          <w:sz w:val="24"/>
          <w:szCs w:val="24"/>
        </w:rPr>
      </w:pPr>
      <w:r w:rsidRPr="00CF5D9E">
        <w:rPr>
          <w:sz w:val="24"/>
          <w:szCs w:val="24"/>
          <w:u w:val="single"/>
        </w:rPr>
        <w:t>Hjælpestof(fer), som behandleren skal være opmærksom på</w:t>
      </w:r>
      <w:r w:rsidRPr="00CF5D9E">
        <w:rPr>
          <w:sz w:val="24"/>
          <w:szCs w:val="24"/>
        </w:rPr>
        <w:t xml:space="preserve">: </w:t>
      </w:r>
    </w:p>
    <w:p w14:paraId="1C3487D7" w14:textId="43D1D5CC" w:rsidR="003F530C" w:rsidRPr="00CF5D9E" w:rsidRDefault="003F530C" w:rsidP="00D37D8E">
      <w:pPr>
        <w:ind w:left="851"/>
        <w:rPr>
          <w:sz w:val="24"/>
          <w:szCs w:val="24"/>
        </w:rPr>
      </w:pPr>
      <w:r w:rsidRPr="00CF5D9E">
        <w:rPr>
          <w:sz w:val="24"/>
          <w:szCs w:val="24"/>
        </w:rPr>
        <w:t>105.5 mg/100.5 mg laktosemonohydrat.</w:t>
      </w:r>
    </w:p>
    <w:p w14:paraId="264C03D8" w14:textId="77777777" w:rsidR="003F530C" w:rsidRPr="00CF5D9E" w:rsidRDefault="003F530C" w:rsidP="00CF5D9E">
      <w:pPr>
        <w:ind w:left="851" w:hanging="851"/>
        <w:rPr>
          <w:sz w:val="24"/>
          <w:szCs w:val="24"/>
        </w:rPr>
      </w:pPr>
    </w:p>
    <w:p w14:paraId="4D3C4CE9" w14:textId="77777777" w:rsidR="003F530C" w:rsidRPr="00CF5D9E" w:rsidRDefault="003F530C" w:rsidP="00D37D8E">
      <w:pPr>
        <w:ind w:left="851"/>
        <w:rPr>
          <w:sz w:val="24"/>
          <w:szCs w:val="24"/>
        </w:rPr>
      </w:pPr>
      <w:r w:rsidRPr="00CF5D9E">
        <w:rPr>
          <w:sz w:val="24"/>
          <w:szCs w:val="24"/>
        </w:rPr>
        <w:t>Alle hjælpestoffer er anført under pkt. 6.1.</w:t>
      </w:r>
    </w:p>
    <w:p w14:paraId="3B8ABCBB" w14:textId="77777777" w:rsidR="00B003BF" w:rsidRPr="00CF5D9E" w:rsidRDefault="00B003BF" w:rsidP="00CF5D9E">
      <w:pPr>
        <w:ind w:left="851" w:hanging="851"/>
        <w:rPr>
          <w:sz w:val="24"/>
          <w:szCs w:val="24"/>
        </w:rPr>
      </w:pPr>
    </w:p>
    <w:p w14:paraId="547727A7" w14:textId="77777777" w:rsidR="00B003BF" w:rsidRPr="00CF5D9E" w:rsidRDefault="00B003BF" w:rsidP="00CF5D9E">
      <w:pPr>
        <w:ind w:left="851" w:hanging="851"/>
        <w:rPr>
          <w:b/>
          <w:sz w:val="24"/>
          <w:szCs w:val="24"/>
        </w:rPr>
      </w:pPr>
      <w:r w:rsidRPr="00CF5D9E">
        <w:rPr>
          <w:b/>
          <w:sz w:val="24"/>
          <w:szCs w:val="24"/>
        </w:rPr>
        <w:t>3.</w:t>
      </w:r>
      <w:r w:rsidRPr="00CF5D9E">
        <w:rPr>
          <w:b/>
          <w:sz w:val="24"/>
          <w:szCs w:val="24"/>
        </w:rPr>
        <w:tab/>
        <w:t>LÆGEMIDDELFORM</w:t>
      </w:r>
    </w:p>
    <w:p w14:paraId="6161CC5B" w14:textId="49E4DCF3" w:rsidR="003F530C" w:rsidRPr="00CF5D9E" w:rsidRDefault="003F530C" w:rsidP="00D37D8E">
      <w:pPr>
        <w:ind w:left="851"/>
        <w:rPr>
          <w:sz w:val="24"/>
          <w:szCs w:val="24"/>
        </w:rPr>
      </w:pPr>
      <w:r w:rsidRPr="00CF5D9E">
        <w:rPr>
          <w:sz w:val="24"/>
          <w:szCs w:val="24"/>
        </w:rPr>
        <w:t>Filmovertruk</w:t>
      </w:r>
      <w:r w:rsidR="00CF5D9E" w:rsidRPr="00CF5D9E">
        <w:rPr>
          <w:sz w:val="24"/>
          <w:szCs w:val="24"/>
        </w:rPr>
        <w:t>ne</w:t>
      </w:r>
      <w:r w:rsidRPr="00CF5D9E">
        <w:rPr>
          <w:sz w:val="24"/>
          <w:szCs w:val="24"/>
        </w:rPr>
        <w:t xml:space="preserve"> tablet</w:t>
      </w:r>
      <w:r w:rsidR="00CF5D9E" w:rsidRPr="00CF5D9E">
        <w:rPr>
          <w:sz w:val="24"/>
          <w:szCs w:val="24"/>
        </w:rPr>
        <w:t>ter</w:t>
      </w:r>
      <w:r w:rsidRPr="00CF5D9E">
        <w:rPr>
          <w:sz w:val="24"/>
          <w:szCs w:val="24"/>
        </w:rPr>
        <w:t>.</w:t>
      </w:r>
    </w:p>
    <w:p w14:paraId="7FE9AC13" w14:textId="77777777" w:rsidR="003F530C" w:rsidRPr="00CF5D9E" w:rsidRDefault="003F530C" w:rsidP="00CF5D9E">
      <w:pPr>
        <w:ind w:left="851" w:hanging="851"/>
        <w:rPr>
          <w:bCs/>
          <w:iCs/>
          <w:sz w:val="24"/>
          <w:szCs w:val="24"/>
        </w:rPr>
      </w:pPr>
    </w:p>
    <w:p w14:paraId="427B601F" w14:textId="77777777" w:rsidR="003F530C" w:rsidRPr="00CF5D9E" w:rsidRDefault="003F530C" w:rsidP="00D37D8E">
      <w:pPr>
        <w:autoSpaceDE w:val="0"/>
        <w:autoSpaceDN w:val="0"/>
        <w:adjustRightInd w:val="0"/>
        <w:ind w:left="851"/>
        <w:rPr>
          <w:sz w:val="24"/>
          <w:szCs w:val="24"/>
        </w:rPr>
      </w:pPr>
      <w:proofErr w:type="spellStart"/>
      <w:r w:rsidRPr="00CF5D9E">
        <w:rPr>
          <w:sz w:val="24"/>
          <w:szCs w:val="24"/>
        </w:rPr>
        <w:t>Solifenacinsuccinat</w:t>
      </w:r>
      <w:proofErr w:type="spellEnd"/>
      <w:r w:rsidRPr="00CF5D9E">
        <w:rPr>
          <w:sz w:val="24"/>
          <w:szCs w:val="24"/>
        </w:rPr>
        <w:t xml:space="preserve"> 5 mg filmovertrukne tabletter: lysegule, runde, </w:t>
      </w:r>
      <w:proofErr w:type="spellStart"/>
      <w:r w:rsidRPr="00CF5D9E">
        <w:rPr>
          <w:sz w:val="24"/>
          <w:szCs w:val="24"/>
        </w:rPr>
        <w:t>bikonvekse</w:t>
      </w:r>
      <w:proofErr w:type="spellEnd"/>
      <w:r w:rsidRPr="00CF5D9E">
        <w:rPr>
          <w:sz w:val="24"/>
          <w:szCs w:val="24"/>
        </w:rPr>
        <w:t xml:space="preserve"> filmovertrukne tabletter med en diameter på ca. 7.1 mm, præget med “EG” på den ene side og “1” på den anden side.</w:t>
      </w:r>
    </w:p>
    <w:p w14:paraId="12234B9F" w14:textId="77777777" w:rsidR="003F530C" w:rsidRPr="00CF5D9E" w:rsidRDefault="003F530C" w:rsidP="00CF5D9E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14:paraId="6F18DBBD" w14:textId="77777777" w:rsidR="003F530C" w:rsidRPr="00CF5D9E" w:rsidRDefault="003F530C" w:rsidP="00D37D8E">
      <w:pPr>
        <w:autoSpaceDE w:val="0"/>
        <w:autoSpaceDN w:val="0"/>
        <w:adjustRightInd w:val="0"/>
        <w:ind w:left="851"/>
        <w:rPr>
          <w:sz w:val="24"/>
          <w:szCs w:val="24"/>
        </w:rPr>
      </w:pPr>
      <w:proofErr w:type="spellStart"/>
      <w:r w:rsidRPr="00CF5D9E">
        <w:rPr>
          <w:sz w:val="24"/>
          <w:szCs w:val="24"/>
        </w:rPr>
        <w:t>Solifenacinsuccinat</w:t>
      </w:r>
      <w:proofErr w:type="spellEnd"/>
      <w:r w:rsidRPr="00CF5D9E">
        <w:rPr>
          <w:sz w:val="24"/>
          <w:szCs w:val="24"/>
        </w:rPr>
        <w:t xml:space="preserve"> 10 mg filmovertrukne tabletter: lyserøde, runde, </w:t>
      </w:r>
      <w:proofErr w:type="spellStart"/>
      <w:r w:rsidRPr="00CF5D9E">
        <w:rPr>
          <w:sz w:val="24"/>
          <w:szCs w:val="24"/>
        </w:rPr>
        <w:t>bikonvekse</w:t>
      </w:r>
      <w:proofErr w:type="spellEnd"/>
      <w:r w:rsidRPr="00CF5D9E">
        <w:rPr>
          <w:sz w:val="24"/>
          <w:szCs w:val="24"/>
        </w:rPr>
        <w:t xml:space="preserve"> filmovertrukne tabletter med en diameter på ca. 7.1 mm, præget med “EG” på den ene side og “2” på den anden side.</w:t>
      </w:r>
    </w:p>
    <w:p w14:paraId="78505958" w14:textId="77777777" w:rsidR="00B003BF" w:rsidRPr="00CF5D9E" w:rsidRDefault="00B003BF" w:rsidP="00CF5D9E">
      <w:pPr>
        <w:ind w:left="851" w:hanging="851"/>
        <w:rPr>
          <w:sz w:val="24"/>
          <w:szCs w:val="24"/>
        </w:rPr>
      </w:pPr>
    </w:p>
    <w:p w14:paraId="3D808B77" w14:textId="77777777" w:rsidR="00B003BF" w:rsidRPr="00CF5D9E" w:rsidRDefault="00B003BF" w:rsidP="00CF5D9E">
      <w:pPr>
        <w:ind w:left="851" w:hanging="851"/>
        <w:rPr>
          <w:sz w:val="24"/>
          <w:szCs w:val="24"/>
        </w:rPr>
      </w:pPr>
    </w:p>
    <w:p w14:paraId="07732FDF" w14:textId="77777777" w:rsidR="00B003BF" w:rsidRPr="00CF5D9E" w:rsidRDefault="00B003BF" w:rsidP="00CF5D9E">
      <w:pPr>
        <w:ind w:left="851" w:hanging="851"/>
        <w:rPr>
          <w:b/>
          <w:sz w:val="24"/>
          <w:szCs w:val="24"/>
        </w:rPr>
      </w:pPr>
      <w:r w:rsidRPr="00CF5D9E">
        <w:rPr>
          <w:b/>
          <w:sz w:val="24"/>
          <w:szCs w:val="24"/>
        </w:rPr>
        <w:t>4.</w:t>
      </w:r>
      <w:r w:rsidRPr="00CF5D9E">
        <w:rPr>
          <w:b/>
          <w:sz w:val="24"/>
          <w:szCs w:val="24"/>
        </w:rPr>
        <w:tab/>
        <w:t>KLINISKE OPLYSNINGER</w:t>
      </w:r>
    </w:p>
    <w:p w14:paraId="6900371B" w14:textId="77777777" w:rsidR="00B003BF" w:rsidRPr="00CF5D9E" w:rsidRDefault="00B003BF" w:rsidP="00CF5D9E">
      <w:pPr>
        <w:ind w:left="851" w:hanging="851"/>
        <w:rPr>
          <w:b/>
          <w:sz w:val="24"/>
          <w:szCs w:val="24"/>
        </w:rPr>
      </w:pPr>
    </w:p>
    <w:p w14:paraId="484EF062" w14:textId="77777777" w:rsidR="00B003BF" w:rsidRPr="00CF5D9E" w:rsidRDefault="00B003BF" w:rsidP="00CF5D9E">
      <w:pPr>
        <w:ind w:left="851" w:hanging="851"/>
        <w:rPr>
          <w:b/>
          <w:sz w:val="24"/>
          <w:szCs w:val="24"/>
          <w:u w:val="single"/>
        </w:rPr>
      </w:pPr>
      <w:r w:rsidRPr="00CF5D9E">
        <w:rPr>
          <w:b/>
          <w:sz w:val="24"/>
          <w:szCs w:val="24"/>
        </w:rPr>
        <w:t>4.1</w:t>
      </w:r>
      <w:r w:rsidRPr="00CF5D9E">
        <w:rPr>
          <w:b/>
          <w:sz w:val="24"/>
          <w:szCs w:val="24"/>
        </w:rPr>
        <w:tab/>
        <w:t>Terapeutiske indikationer</w:t>
      </w:r>
    </w:p>
    <w:p w14:paraId="514799D4" w14:textId="0BED2A33" w:rsidR="003F530C" w:rsidRPr="00CF5D9E" w:rsidRDefault="003F530C" w:rsidP="00D37D8E">
      <w:pPr>
        <w:ind w:left="851"/>
        <w:rPr>
          <w:sz w:val="24"/>
          <w:szCs w:val="24"/>
        </w:rPr>
      </w:pPr>
      <w:proofErr w:type="spellStart"/>
      <w:r w:rsidRPr="00CF5D9E">
        <w:rPr>
          <w:sz w:val="24"/>
          <w:szCs w:val="24"/>
        </w:rPr>
        <w:t>Solifenacinsuccinat</w:t>
      </w:r>
      <w:proofErr w:type="spellEnd"/>
      <w:r w:rsidRPr="00CF5D9E">
        <w:rPr>
          <w:sz w:val="24"/>
          <w:szCs w:val="24"/>
        </w:rPr>
        <w:t xml:space="preserve"> </w:t>
      </w:r>
      <w:r w:rsidR="00A27D7D">
        <w:rPr>
          <w:sz w:val="24"/>
          <w:szCs w:val="24"/>
        </w:rPr>
        <w:t>”</w:t>
      </w:r>
      <w:proofErr w:type="spellStart"/>
      <w:r w:rsidR="00A27D7D">
        <w:rPr>
          <w:sz w:val="24"/>
          <w:szCs w:val="24"/>
        </w:rPr>
        <w:t>Accord</w:t>
      </w:r>
      <w:proofErr w:type="spellEnd"/>
      <w:r w:rsidR="00A27D7D">
        <w:rPr>
          <w:sz w:val="24"/>
          <w:szCs w:val="24"/>
        </w:rPr>
        <w:t>”</w:t>
      </w:r>
      <w:r w:rsidRPr="00CF5D9E" w:rsidDel="0020317B">
        <w:rPr>
          <w:sz w:val="24"/>
          <w:szCs w:val="24"/>
        </w:rPr>
        <w:t xml:space="preserve"> </w:t>
      </w:r>
      <w:r w:rsidRPr="00CF5D9E">
        <w:rPr>
          <w:sz w:val="24"/>
          <w:szCs w:val="24"/>
        </w:rPr>
        <w:t xml:space="preserve">er indiceret til symptomatisk behandling af tranginkontinens og/eller hyppig vandladning og </w:t>
      </w:r>
      <w:proofErr w:type="spellStart"/>
      <w:r w:rsidRPr="00CF5D9E">
        <w:rPr>
          <w:sz w:val="24"/>
          <w:szCs w:val="24"/>
        </w:rPr>
        <w:t>imperiøs</w:t>
      </w:r>
      <w:proofErr w:type="spellEnd"/>
      <w:r w:rsidRPr="00CF5D9E">
        <w:rPr>
          <w:sz w:val="24"/>
          <w:szCs w:val="24"/>
        </w:rPr>
        <w:t xml:space="preserve"> vandladningstrang, der kan forekomme hos pati</w:t>
      </w:r>
      <w:proofErr w:type="gramStart"/>
      <w:r w:rsidRPr="00CF5D9E">
        <w:rPr>
          <w:sz w:val="24"/>
          <w:szCs w:val="24"/>
        </w:rPr>
        <w:t>enter</w:t>
      </w:r>
      <w:proofErr w:type="gramEnd"/>
      <w:r w:rsidRPr="00CF5D9E">
        <w:rPr>
          <w:sz w:val="24"/>
          <w:szCs w:val="24"/>
        </w:rPr>
        <w:t xml:space="preserve"> med overaktiv blære.</w:t>
      </w:r>
    </w:p>
    <w:p w14:paraId="42E537E7" w14:textId="77777777" w:rsidR="003F530C" w:rsidRPr="00CF5D9E" w:rsidRDefault="003F530C" w:rsidP="00CF5D9E">
      <w:pPr>
        <w:ind w:left="851" w:hanging="851"/>
        <w:rPr>
          <w:sz w:val="24"/>
          <w:szCs w:val="24"/>
        </w:rPr>
      </w:pPr>
    </w:p>
    <w:p w14:paraId="273A5A40" w14:textId="77777777" w:rsidR="00B003BF" w:rsidRPr="00CF5D9E" w:rsidRDefault="00B003BF" w:rsidP="00CF5D9E">
      <w:pPr>
        <w:ind w:left="851" w:hanging="851"/>
        <w:rPr>
          <w:sz w:val="24"/>
          <w:szCs w:val="24"/>
        </w:rPr>
      </w:pPr>
    </w:p>
    <w:p w14:paraId="04A5196D" w14:textId="77777777" w:rsidR="00B003BF" w:rsidRPr="00CF5D9E" w:rsidRDefault="00B003BF" w:rsidP="00CF5D9E">
      <w:pPr>
        <w:ind w:left="851" w:hanging="851"/>
        <w:rPr>
          <w:b/>
          <w:sz w:val="24"/>
          <w:szCs w:val="24"/>
        </w:rPr>
      </w:pPr>
      <w:r w:rsidRPr="00CF5D9E">
        <w:rPr>
          <w:b/>
          <w:sz w:val="24"/>
          <w:szCs w:val="24"/>
        </w:rPr>
        <w:t>4.2</w:t>
      </w:r>
      <w:r w:rsidRPr="00CF5D9E">
        <w:rPr>
          <w:b/>
          <w:sz w:val="24"/>
          <w:szCs w:val="24"/>
        </w:rPr>
        <w:tab/>
        <w:t>Dosering og indgivelsesmåde</w:t>
      </w:r>
    </w:p>
    <w:p w14:paraId="695E8AC3" w14:textId="77777777" w:rsidR="00CF5D9E" w:rsidRPr="00CF5D9E" w:rsidRDefault="00CF5D9E" w:rsidP="00CF5D9E">
      <w:pPr>
        <w:pStyle w:val="Brdtekst2"/>
        <w:ind w:left="851" w:hanging="851"/>
        <w:jc w:val="left"/>
        <w:rPr>
          <w:szCs w:val="24"/>
          <w:u w:val="single"/>
          <w:lang w:val="da-DK"/>
        </w:rPr>
      </w:pPr>
    </w:p>
    <w:p w14:paraId="762A8A92" w14:textId="6915189F" w:rsidR="003F530C" w:rsidRPr="00CF5D9E" w:rsidRDefault="003F530C" w:rsidP="00D37D8E">
      <w:pPr>
        <w:pStyle w:val="Brdtekst2"/>
        <w:ind w:left="851"/>
        <w:jc w:val="left"/>
        <w:rPr>
          <w:szCs w:val="24"/>
          <w:u w:val="single"/>
          <w:lang w:val="da-DK"/>
        </w:rPr>
      </w:pPr>
      <w:r w:rsidRPr="00CF5D9E">
        <w:rPr>
          <w:szCs w:val="24"/>
          <w:u w:val="single"/>
          <w:lang w:val="da-DK"/>
        </w:rPr>
        <w:t>Dosering</w:t>
      </w:r>
    </w:p>
    <w:p w14:paraId="591301E4" w14:textId="77777777" w:rsidR="003F530C" w:rsidRPr="00CF5D9E" w:rsidRDefault="003F530C" w:rsidP="00CF5D9E">
      <w:pPr>
        <w:pStyle w:val="Brdtekst2"/>
        <w:ind w:left="851" w:hanging="851"/>
        <w:jc w:val="left"/>
        <w:rPr>
          <w:i/>
          <w:szCs w:val="24"/>
          <w:lang w:val="da-DK"/>
        </w:rPr>
      </w:pPr>
    </w:p>
    <w:p w14:paraId="493C7599" w14:textId="77777777" w:rsidR="003F530C" w:rsidRPr="00CF5D9E" w:rsidRDefault="003F530C" w:rsidP="00D37D8E">
      <w:pPr>
        <w:pStyle w:val="Brdtekst2"/>
        <w:ind w:left="851"/>
        <w:jc w:val="left"/>
        <w:rPr>
          <w:i/>
          <w:szCs w:val="24"/>
          <w:lang w:val="da-DK"/>
        </w:rPr>
      </w:pPr>
      <w:r w:rsidRPr="00CF5D9E">
        <w:rPr>
          <w:i/>
          <w:szCs w:val="24"/>
          <w:lang w:val="da-DK"/>
        </w:rPr>
        <w:t>Voksne, herunder ældre</w:t>
      </w:r>
    </w:p>
    <w:p w14:paraId="2F784C65" w14:textId="77777777" w:rsidR="003F530C" w:rsidRPr="00CF5D9E" w:rsidRDefault="003F530C" w:rsidP="00D37D8E">
      <w:pPr>
        <w:pStyle w:val="Brdtekst2"/>
        <w:ind w:left="851"/>
        <w:jc w:val="left"/>
        <w:rPr>
          <w:szCs w:val="24"/>
          <w:lang w:val="da-DK"/>
        </w:rPr>
      </w:pPr>
      <w:r w:rsidRPr="00CF5D9E">
        <w:rPr>
          <w:szCs w:val="24"/>
          <w:lang w:val="da-DK"/>
        </w:rPr>
        <w:t xml:space="preserve">Den anbefalede dosis er 5 mg </w:t>
      </w:r>
      <w:proofErr w:type="spellStart"/>
      <w:r w:rsidRPr="00CF5D9E">
        <w:rPr>
          <w:szCs w:val="24"/>
          <w:lang w:val="da-DK"/>
        </w:rPr>
        <w:t>solifenacinsuccinat</w:t>
      </w:r>
      <w:proofErr w:type="spellEnd"/>
      <w:r w:rsidRPr="00CF5D9E">
        <w:rPr>
          <w:szCs w:val="24"/>
          <w:lang w:val="da-DK"/>
        </w:rPr>
        <w:t xml:space="preserve"> én gang dagligt. Om nødvendigt kan dosis øges til 10 mg </w:t>
      </w:r>
      <w:proofErr w:type="spellStart"/>
      <w:r w:rsidRPr="00CF5D9E">
        <w:rPr>
          <w:szCs w:val="24"/>
          <w:lang w:val="da-DK"/>
        </w:rPr>
        <w:t>solifenacinsuccinat</w:t>
      </w:r>
      <w:proofErr w:type="spellEnd"/>
      <w:r w:rsidRPr="00CF5D9E">
        <w:rPr>
          <w:szCs w:val="24"/>
          <w:lang w:val="da-DK"/>
        </w:rPr>
        <w:t xml:space="preserve"> én gang dagligt.</w:t>
      </w:r>
    </w:p>
    <w:p w14:paraId="3517820E" w14:textId="77777777" w:rsidR="003F530C" w:rsidRPr="00CF5D9E" w:rsidRDefault="003F530C" w:rsidP="00CF5D9E">
      <w:pPr>
        <w:pStyle w:val="Brdtekst2"/>
        <w:ind w:left="851" w:hanging="851"/>
        <w:jc w:val="left"/>
        <w:rPr>
          <w:szCs w:val="24"/>
          <w:lang w:val="da-DK"/>
        </w:rPr>
      </w:pPr>
    </w:p>
    <w:p w14:paraId="61E511E0" w14:textId="77777777" w:rsidR="003F530C" w:rsidRPr="00CF5D9E" w:rsidRDefault="003F530C" w:rsidP="00D37D8E">
      <w:pPr>
        <w:pStyle w:val="Brdtekst2"/>
        <w:ind w:left="851"/>
        <w:jc w:val="left"/>
        <w:rPr>
          <w:szCs w:val="24"/>
          <w:lang w:val="da-DK"/>
        </w:rPr>
      </w:pPr>
      <w:r w:rsidRPr="00CF5D9E">
        <w:rPr>
          <w:szCs w:val="24"/>
          <w:lang w:val="da-DK"/>
        </w:rPr>
        <w:t>Særlige populationer:</w:t>
      </w:r>
    </w:p>
    <w:p w14:paraId="2BEBA075" w14:textId="77777777" w:rsidR="003F530C" w:rsidRPr="00CF5D9E" w:rsidRDefault="003F530C" w:rsidP="00CF5D9E">
      <w:pPr>
        <w:pStyle w:val="Brdtekst2"/>
        <w:ind w:left="851" w:hanging="851"/>
        <w:jc w:val="left"/>
        <w:rPr>
          <w:szCs w:val="24"/>
          <w:lang w:val="da-DK"/>
        </w:rPr>
      </w:pPr>
    </w:p>
    <w:p w14:paraId="0977796E" w14:textId="77777777" w:rsidR="003F530C" w:rsidRPr="00CF5D9E" w:rsidRDefault="003F530C" w:rsidP="00D37D8E">
      <w:pPr>
        <w:pStyle w:val="Brdtekst2"/>
        <w:ind w:left="851"/>
        <w:jc w:val="left"/>
        <w:rPr>
          <w:i/>
          <w:szCs w:val="24"/>
          <w:lang w:val="da-DK"/>
        </w:rPr>
      </w:pPr>
      <w:r w:rsidRPr="00CF5D9E">
        <w:rPr>
          <w:i/>
          <w:szCs w:val="24"/>
          <w:lang w:val="da-DK"/>
        </w:rPr>
        <w:t>Ældre</w:t>
      </w:r>
    </w:p>
    <w:p w14:paraId="477A2B08" w14:textId="77777777" w:rsidR="003F530C" w:rsidRPr="00CF5D9E" w:rsidRDefault="003F530C" w:rsidP="00D37D8E">
      <w:pPr>
        <w:pStyle w:val="Brdtekst2"/>
        <w:ind w:left="851"/>
        <w:jc w:val="left"/>
        <w:rPr>
          <w:szCs w:val="24"/>
          <w:lang w:val="da-DK"/>
        </w:rPr>
      </w:pPr>
      <w:r w:rsidRPr="00CF5D9E">
        <w:rPr>
          <w:szCs w:val="24"/>
          <w:lang w:val="da-DK"/>
        </w:rPr>
        <w:t>Dosisjustering er ikke nødvendig for ældre patienter.</w:t>
      </w:r>
    </w:p>
    <w:p w14:paraId="34D1A2FB" w14:textId="77777777" w:rsidR="003F530C" w:rsidRPr="00CF5D9E" w:rsidRDefault="003F530C" w:rsidP="00CF5D9E">
      <w:pPr>
        <w:pStyle w:val="Brdtekst2"/>
        <w:ind w:left="851" w:hanging="851"/>
        <w:jc w:val="left"/>
        <w:rPr>
          <w:szCs w:val="24"/>
          <w:u w:val="single"/>
          <w:lang w:val="da-DK"/>
        </w:rPr>
      </w:pPr>
    </w:p>
    <w:p w14:paraId="69663F30" w14:textId="77777777" w:rsidR="003F530C" w:rsidRPr="00CF5D9E" w:rsidRDefault="003F530C" w:rsidP="00D37D8E">
      <w:pPr>
        <w:pStyle w:val="Brdtekst2"/>
        <w:ind w:left="851"/>
        <w:jc w:val="left"/>
        <w:rPr>
          <w:i/>
          <w:szCs w:val="24"/>
          <w:lang w:val="da-DK"/>
        </w:rPr>
      </w:pPr>
      <w:r w:rsidRPr="00CF5D9E">
        <w:rPr>
          <w:i/>
          <w:szCs w:val="24"/>
          <w:lang w:val="da-DK"/>
        </w:rPr>
        <w:t>Patienter med nedsat nyrefunktion</w:t>
      </w:r>
    </w:p>
    <w:p w14:paraId="129303A2" w14:textId="77777777" w:rsidR="003F530C" w:rsidRPr="00CF5D9E" w:rsidRDefault="003F530C" w:rsidP="00D37D8E">
      <w:pPr>
        <w:pStyle w:val="Brdtekst2"/>
        <w:ind w:left="851"/>
        <w:jc w:val="left"/>
        <w:rPr>
          <w:szCs w:val="24"/>
          <w:lang w:val="da-DK"/>
        </w:rPr>
      </w:pPr>
      <w:r w:rsidRPr="00CF5D9E">
        <w:rPr>
          <w:szCs w:val="24"/>
          <w:lang w:val="da-DK"/>
        </w:rPr>
        <w:t>Det er ikke nødvendigt at foretage dosisjustering for patienter med let til moderat nedsat nyrefunktion (</w:t>
      </w:r>
      <w:proofErr w:type="spellStart"/>
      <w:proofErr w:type="gramStart"/>
      <w:r w:rsidRPr="00CF5D9E">
        <w:rPr>
          <w:szCs w:val="24"/>
          <w:lang w:val="da-DK"/>
        </w:rPr>
        <w:t>kreatininclearance</w:t>
      </w:r>
      <w:proofErr w:type="spellEnd"/>
      <w:r w:rsidRPr="00CF5D9E">
        <w:rPr>
          <w:szCs w:val="24"/>
          <w:lang w:val="da-DK"/>
        </w:rPr>
        <w:t xml:space="preserve"> &gt;</w:t>
      </w:r>
      <w:proofErr w:type="gramEnd"/>
      <w:r w:rsidRPr="00CF5D9E">
        <w:rPr>
          <w:szCs w:val="24"/>
          <w:lang w:val="da-DK"/>
        </w:rPr>
        <w:t xml:space="preserve"> 30 ml/min). Lægemidlet skal anvendes med forsigtighed til patienter med svært nedsat nyrefunktion (</w:t>
      </w:r>
      <w:proofErr w:type="spellStart"/>
      <w:r w:rsidRPr="00CF5D9E">
        <w:rPr>
          <w:szCs w:val="24"/>
          <w:lang w:val="da-DK"/>
        </w:rPr>
        <w:t>kreatininclearance</w:t>
      </w:r>
      <w:proofErr w:type="spellEnd"/>
      <w:r w:rsidRPr="00CF5D9E">
        <w:rPr>
          <w:szCs w:val="24"/>
          <w:lang w:val="da-DK"/>
        </w:rPr>
        <w:t xml:space="preserve"> ≤ 30 ml/min), og disse patienter må ikke få mere end 5 mg én gang dagligt (se pkt. 5.2).</w:t>
      </w:r>
    </w:p>
    <w:p w14:paraId="2CFF269C" w14:textId="77777777" w:rsidR="003F530C" w:rsidRPr="00CF5D9E" w:rsidRDefault="003F530C" w:rsidP="00CF5D9E">
      <w:pPr>
        <w:pStyle w:val="Brdtekst2"/>
        <w:ind w:left="851" w:hanging="851"/>
        <w:jc w:val="left"/>
        <w:rPr>
          <w:szCs w:val="24"/>
          <w:lang w:val="da-DK"/>
        </w:rPr>
      </w:pPr>
    </w:p>
    <w:p w14:paraId="5378F075" w14:textId="77777777" w:rsidR="003F530C" w:rsidRPr="00CF5D9E" w:rsidRDefault="003F530C" w:rsidP="00D37D8E">
      <w:pPr>
        <w:pStyle w:val="Brdtekst2"/>
        <w:ind w:left="851"/>
        <w:jc w:val="left"/>
        <w:rPr>
          <w:i/>
          <w:szCs w:val="24"/>
          <w:lang w:val="da-DK"/>
        </w:rPr>
      </w:pPr>
      <w:r w:rsidRPr="00CF5D9E">
        <w:rPr>
          <w:i/>
          <w:szCs w:val="24"/>
          <w:lang w:val="da-DK"/>
        </w:rPr>
        <w:t>Patienter med nedsat leverfunktion</w:t>
      </w:r>
    </w:p>
    <w:p w14:paraId="61ADA4C6" w14:textId="77777777" w:rsidR="003F530C" w:rsidRPr="00CF5D9E" w:rsidRDefault="003F530C" w:rsidP="00D37D8E">
      <w:pPr>
        <w:pStyle w:val="Brdtekst2"/>
        <w:ind w:left="851"/>
        <w:jc w:val="left"/>
        <w:rPr>
          <w:szCs w:val="24"/>
          <w:lang w:val="da-DK"/>
        </w:rPr>
      </w:pPr>
      <w:r w:rsidRPr="00CF5D9E">
        <w:rPr>
          <w:szCs w:val="24"/>
          <w:lang w:val="da-DK"/>
        </w:rPr>
        <w:t>Det er ikke nødvendigt at foretage dosisjustering for patienter med let nedsat leverfunktion. Patienter med moderat nedsat leverfunktion (Child-</w:t>
      </w:r>
      <w:proofErr w:type="spellStart"/>
      <w:r w:rsidRPr="00CF5D9E">
        <w:rPr>
          <w:szCs w:val="24"/>
          <w:lang w:val="da-DK"/>
        </w:rPr>
        <w:t>Pugh</w:t>
      </w:r>
      <w:proofErr w:type="spellEnd"/>
      <w:r w:rsidRPr="00CF5D9E">
        <w:rPr>
          <w:szCs w:val="24"/>
          <w:lang w:val="da-DK"/>
        </w:rPr>
        <w:t>-score 7 til 9) skal behandles med forsigtighed og må ikke få mere end 5 mg én gang dagligt (se pkt. 5.2).</w:t>
      </w:r>
    </w:p>
    <w:p w14:paraId="5D972BD3" w14:textId="77777777" w:rsidR="003F530C" w:rsidRPr="00CF5D9E" w:rsidRDefault="003F530C" w:rsidP="00CF5D9E">
      <w:pPr>
        <w:pStyle w:val="Brdtekst2"/>
        <w:ind w:left="851" w:hanging="851"/>
        <w:jc w:val="left"/>
        <w:rPr>
          <w:szCs w:val="24"/>
          <w:lang w:val="da-DK"/>
        </w:rPr>
      </w:pPr>
    </w:p>
    <w:p w14:paraId="0B792D13" w14:textId="77777777" w:rsidR="003F530C" w:rsidRPr="00CF5D9E" w:rsidRDefault="003F530C" w:rsidP="00D37D8E">
      <w:pPr>
        <w:pStyle w:val="Brdtekst2"/>
        <w:ind w:left="851"/>
        <w:jc w:val="left"/>
        <w:rPr>
          <w:i/>
          <w:szCs w:val="24"/>
          <w:lang w:val="da-DK"/>
        </w:rPr>
      </w:pPr>
      <w:r w:rsidRPr="00CF5D9E">
        <w:rPr>
          <w:i/>
          <w:szCs w:val="24"/>
          <w:lang w:val="da-DK"/>
        </w:rPr>
        <w:t xml:space="preserve">Patienter behandlet med potente </w:t>
      </w:r>
      <w:proofErr w:type="spellStart"/>
      <w:r w:rsidRPr="00CF5D9E">
        <w:rPr>
          <w:i/>
          <w:szCs w:val="24"/>
          <w:lang w:val="da-DK"/>
        </w:rPr>
        <w:t>cytochrom</w:t>
      </w:r>
      <w:proofErr w:type="spellEnd"/>
      <w:r w:rsidRPr="00CF5D9E">
        <w:rPr>
          <w:i/>
          <w:szCs w:val="24"/>
          <w:lang w:val="da-DK"/>
        </w:rPr>
        <w:t xml:space="preserve"> P450 3A4-hæmmere</w:t>
      </w:r>
    </w:p>
    <w:p w14:paraId="42C2E933" w14:textId="418AEC1B" w:rsidR="003F530C" w:rsidRPr="00CF5D9E" w:rsidRDefault="003F530C" w:rsidP="00D37D8E">
      <w:pPr>
        <w:pStyle w:val="Brdtekst2"/>
        <w:ind w:left="851"/>
        <w:jc w:val="left"/>
        <w:rPr>
          <w:szCs w:val="24"/>
          <w:lang w:val="da-DK"/>
        </w:rPr>
      </w:pPr>
      <w:r w:rsidRPr="00CF5D9E">
        <w:rPr>
          <w:szCs w:val="24"/>
          <w:lang w:val="da-DK"/>
        </w:rPr>
        <w:t xml:space="preserve">Den maksimale dosis af </w:t>
      </w:r>
      <w:proofErr w:type="spellStart"/>
      <w:r w:rsidRPr="00CF5D9E">
        <w:rPr>
          <w:szCs w:val="24"/>
          <w:lang w:val="da-DK"/>
        </w:rPr>
        <w:t>Solifenacinsuccinat</w:t>
      </w:r>
      <w:proofErr w:type="spellEnd"/>
      <w:r w:rsidRPr="00CF5D9E">
        <w:rPr>
          <w:szCs w:val="24"/>
          <w:lang w:val="da-DK"/>
        </w:rPr>
        <w:t xml:space="preserve"> </w:t>
      </w:r>
      <w:r w:rsidR="00A27D7D">
        <w:rPr>
          <w:szCs w:val="24"/>
          <w:lang w:val="da-DK"/>
        </w:rPr>
        <w:t>”</w:t>
      </w:r>
      <w:proofErr w:type="spellStart"/>
      <w:r w:rsidR="00A27D7D">
        <w:rPr>
          <w:szCs w:val="24"/>
          <w:lang w:val="da-DK"/>
        </w:rPr>
        <w:t>Accord</w:t>
      </w:r>
      <w:proofErr w:type="spellEnd"/>
      <w:r w:rsidR="00A27D7D">
        <w:rPr>
          <w:szCs w:val="24"/>
          <w:lang w:val="da-DK"/>
        </w:rPr>
        <w:t>”</w:t>
      </w:r>
      <w:r w:rsidRPr="00CF5D9E">
        <w:rPr>
          <w:szCs w:val="24"/>
          <w:lang w:val="da-DK"/>
        </w:rPr>
        <w:t xml:space="preserve"> bør begrænses til 5 mg ved samtidig behandling med </w:t>
      </w:r>
      <w:proofErr w:type="spellStart"/>
      <w:r w:rsidRPr="00CF5D9E">
        <w:rPr>
          <w:szCs w:val="24"/>
          <w:lang w:val="da-DK"/>
        </w:rPr>
        <w:t>ketoconazol</w:t>
      </w:r>
      <w:proofErr w:type="spellEnd"/>
      <w:r w:rsidRPr="00CF5D9E">
        <w:rPr>
          <w:szCs w:val="24"/>
          <w:lang w:val="da-DK"/>
        </w:rPr>
        <w:t xml:space="preserve"> eller terapeutiske doser af andre potente CYP3A4-hæmmere, f.eks. </w:t>
      </w:r>
      <w:proofErr w:type="spellStart"/>
      <w:r w:rsidRPr="00CF5D9E">
        <w:rPr>
          <w:szCs w:val="24"/>
          <w:lang w:val="da-DK"/>
        </w:rPr>
        <w:t>ritonavir</w:t>
      </w:r>
      <w:proofErr w:type="spellEnd"/>
      <w:r w:rsidRPr="00CF5D9E">
        <w:rPr>
          <w:szCs w:val="24"/>
          <w:lang w:val="da-DK"/>
        </w:rPr>
        <w:t xml:space="preserve">, </w:t>
      </w:r>
      <w:proofErr w:type="spellStart"/>
      <w:r w:rsidRPr="00CF5D9E">
        <w:rPr>
          <w:szCs w:val="24"/>
          <w:lang w:val="da-DK"/>
        </w:rPr>
        <w:t>nelfinavir</w:t>
      </w:r>
      <w:proofErr w:type="spellEnd"/>
      <w:r w:rsidRPr="00CF5D9E">
        <w:rPr>
          <w:szCs w:val="24"/>
          <w:lang w:val="da-DK"/>
        </w:rPr>
        <w:t xml:space="preserve"> eller </w:t>
      </w:r>
      <w:proofErr w:type="spellStart"/>
      <w:r w:rsidRPr="00CF5D9E">
        <w:rPr>
          <w:szCs w:val="24"/>
          <w:lang w:val="da-DK"/>
        </w:rPr>
        <w:t>itraconazol</w:t>
      </w:r>
      <w:proofErr w:type="spellEnd"/>
      <w:r w:rsidRPr="00CF5D9E">
        <w:rPr>
          <w:szCs w:val="24"/>
          <w:lang w:val="da-DK"/>
        </w:rPr>
        <w:t xml:space="preserve"> (se pkt. 4.5).</w:t>
      </w:r>
    </w:p>
    <w:p w14:paraId="4A792550" w14:textId="77777777" w:rsidR="003F530C" w:rsidRPr="00CF5D9E" w:rsidRDefault="003F530C" w:rsidP="00CF5D9E">
      <w:pPr>
        <w:pStyle w:val="Brdtekst2"/>
        <w:ind w:left="851" w:hanging="851"/>
        <w:jc w:val="left"/>
        <w:rPr>
          <w:szCs w:val="24"/>
          <w:lang w:val="da-DK"/>
        </w:rPr>
      </w:pPr>
    </w:p>
    <w:p w14:paraId="24995B76" w14:textId="77777777" w:rsidR="003F530C" w:rsidRPr="00CF5D9E" w:rsidRDefault="003F530C" w:rsidP="00D37D8E">
      <w:pPr>
        <w:pStyle w:val="Brdtekst2"/>
        <w:ind w:left="851"/>
        <w:jc w:val="left"/>
        <w:rPr>
          <w:i/>
          <w:szCs w:val="24"/>
          <w:lang w:val="da-DK"/>
        </w:rPr>
      </w:pPr>
      <w:r w:rsidRPr="00CF5D9E">
        <w:rPr>
          <w:i/>
          <w:szCs w:val="24"/>
          <w:lang w:val="da-DK"/>
        </w:rPr>
        <w:t>Pædiatrisk population</w:t>
      </w:r>
    </w:p>
    <w:p w14:paraId="2A5678D6" w14:textId="0AE70261" w:rsidR="003F530C" w:rsidRPr="00CF5D9E" w:rsidRDefault="003F530C" w:rsidP="00D37D8E">
      <w:pPr>
        <w:ind w:left="851"/>
        <w:rPr>
          <w:sz w:val="24"/>
          <w:szCs w:val="24"/>
        </w:rPr>
      </w:pPr>
      <w:r w:rsidRPr="00CF5D9E">
        <w:rPr>
          <w:sz w:val="24"/>
          <w:szCs w:val="24"/>
        </w:rPr>
        <w:t xml:space="preserve">Sikkerhed og virkning hos børn og unge under 18 år er ikke klarlagt. Derfor bør </w:t>
      </w:r>
      <w:proofErr w:type="spellStart"/>
      <w:r w:rsidRPr="00CF5D9E">
        <w:rPr>
          <w:sz w:val="24"/>
          <w:szCs w:val="24"/>
        </w:rPr>
        <w:t>Solifenacinsuccinat</w:t>
      </w:r>
      <w:proofErr w:type="spellEnd"/>
      <w:r w:rsidRPr="00CF5D9E">
        <w:rPr>
          <w:sz w:val="24"/>
          <w:szCs w:val="24"/>
        </w:rPr>
        <w:t xml:space="preserve"> </w:t>
      </w:r>
      <w:r w:rsidR="00A27D7D">
        <w:rPr>
          <w:sz w:val="24"/>
          <w:szCs w:val="24"/>
        </w:rPr>
        <w:t>”</w:t>
      </w:r>
      <w:proofErr w:type="spellStart"/>
      <w:r w:rsidR="00A27D7D">
        <w:rPr>
          <w:sz w:val="24"/>
          <w:szCs w:val="24"/>
        </w:rPr>
        <w:t>Accord</w:t>
      </w:r>
      <w:proofErr w:type="spellEnd"/>
      <w:r w:rsidR="00A27D7D">
        <w:rPr>
          <w:sz w:val="24"/>
          <w:szCs w:val="24"/>
        </w:rPr>
        <w:t>”</w:t>
      </w:r>
      <w:r w:rsidRPr="00CF5D9E">
        <w:rPr>
          <w:sz w:val="24"/>
          <w:szCs w:val="24"/>
        </w:rPr>
        <w:t xml:space="preserve"> ikke anvendes til børn og unge under 18 år.</w:t>
      </w:r>
    </w:p>
    <w:p w14:paraId="526681B5" w14:textId="77777777" w:rsidR="003F530C" w:rsidRPr="00CF5D9E" w:rsidRDefault="003F530C" w:rsidP="00CF5D9E">
      <w:pPr>
        <w:pStyle w:val="Brdtekst2"/>
        <w:ind w:left="851" w:hanging="851"/>
        <w:jc w:val="left"/>
        <w:rPr>
          <w:szCs w:val="24"/>
          <w:lang w:val="da-DK"/>
        </w:rPr>
      </w:pPr>
    </w:p>
    <w:p w14:paraId="418AE009" w14:textId="77777777" w:rsidR="003F530C" w:rsidRPr="00CF5D9E" w:rsidRDefault="003F530C" w:rsidP="00D37D8E">
      <w:pPr>
        <w:pStyle w:val="Brdtekst2"/>
        <w:ind w:left="851"/>
        <w:jc w:val="left"/>
        <w:rPr>
          <w:szCs w:val="24"/>
          <w:u w:val="single"/>
          <w:lang w:val="da-DK"/>
        </w:rPr>
      </w:pPr>
      <w:r w:rsidRPr="00CF5D9E">
        <w:rPr>
          <w:szCs w:val="24"/>
          <w:u w:val="single"/>
          <w:lang w:val="da-DK"/>
        </w:rPr>
        <w:t>Administration</w:t>
      </w:r>
    </w:p>
    <w:p w14:paraId="07C18699" w14:textId="1965156E" w:rsidR="003F530C" w:rsidRPr="00CF5D9E" w:rsidRDefault="003F530C" w:rsidP="00D37D8E">
      <w:pPr>
        <w:pStyle w:val="Brdtekst2"/>
        <w:ind w:left="851"/>
        <w:jc w:val="left"/>
        <w:rPr>
          <w:szCs w:val="24"/>
          <w:lang w:val="da-DK"/>
        </w:rPr>
      </w:pPr>
      <w:proofErr w:type="spellStart"/>
      <w:r w:rsidRPr="00CF5D9E">
        <w:rPr>
          <w:szCs w:val="24"/>
          <w:lang w:val="da-DK"/>
        </w:rPr>
        <w:t>Solifenacinsuccinat</w:t>
      </w:r>
      <w:proofErr w:type="spellEnd"/>
      <w:r w:rsidRPr="00CF5D9E">
        <w:rPr>
          <w:szCs w:val="24"/>
          <w:lang w:val="da-DK"/>
        </w:rPr>
        <w:t xml:space="preserve"> </w:t>
      </w:r>
      <w:r w:rsidR="00A27D7D">
        <w:rPr>
          <w:szCs w:val="24"/>
          <w:lang w:val="da-DK"/>
        </w:rPr>
        <w:t>”</w:t>
      </w:r>
      <w:proofErr w:type="spellStart"/>
      <w:r w:rsidR="00A27D7D">
        <w:rPr>
          <w:szCs w:val="24"/>
          <w:lang w:val="da-DK"/>
        </w:rPr>
        <w:t>Accord</w:t>
      </w:r>
      <w:proofErr w:type="spellEnd"/>
      <w:r w:rsidR="00A27D7D">
        <w:rPr>
          <w:szCs w:val="24"/>
          <w:lang w:val="da-DK"/>
        </w:rPr>
        <w:t>”</w:t>
      </w:r>
      <w:r w:rsidRPr="00CF5D9E">
        <w:rPr>
          <w:szCs w:val="24"/>
          <w:lang w:val="da-DK"/>
        </w:rPr>
        <w:t xml:space="preserve"> skal tages oralt og skal synkes hele sammen med væske.</w:t>
      </w:r>
    </w:p>
    <w:p w14:paraId="26556071" w14:textId="77777777" w:rsidR="003F530C" w:rsidRPr="00CF5D9E" w:rsidRDefault="003F530C" w:rsidP="00D37D8E">
      <w:pPr>
        <w:pStyle w:val="Brdtekst2"/>
        <w:ind w:left="851"/>
        <w:jc w:val="left"/>
        <w:rPr>
          <w:szCs w:val="24"/>
          <w:lang w:val="da-DK"/>
        </w:rPr>
      </w:pPr>
      <w:r w:rsidRPr="00CF5D9E">
        <w:rPr>
          <w:szCs w:val="24"/>
          <w:lang w:val="da-DK"/>
        </w:rPr>
        <w:t>Tabletterne kan tages med eller uden mad.</w:t>
      </w:r>
    </w:p>
    <w:p w14:paraId="7612B909" w14:textId="77777777" w:rsidR="00B003BF" w:rsidRPr="00CF5D9E" w:rsidRDefault="00B003BF" w:rsidP="00CF5D9E">
      <w:pPr>
        <w:ind w:left="851" w:hanging="851"/>
        <w:rPr>
          <w:sz w:val="24"/>
          <w:szCs w:val="24"/>
        </w:rPr>
      </w:pPr>
    </w:p>
    <w:p w14:paraId="475178E4" w14:textId="77777777" w:rsidR="00B003BF" w:rsidRPr="00CF5D9E" w:rsidRDefault="00B003BF" w:rsidP="00CF5D9E">
      <w:pPr>
        <w:ind w:left="851" w:hanging="851"/>
        <w:rPr>
          <w:b/>
          <w:sz w:val="24"/>
          <w:szCs w:val="24"/>
        </w:rPr>
      </w:pPr>
      <w:r w:rsidRPr="00CF5D9E">
        <w:rPr>
          <w:b/>
          <w:sz w:val="24"/>
          <w:szCs w:val="24"/>
        </w:rPr>
        <w:t>4.3</w:t>
      </w:r>
      <w:r w:rsidRPr="00CF5D9E">
        <w:rPr>
          <w:b/>
          <w:sz w:val="24"/>
          <w:szCs w:val="24"/>
        </w:rPr>
        <w:tab/>
        <w:t>Kontraindikationer</w:t>
      </w:r>
    </w:p>
    <w:p w14:paraId="6A047074" w14:textId="6AFE5678" w:rsidR="003F530C" w:rsidRPr="00CF5D9E" w:rsidRDefault="003F530C" w:rsidP="00D37D8E">
      <w:pPr>
        <w:pStyle w:val="Brdtekst2"/>
        <w:numPr>
          <w:ilvl w:val="0"/>
          <w:numId w:val="6"/>
        </w:numPr>
        <w:tabs>
          <w:tab w:val="clear" w:pos="360"/>
        </w:tabs>
        <w:ind w:left="1276" w:hanging="425"/>
        <w:jc w:val="left"/>
        <w:rPr>
          <w:szCs w:val="24"/>
          <w:lang w:val="da-DK"/>
        </w:rPr>
      </w:pPr>
      <w:r w:rsidRPr="00CF5D9E">
        <w:rPr>
          <w:szCs w:val="24"/>
          <w:lang w:val="da-DK"/>
        </w:rPr>
        <w:t>Overfølsomhed over for det (de) aktive stof(fer) eller over for et eller flere af hjælpestofferne anført i pkt. 6.1.</w:t>
      </w:r>
    </w:p>
    <w:p w14:paraId="475AF69F" w14:textId="77777777" w:rsidR="003F530C" w:rsidRPr="00CF5D9E" w:rsidRDefault="003F530C" w:rsidP="00D37D8E">
      <w:pPr>
        <w:numPr>
          <w:ilvl w:val="0"/>
          <w:numId w:val="6"/>
        </w:numPr>
        <w:tabs>
          <w:tab w:val="clear" w:pos="360"/>
        </w:tabs>
        <w:ind w:left="1276" w:hanging="425"/>
        <w:rPr>
          <w:sz w:val="24"/>
          <w:szCs w:val="24"/>
        </w:rPr>
      </w:pPr>
      <w:proofErr w:type="spellStart"/>
      <w:r w:rsidRPr="00CF5D9E">
        <w:rPr>
          <w:sz w:val="24"/>
          <w:szCs w:val="24"/>
        </w:rPr>
        <w:t>Solifenacin</w:t>
      </w:r>
      <w:proofErr w:type="spellEnd"/>
      <w:r w:rsidRPr="00CF5D9E">
        <w:rPr>
          <w:sz w:val="24"/>
          <w:szCs w:val="24"/>
        </w:rPr>
        <w:t xml:space="preserve"> er kontraindiceret til patienter med urinretention, alvorlige </w:t>
      </w:r>
      <w:proofErr w:type="spellStart"/>
      <w:r w:rsidRPr="00CF5D9E">
        <w:rPr>
          <w:sz w:val="24"/>
          <w:szCs w:val="24"/>
        </w:rPr>
        <w:t>gastrointestinale</w:t>
      </w:r>
      <w:proofErr w:type="spellEnd"/>
      <w:r w:rsidRPr="00CF5D9E">
        <w:rPr>
          <w:sz w:val="24"/>
          <w:szCs w:val="24"/>
        </w:rPr>
        <w:t xml:space="preserve"> lidelser (herunder toksisk </w:t>
      </w:r>
      <w:proofErr w:type="spellStart"/>
      <w:r w:rsidRPr="00CF5D9E">
        <w:rPr>
          <w:sz w:val="24"/>
          <w:szCs w:val="24"/>
        </w:rPr>
        <w:t>megacolon</w:t>
      </w:r>
      <w:proofErr w:type="spellEnd"/>
      <w:r w:rsidRPr="00CF5D9E">
        <w:rPr>
          <w:sz w:val="24"/>
          <w:szCs w:val="24"/>
        </w:rPr>
        <w:t xml:space="preserve">), </w:t>
      </w:r>
      <w:proofErr w:type="spellStart"/>
      <w:r w:rsidRPr="00CF5D9E">
        <w:rPr>
          <w:sz w:val="24"/>
          <w:szCs w:val="24"/>
        </w:rPr>
        <w:t>myasthenia</w:t>
      </w:r>
      <w:proofErr w:type="spellEnd"/>
      <w:r w:rsidRPr="00CF5D9E">
        <w:rPr>
          <w:sz w:val="24"/>
          <w:szCs w:val="24"/>
        </w:rPr>
        <w:t xml:space="preserve"> </w:t>
      </w:r>
      <w:proofErr w:type="spellStart"/>
      <w:r w:rsidRPr="00CF5D9E">
        <w:rPr>
          <w:sz w:val="24"/>
          <w:szCs w:val="24"/>
        </w:rPr>
        <w:t>gravis</w:t>
      </w:r>
      <w:proofErr w:type="spellEnd"/>
      <w:r w:rsidRPr="00CF5D9E">
        <w:rPr>
          <w:sz w:val="24"/>
          <w:szCs w:val="24"/>
        </w:rPr>
        <w:t xml:space="preserve"> eller </w:t>
      </w:r>
      <w:proofErr w:type="spellStart"/>
      <w:r w:rsidRPr="00CF5D9E">
        <w:rPr>
          <w:sz w:val="24"/>
          <w:szCs w:val="24"/>
        </w:rPr>
        <w:t>snævervinkelglaukom</w:t>
      </w:r>
      <w:proofErr w:type="spellEnd"/>
      <w:r w:rsidRPr="00CF5D9E">
        <w:rPr>
          <w:sz w:val="24"/>
          <w:szCs w:val="24"/>
        </w:rPr>
        <w:t xml:space="preserve"> og til patienter med risiko for disse lidelser.</w:t>
      </w:r>
    </w:p>
    <w:p w14:paraId="07B3FB7F" w14:textId="77777777" w:rsidR="003F530C" w:rsidRPr="00CF5D9E" w:rsidRDefault="003F530C" w:rsidP="00D37D8E">
      <w:pPr>
        <w:numPr>
          <w:ilvl w:val="0"/>
          <w:numId w:val="6"/>
        </w:numPr>
        <w:tabs>
          <w:tab w:val="clear" w:pos="360"/>
        </w:tabs>
        <w:ind w:left="1276" w:hanging="425"/>
        <w:rPr>
          <w:sz w:val="24"/>
          <w:szCs w:val="24"/>
        </w:rPr>
      </w:pPr>
      <w:r w:rsidRPr="00CF5D9E">
        <w:rPr>
          <w:sz w:val="24"/>
          <w:szCs w:val="24"/>
        </w:rPr>
        <w:t xml:space="preserve">Patienter i </w:t>
      </w:r>
      <w:proofErr w:type="spellStart"/>
      <w:r w:rsidRPr="00CF5D9E">
        <w:rPr>
          <w:sz w:val="24"/>
          <w:szCs w:val="24"/>
        </w:rPr>
        <w:t>hæmodialyse</w:t>
      </w:r>
      <w:proofErr w:type="spellEnd"/>
      <w:r w:rsidRPr="00CF5D9E">
        <w:rPr>
          <w:sz w:val="24"/>
          <w:szCs w:val="24"/>
        </w:rPr>
        <w:t xml:space="preserve"> (se pkt. 5.2).</w:t>
      </w:r>
    </w:p>
    <w:p w14:paraId="1EC3E06D" w14:textId="77777777" w:rsidR="003F530C" w:rsidRPr="00CF5D9E" w:rsidRDefault="003F530C" w:rsidP="00D37D8E">
      <w:pPr>
        <w:numPr>
          <w:ilvl w:val="0"/>
          <w:numId w:val="6"/>
        </w:numPr>
        <w:tabs>
          <w:tab w:val="clear" w:pos="360"/>
        </w:tabs>
        <w:ind w:left="1276" w:hanging="425"/>
        <w:rPr>
          <w:sz w:val="24"/>
          <w:szCs w:val="24"/>
        </w:rPr>
      </w:pPr>
      <w:r w:rsidRPr="00CF5D9E">
        <w:rPr>
          <w:sz w:val="24"/>
          <w:szCs w:val="24"/>
        </w:rPr>
        <w:t>Patienter med svært nedsat leverfunktion (se pkt. 5.2).</w:t>
      </w:r>
    </w:p>
    <w:p w14:paraId="5B856C4B" w14:textId="77777777" w:rsidR="003F530C" w:rsidRPr="00CF5D9E" w:rsidRDefault="003F530C" w:rsidP="00D37D8E">
      <w:pPr>
        <w:numPr>
          <w:ilvl w:val="0"/>
          <w:numId w:val="6"/>
        </w:numPr>
        <w:tabs>
          <w:tab w:val="clear" w:pos="360"/>
        </w:tabs>
        <w:ind w:left="1276" w:hanging="425"/>
        <w:rPr>
          <w:sz w:val="24"/>
          <w:szCs w:val="24"/>
        </w:rPr>
      </w:pPr>
      <w:r w:rsidRPr="00CF5D9E">
        <w:rPr>
          <w:sz w:val="24"/>
          <w:szCs w:val="24"/>
        </w:rPr>
        <w:t xml:space="preserve">Patienter med svært nedsat nyrefunktion eller moderat nedsat leverfunktion, som behandles med en potent CYP3A4-hæmmer, f.eks. </w:t>
      </w:r>
      <w:proofErr w:type="spellStart"/>
      <w:r w:rsidRPr="00CF5D9E">
        <w:rPr>
          <w:sz w:val="24"/>
          <w:szCs w:val="24"/>
        </w:rPr>
        <w:t>ketoconazol</w:t>
      </w:r>
      <w:proofErr w:type="spellEnd"/>
      <w:r w:rsidRPr="00CF5D9E">
        <w:rPr>
          <w:sz w:val="24"/>
          <w:szCs w:val="24"/>
        </w:rPr>
        <w:t xml:space="preserve"> (se pkt. 4.5).</w:t>
      </w:r>
    </w:p>
    <w:p w14:paraId="251F7E3D" w14:textId="7B34D51A" w:rsidR="00B003BF" w:rsidRPr="00CF5D9E" w:rsidRDefault="00082DA9" w:rsidP="00CF5D9E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43ABB75" w14:textId="77777777" w:rsidR="00B003BF" w:rsidRPr="00CF5D9E" w:rsidRDefault="00B003BF" w:rsidP="00CF5D9E">
      <w:pPr>
        <w:ind w:left="851" w:hanging="851"/>
        <w:rPr>
          <w:b/>
          <w:sz w:val="24"/>
          <w:szCs w:val="24"/>
        </w:rPr>
      </w:pPr>
      <w:r w:rsidRPr="00CF5D9E">
        <w:rPr>
          <w:b/>
          <w:sz w:val="24"/>
          <w:szCs w:val="24"/>
        </w:rPr>
        <w:t>4.4</w:t>
      </w:r>
      <w:r w:rsidRPr="00CF5D9E">
        <w:rPr>
          <w:b/>
          <w:sz w:val="24"/>
          <w:szCs w:val="24"/>
        </w:rPr>
        <w:tab/>
        <w:t>Særlige advarsler og forsigtighedsregler vedrørende brugen</w:t>
      </w:r>
    </w:p>
    <w:p w14:paraId="0E0870B0" w14:textId="07E04FB9" w:rsidR="003F530C" w:rsidRPr="00CF5D9E" w:rsidRDefault="003F530C" w:rsidP="00D37D8E">
      <w:pPr>
        <w:pStyle w:val="Brdtekst2"/>
        <w:ind w:left="851"/>
        <w:jc w:val="left"/>
        <w:rPr>
          <w:szCs w:val="24"/>
          <w:lang w:val="da-DK"/>
        </w:rPr>
      </w:pPr>
      <w:r w:rsidRPr="00CF5D9E">
        <w:rPr>
          <w:szCs w:val="24"/>
          <w:lang w:val="da-DK"/>
        </w:rPr>
        <w:t xml:space="preserve">Andre årsager til hyppig vandladning (hjertesvigt eller nyrelidelser) bør vurderes før påbegyndelse af behandling med </w:t>
      </w:r>
      <w:proofErr w:type="spellStart"/>
      <w:r w:rsidRPr="00CF5D9E">
        <w:rPr>
          <w:szCs w:val="24"/>
          <w:lang w:val="da-DK"/>
        </w:rPr>
        <w:t>solifenacinsuccinat</w:t>
      </w:r>
      <w:proofErr w:type="spellEnd"/>
      <w:r w:rsidRPr="00CF5D9E">
        <w:rPr>
          <w:szCs w:val="24"/>
          <w:lang w:val="da-DK"/>
        </w:rPr>
        <w:t xml:space="preserve"> </w:t>
      </w:r>
      <w:r w:rsidR="00A27D7D">
        <w:rPr>
          <w:szCs w:val="24"/>
          <w:lang w:val="da-DK"/>
        </w:rPr>
        <w:t>”</w:t>
      </w:r>
      <w:proofErr w:type="spellStart"/>
      <w:r w:rsidR="00A27D7D">
        <w:rPr>
          <w:szCs w:val="24"/>
          <w:lang w:val="da-DK"/>
        </w:rPr>
        <w:t>Accord</w:t>
      </w:r>
      <w:proofErr w:type="spellEnd"/>
      <w:r w:rsidR="00A27D7D">
        <w:rPr>
          <w:szCs w:val="24"/>
          <w:lang w:val="da-DK"/>
        </w:rPr>
        <w:t>”</w:t>
      </w:r>
      <w:r w:rsidRPr="00CF5D9E">
        <w:rPr>
          <w:szCs w:val="24"/>
          <w:lang w:val="da-DK"/>
        </w:rPr>
        <w:t>. Ved tilstedeværelse af urinvejsinfektion bør passende antibiotisk behandling påbegyndes.</w:t>
      </w:r>
    </w:p>
    <w:p w14:paraId="74D7C030" w14:textId="77777777" w:rsidR="003F530C" w:rsidRPr="00CF5D9E" w:rsidRDefault="003F530C" w:rsidP="00CF5D9E">
      <w:pPr>
        <w:pStyle w:val="Brdtekst2"/>
        <w:ind w:left="851" w:hanging="851"/>
        <w:jc w:val="left"/>
        <w:rPr>
          <w:szCs w:val="24"/>
          <w:lang w:val="da-DK"/>
        </w:rPr>
      </w:pPr>
    </w:p>
    <w:p w14:paraId="13F4F0BE" w14:textId="3280578F" w:rsidR="003F530C" w:rsidRPr="00CF5D9E" w:rsidRDefault="003F530C" w:rsidP="00D37D8E">
      <w:pPr>
        <w:pStyle w:val="Brdtekst2"/>
        <w:ind w:left="851"/>
        <w:jc w:val="left"/>
        <w:rPr>
          <w:szCs w:val="24"/>
          <w:lang w:val="da-DK"/>
        </w:rPr>
      </w:pPr>
      <w:proofErr w:type="spellStart"/>
      <w:r w:rsidRPr="00CF5D9E">
        <w:rPr>
          <w:szCs w:val="24"/>
          <w:lang w:val="da-DK"/>
        </w:rPr>
        <w:t>Solifenacinsuccinat</w:t>
      </w:r>
      <w:proofErr w:type="spellEnd"/>
      <w:r w:rsidRPr="00CF5D9E">
        <w:rPr>
          <w:szCs w:val="24"/>
          <w:lang w:val="da-DK"/>
        </w:rPr>
        <w:t xml:space="preserve"> </w:t>
      </w:r>
      <w:r w:rsidR="00A27D7D">
        <w:rPr>
          <w:szCs w:val="24"/>
          <w:lang w:val="da-DK"/>
        </w:rPr>
        <w:t>”</w:t>
      </w:r>
      <w:proofErr w:type="spellStart"/>
      <w:r w:rsidR="00A27D7D">
        <w:rPr>
          <w:szCs w:val="24"/>
          <w:lang w:val="da-DK"/>
        </w:rPr>
        <w:t>Accord</w:t>
      </w:r>
      <w:proofErr w:type="spellEnd"/>
      <w:r w:rsidR="00A27D7D">
        <w:rPr>
          <w:szCs w:val="24"/>
          <w:lang w:val="da-DK"/>
        </w:rPr>
        <w:t>”</w:t>
      </w:r>
      <w:r w:rsidRPr="00CF5D9E" w:rsidDel="0020317B">
        <w:rPr>
          <w:szCs w:val="24"/>
          <w:lang w:val="da-DK"/>
        </w:rPr>
        <w:t xml:space="preserve"> </w:t>
      </w:r>
      <w:r w:rsidRPr="00CF5D9E">
        <w:rPr>
          <w:szCs w:val="24"/>
          <w:lang w:val="da-DK"/>
        </w:rPr>
        <w:t>skal anvendes med forsigtighed til patienter med:</w:t>
      </w:r>
    </w:p>
    <w:p w14:paraId="36C473E1" w14:textId="77777777" w:rsidR="003F530C" w:rsidRPr="00CF5D9E" w:rsidRDefault="003F530C" w:rsidP="00D37D8E">
      <w:pPr>
        <w:numPr>
          <w:ilvl w:val="0"/>
          <w:numId w:val="7"/>
        </w:numPr>
        <w:tabs>
          <w:tab w:val="clear" w:pos="360"/>
        </w:tabs>
        <w:ind w:left="1276" w:hanging="425"/>
        <w:rPr>
          <w:sz w:val="24"/>
          <w:szCs w:val="24"/>
        </w:rPr>
      </w:pPr>
      <w:proofErr w:type="gramStart"/>
      <w:r w:rsidRPr="00CF5D9E">
        <w:rPr>
          <w:sz w:val="24"/>
          <w:szCs w:val="24"/>
        </w:rPr>
        <w:t>klinisk</w:t>
      </w:r>
      <w:proofErr w:type="gramEnd"/>
      <w:r w:rsidRPr="00CF5D9E">
        <w:rPr>
          <w:sz w:val="24"/>
          <w:szCs w:val="24"/>
        </w:rPr>
        <w:t xml:space="preserve"> signifikant blæreobstruktion med risiko for urinretention.</w:t>
      </w:r>
    </w:p>
    <w:p w14:paraId="299E43D3" w14:textId="77777777" w:rsidR="003F530C" w:rsidRPr="00CF5D9E" w:rsidRDefault="003F530C" w:rsidP="00D37D8E">
      <w:pPr>
        <w:numPr>
          <w:ilvl w:val="0"/>
          <w:numId w:val="7"/>
        </w:numPr>
        <w:tabs>
          <w:tab w:val="clear" w:pos="360"/>
        </w:tabs>
        <w:ind w:left="1276" w:hanging="425"/>
        <w:rPr>
          <w:sz w:val="24"/>
          <w:szCs w:val="24"/>
        </w:rPr>
      </w:pPr>
      <w:proofErr w:type="spellStart"/>
      <w:proofErr w:type="gramStart"/>
      <w:r w:rsidRPr="00CF5D9E">
        <w:rPr>
          <w:sz w:val="24"/>
          <w:szCs w:val="24"/>
        </w:rPr>
        <w:t>gastrointestinale</w:t>
      </w:r>
      <w:proofErr w:type="spellEnd"/>
      <w:proofErr w:type="gramEnd"/>
      <w:r w:rsidRPr="00CF5D9E">
        <w:rPr>
          <w:sz w:val="24"/>
          <w:szCs w:val="24"/>
        </w:rPr>
        <w:t xml:space="preserve"> obstruktive lidelser.</w:t>
      </w:r>
    </w:p>
    <w:p w14:paraId="379CBB43" w14:textId="77777777" w:rsidR="003F530C" w:rsidRPr="00CF5D9E" w:rsidRDefault="003F530C" w:rsidP="00D37D8E">
      <w:pPr>
        <w:numPr>
          <w:ilvl w:val="0"/>
          <w:numId w:val="7"/>
        </w:numPr>
        <w:tabs>
          <w:tab w:val="clear" w:pos="360"/>
        </w:tabs>
        <w:ind w:left="1276" w:hanging="425"/>
        <w:rPr>
          <w:sz w:val="24"/>
          <w:szCs w:val="24"/>
        </w:rPr>
      </w:pPr>
      <w:proofErr w:type="gramStart"/>
      <w:r w:rsidRPr="00CF5D9E">
        <w:rPr>
          <w:sz w:val="24"/>
          <w:szCs w:val="24"/>
        </w:rPr>
        <w:t>risiko</w:t>
      </w:r>
      <w:proofErr w:type="gramEnd"/>
      <w:r w:rsidRPr="00CF5D9E">
        <w:rPr>
          <w:sz w:val="24"/>
          <w:szCs w:val="24"/>
        </w:rPr>
        <w:t xml:space="preserve"> for nedsat </w:t>
      </w:r>
      <w:proofErr w:type="spellStart"/>
      <w:r w:rsidRPr="00CF5D9E">
        <w:rPr>
          <w:sz w:val="24"/>
          <w:szCs w:val="24"/>
        </w:rPr>
        <w:t>gastrointestinal</w:t>
      </w:r>
      <w:proofErr w:type="spellEnd"/>
      <w:r w:rsidRPr="00CF5D9E">
        <w:rPr>
          <w:sz w:val="24"/>
          <w:szCs w:val="24"/>
        </w:rPr>
        <w:t xml:space="preserve"> </w:t>
      </w:r>
      <w:proofErr w:type="spellStart"/>
      <w:r w:rsidRPr="00CF5D9E">
        <w:rPr>
          <w:sz w:val="24"/>
          <w:szCs w:val="24"/>
        </w:rPr>
        <w:t>motilitet</w:t>
      </w:r>
      <w:proofErr w:type="spellEnd"/>
      <w:r w:rsidRPr="00CF5D9E">
        <w:rPr>
          <w:sz w:val="24"/>
          <w:szCs w:val="24"/>
        </w:rPr>
        <w:t>.</w:t>
      </w:r>
    </w:p>
    <w:p w14:paraId="12C8C95E" w14:textId="77777777" w:rsidR="003F530C" w:rsidRPr="00CF5D9E" w:rsidRDefault="003F530C" w:rsidP="00D37D8E">
      <w:pPr>
        <w:numPr>
          <w:ilvl w:val="0"/>
          <w:numId w:val="7"/>
        </w:numPr>
        <w:tabs>
          <w:tab w:val="clear" w:pos="360"/>
        </w:tabs>
        <w:ind w:left="1276" w:hanging="425"/>
        <w:rPr>
          <w:sz w:val="24"/>
          <w:szCs w:val="24"/>
        </w:rPr>
      </w:pPr>
      <w:proofErr w:type="gramStart"/>
      <w:r w:rsidRPr="00CF5D9E">
        <w:rPr>
          <w:sz w:val="24"/>
          <w:szCs w:val="24"/>
        </w:rPr>
        <w:t>alvorligt</w:t>
      </w:r>
      <w:proofErr w:type="gramEnd"/>
      <w:r w:rsidRPr="00CF5D9E">
        <w:rPr>
          <w:sz w:val="24"/>
          <w:szCs w:val="24"/>
        </w:rPr>
        <w:t xml:space="preserve"> nedsat nyrefunktion (</w:t>
      </w:r>
      <w:proofErr w:type="spellStart"/>
      <w:r w:rsidRPr="00CF5D9E">
        <w:rPr>
          <w:sz w:val="24"/>
          <w:szCs w:val="24"/>
        </w:rPr>
        <w:t>kreatininclearance</w:t>
      </w:r>
      <w:proofErr w:type="spellEnd"/>
      <w:r w:rsidRPr="00CF5D9E">
        <w:rPr>
          <w:sz w:val="24"/>
          <w:szCs w:val="24"/>
        </w:rPr>
        <w:t xml:space="preserve"> ≤ 30 ml/min. (se pkt. 4.2. og 5.2.). Dosis bør ikke overstige 5 mg én gang dagligt.</w:t>
      </w:r>
    </w:p>
    <w:p w14:paraId="3BE1CE53" w14:textId="77777777" w:rsidR="003F530C" w:rsidRPr="00CF5D9E" w:rsidRDefault="003F530C" w:rsidP="00D37D8E">
      <w:pPr>
        <w:numPr>
          <w:ilvl w:val="0"/>
          <w:numId w:val="7"/>
        </w:numPr>
        <w:tabs>
          <w:tab w:val="clear" w:pos="360"/>
        </w:tabs>
        <w:ind w:left="1276" w:hanging="425"/>
        <w:rPr>
          <w:sz w:val="24"/>
          <w:szCs w:val="24"/>
        </w:rPr>
      </w:pPr>
      <w:proofErr w:type="gramStart"/>
      <w:r w:rsidRPr="00CF5D9E">
        <w:rPr>
          <w:sz w:val="24"/>
          <w:szCs w:val="24"/>
        </w:rPr>
        <w:t>moderat</w:t>
      </w:r>
      <w:proofErr w:type="gramEnd"/>
      <w:r w:rsidRPr="00CF5D9E">
        <w:rPr>
          <w:sz w:val="24"/>
          <w:szCs w:val="24"/>
        </w:rPr>
        <w:t xml:space="preserve"> nedsat leverfunktion (Child-</w:t>
      </w:r>
      <w:proofErr w:type="spellStart"/>
      <w:r w:rsidRPr="00CF5D9E">
        <w:rPr>
          <w:sz w:val="24"/>
          <w:szCs w:val="24"/>
        </w:rPr>
        <w:t>Pugh</w:t>
      </w:r>
      <w:proofErr w:type="spellEnd"/>
      <w:r w:rsidRPr="00CF5D9E">
        <w:rPr>
          <w:sz w:val="24"/>
          <w:szCs w:val="24"/>
        </w:rPr>
        <w:t>-score 7 til 9) (se pkt. 4.2. og 5.2.). Dosis bør ikke overstige 5 mg én gang dagligt for disse patienter.</w:t>
      </w:r>
    </w:p>
    <w:p w14:paraId="60B52250" w14:textId="77777777" w:rsidR="003F530C" w:rsidRPr="00CF5D9E" w:rsidRDefault="003F530C" w:rsidP="00D37D8E">
      <w:pPr>
        <w:numPr>
          <w:ilvl w:val="0"/>
          <w:numId w:val="7"/>
        </w:numPr>
        <w:tabs>
          <w:tab w:val="clear" w:pos="360"/>
        </w:tabs>
        <w:ind w:left="1276" w:hanging="425"/>
        <w:rPr>
          <w:sz w:val="24"/>
          <w:szCs w:val="24"/>
        </w:rPr>
      </w:pPr>
      <w:proofErr w:type="gramStart"/>
      <w:r w:rsidRPr="00CF5D9E">
        <w:rPr>
          <w:sz w:val="24"/>
          <w:szCs w:val="24"/>
        </w:rPr>
        <w:t>samtidig</w:t>
      </w:r>
      <w:proofErr w:type="gramEnd"/>
      <w:r w:rsidRPr="00CF5D9E">
        <w:rPr>
          <w:sz w:val="24"/>
          <w:szCs w:val="24"/>
        </w:rPr>
        <w:t xml:space="preserve"> brug af en potent CYP3A4-hæmmer f.eks. </w:t>
      </w:r>
      <w:proofErr w:type="spellStart"/>
      <w:r w:rsidRPr="00CF5D9E">
        <w:rPr>
          <w:sz w:val="24"/>
          <w:szCs w:val="24"/>
        </w:rPr>
        <w:t>ketoconazol</w:t>
      </w:r>
      <w:proofErr w:type="spellEnd"/>
      <w:r w:rsidRPr="00CF5D9E">
        <w:rPr>
          <w:sz w:val="24"/>
          <w:szCs w:val="24"/>
        </w:rPr>
        <w:t xml:space="preserve"> (se pkt. 4.2 og 4.5).</w:t>
      </w:r>
    </w:p>
    <w:p w14:paraId="1FF240F0" w14:textId="77777777" w:rsidR="003F530C" w:rsidRPr="00CF5D9E" w:rsidRDefault="003F530C" w:rsidP="00D37D8E">
      <w:pPr>
        <w:numPr>
          <w:ilvl w:val="0"/>
          <w:numId w:val="7"/>
        </w:numPr>
        <w:tabs>
          <w:tab w:val="clear" w:pos="360"/>
        </w:tabs>
        <w:ind w:left="1276" w:hanging="425"/>
        <w:rPr>
          <w:sz w:val="24"/>
          <w:szCs w:val="24"/>
        </w:rPr>
      </w:pPr>
      <w:proofErr w:type="spellStart"/>
      <w:proofErr w:type="gramStart"/>
      <w:r w:rsidRPr="00CF5D9E">
        <w:rPr>
          <w:sz w:val="24"/>
          <w:szCs w:val="24"/>
        </w:rPr>
        <w:t>hiatus</w:t>
      </w:r>
      <w:proofErr w:type="spellEnd"/>
      <w:proofErr w:type="gramEnd"/>
      <w:r w:rsidRPr="00CF5D9E">
        <w:rPr>
          <w:sz w:val="24"/>
          <w:szCs w:val="24"/>
        </w:rPr>
        <w:t xml:space="preserve"> </w:t>
      </w:r>
      <w:proofErr w:type="spellStart"/>
      <w:r w:rsidRPr="00CF5D9E">
        <w:rPr>
          <w:sz w:val="24"/>
          <w:szCs w:val="24"/>
        </w:rPr>
        <w:t>hernie</w:t>
      </w:r>
      <w:proofErr w:type="spellEnd"/>
      <w:r w:rsidRPr="00CF5D9E">
        <w:rPr>
          <w:sz w:val="24"/>
          <w:szCs w:val="24"/>
        </w:rPr>
        <w:t>/</w:t>
      </w:r>
      <w:proofErr w:type="spellStart"/>
      <w:r w:rsidRPr="00CF5D9E">
        <w:rPr>
          <w:sz w:val="24"/>
          <w:szCs w:val="24"/>
        </w:rPr>
        <w:t>gastroøsofagal</w:t>
      </w:r>
      <w:proofErr w:type="spellEnd"/>
      <w:r w:rsidRPr="00CF5D9E">
        <w:rPr>
          <w:sz w:val="24"/>
          <w:szCs w:val="24"/>
        </w:rPr>
        <w:t xml:space="preserve"> </w:t>
      </w:r>
      <w:proofErr w:type="spellStart"/>
      <w:r w:rsidRPr="00CF5D9E">
        <w:rPr>
          <w:sz w:val="24"/>
          <w:szCs w:val="24"/>
        </w:rPr>
        <w:t>refluks</w:t>
      </w:r>
      <w:proofErr w:type="spellEnd"/>
      <w:r w:rsidRPr="00CF5D9E">
        <w:rPr>
          <w:sz w:val="24"/>
          <w:szCs w:val="24"/>
        </w:rPr>
        <w:t xml:space="preserve"> og/eller til patienter, der samtidig tager medicin (såsom </w:t>
      </w:r>
      <w:proofErr w:type="spellStart"/>
      <w:r w:rsidRPr="00CF5D9E">
        <w:rPr>
          <w:sz w:val="24"/>
          <w:szCs w:val="24"/>
        </w:rPr>
        <w:t>biofosfonater</w:t>
      </w:r>
      <w:proofErr w:type="spellEnd"/>
      <w:r w:rsidRPr="00CF5D9E">
        <w:rPr>
          <w:sz w:val="24"/>
          <w:szCs w:val="24"/>
        </w:rPr>
        <w:t xml:space="preserve">), som kan forårsage eller forværre </w:t>
      </w:r>
      <w:proofErr w:type="spellStart"/>
      <w:r w:rsidRPr="00CF5D9E">
        <w:rPr>
          <w:sz w:val="24"/>
          <w:szCs w:val="24"/>
        </w:rPr>
        <w:t>øsofagitis</w:t>
      </w:r>
      <w:proofErr w:type="spellEnd"/>
      <w:r w:rsidRPr="00CF5D9E">
        <w:rPr>
          <w:sz w:val="24"/>
          <w:szCs w:val="24"/>
        </w:rPr>
        <w:t>.</w:t>
      </w:r>
    </w:p>
    <w:p w14:paraId="2BB203EA" w14:textId="77777777" w:rsidR="003F530C" w:rsidRPr="00CF5D9E" w:rsidRDefault="003F530C" w:rsidP="00D37D8E">
      <w:pPr>
        <w:pStyle w:val="Brdtekst2"/>
        <w:numPr>
          <w:ilvl w:val="0"/>
          <w:numId w:val="7"/>
        </w:numPr>
        <w:tabs>
          <w:tab w:val="clear" w:pos="360"/>
        </w:tabs>
        <w:ind w:left="1276" w:hanging="425"/>
        <w:jc w:val="left"/>
        <w:rPr>
          <w:szCs w:val="24"/>
          <w:lang w:val="da-DK"/>
        </w:rPr>
      </w:pPr>
      <w:proofErr w:type="gramStart"/>
      <w:r w:rsidRPr="00CF5D9E">
        <w:rPr>
          <w:szCs w:val="24"/>
          <w:lang w:val="da-DK"/>
        </w:rPr>
        <w:t>autonom</w:t>
      </w:r>
      <w:proofErr w:type="gramEnd"/>
      <w:r w:rsidRPr="00CF5D9E">
        <w:rPr>
          <w:szCs w:val="24"/>
          <w:lang w:val="da-DK"/>
        </w:rPr>
        <w:t xml:space="preserve"> </w:t>
      </w:r>
      <w:proofErr w:type="spellStart"/>
      <w:r w:rsidRPr="00CF5D9E">
        <w:rPr>
          <w:szCs w:val="24"/>
          <w:lang w:val="da-DK"/>
        </w:rPr>
        <w:t>neuropati</w:t>
      </w:r>
      <w:proofErr w:type="spellEnd"/>
    </w:p>
    <w:p w14:paraId="674D01D8" w14:textId="77777777" w:rsidR="003F530C" w:rsidRPr="00CF5D9E" w:rsidRDefault="003F530C" w:rsidP="00CF5D9E">
      <w:pPr>
        <w:pStyle w:val="Brdtekst2"/>
        <w:ind w:left="851" w:hanging="851"/>
        <w:jc w:val="left"/>
        <w:rPr>
          <w:szCs w:val="24"/>
          <w:lang w:val="da-DK"/>
        </w:rPr>
      </w:pPr>
    </w:p>
    <w:p w14:paraId="104CB382" w14:textId="77777777" w:rsidR="003F530C" w:rsidRPr="00CF5D9E" w:rsidRDefault="003F530C" w:rsidP="00D37D8E">
      <w:pPr>
        <w:pStyle w:val="Brdtekst2"/>
        <w:ind w:left="851"/>
        <w:jc w:val="left"/>
        <w:rPr>
          <w:szCs w:val="24"/>
          <w:lang w:val="da-DK"/>
        </w:rPr>
      </w:pPr>
      <w:r w:rsidRPr="00CF5D9E">
        <w:rPr>
          <w:szCs w:val="24"/>
          <w:lang w:val="da-DK"/>
        </w:rPr>
        <w:t xml:space="preserve">QT-forlængelse og </w:t>
      </w:r>
      <w:proofErr w:type="spellStart"/>
      <w:r w:rsidRPr="00CF5D9E">
        <w:rPr>
          <w:szCs w:val="24"/>
          <w:lang w:val="da-DK"/>
        </w:rPr>
        <w:t>Torsade</w:t>
      </w:r>
      <w:proofErr w:type="spellEnd"/>
      <w:r w:rsidRPr="00CF5D9E">
        <w:rPr>
          <w:szCs w:val="24"/>
          <w:lang w:val="da-DK"/>
        </w:rPr>
        <w:t xml:space="preserve"> de Pointes er observeret hos patienter med risikofaktorer såsom allerede eksisterende langt QT-syndrom og </w:t>
      </w:r>
      <w:proofErr w:type="spellStart"/>
      <w:r w:rsidRPr="00CF5D9E">
        <w:rPr>
          <w:szCs w:val="24"/>
          <w:lang w:val="da-DK"/>
        </w:rPr>
        <w:t>hypokaliæmi</w:t>
      </w:r>
      <w:proofErr w:type="spellEnd"/>
      <w:r w:rsidRPr="00CF5D9E">
        <w:rPr>
          <w:szCs w:val="24"/>
          <w:lang w:val="da-DK"/>
        </w:rPr>
        <w:t>.</w:t>
      </w:r>
    </w:p>
    <w:p w14:paraId="698F3540" w14:textId="77777777" w:rsidR="003F530C" w:rsidRPr="00CF5D9E" w:rsidRDefault="003F530C" w:rsidP="00CF5D9E">
      <w:pPr>
        <w:pStyle w:val="Brdtekst2"/>
        <w:ind w:left="851" w:hanging="851"/>
        <w:jc w:val="left"/>
        <w:rPr>
          <w:szCs w:val="24"/>
          <w:lang w:val="da-DK"/>
        </w:rPr>
      </w:pPr>
    </w:p>
    <w:p w14:paraId="35FACCD7" w14:textId="77777777" w:rsidR="003F530C" w:rsidRPr="00CF5D9E" w:rsidRDefault="003F530C" w:rsidP="00D37D8E">
      <w:pPr>
        <w:pStyle w:val="Brdtekst2"/>
        <w:ind w:left="851"/>
        <w:jc w:val="left"/>
        <w:rPr>
          <w:szCs w:val="24"/>
          <w:lang w:val="da-DK"/>
        </w:rPr>
      </w:pPr>
      <w:r w:rsidRPr="00CF5D9E">
        <w:rPr>
          <w:szCs w:val="24"/>
          <w:lang w:val="da-DK"/>
        </w:rPr>
        <w:t xml:space="preserve">Sikkerhed og effekt er endnu ikke fastslået hos patienter med en </w:t>
      </w:r>
      <w:proofErr w:type="spellStart"/>
      <w:r w:rsidRPr="00CF5D9E">
        <w:rPr>
          <w:szCs w:val="24"/>
          <w:lang w:val="da-DK"/>
        </w:rPr>
        <w:t>neurogenisk</w:t>
      </w:r>
      <w:proofErr w:type="spellEnd"/>
      <w:r w:rsidRPr="00CF5D9E">
        <w:rPr>
          <w:szCs w:val="24"/>
          <w:lang w:val="da-DK"/>
        </w:rPr>
        <w:t xml:space="preserve"> årsag til </w:t>
      </w:r>
      <w:proofErr w:type="spellStart"/>
      <w:r w:rsidRPr="00CF5D9E">
        <w:rPr>
          <w:szCs w:val="24"/>
          <w:lang w:val="da-DK"/>
        </w:rPr>
        <w:t>detrusoroveraktivitet</w:t>
      </w:r>
      <w:proofErr w:type="spellEnd"/>
      <w:r w:rsidRPr="00CF5D9E">
        <w:rPr>
          <w:szCs w:val="24"/>
          <w:lang w:val="da-DK"/>
        </w:rPr>
        <w:t>.</w:t>
      </w:r>
    </w:p>
    <w:p w14:paraId="71911FDB" w14:textId="77777777" w:rsidR="003F530C" w:rsidRPr="00CF5D9E" w:rsidRDefault="003F530C" w:rsidP="00CF5D9E">
      <w:pPr>
        <w:pStyle w:val="Brdtekst2"/>
        <w:ind w:left="851" w:hanging="851"/>
        <w:jc w:val="left"/>
        <w:rPr>
          <w:szCs w:val="24"/>
          <w:lang w:val="da-DK"/>
        </w:rPr>
      </w:pPr>
    </w:p>
    <w:p w14:paraId="678006E6" w14:textId="7269701F" w:rsidR="003F530C" w:rsidRPr="00CF5D9E" w:rsidRDefault="003F530C" w:rsidP="00D37D8E">
      <w:pPr>
        <w:pStyle w:val="Brdtekst2"/>
        <w:ind w:left="851"/>
        <w:jc w:val="left"/>
        <w:rPr>
          <w:szCs w:val="24"/>
          <w:lang w:val="da-DK"/>
        </w:rPr>
      </w:pPr>
      <w:r w:rsidRPr="00CF5D9E">
        <w:rPr>
          <w:szCs w:val="24"/>
          <w:lang w:val="da-DK"/>
        </w:rPr>
        <w:t xml:space="preserve">Patienter med sjældne arvelige problemer med </w:t>
      </w:r>
      <w:proofErr w:type="spellStart"/>
      <w:r w:rsidRPr="00CF5D9E">
        <w:rPr>
          <w:szCs w:val="24"/>
          <w:lang w:val="da-DK"/>
        </w:rPr>
        <w:t>gala</w:t>
      </w:r>
      <w:r w:rsidR="00082DA9">
        <w:rPr>
          <w:szCs w:val="24"/>
          <w:lang w:val="da-DK"/>
        </w:rPr>
        <w:t>c</w:t>
      </w:r>
      <w:r w:rsidRPr="00CF5D9E">
        <w:rPr>
          <w:szCs w:val="24"/>
          <w:lang w:val="da-DK"/>
        </w:rPr>
        <w:t>toseintolerans</w:t>
      </w:r>
      <w:proofErr w:type="spellEnd"/>
      <w:r w:rsidRPr="00CF5D9E">
        <w:rPr>
          <w:szCs w:val="24"/>
          <w:lang w:val="da-DK"/>
        </w:rPr>
        <w:t>, Lapp-</w:t>
      </w:r>
      <w:proofErr w:type="spellStart"/>
      <w:r w:rsidRPr="00CF5D9E">
        <w:rPr>
          <w:szCs w:val="24"/>
          <w:lang w:val="da-DK"/>
        </w:rPr>
        <w:t>la</w:t>
      </w:r>
      <w:r w:rsidR="00082DA9">
        <w:rPr>
          <w:szCs w:val="24"/>
          <w:lang w:val="da-DK"/>
        </w:rPr>
        <w:t>c</w:t>
      </w:r>
      <w:r w:rsidRPr="00CF5D9E">
        <w:rPr>
          <w:szCs w:val="24"/>
          <w:lang w:val="da-DK"/>
        </w:rPr>
        <w:t>tasemangel</w:t>
      </w:r>
      <w:proofErr w:type="spellEnd"/>
      <w:r w:rsidRPr="00CF5D9E">
        <w:rPr>
          <w:szCs w:val="24"/>
          <w:lang w:val="da-DK"/>
        </w:rPr>
        <w:t xml:space="preserve"> eller </w:t>
      </w:r>
      <w:proofErr w:type="spellStart"/>
      <w:r w:rsidRPr="00CF5D9E">
        <w:rPr>
          <w:szCs w:val="24"/>
          <w:lang w:val="da-DK"/>
        </w:rPr>
        <w:t>glu</w:t>
      </w:r>
      <w:r w:rsidR="00082DA9">
        <w:rPr>
          <w:szCs w:val="24"/>
          <w:lang w:val="da-DK"/>
        </w:rPr>
        <w:t>c</w:t>
      </w:r>
      <w:r w:rsidRPr="00CF5D9E">
        <w:rPr>
          <w:szCs w:val="24"/>
          <w:lang w:val="da-DK"/>
        </w:rPr>
        <w:t>ose-gala</w:t>
      </w:r>
      <w:r w:rsidR="00082DA9">
        <w:rPr>
          <w:szCs w:val="24"/>
          <w:lang w:val="da-DK"/>
        </w:rPr>
        <w:t>c</w:t>
      </w:r>
      <w:r w:rsidRPr="00CF5D9E">
        <w:rPr>
          <w:szCs w:val="24"/>
          <w:lang w:val="da-DK"/>
        </w:rPr>
        <w:t>tose-malabsorption</w:t>
      </w:r>
      <w:proofErr w:type="spellEnd"/>
      <w:r w:rsidRPr="00CF5D9E">
        <w:rPr>
          <w:szCs w:val="24"/>
          <w:lang w:val="da-DK"/>
        </w:rPr>
        <w:t xml:space="preserve"> bør ikke tage dette lægemiddel.</w:t>
      </w:r>
    </w:p>
    <w:p w14:paraId="35958696" w14:textId="77777777" w:rsidR="003F530C" w:rsidRPr="00CF5D9E" w:rsidRDefault="003F530C" w:rsidP="00CF5D9E">
      <w:pPr>
        <w:pStyle w:val="Brdtekst2"/>
        <w:ind w:left="851" w:hanging="851"/>
        <w:jc w:val="left"/>
        <w:rPr>
          <w:szCs w:val="24"/>
          <w:lang w:val="da-DK"/>
        </w:rPr>
      </w:pPr>
    </w:p>
    <w:p w14:paraId="44590AF3" w14:textId="77777777" w:rsidR="003F530C" w:rsidRPr="00CF5D9E" w:rsidRDefault="003F530C" w:rsidP="00D37D8E">
      <w:pPr>
        <w:pStyle w:val="Brdtekst2"/>
        <w:ind w:left="851"/>
        <w:jc w:val="left"/>
        <w:rPr>
          <w:szCs w:val="24"/>
          <w:lang w:val="da-DK"/>
        </w:rPr>
      </w:pPr>
      <w:proofErr w:type="spellStart"/>
      <w:r w:rsidRPr="00CF5D9E">
        <w:rPr>
          <w:szCs w:val="24"/>
          <w:lang w:val="da-DK"/>
        </w:rPr>
        <w:t>Angioødem</w:t>
      </w:r>
      <w:proofErr w:type="spellEnd"/>
      <w:r w:rsidRPr="00CF5D9E">
        <w:rPr>
          <w:szCs w:val="24"/>
          <w:lang w:val="da-DK"/>
        </w:rPr>
        <w:t xml:space="preserve"> med luftvejsobstruktion er rapporteret hos nogle patienter, der har fået </w:t>
      </w:r>
      <w:proofErr w:type="spellStart"/>
      <w:r w:rsidRPr="00CF5D9E">
        <w:rPr>
          <w:szCs w:val="24"/>
          <w:lang w:val="da-DK"/>
        </w:rPr>
        <w:t>solifenacinsuccinat</w:t>
      </w:r>
      <w:proofErr w:type="spellEnd"/>
      <w:r w:rsidRPr="00CF5D9E">
        <w:rPr>
          <w:szCs w:val="24"/>
          <w:lang w:val="da-DK"/>
        </w:rPr>
        <w:t xml:space="preserve">. Hvis der forekommer </w:t>
      </w:r>
      <w:proofErr w:type="spellStart"/>
      <w:r w:rsidRPr="00CF5D9E">
        <w:rPr>
          <w:szCs w:val="24"/>
          <w:lang w:val="da-DK"/>
        </w:rPr>
        <w:t>angioødem</w:t>
      </w:r>
      <w:proofErr w:type="spellEnd"/>
      <w:r w:rsidRPr="00CF5D9E">
        <w:rPr>
          <w:szCs w:val="24"/>
          <w:lang w:val="da-DK"/>
        </w:rPr>
        <w:t xml:space="preserve">, bør behandling med </w:t>
      </w:r>
      <w:proofErr w:type="spellStart"/>
      <w:r w:rsidRPr="00CF5D9E">
        <w:rPr>
          <w:szCs w:val="24"/>
          <w:lang w:val="da-DK"/>
        </w:rPr>
        <w:t>solifenacinsuccinat</w:t>
      </w:r>
      <w:proofErr w:type="spellEnd"/>
      <w:r w:rsidRPr="00CF5D9E">
        <w:rPr>
          <w:szCs w:val="24"/>
          <w:lang w:val="da-DK"/>
        </w:rPr>
        <w:t xml:space="preserve"> seponeres, og passende relevant behandling og/eller foranstaltninger bør iværksættes.</w:t>
      </w:r>
    </w:p>
    <w:p w14:paraId="2705D9AE" w14:textId="77777777" w:rsidR="003F530C" w:rsidRPr="00CF5D9E" w:rsidRDefault="003F530C" w:rsidP="00CF5D9E">
      <w:pPr>
        <w:pStyle w:val="Brdtekst2"/>
        <w:ind w:left="851" w:hanging="851"/>
        <w:jc w:val="left"/>
        <w:rPr>
          <w:szCs w:val="24"/>
          <w:lang w:val="da-DK"/>
        </w:rPr>
      </w:pPr>
    </w:p>
    <w:p w14:paraId="267CB40A" w14:textId="77777777" w:rsidR="003F530C" w:rsidRPr="00CF5D9E" w:rsidRDefault="003F530C" w:rsidP="00D37D8E">
      <w:pPr>
        <w:ind w:left="851"/>
        <w:rPr>
          <w:sz w:val="24"/>
          <w:szCs w:val="24"/>
        </w:rPr>
      </w:pPr>
      <w:proofErr w:type="spellStart"/>
      <w:r w:rsidRPr="00CF5D9E">
        <w:rPr>
          <w:sz w:val="24"/>
          <w:szCs w:val="24"/>
        </w:rPr>
        <w:t>Anafylaktisk</w:t>
      </w:r>
      <w:proofErr w:type="spellEnd"/>
      <w:r w:rsidRPr="00CF5D9E">
        <w:rPr>
          <w:sz w:val="24"/>
          <w:szCs w:val="24"/>
        </w:rPr>
        <w:t xml:space="preserve"> reaktion er rapporteret hos nogle patienter behandlet med </w:t>
      </w:r>
      <w:proofErr w:type="spellStart"/>
      <w:r w:rsidRPr="00CF5D9E">
        <w:rPr>
          <w:sz w:val="24"/>
          <w:szCs w:val="24"/>
        </w:rPr>
        <w:t>solifenacinsuccinat</w:t>
      </w:r>
      <w:proofErr w:type="spellEnd"/>
      <w:r w:rsidRPr="00CF5D9E">
        <w:rPr>
          <w:sz w:val="24"/>
          <w:szCs w:val="24"/>
        </w:rPr>
        <w:t xml:space="preserve">. Hos patienter, som udvikler </w:t>
      </w:r>
      <w:proofErr w:type="spellStart"/>
      <w:r w:rsidRPr="00CF5D9E">
        <w:rPr>
          <w:sz w:val="24"/>
          <w:szCs w:val="24"/>
        </w:rPr>
        <w:t>anafylaktiske</w:t>
      </w:r>
      <w:proofErr w:type="spellEnd"/>
      <w:r w:rsidRPr="00CF5D9E">
        <w:rPr>
          <w:sz w:val="24"/>
          <w:szCs w:val="24"/>
        </w:rPr>
        <w:t xml:space="preserve"> reaktioner, bør behandling med </w:t>
      </w:r>
      <w:proofErr w:type="spellStart"/>
      <w:r w:rsidRPr="00CF5D9E">
        <w:rPr>
          <w:sz w:val="24"/>
          <w:szCs w:val="24"/>
        </w:rPr>
        <w:t>solifenacinsuccinat</w:t>
      </w:r>
      <w:proofErr w:type="spellEnd"/>
      <w:r w:rsidRPr="00CF5D9E">
        <w:rPr>
          <w:sz w:val="24"/>
          <w:szCs w:val="24"/>
        </w:rPr>
        <w:t xml:space="preserve"> seponeres, og anden passende behandling og/eller foranstaltninger bør igangsættes.</w:t>
      </w:r>
    </w:p>
    <w:p w14:paraId="1913B695" w14:textId="77777777" w:rsidR="003F530C" w:rsidRPr="00CF5D9E" w:rsidRDefault="003F530C" w:rsidP="00CF5D9E">
      <w:pPr>
        <w:pStyle w:val="Brdtekst2"/>
        <w:ind w:left="851" w:hanging="851"/>
        <w:jc w:val="left"/>
        <w:rPr>
          <w:szCs w:val="24"/>
          <w:lang w:val="da-DK"/>
        </w:rPr>
      </w:pPr>
    </w:p>
    <w:p w14:paraId="24502887" w14:textId="5B90036B" w:rsidR="003F530C" w:rsidRPr="00CF5D9E" w:rsidRDefault="003F530C" w:rsidP="00D37D8E">
      <w:pPr>
        <w:pStyle w:val="Brdtekst2"/>
        <w:ind w:left="851"/>
        <w:jc w:val="left"/>
        <w:rPr>
          <w:szCs w:val="24"/>
          <w:lang w:val="da-DK"/>
        </w:rPr>
      </w:pPr>
      <w:r w:rsidRPr="00CF5D9E">
        <w:rPr>
          <w:szCs w:val="24"/>
          <w:lang w:val="da-DK"/>
        </w:rPr>
        <w:t xml:space="preserve">Den maksimale virkning af </w:t>
      </w:r>
      <w:proofErr w:type="spellStart"/>
      <w:r w:rsidRPr="00CF5D9E">
        <w:rPr>
          <w:szCs w:val="24"/>
          <w:lang w:val="da-DK"/>
        </w:rPr>
        <w:t>Solifenacinsuccinat</w:t>
      </w:r>
      <w:proofErr w:type="spellEnd"/>
      <w:r w:rsidRPr="00CF5D9E">
        <w:rPr>
          <w:szCs w:val="24"/>
          <w:lang w:val="da-DK"/>
        </w:rPr>
        <w:t xml:space="preserve"> </w:t>
      </w:r>
      <w:r w:rsidR="00A27D7D">
        <w:rPr>
          <w:szCs w:val="24"/>
          <w:lang w:val="da-DK"/>
        </w:rPr>
        <w:t>”</w:t>
      </w:r>
      <w:proofErr w:type="spellStart"/>
      <w:r w:rsidR="00A27D7D">
        <w:rPr>
          <w:szCs w:val="24"/>
          <w:lang w:val="da-DK"/>
        </w:rPr>
        <w:t>Accord</w:t>
      </w:r>
      <w:proofErr w:type="spellEnd"/>
      <w:r w:rsidR="00A27D7D">
        <w:rPr>
          <w:szCs w:val="24"/>
          <w:lang w:val="da-DK"/>
        </w:rPr>
        <w:t>”</w:t>
      </w:r>
      <w:r w:rsidRPr="00CF5D9E">
        <w:rPr>
          <w:szCs w:val="24"/>
          <w:lang w:val="da-DK"/>
        </w:rPr>
        <w:t xml:space="preserve"> kan tidligst fastslås efter 4 ugers behandling.</w:t>
      </w:r>
    </w:p>
    <w:p w14:paraId="6B514956" w14:textId="77777777" w:rsidR="00B003BF" w:rsidRPr="00CF5D9E" w:rsidRDefault="00B003BF" w:rsidP="00CF5D9E">
      <w:pPr>
        <w:ind w:left="851" w:hanging="851"/>
        <w:rPr>
          <w:sz w:val="24"/>
          <w:szCs w:val="24"/>
        </w:rPr>
      </w:pPr>
    </w:p>
    <w:p w14:paraId="2877587D" w14:textId="77777777" w:rsidR="00B003BF" w:rsidRPr="00CF5D9E" w:rsidRDefault="00B003BF" w:rsidP="00CF5D9E">
      <w:pPr>
        <w:ind w:left="851" w:hanging="851"/>
        <w:rPr>
          <w:b/>
          <w:sz w:val="24"/>
          <w:szCs w:val="24"/>
        </w:rPr>
      </w:pPr>
      <w:r w:rsidRPr="00CF5D9E">
        <w:rPr>
          <w:b/>
          <w:sz w:val="24"/>
          <w:szCs w:val="24"/>
        </w:rPr>
        <w:t>4.5</w:t>
      </w:r>
      <w:r w:rsidRPr="00CF5D9E">
        <w:rPr>
          <w:b/>
          <w:sz w:val="24"/>
          <w:szCs w:val="24"/>
        </w:rPr>
        <w:tab/>
        <w:t>Interaktion med andre lægemidler og andre former for interaktion</w:t>
      </w:r>
    </w:p>
    <w:p w14:paraId="0712C1C8" w14:textId="77777777" w:rsidR="00D37D8E" w:rsidRDefault="00D37D8E" w:rsidP="00CF5D9E">
      <w:pPr>
        <w:pStyle w:val="Brdtekst2"/>
        <w:ind w:left="851" w:hanging="851"/>
        <w:jc w:val="left"/>
        <w:rPr>
          <w:szCs w:val="24"/>
          <w:lang w:val="da-DK"/>
        </w:rPr>
      </w:pPr>
    </w:p>
    <w:p w14:paraId="07E2D609" w14:textId="77777777" w:rsidR="003F530C" w:rsidRPr="00CF5D9E" w:rsidRDefault="00B003BF" w:rsidP="00CF5D9E">
      <w:pPr>
        <w:pStyle w:val="Brdtekst2"/>
        <w:ind w:left="851" w:hanging="851"/>
        <w:jc w:val="left"/>
        <w:rPr>
          <w:szCs w:val="24"/>
          <w:u w:val="single"/>
          <w:lang w:val="da-DK"/>
        </w:rPr>
      </w:pPr>
      <w:r w:rsidRPr="00D37D8E">
        <w:rPr>
          <w:szCs w:val="24"/>
          <w:lang w:val="da-DK"/>
        </w:rPr>
        <w:tab/>
      </w:r>
      <w:r w:rsidR="003F530C" w:rsidRPr="00CF5D9E">
        <w:rPr>
          <w:szCs w:val="24"/>
          <w:u w:val="single"/>
          <w:lang w:val="da-DK"/>
        </w:rPr>
        <w:t>Farmakologiske interaktioner</w:t>
      </w:r>
    </w:p>
    <w:p w14:paraId="2439D816" w14:textId="77777777" w:rsidR="003F530C" w:rsidRPr="00CF5D9E" w:rsidRDefault="003F530C" w:rsidP="00CF5D9E">
      <w:pPr>
        <w:pStyle w:val="Brdtekst2"/>
        <w:ind w:left="851" w:hanging="851"/>
        <w:jc w:val="left"/>
        <w:rPr>
          <w:szCs w:val="24"/>
          <w:lang w:val="da-DK"/>
        </w:rPr>
      </w:pPr>
    </w:p>
    <w:p w14:paraId="5A237C0A" w14:textId="32E00838" w:rsidR="003F530C" w:rsidRPr="00CF5D9E" w:rsidRDefault="003F530C" w:rsidP="00D37D8E">
      <w:pPr>
        <w:pStyle w:val="Brdtekst2"/>
        <w:ind w:left="851"/>
        <w:jc w:val="left"/>
        <w:rPr>
          <w:szCs w:val="24"/>
          <w:lang w:val="da-DK"/>
        </w:rPr>
      </w:pPr>
      <w:r w:rsidRPr="00CF5D9E">
        <w:rPr>
          <w:szCs w:val="24"/>
          <w:lang w:val="da-DK"/>
        </w:rPr>
        <w:t xml:space="preserve">Samtidig behandling med andre lægemidler med </w:t>
      </w:r>
      <w:proofErr w:type="spellStart"/>
      <w:r w:rsidRPr="00CF5D9E">
        <w:rPr>
          <w:szCs w:val="24"/>
          <w:lang w:val="da-DK"/>
        </w:rPr>
        <w:t>anticholinerge</w:t>
      </w:r>
      <w:proofErr w:type="spellEnd"/>
      <w:r w:rsidRPr="00CF5D9E">
        <w:rPr>
          <w:szCs w:val="24"/>
          <w:lang w:val="da-DK"/>
        </w:rPr>
        <w:t xml:space="preserve"> egenskaber kan resultere i mere udtalte terapeutiske virkninger og bivirkninger. Der skal gå ca. en uge efter ophør af behandling med </w:t>
      </w:r>
      <w:proofErr w:type="spellStart"/>
      <w:r w:rsidRPr="00CF5D9E">
        <w:rPr>
          <w:szCs w:val="24"/>
          <w:lang w:val="da-DK"/>
        </w:rPr>
        <w:t>Solifenacinsuccinat</w:t>
      </w:r>
      <w:proofErr w:type="spellEnd"/>
      <w:r w:rsidRPr="00CF5D9E">
        <w:rPr>
          <w:szCs w:val="24"/>
          <w:lang w:val="da-DK"/>
        </w:rPr>
        <w:t xml:space="preserve"> </w:t>
      </w:r>
      <w:r w:rsidR="00A27D7D">
        <w:rPr>
          <w:szCs w:val="24"/>
          <w:lang w:val="da-DK"/>
        </w:rPr>
        <w:t>”</w:t>
      </w:r>
      <w:proofErr w:type="spellStart"/>
      <w:r w:rsidR="00A27D7D">
        <w:rPr>
          <w:szCs w:val="24"/>
          <w:lang w:val="da-DK"/>
        </w:rPr>
        <w:t>Accord</w:t>
      </w:r>
      <w:proofErr w:type="spellEnd"/>
      <w:r w:rsidR="00A27D7D">
        <w:rPr>
          <w:szCs w:val="24"/>
          <w:lang w:val="da-DK"/>
        </w:rPr>
        <w:t>”</w:t>
      </w:r>
      <w:r w:rsidRPr="00CF5D9E">
        <w:rPr>
          <w:szCs w:val="24"/>
          <w:lang w:val="da-DK"/>
        </w:rPr>
        <w:t xml:space="preserve">, før anden </w:t>
      </w:r>
      <w:proofErr w:type="spellStart"/>
      <w:r w:rsidRPr="00CF5D9E">
        <w:rPr>
          <w:szCs w:val="24"/>
          <w:lang w:val="da-DK"/>
        </w:rPr>
        <w:t>anticholinerg</w:t>
      </w:r>
      <w:proofErr w:type="spellEnd"/>
      <w:r w:rsidRPr="00CF5D9E">
        <w:rPr>
          <w:szCs w:val="24"/>
          <w:lang w:val="da-DK"/>
        </w:rPr>
        <w:t xml:space="preserve"> behandling påbegyndes. Den terapeutiske effekt af </w:t>
      </w:r>
      <w:proofErr w:type="spellStart"/>
      <w:r w:rsidRPr="00CF5D9E">
        <w:rPr>
          <w:szCs w:val="24"/>
          <w:lang w:val="da-DK"/>
        </w:rPr>
        <w:t>solifenacin</w:t>
      </w:r>
      <w:proofErr w:type="spellEnd"/>
      <w:r w:rsidRPr="00CF5D9E">
        <w:rPr>
          <w:szCs w:val="24"/>
          <w:lang w:val="da-DK"/>
        </w:rPr>
        <w:t xml:space="preserve"> kan være nedsat ved samtidig administration af </w:t>
      </w:r>
      <w:proofErr w:type="spellStart"/>
      <w:r w:rsidRPr="00CF5D9E">
        <w:rPr>
          <w:szCs w:val="24"/>
          <w:lang w:val="da-DK"/>
        </w:rPr>
        <w:t>cholinerge</w:t>
      </w:r>
      <w:proofErr w:type="spellEnd"/>
      <w:r w:rsidRPr="00CF5D9E">
        <w:rPr>
          <w:szCs w:val="24"/>
          <w:lang w:val="da-DK"/>
        </w:rPr>
        <w:t xml:space="preserve"> </w:t>
      </w:r>
      <w:proofErr w:type="spellStart"/>
      <w:r w:rsidRPr="00CF5D9E">
        <w:rPr>
          <w:szCs w:val="24"/>
          <w:lang w:val="da-DK"/>
        </w:rPr>
        <w:t>receptoragonister</w:t>
      </w:r>
      <w:proofErr w:type="spellEnd"/>
      <w:r w:rsidRPr="00CF5D9E">
        <w:rPr>
          <w:szCs w:val="24"/>
          <w:lang w:val="da-DK"/>
        </w:rPr>
        <w:t>.</w:t>
      </w:r>
    </w:p>
    <w:p w14:paraId="1E5A6061" w14:textId="77777777" w:rsidR="003F530C" w:rsidRPr="00CF5D9E" w:rsidRDefault="003F530C" w:rsidP="00CF5D9E">
      <w:pPr>
        <w:pStyle w:val="Brdtekst2"/>
        <w:ind w:left="851" w:hanging="851"/>
        <w:jc w:val="left"/>
        <w:rPr>
          <w:szCs w:val="24"/>
          <w:lang w:val="da-DK"/>
        </w:rPr>
      </w:pPr>
    </w:p>
    <w:p w14:paraId="0C302D6D" w14:textId="77777777" w:rsidR="003F530C" w:rsidRPr="00CF5D9E" w:rsidRDefault="003F530C" w:rsidP="00D37D8E">
      <w:pPr>
        <w:pStyle w:val="Brdtekst2"/>
        <w:ind w:left="851"/>
        <w:jc w:val="left"/>
        <w:rPr>
          <w:szCs w:val="24"/>
          <w:lang w:val="da-DK"/>
        </w:rPr>
      </w:pPr>
      <w:proofErr w:type="spellStart"/>
      <w:r w:rsidRPr="00CF5D9E">
        <w:rPr>
          <w:szCs w:val="24"/>
          <w:lang w:val="da-DK"/>
        </w:rPr>
        <w:t>Solifenacin</w:t>
      </w:r>
      <w:proofErr w:type="spellEnd"/>
      <w:r w:rsidRPr="00CF5D9E">
        <w:rPr>
          <w:szCs w:val="24"/>
          <w:lang w:val="da-DK"/>
        </w:rPr>
        <w:t xml:space="preserve"> kan reducere virkningen af lægemidler, som stimulerer den </w:t>
      </w:r>
      <w:proofErr w:type="spellStart"/>
      <w:r w:rsidRPr="00CF5D9E">
        <w:rPr>
          <w:szCs w:val="24"/>
          <w:lang w:val="da-DK"/>
        </w:rPr>
        <w:t>gastrointestinale</w:t>
      </w:r>
      <w:proofErr w:type="spellEnd"/>
      <w:r w:rsidRPr="00CF5D9E">
        <w:rPr>
          <w:szCs w:val="24"/>
          <w:lang w:val="da-DK"/>
        </w:rPr>
        <w:t xml:space="preserve"> </w:t>
      </w:r>
      <w:proofErr w:type="spellStart"/>
      <w:r w:rsidRPr="00CF5D9E">
        <w:rPr>
          <w:szCs w:val="24"/>
          <w:lang w:val="da-DK"/>
        </w:rPr>
        <w:t>motilitet</w:t>
      </w:r>
      <w:proofErr w:type="spellEnd"/>
      <w:r w:rsidRPr="00CF5D9E">
        <w:rPr>
          <w:szCs w:val="24"/>
          <w:lang w:val="da-DK"/>
        </w:rPr>
        <w:t xml:space="preserve">, såsom </w:t>
      </w:r>
      <w:proofErr w:type="spellStart"/>
      <w:r w:rsidRPr="00CF5D9E">
        <w:rPr>
          <w:szCs w:val="24"/>
          <w:lang w:val="da-DK"/>
        </w:rPr>
        <w:t>metoclopramid</w:t>
      </w:r>
      <w:proofErr w:type="spellEnd"/>
      <w:r w:rsidRPr="00CF5D9E">
        <w:rPr>
          <w:szCs w:val="24"/>
          <w:lang w:val="da-DK"/>
        </w:rPr>
        <w:t xml:space="preserve"> og </w:t>
      </w:r>
      <w:proofErr w:type="spellStart"/>
      <w:r w:rsidRPr="00CF5D9E">
        <w:rPr>
          <w:szCs w:val="24"/>
          <w:lang w:val="da-DK"/>
        </w:rPr>
        <w:t>cisaprid</w:t>
      </w:r>
      <w:proofErr w:type="spellEnd"/>
      <w:r w:rsidRPr="00CF5D9E">
        <w:rPr>
          <w:szCs w:val="24"/>
          <w:lang w:val="da-DK"/>
        </w:rPr>
        <w:t>.</w:t>
      </w:r>
    </w:p>
    <w:p w14:paraId="2F4B6D50" w14:textId="77777777" w:rsidR="003F530C" w:rsidRPr="00CF5D9E" w:rsidRDefault="003F530C" w:rsidP="00CF5D9E">
      <w:pPr>
        <w:pStyle w:val="Brdtekst2"/>
        <w:ind w:left="851" w:hanging="851"/>
        <w:jc w:val="left"/>
        <w:rPr>
          <w:szCs w:val="24"/>
          <w:lang w:val="da-DK"/>
        </w:rPr>
      </w:pPr>
    </w:p>
    <w:p w14:paraId="7BAD712C" w14:textId="77777777" w:rsidR="003F530C" w:rsidRPr="00CF5D9E" w:rsidRDefault="003F530C" w:rsidP="008115DB">
      <w:pPr>
        <w:pStyle w:val="Brdtekst2"/>
        <w:ind w:left="851"/>
        <w:jc w:val="left"/>
        <w:rPr>
          <w:szCs w:val="24"/>
          <w:u w:val="single"/>
          <w:lang w:val="da-DK"/>
        </w:rPr>
      </w:pPr>
      <w:proofErr w:type="spellStart"/>
      <w:r w:rsidRPr="00CF5D9E">
        <w:rPr>
          <w:szCs w:val="24"/>
          <w:u w:val="single"/>
          <w:lang w:val="da-DK"/>
        </w:rPr>
        <w:t>Farmakokinetiske</w:t>
      </w:r>
      <w:proofErr w:type="spellEnd"/>
      <w:r w:rsidRPr="00CF5D9E">
        <w:rPr>
          <w:szCs w:val="24"/>
          <w:u w:val="single"/>
          <w:lang w:val="da-DK"/>
        </w:rPr>
        <w:t xml:space="preserve"> interaktioner</w:t>
      </w:r>
    </w:p>
    <w:p w14:paraId="47DBA064" w14:textId="77777777" w:rsidR="003F530C" w:rsidRPr="00CF5D9E" w:rsidRDefault="003F530C" w:rsidP="00CF5D9E">
      <w:pPr>
        <w:pStyle w:val="Brdtekst2"/>
        <w:ind w:left="851" w:hanging="851"/>
        <w:jc w:val="left"/>
        <w:rPr>
          <w:szCs w:val="24"/>
          <w:lang w:val="da-DK"/>
        </w:rPr>
      </w:pPr>
    </w:p>
    <w:p w14:paraId="4FA4FC76" w14:textId="77777777" w:rsidR="003F530C" w:rsidRPr="00CF5D9E" w:rsidRDefault="003F530C" w:rsidP="008115DB">
      <w:pPr>
        <w:pStyle w:val="Brdtekst2"/>
        <w:ind w:left="851"/>
        <w:jc w:val="left"/>
        <w:rPr>
          <w:szCs w:val="24"/>
          <w:lang w:val="da-DK"/>
        </w:rPr>
      </w:pPr>
      <w:r w:rsidRPr="00CF5D9E">
        <w:rPr>
          <w:i/>
          <w:szCs w:val="24"/>
          <w:lang w:val="da-DK"/>
        </w:rPr>
        <w:t xml:space="preserve">In </w:t>
      </w:r>
      <w:proofErr w:type="spellStart"/>
      <w:r w:rsidRPr="00CF5D9E">
        <w:rPr>
          <w:i/>
          <w:szCs w:val="24"/>
          <w:lang w:val="da-DK"/>
        </w:rPr>
        <w:t>vitro</w:t>
      </w:r>
      <w:proofErr w:type="spellEnd"/>
      <w:r w:rsidRPr="00CF5D9E">
        <w:rPr>
          <w:szCs w:val="24"/>
          <w:lang w:val="da-DK"/>
        </w:rPr>
        <w:t xml:space="preserve">-studier har demonstreret, at </w:t>
      </w:r>
      <w:proofErr w:type="spellStart"/>
      <w:r w:rsidRPr="00CF5D9E">
        <w:rPr>
          <w:szCs w:val="24"/>
          <w:lang w:val="da-DK"/>
        </w:rPr>
        <w:t>solifenacin</w:t>
      </w:r>
      <w:proofErr w:type="spellEnd"/>
      <w:r w:rsidRPr="00CF5D9E">
        <w:rPr>
          <w:szCs w:val="24"/>
          <w:lang w:val="da-DK"/>
        </w:rPr>
        <w:t xml:space="preserve"> i terapeutiske koncentrationer ikke hæmmer CYP1A1/2, 2C9, 2C19, 2D6 eller 3A4. Det er derfor usandsynligt, at </w:t>
      </w:r>
      <w:proofErr w:type="spellStart"/>
      <w:r w:rsidRPr="00CF5D9E">
        <w:rPr>
          <w:szCs w:val="24"/>
          <w:lang w:val="da-DK"/>
        </w:rPr>
        <w:t>solifenacin</w:t>
      </w:r>
      <w:proofErr w:type="spellEnd"/>
      <w:r w:rsidRPr="00CF5D9E">
        <w:rPr>
          <w:szCs w:val="24"/>
          <w:lang w:val="da-DK"/>
        </w:rPr>
        <w:t xml:space="preserve"> ændrer </w:t>
      </w:r>
      <w:proofErr w:type="spellStart"/>
      <w:r w:rsidRPr="00CF5D9E">
        <w:rPr>
          <w:szCs w:val="24"/>
          <w:lang w:val="da-DK"/>
        </w:rPr>
        <w:t>clearance</w:t>
      </w:r>
      <w:proofErr w:type="spellEnd"/>
      <w:r w:rsidRPr="00CF5D9E">
        <w:rPr>
          <w:szCs w:val="24"/>
          <w:lang w:val="da-DK"/>
        </w:rPr>
        <w:t xml:space="preserve"> af lægemidler, som </w:t>
      </w:r>
      <w:proofErr w:type="spellStart"/>
      <w:r w:rsidRPr="00CF5D9E">
        <w:rPr>
          <w:szCs w:val="24"/>
          <w:lang w:val="da-DK"/>
        </w:rPr>
        <w:t>metaboliseres</w:t>
      </w:r>
      <w:proofErr w:type="spellEnd"/>
      <w:r w:rsidRPr="00CF5D9E">
        <w:rPr>
          <w:szCs w:val="24"/>
          <w:lang w:val="da-DK"/>
        </w:rPr>
        <w:t xml:space="preserve"> af disse CYP-enzymer.</w:t>
      </w:r>
    </w:p>
    <w:p w14:paraId="0776166F" w14:textId="77777777" w:rsidR="003F530C" w:rsidRPr="00CF5D9E" w:rsidRDefault="003F530C" w:rsidP="00CF5D9E">
      <w:pPr>
        <w:pStyle w:val="Brdtekst2"/>
        <w:ind w:left="851" w:hanging="851"/>
        <w:jc w:val="left"/>
        <w:rPr>
          <w:i/>
          <w:szCs w:val="24"/>
          <w:lang w:val="da-DK"/>
        </w:rPr>
      </w:pPr>
    </w:p>
    <w:p w14:paraId="58475273" w14:textId="77777777" w:rsidR="003F530C" w:rsidRPr="00CF5D9E" w:rsidRDefault="003F530C" w:rsidP="008115DB">
      <w:pPr>
        <w:pStyle w:val="Brdtekst2"/>
        <w:ind w:left="851"/>
        <w:jc w:val="left"/>
        <w:rPr>
          <w:szCs w:val="24"/>
          <w:u w:val="single"/>
          <w:lang w:val="da-DK"/>
        </w:rPr>
      </w:pPr>
      <w:r w:rsidRPr="00CF5D9E">
        <w:rPr>
          <w:szCs w:val="24"/>
          <w:u w:val="single"/>
          <w:lang w:val="da-DK"/>
        </w:rPr>
        <w:t xml:space="preserve">Effekten af andre lægemidler på </w:t>
      </w:r>
      <w:proofErr w:type="spellStart"/>
      <w:r w:rsidRPr="00CF5D9E">
        <w:rPr>
          <w:szCs w:val="24"/>
          <w:u w:val="single"/>
          <w:lang w:val="da-DK"/>
        </w:rPr>
        <w:t>solifenacins</w:t>
      </w:r>
      <w:proofErr w:type="spellEnd"/>
      <w:r w:rsidRPr="00CF5D9E">
        <w:rPr>
          <w:szCs w:val="24"/>
          <w:u w:val="single"/>
          <w:lang w:val="da-DK"/>
        </w:rPr>
        <w:t xml:space="preserve"> </w:t>
      </w:r>
      <w:proofErr w:type="spellStart"/>
      <w:r w:rsidRPr="00CF5D9E">
        <w:rPr>
          <w:szCs w:val="24"/>
          <w:u w:val="single"/>
          <w:lang w:val="da-DK"/>
        </w:rPr>
        <w:t>farmakokinetik</w:t>
      </w:r>
      <w:proofErr w:type="spellEnd"/>
    </w:p>
    <w:p w14:paraId="4332F379" w14:textId="65B16E91" w:rsidR="003F530C" w:rsidRPr="00CF5D9E" w:rsidRDefault="003F530C" w:rsidP="008115DB">
      <w:pPr>
        <w:pStyle w:val="Brdtekst2"/>
        <w:ind w:left="851"/>
        <w:jc w:val="left"/>
        <w:rPr>
          <w:szCs w:val="24"/>
          <w:lang w:val="da-DK"/>
        </w:rPr>
      </w:pPr>
      <w:proofErr w:type="spellStart"/>
      <w:r w:rsidRPr="00CF5D9E">
        <w:rPr>
          <w:szCs w:val="24"/>
          <w:lang w:val="da-DK"/>
        </w:rPr>
        <w:t>Solifenacin</w:t>
      </w:r>
      <w:proofErr w:type="spellEnd"/>
      <w:r w:rsidRPr="00CF5D9E">
        <w:rPr>
          <w:szCs w:val="24"/>
          <w:lang w:val="da-DK"/>
        </w:rPr>
        <w:t xml:space="preserve"> </w:t>
      </w:r>
      <w:proofErr w:type="spellStart"/>
      <w:r w:rsidRPr="00CF5D9E">
        <w:rPr>
          <w:szCs w:val="24"/>
          <w:lang w:val="da-DK"/>
        </w:rPr>
        <w:t>metaboliseres</w:t>
      </w:r>
      <w:proofErr w:type="spellEnd"/>
      <w:r w:rsidRPr="00CF5D9E">
        <w:rPr>
          <w:szCs w:val="24"/>
          <w:lang w:val="da-DK"/>
        </w:rPr>
        <w:t xml:space="preserve"> af CYP3A4. Samtidig administration af </w:t>
      </w:r>
      <w:proofErr w:type="spellStart"/>
      <w:r w:rsidRPr="00CF5D9E">
        <w:rPr>
          <w:szCs w:val="24"/>
          <w:lang w:val="da-DK"/>
        </w:rPr>
        <w:t>ketoconazol</w:t>
      </w:r>
      <w:proofErr w:type="spellEnd"/>
      <w:r w:rsidRPr="00CF5D9E">
        <w:rPr>
          <w:szCs w:val="24"/>
          <w:lang w:val="da-DK"/>
        </w:rPr>
        <w:t xml:space="preserve"> (200 mg/dag), en potent CYP3A4-hæmmer, resulterede i en fordobling af </w:t>
      </w:r>
      <w:proofErr w:type="spellStart"/>
      <w:r w:rsidRPr="00CF5D9E">
        <w:rPr>
          <w:szCs w:val="24"/>
          <w:lang w:val="da-DK"/>
        </w:rPr>
        <w:t>solifenacins</w:t>
      </w:r>
      <w:proofErr w:type="spellEnd"/>
      <w:r w:rsidRPr="00CF5D9E">
        <w:rPr>
          <w:szCs w:val="24"/>
          <w:lang w:val="da-DK"/>
        </w:rPr>
        <w:t xml:space="preserve"> AUC, mens </w:t>
      </w:r>
      <w:proofErr w:type="spellStart"/>
      <w:r w:rsidRPr="00CF5D9E">
        <w:rPr>
          <w:szCs w:val="24"/>
          <w:lang w:val="da-DK"/>
        </w:rPr>
        <w:t>ketoconazol</w:t>
      </w:r>
      <w:proofErr w:type="spellEnd"/>
      <w:r w:rsidRPr="00CF5D9E">
        <w:rPr>
          <w:szCs w:val="24"/>
          <w:lang w:val="da-DK"/>
        </w:rPr>
        <w:t xml:space="preserve"> i en dosis på 400 mg/dag resulterede i en tredobling af </w:t>
      </w:r>
      <w:proofErr w:type="spellStart"/>
      <w:r w:rsidRPr="00CF5D9E">
        <w:rPr>
          <w:szCs w:val="24"/>
          <w:lang w:val="da-DK"/>
        </w:rPr>
        <w:t>solifenacins</w:t>
      </w:r>
      <w:proofErr w:type="spellEnd"/>
      <w:r w:rsidRPr="00CF5D9E">
        <w:rPr>
          <w:szCs w:val="24"/>
          <w:lang w:val="da-DK"/>
        </w:rPr>
        <w:t xml:space="preserve"> AUC. Derfor bør den maksimale dosis af </w:t>
      </w:r>
      <w:proofErr w:type="spellStart"/>
      <w:r w:rsidRPr="00CF5D9E">
        <w:rPr>
          <w:szCs w:val="24"/>
          <w:lang w:val="da-DK"/>
        </w:rPr>
        <w:t>Solifenacinsuccinat</w:t>
      </w:r>
      <w:proofErr w:type="spellEnd"/>
      <w:r w:rsidRPr="00CF5D9E">
        <w:rPr>
          <w:szCs w:val="24"/>
          <w:lang w:val="da-DK"/>
        </w:rPr>
        <w:t xml:space="preserve"> </w:t>
      </w:r>
      <w:r w:rsidR="00A27D7D">
        <w:rPr>
          <w:szCs w:val="24"/>
          <w:lang w:val="da-DK"/>
        </w:rPr>
        <w:t>”</w:t>
      </w:r>
      <w:proofErr w:type="spellStart"/>
      <w:r w:rsidR="00A27D7D">
        <w:rPr>
          <w:szCs w:val="24"/>
          <w:lang w:val="da-DK"/>
        </w:rPr>
        <w:t>Accord</w:t>
      </w:r>
      <w:proofErr w:type="spellEnd"/>
      <w:r w:rsidR="00A27D7D">
        <w:rPr>
          <w:szCs w:val="24"/>
          <w:lang w:val="da-DK"/>
        </w:rPr>
        <w:t>”</w:t>
      </w:r>
      <w:r w:rsidRPr="00CF5D9E">
        <w:rPr>
          <w:szCs w:val="24"/>
          <w:lang w:val="da-DK"/>
        </w:rPr>
        <w:t xml:space="preserve"> begrænses til 5 mg ved samtidig behandling med </w:t>
      </w:r>
      <w:proofErr w:type="spellStart"/>
      <w:r w:rsidRPr="00CF5D9E">
        <w:rPr>
          <w:szCs w:val="24"/>
          <w:lang w:val="da-DK"/>
        </w:rPr>
        <w:t>ketoconazol</w:t>
      </w:r>
      <w:proofErr w:type="spellEnd"/>
      <w:r w:rsidRPr="00CF5D9E">
        <w:rPr>
          <w:szCs w:val="24"/>
          <w:lang w:val="da-DK"/>
        </w:rPr>
        <w:t xml:space="preserve"> eller terapeutiske doser af andre potente CYP3A4-hæmmere (f.eks. </w:t>
      </w:r>
      <w:proofErr w:type="spellStart"/>
      <w:r w:rsidRPr="00CF5D9E">
        <w:rPr>
          <w:szCs w:val="24"/>
          <w:lang w:val="da-DK"/>
        </w:rPr>
        <w:t>ritonavir</w:t>
      </w:r>
      <w:proofErr w:type="spellEnd"/>
      <w:r w:rsidRPr="00CF5D9E">
        <w:rPr>
          <w:szCs w:val="24"/>
          <w:lang w:val="da-DK"/>
        </w:rPr>
        <w:t xml:space="preserve">, </w:t>
      </w:r>
      <w:proofErr w:type="spellStart"/>
      <w:r w:rsidRPr="00CF5D9E">
        <w:rPr>
          <w:szCs w:val="24"/>
          <w:lang w:val="da-DK"/>
        </w:rPr>
        <w:t>nelfinavir</w:t>
      </w:r>
      <w:proofErr w:type="spellEnd"/>
      <w:r w:rsidRPr="00CF5D9E">
        <w:rPr>
          <w:szCs w:val="24"/>
          <w:lang w:val="da-DK"/>
        </w:rPr>
        <w:t xml:space="preserve">, </w:t>
      </w:r>
      <w:proofErr w:type="spellStart"/>
      <w:r w:rsidRPr="00CF5D9E">
        <w:rPr>
          <w:szCs w:val="24"/>
          <w:lang w:val="da-DK"/>
        </w:rPr>
        <w:t>itraconazol</w:t>
      </w:r>
      <w:proofErr w:type="spellEnd"/>
      <w:r w:rsidRPr="00CF5D9E">
        <w:rPr>
          <w:szCs w:val="24"/>
          <w:lang w:val="da-DK"/>
        </w:rPr>
        <w:t>) (se pkt. 4.2).</w:t>
      </w:r>
    </w:p>
    <w:p w14:paraId="14B33FCD" w14:textId="77777777" w:rsidR="003F530C" w:rsidRPr="00CF5D9E" w:rsidRDefault="003F530C" w:rsidP="00CF5D9E">
      <w:pPr>
        <w:pStyle w:val="Brdtekst2"/>
        <w:ind w:left="851" w:hanging="851"/>
        <w:jc w:val="left"/>
        <w:rPr>
          <w:szCs w:val="24"/>
          <w:lang w:val="da-DK"/>
        </w:rPr>
      </w:pPr>
    </w:p>
    <w:p w14:paraId="3BA362F4" w14:textId="77777777" w:rsidR="003F530C" w:rsidRPr="00CF5D9E" w:rsidRDefault="003F530C" w:rsidP="008115DB">
      <w:pPr>
        <w:ind w:left="851"/>
        <w:rPr>
          <w:sz w:val="24"/>
          <w:szCs w:val="24"/>
        </w:rPr>
      </w:pPr>
      <w:r w:rsidRPr="00CF5D9E">
        <w:rPr>
          <w:sz w:val="24"/>
          <w:szCs w:val="24"/>
        </w:rPr>
        <w:t xml:space="preserve">Samtidig behandling med </w:t>
      </w:r>
      <w:proofErr w:type="spellStart"/>
      <w:r w:rsidRPr="00CF5D9E">
        <w:rPr>
          <w:sz w:val="24"/>
          <w:szCs w:val="24"/>
        </w:rPr>
        <w:t>solifenacin</w:t>
      </w:r>
      <w:proofErr w:type="spellEnd"/>
      <w:r w:rsidRPr="00CF5D9E">
        <w:rPr>
          <w:sz w:val="24"/>
          <w:szCs w:val="24"/>
        </w:rPr>
        <w:t xml:space="preserve"> og en potent CYP3A4-hæmmer er kontraindiceret hos patienter med alvorligt nedsat nyrefunktion eller moderat nedsat leverfunktion.</w:t>
      </w:r>
    </w:p>
    <w:p w14:paraId="06180F6C" w14:textId="77777777" w:rsidR="003F530C" w:rsidRPr="00CF5D9E" w:rsidRDefault="003F530C" w:rsidP="00CF5D9E">
      <w:pPr>
        <w:pStyle w:val="Brdtekst2"/>
        <w:ind w:left="851" w:hanging="851"/>
        <w:jc w:val="left"/>
        <w:rPr>
          <w:szCs w:val="24"/>
          <w:lang w:val="da-DK"/>
        </w:rPr>
      </w:pPr>
    </w:p>
    <w:p w14:paraId="64146179" w14:textId="77777777" w:rsidR="003F530C" w:rsidRPr="00CF5D9E" w:rsidRDefault="003F530C" w:rsidP="008115DB">
      <w:pPr>
        <w:ind w:left="851"/>
        <w:rPr>
          <w:sz w:val="24"/>
          <w:szCs w:val="24"/>
        </w:rPr>
      </w:pPr>
      <w:r w:rsidRPr="00CF5D9E">
        <w:rPr>
          <w:sz w:val="24"/>
          <w:szCs w:val="24"/>
        </w:rPr>
        <w:t xml:space="preserve">Virkningen af enzyminduktion på </w:t>
      </w:r>
      <w:proofErr w:type="spellStart"/>
      <w:r w:rsidRPr="00CF5D9E">
        <w:rPr>
          <w:sz w:val="24"/>
          <w:szCs w:val="24"/>
        </w:rPr>
        <w:t>solifenacins</w:t>
      </w:r>
      <w:proofErr w:type="spellEnd"/>
      <w:r w:rsidRPr="00CF5D9E">
        <w:rPr>
          <w:sz w:val="24"/>
          <w:szCs w:val="24"/>
        </w:rPr>
        <w:t xml:space="preserve"> </w:t>
      </w:r>
      <w:proofErr w:type="spellStart"/>
      <w:r w:rsidRPr="00CF5D9E">
        <w:rPr>
          <w:sz w:val="24"/>
          <w:szCs w:val="24"/>
        </w:rPr>
        <w:t>farmakokinetik</w:t>
      </w:r>
      <w:proofErr w:type="spellEnd"/>
      <w:r w:rsidRPr="00CF5D9E">
        <w:rPr>
          <w:sz w:val="24"/>
          <w:szCs w:val="24"/>
        </w:rPr>
        <w:t xml:space="preserve"> og dets </w:t>
      </w:r>
      <w:proofErr w:type="spellStart"/>
      <w:r w:rsidRPr="00CF5D9E">
        <w:rPr>
          <w:sz w:val="24"/>
          <w:szCs w:val="24"/>
        </w:rPr>
        <w:t>metabolitter</w:t>
      </w:r>
      <w:proofErr w:type="spellEnd"/>
      <w:r w:rsidRPr="00CF5D9E">
        <w:rPr>
          <w:sz w:val="24"/>
          <w:szCs w:val="24"/>
        </w:rPr>
        <w:t xml:space="preserve"> er ikke blevet studeret. Det samme gælder effekten af højaffinitet-CYP3A4-substrater på </w:t>
      </w:r>
      <w:proofErr w:type="spellStart"/>
      <w:r w:rsidRPr="00CF5D9E">
        <w:rPr>
          <w:sz w:val="24"/>
          <w:szCs w:val="24"/>
        </w:rPr>
        <w:t>solifenacin</w:t>
      </w:r>
      <w:proofErr w:type="spellEnd"/>
      <w:r w:rsidRPr="00CF5D9E">
        <w:rPr>
          <w:sz w:val="24"/>
          <w:szCs w:val="24"/>
        </w:rPr>
        <w:t xml:space="preserve">. Da </w:t>
      </w:r>
      <w:proofErr w:type="spellStart"/>
      <w:r w:rsidRPr="00CF5D9E">
        <w:rPr>
          <w:sz w:val="24"/>
          <w:szCs w:val="24"/>
        </w:rPr>
        <w:t>solifenacin</w:t>
      </w:r>
      <w:proofErr w:type="spellEnd"/>
      <w:r w:rsidRPr="00CF5D9E">
        <w:rPr>
          <w:sz w:val="24"/>
          <w:szCs w:val="24"/>
        </w:rPr>
        <w:t xml:space="preserve"> </w:t>
      </w:r>
      <w:proofErr w:type="spellStart"/>
      <w:r w:rsidRPr="00CF5D9E">
        <w:rPr>
          <w:sz w:val="24"/>
          <w:szCs w:val="24"/>
        </w:rPr>
        <w:t>metaboliseres</w:t>
      </w:r>
      <w:proofErr w:type="spellEnd"/>
      <w:r w:rsidRPr="00CF5D9E">
        <w:rPr>
          <w:sz w:val="24"/>
          <w:szCs w:val="24"/>
        </w:rPr>
        <w:t xml:space="preserve"> af CYP3A4, er </w:t>
      </w:r>
      <w:proofErr w:type="spellStart"/>
      <w:r w:rsidRPr="00CF5D9E">
        <w:rPr>
          <w:sz w:val="24"/>
          <w:szCs w:val="24"/>
        </w:rPr>
        <w:t>farmakokinetiske</w:t>
      </w:r>
      <w:proofErr w:type="spellEnd"/>
      <w:r w:rsidRPr="00CF5D9E">
        <w:rPr>
          <w:sz w:val="24"/>
          <w:szCs w:val="24"/>
        </w:rPr>
        <w:t xml:space="preserve"> interaktioner mulige med andre CYP3A4-substrater med højere affinitet (f.eks. </w:t>
      </w:r>
      <w:proofErr w:type="spellStart"/>
      <w:r w:rsidRPr="00CF5D9E">
        <w:rPr>
          <w:sz w:val="24"/>
          <w:szCs w:val="24"/>
        </w:rPr>
        <w:t>verapamil</w:t>
      </w:r>
      <w:proofErr w:type="spellEnd"/>
      <w:r w:rsidRPr="00CF5D9E">
        <w:rPr>
          <w:sz w:val="24"/>
          <w:szCs w:val="24"/>
        </w:rPr>
        <w:t xml:space="preserve">, </w:t>
      </w:r>
      <w:proofErr w:type="spellStart"/>
      <w:r w:rsidRPr="00CF5D9E">
        <w:rPr>
          <w:sz w:val="24"/>
          <w:szCs w:val="24"/>
        </w:rPr>
        <w:t>diltiazem</w:t>
      </w:r>
      <w:proofErr w:type="spellEnd"/>
      <w:r w:rsidRPr="00CF5D9E">
        <w:rPr>
          <w:sz w:val="24"/>
          <w:szCs w:val="24"/>
        </w:rPr>
        <w:t xml:space="preserve">) og CYP3A4-inducere (f.eks. </w:t>
      </w:r>
      <w:proofErr w:type="spellStart"/>
      <w:r w:rsidRPr="00CF5D9E">
        <w:rPr>
          <w:sz w:val="24"/>
          <w:szCs w:val="24"/>
        </w:rPr>
        <w:t>rifampicin</w:t>
      </w:r>
      <w:proofErr w:type="spellEnd"/>
      <w:r w:rsidRPr="00CF5D9E">
        <w:rPr>
          <w:sz w:val="24"/>
          <w:szCs w:val="24"/>
        </w:rPr>
        <w:t xml:space="preserve">, </w:t>
      </w:r>
      <w:proofErr w:type="spellStart"/>
      <w:r w:rsidRPr="00CF5D9E">
        <w:rPr>
          <w:sz w:val="24"/>
          <w:szCs w:val="24"/>
        </w:rPr>
        <w:t>phenytoin</w:t>
      </w:r>
      <w:proofErr w:type="spellEnd"/>
      <w:r w:rsidRPr="00CF5D9E">
        <w:rPr>
          <w:sz w:val="24"/>
          <w:szCs w:val="24"/>
        </w:rPr>
        <w:t xml:space="preserve">, </w:t>
      </w:r>
      <w:proofErr w:type="spellStart"/>
      <w:r w:rsidRPr="00CF5D9E">
        <w:rPr>
          <w:sz w:val="24"/>
          <w:szCs w:val="24"/>
        </w:rPr>
        <w:t>carbamazepin</w:t>
      </w:r>
      <w:proofErr w:type="spellEnd"/>
      <w:r w:rsidRPr="00CF5D9E">
        <w:rPr>
          <w:sz w:val="24"/>
          <w:szCs w:val="24"/>
        </w:rPr>
        <w:t>).</w:t>
      </w:r>
    </w:p>
    <w:p w14:paraId="7CEC447B" w14:textId="77777777" w:rsidR="003F530C" w:rsidRPr="00CF5D9E" w:rsidRDefault="003F530C" w:rsidP="00CF5D9E">
      <w:pPr>
        <w:ind w:left="851" w:hanging="851"/>
        <w:rPr>
          <w:sz w:val="24"/>
          <w:szCs w:val="24"/>
        </w:rPr>
      </w:pPr>
    </w:p>
    <w:p w14:paraId="0F0C279C" w14:textId="77777777" w:rsidR="003F530C" w:rsidRPr="00CF5D9E" w:rsidRDefault="003F530C" w:rsidP="008115DB">
      <w:pPr>
        <w:ind w:left="851"/>
        <w:rPr>
          <w:sz w:val="24"/>
          <w:szCs w:val="24"/>
          <w:u w:val="single"/>
        </w:rPr>
      </w:pPr>
      <w:r w:rsidRPr="00CF5D9E">
        <w:rPr>
          <w:sz w:val="24"/>
          <w:szCs w:val="24"/>
          <w:u w:val="single"/>
        </w:rPr>
        <w:t xml:space="preserve">Effekten af </w:t>
      </w:r>
      <w:proofErr w:type="spellStart"/>
      <w:r w:rsidRPr="00CF5D9E">
        <w:rPr>
          <w:sz w:val="24"/>
          <w:szCs w:val="24"/>
          <w:u w:val="single"/>
        </w:rPr>
        <w:t>solifenacin</w:t>
      </w:r>
      <w:proofErr w:type="spellEnd"/>
      <w:r w:rsidRPr="00CF5D9E">
        <w:rPr>
          <w:sz w:val="24"/>
          <w:szCs w:val="24"/>
          <w:u w:val="single"/>
        </w:rPr>
        <w:t xml:space="preserve"> på andre lægemidlers </w:t>
      </w:r>
      <w:proofErr w:type="spellStart"/>
      <w:r w:rsidRPr="00CF5D9E">
        <w:rPr>
          <w:sz w:val="24"/>
          <w:szCs w:val="24"/>
          <w:u w:val="single"/>
        </w:rPr>
        <w:t>farmakokinetik</w:t>
      </w:r>
      <w:proofErr w:type="spellEnd"/>
    </w:p>
    <w:p w14:paraId="60584823" w14:textId="77777777" w:rsidR="003F530C" w:rsidRPr="00CF5D9E" w:rsidRDefault="003F530C" w:rsidP="00CF5D9E">
      <w:pPr>
        <w:pStyle w:val="Brdtekst2"/>
        <w:ind w:left="851" w:hanging="851"/>
        <w:jc w:val="left"/>
        <w:rPr>
          <w:szCs w:val="24"/>
          <w:lang w:val="da-DK"/>
        </w:rPr>
      </w:pPr>
    </w:p>
    <w:p w14:paraId="35D456F5" w14:textId="77777777" w:rsidR="003F530C" w:rsidRPr="00CF5D9E" w:rsidRDefault="003F530C" w:rsidP="008115DB">
      <w:pPr>
        <w:pStyle w:val="Brdtekst2"/>
        <w:ind w:left="851"/>
        <w:jc w:val="left"/>
        <w:rPr>
          <w:i/>
          <w:szCs w:val="24"/>
          <w:lang w:val="da-DK"/>
        </w:rPr>
      </w:pPr>
      <w:r w:rsidRPr="00CF5D9E">
        <w:rPr>
          <w:i/>
          <w:szCs w:val="24"/>
          <w:lang w:val="da-DK"/>
        </w:rPr>
        <w:t xml:space="preserve">Orale </w:t>
      </w:r>
      <w:proofErr w:type="spellStart"/>
      <w:r w:rsidRPr="00CF5D9E">
        <w:rPr>
          <w:i/>
          <w:szCs w:val="24"/>
          <w:lang w:val="da-DK"/>
        </w:rPr>
        <w:t>kontraceptiva</w:t>
      </w:r>
      <w:proofErr w:type="spellEnd"/>
    </w:p>
    <w:p w14:paraId="2E18D297" w14:textId="77777777" w:rsidR="003F530C" w:rsidRPr="00CF5D9E" w:rsidRDefault="003F530C" w:rsidP="008115DB">
      <w:pPr>
        <w:pStyle w:val="Brdtekst2"/>
        <w:ind w:left="851"/>
        <w:jc w:val="left"/>
        <w:rPr>
          <w:szCs w:val="24"/>
          <w:lang w:val="da-DK"/>
        </w:rPr>
      </w:pPr>
      <w:r w:rsidRPr="00CF5D9E">
        <w:rPr>
          <w:szCs w:val="24"/>
          <w:lang w:val="da-DK"/>
        </w:rPr>
        <w:t xml:space="preserve">Indtagelse af </w:t>
      </w:r>
      <w:proofErr w:type="spellStart"/>
      <w:r w:rsidRPr="00CF5D9E">
        <w:rPr>
          <w:szCs w:val="24"/>
          <w:lang w:val="da-DK"/>
        </w:rPr>
        <w:t>solifenacin</w:t>
      </w:r>
      <w:proofErr w:type="spellEnd"/>
      <w:r w:rsidRPr="00CF5D9E">
        <w:rPr>
          <w:szCs w:val="24"/>
          <w:lang w:val="da-DK"/>
        </w:rPr>
        <w:t xml:space="preserve"> har ikke vist nogen </w:t>
      </w:r>
      <w:proofErr w:type="spellStart"/>
      <w:r w:rsidRPr="00CF5D9E">
        <w:rPr>
          <w:szCs w:val="24"/>
          <w:lang w:val="da-DK"/>
        </w:rPr>
        <w:t>farmakokinetisk</w:t>
      </w:r>
      <w:proofErr w:type="spellEnd"/>
      <w:r w:rsidRPr="00CF5D9E">
        <w:rPr>
          <w:szCs w:val="24"/>
          <w:lang w:val="da-DK"/>
        </w:rPr>
        <w:t xml:space="preserve"> interaktion mellem </w:t>
      </w:r>
      <w:proofErr w:type="spellStart"/>
      <w:r w:rsidRPr="00CF5D9E">
        <w:rPr>
          <w:szCs w:val="24"/>
          <w:lang w:val="da-DK"/>
        </w:rPr>
        <w:t>solifenacin</w:t>
      </w:r>
      <w:proofErr w:type="spellEnd"/>
      <w:r w:rsidRPr="00CF5D9E">
        <w:rPr>
          <w:szCs w:val="24"/>
          <w:lang w:val="da-DK"/>
        </w:rPr>
        <w:t xml:space="preserve"> og orale </w:t>
      </w:r>
      <w:proofErr w:type="spellStart"/>
      <w:r w:rsidRPr="00CF5D9E">
        <w:rPr>
          <w:szCs w:val="24"/>
          <w:lang w:val="da-DK"/>
        </w:rPr>
        <w:t>kombinationskontraceptiva</w:t>
      </w:r>
      <w:proofErr w:type="spellEnd"/>
      <w:r w:rsidRPr="00CF5D9E">
        <w:rPr>
          <w:szCs w:val="24"/>
          <w:lang w:val="da-DK"/>
        </w:rPr>
        <w:t xml:space="preserve"> (</w:t>
      </w:r>
      <w:proofErr w:type="spellStart"/>
      <w:r w:rsidRPr="00CF5D9E">
        <w:rPr>
          <w:szCs w:val="24"/>
          <w:lang w:val="da-DK"/>
        </w:rPr>
        <w:t>ethinylestradiol</w:t>
      </w:r>
      <w:proofErr w:type="spellEnd"/>
      <w:r w:rsidRPr="00CF5D9E">
        <w:rPr>
          <w:szCs w:val="24"/>
          <w:lang w:val="da-DK"/>
        </w:rPr>
        <w:t>/</w:t>
      </w:r>
      <w:proofErr w:type="spellStart"/>
      <w:r w:rsidRPr="00CF5D9E">
        <w:rPr>
          <w:szCs w:val="24"/>
          <w:lang w:val="da-DK"/>
        </w:rPr>
        <w:t>levonorgestrel</w:t>
      </w:r>
      <w:proofErr w:type="spellEnd"/>
      <w:r w:rsidRPr="00CF5D9E">
        <w:rPr>
          <w:szCs w:val="24"/>
          <w:lang w:val="da-DK"/>
        </w:rPr>
        <w:t>).</w:t>
      </w:r>
    </w:p>
    <w:p w14:paraId="0953BFAE" w14:textId="77777777" w:rsidR="003F530C" w:rsidRPr="00CF5D9E" w:rsidRDefault="003F530C" w:rsidP="00CF5D9E">
      <w:pPr>
        <w:pStyle w:val="Brdtekst2"/>
        <w:ind w:left="851" w:hanging="851"/>
        <w:jc w:val="left"/>
        <w:rPr>
          <w:i/>
          <w:szCs w:val="24"/>
          <w:lang w:val="da-DK"/>
        </w:rPr>
      </w:pPr>
    </w:p>
    <w:p w14:paraId="6CED1B00" w14:textId="77777777" w:rsidR="003F530C" w:rsidRPr="00CF5D9E" w:rsidRDefault="003F530C" w:rsidP="008115DB">
      <w:pPr>
        <w:pStyle w:val="Brdtekst2"/>
        <w:ind w:left="851"/>
        <w:jc w:val="left"/>
        <w:rPr>
          <w:i/>
          <w:szCs w:val="24"/>
          <w:lang w:val="da-DK"/>
        </w:rPr>
      </w:pPr>
      <w:proofErr w:type="spellStart"/>
      <w:r w:rsidRPr="00CF5D9E">
        <w:rPr>
          <w:i/>
          <w:szCs w:val="24"/>
          <w:lang w:val="da-DK"/>
        </w:rPr>
        <w:t>Warfarin</w:t>
      </w:r>
      <w:proofErr w:type="spellEnd"/>
    </w:p>
    <w:p w14:paraId="5F31AFF5" w14:textId="77777777" w:rsidR="003F530C" w:rsidRPr="00CF5D9E" w:rsidRDefault="003F530C" w:rsidP="008115DB">
      <w:pPr>
        <w:pStyle w:val="Brdtekst2"/>
        <w:ind w:left="851"/>
        <w:jc w:val="left"/>
        <w:rPr>
          <w:szCs w:val="24"/>
          <w:lang w:val="da-DK"/>
        </w:rPr>
      </w:pPr>
      <w:r w:rsidRPr="00CF5D9E">
        <w:rPr>
          <w:szCs w:val="24"/>
          <w:lang w:val="da-DK"/>
        </w:rPr>
        <w:t xml:space="preserve">Indtagelse af </w:t>
      </w:r>
      <w:proofErr w:type="spellStart"/>
      <w:r w:rsidRPr="00CF5D9E">
        <w:rPr>
          <w:szCs w:val="24"/>
          <w:lang w:val="da-DK"/>
        </w:rPr>
        <w:t>solifenacin</w:t>
      </w:r>
      <w:proofErr w:type="spellEnd"/>
      <w:r w:rsidRPr="00CF5D9E">
        <w:rPr>
          <w:szCs w:val="24"/>
          <w:lang w:val="da-DK"/>
        </w:rPr>
        <w:t xml:space="preserve"> ændrede ikke på R-</w:t>
      </w:r>
      <w:proofErr w:type="spellStart"/>
      <w:r w:rsidRPr="00CF5D9E">
        <w:rPr>
          <w:szCs w:val="24"/>
          <w:lang w:val="da-DK"/>
        </w:rPr>
        <w:t>warfarins</w:t>
      </w:r>
      <w:proofErr w:type="spellEnd"/>
      <w:r w:rsidRPr="00CF5D9E">
        <w:rPr>
          <w:szCs w:val="24"/>
          <w:lang w:val="da-DK"/>
        </w:rPr>
        <w:t xml:space="preserve"> eller S-</w:t>
      </w:r>
      <w:proofErr w:type="spellStart"/>
      <w:r w:rsidRPr="00CF5D9E">
        <w:rPr>
          <w:szCs w:val="24"/>
          <w:lang w:val="da-DK"/>
        </w:rPr>
        <w:t>warfarins</w:t>
      </w:r>
      <w:proofErr w:type="spellEnd"/>
      <w:r w:rsidRPr="00CF5D9E">
        <w:rPr>
          <w:szCs w:val="24"/>
          <w:lang w:val="da-DK"/>
        </w:rPr>
        <w:t xml:space="preserve"> </w:t>
      </w:r>
      <w:proofErr w:type="spellStart"/>
      <w:r w:rsidRPr="00CF5D9E">
        <w:rPr>
          <w:szCs w:val="24"/>
          <w:lang w:val="da-DK"/>
        </w:rPr>
        <w:t>farmakokinetik</w:t>
      </w:r>
      <w:proofErr w:type="spellEnd"/>
      <w:r w:rsidRPr="00CF5D9E">
        <w:rPr>
          <w:szCs w:val="24"/>
          <w:lang w:val="da-DK"/>
        </w:rPr>
        <w:t xml:space="preserve"> eller deres effekt på </w:t>
      </w:r>
      <w:proofErr w:type="spellStart"/>
      <w:r w:rsidRPr="00CF5D9E">
        <w:rPr>
          <w:szCs w:val="24"/>
          <w:lang w:val="da-DK"/>
        </w:rPr>
        <w:t>protrombintiden</w:t>
      </w:r>
      <w:proofErr w:type="spellEnd"/>
      <w:r w:rsidRPr="00CF5D9E">
        <w:rPr>
          <w:szCs w:val="24"/>
          <w:lang w:val="da-DK"/>
        </w:rPr>
        <w:t>.</w:t>
      </w:r>
    </w:p>
    <w:p w14:paraId="103825A5" w14:textId="77777777" w:rsidR="003F530C" w:rsidRPr="00CF5D9E" w:rsidRDefault="003F530C" w:rsidP="00CF5D9E">
      <w:pPr>
        <w:pStyle w:val="Brdtekst2"/>
        <w:ind w:left="851" w:hanging="851"/>
        <w:jc w:val="left"/>
        <w:rPr>
          <w:i/>
          <w:szCs w:val="24"/>
          <w:lang w:val="da-DK"/>
        </w:rPr>
      </w:pPr>
    </w:p>
    <w:p w14:paraId="5508E409" w14:textId="77777777" w:rsidR="003F530C" w:rsidRPr="00CF5D9E" w:rsidRDefault="003F530C" w:rsidP="008115DB">
      <w:pPr>
        <w:pStyle w:val="Brdtekst2"/>
        <w:ind w:left="851"/>
        <w:jc w:val="left"/>
        <w:rPr>
          <w:i/>
          <w:szCs w:val="24"/>
          <w:lang w:val="da-DK"/>
        </w:rPr>
      </w:pPr>
      <w:proofErr w:type="spellStart"/>
      <w:r w:rsidRPr="00CF5D9E">
        <w:rPr>
          <w:i/>
          <w:szCs w:val="24"/>
          <w:lang w:val="da-DK"/>
        </w:rPr>
        <w:t>Digoxin</w:t>
      </w:r>
      <w:proofErr w:type="spellEnd"/>
    </w:p>
    <w:p w14:paraId="512116D8" w14:textId="77777777" w:rsidR="003F530C" w:rsidRPr="00CF5D9E" w:rsidRDefault="003F530C" w:rsidP="008115DB">
      <w:pPr>
        <w:pStyle w:val="Brdtekst2"/>
        <w:ind w:left="851"/>
        <w:jc w:val="left"/>
        <w:rPr>
          <w:szCs w:val="24"/>
          <w:lang w:val="da-DK"/>
        </w:rPr>
      </w:pPr>
      <w:r w:rsidRPr="00CF5D9E">
        <w:rPr>
          <w:szCs w:val="24"/>
          <w:lang w:val="da-DK"/>
        </w:rPr>
        <w:t xml:space="preserve">Indtagelse af </w:t>
      </w:r>
      <w:proofErr w:type="spellStart"/>
      <w:r w:rsidRPr="00CF5D9E">
        <w:rPr>
          <w:szCs w:val="24"/>
          <w:lang w:val="da-DK"/>
        </w:rPr>
        <w:t>solifenacin</w:t>
      </w:r>
      <w:proofErr w:type="spellEnd"/>
      <w:r w:rsidRPr="00CF5D9E">
        <w:rPr>
          <w:szCs w:val="24"/>
          <w:lang w:val="da-DK"/>
        </w:rPr>
        <w:t xml:space="preserve"> viste ikke nogen virkning på </w:t>
      </w:r>
      <w:proofErr w:type="spellStart"/>
      <w:r w:rsidRPr="00CF5D9E">
        <w:rPr>
          <w:szCs w:val="24"/>
          <w:lang w:val="da-DK"/>
        </w:rPr>
        <w:t>digoxins</w:t>
      </w:r>
      <w:proofErr w:type="spellEnd"/>
      <w:r w:rsidRPr="00CF5D9E">
        <w:rPr>
          <w:szCs w:val="24"/>
          <w:lang w:val="da-DK"/>
        </w:rPr>
        <w:t xml:space="preserve"> </w:t>
      </w:r>
      <w:proofErr w:type="spellStart"/>
      <w:r w:rsidRPr="00CF5D9E">
        <w:rPr>
          <w:szCs w:val="24"/>
          <w:lang w:val="da-DK"/>
        </w:rPr>
        <w:t>farmakokinetik</w:t>
      </w:r>
      <w:proofErr w:type="spellEnd"/>
      <w:r w:rsidRPr="00CF5D9E">
        <w:rPr>
          <w:szCs w:val="24"/>
          <w:lang w:val="da-DK"/>
        </w:rPr>
        <w:t>.</w:t>
      </w:r>
    </w:p>
    <w:p w14:paraId="2A2F5D6A" w14:textId="77777777" w:rsidR="00B003BF" w:rsidRPr="00CF5D9E" w:rsidRDefault="00B003BF" w:rsidP="00CF5D9E">
      <w:pPr>
        <w:ind w:left="851" w:hanging="851"/>
        <w:rPr>
          <w:sz w:val="24"/>
          <w:szCs w:val="24"/>
        </w:rPr>
      </w:pPr>
    </w:p>
    <w:p w14:paraId="761F6E6A" w14:textId="77777777" w:rsidR="00B003BF" w:rsidRPr="00CF5D9E" w:rsidRDefault="00B003BF" w:rsidP="00CF5D9E">
      <w:pPr>
        <w:ind w:left="851" w:hanging="851"/>
        <w:rPr>
          <w:b/>
          <w:sz w:val="24"/>
          <w:szCs w:val="24"/>
        </w:rPr>
      </w:pPr>
      <w:r w:rsidRPr="00CF5D9E">
        <w:rPr>
          <w:b/>
          <w:sz w:val="24"/>
          <w:szCs w:val="24"/>
        </w:rPr>
        <w:t>4.6</w:t>
      </w:r>
      <w:r w:rsidRPr="00CF5D9E">
        <w:rPr>
          <w:b/>
          <w:sz w:val="24"/>
          <w:szCs w:val="24"/>
        </w:rPr>
        <w:tab/>
        <w:t>Graviditet og amning</w:t>
      </w:r>
    </w:p>
    <w:p w14:paraId="1FB0E6CE" w14:textId="77777777" w:rsidR="008115DB" w:rsidRDefault="008115DB" w:rsidP="00CF5D9E">
      <w:pPr>
        <w:pStyle w:val="Brdtekst2"/>
        <w:ind w:left="851" w:hanging="851"/>
        <w:jc w:val="left"/>
        <w:rPr>
          <w:szCs w:val="24"/>
          <w:lang w:val="da-DK"/>
        </w:rPr>
      </w:pPr>
    </w:p>
    <w:p w14:paraId="4192203A" w14:textId="77777777" w:rsidR="00082DA9" w:rsidRPr="00CF5D9E" w:rsidRDefault="00082DA9" w:rsidP="00082DA9">
      <w:pPr>
        <w:pStyle w:val="Brdtekst2"/>
        <w:ind w:left="851"/>
        <w:jc w:val="left"/>
        <w:rPr>
          <w:szCs w:val="24"/>
          <w:u w:val="single"/>
          <w:lang w:val="da-DK"/>
        </w:rPr>
      </w:pPr>
      <w:r w:rsidRPr="00CF5D9E">
        <w:rPr>
          <w:szCs w:val="24"/>
          <w:u w:val="single"/>
          <w:lang w:val="da-DK"/>
        </w:rPr>
        <w:t>Fertilitet</w:t>
      </w:r>
    </w:p>
    <w:p w14:paraId="1DEB17F4" w14:textId="77777777" w:rsidR="00082DA9" w:rsidRPr="00CF5D9E" w:rsidRDefault="00082DA9" w:rsidP="00082DA9">
      <w:pPr>
        <w:pStyle w:val="Brdtekst2"/>
        <w:ind w:left="851"/>
        <w:jc w:val="left"/>
        <w:rPr>
          <w:szCs w:val="24"/>
          <w:lang w:val="da-DK"/>
        </w:rPr>
      </w:pPr>
      <w:r w:rsidRPr="00CF5D9E">
        <w:rPr>
          <w:szCs w:val="24"/>
          <w:lang w:val="da-DK"/>
        </w:rPr>
        <w:t>Der foreligger ingen data.</w:t>
      </w:r>
    </w:p>
    <w:p w14:paraId="19BB4D53" w14:textId="77777777" w:rsidR="00082DA9" w:rsidRDefault="00082DA9" w:rsidP="00CF5D9E">
      <w:pPr>
        <w:pStyle w:val="Brdtekst2"/>
        <w:ind w:left="851" w:hanging="851"/>
        <w:jc w:val="left"/>
        <w:rPr>
          <w:szCs w:val="24"/>
          <w:lang w:val="da-DK"/>
        </w:rPr>
      </w:pPr>
    </w:p>
    <w:p w14:paraId="20F8F208" w14:textId="77777777" w:rsidR="003F530C" w:rsidRPr="00CF5D9E" w:rsidRDefault="00B003BF" w:rsidP="00CF5D9E">
      <w:pPr>
        <w:pStyle w:val="Brdtekst2"/>
        <w:ind w:left="851" w:hanging="851"/>
        <w:jc w:val="left"/>
        <w:rPr>
          <w:szCs w:val="24"/>
          <w:u w:val="single"/>
          <w:lang w:val="da-DK"/>
        </w:rPr>
      </w:pPr>
      <w:r w:rsidRPr="00CF5D9E">
        <w:rPr>
          <w:szCs w:val="24"/>
          <w:lang w:val="da-DK"/>
        </w:rPr>
        <w:tab/>
      </w:r>
      <w:r w:rsidR="003F530C" w:rsidRPr="00CF5D9E">
        <w:rPr>
          <w:szCs w:val="24"/>
          <w:u w:val="single"/>
          <w:lang w:val="da-DK"/>
        </w:rPr>
        <w:t>Graviditet</w:t>
      </w:r>
    </w:p>
    <w:p w14:paraId="0969EDC2" w14:textId="77777777" w:rsidR="003F530C" w:rsidRPr="00CF5D9E" w:rsidRDefault="003F530C" w:rsidP="008115DB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CF5D9E">
        <w:rPr>
          <w:sz w:val="24"/>
          <w:szCs w:val="24"/>
        </w:rPr>
        <w:t xml:space="preserve">Der forefindes ikke kliniske data fra kvinder, der er blevet gravide, mens de har taget </w:t>
      </w:r>
      <w:proofErr w:type="spellStart"/>
      <w:r w:rsidRPr="00CF5D9E">
        <w:rPr>
          <w:sz w:val="24"/>
          <w:szCs w:val="24"/>
        </w:rPr>
        <w:t>solifenacin</w:t>
      </w:r>
      <w:proofErr w:type="spellEnd"/>
      <w:r w:rsidRPr="00CF5D9E">
        <w:rPr>
          <w:sz w:val="24"/>
          <w:szCs w:val="24"/>
        </w:rPr>
        <w:t>. Dyrestudier indikerer ikke direkte skadelige virkninger på fertilitet, embryonal/</w:t>
      </w:r>
      <w:proofErr w:type="spellStart"/>
      <w:r w:rsidRPr="00CF5D9E">
        <w:rPr>
          <w:sz w:val="24"/>
          <w:szCs w:val="24"/>
        </w:rPr>
        <w:t>føtal</w:t>
      </w:r>
      <w:proofErr w:type="spellEnd"/>
      <w:r w:rsidRPr="00CF5D9E">
        <w:rPr>
          <w:sz w:val="24"/>
          <w:szCs w:val="24"/>
        </w:rPr>
        <w:t xml:space="preserve"> udvikling eller fødsel (se pkt. 5.3).</w:t>
      </w:r>
    </w:p>
    <w:p w14:paraId="3FD2DE94" w14:textId="0574EA5B" w:rsidR="003F530C" w:rsidRPr="00CF5D9E" w:rsidRDefault="003F530C" w:rsidP="008115DB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CF5D9E">
        <w:rPr>
          <w:sz w:val="24"/>
          <w:szCs w:val="24"/>
        </w:rPr>
        <w:t xml:space="preserve">Den potentielle risiko for mennesker kendes ikke. Der bør udvises forsigtighed ved ordination af </w:t>
      </w:r>
      <w:proofErr w:type="spellStart"/>
      <w:r w:rsidRPr="00CF5D9E">
        <w:rPr>
          <w:sz w:val="24"/>
          <w:szCs w:val="24"/>
        </w:rPr>
        <w:t>Solifenacinsuccinat</w:t>
      </w:r>
      <w:proofErr w:type="spellEnd"/>
      <w:r w:rsidRPr="00CF5D9E">
        <w:rPr>
          <w:sz w:val="24"/>
          <w:szCs w:val="24"/>
        </w:rPr>
        <w:t xml:space="preserve"> </w:t>
      </w:r>
      <w:r w:rsidR="00A27D7D">
        <w:rPr>
          <w:sz w:val="24"/>
          <w:szCs w:val="24"/>
        </w:rPr>
        <w:t>”</w:t>
      </w:r>
      <w:proofErr w:type="spellStart"/>
      <w:r w:rsidR="00A27D7D">
        <w:rPr>
          <w:sz w:val="24"/>
          <w:szCs w:val="24"/>
        </w:rPr>
        <w:t>Accord</w:t>
      </w:r>
      <w:proofErr w:type="spellEnd"/>
      <w:r w:rsidR="00A27D7D">
        <w:rPr>
          <w:sz w:val="24"/>
          <w:szCs w:val="24"/>
        </w:rPr>
        <w:t>”</w:t>
      </w:r>
      <w:r w:rsidRPr="00CF5D9E">
        <w:rPr>
          <w:sz w:val="24"/>
          <w:szCs w:val="24"/>
        </w:rPr>
        <w:t xml:space="preserve"> til gravide kvinder.</w:t>
      </w:r>
    </w:p>
    <w:p w14:paraId="17B1A8F6" w14:textId="5F02BF09" w:rsidR="003F530C" w:rsidRPr="00CF5D9E" w:rsidRDefault="00082DA9" w:rsidP="00CF5D9E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5ABAD00" w14:textId="77777777" w:rsidR="003F530C" w:rsidRPr="00CF5D9E" w:rsidRDefault="003F530C" w:rsidP="008115DB">
      <w:pPr>
        <w:pStyle w:val="Brdtekst2"/>
        <w:ind w:left="851"/>
        <w:jc w:val="left"/>
        <w:rPr>
          <w:szCs w:val="24"/>
          <w:u w:val="single"/>
          <w:lang w:val="da-DK"/>
        </w:rPr>
      </w:pPr>
      <w:r w:rsidRPr="00CF5D9E">
        <w:rPr>
          <w:szCs w:val="24"/>
          <w:u w:val="single"/>
          <w:lang w:val="da-DK"/>
        </w:rPr>
        <w:t>Amning</w:t>
      </w:r>
    </w:p>
    <w:p w14:paraId="7618A559" w14:textId="77777777" w:rsidR="003F530C" w:rsidRPr="00CF5D9E" w:rsidRDefault="003F530C" w:rsidP="008115DB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CF5D9E">
        <w:rPr>
          <w:sz w:val="24"/>
          <w:szCs w:val="24"/>
        </w:rPr>
        <w:t xml:space="preserve">Der foreligger ingen data vedrørende udskillelsen af </w:t>
      </w:r>
      <w:proofErr w:type="spellStart"/>
      <w:r w:rsidRPr="00CF5D9E">
        <w:rPr>
          <w:sz w:val="24"/>
          <w:szCs w:val="24"/>
        </w:rPr>
        <w:t>solifenacin</w:t>
      </w:r>
      <w:proofErr w:type="spellEnd"/>
      <w:r w:rsidRPr="00CF5D9E">
        <w:rPr>
          <w:sz w:val="24"/>
          <w:szCs w:val="24"/>
        </w:rPr>
        <w:t xml:space="preserve"> i modermælk hos mennesker.</w:t>
      </w:r>
    </w:p>
    <w:p w14:paraId="2A8C4B0F" w14:textId="0C5D6D70" w:rsidR="003F530C" w:rsidRPr="00CF5D9E" w:rsidRDefault="003F530C" w:rsidP="008115DB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CF5D9E">
        <w:rPr>
          <w:sz w:val="24"/>
          <w:szCs w:val="24"/>
        </w:rPr>
        <w:t xml:space="preserve">Hos mus blev </w:t>
      </w:r>
      <w:proofErr w:type="spellStart"/>
      <w:r w:rsidRPr="00CF5D9E">
        <w:rPr>
          <w:sz w:val="24"/>
          <w:szCs w:val="24"/>
        </w:rPr>
        <w:t>solifenacin</w:t>
      </w:r>
      <w:proofErr w:type="spellEnd"/>
      <w:r w:rsidRPr="00CF5D9E">
        <w:rPr>
          <w:sz w:val="24"/>
          <w:szCs w:val="24"/>
        </w:rPr>
        <w:t xml:space="preserve"> og/eller dets </w:t>
      </w:r>
      <w:proofErr w:type="spellStart"/>
      <w:r w:rsidRPr="00CF5D9E">
        <w:rPr>
          <w:sz w:val="24"/>
          <w:szCs w:val="24"/>
        </w:rPr>
        <w:t>metabolitter</w:t>
      </w:r>
      <w:proofErr w:type="spellEnd"/>
      <w:r w:rsidRPr="00CF5D9E">
        <w:rPr>
          <w:sz w:val="24"/>
          <w:szCs w:val="24"/>
        </w:rPr>
        <w:t xml:space="preserve"> udskilt i mælk og forårsagede en dosisafhængig mangel på trivsel hos nyfødte mus (se pkt. 5.3). </w:t>
      </w:r>
      <w:proofErr w:type="spellStart"/>
      <w:r w:rsidRPr="00CF5D9E">
        <w:rPr>
          <w:sz w:val="24"/>
          <w:szCs w:val="24"/>
        </w:rPr>
        <w:t>Solifenacinsuccinat</w:t>
      </w:r>
      <w:proofErr w:type="spellEnd"/>
      <w:r w:rsidRPr="00CF5D9E">
        <w:rPr>
          <w:sz w:val="24"/>
          <w:szCs w:val="24"/>
        </w:rPr>
        <w:t xml:space="preserve"> </w:t>
      </w:r>
      <w:r w:rsidR="00A27D7D">
        <w:rPr>
          <w:sz w:val="24"/>
          <w:szCs w:val="24"/>
        </w:rPr>
        <w:t>”</w:t>
      </w:r>
      <w:proofErr w:type="spellStart"/>
      <w:r w:rsidR="00A27D7D">
        <w:rPr>
          <w:sz w:val="24"/>
          <w:szCs w:val="24"/>
        </w:rPr>
        <w:t>Accord</w:t>
      </w:r>
      <w:proofErr w:type="spellEnd"/>
      <w:r w:rsidR="00A27D7D">
        <w:rPr>
          <w:sz w:val="24"/>
          <w:szCs w:val="24"/>
        </w:rPr>
        <w:t>”</w:t>
      </w:r>
      <w:r w:rsidRPr="00CF5D9E">
        <w:rPr>
          <w:sz w:val="24"/>
          <w:szCs w:val="24"/>
        </w:rPr>
        <w:t xml:space="preserve"> bør derfor ikke anvendes under amning.</w:t>
      </w:r>
    </w:p>
    <w:p w14:paraId="44436236" w14:textId="77777777" w:rsidR="00B003BF" w:rsidRPr="00CF5D9E" w:rsidRDefault="00B003BF" w:rsidP="00CF5D9E">
      <w:pPr>
        <w:ind w:left="851" w:hanging="851"/>
        <w:rPr>
          <w:sz w:val="24"/>
          <w:szCs w:val="24"/>
        </w:rPr>
      </w:pPr>
    </w:p>
    <w:p w14:paraId="681B804A" w14:textId="77777777" w:rsidR="00B003BF" w:rsidRPr="00CF5D9E" w:rsidRDefault="00B003BF" w:rsidP="00CF5D9E">
      <w:pPr>
        <w:ind w:left="851" w:hanging="851"/>
        <w:rPr>
          <w:b/>
          <w:sz w:val="24"/>
          <w:szCs w:val="24"/>
        </w:rPr>
      </w:pPr>
      <w:r w:rsidRPr="00CF5D9E">
        <w:rPr>
          <w:b/>
          <w:sz w:val="24"/>
          <w:szCs w:val="24"/>
        </w:rPr>
        <w:t>4.7</w:t>
      </w:r>
      <w:r w:rsidRPr="00CF5D9E">
        <w:rPr>
          <w:b/>
          <w:sz w:val="24"/>
          <w:szCs w:val="24"/>
        </w:rPr>
        <w:tab/>
        <w:t>Virkninger på evnen til at føre motorkøretøj eller betjene maskiner</w:t>
      </w:r>
    </w:p>
    <w:p w14:paraId="07679C7B" w14:textId="77777777" w:rsidR="00082DA9" w:rsidRDefault="00B003BF" w:rsidP="00CF5D9E">
      <w:pPr>
        <w:pStyle w:val="Brdtekst2"/>
        <w:ind w:left="851" w:hanging="851"/>
        <w:jc w:val="left"/>
        <w:rPr>
          <w:szCs w:val="24"/>
          <w:lang w:val="da-DK"/>
        </w:rPr>
      </w:pPr>
      <w:r w:rsidRPr="00082DA9">
        <w:rPr>
          <w:szCs w:val="24"/>
          <w:lang w:val="da-DK"/>
        </w:rPr>
        <w:tab/>
      </w:r>
      <w:r w:rsidR="00082DA9">
        <w:rPr>
          <w:szCs w:val="24"/>
          <w:lang w:val="da-DK"/>
        </w:rPr>
        <w:t>Ikke mærkning.</w:t>
      </w:r>
    </w:p>
    <w:p w14:paraId="150F9258" w14:textId="2CEAD6DA" w:rsidR="003F530C" w:rsidRPr="00CF5D9E" w:rsidRDefault="003F530C" w:rsidP="00082DA9">
      <w:pPr>
        <w:pStyle w:val="Brdtekst2"/>
        <w:ind w:left="851"/>
        <w:jc w:val="left"/>
        <w:rPr>
          <w:szCs w:val="24"/>
          <w:lang w:val="da-DK"/>
        </w:rPr>
      </w:pPr>
      <w:r w:rsidRPr="00CF5D9E">
        <w:rPr>
          <w:szCs w:val="24"/>
          <w:lang w:val="da-DK"/>
        </w:rPr>
        <w:t xml:space="preserve">Eftersom </w:t>
      </w:r>
      <w:proofErr w:type="spellStart"/>
      <w:r w:rsidRPr="00CF5D9E">
        <w:rPr>
          <w:szCs w:val="24"/>
          <w:lang w:val="da-DK"/>
        </w:rPr>
        <w:t>solifenacin</w:t>
      </w:r>
      <w:proofErr w:type="spellEnd"/>
      <w:r w:rsidRPr="00CF5D9E">
        <w:rPr>
          <w:szCs w:val="24"/>
          <w:lang w:val="da-DK"/>
        </w:rPr>
        <w:t xml:space="preserve"> ligesom øvrige </w:t>
      </w:r>
      <w:proofErr w:type="spellStart"/>
      <w:r w:rsidRPr="00CF5D9E">
        <w:rPr>
          <w:szCs w:val="24"/>
          <w:lang w:val="da-DK"/>
        </w:rPr>
        <w:t>anticholinergika</w:t>
      </w:r>
      <w:proofErr w:type="spellEnd"/>
      <w:r w:rsidRPr="00CF5D9E">
        <w:rPr>
          <w:szCs w:val="24"/>
          <w:lang w:val="da-DK"/>
        </w:rPr>
        <w:t xml:space="preserve"> kan forårsage sløret syn og i sjældne tilfælde </w:t>
      </w:r>
      <w:proofErr w:type="spellStart"/>
      <w:r w:rsidRPr="00CF5D9E">
        <w:rPr>
          <w:szCs w:val="24"/>
          <w:lang w:val="da-DK"/>
        </w:rPr>
        <w:t>somnolens</w:t>
      </w:r>
      <w:proofErr w:type="spellEnd"/>
      <w:r w:rsidRPr="00CF5D9E">
        <w:rPr>
          <w:szCs w:val="24"/>
          <w:lang w:val="da-DK"/>
        </w:rPr>
        <w:t xml:space="preserve"> og træthed (se pkt. 4.8), kan evnen til at køre bil og betjene maskiner påvirkes negativt.</w:t>
      </w:r>
    </w:p>
    <w:p w14:paraId="0FB9CB08" w14:textId="77777777" w:rsidR="00B003BF" w:rsidRPr="00CF5D9E" w:rsidRDefault="00B003BF" w:rsidP="00CF5D9E">
      <w:pPr>
        <w:ind w:left="851" w:hanging="851"/>
        <w:rPr>
          <w:sz w:val="24"/>
          <w:szCs w:val="24"/>
        </w:rPr>
      </w:pPr>
    </w:p>
    <w:p w14:paraId="65AEAEAC" w14:textId="77777777" w:rsidR="00B003BF" w:rsidRPr="00CF5D9E" w:rsidRDefault="00B003BF" w:rsidP="00CF5D9E">
      <w:pPr>
        <w:ind w:left="851" w:hanging="851"/>
        <w:rPr>
          <w:b/>
          <w:sz w:val="24"/>
          <w:szCs w:val="24"/>
        </w:rPr>
      </w:pPr>
      <w:r w:rsidRPr="00CF5D9E">
        <w:rPr>
          <w:b/>
          <w:sz w:val="24"/>
          <w:szCs w:val="24"/>
        </w:rPr>
        <w:t>4.8</w:t>
      </w:r>
      <w:r w:rsidRPr="00CF5D9E">
        <w:rPr>
          <w:b/>
          <w:sz w:val="24"/>
          <w:szCs w:val="24"/>
        </w:rPr>
        <w:tab/>
        <w:t>Bivirkninger</w:t>
      </w:r>
    </w:p>
    <w:p w14:paraId="136610C2" w14:textId="77777777" w:rsidR="003F530C" w:rsidRPr="00CF5D9E" w:rsidRDefault="00B003BF" w:rsidP="00CF5D9E">
      <w:pPr>
        <w:pStyle w:val="Brdtekst2"/>
        <w:ind w:left="851" w:hanging="851"/>
        <w:jc w:val="left"/>
        <w:rPr>
          <w:szCs w:val="24"/>
          <w:lang w:val="da-DK"/>
        </w:rPr>
      </w:pPr>
      <w:r w:rsidRPr="004E2258">
        <w:rPr>
          <w:szCs w:val="24"/>
          <w:lang w:val="da-DK"/>
        </w:rPr>
        <w:tab/>
      </w:r>
    </w:p>
    <w:p w14:paraId="4D9D8DA2" w14:textId="77777777" w:rsidR="003F530C" w:rsidRPr="00CF5D9E" w:rsidRDefault="003F530C" w:rsidP="008115DB">
      <w:pPr>
        <w:pStyle w:val="Brdtekst2"/>
        <w:ind w:left="851"/>
        <w:jc w:val="left"/>
        <w:rPr>
          <w:szCs w:val="24"/>
          <w:u w:val="single"/>
          <w:lang w:val="da-DK"/>
        </w:rPr>
      </w:pPr>
      <w:r w:rsidRPr="00CF5D9E">
        <w:rPr>
          <w:szCs w:val="24"/>
          <w:u w:val="single"/>
          <w:lang w:val="da-DK"/>
        </w:rPr>
        <w:t>Sammenfatning af sikkerhedsprofil</w:t>
      </w:r>
    </w:p>
    <w:p w14:paraId="304F71AB" w14:textId="5510946E" w:rsidR="003F530C" w:rsidRPr="00CF5D9E" w:rsidRDefault="003F530C" w:rsidP="008115DB">
      <w:pPr>
        <w:pStyle w:val="Brdtekst2"/>
        <w:ind w:left="851"/>
        <w:jc w:val="left"/>
        <w:rPr>
          <w:szCs w:val="24"/>
          <w:lang w:val="da-DK"/>
        </w:rPr>
      </w:pPr>
      <w:r w:rsidRPr="00CF5D9E">
        <w:rPr>
          <w:szCs w:val="24"/>
          <w:lang w:val="da-DK"/>
        </w:rPr>
        <w:t xml:space="preserve">På grund af den farmakologiske effekt af </w:t>
      </w:r>
      <w:proofErr w:type="spellStart"/>
      <w:r w:rsidRPr="00CF5D9E">
        <w:rPr>
          <w:szCs w:val="24"/>
          <w:lang w:val="da-DK"/>
        </w:rPr>
        <w:t>solifenacin</w:t>
      </w:r>
      <w:proofErr w:type="spellEnd"/>
      <w:r w:rsidRPr="00CF5D9E">
        <w:rPr>
          <w:szCs w:val="24"/>
          <w:lang w:val="da-DK"/>
        </w:rPr>
        <w:t xml:space="preserve">, kan </w:t>
      </w:r>
      <w:proofErr w:type="spellStart"/>
      <w:r w:rsidRPr="00CF5D9E">
        <w:rPr>
          <w:szCs w:val="24"/>
          <w:lang w:val="da-DK"/>
        </w:rPr>
        <w:t>solifenacinsuccinat</w:t>
      </w:r>
      <w:proofErr w:type="spellEnd"/>
      <w:r w:rsidRPr="00CF5D9E">
        <w:rPr>
          <w:szCs w:val="24"/>
          <w:lang w:val="da-DK"/>
        </w:rPr>
        <w:t xml:space="preserve"> </w:t>
      </w:r>
      <w:r w:rsidR="00A27D7D">
        <w:rPr>
          <w:szCs w:val="24"/>
          <w:lang w:val="da-DK"/>
        </w:rPr>
        <w:t>”</w:t>
      </w:r>
      <w:proofErr w:type="spellStart"/>
      <w:r w:rsidR="00A27D7D">
        <w:rPr>
          <w:szCs w:val="24"/>
          <w:lang w:val="da-DK"/>
        </w:rPr>
        <w:t>Accord</w:t>
      </w:r>
      <w:proofErr w:type="spellEnd"/>
      <w:r w:rsidR="00A27D7D">
        <w:rPr>
          <w:szCs w:val="24"/>
          <w:lang w:val="da-DK"/>
        </w:rPr>
        <w:t>”</w:t>
      </w:r>
      <w:r w:rsidRPr="00CF5D9E">
        <w:rPr>
          <w:szCs w:val="24"/>
          <w:lang w:val="da-DK"/>
        </w:rPr>
        <w:t xml:space="preserve"> forårsage </w:t>
      </w:r>
      <w:proofErr w:type="spellStart"/>
      <w:r w:rsidRPr="00CF5D9E">
        <w:rPr>
          <w:szCs w:val="24"/>
          <w:lang w:val="da-DK"/>
        </w:rPr>
        <w:t>anticholinerge</w:t>
      </w:r>
      <w:proofErr w:type="spellEnd"/>
      <w:r w:rsidRPr="00CF5D9E">
        <w:rPr>
          <w:szCs w:val="24"/>
          <w:lang w:val="da-DK"/>
        </w:rPr>
        <w:t xml:space="preserve"> bivirkninger (generelt) af mild eller moderat grad. Hyppigheden af </w:t>
      </w:r>
      <w:proofErr w:type="spellStart"/>
      <w:r w:rsidRPr="00CF5D9E">
        <w:rPr>
          <w:szCs w:val="24"/>
          <w:lang w:val="da-DK"/>
        </w:rPr>
        <w:t>anticholinerge</w:t>
      </w:r>
      <w:proofErr w:type="spellEnd"/>
      <w:r w:rsidRPr="00CF5D9E">
        <w:rPr>
          <w:szCs w:val="24"/>
          <w:lang w:val="da-DK"/>
        </w:rPr>
        <w:t xml:space="preserve"> bivirkninger er dosisrelateret.</w:t>
      </w:r>
    </w:p>
    <w:p w14:paraId="72C88396" w14:textId="77777777" w:rsidR="003F530C" w:rsidRPr="00CF5D9E" w:rsidRDefault="003F530C" w:rsidP="00CF5D9E">
      <w:pPr>
        <w:pStyle w:val="Brdtekst2"/>
        <w:ind w:left="851" w:hanging="851"/>
        <w:jc w:val="left"/>
        <w:rPr>
          <w:szCs w:val="24"/>
          <w:lang w:val="da-DK"/>
        </w:rPr>
      </w:pPr>
    </w:p>
    <w:p w14:paraId="116D02DD" w14:textId="77777777" w:rsidR="003F530C" w:rsidRPr="00CF5D9E" w:rsidRDefault="003F530C" w:rsidP="008115DB">
      <w:pPr>
        <w:pStyle w:val="Brdtekst2"/>
        <w:ind w:left="851"/>
        <w:jc w:val="left"/>
        <w:rPr>
          <w:szCs w:val="24"/>
          <w:lang w:val="da-DK"/>
        </w:rPr>
      </w:pPr>
      <w:r w:rsidRPr="00CF5D9E">
        <w:rPr>
          <w:szCs w:val="24"/>
          <w:lang w:val="da-DK"/>
        </w:rPr>
        <w:t xml:space="preserve">Den hyppigst rapporterede bivirkning ved brug af </w:t>
      </w:r>
      <w:proofErr w:type="spellStart"/>
      <w:r w:rsidRPr="00CF5D9E">
        <w:rPr>
          <w:szCs w:val="24"/>
          <w:lang w:val="da-DK"/>
        </w:rPr>
        <w:t>solifenacin</w:t>
      </w:r>
      <w:proofErr w:type="spellEnd"/>
      <w:r w:rsidRPr="00CF5D9E">
        <w:rPr>
          <w:szCs w:val="24"/>
          <w:lang w:val="da-DK"/>
        </w:rPr>
        <w:t xml:space="preserve"> er mundtørhed. Mundtørhed forekom hos 11 % af de patienter, der blev behandlet med 5 mg én gang dagligt, hos 22 % af de patienter, der blev behandlet med 10 mg én gang dagligt og hos 4 % af de patienter, der blev behandlet med placebo. Graden af mundtørhed var generelt mild og førte kun lejlighedsvis til afbrydelse af behandlingen. Generelt var </w:t>
      </w:r>
      <w:proofErr w:type="spellStart"/>
      <w:r w:rsidRPr="00CF5D9E">
        <w:rPr>
          <w:szCs w:val="24"/>
          <w:lang w:val="da-DK"/>
        </w:rPr>
        <w:t>compliance</w:t>
      </w:r>
      <w:proofErr w:type="spellEnd"/>
      <w:r w:rsidRPr="00CF5D9E">
        <w:rPr>
          <w:szCs w:val="24"/>
          <w:lang w:val="da-DK"/>
        </w:rPr>
        <w:t xml:space="preserve"> meget høj (ca. 99 %), og ca. 90 % af de patienter, der blev behandlet med </w:t>
      </w:r>
      <w:proofErr w:type="spellStart"/>
      <w:r w:rsidRPr="00CF5D9E">
        <w:rPr>
          <w:szCs w:val="24"/>
          <w:lang w:val="da-DK"/>
        </w:rPr>
        <w:t>solifenacin</w:t>
      </w:r>
      <w:proofErr w:type="spellEnd"/>
      <w:r w:rsidRPr="00CF5D9E">
        <w:rPr>
          <w:szCs w:val="24"/>
          <w:lang w:val="da-DK"/>
        </w:rPr>
        <w:t>, gennemførte den fulde studiebehandlingsperiode på 12 uger.</w:t>
      </w:r>
    </w:p>
    <w:p w14:paraId="1E138505" w14:textId="77777777" w:rsidR="003F530C" w:rsidRPr="00CF5D9E" w:rsidRDefault="003F530C" w:rsidP="00CF5D9E">
      <w:pPr>
        <w:pStyle w:val="Brdtekst2"/>
        <w:ind w:left="851" w:hanging="851"/>
        <w:jc w:val="left"/>
        <w:rPr>
          <w:szCs w:val="24"/>
          <w:lang w:val="da-DK"/>
        </w:rPr>
      </w:pPr>
    </w:p>
    <w:p w14:paraId="6DE2D526" w14:textId="77777777" w:rsidR="003F530C" w:rsidRPr="00CF5D9E" w:rsidRDefault="003F530C" w:rsidP="00CF5D9E">
      <w:pPr>
        <w:pStyle w:val="Brdtekst2"/>
        <w:ind w:left="851" w:hanging="851"/>
        <w:jc w:val="left"/>
        <w:rPr>
          <w:szCs w:val="24"/>
          <w:u w:val="single"/>
          <w:lang w:val="da-DK"/>
        </w:rPr>
      </w:pPr>
      <w:r w:rsidRPr="00CF5D9E">
        <w:rPr>
          <w:szCs w:val="24"/>
          <w:u w:val="single"/>
          <w:lang w:val="da-DK"/>
        </w:rPr>
        <w:t>Bivirkningstabel</w:t>
      </w:r>
    </w:p>
    <w:p w14:paraId="321805D2" w14:textId="77777777" w:rsidR="003F530C" w:rsidRPr="00CF5D9E" w:rsidRDefault="003F530C" w:rsidP="00CF5D9E">
      <w:pPr>
        <w:pStyle w:val="Brdtekst2"/>
        <w:ind w:left="851" w:hanging="851"/>
        <w:jc w:val="left"/>
        <w:rPr>
          <w:szCs w:val="24"/>
          <w:u w:val="single"/>
          <w:lang w:val="da-D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3"/>
        <w:gridCol w:w="1116"/>
        <w:gridCol w:w="1160"/>
        <w:gridCol w:w="1216"/>
        <w:gridCol w:w="1195"/>
        <w:gridCol w:w="1265"/>
        <w:gridCol w:w="1753"/>
      </w:tblGrid>
      <w:tr w:rsidR="008115DB" w:rsidRPr="008115DB" w14:paraId="0885C09C" w14:textId="77777777" w:rsidTr="008115DB">
        <w:trPr>
          <w:cantSplit/>
          <w:trHeight w:val="1267"/>
          <w:tblHeader/>
        </w:trPr>
        <w:tc>
          <w:tcPr>
            <w:tcW w:w="999" w:type="pct"/>
          </w:tcPr>
          <w:p w14:paraId="5EA41C3C" w14:textId="77777777" w:rsidR="003F530C" w:rsidRPr="008115DB" w:rsidRDefault="003F530C" w:rsidP="008115DB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da-DK"/>
              </w:rPr>
            </w:pPr>
            <w:r w:rsidRPr="008115DB">
              <w:rPr>
                <w:b/>
                <w:bCs/>
                <w:sz w:val="22"/>
                <w:szCs w:val="22"/>
                <w:lang w:val="da-DK"/>
              </w:rPr>
              <w:t>System-organklasse</w:t>
            </w:r>
          </w:p>
        </w:tc>
        <w:tc>
          <w:tcPr>
            <w:tcW w:w="580" w:type="pct"/>
          </w:tcPr>
          <w:p w14:paraId="0BF470D9" w14:textId="2C466C44" w:rsidR="003F530C" w:rsidRPr="008115DB" w:rsidRDefault="003F530C" w:rsidP="008115DB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da-DK"/>
              </w:rPr>
            </w:pPr>
            <w:r w:rsidRPr="008115DB">
              <w:rPr>
                <w:b/>
                <w:bCs/>
                <w:sz w:val="22"/>
                <w:szCs w:val="22"/>
                <w:lang w:val="da-DK"/>
              </w:rPr>
              <w:t>Meget</w:t>
            </w:r>
            <w:r w:rsidR="008115DB" w:rsidRPr="008115DB">
              <w:rPr>
                <w:b/>
                <w:bCs/>
                <w:sz w:val="22"/>
                <w:szCs w:val="22"/>
                <w:lang w:val="da-DK"/>
              </w:rPr>
              <w:t xml:space="preserve"> </w:t>
            </w:r>
            <w:r w:rsidRPr="008115DB">
              <w:rPr>
                <w:b/>
                <w:bCs/>
                <w:sz w:val="22"/>
                <w:szCs w:val="22"/>
                <w:lang w:val="da-DK"/>
              </w:rPr>
              <w:t>almindelig (≥1/10)</w:t>
            </w:r>
          </w:p>
        </w:tc>
        <w:tc>
          <w:tcPr>
            <w:tcW w:w="603" w:type="pct"/>
          </w:tcPr>
          <w:p w14:paraId="3B99E097" w14:textId="77777777" w:rsidR="003F530C" w:rsidRPr="008115DB" w:rsidRDefault="003F530C" w:rsidP="008115DB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da-DK"/>
              </w:rPr>
            </w:pPr>
            <w:r w:rsidRPr="008115DB">
              <w:rPr>
                <w:b/>
                <w:bCs/>
                <w:sz w:val="22"/>
                <w:szCs w:val="22"/>
                <w:lang w:val="da-DK"/>
              </w:rPr>
              <w:t xml:space="preserve">Almindelig </w:t>
            </w:r>
          </w:p>
          <w:p w14:paraId="1949DDB2" w14:textId="77777777" w:rsidR="003F530C" w:rsidRPr="008115DB" w:rsidRDefault="003F530C" w:rsidP="008115DB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da-DK"/>
              </w:rPr>
            </w:pPr>
            <w:r w:rsidRPr="008115DB">
              <w:rPr>
                <w:b/>
                <w:bCs/>
                <w:sz w:val="22"/>
                <w:szCs w:val="22"/>
                <w:lang w:val="da-DK"/>
              </w:rPr>
              <w:t>(≥1/100 til &lt;1/10)</w:t>
            </w:r>
          </w:p>
        </w:tc>
        <w:tc>
          <w:tcPr>
            <w:tcW w:w="632" w:type="pct"/>
          </w:tcPr>
          <w:p w14:paraId="41CAAB2A" w14:textId="77777777" w:rsidR="003F530C" w:rsidRPr="008115DB" w:rsidRDefault="003F530C" w:rsidP="008115DB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da-DK"/>
              </w:rPr>
            </w:pPr>
            <w:r w:rsidRPr="008115DB">
              <w:rPr>
                <w:b/>
                <w:bCs/>
                <w:sz w:val="22"/>
                <w:szCs w:val="22"/>
                <w:lang w:val="da-DK"/>
              </w:rPr>
              <w:t xml:space="preserve">Ikke almindelig </w:t>
            </w:r>
          </w:p>
          <w:p w14:paraId="17153843" w14:textId="77777777" w:rsidR="003F530C" w:rsidRPr="008115DB" w:rsidRDefault="003F530C" w:rsidP="008115DB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da-DK"/>
              </w:rPr>
            </w:pPr>
            <w:r w:rsidRPr="008115DB">
              <w:rPr>
                <w:b/>
                <w:bCs/>
                <w:sz w:val="22"/>
                <w:szCs w:val="22"/>
                <w:lang w:val="da-DK"/>
              </w:rPr>
              <w:t>(≥1/1.000 til &lt;1/100)</w:t>
            </w:r>
          </w:p>
        </w:tc>
        <w:tc>
          <w:tcPr>
            <w:tcW w:w="621" w:type="pct"/>
          </w:tcPr>
          <w:p w14:paraId="241C1930" w14:textId="77777777" w:rsidR="003F530C" w:rsidRPr="008115DB" w:rsidRDefault="003F530C" w:rsidP="008115DB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da-DK"/>
              </w:rPr>
            </w:pPr>
            <w:r w:rsidRPr="008115DB">
              <w:rPr>
                <w:b/>
                <w:bCs/>
                <w:sz w:val="22"/>
                <w:szCs w:val="22"/>
                <w:lang w:val="da-DK"/>
              </w:rPr>
              <w:t xml:space="preserve">Sjælden </w:t>
            </w:r>
          </w:p>
          <w:p w14:paraId="64FF1EC7" w14:textId="77777777" w:rsidR="003F530C" w:rsidRPr="008115DB" w:rsidRDefault="003F530C" w:rsidP="008115DB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da-DK"/>
              </w:rPr>
            </w:pPr>
            <w:r w:rsidRPr="008115DB">
              <w:rPr>
                <w:b/>
                <w:bCs/>
                <w:sz w:val="22"/>
                <w:szCs w:val="22"/>
                <w:lang w:val="da-DK"/>
              </w:rPr>
              <w:t>(≥ 1/10.000 til &lt;1/1,000)</w:t>
            </w:r>
          </w:p>
        </w:tc>
        <w:tc>
          <w:tcPr>
            <w:tcW w:w="653" w:type="pct"/>
          </w:tcPr>
          <w:p w14:paraId="2A4C980E" w14:textId="77777777" w:rsidR="003F530C" w:rsidRPr="008115DB" w:rsidRDefault="003F530C" w:rsidP="008115DB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da-DK"/>
              </w:rPr>
            </w:pPr>
            <w:r w:rsidRPr="008115DB">
              <w:rPr>
                <w:b/>
                <w:bCs/>
                <w:sz w:val="22"/>
                <w:szCs w:val="22"/>
                <w:lang w:val="da-DK"/>
              </w:rPr>
              <w:t xml:space="preserve">Meget sjælden </w:t>
            </w:r>
          </w:p>
          <w:p w14:paraId="577209CE" w14:textId="77777777" w:rsidR="003F530C" w:rsidRPr="008115DB" w:rsidRDefault="003F530C" w:rsidP="008115DB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da-DK"/>
              </w:rPr>
            </w:pPr>
            <w:r w:rsidRPr="008115DB">
              <w:rPr>
                <w:b/>
                <w:bCs/>
                <w:sz w:val="22"/>
                <w:szCs w:val="22"/>
                <w:lang w:val="da-DK"/>
              </w:rPr>
              <w:t>(&lt;1/10.000)</w:t>
            </w:r>
          </w:p>
        </w:tc>
        <w:tc>
          <w:tcPr>
            <w:tcW w:w="911" w:type="pct"/>
          </w:tcPr>
          <w:p w14:paraId="4CEF10EE" w14:textId="77777777" w:rsidR="003F530C" w:rsidRPr="008115DB" w:rsidRDefault="003F530C" w:rsidP="008115DB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da-DK"/>
              </w:rPr>
            </w:pPr>
            <w:r w:rsidRPr="008115DB">
              <w:rPr>
                <w:b/>
                <w:bCs/>
                <w:sz w:val="22"/>
                <w:szCs w:val="22"/>
                <w:lang w:val="da-DK"/>
              </w:rPr>
              <w:t>Ikke kendt</w:t>
            </w:r>
          </w:p>
          <w:p w14:paraId="0A696649" w14:textId="77777777" w:rsidR="003F530C" w:rsidRPr="008115DB" w:rsidRDefault="003F530C" w:rsidP="008115DB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da-DK"/>
              </w:rPr>
            </w:pPr>
            <w:r w:rsidRPr="008115DB">
              <w:rPr>
                <w:b/>
                <w:bCs/>
                <w:sz w:val="22"/>
                <w:szCs w:val="22"/>
                <w:lang w:val="da-DK"/>
              </w:rPr>
              <w:t>(</w:t>
            </w:r>
            <w:proofErr w:type="gramStart"/>
            <w:r w:rsidRPr="008115DB">
              <w:rPr>
                <w:b/>
                <w:bCs/>
                <w:sz w:val="22"/>
                <w:szCs w:val="22"/>
                <w:lang w:val="da-DK"/>
              </w:rPr>
              <w:t>kan</w:t>
            </w:r>
            <w:proofErr w:type="gramEnd"/>
            <w:r w:rsidRPr="008115DB">
              <w:rPr>
                <w:b/>
                <w:bCs/>
                <w:sz w:val="22"/>
                <w:szCs w:val="22"/>
                <w:lang w:val="da-DK"/>
              </w:rPr>
              <w:t xml:space="preserve"> ikke estimeres ud fra de </w:t>
            </w:r>
            <w:proofErr w:type="spellStart"/>
            <w:r w:rsidRPr="008115DB">
              <w:rPr>
                <w:b/>
                <w:bCs/>
                <w:sz w:val="22"/>
                <w:szCs w:val="22"/>
                <w:lang w:val="da-DK"/>
              </w:rPr>
              <w:t>forhånden-værende</w:t>
            </w:r>
            <w:proofErr w:type="spellEnd"/>
            <w:r w:rsidRPr="008115DB">
              <w:rPr>
                <w:b/>
                <w:bCs/>
                <w:sz w:val="22"/>
                <w:szCs w:val="22"/>
                <w:lang w:val="da-DK"/>
              </w:rPr>
              <w:t xml:space="preserve"> data)</w:t>
            </w:r>
          </w:p>
        </w:tc>
      </w:tr>
      <w:tr w:rsidR="008115DB" w:rsidRPr="008115DB" w14:paraId="5E3D169F" w14:textId="77777777" w:rsidTr="008115DB">
        <w:trPr>
          <w:trHeight w:val="1003"/>
        </w:trPr>
        <w:tc>
          <w:tcPr>
            <w:tcW w:w="999" w:type="pct"/>
          </w:tcPr>
          <w:p w14:paraId="0E3ADC18" w14:textId="474E9829" w:rsidR="003F530C" w:rsidRPr="008115DB" w:rsidRDefault="008115DB" w:rsidP="008115DB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da-DK"/>
              </w:rPr>
            </w:pPr>
            <w:r w:rsidRPr="008115DB">
              <w:rPr>
                <w:sz w:val="22"/>
                <w:szCs w:val="22"/>
                <w:lang w:val="da-DK"/>
              </w:rPr>
              <w:t xml:space="preserve">Infektioner og </w:t>
            </w:r>
            <w:r w:rsidR="003F530C" w:rsidRPr="008115DB">
              <w:rPr>
                <w:sz w:val="22"/>
                <w:szCs w:val="22"/>
                <w:lang w:val="da-DK"/>
              </w:rPr>
              <w:t xml:space="preserve">parasitære sygdomme </w:t>
            </w:r>
          </w:p>
        </w:tc>
        <w:tc>
          <w:tcPr>
            <w:tcW w:w="580" w:type="pct"/>
          </w:tcPr>
          <w:p w14:paraId="031A39C6" w14:textId="2C4D6C8E" w:rsidR="003F530C" w:rsidRPr="008115DB" w:rsidRDefault="003F530C" w:rsidP="008115DB">
            <w:pPr>
              <w:rPr>
                <w:sz w:val="22"/>
                <w:szCs w:val="22"/>
              </w:rPr>
            </w:pPr>
          </w:p>
        </w:tc>
        <w:tc>
          <w:tcPr>
            <w:tcW w:w="603" w:type="pct"/>
          </w:tcPr>
          <w:p w14:paraId="2027051F" w14:textId="314A4A2B" w:rsidR="003F530C" w:rsidRPr="008115DB" w:rsidRDefault="003F530C" w:rsidP="008115DB">
            <w:pPr>
              <w:rPr>
                <w:sz w:val="22"/>
                <w:szCs w:val="22"/>
              </w:rPr>
            </w:pPr>
          </w:p>
        </w:tc>
        <w:tc>
          <w:tcPr>
            <w:tcW w:w="632" w:type="pct"/>
          </w:tcPr>
          <w:p w14:paraId="13FC45D7" w14:textId="77777777" w:rsidR="003F530C" w:rsidRPr="008115DB" w:rsidRDefault="003F530C" w:rsidP="008115DB">
            <w:pPr>
              <w:rPr>
                <w:sz w:val="22"/>
                <w:szCs w:val="22"/>
              </w:rPr>
            </w:pPr>
            <w:proofErr w:type="spellStart"/>
            <w:r w:rsidRPr="008115DB">
              <w:rPr>
                <w:sz w:val="22"/>
                <w:szCs w:val="22"/>
                <w:lang w:eastAsia="da-DK"/>
              </w:rPr>
              <w:t>Urinvejsin-fektion</w:t>
            </w:r>
            <w:proofErr w:type="spellEnd"/>
            <w:r w:rsidRPr="008115DB">
              <w:rPr>
                <w:sz w:val="22"/>
                <w:szCs w:val="22"/>
                <w:lang w:eastAsia="da-DK"/>
              </w:rPr>
              <w:t>, blære- betændelse</w:t>
            </w:r>
            <w:r w:rsidRPr="008115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621" w:type="pct"/>
          </w:tcPr>
          <w:p w14:paraId="50100FD6" w14:textId="0A0C3183" w:rsidR="003F530C" w:rsidRPr="008115DB" w:rsidRDefault="003F530C" w:rsidP="008115DB">
            <w:pPr>
              <w:rPr>
                <w:sz w:val="22"/>
                <w:szCs w:val="22"/>
              </w:rPr>
            </w:pPr>
          </w:p>
        </w:tc>
        <w:tc>
          <w:tcPr>
            <w:tcW w:w="653" w:type="pct"/>
          </w:tcPr>
          <w:p w14:paraId="133C7091" w14:textId="10D4128F" w:rsidR="003F530C" w:rsidRPr="008115DB" w:rsidRDefault="003F530C" w:rsidP="008115DB">
            <w:pPr>
              <w:rPr>
                <w:sz w:val="22"/>
                <w:szCs w:val="22"/>
              </w:rPr>
            </w:pPr>
          </w:p>
        </w:tc>
        <w:tc>
          <w:tcPr>
            <w:tcW w:w="911" w:type="pct"/>
          </w:tcPr>
          <w:p w14:paraId="10B72CC4" w14:textId="32D8B29F" w:rsidR="003F530C" w:rsidRPr="008115DB" w:rsidRDefault="003F530C" w:rsidP="008115DB">
            <w:pPr>
              <w:rPr>
                <w:sz w:val="22"/>
                <w:szCs w:val="22"/>
              </w:rPr>
            </w:pPr>
          </w:p>
        </w:tc>
      </w:tr>
      <w:tr w:rsidR="008115DB" w:rsidRPr="008115DB" w14:paraId="7D1546A0" w14:textId="77777777" w:rsidTr="008115DB">
        <w:trPr>
          <w:trHeight w:val="765"/>
        </w:trPr>
        <w:tc>
          <w:tcPr>
            <w:tcW w:w="999" w:type="pct"/>
          </w:tcPr>
          <w:p w14:paraId="6899AD2C" w14:textId="77777777" w:rsidR="003F530C" w:rsidRPr="008115DB" w:rsidRDefault="003F530C" w:rsidP="008115DB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da-DK"/>
              </w:rPr>
            </w:pPr>
            <w:r w:rsidRPr="008115DB">
              <w:rPr>
                <w:sz w:val="22"/>
                <w:szCs w:val="22"/>
                <w:lang w:val="da-DK"/>
              </w:rPr>
              <w:t>Immunsystemet</w:t>
            </w:r>
          </w:p>
        </w:tc>
        <w:tc>
          <w:tcPr>
            <w:tcW w:w="580" w:type="pct"/>
          </w:tcPr>
          <w:p w14:paraId="6A9561E6" w14:textId="3E4939DB" w:rsidR="003F530C" w:rsidRPr="008115DB" w:rsidRDefault="003F530C" w:rsidP="008115DB">
            <w:pPr>
              <w:rPr>
                <w:sz w:val="22"/>
                <w:szCs w:val="22"/>
              </w:rPr>
            </w:pPr>
          </w:p>
        </w:tc>
        <w:tc>
          <w:tcPr>
            <w:tcW w:w="603" w:type="pct"/>
          </w:tcPr>
          <w:p w14:paraId="7FD9AA7D" w14:textId="1A3D53F6" w:rsidR="003F530C" w:rsidRPr="008115DB" w:rsidRDefault="003F530C" w:rsidP="008115DB">
            <w:pPr>
              <w:rPr>
                <w:sz w:val="22"/>
                <w:szCs w:val="22"/>
              </w:rPr>
            </w:pPr>
          </w:p>
        </w:tc>
        <w:tc>
          <w:tcPr>
            <w:tcW w:w="632" w:type="pct"/>
          </w:tcPr>
          <w:p w14:paraId="5C6E79DD" w14:textId="3DCAD032" w:rsidR="003F530C" w:rsidRPr="008115DB" w:rsidRDefault="003F530C" w:rsidP="008115DB">
            <w:pPr>
              <w:rPr>
                <w:sz w:val="22"/>
                <w:szCs w:val="22"/>
              </w:rPr>
            </w:pPr>
          </w:p>
        </w:tc>
        <w:tc>
          <w:tcPr>
            <w:tcW w:w="621" w:type="pct"/>
          </w:tcPr>
          <w:p w14:paraId="15460840" w14:textId="28A1E11D" w:rsidR="003F530C" w:rsidRPr="008115DB" w:rsidRDefault="003F530C" w:rsidP="008115DB">
            <w:pPr>
              <w:rPr>
                <w:sz w:val="22"/>
                <w:szCs w:val="22"/>
              </w:rPr>
            </w:pPr>
          </w:p>
        </w:tc>
        <w:tc>
          <w:tcPr>
            <w:tcW w:w="653" w:type="pct"/>
          </w:tcPr>
          <w:p w14:paraId="3AB7477B" w14:textId="6545CBEE" w:rsidR="003F530C" w:rsidRPr="008115DB" w:rsidRDefault="003F530C" w:rsidP="008115DB">
            <w:pPr>
              <w:rPr>
                <w:sz w:val="22"/>
                <w:szCs w:val="22"/>
              </w:rPr>
            </w:pPr>
          </w:p>
        </w:tc>
        <w:tc>
          <w:tcPr>
            <w:tcW w:w="911" w:type="pct"/>
          </w:tcPr>
          <w:p w14:paraId="243E176C" w14:textId="77777777" w:rsidR="003F530C" w:rsidRPr="008115DB" w:rsidRDefault="003F530C" w:rsidP="008115DB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da-DK"/>
              </w:rPr>
            </w:pPr>
            <w:proofErr w:type="spellStart"/>
            <w:r w:rsidRPr="008115DB">
              <w:rPr>
                <w:sz w:val="22"/>
                <w:szCs w:val="22"/>
                <w:lang w:val="da-DK"/>
              </w:rPr>
              <w:t>Anafylaktisk</w:t>
            </w:r>
            <w:proofErr w:type="spellEnd"/>
            <w:r w:rsidRPr="008115DB">
              <w:rPr>
                <w:sz w:val="22"/>
                <w:szCs w:val="22"/>
                <w:lang w:val="da-DK"/>
              </w:rPr>
              <w:t xml:space="preserve"> reaktion* </w:t>
            </w:r>
          </w:p>
        </w:tc>
      </w:tr>
      <w:tr w:rsidR="008115DB" w:rsidRPr="008115DB" w14:paraId="2D8E89EA" w14:textId="77777777" w:rsidTr="008115DB">
        <w:trPr>
          <w:trHeight w:val="1003"/>
        </w:trPr>
        <w:tc>
          <w:tcPr>
            <w:tcW w:w="999" w:type="pct"/>
          </w:tcPr>
          <w:p w14:paraId="34435166" w14:textId="77777777" w:rsidR="003F530C" w:rsidRPr="008115DB" w:rsidRDefault="003F530C" w:rsidP="008115DB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da-DK"/>
              </w:rPr>
            </w:pPr>
            <w:r w:rsidRPr="008115DB">
              <w:rPr>
                <w:sz w:val="22"/>
                <w:szCs w:val="22"/>
                <w:lang w:val="da-DK"/>
              </w:rPr>
              <w:t xml:space="preserve">Metabolisme og ernæring </w:t>
            </w:r>
          </w:p>
        </w:tc>
        <w:tc>
          <w:tcPr>
            <w:tcW w:w="580" w:type="pct"/>
          </w:tcPr>
          <w:p w14:paraId="159697D7" w14:textId="41AD64B8" w:rsidR="003F530C" w:rsidRPr="008115DB" w:rsidRDefault="003F530C" w:rsidP="008115DB">
            <w:pPr>
              <w:rPr>
                <w:sz w:val="22"/>
                <w:szCs w:val="22"/>
              </w:rPr>
            </w:pPr>
          </w:p>
        </w:tc>
        <w:tc>
          <w:tcPr>
            <w:tcW w:w="603" w:type="pct"/>
          </w:tcPr>
          <w:p w14:paraId="4D4BC827" w14:textId="33FDB8F7" w:rsidR="003F530C" w:rsidRPr="008115DB" w:rsidRDefault="003F530C" w:rsidP="008115DB">
            <w:pPr>
              <w:rPr>
                <w:sz w:val="22"/>
                <w:szCs w:val="22"/>
              </w:rPr>
            </w:pPr>
          </w:p>
        </w:tc>
        <w:tc>
          <w:tcPr>
            <w:tcW w:w="632" w:type="pct"/>
          </w:tcPr>
          <w:p w14:paraId="6F4A7115" w14:textId="27ADB892" w:rsidR="003F530C" w:rsidRPr="008115DB" w:rsidRDefault="003F530C" w:rsidP="008115DB">
            <w:pPr>
              <w:rPr>
                <w:sz w:val="22"/>
                <w:szCs w:val="22"/>
              </w:rPr>
            </w:pPr>
          </w:p>
        </w:tc>
        <w:tc>
          <w:tcPr>
            <w:tcW w:w="621" w:type="pct"/>
          </w:tcPr>
          <w:p w14:paraId="15E12892" w14:textId="4E8E6E8A" w:rsidR="003F530C" w:rsidRPr="008115DB" w:rsidRDefault="003F530C" w:rsidP="008115DB">
            <w:pPr>
              <w:rPr>
                <w:sz w:val="22"/>
                <w:szCs w:val="22"/>
              </w:rPr>
            </w:pPr>
          </w:p>
        </w:tc>
        <w:tc>
          <w:tcPr>
            <w:tcW w:w="653" w:type="pct"/>
          </w:tcPr>
          <w:p w14:paraId="79DE18EA" w14:textId="49337222" w:rsidR="003F530C" w:rsidRPr="008115DB" w:rsidRDefault="003F530C" w:rsidP="008115DB">
            <w:pPr>
              <w:rPr>
                <w:sz w:val="22"/>
                <w:szCs w:val="22"/>
              </w:rPr>
            </w:pPr>
          </w:p>
        </w:tc>
        <w:tc>
          <w:tcPr>
            <w:tcW w:w="911" w:type="pct"/>
          </w:tcPr>
          <w:p w14:paraId="586ECBD5" w14:textId="77777777" w:rsidR="003F530C" w:rsidRPr="008115DB" w:rsidRDefault="003F530C" w:rsidP="008115DB">
            <w:pPr>
              <w:pStyle w:val="NormalWeb"/>
              <w:rPr>
                <w:sz w:val="22"/>
                <w:szCs w:val="22"/>
                <w:lang w:val="da-DK"/>
              </w:rPr>
            </w:pPr>
            <w:r w:rsidRPr="008115DB">
              <w:rPr>
                <w:sz w:val="22"/>
                <w:szCs w:val="22"/>
                <w:lang w:val="da-DK"/>
              </w:rPr>
              <w:t xml:space="preserve">Nedsat appetit* </w:t>
            </w:r>
            <w:proofErr w:type="spellStart"/>
            <w:r w:rsidRPr="008115DB">
              <w:rPr>
                <w:sz w:val="22"/>
                <w:szCs w:val="22"/>
                <w:lang w:val="da-DK"/>
              </w:rPr>
              <w:t>Hyperkaliæmi</w:t>
            </w:r>
            <w:proofErr w:type="spellEnd"/>
            <w:r w:rsidRPr="008115DB">
              <w:rPr>
                <w:sz w:val="22"/>
                <w:szCs w:val="22"/>
                <w:lang w:val="da-DK"/>
              </w:rPr>
              <w:t xml:space="preserve">* </w:t>
            </w:r>
          </w:p>
        </w:tc>
      </w:tr>
      <w:tr w:rsidR="008115DB" w:rsidRPr="008115DB" w14:paraId="00DED83B" w14:textId="77777777" w:rsidTr="008115DB">
        <w:trPr>
          <w:trHeight w:val="1015"/>
        </w:trPr>
        <w:tc>
          <w:tcPr>
            <w:tcW w:w="999" w:type="pct"/>
          </w:tcPr>
          <w:p w14:paraId="504DA030" w14:textId="77777777" w:rsidR="003F530C" w:rsidRPr="008115DB" w:rsidRDefault="003F530C" w:rsidP="008115DB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da-DK"/>
              </w:rPr>
            </w:pPr>
            <w:r w:rsidRPr="008115DB">
              <w:rPr>
                <w:sz w:val="22"/>
                <w:szCs w:val="22"/>
                <w:lang w:val="da-DK"/>
              </w:rPr>
              <w:t>Psykiske forstyrrelser</w:t>
            </w:r>
          </w:p>
        </w:tc>
        <w:tc>
          <w:tcPr>
            <w:tcW w:w="580" w:type="pct"/>
          </w:tcPr>
          <w:p w14:paraId="4D072488" w14:textId="55AE5F90" w:rsidR="003F530C" w:rsidRPr="008115DB" w:rsidRDefault="003F530C" w:rsidP="008115DB">
            <w:pPr>
              <w:rPr>
                <w:sz w:val="22"/>
                <w:szCs w:val="22"/>
              </w:rPr>
            </w:pPr>
          </w:p>
        </w:tc>
        <w:tc>
          <w:tcPr>
            <w:tcW w:w="603" w:type="pct"/>
          </w:tcPr>
          <w:p w14:paraId="2611601B" w14:textId="1D94EFA8" w:rsidR="003F530C" w:rsidRPr="008115DB" w:rsidRDefault="003F530C" w:rsidP="008115DB">
            <w:pPr>
              <w:rPr>
                <w:sz w:val="22"/>
                <w:szCs w:val="22"/>
              </w:rPr>
            </w:pPr>
          </w:p>
        </w:tc>
        <w:tc>
          <w:tcPr>
            <w:tcW w:w="632" w:type="pct"/>
          </w:tcPr>
          <w:p w14:paraId="03A0B877" w14:textId="75BAB96C" w:rsidR="003F530C" w:rsidRPr="008115DB" w:rsidRDefault="003F530C" w:rsidP="008115DB">
            <w:pPr>
              <w:rPr>
                <w:sz w:val="22"/>
                <w:szCs w:val="22"/>
              </w:rPr>
            </w:pPr>
          </w:p>
        </w:tc>
        <w:tc>
          <w:tcPr>
            <w:tcW w:w="621" w:type="pct"/>
          </w:tcPr>
          <w:p w14:paraId="47D159BD" w14:textId="176869AF" w:rsidR="003F530C" w:rsidRPr="008115DB" w:rsidRDefault="003F530C" w:rsidP="008115DB">
            <w:pPr>
              <w:rPr>
                <w:sz w:val="22"/>
                <w:szCs w:val="22"/>
              </w:rPr>
            </w:pPr>
          </w:p>
        </w:tc>
        <w:tc>
          <w:tcPr>
            <w:tcW w:w="653" w:type="pct"/>
          </w:tcPr>
          <w:p w14:paraId="6E15A427" w14:textId="0FC5ED08" w:rsidR="003F530C" w:rsidRPr="008115DB" w:rsidRDefault="003F530C" w:rsidP="008115DB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da-DK"/>
              </w:rPr>
            </w:pPr>
            <w:proofErr w:type="spellStart"/>
            <w:r w:rsidRPr="008115DB">
              <w:rPr>
                <w:sz w:val="22"/>
                <w:szCs w:val="22"/>
                <w:lang w:val="da-DK"/>
              </w:rPr>
              <w:t>Hallucina-tioner</w:t>
            </w:r>
            <w:proofErr w:type="spellEnd"/>
            <w:r w:rsidRPr="008115DB">
              <w:rPr>
                <w:sz w:val="22"/>
                <w:szCs w:val="22"/>
                <w:lang w:val="da-DK"/>
              </w:rPr>
              <w:t>*,</w:t>
            </w:r>
            <w:r w:rsidR="008115DB">
              <w:rPr>
                <w:sz w:val="22"/>
                <w:szCs w:val="22"/>
                <w:lang w:val="da-DK"/>
              </w:rPr>
              <w:t xml:space="preserve"> </w:t>
            </w:r>
            <w:r w:rsidRPr="008115DB">
              <w:rPr>
                <w:sz w:val="22"/>
                <w:szCs w:val="22"/>
                <w:lang w:val="da-DK"/>
              </w:rPr>
              <w:t xml:space="preserve">forvirret tilstand* </w:t>
            </w:r>
          </w:p>
        </w:tc>
        <w:tc>
          <w:tcPr>
            <w:tcW w:w="911" w:type="pct"/>
          </w:tcPr>
          <w:p w14:paraId="4F476447" w14:textId="77777777" w:rsidR="003F530C" w:rsidRPr="008115DB" w:rsidRDefault="003F530C" w:rsidP="008115DB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da-DK"/>
              </w:rPr>
            </w:pPr>
            <w:r w:rsidRPr="008115DB">
              <w:rPr>
                <w:sz w:val="22"/>
                <w:szCs w:val="22"/>
                <w:lang w:val="da-DK"/>
              </w:rPr>
              <w:t xml:space="preserve">Delirium* </w:t>
            </w:r>
          </w:p>
        </w:tc>
      </w:tr>
      <w:tr w:rsidR="008115DB" w:rsidRPr="008115DB" w14:paraId="52B26D3F" w14:textId="77777777" w:rsidTr="008115DB">
        <w:trPr>
          <w:trHeight w:val="1015"/>
        </w:trPr>
        <w:tc>
          <w:tcPr>
            <w:tcW w:w="999" w:type="pct"/>
          </w:tcPr>
          <w:p w14:paraId="0019FA26" w14:textId="77777777" w:rsidR="003F530C" w:rsidRPr="008115DB" w:rsidRDefault="003F530C" w:rsidP="008115DB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da-DK"/>
              </w:rPr>
            </w:pPr>
            <w:r w:rsidRPr="008115DB">
              <w:rPr>
                <w:sz w:val="22"/>
                <w:szCs w:val="22"/>
                <w:lang w:val="da-DK"/>
              </w:rPr>
              <w:t>Nervesystemet</w:t>
            </w:r>
          </w:p>
        </w:tc>
        <w:tc>
          <w:tcPr>
            <w:tcW w:w="580" w:type="pct"/>
          </w:tcPr>
          <w:p w14:paraId="7F9E2572" w14:textId="372309DF" w:rsidR="003F530C" w:rsidRPr="008115DB" w:rsidRDefault="003F530C" w:rsidP="008115DB">
            <w:pPr>
              <w:rPr>
                <w:sz w:val="22"/>
                <w:szCs w:val="22"/>
              </w:rPr>
            </w:pPr>
          </w:p>
        </w:tc>
        <w:tc>
          <w:tcPr>
            <w:tcW w:w="603" w:type="pct"/>
          </w:tcPr>
          <w:p w14:paraId="710F811B" w14:textId="563E922B" w:rsidR="003F530C" w:rsidRPr="008115DB" w:rsidRDefault="003F530C" w:rsidP="008115DB">
            <w:pPr>
              <w:rPr>
                <w:sz w:val="22"/>
                <w:szCs w:val="22"/>
              </w:rPr>
            </w:pPr>
          </w:p>
        </w:tc>
        <w:tc>
          <w:tcPr>
            <w:tcW w:w="632" w:type="pct"/>
          </w:tcPr>
          <w:p w14:paraId="6AF4D1ED" w14:textId="397A5383" w:rsidR="003F530C" w:rsidRPr="008115DB" w:rsidRDefault="003F530C" w:rsidP="008115DB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da-DK"/>
              </w:rPr>
            </w:pPr>
            <w:proofErr w:type="spellStart"/>
            <w:r w:rsidRPr="008115DB">
              <w:rPr>
                <w:sz w:val="22"/>
                <w:szCs w:val="22"/>
                <w:lang w:val="da-DK"/>
              </w:rPr>
              <w:t>Somnolens</w:t>
            </w:r>
            <w:proofErr w:type="spellEnd"/>
            <w:r w:rsidRPr="008115DB">
              <w:rPr>
                <w:sz w:val="22"/>
                <w:szCs w:val="22"/>
                <w:lang w:val="da-DK"/>
              </w:rPr>
              <w:t>, ændret smags-forstyrrelser</w:t>
            </w:r>
          </w:p>
        </w:tc>
        <w:tc>
          <w:tcPr>
            <w:tcW w:w="621" w:type="pct"/>
          </w:tcPr>
          <w:p w14:paraId="4D265D12" w14:textId="77777777" w:rsidR="003F530C" w:rsidRPr="008115DB" w:rsidRDefault="003F530C" w:rsidP="008115DB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da-DK"/>
              </w:rPr>
            </w:pPr>
            <w:proofErr w:type="spellStart"/>
            <w:r w:rsidRPr="008115DB">
              <w:rPr>
                <w:sz w:val="22"/>
                <w:szCs w:val="22"/>
                <w:lang w:val="da-DK"/>
              </w:rPr>
              <w:t>Svimmel-hed</w:t>
            </w:r>
            <w:proofErr w:type="spellEnd"/>
            <w:r w:rsidRPr="008115DB">
              <w:rPr>
                <w:sz w:val="22"/>
                <w:szCs w:val="22"/>
                <w:lang w:val="da-DK"/>
              </w:rPr>
              <w:t xml:space="preserve">*, Hovedpine* </w:t>
            </w:r>
          </w:p>
        </w:tc>
        <w:tc>
          <w:tcPr>
            <w:tcW w:w="653" w:type="pct"/>
          </w:tcPr>
          <w:p w14:paraId="53CD4BA3" w14:textId="24E2A4E7" w:rsidR="003F530C" w:rsidRPr="008115DB" w:rsidRDefault="003F530C" w:rsidP="008115DB">
            <w:pPr>
              <w:rPr>
                <w:sz w:val="22"/>
                <w:szCs w:val="22"/>
              </w:rPr>
            </w:pPr>
          </w:p>
        </w:tc>
        <w:tc>
          <w:tcPr>
            <w:tcW w:w="911" w:type="pct"/>
          </w:tcPr>
          <w:p w14:paraId="05DB8CBA" w14:textId="25DD035E" w:rsidR="003F530C" w:rsidRPr="008115DB" w:rsidRDefault="003F530C" w:rsidP="008115DB">
            <w:pPr>
              <w:rPr>
                <w:sz w:val="22"/>
                <w:szCs w:val="22"/>
              </w:rPr>
            </w:pPr>
          </w:p>
        </w:tc>
      </w:tr>
      <w:tr w:rsidR="008115DB" w:rsidRPr="008115DB" w14:paraId="446B2FD3" w14:textId="77777777" w:rsidTr="008115DB">
        <w:trPr>
          <w:trHeight w:val="501"/>
        </w:trPr>
        <w:tc>
          <w:tcPr>
            <w:tcW w:w="999" w:type="pct"/>
          </w:tcPr>
          <w:p w14:paraId="2215F423" w14:textId="77777777" w:rsidR="003F530C" w:rsidRPr="008115DB" w:rsidRDefault="003F530C" w:rsidP="008115DB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da-DK"/>
              </w:rPr>
            </w:pPr>
            <w:r w:rsidRPr="008115DB">
              <w:rPr>
                <w:sz w:val="22"/>
                <w:szCs w:val="22"/>
                <w:lang w:val="da-DK"/>
              </w:rPr>
              <w:t xml:space="preserve">Øjne </w:t>
            </w:r>
          </w:p>
        </w:tc>
        <w:tc>
          <w:tcPr>
            <w:tcW w:w="580" w:type="pct"/>
          </w:tcPr>
          <w:p w14:paraId="3F43ABEC" w14:textId="1C30EFAF" w:rsidR="003F530C" w:rsidRPr="008115DB" w:rsidRDefault="003F530C" w:rsidP="008115DB">
            <w:pPr>
              <w:rPr>
                <w:sz w:val="22"/>
                <w:szCs w:val="22"/>
              </w:rPr>
            </w:pPr>
          </w:p>
        </w:tc>
        <w:tc>
          <w:tcPr>
            <w:tcW w:w="603" w:type="pct"/>
          </w:tcPr>
          <w:p w14:paraId="222741F8" w14:textId="77777777" w:rsidR="003F530C" w:rsidRPr="008115DB" w:rsidRDefault="003F530C" w:rsidP="008115DB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da-DK"/>
              </w:rPr>
            </w:pPr>
            <w:r w:rsidRPr="008115DB">
              <w:rPr>
                <w:sz w:val="22"/>
                <w:szCs w:val="22"/>
                <w:lang w:val="da-DK"/>
              </w:rPr>
              <w:t xml:space="preserve">Sløret syn </w:t>
            </w:r>
          </w:p>
        </w:tc>
        <w:tc>
          <w:tcPr>
            <w:tcW w:w="632" w:type="pct"/>
          </w:tcPr>
          <w:p w14:paraId="571A9AA3" w14:textId="77777777" w:rsidR="003F530C" w:rsidRPr="008115DB" w:rsidRDefault="003F530C" w:rsidP="008115DB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da-DK"/>
              </w:rPr>
            </w:pPr>
            <w:r w:rsidRPr="008115DB">
              <w:rPr>
                <w:sz w:val="22"/>
                <w:szCs w:val="22"/>
                <w:lang w:val="da-DK"/>
              </w:rPr>
              <w:t xml:space="preserve">Tørre øjne </w:t>
            </w:r>
          </w:p>
        </w:tc>
        <w:tc>
          <w:tcPr>
            <w:tcW w:w="621" w:type="pct"/>
          </w:tcPr>
          <w:p w14:paraId="32AB4D5C" w14:textId="1300AE71" w:rsidR="003F530C" w:rsidRPr="008115DB" w:rsidRDefault="003F530C" w:rsidP="008115DB">
            <w:pPr>
              <w:rPr>
                <w:sz w:val="22"/>
                <w:szCs w:val="22"/>
              </w:rPr>
            </w:pPr>
          </w:p>
        </w:tc>
        <w:tc>
          <w:tcPr>
            <w:tcW w:w="653" w:type="pct"/>
          </w:tcPr>
          <w:p w14:paraId="70C39CB5" w14:textId="2AD6F1A2" w:rsidR="003F530C" w:rsidRPr="008115DB" w:rsidRDefault="003F530C" w:rsidP="008115DB">
            <w:pPr>
              <w:rPr>
                <w:sz w:val="22"/>
                <w:szCs w:val="22"/>
              </w:rPr>
            </w:pPr>
          </w:p>
        </w:tc>
        <w:tc>
          <w:tcPr>
            <w:tcW w:w="911" w:type="pct"/>
          </w:tcPr>
          <w:p w14:paraId="1B5FC73D" w14:textId="77777777" w:rsidR="003F530C" w:rsidRPr="008115DB" w:rsidRDefault="003F530C" w:rsidP="008115DB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da-DK"/>
              </w:rPr>
            </w:pPr>
            <w:proofErr w:type="spellStart"/>
            <w:r w:rsidRPr="008115DB">
              <w:rPr>
                <w:sz w:val="22"/>
                <w:szCs w:val="22"/>
                <w:lang w:val="da-DK"/>
              </w:rPr>
              <w:t>Glaukom</w:t>
            </w:r>
            <w:proofErr w:type="spellEnd"/>
            <w:r w:rsidRPr="008115DB">
              <w:rPr>
                <w:sz w:val="22"/>
                <w:szCs w:val="22"/>
                <w:lang w:val="da-DK"/>
              </w:rPr>
              <w:t xml:space="preserve">* </w:t>
            </w:r>
          </w:p>
        </w:tc>
      </w:tr>
      <w:tr w:rsidR="008115DB" w:rsidRPr="008115DB" w14:paraId="5ACB81E7" w14:textId="77777777" w:rsidTr="008115DB">
        <w:trPr>
          <w:trHeight w:val="2270"/>
        </w:trPr>
        <w:tc>
          <w:tcPr>
            <w:tcW w:w="999" w:type="pct"/>
          </w:tcPr>
          <w:p w14:paraId="5F168220" w14:textId="77777777" w:rsidR="003F530C" w:rsidRPr="008115DB" w:rsidRDefault="003F530C" w:rsidP="008115DB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da-DK"/>
              </w:rPr>
            </w:pPr>
            <w:r w:rsidRPr="008115DB">
              <w:rPr>
                <w:sz w:val="22"/>
                <w:szCs w:val="22"/>
                <w:lang w:val="da-DK"/>
              </w:rPr>
              <w:t>Hjerte</w:t>
            </w:r>
          </w:p>
        </w:tc>
        <w:tc>
          <w:tcPr>
            <w:tcW w:w="580" w:type="pct"/>
          </w:tcPr>
          <w:p w14:paraId="7D8AE29C" w14:textId="1C67BCC1" w:rsidR="003F530C" w:rsidRPr="008115DB" w:rsidRDefault="003F530C" w:rsidP="008115DB">
            <w:pPr>
              <w:rPr>
                <w:sz w:val="22"/>
                <w:szCs w:val="22"/>
              </w:rPr>
            </w:pPr>
          </w:p>
        </w:tc>
        <w:tc>
          <w:tcPr>
            <w:tcW w:w="603" w:type="pct"/>
          </w:tcPr>
          <w:p w14:paraId="54246478" w14:textId="52C10A16" w:rsidR="003F530C" w:rsidRPr="008115DB" w:rsidRDefault="003F530C" w:rsidP="008115DB">
            <w:pPr>
              <w:rPr>
                <w:sz w:val="22"/>
                <w:szCs w:val="22"/>
              </w:rPr>
            </w:pPr>
          </w:p>
        </w:tc>
        <w:tc>
          <w:tcPr>
            <w:tcW w:w="632" w:type="pct"/>
          </w:tcPr>
          <w:p w14:paraId="132F3BB8" w14:textId="52ACBCE4" w:rsidR="003F530C" w:rsidRPr="008115DB" w:rsidRDefault="003F530C" w:rsidP="008115DB">
            <w:pPr>
              <w:rPr>
                <w:sz w:val="22"/>
                <w:szCs w:val="22"/>
              </w:rPr>
            </w:pPr>
          </w:p>
        </w:tc>
        <w:tc>
          <w:tcPr>
            <w:tcW w:w="621" w:type="pct"/>
          </w:tcPr>
          <w:p w14:paraId="1612B972" w14:textId="47D75AEF" w:rsidR="003F530C" w:rsidRPr="008115DB" w:rsidRDefault="003F530C" w:rsidP="008115DB">
            <w:pPr>
              <w:rPr>
                <w:sz w:val="22"/>
                <w:szCs w:val="22"/>
              </w:rPr>
            </w:pPr>
          </w:p>
        </w:tc>
        <w:tc>
          <w:tcPr>
            <w:tcW w:w="653" w:type="pct"/>
          </w:tcPr>
          <w:p w14:paraId="6760F559" w14:textId="2BC85014" w:rsidR="003F530C" w:rsidRPr="008115DB" w:rsidRDefault="003F530C" w:rsidP="008115DB">
            <w:pPr>
              <w:rPr>
                <w:sz w:val="22"/>
                <w:szCs w:val="22"/>
              </w:rPr>
            </w:pPr>
          </w:p>
        </w:tc>
        <w:tc>
          <w:tcPr>
            <w:tcW w:w="911" w:type="pct"/>
          </w:tcPr>
          <w:p w14:paraId="0DB1343F" w14:textId="77777777" w:rsidR="003F530C" w:rsidRPr="008115DB" w:rsidRDefault="003F530C" w:rsidP="008115DB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da-DK"/>
              </w:rPr>
            </w:pPr>
            <w:proofErr w:type="spellStart"/>
            <w:r w:rsidRPr="008115DB">
              <w:rPr>
                <w:sz w:val="22"/>
                <w:szCs w:val="22"/>
                <w:lang w:val="da-DK"/>
              </w:rPr>
              <w:t>Torsade</w:t>
            </w:r>
            <w:proofErr w:type="spellEnd"/>
            <w:r w:rsidRPr="008115DB">
              <w:rPr>
                <w:sz w:val="22"/>
                <w:szCs w:val="22"/>
                <w:lang w:val="da-DK"/>
              </w:rPr>
              <w:t xml:space="preserve"> de Pointes*, </w:t>
            </w:r>
          </w:p>
          <w:p w14:paraId="622E115A" w14:textId="77777777" w:rsidR="003F530C" w:rsidRPr="008115DB" w:rsidRDefault="003F530C" w:rsidP="008115DB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da-DK"/>
              </w:rPr>
            </w:pPr>
            <w:r w:rsidRPr="008115DB">
              <w:rPr>
                <w:sz w:val="22"/>
                <w:szCs w:val="22"/>
                <w:lang w:val="da-DK"/>
              </w:rPr>
              <w:t xml:space="preserve">QT-forlængelse på EKG*, </w:t>
            </w:r>
          </w:p>
          <w:p w14:paraId="1C5C99F1" w14:textId="77777777" w:rsidR="003F530C" w:rsidRPr="008115DB" w:rsidRDefault="003F530C" w:rsidP="008115DB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da-DK"/>
              </w:rPr>
            </w:pPr>
            <w:proofErr w:type="spellStart"/>
            <w:proofErr w:type="gramStart"/>
            <w:r w:rsidRPr="008115DB">
              <w:rPr>
                <w:sz w:val="22"/>
                <w:szCs w:val="22"/>
                <w:lang w:val="da-DK"/>
              </w:rPr>
              <w:t>atrieflimmer</w:t>
            </w:r>
            <w:proofErr w:type="spellEnd"/>
            <w:proofErr w:type="gramEnd"/>
            <w:r w:rsidRPr="008115DB">
              <w:rPr>
                <w:sz w:val="22"/>
                <w:szCs w:val="22"/>
                <w:lang w:val="da-DK"/>
              </w:rPr>
              <w:t>*,</w:t>
            </w:r>
          </w:p>
          <w:p w14:paraId="278A69C6" w14:textId="77777777" w:rsidR="003F530C" w:rsidRPr="008115DB" w:rsidRDefault="003F530C" w:rsidP="008115DB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da-DK"/>
              </w:rPr>
            </w:pPr>
            <w:proofErr w:type="spellStart"/>
            <w:proofErr w:type="gramStart"/>
            <w:r w:rsidRPr="008115DB">
              <w:rPr>
                <w:sz w:val="22"/>
                <w:szCs w:val="22"/>
                <w:lang w:val="da-DK"/>
              </w:rPr>
              <w:t>palpitationer</w:t>
            </w:r>
            <w:proofErr w:type="spellEnd"/>
            <w:proofErr w:type="gramEnd"/>
            <w:r w:rsidRPr="008115DB">
              <w:rPr>
                <w:sz w:val="22"/>
                <w:szCs w:val="22"/>
                <w:lang w:val="da-DK"/>
              </w:rPr>
              <w:t>*,</w:t>
            </w:r>
          </w:p>
          <w:p w14:paraId="0408A5C1" w14:textId="77777777" w:rsidR="003F530C" w:rsidRPr="008115DB" w:rsidRDefault="003F530C" w:rsidP="008115DB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da-DK"/>
              </w:rPr>
            </w:pPr>
            <w:proofErr w:type="spellStart"/>
            <w:proofErr w:type="gramStart"/>
            <w:r w:rsidRPr="008115DB">
              <w:rPr>
                <w:sz w:val="22"/>
                <w:szCs w:val="22"/>
                <w:lang w:val="da-DK"/>
              </w:rPr>
              <w:t>takykardi</w:t>
            </w:r>
            <w:proofErr w:type="spellEnd"/>
            <w:proofErr w:type="gramEnd"/>
            <w:r w:rsidRPr="008115DB">
              <w:rPr>
                <w:sz w:val="22"/>
                <w:szCs w:val="22"/>
                <w:lang w:val="da-DK"/>
              </w:rPr>
              <w:t>*</w:t>
            </w:r>
          </w:p>
        </w:tc>
      </w:tr>
      <w:tr w:rsidR="008115DB" w:rsidRPr="008115DB" w14:paraId="306F2B04" w14:textId="77777777" w:rsidTr="00082DA9">
        <w:trPr>
          <w:trHeight w:val="606"/>
        </w:trPr>
        <w:tc>
          <w:tcPr>
            <w:tcW w:w="999" w:type="pct"/>
          </w:tcPr>
          <w:p w14:paraId="4C435BE0" w14:textId="77777777" w:rsidR="003F530C" w:rsidRPr="008115DB" w:rsidRDefault="003F530C" w:rsidP="008115DB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da-DK"/>
              </w:rPr>
            </w:pPr>
            <w:r w:rsidRPr="008115DB">
              <w:rPr>
                <w:sz w:val="22"/>
                <w:szCs w:val="22"/>
                <w:lang w:val="da-DK"/>
              </w:rPr>
              <w:t xml:space="preserve">Luftveje, thorax og </w:t>
            </w:r>
            <w:proofErr w:type="spellStart"/>
            <w:r w:rsidRPr="008115DB">
              <w:rPr>
                <w:sz w:val="22"/>
                <w:szCs w:val="22"/>
                <w:lang w:val="da-DK"/>
              </w:rPr>
              <w:t>mediastinum</w:t>
            </w:r>
            <w:proofErr w:type="spellEnd"/>
          </w:p>
        </w:tc>
        <w:tc>
          <w:tcPr>
            <w:tcW w:w="580" w:type="pct"/>
          </w:tcPr>
          <w:p w14:paraId="4F287BDD" w14:textId="3EB4CD28" w:rsidR="003F530C" w:rsidRPr="008115DB" w:rsidRDefault="003F530C" w:rsidP="008115DB">
            <w:pPr>
              <w:rPr>
                <w:sz w:val="22"/>
                <w:szCs w:val="22"/>
              </w:rPr>
            </w:pPr>
          </w:p>
        </w:tc>
        <w:tc>
          <w:tcPr>
            <w:tcW w:w="603" w:type="pct"/>
          </w:tcPr>
          <w:p w14:paraId="5F249ECE" w14:textId="392F52B8" w:rsidR="003F530C" w:rsidRPr="008115DB" w:rsidRDefault="003F530C" w:rsidP="008115DB">
            <w:pPr>
              <w:rPr>
                <w:sz w:val="22"/>
                <w:szCs w:val="22"/>
              </w:rPr>
            </w:pPr>
          </w:p>
        </w:tc>
        <w:tc>
          <w:tcPr>
            <w:tcW w:w="632" w:type="pct"/>
          </w:tcPr>
          <w:p w14:paraId="1AED36A8" w14:textId="77777777" w:rsidR="003F530C" w:rsidRPr="008115DB" w:rsidRDefault="003F530C" w:rsidP="008115DB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da-DK"/>
              </w:rPr>
            </w:pPr>
            <w:r w:rsidRPr="008115DB">
              <w:rPr>
                <w:sz w:val="22"/>
                <w:szCs w:val="22"/>
                <w:lang w:val="da-DK"/>
              </w:rPr>
              <w:t xml:space="preserve">Nasal tørhed </w:t>
            </w:r>
          </w:p>
        </w:tc>
        <w:tc>
          <w:tcPr>
            <w:tcW w:w="621" w:type="pct"/>
          </w:tcPr>
          <w:p w14:paraId="19567B23" w14:textId="678538DB" w:rsidR="003F530C" w:rsidRPr="008115DB" w:rsidRDefault="003F530C" w:rsidP="008115DB">
            <w:pPr>
              <w:rPr>
                <w:sz w:val="22"/>
                <w:szCs w:val="22"/>
              </w:rPr>
            </w:pPr>
          </w:p>
        </w:tc>
        <w:tc>
          <w:tcPr>
            <w:tcW w:w="653" w:type="pct"/>
          </w:tcPr>
          <w:p w14:paraId="25BEB8B8" w14:textId="7CE3057E" w:rsidR="003F530C" w:rsidRPr="008115DB" w:rsidRDefault="003F530C" w:rsidP="008115DB">
            <w:pPr>
              <w:rPr>
                <w:sz w:val="22"/>
                <w:szCs w:val="22"/>
              </w:rPr>
            </w:pPr>
          </w:p>
        </w:tc>
        <w:tc>
          <w:tcPr>
            <w:tcW w:w="911" w:type="pct"/>
          </w:tcPr>
          <w:p w14:paraId="20C13DDE" w14:textId="77777777" w:rsidR="003F530C" w:rsidRPr="008115DB" w:rsidRDefault="003F530C" w:rsidP="008115DB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da-DK"/>
              </w:rPr>
            </w:pPr>
            <w:proofErr w:type="spellStart"/>
            <w:r w:rsidRPr="008115DB">
              <w:rPr>
                <w:sz w:val="22"/>
                <w:szCs w:val="22"/>
                <w:lang w:val="da-DK"/>
              </w:rPr>
              <w:t>Dysfoni</w:t>
            </w:r>
            <w:proofErr w:type="spellEnd"/>
            <w:r w:rsidRPr="008115DB">
              <w:rPr>
                <w:sz w:val="22"/>
                <w:szCs w:val="22"/>
                <w:lang w:val="da-DK"/>
              </w:rPr>
              <w:t xml:space="preserve">* </w:t>
            </w:r>
          </w:p>
        </w:tc>
      </w:tr>
      <w:tr w:rsidR="008115DB" w:rsidRPr="008115DB" w14:paraId="48E825C9" w14:textId="77777777" w:rsidTr="00082DA9">
        <w:trPr>
          <w:trHeight w:val="1821"/>
        </w:trPr>
        <w:tc>
          <w:tcPr>
            <w:tcW w:w="999" w:type="pct"/>
          </w:tcPr>
          <w:p w14:paraId="33D2093A" w14:textId="77777777" w:rsidR="003F530C" w:rsidRPr="008115DB" w:rsidRDefault="003F530C" w:rsidP="008115DB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da-DK"/>
              </w:rPr>
            </w:pPr>
            <w:r w:rsidRPr="008115DB">
              <w:rPr>
                <w:sz w:val="22"/>
                <w:szCs w:val="22"/>
                <w:lang w:val="da-DK"/>
              </w:rPr>
              <w:t>Mave-tarm-kanalen</w:t>
            </w:r>
          </w:p>
        </w:tc>
        <w:tc>
          <w:tcPr>
            <w:tcW w:w="580" w:type="pct"/>
          </w:tcPr>
          <w:p w14:paraId="1BB8C892" w14:textId="77777777" w:rsidR="003F530C" w:rsidRPr="008115DB" w:rsidRDefault="003F530C" w:rsidP="008115DB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da-DK"/>
              </w:rPr>
            </w:pPr>
            <w:r w:rsidRPr="008115DB">
              <w:rPr>
                <w:sz w:val="22"/>
                <w:szCs w:val="22"/>
                <w:lang w:val="da-DK"/>
              </w:rPr>
              <w:t xml:space="preserve">Tør mund </w:t>
            </w:r>
          </w:p>
        </w:tc>
        <w:tc>
          <w:tcPr>
            <w:tcW w:w="603" w:type="pct"/>
          </w:tcPr>
          <w:p w14:paraId="490B9F48" w14:textId="12B48204" w:rsidR="003F530C" w:rsidRPr="008115DB" w:rsidRDefault="003F530C" w:rsidP="008115DB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da-DK"/>
              </w:rPr>
            </w:pPr>
            <w:proofErr w:type="spellStart"/>
            <w:r w:rsidRPr="008115DB">
              <w:rPr>
                <w:sz w:val="22"/>
                <w:szCs w:val="22"/>
                <w:lang w:val="da-DK"/>
              </w:rPr>
              <w:t>Forstop-pelse</w:t>
            </w:r>
            <w:proofErr w:type="spellEnd"/>
            <w:r w:rsidRPr="008115DB">
              <w:rPr>
                <w:sz w:val="22"/>
                <w:szCs w:val="22"/>
                <w:lang w:val="da-DK"/>
              </w:rPr>
              <w:t>, kvalme, dyspepsi,</w:t>
            </w:r>
            <w:r w:rsidR="008115DB">
              <w:rPr>
                <w:sz w:val="22"/>
                <w:szCs w:val="22"/>
                <w:lang w:val="da-DK"/>
              </w:rPr>
              <w:t xml:space="preserve"> </w:t>
            </w:r>
            <w:proofErr w:type="spellStart"/>
            <w:r w:rsidRPr="008115DB">
              <w:rPr>
                <w:sz w:val="22"/>
                <w:szCs w:val="22"/>
                <w:lang w:val="da-DK"/>
              </w:rPr>
              <w:t>abdominal</w:t>
            </w:r>
            <w:proofErr w:type="spellEnd"/>
            <w:r w:rsidRPr="008115DB">
              <w:rPr>
                <w:sz w:val="22"/>
                <w:szCs w:val="22"/>
                <w:lang w:val="da-DK"/>
              </w:rPr>
              <w:t>-smerter</w:t>
            </w:r>
          </w:p>
        </w:tc>
        <w:tc>
          <w:tcPr>
            <w:tcW w:w="632" w:type="pct"/>
          </w:tcPr>
          <w:p w14:paraId="025BFD45" w14:textId="31EC8116" w:rsidR="003F530C" w:rsidRPr="008115DB" w:rsidRDefault="003F530C" w:rsidP="008115DB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da-DK"/>
              </w:rPr>
            </w:pPr>
            <w:proofErr w:type="spellStart"/>
            <w:r w:rsidRPr="008115DB">
              <w:rPr>
                <w:sz w:val="22"/>
                <w:szCs w:val="22"/>
                <w:lang w:val="da-DK"/>
              </w:rPr>
              <w:t>Gastro-øsofageal</w:t>
            </w:r>
            <w:proofErr w:type="spellEnd"/>
            <w:r w:rsidRPr="008115DB">
              <w:rPr>
                <w:sz w:val="22"/>
                <w:szCs w:val="22"/>
                <w:lang w:val="da-DK"/>
              </w:rPr>
              <w:t xml:space="preserve"> </w:t>
            </w:r>
            <w:proofErr w:type="spellStart"/>
            <w:r w:rsidRPr="008115DB">
              <w:rPr>
                <w:sz w:val="22"/>
                <w:szCs w:val="22"/>
                <w:lang w:val="da-DK"/>
              </w:rPr>
              <w:t>refluks</w:t>
            </w:r>
            <w:proofErr w:type="spellEnd"/>
            <w:r w:rsidRPr="008115DB">
              <w:rPr>
                <w:sz w:val="22"/>
                <w:szCs w:val="22"/>
                <w:lang w:val="da-DK"/>
              </w:rPr>
              <w:t>- sygdom, tør hals</w:t>
            </w:r>
          </w:p>
        </w:tc>
        <w:tc>
          <w:tcPr>
            <w:tcW w:w="621" w:type="pct"/>
          </w:tcPr>
          <w:p w14:paraId="66915B10" w14:textId="5920F438" w:rsidR="003F530C" w:rsidRPr="008115DB" w:rsidRDefault="003F530C" w:rsidP="008115DB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da-DK"/>
              </w:rPr>
            </w:pPr>
            <w:r w:rsidRPr="008115DB">
              <w:rPr>
                <w:sz w:val="22"/>
                <w:szCs w:val="22"/>
                <w:lang w:val="da-DK"/>
              </w:rPr>
              <w:t xml:space="preserve">Kolon- obstruktion, påvirkning af afføring, opkastning* </w:t>
            </w:r>
          </w:p>
        </w:tc>
        <w:tc>
          <w:tcPr>
            <w:tcW w:w="653" w:type="pct"/>
          </w:tcPr>
          <w:p w14:paraId="715F63B4" w14:textId="77777777" w:rsidR="003F530C" w:rsidRPr="008115DB" w:rsidRDefault="003F530C" w:rsidP="008115DB">
            <w:pPr>
              <w:rPr>
                <w:sz w:val="22"/>
                <w:szCs w:val="22"/>
              </w:rPr>
            </w:pPr>
            <w:r w:rsidRPr="008115DB">
              <w:rPr>
                <w:sz w:val="22"/>
                <w:szCs w:val="22"/>
              </w:rPr>
              <w:t> </w:t>
            </w:r>
          </w:p>
        </w:tc>
        <w:tc>
          <w:tcPr>
            <w:tcW w:w="911" w:type="pct"/>
          </w:tcPr>
          <w:p w14:paraId="339DD459" w14:textId="761F5E6E" w:rsidR="003F530C" w:rsidRPr="008115DB" w:rsidRDefault="003F530C" w:rsidP="008115DB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da-DK"/>
              </w:rPr>
            </w:pPr>
            <w:proofErr w:type="spellStart"/>
            <w:r w:rsidRPr="008115DB">
              <w:rPr>
                <w:sz w:val="22"/>
                <w:szCs w:val="22"/>
                <w:lang w:val="da-DK"/>
              </w:rPr>
              <w:t>Ileus</w:t>
            </w:r>
            <w:proofErr w:type="spellEnd"/>
            <w:r w:rsidRPr="008115DB">
              <w:rPr>
                <w:sz w:val="22"/>
                <w:szCs w:val="22"/>
                <w:lang w:val="da-DK"/>
              </w:rPr>
              <w:t>*,</w:t>
            </w:r>
            <w:r w:rsidR="008115DB">
              <w:rPr>
                <w:sz w:val="22"/>
                <w:szCs w:val="22"/>
                <w:lang w:val="da-DK"/>
              </w:rPr>
              <w:t xml:space="preserve"> </w:t>
            </w:r>
            <w:proofErr w:type="spellStart"/>
            <w:r w:rsidRPr="008115DB">
              <w:rPr>
                <w:sz w:val="22"/>
                <w:szCs w:val="22"/>
                <w:lang w:val="da-DK"/>
              </w:rPr>
              <w:t>abdominalt</w:t>
            </w:r>
            <w:proofErr w:type="spellEnd"/>
            <w:r w:rsidRPr="008115DB">
              <w:rPr>
                <w:sz w:val="22"/>
                <w:szCs w:val="22"/>
                <w:lang w:val="da-DK"/>
              </w:rPr>
              <w:t xml:space="preserve"> ubehag* </w:t>
            </w:r>
          </w:p>
        </w:tc>
      </w:tr>
      <w:tr w:rsidR="008115DB" w:rsidRPr="008115DB" w14:paraId="6C8492E1" w14:textId="77777777" w:rsidTr="008115DB">
        <w:trPr>
          <w:trHeight w:val="752"/>
        </w:trPr>
        <w:tc>
          <w:tcPr>
            <w:tcW w:w="999" w:type="pct"/>
          </w:tcPr>
          <w:p w14:paraId="0CFE667D" w14:textId="77777777" w:rsidR="003F530C" w:rsidRPr="008115DB" w:rsidRDefault="003F530C" w:rsidP="008115DB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da-DK"/>
              </w:rPr>
            </w:pPr>
            <w:r w:rsidRPr="008115DB">
              <w:rPr>
                <w:sz w:val="22"/>
                <w:szCs w:val="22"/>
                <w:lang w:val="da-DK"/>
              </w:rPr>
              <w:t>Lever og galdeveje</w:t>
            </w:r>
          </w:p>
        </w:tc>
        <w:tc>
          <w:tcPr>
            <w:tcW w:w="580" w:type="pct"/>
          </w:tcPr>
          <w:p w14:paraId="16AE946B" w14:textId="2C769A39" w:rsidR="003F530C" w:rsidRPr="008115DB" w:rsidRDefault="003F530C" w:rsidP="008115DB">
            <w:pPr>
              <w:rPr>
                <w:sz w:val="22"/>
                <w:szCs w:val="22"/>
              </w:rPr>
            </w:pPr>
          </w:p>
        </w:tc>
        <w:tc>
          <w:tcPr>
            <w:tcW w:w="603" w:type="pct"/>
          </w:tcPr>
          <w:p w14:paraId="42807987" w14:textId="5D0744B6" w:rsidR="003F530C" w:rsidRPr="008115DB" w:rsidRDefault="003F530C" w:rsidP="008115DB">
            <w:pPr>
              <w:rPr>
                <w:sz w:val="22"/>
                <w:szCs w:val="22"/>
              </w:rPr>
            </w:pPr>
          </w:p>
        </w:tc>
        <w:tc>
          <w:tcPr>
            <w:tcW w:w="632" w:type="pct"/>
          </w:tcPr>
          <w:p w14:paraId="55C313C6" w14:textId="7AE3E94F" w:rsidR="003F530C" w:rsidRPr="008115DB" w:rsidRDefault="003F530C" w:rsidP="008115DB">
            <w:pPr>
              <w:rPr>
                <w:sz w:val="22"/>
                <w:szCs w:val="22"/>
              </w:rPr>
            </w:pPr>
          </w:p>
        </w:tc>
        <w:tc>
          <w:tcPr>
            <w:tcW w:w="621" w:type="pct"/>
          </w:tcPr>
          <w:p w14:paraId="37DA63B4" w14:textId="147A6AD2" w:rsidR="003F530C" w:rsidRPr="008115DB" w:rsidRDefault="003F530C" w:rsidP="008115DB">
            <w:pPr>
              <w:rPr>
                <w:sz w:val="22"/>
                <w:szCs w:val="22"/>
              </w:rPr>
            </w:pPr>
          </w:p>
        </w:tc>
        <w:tc>
          <w:tcPr>
            <w:tcW w:w="653" w:type="pct"/>
          </w:tcPr>
          <w:p w14:paraId="502FC2E3" w14:textId="3760BC27" w:rsidR="003F530C" w:rsidRPr="008115DB" w:rsidRDefault="003F530C" w:rsidP="008115DB">
            <w:pPr>
              <w:rPr>
                <w:sz w:val="22"/>
                <w:szCs w:val="22"/>
              </w:rPr>
            </w:pPr>
          </w:p>
        </w:tc>
        <w:tc>
          <w:tcPr>
            <w:tcW w:w="911" w:type="pct"/>
          </w:tcPr>
          <w:p w14:paraId="65B85AE9" w14:textId="151EF10C" w:rsidR="003F530C" w:rsidRPr="008115DB" w:rsidRDefault="003F530C" w:rsidP="008115DB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da-DK"/>
              </w:rPr>
            </w:pPr>
            <w:r w:rsidRPr="008115DB">
              <w:rPr>
                <w:sz w:val="22"/>
                <w:szCs w:val="22"/>
                <w:lang w:val="da-DK"/>
              </w:rPr>
              <w:t xml:space="preserve">Leverlidelser*, unormal leverfunktionstest* </w:t>
            </w:r>
          </w:p>
        </w:tc>
      </w:tr>
      <w:tr w:rsidR="008115DB" w:rsidRPr="008115DB" w14:paraId="4989EBBC" w14:textId="77777777" w:rsidTr="008115DB">
        <w:trPr>
          <w:trHeight w:val="1015"/>
        </w:trPr>
        <w:tc>
          <w:tcPr>
            <w:tcW w:w="999" w:type="pct"/>
          </w:tcPr>
          <w:p w14:paraId="3503B3B5" w14:textId="77777777" w:rsidR="003F530C" w:rsidRPr="008115DB" w:rsidRDefault="003F530C" w:rsidP="008115DB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da-DK"/>
              </w:rPr>
            </w:pPr>
            <w:r w:rsidRPr="008115DB">
              <w:rPr>
                <w:sz w:val="22"/>
                <w:szCs w:val="22"/>
                <w:lang w:val="da-DK"/>
              </w:rPr>
              <w:t>Hud og subkutane væv</w:t>
            </w:r>
          </w:p>
        </w:tc>
        <w:tc>
          <w:tcPr>
            <w:tcW w:w="580" w:type="pct"/>
          </w:tcPr>
          <w:p w14:paraId="6A11E4DE" w14:textId="5F121AC5" w:rsidR="003F530C" w:rsidRPr="008115DB" w:rsidRDefault="003F530C" w:rsidP="008115DB">
            <w:pPr>
              <w:rPr>
                <w:sz w:val="22"/>
                <w:szCs w:val="22"/>
              </w:rPr>
            </w:pPr>
          </w:p>
        </w:tc>
        <w:tc>
          <w:tcPr>
            <w:tcW w:w="603" w:type="pct"/>
          </w:tcPr>
          <w:p w14:paraId="4B8608BE" w14:textId="5499E75C" w:rsidR="003F530C" w:rsidRPr="008115DB" w:rsidRDefault="003F530C" w:rsidP="008115DB">
            <w:pPr>
              <w:rPr>
                <w:sz w:val="22"/>
                <w:szCs w:val="22"/>
              </w:rPr>
            </w:pPr>
          </w:p>
        </w:tc>
        <w:tc>
          <w:tcPr>
            <w:tcW w:w="632" w:type="pct"/>
          </w:tcPr>
          <w:p w14:paraId="700A30AB" w14:textId="77777777" w:rsidR="003F530C" w:rsidRPr="008115DB" w:rsidRDefault="003F530C" w:rsidP="008115DB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da-DK"/>
              </w:rPr>
            </w:pPr>
            <w:r w:rsidRPr="008115DB">
              <w:rPr>
                <w:sz w:val="22"/>
                <w:szCs w:val="22"/>
                <w:lang w:val="da-DK"/>
              </w:rPr>
              <w:t>Tør hud</w:t>
            </w:r>
          </w:p>
        </w:tc>
        <w:tc>
          <w:tcPr>
            <w:tcW w:w="621" w:type="pct"/>
          </w:tcPr>
          <w:p w14:paraId="51FA138B" w14:textId="77777777" w:rsidR="003F530C" w:rsidRPr="008115DB" w:rsidRDefault="003F530C" w:rsidP="008115DB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da-DK"/>
              </w:rPr>
            </w:pPr>
            <w:proofErr w:type="spellStart"/>
            <w:r w:rsidRPr="008115DB">
              <w:rPr>
                <w:sz w:val="22"/>
                <w:szCs w:val="22"/>
                <w:lang w:val="da-DK"/>
              </w:rPr>
              <w:t>Pruritus</w:t>
            </w:r>
            <w:proofErr w:type="spellEnd"/>
            <w:r w:rsidRPr="008115DB">
              <w:rPr>
                <w:sz w:val="22"/>
                <w:szCs w:val="22"/>
                <w:lang w:val="da-DK"/>
              </w:rPr>
              <w:t>*, udslæt*</w:t>
            </w:r>
          </w:p>
        </w:tc>
        <w:tc>
          <w:tcPr>
            <w:tcW w:w="653" w:type="pct"/>
          </w:tcPr>
          <w:p w14:paraId="23FF2E15" w14:textId="67D75E0A" w:rsidR="003F530C" w:rsidRPr="008115DB" w:rsidRDefault="008115DB" w:rsidP="008115DB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da-DK"/>
              </w:rPr>
            </w:pPr>
            <w:proofErr w:type="spellStart"/>
            <w:r>
              <w:rPr>
                <w:sz w:val="22"/>
                <w:szCs w:val="22"/>
                <w:lang w:val="da-DK"/>
              </w:rPr>
              <w:t>Erythema</w:t>
            </w:r>
            <w:proofErr w:type="spellEnd"/>
            <w:r>
              <w:rPr>
                <w:sz w:val="22"/>
                <w:szCs w:val="22"/>
                <w:lang w:val="da-DK"/>
              </w:rPr>
              <w:t xml:space="preserve"> multiforme*</w:t>
            </w:r>
            <w:r w:rsidR="003F530C" w:rsidRPr="008115DB">
              <w:rPr>
                <w:sz w:val="22"/>
                <w:szCs w:val="22"/>
                <w:lang w:val="da-DK"/>
              </w:rPr>
              <w:t xml:space="preserve">, nældefeber*, </w:t>
            </w:r>
            <w:proofErr w:type="spellStart"/>
            <w:r w:rsidR="003F530C" w:rsidRPr="008115DB">
              <w:rPr>
                <w:sz w:val="22"/>
                <w:szCs w:val="22"/>
                <w:lang w:val="da-DK"/>
              </w:rPr>
              <w:t>angioødem</w:t>
            </w:r>
            <w:proofErr w:type="spellEnd"/>
            <w:r w:rsidR="003F530C" w:rsidRPr="008115DB">
              <w:rPr>
                <w:sz w:val="22"/>
                <w:szCs w:val="22"/>
                <w:lang w:val="da-DK"/>
              </w:rPr>
              <w:t xml:space="preserve">* </w:t>
            </w:r>
          </w:p>
        </w:tc>
        <w:tc>
          <w:tcPr>
            <w:tcW w:w="911" w:type="pct"/>
          </w:tcPr>
          <w:p w14:paraId="0F97B1BA" w14:textId="77777777" w:rsidR="003F530C" w:rsidRPr="008115DB" w:rsidRDefault="003F530C" w:rsidP="008115DB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da-DK"/>
              </w:rPr>
            </w:pPr>
            <w:proofErr w:type="spellStart"/>
            <w:r w:rsidRPr="008115DB">
              <w:rPr>
                <w:sz w:val="22"/>
                <w:szCs w:val="22"/>
                <w:lang w:val="da-DK"/>
              </w:rPr>
              <w:t>Eksfoliativ</w:t>
            </w:r>
            <w:proofErr w:type="spellEnd"/>
            <w:r w:rsidRPr="008115DB">
              <w:rPr>
                <w:sz w:val="22"/>
                <w:szCs w:val="22"/>
                <w:lang w:val="da-DK"/>
              </w:rPr>
              <w:t xml:space="preserve"> </w:t>
            </w:r>
            <w:proofErr w:type="spellStart"/>
            <w:r w:rsidRPr="008115DB">
              <w:rPr>
                <w:sz w:val="22"/>
                <w:szCs w:val="22"/>
                <w:lang w:val="da-DK"/>
              </w:rPr>
              <w:t>dermatitis</w:t>
            </w:r>
            <w:proofErr w:type="spellEnd"/>
            <w:r w:rsidRPr="008115DB">
              <w:rPr>
                <w:sz w:val="22"/>
                <w:szCs w:val="22"/>
                <w:lang w:val="da-DK"/>
              </w:rPr>
              <w:t xml:space="preserve">* </w:t>
            </w:r>
          </w:p>
        </w:tc>
      </w:tr>
      <w:tr w:rsidR="008115DB" w:rsidRPr="008115DB" w14:paraId="3392D46F" w14:textId="77777777" w:rsidTr="008115DB">
        <w:trPr>
          <w:trHeight w:val="1267"/>
        </w:trPr>
        <w:tc>
          <w:tcPr>
            <w:tcW w:w="999" w:type="pct"/>
          </w:tcPr>
          <w:p w14:paraId="4B2569DB" w14:textId="77777777" w:rsidR="003F530C" w:rsidRPr="008115DB" w:rsidRDefault="003F530C" w:rsidP="008115DB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da-DK"/>
              </w:rPr>
            </w:pPr>
            <w:r w:rsidRPr="008115DB">
              <w:rPr>
                <w:sz w:val="22"/>
                <w:szCs w:val="22"/>
                <w:lang w:val="da-DK"/>
              </w:rPr>
              <w:t>Knogler, led, muskler og bindevæv</w:t>
            </w:r>
          </w:p>
        </w:tc>
        <w:tc>
          <w:tcPr>
            <w:tcW w:w="580" w:type="pct"/>
          </w:tcPr>
          <w:p w14:paraId="755AD93C" w14:textId="4C3F9BB8" w:rsidR="003F530C" w:rsidRPr="008115DB" w:rsidRDefault="003F530C" w:rsidP="008115DB">
            <w:pPr>
              <w:rPr>
                <w:sz w:val="22"/>
                <w:szCs w:val="22"/>
              </w:rPr>
            </w:pPr>
          </w:p>
        </w:tc>
        <w:tc>
          <w:tcPr>
            <w:tcW w:w="603" w:type="pct"/>
          </w:tcPr>
          <w:p w14:paraId="394CDB78" w14:textId="3F45C5E0" w:rsidR="003F530C" w:rsidRPr="008115DB" w:rsidRDefault="003F530C" w:rsidP="008115DB">
            <w:pPr>
              <w:rPr>
                <w:sz w:val="22"/>
                <w:szCs w:val="22"/>
              </w:rPr>
            </w:pPr>
          </w:p>
        </w:tc>
        <w:tc>
          <w:tcPr>
            <w:tcW w:w="632" w:type="pct"/>
          </w:tcPr>
          <w:p w14:paraId="548C4A0F" w14:textId="72C4E8A8" w:rsidR="003F530C" w:rsidRPr="008115DB" w:rsidRDefault="003F530C" w:rsidP="008115DB">
            <w:pPr>
              <w:rPr>
                <w:sz w:val="22"/>
                <w:szCs w:val="22"/>
              </w:rPr>
            </w:pPr>
          </w:p>
        </w:tc>
        <w:tc>
          <w:tcPr>
            <w:tcW w:w="621" w:type="pct"/>
          </w:tcPr>
          <w:p w14:paraId="2501F585" w14:textId="071E5D69" w:rsidR="003F530C" w:rsidRPr="008115DB" w:rsidRDefault="003F530C" w:rsidP="008115DB">
            <w:pPr>
              <w:rPr>
                <w:sz w:val="22"/>
                <w:szCs w:val="22"/>
              </w:rPr>
            </w:pPr>
          </w:p>
        </w:tc>
        <w:tc>
          <w:tcPr>
            <w:tcW w:w="653" w:type="pct"/>
          </w:tcPr>
          <w:p w14:paraId="5734C183" w14:textId="32F239AC" w:rsidR="003F530C" w:rsidRPr="008115DB" w:rsidRDefault="003F530C" w:rsidP="008115DB">
            <w:pPr>
              <w:rPr>
                <w:sz w:val="22"/>
                <w:szCs w:val="22"/>
              </w:rPr>
            </w:pPr>
          </w:p>
        </w:tc>
        <w:tc>
          <w:tcPr>
            <w:tcW w:w="911" w:type="pct"/>
          </w:tcPr>
          <w:p w14:paraId="1DF0A266" w14:textId="77777777" w:rsidR="003F530C" w:rsidRPr="008115DB" w:rsidRDefault="003F530C" w:rsidP="008115DB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da-DK"/>
              </w:rPr>
            </w:pPr>
            <w:r w:rsidRPr="008115DB">
              <w:rPr>
                <w:sz w:val="22"/>
                <w:szCs w:val="22"/>
                <w:lang w:val="da-DK"/>
              </w:rPr>
              <w:t xml:space="preserve">Muskelsvaghed* </w:t>
            </w:r>
          </w:p>
        </w:tc>
      </w:tr>
      <w:tr w:rsidR="008115DB" w:rsidRPr="008115DB" w14:paraId="02122167" w14:textId="77777777" w:rsidTr="008115DB">
        <w:trPr>
          <w:trHeight w:val="752"/>
        </w:trPr>
        <w:tc>
          <w:tcPr>
            <w:tcW w:w="999" w:type="pct"/>
          </w:tcPr>
          <w:p w14:paraId="22EC74B4" w14:textId="77777777" w:rsidR="003F530C" w:rsidRPr="008115DB" w:rsidRDefault="003F530C" w:rsidP="008115DB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da-DK"/>
              </w:rPr>
            </w:pPr>
            <w:r w:rsidRPr="008115DB">
              <w:rPr>
                <w:sz w:val="22"/>
                <w:szCs w:val="22"/>
                <w:lang w:val="da-DK"/>
              </w:rPr>
              <w:t>Nyrer og urinveje</w:t>
            </w:r>
          </w:p>
        </w:tc>
        <w:tc>
          <w:tcPr>
            <w:tcW w:w="580" w:type="pct"/>
          </w:tcPr>
          <w:p w14:paraId="6445D0B7" w14:textId="119B3BA0" w:rsidR="003F530C" w:rsidRPr="008115DB" w:rsidRDefault="003F530C" w:rsidP="008115DB">
            <w:pPr>
              <w:rPr>
                <w:sz w:val="22"/>
                <w:szCs w:val="22"/>
              </w:rPr>
            </w:pPr>
          </w:p>
        </w:tc>
        <w:tc>
          <w:tcPr>
            <w:tcW w:w="603" w:type="pct"/>
          </w:tcPr>
          <w:p w14:paraId="6564E694" w14:textId="0B4B2F30" w:rsidR="003F530C" w:rsidRPr="008115DB" w:rsidRDefault="003F530C" w:rsidP="008115DB">
            <w:pPr>
              <w:rPr>
                <w:sz w:val="22"/>
                <w:szCs w:val="22"/>
              </w:rPr>
            </w:pPr>
          </w:p>
        </w:tc>
        <w:tc>
          <w:tcPr>
            <w:tcW w:w="632" w:type="pct"/>
          </w:tcPr>
          <w:p w14:paraId="6AEE9D65" w14:textId="77777777" w:rsidR="003F530C" w:rsidRPr="008115DB" w:rsidRDefault="003F530C" w:rsidP="008115DB">
            <w:pPr>
              <w:rPr>
                <w:sz w:val="22"/>
                <w:szCs w:val="22"/>
                <w:lang w:eastAsia="da-DK"/>
              </w:rPr>
            </w:pPr>
            <w:r w:rsidRPr="008115DB">
              <w:rPr>
                <w:sz w:val="22"/>
                <w:szCs w:val="22"/>
                <w:lang w:eastAsia="da-DK"/>
              </w:rPr>
              <w:t>Vandlad-</w:t>
            </w:r>
            <w:proofErr w:type="spellStart"/>
            <w:r w:rsidRPr="008115DB">
              <w:rPr>
                <w:sz w:val="22"/>
                <w:szCs w:val="22"/>
                <w:lang w:eastAsia="da-DK"/>
              </w:rPr>
              <w:t>ningsbesvær</w:t>
            </w:r>
            <w:proofErr w:type="spellEnd"/>
          </w:p>
        </w:tc>
        <w:tc>
          <w:tcPr>
            <w:tcW w:w="621" w:type="pct"/>
          </w:tcPr>
          <w:p w14:paraId="5F191F87" w14:textId="77777777" w:rsidR="003F530C" w:rsidRPr="008115DB" w:rsidRDefault="003F530C" w:rsidP="008115DB">
            <w:pPr>
              <w:rPr>
                <w:sz w:val="22"/>
                <w:szCs w:val="22"/>
                <w:lang w:eastAsia="da-DK"/>
              </w:rPr>
            </w:pPr>
            <w:r w:rsidRPr="008115DB">
              <w:rPr>
                <w:sz w:val="22"/>
                <w:szCs w:val="22"/>
                <w:lang w:eastAsia="da-DK"/>
              </w:rPr>
              <w:t>Urin-retention</w:t>
            </w:r>
          </w:p>
        </w:tc>
        <w:tc>
          <w:tcPr>
            <w:tcW w:w="653" w:type="pct"/>
          </w:tcPr>
          <w:p w14:paraId="61DB775A" w14:textId="77777777" w:rsidR="003F530C" w:rsidRPr="008115DB" w:rsidRDefault="003F530C" w:rsidP="008115DB">
            <w:pPr>
              <w:rPr>
                <w:sz w:val="22"/>
                <w:szCs w:val="22"/>
                <w:lang w:eastAsia="da-DK"/>
              </w:rPr>
            </w:pPr>
          </w:p>
        </w:tc>
        <w:tc>
          <w:tcPr>
            <w:tcW w:w="911" w:type="pct"/>
          </w:tcPr>
          <w:p w14:paraId="3B7E9475" w14:textId="77777777" w:rsidR="003F530C" w:rsidRPr="008115DB" w:rsidRDefault="003F530C" w:rsidP="008115DB">
            <w:pPr>
              <w:rPr>
                <w:sz w:val="22"/>
                <w:szCs w:val="22"/>
                <w:lang w:eastAsia="da-DK"/>
              </w:rPr>
            </w:pPr>
            <w:r w:rsidRPr="008115DB">
              <w:rPr>
                <w:sz w:val="22"/>
                <w:szCs w:val="22"/>
                <w:lang w:eastAsia="da-DK"/>
              </w:rPr>
              <w:t>Nedsat nyrefunktion*</w:t>
            </w:r>
          </w:p>
        </w:tc>
      </w:tr>
      <w:tr w:rsidR="008115DB" w:rsidRPr="008115DB" w14:paraId="478D0643" w14:textId="77777777" w:rsidTr="00082DA9">
        <w:trPr>
          <w:trHeight w:val="1043"/>
        </w:trPr>
        <w:tc>
          <w:tcPr>
            <w:tcW w:w="999" w:type="pct"/>
          </w:tcPr>
          <w:p w14:paraId="0C98182E" w14:textId="77777777" w:rsidR="003F530C" w:rsidRPr="008115DB" w:rsidRDefault="003F530C" w:rsidP="008115DB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da-DK"/>
              </w:rPr>
            </w:pPr>
            <w:r w:rsidRPr="008115DB">
              <w:rPr>
                <w:sz w:val="22"/>
                <w:szCs w:val="22"/>
                <w:lang w:val="da-DK"/>
              </w:rPr>
              <w:t>Almene symptomer og reaktioner på administrationsstedet</w:t>
            </w:r>
          </w:p>
        </w:tc>
        <w:tc>
          <w:tcPr>
            <w:tcW w:w="580" w:type="pct"/>
          </w:tcPr>
          <w:p w14:paraId="41E45330" w14:textId="550848AC" w:rsidR="003F530C" w:rsidRPr="008115DB" w:rsidRDefault="003F530C" w:rsidP="008115DB">
            <w:pPr>
              <w:rPr>
                <w:sz w:val="22"/>
                <w:szCs w:val="22"/>
              </w:rPr>
            </w:pPr>
          </w:p>
        </w:tc>
        <w:tc>
          <w:tcPr>
            <w:tcW w:w="603" w:type="pct"/>
          </w:tcPr>
          <w:p w14:paraId="6F5824ED" w14:textId="5E5DF18B" w:rsidR="003F530C" w:rsidRPr="008115DB" w:rsidRDefault="003F530C" w:rsidP="008115DB">
            <w:pPr>
              <w:rPr>
                <w:sz w:val="22"/>
                <w:szCs w:val="22"/>
              </w:rPr>
            </w:pPr>
          </w:p>
        </w:tc>
        <w:tc>
          <w:tcPr>
            <w:tcW w:w="632" w:type="pct"/>
          </w:tcPr>
          <w:p w14:paraId="238D9A7A" w14:textId="77777777" w:rsidR="003F530C" w:rsidRPr="008115DB" w:rsidRDefault="003F530C" w:rsidP="008115DB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da-DK"/>
              </w:rPr>
            </w:pPr>
            <w:r w:rsidRPr="008115DB">
              <w:rPr>
                <w:sz w:val="22"/>
                <w:szCs w:val="22"/>
                <w:lang w:val="da-DK"/>
              </w:rPr>
              <w:t>Træthed, perifere ødemer</w:t>
            </w:r>
          </w:p>
        </w:tc>
        <w:tc>
          <w:tcPr>
            <w:tcW w:w="621" w:type="pct"/>
          </w:tcPr>
          <w:p w14:paraId="0A6BEFE6" w14:textId="39D8CCE5" w:rsidR="003F530C" w:rsidRPr="008115DB" w:rsidRDefault="003F530C" w:rsidP="008115DB">
            <w:pPr>
              <w:rPr>
                <w:sz w:val="22"/>
                <w:szCs w:val="22"/>
              </w:rPr>
            </w:pPr>
          </w:p>
        </w:tc>
        <w:tc>
          <w:tcPr>
            <w:tcW w:w="653" w:type="pct"/>
          </w:tcPr>
          <w:p w14:paraId="69DEF928" w14:textId="4D3941EF" w:rsidR="003F530C" w:rsidRPr="008115DB" w:rsidRDefault="003F530C" w:rsidP="008115DB">
            <w:pPr>
              <w:rPr>
                <w:sz w:val="22"/>
                <w:szCs w:val="22"/>
              </w:rPr>
            </w:pPr>
          </w:p>
        </w:tc>
        <w:tc>
          <w:tcPr>
            <w:tcW w:w="911" w:type="pct"/>
          </w:tcPr>
          <w:p w14:paraId="2A0972FC" w14:textId="28A35860" w:rsidR="003F530C" w:rsidRPr="008115DB" w:rsidRDefault="003F530C" w:rsidP="008115DB">
            <w:pPr>
              <w:rPr>
                <w:sz w:val="22"/>
                <w:szCs w:val="22"/>
              </w:rPr>
            </w:pPr>
          </w:p>
        </w:tc>
      </w:tr>
    </w:tbl>
    <w:p w14:paraId="1DC03C3F" w14:textId="77777777" w:rsidR="003F530C" w:rsidRPr="00CF5D9E" w:rsidRDefault="003F530C" w:rsidP="00CF5D9E">
      <w:pPr>
        <w:pStyle w:val="Brdtekst2"/>
        <w:ind w:left="851" w:hanging="851"/>
        <w:jc w:val="left"/>
        <w:rPr>
          <w:szCs w:val="24"/>
          <w:lang w:val="da-DK"/>
        </w:rPr>
      </w:pPr>
      <w:r w:rsidRPr="00CF5D9E">
        <w:rPr>
          <w:szCs w:val="24"/>
          <w:lang w:val="da-DK"/>
        </w:rPr>
        <w:t xml:space="preserve">*Observeret efter markedsføring </w:t>
      </w:r>
    </w:p>
    <w:p w14:paraId="72D4057D" w14:textId="4C168733" w:rsidR="003F530C" w:rsidRPr="00CF5D9E" w:rsidRDefault="00082DA9" w:rsidP="00CF5D9E">
      <w:pPr>
        <w:pStyle w:val="Brdtekst2"/>
        <w:ind w:left="851" w:hanging="851"/>
        <w:jc w:val="left"/>
        <w:rPr>
          <w:szCs w:val="24"/>
          <w:lang w:val="da-DK"/>
        </w:rPr>
      </w:pPr>
      <w:r>
        <w:rPr>
          <w:szCs w:val="24"/>
          <w:lang w:val="da-DK"/>
        </w:rPr>
        <w:br w:type="page"/>
      </w:r>
    </w:p>
    <w:p w14:paraId="4AE38CFD" w14:textId="46D36EF0" w:rsidR="003F530C" w:rsidRPr="00CF5D9E" w:rsidRDefault="003F530C" w:rsidP="008115DB">
      <w:pPr>
        <w:pStyle w:val="Brdtekst2"/>
        <w:ind w:left="851"/>
        <w:rPr>
          <w:szCs w:val="24"/>
          <w:u w:val="single"/>
          <w:lang w:val="da-DK"/>
        </w:rPr>
      </w:pPr>
      <w:r w:rsidRPr="00CF5D9E">
        <w:rPr>
          <w:szCs w:val="24"/>
          <w:u w:val="single"/>
          <w:lang w:val="da-DK"/>
        </w:rPr>
        <w:t xml:space="preserve">Indberetning af </w:t>
      </w:r>
      <w:r w:rsidR="00C829C7">
        <w:rPr>
          <w:szCs w:val="24"/>
          <w:u w:val="single"/>
          <w:lang w:val="da-DK"/>
        </w:rPr>
        <w:t>formodede</w:t>
      </w:r>
      <w:r w:rsidRPr="00CF5D9E">
        <w:rPr>
          <w:szCs w:val="24"/>
          <w:u w:val="single"/>
          <w:lang w:val="da-DK"/>
        </w:rPr>
        <w:t xml:space="preserve"> bivirkninger</w:t>
      </w:r>
    </w:p>
    <w:p w14:paraId="16A49410" w14:textId="45C0FC74" w:rsidR="003F530C" w:rsidRPr="00CF5D9E" w:rsidRDefault="003F530C" w:rsidP="008115DB">
      <w:pPr>
        <w:pStyle w:val="Brdtekst2"/>
        <w:ind w:left="851"/>
        <w:jc w:val="left"/>
        <w:rPr>
          <w:szCs w:val="24"/>
          <w:lang w:val="da-DK"/>
        </w:rPr>
      </w:pPr>
      <w:r w:rsidRPr="00CF5D9E">
        <w:rPr>
          <w:szCs w:val="24"/>
          <w:lang w:val="da-DK"/>
        </w:rPr>
        <w:t xml:space="preserve">Når lægemidlet er godkendt, er indberetning af </w:t>
      </w:r>
      <w:r w:rsidR="00C829C7">
        <w:rPr>
          <w:szCs w:val="24"/>
          <w:lang w:val="da-DK"/>
        </w:rPr>
        <w:t>formodede</w:t>
      </w:r>
      <w:r w:rsidRPr="00CF5D9E">
        <w:rPr>
          <w:szCs w:val="24"/>
          <w:lang w:val="da-DK"/>
        </w:rPr>
        <w:t xml:space="preserve"> bivirkninger vigtig. Det muliggør løbende overvågning af </w:t>
      </w:r>
      <w:proofErr w:type="spellStart"/>
      <w:r w:rsidRPr="00CF5D9E">
        <w:rPr>
          <w:szCs w:val="24"/>
          <w:lang w:val="da-DK"/>
        </w:rPr>
        <w:t>benefit</w:t>
      </w:r>
      <w:proofErr w:type="spellEnd"/>
      <w:r w:rsidRPr="00CF5D9E">
        <w:rPr>
          <w:szCs w:val="24"/>
          <w:lang w:val="da-DK"/>
        </w:rPr>
        <w:t>/</w:t>
      </w:r>
      <w:proofErr w:type="spellStart"/>
      <w:r w:rsidRPr="00CF5D9E">
        <w:rPr>
          <w:szCs w:val="24"/>
          <w:lang w:val="da-DK"/>
        </w:rPr>
        <w:t>risk</w:t>
      </w:r>
      <w:proofErr w:type="spellEnd"/>
      <w:r w:rsidRPr="00CF5D9E">
        <w:rPr>
          <w:szCs w:val="24"/>
          <w:lang w:val="da-DK"/>
        </w:rPr>
        <w:t xml:space="preserve">-forholdet for lægemidlet. Læger og sundhedspersonale anmodes om at indberette alle </w:t>
      </w:r>
      <w:r w:rsidR="00C829C7">
        <w:rPr>
          <w:szCs w:val="24"/>
          <w:lang w:val="da-DK"/>
        </w:rPr>
        <w:t>formodede</w:t>
      </w:r>
      <w:r w:rsidRPr="00CF5D9E">
        <w:rPr>
          <w:szCs w:val="24"/>
          <w:lang w:val="da-DK"/>
        </w:rPr>
        <w:t xml:space="preserve"> bivirkninger via</w:t>
      </w:r>
    </w:p>
    <w:p w14:paraId="42D0EE99" w14:textId="77777777" w:rsidR="003F530C" w:rsidRPr="00CF5D9E" w:rsidRDefault="003F530C" w:rsidP="00CF5D9E">
      <w:pPr>
        <w:pStyle w:val="Brdtekst2"/>
        <w:ind w:left="851" w:hanging="851"/>
        <w:jc w:val="left"/>
        <w:rPr>
          <w:szCs w:val="24"/>
          <w:lang w:val="da-DK"/>
        </w:rPr>
      </w:pPr>
    </w:p>
    <w:p w14:paraId="645E33AE" w14:textId="2CCD66D1" w:rsidR="003F530C" w:rsidRPr="00CF5D9E" w:rsidRDefault="00C829C7" w:rsidP="008115DB">
      <w:pPr>
        <w:pStyle w:val="Brdtekst2"/>
        <w:ind w:left="851"/>
        <w:rPr>
          <w:szCs w:val="24"/>
          <w:lang w:val="da-DK"/>
        </w:rPr>
      </w:pPr>
      <w:r>
        <w:rPr>
          <w:szCs w:val="24"/>
          <w:lang w:val="da-DK"/>
        </w:rPr>
        <w:t>Lægemiddel</w:t>
      </w:r>
      <w:r w:rsidR="003F530C" w:rsidRPr="00CF5D9E">
        <w:rPr>
          <w:szCs w:val="24"/>
          <w:lang w:val="da-DK"/>
        </w:rPr>
        <w:t>styrelsen</w:t>
      </w:r>
    </w:p>
    <w:p w14:paraId="0CF17AB9" w14:textId="77777777" w:rsidR="003F530C" w:rsidRPr="00CF5D9E" w:rsidRDefault="003F530C" w:rsidP="008115DB">
      <w:pPr>
        <w:pStyle w:val="Brdtekst2"/>
        <w:ind w:left="851"/>
        <w:rPr>
          <w:szCs w:val="24"/>
          <w:lang w:val="da-DK"/>
        </w:rPr>
      </w:pPr>
      <w:r w:rsidRPr="00CF5D9E">
        <w:rPr>
          <w:szCs w:val="24"/>
          <w:lang w:val="da-DK"/>
        </w:rPr>
        <w:t>Axel Heides Gade 1</w:t>
      </w:r>
    </w:p>
    <w:p w14:paraId="26FDBCE3" w14:textId="77777777" w:rsidR="003F530C" w:rsidRPr="00CF5D9E" w:rsidRDefault="003F530C" w:rsidP="008115DB">
      <w:pPr>
        <w:pStyle w:val="Brdtekst2"/>
        <w:ind w:left="851"/>
        <w:rPr>
          <w:szCs w:val="24"/>
          <w:lang w:val="da-DK"/>
        </w:rPr>
      </w:pPr>
      <w:r w:rsidRPr="00CF5D9E">
        <w:rPr>
          <w:szCs w:val="24"/>
          <w:lang w:val="da-DK"/>
        </w:rPr>
        <w:t>DK-2300 København S</w:t>
      </w:r>
    </w:p>
    <w:p w14:paraId="21CD89E7" w14:textId="4532C5A0" w:rsidR="003F530C" w:rsidRPr="00CF5D9E" w:rsidRDefault="003F530C" w:rsidP="00C829C7">
      <w:pPr>
        <w:pStyle w:val="Brdtekst2"/>
        <w:ind w:left="851"/>
        <w:rPr>
          <w:szCs w:val="24"/>
        </w:rPr>
      </w:pPr>
      <w:proofErr w:type="spellStart"/>
      <w:r w:rsidRPr="00CF5D9E">
        <w:rPr>
          <w:szCs w:val="24"/>
        </w:rPr>
        <w:t>Websted</w:t>
      </w:r>
      <w:proofErr w:type="spellEnd"/>
      <w:r w:rsidRPr="00CF5D9E">
        <w:rPr>
          <w:szCs w:val="24"/>
        </w:rPr>
        <w:t xml:space="preserve">: </w:t>
      </w:r>
      <w:hyperlink r:id="rId8" w:history="1">
        <w:r w:rsidRPr="00CF5D9E">
          <w:rPr>
            <w:rStyle w:val="Hyperlink"/>
            <w:szCs w:val="24"/>
          </w:rPr>
          <w:t>www.meldenbivirkning.dk</w:t>
        </w:r>
      </w:hyperlink>
    </w:p>
    <w:p w14:paraId="57B9838F" w14:textId="77777777" w:rsidR="00B003BF" w:rsidRPr="00CF5D9E" w:rsidRDefault="00B003BF" w:rsidP="00CF5D9E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  <w:lang w:val="en-US"/>
        </w:rPr>
      </w:pPr>
    </w:p>
    <w:p w14:paraId="02F8DC18" w14:textId="77777777" w:rsidR="00B003BF" w:rsidRPr="00CF5D9E" w:rsidRDefault="00B003BF" w:rsidP="00CF5D9E">
      <w:pPr>
        <w:ind w:left="851" w:hanging="851"/>
        <w:rPr>
          <w:b/>
          <w:sz w:val="24"/>
          <w:szCs w:val="24"/>
        </w:rPr>
      </w:pPr>
      <w:r w:rsidRPr="00CF5D9E">
        <w:rPr>
          <w:b/>
          <w:sz w:val="24"/>
          <w:szCs w:val="24"/>
        </w:rPr>
        <w:t>4.9</w:t>
      </w:r>
      <w:r w:rsidRPr="00CF5D9E">
        <w:rPr>
          <w:b/>
          <w:sz w:val="24"/>
          <w:szCs w:val="24"/>
        </w:rPr>
        <w:tab/>
        <w:t>Overdosering</w:t>
      </w:r>
    </w:p>
    <w:p w14:paraId="77650A00" w14:textId="78497EF8" w:rsidR="003F530C" w:rsidRPr="00CF5D9E" w:rsidRDefault="003F530C" w:rsidP="00CF5D9E">
      <w:pPr>
        <w:pStyle w:val="Brdtekst2"/>
        <w:ind w:left="851" w:hanging="851"/>
        <w:jc w:val="left"/>
        <w:rPr>
          <w:szCs w:val="24"/>
          <w:lang w:val="da-DK"/>
        </w:rPr>
      </w:pPr>
    </w:p>
    <w:p w14:paraId="7A3D88F3" w14:textId="77777777" w:rsidR="003F530C" w:rsidRPr="00CF5D9E" w:rsidRDefault="003F530C" w:rsidP="008115DB">
      <w:pPr>
        <w:pStyle w:val="Brdtekst2"/>
        <w:ind w:left="851"/>
        <w:jc w:val="left"/>
        <w:rPr>
          <w:szCs w:val="24"/>
          <w:u w:val="single"/>
          <w:lang w:val="da-DK"/>
        </w:rPr>
      </w:pPr>
      <w:r w:rsidRPr="00CF5D9E">
        <w:rPr>
          <w:szCs w:val="24"/>
          <w:u w:val="single"/>
          <w:lang w:val="da-DK"/>
        </w:rPr>
        <w:t>Symptomer</w:t>
      </w:r>
    </w:p>
    <w:p w14:paraId="25BBC24C" w14:textId="77777777" w:rsidR="003F530C" w:rsidRPr="00CF5D9E" w:rsidRDefault="003F530C" w:rsidP="008115DB">
      <w:pPr>
        <w:pStyle w:val="Brdtekst2"/>
        <w:ind w:left="851"/>
        <w:rPr>
          <w:szCs w:val="24"/>
          <w:lang w:val="da-DK"/>
        </w:rPr>
      </w:pPr>
      <w:r w:rsidRPr="00CF5D9E">
        <w:rPr>
          <w:szCs w:val="24"/>
          <w:lang w:val="da-DK"/>
        </w:rPr>
        <w:t xml:space="preserve">Overdosering med </w:t>
      </w:r>
      <w:proofErr w:type="spellStart"/>
      <w:r w:rsidRPr="00CF5D9E">
        <w:rPr>
          <w:szCs w:val="24"/>
          <w:lang w:val="da-DK"/>
        </w:rPr>
        <w:t>solifenacin</w:t>
      </w:r>
      <w:proofErr w:type="spellEnd"/>
      <w:r w:rsidRPr="00CF5D9E">
        <w:rPr>
          <w:szCs w:val="24"/>
          <w:lang w:val="da-DK"/>
        </w:rPr>
        <w:t xml:space="preserve"> kan potentielt medføre alvorlige </w:t>
      </w:r>
      <w:proofErr w:type="spellStart"/>
      <w:r w:rsidRPr="00CF5D9E">
        <w:rPr>
          <w:szCs w:val="24"/>
          <w:lang w:val="da-DK"/>
        </w:rPr>
        <w:t>anticholinerge</w:t>
      </w:r>
      <w:proofErr w:type="spellEnd"/>
      <w:r w:rsidRPr="00CF5D9E">
        <w:rPr>
          <w:szCs w:val="24"/>
          <w:lang w:val="da-DK"/>
        </w:rPr>
        <w:t xml:space="preserve"> bivirkninger.</w:t>
      </w:r>
    </w:p>
    <w:p w14:paraId="2F19A65E" w14:textId="77777777" w:rsidR="003F530C" w:rsidRPr="00CF5D9E" w:rsidRDefault="003F530C" w:rsidP="008115DB">
      <w:pPr>
        <w:pStyle w:val="Brdtekst2"/>
        <w:ind w:left="851"/>
        <w:jc w:val="left"/>
        <w:rPr>
          <w:szCs w:val="24"/>
          <w:lang w:val="da-DK"/>
        </w:rPr>
      </w:pPr>
      <w:r w:rsidRPr="00CF5D9E">
        <w:rPr>
          <w:szCs w:val="24"/>
          <w:lang w:val="da-DK"/>
        </w:rPr>
        <w:t xml:space="preserve">Den højeste dosis af </w:t>
      </w:r>
      <w:proofErr w:type="spellStart"/>
      <w:r w:rsidRPr="00CF5D9E">
        <w:rPr>
          <w:szCs w:val="24"/>
          <w:lang w:val="da-DK"/>
        </w:rPr>
        <w:t>solifenacinsuccinat</w:t>
      </w:r>
      <w:proofErr w:type="spellEnd"/>
      <w:r w:rsidRPr="00CF5D9E">
        <w:rPr>
          <w:szCs w:val="24"/>
          <w:lang w:val="da-DK"/>
        </w:rPr>
        <w:t>, som ved et uheld er blevet givet til en patient, er 280 mg i et tidsrum på 5 timer, hvilket resulterede i ændret mentalstatus, der dog ikke krævede indlæggelse.</w:t>
      </w:r>
    </w:p>
    <w:p w14:paraId="061025F0" w14:textId="77777777" w:rsidR="003F530C" w:rsidRPr="00CF5D9E" w:rsidRDefault="003F530C" w:rsidP="00CF5D9E">
      <w:pPr>
        <w:pStyle w:val="Brdtekst2"/>
        <w:ind w:left="851" w:hanging="851"/>
        <w:jc w:val="left"/>
        <w:rPr>
          <w:szCs w:val="24"/>
          <w:lang w:val="da-DK"/>
        </w:rPr>
      </w:pPr>
    </w:p>
    <w:p w14:paraId="348C2E19" w14:textId="77777777" w:rsidR="003F530C" w:rsidRPr="00CF5D9E" w:rsidRDefault="003F530C" w:rsidP="008115DB">
      <w:pPr>
        <w:pStyle w:val="Brdtekst2"/>
        <w:ind w:left="851"/>
        <w:jc w:val="left"/>
        <w:rPr>
          <w:szCs w:val="24"/>
          <w:u w:val="single"/>
          <w:lang w:val="da-DK"/>
        </w:rPr>
      </w:pPr>
      <w:r w:rsidRPr="00CF5D9E">
        <w:rPr>
          <w:szCs w:val="24"/>
          <w:u w:val="single"/>
          <w:lang w:val="da-DK"/>
        </w:rPr>
        <w:t>Behandling</w:t>
      </w:r>
    </w:p>
    <w:p w14:paraId="00D13A9F" w14:textId="77777777" w:rsidR="003F530C" w:rsidRPr="00CF5D9E" w:rsidRDefault="003F530C" w:rsidP="008115DB">
      <w:pPr>
        <w:pStyle w:val="Brdtekst2"/>
        <w:ind w:left="851"/>
        <w:jc w:val="left"/>
        <w:rPr>
          <w:szCs w:val="24"/>
          <w:lang w:val="da-DK"/>
        </w:rPr>
      </w:pPr>
      <w:r w:rsidRPr="00CF5D9E">
        <w:rPr>
          <w:szCs w:val="24"/>
          <w:lang w:val="da-DK"/>
        </w:rPr>
        <w:t xml:space="preserve">I tilfælde af overdosering med </w:t>
      </w:r>
      <w:proofErr w:type="spellStart"/>
      <w:r w:rsidRPr="00CF5D9E">
        <w:rPr>
          <w:szCs w:val="24"/>
          <w:lang w:val="da-DK"/>
        </w:rPr>
        <w:t>solifenacinsuccinat</w:t>
      </w:r>
      <w:proofErr w:type="spellEnd"/>
      <w:r w:rsidRPr="00CF5D9E">
        <w:rPr>
          <w:szCs w:val="24"/>
          <w:lang w:val="da-DK"/>
        </w:rPr>
        <w:t xml:space="preserve"> skal patienten behandles med aktivt kul. Ventrikelskylning er gavnligt, hvis den udføres inden for 1 time, men opkastning bør ikke induceres.</w:t>
      </w:r>
    </w:p>
    <w:p w14:paraId="75C28873" w14:textId="77777777" w:rsidR="003F530C" w:rsidRPr="00CF5D9E" w:rsidRDefault="003F530C" w:rsidP="00CF5D9E">
      <w:pPr>
        <w:pStyle w:val="Brdtekst2"/>
        <w:ind w:left="851" w:hanging="851"/>
        <w:jc w:val="left"/>
        <w:rPr>
          <w:szCs w:val="24"/>
          <w:lang w:val="da-DK"/>
        </w:rPr>
      </w:pPr>
    </w:p>
    <w:p w14:paraId="42F9A7CD" w14:textId="77777777" w:rsidR="003F530C" w:rsidRPr="00CF5D9E" w:rsidRDefault="003F530C" w:rsidP="008115DB">
      <w:pPr>
        <w:pStyle w:val="Brdtekst2"/>
        <w:ind w:left="851"/>
        <w:jc w:val="left"/>
        <w:rPr>
          <w:szCs w:val="24"/>
          <w:lang w:val="da-DK"/>
        </w:rPr>
      </w:pPr>
      <w:r w:rsidRPr="00CF5D9E">
        <w:rPr>
          <w:szCs w:val="24"/>
          <w:lang w:val="da-DK"/>
        </w:rPr>
        <w:t xml:space="preserve">Som ved øvrige </w:t>
      </w:r>
      <w:proofErr w:type="spellStart"/>
      <w:r w:rsidRPr="00CF5D9E">
        <w:rPr>
          <w:szCs w:val="24"/>
          <w:lang w:val="da-DK"/>
        </w:rPr>
        <w:t>anticholinerge</w:t>
      </w:r>
      <w:proofErr w:type="spellEnd"/>
      <w:r w:rsidRPr="00CF5D9E">
        <w:rPr>
          <w:szCs w:val="24"/>
          <w:lang w:val="da-DK"/>
        </w:rPr>
        <w:t xml:space="preserve"> midler, kan symptomerne behandles som følger:</w:t>
      </w:r>
    </w:p>
    <w:p w14:paraId="7EA74ACC" w14:textId="77777777" w:rsidR="003F530C" w:rsidRPr="00CF5D9E" w:rsidRDefault="003F530C" w:rsidP="008115DB">
      <w:pPr>
        <w:pStyle w:val="Brdtekst2"/>
        <w:numPr>
          <w:ilvl w:val="0"/>
          <w:numId w:val="8"/>
        </w:numPr>
        <w:tabs>
          <w:tab w:val="clear" w:pos="360"/>
        </w:tabs>
        <w:ind w:left="1276" w:hanging="425"/>
        <w:jc w:val="left"/>
        <w:rPr>
          <w:szCs w:val="24"/>
          <w:lang w:val="da-DK"/>
        </w:rPr>
      </w:pPr>
      <w:r w:rsidRPr="00CF5D9E">
        <w:rPr>
          <w:szCs w:val="24"/>
          <w:lang w:val="da-DK"/>
        </w:rPr>
        <w:t xml:space="preserve">Alvorlige centrale </w:t>
      </w:r>
      <w:proofErr w:type="spellStart"/>
      <w:r w:rsidRPr="00CF5D9E">
        <w:rPr>
          <w:szCs w:val="24"/>
          <w:lang w:val="da-DK"/>
        </w:rPr>
        <w:t>anticholinerge</w:t>
      </w:r>
      <w:proofErr w:type="spellEnd"/>
      <w:r w:rsidRPr="00CF5D9E">
        <w:rPr>
          <w:szCs w:val="24"/>
          <w:lang w:val="da-DK"/>
        </w:rPr>
        <w:t xml:space="preserve"> virkninger såsom hallucinationer eller udtalt </w:t>
      </w:r>
      <w:proofErr w:type="spellStart"/>
      <w:r w:rsidRPr="00CF5D9E">
        <w:rPr>
          <w:szCs w:val="24"/>
          <w:lang w:val="da-DK"/>
        </w:rPr>
        <w:t>excitation</w:t>
      </w:r>
      <w:proofErr w:type="spellEnd"/>
      <w:r w:rsidRPr="00CF5D9E">
        <w:rPr>
          <w:szCs w:val="24"/>
          <w:lang w:val="da-DK"/>
        </w:rPr>
        <w:t xml:space="preserve"> behandles med </w:t>
      </w:r>
      <w:proofErr w:type="spellStart"/>
      <w:r w:rsidRPr="00CF5D9E">
        <w:rPr>
          <w:szCs w:val="24"/>
          <w:lang w:val="da-DK"/>
        </w:rPr>
        <w:t>physostigmin</w:t>
      </w:r>
      <w:proofErr w:type="spellEnd"/>
      <w:r w:rsidRPr="00CF5D9E">
        <w:rPr>
          <w:szCs w:val="24"/>
          <w:lang w:val="da-DK"/>
        </w:rPr>
        <w:t xml:space="preserve"> eller </w:t>
      </w:r>
      <w:proofErr w:type="spellStart"/>
      <w:r w:rsidRPr="00CF5D9E">
        <w:rPr>
          <w:szCs w:val="24"/>
          <w:lang w:val="da-DK"/>
        </w:rPr>
        <w:t>carbachol</w:t>
      </w:r>
      <w:proofErr w:type="spellEnd"/>
      <w:r w:rsidRPr="00CF5D9E">
        <w:rPr>
          <w:szCs w:val="24"/>
          <w:lang w:val="da-DK"/>
        </w:rPr>
        <w:t>.</w:t>
      </w:r>
    </w:p>
    <w:p w14:paraId="72ED6074" w14:textId="77777777" w:rsidR="003F530C" w:rsidRPr="00CF5D9E" w:rsidRDefault="003F530C" w:rsidP="008115DB">
      <w:pPr>
        <w:pStyle w:val="Brdtekst2"/>
        <w:numPr>
          <w:ilvl w:val="0"/>
          <w:numId w:val="8"/>
        </w:numPr>
        <w:tabs>
          <w:tab w:val="clear" w:pos="360"/>
        </w:tabs>
        <w:ind w:left="1276" w:hanging="425"/>
        <w:jc w:val="left"/>
        <w:rPr>
          <w:szCs w:val="24"/>
          <w:lang w:val="da-DK"/>
        </w:rPr>
      </w:pPr>
      <w:r w:rsidRPr="00CF5D9E">
        <w:rPr>
          <w:szCs w:val="24"/>
          <w:lang w:val="da-DK"/>
        </w:rPr>
        <w:t xml:space="preserve">Kramper eller udtalt </w:t>
      </w:r>
      <w:proofErr w:type="spellStart"/>
      <w:r w:rsidRPr="00CF5D9E">
        <w:rPr>
          <w:szCs w:val="24"/>
          <w:lang w:val="da-DK"/>
        </w:rPr>
        <w:t>excitation</w:t>
      </w:r>
      <w:proofErr w:type="spellEnd"/>
      <w:r w:rsidRPr="00CF5D9E">
        <w:rPr>
          <w:szCs w:val="24"/>
          <w:lang w:val="da-DK"/>
        </w:rPr>
        <w:t xml:space="preserve"> behandles med </w:t>
      </w:r>
      <w:proofErr w:type="spellStart"/>
      <w:r w:rsidRPr="00CF5D9E">
        <w:rPr>
          <w:szCs w:val="24"/>
          <w:lang w:val="da-DK"/>
        </w:rPr>
        <w:t>benzodiazepiner</w:t>
      </w:r>
      <w:proofErr w:type="spellEnd"/>
      <w:r w:rsidRPr="00CF5D9E">
        <w:rPr>
          <w:szCs w:val="24"/>
          <w:lang w:val="da-DK"/>
        </w:rPr>
        <w:t>.</w:t>
      </w:r>
    </w:p>
    <w:p w14:paraId="179A3529" w14:textId="77777777" w:rsidR="003F530C" w:rsidRPr="00CF5D9E" w:rsidRDefault="003F530C" w:rsidP="008115DB">
      <w:pPr>
        <w:numPr>
          <w:ilvl w:val="0"/>
          <w:numId w:val="8"/>
        </w:numPr>
        <w:tabs>
          <w:tab w:val="clear" w:pos="360"/>
        </w:tabs>
        <w:ind w:left="1276" w:hanging="425"/>
        <w:rPr>
          <w:sz w:val="24"/>
          <w:szCs w:val="24"/>
        </w:rPr>
      </w:pPr>
      <w:r w:rsidRPr="00CF5D9E">
        <w:rPr>
          <w:sz w:val="24"/>
          <w:szCs w:val="24"/>
        </w:rPr>
        <w:t>Respirationsinsufficiens behandles med kunstigt åndedræt.</w:t>
      </w:r>
    </w:p>
    <w:p w14:paraId="11F6127B" w14:textId="77777777" w:rsidR="003F530C" w:rsidRPr="00CF5D9E" w:rsidRDefault="003F530C" w:rsidP="008115DB">
      <w:pPr>
        <w:numPr>
          <w:ilvl w:val="0"/>
          <w:numId w:val="8"/>
        </w:numPr>
        <w:tabs>
          <w:tab w:val="clear" w:pos="360"/>
        </w:tabs>
        <w:ind w:left="1276" w:hanging="425"/>
        <w:rPr>
          <w:sz w:val="24"/>
          <w:szCs w:val="24"/>
        </w:rPr>
      </w:pPr>
      <w:proofErr w:type="spellStart"/>
      <w:r w:rsidRPr="00CF5D9E">
        <w:rPr>
          <w:sz w:val="24"/>
          <w:szCs w:val="24"/>
        </w:rPr>
        <w:t>Takykardi</w:t>
      </w:r>
      <w:proofErr w:type="spellEnd"/>
      <w:r w:rsidRPr="00CF5D9E">
        <w:rPr>
          <w:sz w:val="24"/>
          <w:szCs w:val="24"/>
        </w:rPr>
        <w:t xml:space="preserve"> behandles med betablokkere.</w:t>
      </w:r>
    </w:p>
    <w:p w14:paraId="282FAF15" w14:textId="77777777" w:rsidR="003F530C" w:rsidRPr="00CF5D9E" w:rsidRDefault="003F530C" w:rsidP="008115DB">
      <w:pPr>
        <w:numPr>
          <w:ilvl w:val="0"/>
          <w:numId w:val="8"/>
        </w:numPr>
        <w:tabs>
          <w:tab w:val="clear" w:pos="360"/>
        </w:tabs>
        <w:ind w:left="1276" w:hanging="425"/>
        <w:rPr>
          <w:sz w:val="24"/>
          <w:szCs w:val="24"/>
        </w:rPr>
      </w:pPr>
      <w:r w:rsidRPr="00CF5D9E">
        <w:rPr>
          <w:sz w:val="24"/>
          <w:szCs w:val="24"/>
        </w:rPr>
        <w:t xml:space="preserve">Urinretention behandles med </w:t>
      </w:r>
      <w:proofErr w:type="spellStart"/>
      <w:r w:rsidRPr="00CF5D9E">
        <w:rPr>
          <w:sz w:val="24"/>
          <w:szCs w:val="24"/>
        </w:rPr>
        <w:t>kateterisation</w:t>
      </w:r>
      <w:proofErr w:type="spellEnd"/>
      <w:r w:rsidRPr="00CF5D9E">
        <w:rPr>
          <w:sz w:val="24"/>
          <w:szCs w:val="24"/>
        </w:rPr>
        <w:t>.</w:t>
      </w:r>
    </w:p>
    <w:p w14:paraId="485C8D86" w14:textId="77777777" w:rsidR="003F530C" w:rsidRPr="00CF5D9E" w:rsidRDefault="003F530C" w:rsidP="008115DB">
      <w:pPr>
        <w:pStyle w:val="Brdtekst2"/>
        <w:numPr>
          <w:ilvl w:val="0"/>
          <w:numId w:val="8"/>
        </w:numPr>
        <w:tabs>
          <w:tab w:val="clear" w:pos="360"/>
        </w:tabs>
        <w:ind w:left="1276" w:hanging="425"/>
        <w:jc w:val="left"/>
        <w:rPr>
          <w:szCs w:val="24"/>
          <w:lang w:val="da-DK"/>
        </w:rPr>
      </w:pPr>
      <w:proofErr w:type="spellStart"/>
      <w:r w:rsidRPr="00CF5D9E">
        <w:rPr>
          <w:szCs w:val="24"/>
          <w:lang w:val="da-DK"/>
        </w:rPr>
        <w:t>Mydriasis</w:t>
      </w:r>
      <w:proofErr w:type="spellEnd"/>
      <w:r w:rsidRPr="00CF5D9E">
        <w:rPr>
          <w:szCs w:val="24"/>
          <w:lang w:val="da-DK"/>
        </w:rPr>
        <w:t xml:space="preserve"> behandles med </w:t>
      </w:r>
      <w:proofErr w:type="spellStart"/>
      <w:r w:rsidRPr="00CF5D9E">
        <w:rPr>
          <w:szCs w:val="24"/>
          <w:lang w:val="da-DK"/>
        </w:rPr>
        <w:t>pilocarpin</w:t>
      </w:r>
      <w:proofErr w:type="spellEnd"/>
      <w:r w:rsidRPr="00CF5D9E">
        <w:rPr>
          <w:szCs w:val="24"/>
          <w:lang w:val="da-DK"/>
        </w:rPr>
        <w:t>-øjendråber, og/eller patienten anbringes i et mørkt rum.</w:t>
      </w:r>
    </w:p>
    <w:p w14:paraId="21AE1FCE" w14:textId="77777777" w:rsidR="003F530C" w:rsidRPr="00CF5D9E" w:rsidRDefault="003F530C" w:rsidP="00CF5D9E">
      <w:pPr>
        <w:pStyle w:val="Brdtekst2"/>
        <w:ind w:left="851" w:hanging="851"/>
        <w:jc w:val="left"/>
        <w:rPr>
          <w:szCs w:val="24"/>
          <w:lang w:val="da-DK"/>
        </w:rPr>
      </w:pPr>
    </w:p>
    <w:p w14:paraId="3006D84F" w14:textId="77777777" w:rsidR="003F530C" w:rsidRPr="00CF5D9E" w:rsidRDefault="003F530C" w:rsidP="008115DB">
      <w:pPr>
        <w:pStyle w:val="Brdtekst2"/>
        <w:ind w:left="851"/>
        <w:jc w:val="left"/>
        <w:rPr>
          <w:szCs w:val="24"/>
          <w:lang w:val="da-DK"/>
        </w:rPr>
      </w:pPr>
      <w:r w:rsidRPr="00CF5D9E">
        <w:rPr>
          <w:szCs w:val="24"/>
          <w:lang w:val="da-DK"/>
        </w:rPr>
        <w:t xml:space="preserve">Som med øvrige </w:t>
      </w:r>
      <w:proofErr w:type="spellStart"/>
      <w:r w:rsidRPr="00CF5D9E">
        <w:rPr>
          <w:szCs w:val="24"/>
          <w:lang w:val="da-DK"/>
        </w:rPr>
        <w:t>antimuscarine</w:t>
      </w:r>
      <w:proofErr w:type="spellEnd"/>
      <w:r w:rsidRPr="00CF5D9E">
        <w:rPr>
          <w:szCs w:val="24"/>
          <w:lang w:val="da-DK"/>
        </w:rPr>
        <w:t xml:space="preserve"> midler skal man i tilfælde af overdosering være ekstra opmærksom på patienter med kendt risiko for QT-forlængelse (dvs. </w:t>
      </w:r>
      <w:proofErr w:type="spellStart"/>
      <w:r w:rsidRPr="00CF5D9E">
        <w:rPr>
          <w:szCs w:val="24"/>
          <w:lang w:val="da-DK"/>
        </w:rPr>
        <w:t>hypokalæmi</w:t>
      </w:r>
      <w:proofErr w:type="spellEnd"/>
      <w:r w:rsidRPr="00CF5D9E">
        <w:rPr>
          <w:szCs w:val="24"/>
          <w:lang w:val="da-DK"/>
        </w:rPr>
        <w:t xml:space="preserve">, </w:t>
      </w:r>
      <w:proofErr w:type="spellStart"/>
      <w:r w:rsidRPr="00CF5D9E">
        <w:rPr>
          <w:szCs w:val="24"/>
          <w:lang w:val="da-DK"/>
        </w:rPr>
        <w:t>bradykardi</w:t>
      </w:r>
      <w:proofErr w:type="spellEnd"/>
      <w:r w:rsidRPr="00CF5D9E">
        <w:rPr>
          <w:szCs w:val="24"/>
          <w:lang w:val="da-DK"/>
        </w:rPr>
        <w:t xml:space="preserve"> og samtidig administration af lægemidler, der vides at forlænge QT-intervallet) og relevante præeksisterende hjertelidelser (dvs. </w:t>
      </w:r>
      <w:proofErr w:type="spellStart"/>
      <w:r w:rsidRPr="00CF5D9E">
        <w:rPr>
          <w:szCs w:val="24"/>
          <w:lang w:val="da-DK"/>
        </w:rPr>
        <w:t>myokardieiskæmi</w:t>
      </w:r>
      <w:proofErr w:type="spellEnd"/>
      <w:r w:rsidRPr="00CF5D9E">
        <w:rPr>
          <w:szCs w:val="24"/>
          <w:lang w:val="da-DK"/>
        </w:rPr>
        <w:t xml:space="preserve">, </w:t>
      </w:r>
      <w:proofErr w:type="spellStart"/>
      <w:r w:rsidRPr="00CF5D9E">
        <w:rPr>
          <w:szCs w:val="24"/>
          <w:lang w:val="da-DK"/>
        </w:rPr>
        <w:t>arytmi</w:t>
      </w:r>
      <w:proofErr w:type="spellEnd"/>
      <w:r w:rsidRPr="00CF5D9E">
        <w:rPr>
          <w:szCs w:val="24"/>
          <w:lang w:val="da-DK"/>
        </w:rPr>
        <w:t xml:space="preserve">, </w:t>
      </w:r>
      <w:proofErr w:type="spellStart"/>
      <w:r w:rsidRPr="00CF5D9E">
        <w:rPr>
          <w:szCs w:val="24"/>
          <w:lang w:val="da-DK"/>
        </w:rPr>
        <w:t>kongestivt</w:t>
      </w:r>
      <w:proofErr w:type="spellEnd"/>
      <w:r w:rsidRPr="00CF5D9E">
        <w:rPr>
          <w:szCs w:val="24"/>
          <w:lang w:val="da-DK"/>
        </w:rPr>
        <w:t xml:space="preserve"> hjertesvigt).</w:t>
      </w:r>
    </w:p>
    <w:p w14:paraId="1085B76B" w14:textId="77777777" w:rsidR="00B003BF" w:rsidRPr="00CF5D9E" w:rsidRDefault="00B003BF" w:rsidP="00CF5D9E">
      <w:pPr>
        <w:ind w:left="851" w:hanging="851"/>
        <w:rPr>
          <w:sz w:val="24"/>
          <w:szCs w:val="24"/>
        </w:rPr>
      </w:pPr>
    </w:p>
    <w:p w14:paraId="74DA353F" w14:textId="77777777" w:rsidR="00B003BF" w:rsidRPr="00CF5D9E" w:rsidRDefault="00B003BF" w:rsidP="00CF5D9E">
      <w:pPr>
        <w:ind w:left="851" w:hanging="851"/>
        <w:rPr>
          <w:b/>
          <w:sz w:val="24"/>
          <w:szCs w:val="24"/>
        </w:rPr>
      </w:pPr>
      <w:r w:rsidRPr="00CF5D9E">
        <w:rPr>
          <w:b/>
          <w:sz w:val="24"/>
          <w:szCs w:val="24"/>
        </w:rPr>
        <w:t>4.10</w:t>
      </w:r>
      <w:r w:rsidRPr="00CF5D9E">
        <w:rPr>
          <w:b/>
          <w:sz w:val="24"/>
          <w:szCs w:val="24"/>
        </w:rPr>
        <w:tab/>
        <w:t>Udlevering</w:t>
      </w:r>
    </w:p>
    <w:p w14:paraId="7239A69F" w14:textId="0FD8F086" w:rsidR="00B003BF" w:rsidRPr="00CF5D9E" w:rsidRDefault="00B003BF" w:rsidP="00CF5D9E">
      <w:pPr>
        <w:ind w:left="851" w:hanging="851"/>
        <w:rPr>
          <w:sz w:val="24"/>
          <w:szCs w:val="24"/>
        </w:rPr>
      </w:pPr>
      <w:r w:rsidRPr="00CF5D9E">
        <w:rPr>
          <w:sz w:val="24"/>
          <w:szCs w:val="24"/>
        </w:rPr>
        <w:tab/>
      </w:r>
      <w:r w:rsidR="008115DB">
        <w:rPr>
          <w:sz w:val="24"/>
          <w:szCs w:val="24"/>
        </w:rPr>
        <w:t>B</w:t>
      </w:r>
    </w:p>
    <w:p w14:paraId="28BA21F7" w14:textId="77777777" w:rsidR="00B003BF" w:rsidRPr="00CF5D9E" w:rsidRDefault="00B003BF" w:rsidP="00CF5D9E">
      <w:pPr>
        <w:ind w:left="851" w:hanging="851"/>
        <w:rPr>
          <w:sz w:val="24"/>
          <w:szCs w:val="24"/>
        </w:rPr>
      </w:pPr>
    </w:p>
    <w:p w14:paraId="07B5D27B" w14:textId="77777777" w:rsidR="00B003BF" w:rsidRPr="00CF5D9E" w:rsidRDefault="00B003BF" w:rsidP="00CF5D9E">
      <w:pPr>
        <w:ind w:left="851" w:hanging="851"/>
        <w:rPr>
          <w:sz w:val="24"/>
          <w:szCs w:val="24"/>
        </w:rPr>
      </w:pPr>
    </w:p>
    <w:p w14:paraId="655872AD" w14:textId="77777777" w:rsidR="00B003BF" w:rsidRPr="00CF5D9E" w:rsidRDefault="00B003BF" w:rsidP="00CF5D9E">
      <w:pPr>
        <w:ind w:left="851" w:hanging="851"/>
        <w:rPr>
          <w:b/>
          <w:sz w:val="24"/>
          <w:szCs w:val="24"/>
        </w:rPr>
      </w:pPr>
      <w:r w:rsidRPr="00CF5D9E">
        <w:rPr>
          <w:b/>
          <w:sz w:val="24"/>
          <w:szCs w:val="24"/>
        </w:rPr>
        <w:t>5.</w:t>
      </w:r>
      <w:r w:rsidRPr="00CF5D9E">
        <w:rPr>
          <w:b/>
          <w:sz w:val="24"/>
          <w:szCs w:val="24"/>
        </w:rPr>
        <w:tab/>
        <w:t>FARMAKOLOGISKE EGENSKABER</w:t>
      </w:r>
    </w:p>
    <w:p w14:paraId="0D344752" w14:textId="77777777" w:rsidR="00B003BF" w:rsidRPr="00CF5D9E" w:rsidRDefault="00B003BF" w:rsidP="00CF5D9E">
      <w:pPr>
        <w:ind w:left="851" w:hanging="851"/>
        <w:rPr>
          <w:sz w:val="24"/>
          <w:szCs w:val="24"/>
        </w:rPr>
      </w:pPr>
    </w:p>
    <w:p w14:paraId="29A0BA8E" w14:textId="77777777" w:rsidR="00B003BF" w:rsidRPr="00CF5D9E" w:rsidRDefault="00B003BF" w:rsidP="00CF5D9E">
      <w:pPr>
        <w:ind w:left="851" w:hanging="851"/>
        <w:rPr>
          <w:b/>
          <w:sz w:val="24"/>
          <w:szCs w:val="24"/>
        </w:rPr>
      </w:pPr>
      <w:r w:rsidRPr="00CF5D9E">
        <w:rPr>
          <w:b/>
          <w:sz w:val="24"/>
          <w:szCs w:val="24"/>
        </w:rPr>
        <w:t>5.0</w:t>
      </w:r>
      <w:r w:rsidRPr="00CF5D9E">
        <w:rPr>
          <w:b/>
          <w:sz w:val="24"/>
          <w:szCs w:val="24"/>
        </w:rPr>
        <w:tab/>
        <w:t>Terapeutisk klassifikation</w:t>
      </w:r>
    </w:p>
    <w:p w14:paraId="1621A20B" w14:textId="6B05951A" w:rsidR="00B003BF" w:rsidRPr="00082DA9" w:rsidRDefault="00B003BF" w:rsidP="008115DB">
      <w:pPr>
        <w:pStyle w:val="Brdtekst2"/>
        <w:ind w:left="851" w:hanging="851"/>
        <w:jc w:val="left"/>
        <w:rPr>
          <w:szCs w:val="24"/>
          <w:lang w:val="da-DK"/>
        </w:rPr>
      </w:pPr>
      <w:r w:rsidRPr="00082DA9">
        <w:rPr>
          <w:szCs w:val="24"/>
          <w:lang w:val="da-DK"/>
        </w:rPr>
        <w:tab/>
      </w:r>
      <w:r w:rsidR="008115DB" w:rsidRPr="00082DA9">
        <w:rPr>
          <w:szCs w:val="24"/>
          <w:lang w:val="da-DK"/>
        </w:rPr>
        <w:t>ATC-kode: G04B D08.</w:t>
      </w:r>
      <w:r w:rsidR="003F530C" w:rsidRPr="00082DA9">
        <w:rPr>
          <w:szCs w:val="24"/>
          <w:lang w:val="da-DK"/>
        </w:rPr>
        <w:t xml:space="preserve"> Urologi</w:t>
      </w:r>
      <w:r w:rsidR="00082DA9" w:rsidRPr="00082DA9">
        <w:rPr>
          <w:szCs w:val="24"/>
          <w:lang w:val="da-DK"/>
        </w:rPr>
        <w:t>ske midler</w:t>
      </w:r>
      <w:r w:rsidR="003F530C" w:rsidRPr="00082DA9">
        <w:rPr>
          <w:szCs w:val="24"/>
          <w:lang w:val="da-DK"/>
        </w:rPr>
        <w:t xml:space="preserve">; </w:t>
      </w:r>
      <w:r w:rsidR="00082DA9" w:rsidRPr="00082DA9">
        <w:rPr>
          <w:szCs w:val="24"/>
          <w:lang w:val="da-DK"/>
        </w:rPr>
        <w:t>m</w:t>
      </w:r>
      <w:r w:rsidR="003F530C" w:rsidRPr="00082DA9">
        <w:rPr>
          <w:szCs w:val="24"/>
          <w:lang w:val="da-DK"/>
        </w:rPr>
        <w:t xml:space="preserve">idler </w:t>
      </w:r>
      <w:r w:rsidR="00082DA9" w:rsidRPr="00082DA9">
        <w:rPr>
          <w:szCs w:val="24"/>
          <w:lang w:val="da-DK"/>
        </w:rPr>
        <w:t>mod</w:t>
      </w:r>
      <w:r w:rsidR="003F530C" w:rsidRPr="00082DA9">
        <w:rPr>
          <w:szCs w:val="24"/>
          <w:lang w:val="da-DK"/>
        </w:rPr>
        <w:t xml:space="preserve"> hyppig </w:t>
      </w:r>
      <w:proofErr w:type="spellStart"/>
      <w:r w:rsidR="00082DA9" w:rsidRPr="00082DA9">
        <w:rPr>
          <w:szCs w:val="24"/>
          <w:lang w:val="da-DK"/>
        </w:rPr>
        <w:t>urinering</w:t>
      </w:r>
      <w:proofErr w:type="spellEnd"/>
      <w:r w:rsidR="003F530C" w:rsidRPr="00082DA9">
        <w:rPr>
          <w:szCs w:val="24"/>
          <w:lang w:val="da-DK"/>
        </w:rPr>
        <w:t xml:space="preserve"> og inkontinens. </w:t>
      </w:r>
    </w:p>
    <w:p w14:paraId="23524C46" w14:textId="5035E8D3" w:rsidR="00B003BF" w:rsidRPr="00CF5D9E" w:rsidRDefault="00082DA9" w:rsidP="00CF5D9E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744EFD3" w14:textId="77777777" w:rsidR="00B003BF" w:rsidRPr="00CF5D9E" w:rsidRDefault="00B003BF" w:rsidP="00CF5D9E">
      <w:pPr>
        <w:ind w:left="851" w:hanging="851"/>
        <w:rPr>
          <w:b/>
          <w:sz w:val="24"/>
          <w:szCs w:val="24"/>
        </w:rPr>
      </w:pPr>
      <w:r w:rsidRPr="00CF5D9E">
        <w:rPr>
          <w:b/>
          <w:sz w:val="24"/>
          <w:szCs w:val="24"/>
        </w:rPr>
        <w:t>5.1</w:t>
      </w:r>
      <w:r w:rsidRPr="00CF5D9E">
        <w:rPr>
          <w:b/>
          <w:sz w:val="24"/>
          <w:szCs w:val="24"/>
        </w:rPr>
        <w:tab/>
      </w:r>
      <w:proofErr w:type="spellStart"/>
      <w:r w:rsidRPr="00CF5D9E">
        <w:rPr>
          <w:b/>
          <w:sz w:val="24"/>
          <w:szCs w:val="24"/>
        </w:rPr>
        <w:t>Farmakodynamiske</w:t>
      </w:r>
      <w:proofErr w:type="spellEnd"/>
      <w:r w:rsidRPr="00CF5D9E">
        <w:rPr>
          <w:b/>
          <w:sz w:val="24"/>
          <w:szCs w:val="24"/>
        </w:rPr>
        <w:t xml:space="preserve"> egenskaber</w:t>
      </w:r>
    </w:p>
    <w:p w14:paraId="25F049F4" w14:textId="77777777" w:rsidR="008115DB" w:rsidRDefault="008115DB" w:rsidP="00CF5D9E">
      <w:pPr>
        <w:pStyle w:val="Brdtekst2"/>
        <w:ind w:left="851" w:hanging="851"/>
        <w:jc w:val="left"/>
        <w:rPr>
          <w:szCs w:val="24"/>
          <w:u w:val="single"/>
          <w:lang w:val="da-DK"/>
        </w:rPr>
      </w:pPr>
    </w:p>
    <w:p w14:paraId="1AD1441B" w14:textId="77777777" w:rsidR="003F530C" w:rsidRPr="00CF5D9E" w:rsidRDefault="003F530C" w:rsidP="00082DA9">
      <w:pPr>
        <w:pStyle w:val="Brdtekst2"/>
        <w:ind w:left="851"/>
        <w:jc w:val="left"/>
        <w:rPr>
          <w:szCs w:val="24"/>
          <w:u w:val="single"/>
          <w:lang w:val="da-DK"/>
        </w:rPr>
      </w:pPr>
      <w:r w:rsidRPr="00CF5D9E">
        <w:rPr>
          <w:szCs w:val="24"/>
          <w:u w:val="single"/>
          <w:lang w:val="da-DK"/>
        </w:rPr>
        <w:t>Virkningsmekanisme</w:t>
      </w:r>
    </w:p>
    <w:p w14:paraId="692E7754" w14:textId="77777777" w:rsidR="003F530C" w:rsidRPr="00CF5D9E" w:rsidRDefault="003F530C" w:rsidP="00082DA9">
      <w:pPr>
        <w:pStyle w:val="Brdtekst2"/>
        <w:ind w:left="851"/>
        <w:jc w:val="left"/>
        <w:rPr>
          <w:szCs w:val="24"/>
          <w:lang w:val="da-DK"/>
        </w:rPr>
      </w:pPr>
      <w:proofErr w:type="spellStart"/>
      <w:r w:rsidRPr="00CF5D9E">
        <w:rPr>
          <w:szCs w:val="24"/>
          <w:lang w:val="da-DK"/>
        </w:rPr>
        <w:t>Solifenacin</w:t>
      </w:r>
      <w:proofErr w:type="spellEnd"/>
      <w:r w:rsidRPr="00CF5D9E">
        <w:rPr>
          <w:szCs w:val="24"/>
          <w:lang w:val="da-DK"/>
        </w:rPr>
        <w:t xml:space="preserve"> er en </w:t>
      </w:r>
      <w:proofErr w:type="spellStart"/>
      <w:r w:rsidRPr="00CF5D9E">
        <w:rPr>
          <w:szCs w:val="24"/>
          <w:lang w:val="da-DK"/>
        </w:rPr>
        <w:t>kompetitiv</w:t>
      </w:r>
      <w:proofErr w:type="spellEnd"/>
      <w:r w:rsidRPr="00CF5D9E">
        <w:rPr>
          <w:szCs w:val="24"/>
          <w:lang w:val="da-DK"/>
        </w:rPr>
        <w:t xml:space="preserve">, specifik </w:t>
      </w:r>
      <w:proofErr w:type="spellStart"/>
      <w:r w:rsidRPr="00CF5D9E">
        <w:rPr>
          <w:szCs w:val="24"/>
          <w:lang w:val="da-DK"/>
        </w:rPr>
        <w:t>cholinerg</w:t>
      </w:r>
      <w:proofErr w:type="spellEnd"/>
      <w:r w:rsidRPr="00CF5D9E">
        <w:rPr>
          <w:szCs w:val="24"/>
          <w:lang w:val="da-DK"/>
        </w:rPr>
        <w:t>-receptorantagonist.</w:t>
      </w:r>
    </w:p>
    <w:p w14:paraId="36A4C235" w14:textId="77777777" w:rsidR="003F530C" w:rsidRPr="00CF5D9E" w:rsidRDefault="003F530C" w:rsidP="00082DA9">
      <w:pPr>
        <w:pStyle w:val="Brdtekst2"/>
        <w:ind w:left="851" w:hanging="851"/>
        <w:jc w:val="left"/>
        <w:rPr>
          <w:szCs w:val="24"/>
          <w:lang w:val="da-DK"/>
        </w:rPr>
      </w:pPr>
    </w:p>
    <w:p w14:paraId="69BB4C49" w14:textId="77777777" w:rsidR="003F530C" w:rsidRPr="00CF5D9E" w:rsidRDefault="003F530C" w:rsidP="00082DA9">
      <w:pPr>
        <w:pStyle w:val="Brdtekst2"/>
        <w:ind w:left="851"/>
        <w:jc w:val="left"/>
        <w:rPr>
          <w:szCs w:val="24"/>
          <w:u w:val="single"/>
          <w:lang w:val="da-DK"/>
        </w:rPr>
      </w:pPr>
      <w:proofErr w:type="spellStart"/>
      <w:r w:rsidRPr="00CF5D9E">
        <w:rPr>
          <w:szCs w:val="24"/>
          <w:u w:val="single"/>
          <w:lang w:val="da-DK"/>
        </w:rPr>
        <w:t>Farmakodynamisk</w:t>
      </w:r>
      <w:proofErr w:type="spellEnd"/>
      <w:r w:rsidRPr="00CF5D9E">
        <w:rPr>
          <w:szCs w:val="24"/>
          <w:u w:val="single"/>
          <w:lang w:val="da-DK"/>
        </w:rPr>
        <w:t xml:space="preserve"> virkning</w:t>
      </w:r>
    </w:p>
    <w:p w14:paraId="516A6EF9" w14:textId="77777777" w:rsidR="003F530C" w:rsidRPr="00CF5D9E" w:rsidRDefault="003F530C" w:rsidP="00082DA9">
      <w:pPr>
        <w:pStyle w:val="Brdtekst2"/>
        <w:ind w:left="851"/>
        <w:jc w:val="left"/>
        <w:rPr>
          <w:szCs w:val="24"/>
          <w:lang w:val="da-DK"/>
        </w:rPr>
      </w:pPr>
      <w:r w:rsidRPr="00CF5D9E">
        <w:rPr>
          <w:szCs w:val="24"/>
          <w:lang w:val="da-DK"/>
        </w:rPr>
        <w:t xml:space="preserve">Urinblæren </w:t>
      </w:r>
      <w:proofErr w:type="spellStart"/>
      <w:r w:rsidRPr="00CF5D9E">
        <w:rPr>
          <w:szCs w:val="24"/>
          <w:lang w:val="da-DK"/>
        </w:rPr>
        <w:t>innerveres</w:t>
      </w:r>
      <w:proofErr w:type="spellEnd"/>
      <w:r w:rsidRPr="00CF5D9E">
        <w:rPr>
          <w:szCs w:val="24"/>
          <w:lang w:val="da-DK"/>
        </w:rPr>
        <w:t xml:space="preserve"> af </w:t>
      </w:r>
      <w:proofErr w:type="spellStart"/>
      <w:r w:rsidRPr="00CF5D9E">
        <w:rPr>
          <w:szCs w:val="24"/>
          <w:lang w:val="da-DK"/>
        </w:rPr>
        <w:t>parasympatiske</w:t>
      </w:r>
      <w:proofErr w:type="spellEnd"/>
      <w:r w:rsidRPr="00CF5D9E">
        <w:rPr>
          <w:szCs w:val="24"/>
          <w:lang w:val="da-DK"/>
        </w:rPr>
        <w:t xml:space="preserve"> </w:t>
      </w:r>
      <w:proofErr w:type="spellStart"/>
      <w:r w:rsidRPr="00CF5D9E">
        <w:rPr>
          <w:szCs w:val="24"/>
          <w:lang w:val="da-DK"/>
        </w:rPr>
        <w:t>cholinerge</w:t>
      </w:r>
      <w:proofErr w:type="spellEnd"/>
      <w:r w:rsidRPr="00CF5D9E">
        <w:rPr>
          <w:szCs w:val="24"/>
          <w:lang w:val="da-DK"/>
        </w:rPr>
        <w:t xml:space="preserve"> nerver. </w:t>
      </w:r>
      <w:proofErr w:type="spellStart"/>
      <w:r w:rsidRPr="00CF5D9E">
        <w:rPr>
          <w:szCs w:val="24"/>
          <w:lang w:val="da-DK"/>
        </w:rPr>
        <w:t>Acetylcholin</w:t>
      </w:r>
      <w:proofErr w:type="spellEnd"/>
      <w:r w:rsidRPr="00CF5D9E">
        <w:rPr>
          <w:szCs w:val="24"/>
          <w:lang w:val="da-DK"/>
        </w:rPr>
        <w:t xml:space="preserve"> sammentrækker den glatte </w:t>
      </w:r>
      <w:proofErr w:type="spellStart"/>
      <w:r w:rsidRPr="00CF5D9E">
        <w:rPr>
          <w:szCs w:val="24"/>
          <w:lang w:val="da-DK"/>
        </w:rPr>
        <w:t>detrusormuskel</w:t>
      </w:r>
      <w:proofErr w:type="spellEnd"/>
      <w:r w:rsidRPr="00CF5D9E">
        <w:rPr>
          <w:szCs w:val="24"/>
          <w:lang w:val="da-DK"/>
        </w:rPr>
        <w:t xml:space="preserve"> via </w:t>
      </w:r>
      <w:proofErr w:type="spellStart"/>
      <w:r w:rsidRPr="00CF5D9E">
        <w:rPr>
          <w:szCs w:val="24"/>
          <w:lang w:val="da-DK"/>
        </w:rPr>
        <w:t>muscarine</w:t>
      </w:r>
      <w:proofErr w:type="spellEnd"/>
      <w:r w:rsidRPr="00CF5D9E">
        <w:rPr>
          <w:szCs w:val="24"/>
          <w:lang w:val="da-DK"/>
        </w:rPr>
        <w:t xml:space="preserve"> receptorer, hvoraf M3-subtypen overvejende er involveret. Farmakologiske </w:t>
      </w:r>
      <w:r w:rsidRPr="00CF5D9E">
        <w:rPr>
          <w:i/>
          <w:szCs w:val="24"/>
          <w:lang w:val="da-DK"/>
        </w:rPr>
        <w:t xml:space="preserve">in </w:t>
      </w:r>
      <w:proofErr w:type="spellStart"/>
      <w:r w:rsidRPr="00CF5D9E">
        <w:rPr>
          <w:i/>
          <w:szCs w:val="24"/>
          <w:lang w:val="da-DK"/>
        </w:rPr>
        <w:t>vitro</w:t>
      </w:r>
      <w:proofErr w:type="spellEnd"/>
      <w:r w:rsidRPr="00CF5D9E">
        <w:rPr>
          <w:szCs w:val="24"/>
          <w:lang w:val="da-DK"/>
        </w:rPr>
        <w:t xml:space="preserve">- og </w:t>
      </w:r>
      <w:r w:rsidRPr="00CF5D9E">
        <w:rPr>
          <w:i/>
          <w:szCs w:val="24"/>
          <w:lang w:val="da-DK"/>
        </w:rPr>
        <w:t xml:space="preserve">in </w:t>
      </w:r>
      <w:proofErr w:type="spellStart"/>
      <w:r w:rsidRPr="00CF5D9E">
        <w:rPr>
          <w:i/>
          <w:szCs w:val="24"/>
          <w:lang w:val="da-DK"/>
        </w:rPr>
        <w:t>vivo</w:t>
      </w:r>
      <w:proofErr w:type="spellEnd"/>
      <w:r w:rsidRPr="00CF5D9E">
        <w:rPr>
          <w:szCs w:val="24"/>
          <w:lang w:val="da-DK"/>
        </w:rPr>
        <w:t xml:space="preserve">-studier indikerer, at </w:t>
      </w:r>
      <w:proofErr w:type="spellStart"/>
      <w:r w:rsidRPr="00CF5D9E">
        <w:rPr>
          <w:szCs w:val="24"/>
          <w:lang w:val="da-DK"/>
        </w:rPr>
        <w:t>solifenacin</w:t>
      </w:r>
      <w:proofErr w:type="spellEnd"/>
      <w:r w:rsidRPr="00CF5D9E">
        <w:rPr>
          <w:szCs w:val="24"/>
          <w:lang w:val="da-DK"/>
        </w:rPr>
        <w:t xml:space="preserve"> er en </w:t>
      </w:r>
      <w:proofErr w:type="spellStart"/>
      <w:r w:rsidRPr="00CF5D9E">
        <w:rPr>
          <w:szCs w:val="24"/>
          <w:lang w:val="da-DK"/>
        </w:rPr>
        <w:t>kompetitiv</w:t>
      </w:r>
      <w:proofErr w:type="spellEnd"/>
      <w:r w:rsidRPr="00CF5D9E">
        <w:rPr>
          <w:szCs w:val="24"/>
          <w:lang w:val="da-DK"/>
        </w:rPr>
        <w:t xml:space="preserve"> hæmmer af den </w:t>
      </w:r>
      <w:proofErr w:type="spellStart"/>
      <w:r w:rsidRPr="00CF5D9E">
        <w:rPr>
          <w:szCs w:val="24"/>
          <w:lang w:val="da-DK"/>
        </w:rPr>
        <w:t>muscarine</w:t>
      </w:r>
      <w:proofErr w:type="spellEnd"/>
      <w:r w:rsidRPr="00CF5D9E">
        <w:rPr>
          <w:szCs w:val="24"/>
          <w:lang w:val="da-DK"/>
        </w:rPr>
        <w:t xml:space="preserve"> M3-subtype-receptor. Det er desuden vist, at </w:t>
      </w:r>
      <w:proofErr w:type="spellStart"/>
      <w:r w:rsidRPr="00CF5D9E">
        <w:rPr>
          <w:szCs w:val="24"/>
          <w:lang w:val="da-DK"/>
        </w:rPr>
        <w:t>solifenacin</w:t>
      </w:r>
      <w:proofErr w:type="spellEnd"/>
      <w:r w:rsidRPr="00CF5D9E">
        <w:rPr>
          <w:szCs w:val="24"/>
          <w:lang w:val="da-DK"/>
        </w:rPr>
        <w:t xml:space="preserve"> er en specifik hæmmer af </w:t>
      </w:r>
      <w:proofErr w:type="spellStart"/>
      <w:r w:rsidRPr="00CF5D9E">
        <w:rPr>
          <w:szCs w:val="24"/>
          <w:lang w:val="da-DK"/>
        </w:rPr>
        <w:t>muscarine</w:t>
      </w:r>
      <w:proofErr w:type="spellEnd"/>
      <w:r w:rsidRPr="00CF5D9E">
        <w:rPr>
          <w:szCs w:val="24"/>
          <w:lang w:val="da-DK"/>
        </w:rPr>
        <w:t xml:space="preserve"> receptorer, idet </w:t>
      </w:r>
      <w:proofErr w:type="spellStart"/>
      <w:r w:rsidRPr="00CF5D9E">
        <w:rPr>
          <w:szCs w:val="24"/>
          <w:lang w:val="da-DK"/>
        </w:rPr>
        <w:t>solifenacin</w:t>
      </w:r>
      <w:proofErr w:type="spellEnd"/>
      <w:r w:rsidRPr="00CF5D9E">
        <w:rPr>
          <w:szCs w:val="24"/>
          <w:lang w:val="da-DK"/>
        </w:rPr>
        <w:t xml:space="preserve"> har lav eller ingen affinitet for andre testede receptorer og ionkanaler.</w:t>
      </w:r>
    </w:p>
    <w:p w14:paraId="7B303A38" w14:textId="77777777" w:rsidR="003F530C" w:rsidRPr="00CF5D9E" w:rsidRDefault="003F530C" w:rsidP="00082DA9">
      <w:pPr>
        <w:pStyle w:val="Brdtekst2"/>
        <w:ind w:left="851" w:hanging="851"/>
        <w:jc w:val="left"/>
        <w:rPr>
          <w:szCs w:val="24"/>
          <w:lang w:val="da-DK"/>
        </w:rPr>
      </w:pPr>
    </w:p>
    <w:p w14:paraId="0436688A" w14:textId="77777777" w:rsidR="003F530C" w:rsidRPr="00CF5D9E" w:rsidRDefault="003F530C" w:rsidP="00082DA9">
      <w:pPr>
        <w:pStyle w:val="Brdtekst2"/>
        <w:ind w:left="851"/>
        <w:jc w:val="left"/>
        <w:rPr>
          <w:szCs w:val="24"/>
          <w:u w:val="single"/>
          <w:lang w:val="da-DK"/>
        </w:rPr>
      </w:pPr>
      <w:r w:rsidRPr="00CF5D9E">
        <w:rPr>
          <w:szCs w:val="24"/>
          <w:u w:val="single"/>
          <w:lang w:val="da-DK"/>
        </w:rPr>
        <w:t>Klinisk virkning og sikkerhed</w:t>
      </w:r>
    </w:p>
    <w:p w14:paraId="365522B7" w14:textId="3F31D386" w:rsidR="003F530C" w:rsidRPr="00CF5D9E" w:rsidRDefault="003F530C" w:rsidP="00082DA9">
      <w:pPr>
        <w:pStyle w:val="Brdtekst2"/>
        <w:ind w:left="851"/>
        <w:jc w:val="left"/>
        <w:rPr>
          <w:szCs w:val="24"/>
          <w:lang w:val="da-DK"/>
        </w:rPr>
      </w:pPr>
      <w:r w:rsidRPr="00CF5D9E">
        <w:rPr>
          <w:szCs w:val="24"/>
          <w:lang w:val="da-DK"/>
        </w:rPr>
        <w:t xml:space="preserve">Behandling med </w:t>
      </w:r>
      <w:proofErr w:type="spellStart"/>
      <w:r w:rsidRPr="00CF5D9E">
        <w:rPr>
          <w:szCs w:val="24"/>
          <w:lang w:val="da-DK"/>
        </w:rPr>
        <w:t>solifenacin</w:t>
      </w:r>
      <w:proofErr w:type="spellEnd"/>
      <w:r w:rsidRPr="00CF5D9E">
        <w:rPr>
          <w:szCs w:val="24"/>
          <w:lang w:val="da-DK"/>
        </w:rPr>
        <w:t xml:space="preserve"> i doser på 5 mg og 10 mg dagligt er blevet studeret i adskillige dobbeltblindede, </w:t>
      </w:r>
      <w:proofErr w:type="spellStart"/>
      <w:r w:rsidRPr="00CF5D9E">
        <w:rPr>
          <w:szCs w:val="24"/>
          <w:lang w:val="da-DK"/>
        </w:rPr>
        <w:t>randomiserede</w:t>
      </w:r>
      <w:proofErr w:type="spellEnd"/>
      <w:r w:rsidRPr="00CF5D9E">
        <w:rPr>
          <w:szCs w:val="24"/>
          <w:lang w:val="da-DK"/>
        </w:rPr>
        <w:t xml:space="preserve">, kontrollerede kliniske forsøg med mænd og kvinder med overaktiv blære. Som vist i nedenstående tabel giver doser à både 5 mg og 10 mg </w:t>
      </w:r>
      <w:proofErr w:type="spellStart"/>
      <w:r w:rsidRPr="00CF5D9E">
        <w:rPr>
          <w:szCs w:val="24"/>
          <w:lang w:val="da-DK"/>
        </w:rPr>
        <w:t>solifenacin</w:t>
      </w:r>
      <w:proofErr w:type="spellEnd"/>
      <w:r w:rsidRPr="00CF5D9E">
        <w:rPr>
          <w:szCs w:val="24"/>
          <w:lang w:val="da-DK"/>
        </w:rPr>
        <w:t xml:space="preserve"> statistisk signifikante forbedringer i de primære og sekundære </w:t>
      </w:r>
      <w:proofErr w:type="spellStart"/>
      <w:r w:rsidRPr="00CF5D9E">
        <w:rPr>
          <w:szCs w:val="24"/>
          <w:lang w:val="da-DK"/>
        </w:rPr>
        <w:t>endpoints</w:t>
      </w:r>
      <w:proofErr w:type="spellEnd"/>
      <w:r w:rsidRPr="00CF5D9E">
        <w:rPr>
          <w:szCs w:val="24"/>
          <w:lang w:val="da-DK"/>
        </w:rPr>
        <w:t xml:space="preserve"> sammenlignet med placebo. Virkningen blev observeret inden for én uge efter behandlingens påbegyndelse og stabiliseredes over en periode på 12 uger. Et open-label langtidsstudie viste, at virkningen varede ved i mindst 12 måneder. Efter 12 ugers behandling var ca. 50 % af de patienter, som led af inkontinens før behandlingen, fri for inkontinensepisoder, og 35 % af patienterne opnåede en vandladningsfrekvens på mindre end 8 vandladninger pr. dag. Behandling af symptomerne på overaktiv blære resulterer også i forbedringer med hensyn til en række livskvalitet</w:t>
      </w:r>
      <w:r w:rsidR="00082DA9">
        <w:rPr>
          <w:szCs w:val="24"/>
          <w:lang w:val="da-DK"/>
        </w:rPr>
        <w:t>s</w:t>
      </w:r>
      <w:r w:rsidRPr="00CF5D9E">
        <w:rPr>
          <w:szCs w:val="24"/>
          <w:lang w:val="da-DK"/>
        </w:rPr>
        <w:t>parametre såsom generel sundhedsopfattelse, inkontinensens indvirkning, rollebegrænsninger, fysiske begrænsninger, sociale begrænsninger, følelser, sværhedsgrad af symptomer, sværhedsgradsmålinger og søvn/energi.</w:t>
      </w:r>
    </w:p>
    <w:p w14:paraId="7B21A33D" w14:textId="77777777" w:rsidR="003F530C" w:rsidRPr="00CF5D9E" w:rsidRDefault="003F530C" w:rsidP="00082DA9">
      <w:pPr>
        <w:pStyle w:val="Brdtekst2"/>
        <w:ind w:left="851" w:hanging="851"/>
        <w:jc w:val="left"/>
        <w:rPr>
          <w:szCs w:val="24"/>
          <w:lang w:val="da-DK"/>
        </w:rPr>
      </w:pPr>
    </w:p>
    <w:p w14:paraId="5480566B" w14:textId="77777777" w:rsidR="003F530C" w:rsidRPr="00CF5D9E" w:rsidRDefault="003F530C" w:rsidP="00CF5D9E">
      <w:pPr>
        <w:pStyle w:val="Brdtekst2"/>
        <w:ind w:left="851" w:hanging="851"/>
        <w:jc w:val="left"/>
        <w:rPr>
          <w:szCs w:val="24"/>
          <w:lang w:val="da-DK"/>
        </w:rPr>
      </w:pPr>
      <w:r w:rsidRPr="00CF5D9E">
        <w:rPr>
          <w:i/>
          <w:szCs w:val="24"/>
          <w:lang w:val="da-DK"/>
        </w:rPr>
        <w:t>Resultater (</w:t>
      </w:r>
      <w:proofErr w:type="spellStart"/>
      <w:r w:rsidRPr="00CF5D9E">
        <w:rPr>
          <w:i/>
          <w:szCs w:val="24"/>
          <w:lang w:val="da-DK"/>
        </w:rPr>
        <w:t>poolede</w:t>
      </w:r>
      <w:proofErr w:type="spellEnd"/>
      <w:r w:rsidRPr="00CF5D9E">
        <w:rPr>
          <w:i/>
          <w:szCs w:val="24"/>
          <w:lang w:val="da-DK"/>
        </w:rPr>
        <w:t xml:space="preserve"> data) fra 4 kontrollerede fase 3-studier med en behandlingsvarighed på 12 uger</w:t>
      </w:r>
    </w:p>
    <w:p w14:paraId="5A801911" w14:textId="77777777" w:rsidR="003F530C" w:rsidRPr="00CF5D9E" w:rsidRDefault="003F530C" w:rsidP="00CF5D9E">
      <w:pPr>
        <w:pStyle w:val="Brdtekst2"/>
        <w:ind w:left="851" w:hanging="851"/>
        <w:jc w:val="left"/>
        <w:rPr>
          <w:szCs w:val="24"/>
          <w:lang w:val="da-D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3"/>
        <w:gridCol w:w="1203"/>
        <w:gridCol w:w="1523"/>
        <w:gridCol w:w="1523"/>
        <w:gridCol w:w="1716"/>
      </w:tblGrid>
      <w:tr w:rsidR="003F530C" w:rsidRPr="00CF5D9E" w14:paraId="1F89EA10" w14:textId="77777777" w:rsidTr="008115DB">
        <w:tc>
          <w:tcPr>
            <w:tcW w:w="1902" w:type="pct"/>
          </w:tcPr>
          <w:p w14:paraId="7F4E84FA" w14:textId="77777777" w:rsidR="003F530C" w:rsidRPr="00CF5D9E" w:rsidRDefault="003F530C" w:rsidP="008115DB">
            <w:pPr>
              <w:rPr>
                <w:sz w:val="24"/>
                <w:szCs w:val="24"/>
              </w:rPr>
            </w:pPr>
            <w:r w:rsidRPr="00CF5D9E">
              <w:rPr>
                <w:sz w:val="24"/>
                <w:szCs w:val="24"/>
              </w:rPr>
              <w:t> </w:t>
            </w:r>
          </w:p>
        </w:tc>
        <w:tc>
          <w:tcPr>
            <w:tcW w:w="624" w:type="pct"/>
          </w:tcPr>
          <w:p w14:paraId="025068EE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  <w:r w:rsidRPr="00CF5D9E">
              <w:rPr>
                <w:bCs/>
                <w:lang w:val="da-DK"/>
              </w:rPr>
              <w:t>Placebo</w:t>
            </w:r>
          </w:p>
        </w:tc>
        <w:tc>
          <w:tcPr>
            <w:tcW w:w="791" w:type="pct"/>
          </w:tcPr>
          <w:p w14:paraId="61D61A8C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bCs/>
                <w:lang w:val="da-DK"/>
              </w:rPr>
            </w:pPr>
            <w:proofErr w:type="spellStart"/>
            <w:r w:rsidRPr="00CF5D9E">
              <w:rPr>
                <w:bCs/>
                <w:lang w:val="da-DK"/>
              </w:rPr>
              <w:t>Solifenacin</w:t>
            </w:r>
            <w:proofErr w:type="spellEnd"/>
            <w:r w:rsidRPr="00CF5D9E">
              <w:rPr>
                <w:bCs/>
                <w:lang w:val="da-DK"/>
              </w:rPr>
              <w:t xml:space="preserve">- </w:t>
            </w:r>
          </w:p>
          <w:p w14:paraId="6DC54D84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bCs/>
                <w:lang w:val="da-DK"/>
              </w:rPr>
            </w:pPr>
            <w:proofErr w:type="spellStart"/>
            <w:proofErr w:type="gramStart"/>
            <w:r w:rsidRPr="00CF5D9E">
              <w:rPr>
                <w:bCs/>
                <w:lang w:val="da-DK"/>
              </w:rPr>
              <w:t>succinat</w:t>
            </w:r>
            <w:proofErr w:type="spellEnd"/>
            <w:proofErr w:type="gramEnd"/>
            <w:r w:rsidRPr="00CF5D9E">
              <w:rPr>
                <w:bCs/>
                <w:lang w:val="da-DK"/>
              </w:rPr>
              <w:t xml:space="preserve"> </w:t>
            </w:r>
          </w:p>
          <w:p w14:paraId="453BBDEF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  <w:r w:rsidRPr="00CF5D9E">
              <w:rPr>
                <w:bCs/>
                <w:lang w:val="da-DK"/>
              </w:rPr>
              <w:t>5 mg én gang dagligt</w:t>
            </w:r>
          </w:p>
        </w:tc>
        <w:tc>
          <w:tcPr>
            <w:tcW w:w="791" w:type="pct"/>
          </w:tcPr>
          <w:p w14:paraId="1FF252C4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bCs/>
                <w:lang w:val="da-DK"/>
              </w:rPr>
            </w:pPr>
            <w:proofErr w:type="spellStart"/>
            <w:r w:rsidRPr="00CF5D9E">
              <w:rPr>
                <w:bCs/>
                <w:lang w:val="da-DK"/>
              </w:rPr>
              <w:t>Solifenacin</w:t>
            </w:r>
            <w:proofErr w:type="spellEnd"/>
            <w:r w:rsidRPr="00CF5D9E">
              <w:rPr>
                <w:bCs/>
                <w:lang w:val="da-DK"/>
              </w:rPr>
              <w:t xml:space="preserve">- </w:t>
            </w:r>
            <w:proofErr w:type="spellStart"/>
            <w:r w:rsidRPr="00CF5D9E">
              <w:rPr>
                <w:bCs/>
                <w:lang w:val="da-DK"/>
              </w:rPr>
              <w:t>succinat</w:t>
            </w:r>
            <w:proofErr w:type="spellEnd"/>
            <w:r w:rsidRPr="00CF5D9E">
              <w:rPr>
                <w:bCs/>
                <w:lang w:val="da-DK"/>
              </w:rPr>
              <w:t xml:space="preserve"> </w:t>
            </w:r>
          </w:p>
          <w:p w14:paraId="2E5DF3FC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  <w:r w:rsidRPr="00CF5D9E">
              <w:rPr>
                <w:bCs/>
                <w:lang w:val="da-DK"/>
              </w:rPr>
              <w:t>10 mg én gang dagligt</w:t>
            </w:r>
          </w:p>
        </w:tc>
        <w:tc>
          <w:tcPr>
            <w:tcW w:w="891" w:type="pct"/>
          </w:tcPr>
          <w:p w14:paraId="6565C8A9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  <w:proofErr w:type="spellStart"/>
            <w:r w:rsidRPr="00CF5D9E">
              <w:rPr>
                <w:bCs/>
                <w:lang w:val="da-DK"/>
              </w:rPr>
              <w:t>Tolterodin</w:t>
            </w:r>
            <w:proofErr w:type="spellEnd"/>
            <w:r w:rsidRPr="00CF5D9E">
              <w:rPr>
                <w:bCs/>
                <w:lang w:val="da-DK"/>
              </w:rPr>
              <w:t xml:space="preserve"> </w:t>
            </w:r>
          </w:p>
          <w:p w14:paraId="0CCFEB7E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  <w:r w:rsidRPr="00CF5D9E">
              <w:rPr>
                <w:bCs/>
                <w:lang w:val="da-DK"/>
              </w:rPr>
              <w:t>2 mg to gange dagligt</w:t>
            </w:r>
          </w:p>
        </w:tc>
      </w:tr>
      <w:tr w:rsidR="003F530C" w:rsidRPr="00CF5D9E" w14:paraId="58F9CD7D" w14:textId="77777777" w:rsidTr="008115DB">
        <w:tc>
          <w:tcPr>
            <w:tcW w:w="1902" w:type="pct"/>
          </w:tcPr>
          <w:p w14:paraId="08E51E84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  <w:r w:rsidRPr="00CF5D9E">
              <w:rPr>
                <w:b/>
                <w:bCs/>
                <w:lang w:val="da-DK"/>
              </w:rPr>
              <w:t>Antal vandladninger pr. døgn</w:t>
            </w:r>
          </w:p>
        </w:tc>
        <w:tc>
          <w:tcPr>
            <w:tcW w:w="624" w:type="pct"/>
          </w:tcPr>
          <w:p w14:paraId="58D051FE" w14:textId="77777777" w:rsidR="003F530C" w:rsidRPr="00CF5D9E" w:rsidRDefault="003F530C" w:rsidP="008115DB">
            <w:pPr>
              <w:rPr>
                <w:sz w:val="24"/>
                <w:szCs w:val="24"/>
              </w:rPr>
            </w:pPr>
            <w:r w:rsidRPr="00CF5D9E">
              <w:rPr>
                <w:sz w:val="24"/>
                <w:szCs w:val="24"/>
              </w:rPr>
              <w:t> </w:t>
            </w:r>
          </w:p>
        </w:tc>
        <w:tc>
          <w:tcPr>
            <w:tcW w:w="791" w:type="pct"/>
          </w:tcPr>
          <w:p w14:paraId="4AE66546" w14:textId="77777777" w:rsidR="003F530C" w:rsidRPr="00CF5D9E" w:rsidRDefault="003F530C" w:rsidP="008115DB">
            <w:pPr>
              <w:rPr>
                <w:sz w:val="24"/>
                <w:szCs w:val="24"/>
              </w:rPr>
            </w:pPr>
            <w:r w:rsidRPr="00CF5D9E">
              <w:rPr>
                <w:sz w:val="24"/>
                <w:szCs w:val="24"/>
              </w:rPr>
              <w:t> </w:t>
            </w:r>
          </w:p>
        </w:tc>
        <w:tc>
          <w:tcPr>
            <w:tcW w:w="791" w:type="pct"/>
          </w:tcPr>
          <w:p w14:paraId="03C80CC5" w14:textId="77777777" w:rsidR="003F530C" w:rsidRPr="00CF5D9E" w:rsidRDefault="003F530C" w:rsidP="008115DB">
            <w:pPr>
              <w:rPr>
                <w:sz w:val="24"/>
                <w:szCs w:val="24"/>
              </w:rPr>
            </w:pPr>
            <w:r w:rsidRPr="00CF5D9E">
              <w:rPr>
                <w:sz w:val="24"/>
                <w:szCs w:val="24"/>
              </w:rPr>
              <w:t> </w:t>
            </w:r>
          </w:p>
        </w:tc>
        <w:tc>
          <w:tcPr>
            <w:tcW w:w="891" w:type="pct"/>
          </w:tcPr>
          <w:p w14:paraId="2C9E88FB" w14:textId="77777777" w:rsidR="003F530C" w:rsidRPr="00CF5D9E" w:rsidRDefault="003F530C" w:rsidP="008115DB">
            <w:pPr>
              <w:rPr>
                <w:sz w:val="24"/>
                <w:szCs w:val="24"/>
              </w:rPr>
            </w:pPr>
            <w:r w:rsidRPr="00CF5D9E">
              <w:rPr>
                <w:sz w:val="24"/>
                <w:szCs w:val="24"/>
              </w:rPr>
              <w:t> </w:t>
            </w:r>
          </w:p>
        </w:tc>
      </w:tr>
      <w:tr w:rsidR="003F530C" w:rsidRPr="00CF5D9E" w14:paraId="670D3233" w14:textId="77777777" w:rsidTr="008115DB">
        <w:tc>
          <w:tcPr>
            <w:tcW w:w="1902" w:type="pct"/>
          </w:tcPr>
          <w:p w14:paraId="024D191E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  <w:r w:rsidRPr="00CF5D9E">
              <w:rPr>
                <w:lang w:val="da-DK"/>
              </w:rPr>
              <w:t>Gennemsnitlig baseline</w:t>
            </w:r>
          </w:p>
          <w:p w14:paraId="62C94C2B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  <w:r w:rsidRPr="00CF5D9E">
              <w:rPr>
                <w:lang w:val="da-DK"/>
              </w:rPr>
              <w:t>Gennemsnitlig reduktion fra baseline</w:t>
            </w:r>
          </w:p>
          <w:p w14:paraId="5F7BF745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  <w:r w:rsidRPr="00CF5D9E">
              <w:rPr>
                <w:lang w:val="da-DK"/>
              </w:rPr>
              <w:t xml:space="preserve">% ændring fra baseline </w:t>
            </w:r>
          </w:p>
          <w:p w14:paraId="31CA0741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  <w:proofErr w:type="gramStart"/>
            <w:r w:rsidRPr="00CF5D9E">
              <w:rPr>
                <w:lang w:val="da-DK"/>
              </w:rPr>
              <w:t>n</w:t>
            </w:r>
            <w:proofErr w:type="gramEnd"/>
          </w:p>
          <w:p w14:paraId="2E8525C0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  <w:proofErr w:type="gramStart"/>
            <w:r w:rsidRPr="00CF5D9E">
              <w:rPr>
                <w:lang w:val="da-DK"/>
              </w:rPr>
              <w:t>p</w:t>
            </w:r>
            <w:proofErr w:type="gramEnd"/>
            <w:r w:rsidRPr="00CF5D9E">
              <w:rPr>
                <w:lang w:val="da-DK"/>
              </w:rPr>
              <w:t xml:space="preserve">-værdi* </w:t>
            </w:r>
          </w:p>
        </w:tc>
        <w:tc>
          <w:tcPr>
            <w:tcW w:w="624" w:type="pct"/>
          </w:tcPr>
          <w:p w14:paraId="4506081F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  <w:r w:rsidRPr="00CF5D9E">
              <w:rPr>
                <w:lang w:val="da-DK"/>
              </w:rPr>
              <w:t xml:space="preserve">11,9 </w:t>
            </w:r>
          </w:p>
          <w:p w14:paraId="13727125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  <w:r w:rsidRPr="00CF5D9E">
              <w:rPr>
                <w:lang w:val="da-DK"/>
              </w:rPr>
              <w:t xml:space="preserve">1,4 </w:t>
            </w:r>
          </w:p>
          <w:p w14:paraId="286B50CA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</w:p>
          <w:p w14:paraId="38071FA3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  <w:r w:rsidRPr="00CF5D9E">
              <w:rPr>
                <w:lang w:val="da-DK"/>
              </w:rPr>
              <w:t>(12 %)</w:t>
            </w:r>
          </w:p>
          <w:p w14:paraId="04558A48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  <w:r w:rsidRPr="00CF5D9E">
              <w:rPr>
                <w:lang w:val="da-DK"/>
              </w:rPr>
              <w:t>1138</w:t>
            </w:r>
          </w:p>
        </w:tc>
        <w:tc>
          <w:tcPr>
            <w:tcW w:w="791" w:type="pct"/>
          </w:tcPr>
          <w:p w14:paraId="60A6AC5E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  <w:r w:rsidRPr="00CF5D9E">
              <w:rPr>
                <w:lang w:val="da-DK"/>
              </w:rPr>
              <w:t xml:space="preserve">12,1 </w:t>
            </w:r>
          </w:p>
          <w:p w14:paraId="752F8589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  <w:r w:rsidRPr="00CF5D9E">
              <w:rPr>
                <w:lang w:val="da-DK"/>
              </w:rPr>
              <w:t xml:space="preserve">2,3 </w:t>
            </w:r>
          </w:p>
          <w:p w14:paraId="3B22CE7C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</w:p>
          <w:p w14:paraId="41582C4F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  <w:r w:rsidRPr="00CF5D9E">
              <w:rPr>
                <w:lang w:val="da-DK"/>
              </w:rPr>
              <w:t>(19 %)</w:t>
            </w:r>
          </w:p>
          <w:p w14:paraId="6EA8B48E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  <w:r w:rsidRPr="00CF5D9E">
              <w:rPr>
                <w:lang w:val="da-DK"/>
              </w:rPr>
              <w:t>552</w:t>
            </w:r>
          </w:p>
          <w:p w14:paraId="59238DF7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  <w:r w:rsidRPr="00CF5D9E">
              <w:rPr>
                <w:lang w:val="da-DK"/>
              </w:rPr>
              <w:t xml:space="preserve">&lt;0,001 </w:t>
            </w:r>
          </w:p>
        </w:tc>
        <w:tc>
          <w:tcPr>
            <w:tcW w:w="791" w:type="pct"/>
          </w:tcPr>
          <w:p w14:paraId="440A299A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  <w:r w:rsidRPr="00CF5D9E">
              <w:rPr>
                <w:lang w:val="da-DK"/>
              </w:rPr>
              <w:t xml:space="preserve">11,9 </w:t>
            </w:r>
          </w:p>
          <w:p w14:paraId="54EACFDC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  <w:r w:rsidRPr="00CF5D9E">
              <w:rPr>
                <w:lang w:val="da-DK"/>
              </w:rPr>
              <w:t xml:space="preserve">2,7 </w:t>
            </w:r>
          </w:p>
          <w:p w14:paraId="4F351FBC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</w:p>
          <w:p w14:paraId="440F4FF4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  <w:r w:rsidRPr="00CF5D9E">
              <w:rPr>
                <w:lang w:val="da-DK"/>
              </w:rPr>
              <w:t>(23 %)</w:t>
            </w:r>
          </w:p>
          <w:p w14:paraId="1A7B299F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  <w:r w:rsidRPr="00CF5D9E">
              <w:rPr>
                <w:lang w:val="da-DK"/>
              </w:rPr>
              <w:t>1158</w:t>
            </w:r>
          </w:p>
          <w:p w14:paraId="01F87469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  <w:r w:rsidRPr="00CF5D9E">
              <w:rPr>
                <w:lang w:val="da-DK"/>
              </w:rPr>
              <w:t xml:space="preserve">&lt;0,001 </w:t>
            </w:r>
          </w:p>
        </w:tc>
        <w:tc>
          <w:tcPr>
            <w:tcW w:w="891" w:type="pct"/>
          </w:tcPr>
          <w:p w14:paraId="339683BD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  <w:r w:rsidRPr="00CF5D9E">
              <w:rPr>
                <w:lang w:val="da-DK"/>
              </w:rPr>
              <w:t xml:space="preserve">12,1 </w:t>
            </w:r>
          </w:p>
          <w:p w14:paraId="3048A7DB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  <w:r w:rsidRPr="00CF5D9E">
              <w:rPr>
                <w:lang w:val="da-DK"/>
              </w:rPr>
              <w:t xml:space="preserve">1,9 </w:t>
            </w:r>
          </w:p>
          <w:p w14:paraId="6E5C3DE5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</w:p>
          <w:p w14:paraId="63BF6304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  <w:r w:rsidRPr="00CF5D9E">
              <w:rPr>
                <w:lang w:val="da-DK"/>
              </w:rPr>
              <w:t>(16 %)</w:t>
            </w:r>
          </w:p>
          <w:p w14:paraId="40466ECA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  <w:r w:rsidRPr="00CF5D9E">
              <w:rPr>
                <w:lang w:val="da-DK"/>
              </w:rPr>
              <w:t>250</w:t>
            </w:r>
          </w:p>
          <w:p w14:paraId="69150928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  <w:r w:rsidRPr="00CF5D9E">
              <w:rPr>
                <w:lang w:val="da-DK"/>
              </w:rPr>
              <w:t xml:space="preserve">0,004 </w:t>
            </w:r>
          </w:p>
        </w:tc>
      </w:tr>
      <w:tr w:rsidR="003F530C" w:rsidRPr="00CF5D9E" w14:paraId="37AB2C78" w14:textId="77777777" w:rsidTr="008115DB">
        <w:tc>
          <w:tcPr>
            <w:tcW w:w="1902" w:type="pct"/>
          </w:tcPr>
          <w:p w14:paraId="004BB33C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  <w:r w:rsidRPr="00CF5D9E">
              <w:rPr>
                <w:b/>
                <w:bCs/>
                <w:lang w:val="da-DK"/>
              </w:rPr>
              <w:t xml:space="preserve">Antal </w:t>
            </w:r>
            <w:proofErr w:type="spellStart"/>
            <w:r w:rsidRPr="00CF5D9E">
              <w:rPr>
                <w:b/>
                <w:bCs/>
                <w:lang w:val="da-DK"/>
              </w:rPr>
              <w:t>urgeepisoder</w:t>
            </w:r>
            <w:proofErr w:type="spellEnd"/>
            <w:r w:rsidRPr="00CF5D9E">
              <w:rPr>
                <w:b/>
                <w:bCs/>
                <w:lang w:val="da-DK"/>
              </w:rPr>
              <w:t xml:space="preserve"> pr. døgn</w:t>
            </w:r>
          </w:p>
        </w:tc>
        <w:tc>
          <w:tcPr>
            <w:tcW w:w="624" w:type="pct"/>
          </w:tcPr>
          <w:p w14:paraId="7327BD11" w14:textId="77777777" w:rsidR="003F530C" w:rsidRPr="00CF5D9E" w:rsidRDefault="003F530C" w:rsidP="008115DB">
            <w:pPr>
              <w:rPr>
                <w:sz w:val="24"/>
                <w:szCs w:val="24"/>
              </w:rPr>
            </w:pPr>
            <w:r w:rsidRPr="00CF5D9E">
              <w:rPr>
                <w:sz w:val="24"/>
                <w:szCs w:val="24"/>
              </w:rPr>
              <w:t> </w:t>
            </w:r>
          </w:p>
        </w:tc>
        <w:tc>
          <w:tcPr>
            <w:tcW w:w="791" w:type="pct"/>
          </w:tcPr>
          <w:p w14:paraId="568D1ED3" w14:textId="77777777" w:rsidR="003F530C" w:rsidRPr="00CF5D9E" w:rsidRDefault="003F530C" w:rsidP="008115DB">
            <w:pPr>
              <w:rPr>
                <w:sz w:val="24"/>
                <w:szCs w:val="24"/>
              </w:rPr>
            </w:pPr>
            <w:r w:rsidRPr="00CF5D9E">
              <w:rPr>
                <w:sz w:val="24"/>
                <w:szCs w:val="24"/>
              </w:rPr>
              <w:t> </w:t>
            </w:r>
          </w:p>
        </w:tc>
        <w:tc>
          <w:tcPr>
            <w:tcW w:w="791" w:type="pct"/>
          </w:tcPr>
          <w:p w14:paraId="7EE47138" w14:textId="77777777" w:rsidR="003F530C" w:rsidRPr="00CF5D9E" w:rsidRDefault="003F530C" w:rsidP="008115DB">
            <w:pPr>
              <w:rPr>
                <w:sz w:val="24"/>
                <w:szCs w:val="24"/>
              </w:rPr>
            </w:pPr>
            <w:r w:rsidRPr="00CF5D9E">
              <w:rPr>
                <w:sz w:val="24"/>
                <w:szCs w:val="24"/>
              </w:rPr>
              <w:t> </w:t>
            </w:r>
          </w:p>
        </w:tc>
        <w:tc>
          <w:tcPr>
            <w:tcW w:w="891" w:type="pct"/>
          </w:tcPr>
          <w:p w14:paraId="1CD8791E" w14:textId="77777777" w:rsidR="003F530C" w:rsidRPr="00CF5D9E" w:rsidRDefault="003F530C" w:rsidP="008115DB">
            <w:pPr>
              <w:rPr>
                <w:sz w:val="24"/>
                <w:szCs w:val="24"/>
              </w:rPr>
            </w:pPr>
            <w:r w:rsidRPr="00CF5D9E">
              <w:rPr>
                <w:sz w:val="24"/>
                <w:szCs w:val="24"/>
              </w:rPr>
              <w:t> </w:t>
            </w:r>
          </w:p>
        </w:tc>
      </w:tr>
      <w:tr w:rsidR="003F530C" w:rsidRPr="00CF5D9E" w14:paraId="356C2DD3" w14:textId="77777777" w:rsidTr="008115DB">
        <w:tc>
          <w:tcPr>
            <w:tcW w:w="1902" w:type="pct"/>
          </w:tcPr>
          <w:p w14:paraId="3CD5D6C1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  <w:r w:rsidRPr="00CF5D9E">
              <w:rPr>
                <w:lang w:val="da-DK"/>
              </w:rPr>
              <w:t>Gennemsnitlig baseline</w:t>
            </w:r>
          </w:p>
          <w:p w14:paraId="729C77D0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  <w:r w:rsidRPr="00CF5D9E">
              <w:rPr>
                <w:lang w:val="da-DK"/>
              </w:rPr>
              <w:t>Gennemsnitlig reduktion fra baseline</w:t>
            </w:r>
          </w:p>
          <w:p w14:paraId="77AD4E43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  <w:r w:rsidRPr="00CF5D9E">
              <w:rPr>
                <w:lang w:val="da-DK"/>
              </w:rPr>
              <w:t xml:space="preserve">% ændring fra baseline </w:t>
            </w:r>
          </w:p>
          <w:p w14:paraId="4EA0492A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  <w:proofErr w:type="gramStart"/>
            <w:r w:rsidRPr="00CF5D9E">
              <w:rPr>
                <w:lang w:val="da-DK"/>
              </w:rPr>
              <w:t>n</w:t>
            </w:r>
            <w:proofErr w:type="gramEnd"/>
          </w:p>
          <w:p w14:paraId="7623AE97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  <w:proofErr w:type="gramStart"/>
            <w:r w:rsidRPr="00CF5D9E">
              <w:rPr>
                <w:lang w:val="da-DK"/>
              </w:rPr>
              <w:t>p</w:t>
            </w:r>
            <w:proofErr w:type="gramEnd"/>
            <w:r w:rsidRPr="00CF5D9E">
              <w:rPr>
                <w:lang w:val="da-DK"/>
              </w:rPr>
              <w:t xml:space="preserve">-værdi* </w:t>
            </w:r>
          </w:p>
        </w:tc>
        <w:tc>
          <w:tcPr>
            <w:tcW w:w="624" w:type="pct"/>
          </w:tcPr>
          <w:p w14:paraId="51EDCAFE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  <w:r w:rsidRPr="00CF5D9E">
              <w:rPr>
                <w:lang w:val="da-DK"/>
              </w:rPr>
              <w:t xml:space="preserve">6,3 </w:t>
            </w:r>
          </w:p>
          <w:p w14:paraId="2A916118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  <w:r w:rsidRPr="00CF5D9E">
              <w:rPr>
                <w:lang w:val="da-DK"/>
              </w:rPr>
              <w:t xml:space="preserve">2,0 </w:t>
            </w:r>
          </w:p>
          <w:p w14:paraId="2646A1FF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</w:p>
          <w:p w14:paraId="7EC18A07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  <w:r w:rsidRPr="00CF5D9E">
              <w:rPr>
                <w:lang w:val="da-DK"/>
              </w:rPr>
              <w:t>(32 %)</w:t>
            </w:r>
          </w:p>
          <w:p w14:paraId="61D918F0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  <w:r w:rsidRPr="00CF5D9E">
              <w:rPr>
                <w:lang w:val="da-DK"/>
              </w:rPr>
              <w:t xml:space="preserve">1124 </w:t>
            </w:r>
          </w:p>
        </w:tc>
        <w:tc>
          <w:tcPr>
            <w:tcW w:w="791" w:type="pct"/>
          </w:tcPr>
          <w:p w14:paraId="609EACB1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  <w:r w:rsidRPr="00CF5D9E">
              <w:rPr>
                <w:lang w:val="da-DK"/>
              </w:rPr>
              <w:t xml:space="preserve">5,9 </w:t>
            </w:r>
          </w:p>
          <w:p w14:paraId="4253E5A8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  <w:r w:rsidRPr="00CF5D9E">
              <w:rPr>
                <w:lang w:val="da-DK"/>
              </w:rPr>
              <w:t xml:space="preserve">2,9 </w:t>
            </w:r>
          </w:p>
          <w:p w14:paraId="279E3254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</w:p>
          <w:p w14:paraId="7AFD8140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  <w:r w:rsidRPr="00CF5D9E">
              <w:rPr>
                <w:lang w:val="da-DK"/>
              </w:rPr>
              <w:t>(49 %)</w:t>
            </w:r>
          </w:p>
          <w:p w14:paraId="6A54720D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  <w:r w:rsidRPr="00CF5D9E">
              <w:rPr>
                <w:lang w:val="da-DK"/>
              </w:rPr>
              <w:t>548</w:t>
            </w:r>
          </w:p>
          <w:p w14:paraId="44A85C07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  <w:r w:rsidRPr="00CF5D9E">
              <w:rPr>
                <w:lang w:val="da-DK"/>
              </w:rPr>
              <w:t xml:space="preserve">&lt;0,001 </w:t>
            </w:r>
          </w:p>
        </w:tc>
        <w:tc>
          <w:tcPr>
            <w:tcW w:w="791" w:type="pct"/>
          </w:tcPr>
          <w:p w14:paraId="09DF4353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  <w:r w:rsidRPr="00CF5D9E">
              <w:rPr>
                <w:lang w:val="da-DK"/>
              </w:rPr>
              <w:t xml:space="preserve">6,2 </w:t>
            </w:r>
          </w:p>
          <w:p w14:paraId="55268544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  <w:r w:rsidRPr="00CF5D9E">
              <w:rPr>
                <w:lang w:val="da-DK"/>
              </w:rPr>
              <w:t xml:space="preserve">3,4 </w:t>
            </w:r>
          </w:p>
          <w:p w14:paraId="41D371CC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</w:p>
          <w:p w14:paraId="67C16EC2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  <w:r w:rsidRPr="00CF5D9E">
              <w:rPr>
                <w:lang w:val="da-DK"/>
              </w:rPr>
              <w:t>(55 %)</w:t>
            </w:r>
          </w:p>
          <w:p w14:paraId="02C2E58B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  <w:r w:rsidRPr="00CF5D9E">
              <w:rPr>
                <w:lang w:val="da-DK"/>
              </w:rPr>
              <w:t>1151</w:t>
            </w:r>
          </w:p>
          <w:p w14:paraId="09ECA98A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  <w:r w:rsidRPr="00CF5D9E">
              <w:rPr>
                <w:lang w:val="da-DK"/>
              </w:rPr>
              <w:t xml:space="preserve">&lt;0,001 </w:t>
            </w:r>
          </w:p>
        </w:tc>
        <w:tc>
          <w:tcPr>
            <w:tcW w:w="891" w:type="pct"/>
          </w:tcPr>
          <w:p w14:paraId="5730D4C5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  <w:r w:rsidRPr="00CF5D9E">
              <w:rPr>
                <w:lang w:val="da-DK"/>
              </w:rPr>
              <w:t xml:space="preserve">5,4 </w:t>
            </w:r>
          </w:p>
          <w:p w14:paraId="075F7EE6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  <w:r w:rsidRPr="00CF5D9E">
              <w:rPr>
                <w:lang w:val="da-DK"/>
              </w:rPr>
              <w:t xml:space="preserve">2,1 </w:t>
            </w:r>
          </w:p>
          <w:p w14:paraId="7593F2FA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</w:p>
          <w:p w14:paraId="47DD4E37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  <w:r w:rsidRPr="00CF5D9E">
              <w:rPr>
                <w:lang w:val="da-DK"/>
              </w:rPr>
              <w:t>(39 %)</w:t>
            </w:r>
          </w:p>
          <w:p w14:paraId="100E7551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  <w:r w:rsidRPr="00CF5D9E">
              <w:rPr>
                <w:lang w:val="da-DK"/>
              </w:rPr>
              <w:t>250</w:t>
            </w:r>
          </w:p>
          <w:p w14:paraId="15B75608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  <w:r w:rsidRPr="00CF5D9E">
              <w:rPr>
                <w:lang w:val="da-DK"/>
              </w:rPr>
              <w:t xml:space="preserve">0,031 </w:t>
            </w:r>
          </w:p>
        </w:tc>
      </w:tr>
      <w:tr w:rsidR="003F530C" w:rsidRPr="00CF5D9E" w14:paraId="309F9D36" w14:textId="77777777" w:rsidTr="008115DB">
        <w:tc>
          <w:tcPr>
            <w:tcW w:w="1902" w:type="pct"/>
          </w:tcPr>
          <w:p w14:paraId="1226C4FB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  <w:r w:rsidRPr="00CF5D9E">
              <w:rPr>
                <w:b/>
                <w:bCs/>
                <w:lang w:val="da-DK"/>
              </w:rPr>
              <w:t>Antal episoder af inkontinens pr. døgn</w:t>
            </w:r>
          </w:p>
        </w:tc>
        <w:tc>
          <w:tcPr>
            <w:tcW w:w="624" w:type="pct"/>
          </w:tcPr>
          <w:p w14:paraId="745F960A" w14:textId="77777777" w:rsidR="003F530C" w:rsidRPr="00CF5D9E" w:rsidRDefault="003F530C" w:rsidP="008115DB">
            <w:pPr>
              <w:rPr>
                <w:sz w:val="24"/>
                <w:szCs w:val="24"/>
              </w:rPr>
            </w:pPr>
            <w:r w:rsidRPr="00CF5D9E">
              <w:rPr>
                <w:sz w:val="24"/>
                <w:szCs w:val="24"/>
              </w:rPr>
              <w:t> </w:t>
            </w:r>
          </w:p>
        </w:tc>
        <w:tc>
          <w:tcPr>
            <w:tcW w:w="791" w:type="pct"/>
          </w:tcPr>
          <w:p w14:paraId="120BFB11" w14:textId="77777777" w:rsidR="003F530C" w:rsidRPr="00CF5D9E" w:rsidRDefault="003F530C" w:rsidP="008115DB">
            <w:pPr>
              <w:rPr>
                <w:sz w:val="24"/>
                <w:szCs w:val="24"/>
              </w:rPr>
            </w:pPr>
            <w:r w:rsidRPr="00CF5D9E">
              <w:rPr>
                <w:sz w:val="24"/>
                <w:szCs w:val="24"/>
              </w:rPr>
              <w:t> </w:t>
            </w:r>
          </w:p>
        </w:tc>
        <w:tc>
          <w:tcPr>
            <w:tcW w:w="791" w:type="pct"/>
          </w:tcPr>
          <w:p w14:paraId="70AB7159" w14:textId="77777777" w:rsidR="003F530C" w:rsidRPr="00CF5D9E" w:rsidRDefault="003F530C" w:rsidP="008115DB">
            <w:pPr>
              <w:rPr>
                <w:sz w:val="24"/>
                <w:szCs w:val="24"/>
              </w:rPr>
            </w:pPr>
            <w:r w:rsidRPr="00CF5D9E">
              <w:rPr>
                <w:sz w:val="24"/>
                <w:szCs w:val="24"/>
              </w:rPr>
              <w:t> </w:t>
            </w:r>
          </w:p>
        </w:tc>
        <w:tc>
          <w:tcPr>
            <w:tcW w:w="891" w:type="pct"/>
          </w:tcPr>
          <w:p w14:paraId="7C2849AE" w14:textId="77777777" w:rsidR="003F530C" w:rsidRPr="00CF5D9E" w:rsidRDefault="003F530C" w:rsidP="008115DB">
            <w:pPr>
              <w:rPr>
                <w:sz w:val="24"/>
                <w:szCs w:val="24"/>
              </w:rPr>
            </w:pPr>
            <w:r w:rsidRPr="00CF5D9E">
              <w:rPr>
                <w:sz w:val="24"/>
                <w:szCs w:val="24"/>
              </w:rPr>
              <w:t> </w:t>
            </w:r>
          </w:p>
        </w:tc>
      </w:tr>
      <w:tr w:rsidR="003F530C" w:rsidRPr="00CF5D9E" w14:paraId="2C064D22" w14:textId="77777777" w:rsidTr="008115DB">
        <w:tc>
          <w:tcPr>
            <w:tcW w:w="1902" w:type="pct"/>
          </w:tcPr>
          <w:p w14:paraId="765EE3FA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  <w:r w:rsidRPr="00CF5D9E">
              <w:rPr>
                <w:lang w:val="da-DK"/>
              </w:rPr>
              <w:t>Gennemsnitlig baseline</w:t>
            </w:r>
          </w:p>
          <w:p w14:paraId="315CD2FA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  <w:r w:rsidRPr="00CF5D9E">
              <w:rPr>
                <w:lang w:val="da-DK"/>
              </w:rPr>
              <w:t>Gennemsnitlig reduktion fra baseline</w:t>
            </w:r>
          </w:p>
          <w:p w14:paraId="51167CB0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  <w:r w:rsidRPr="00CF5D9E">
              <w:rPr>
                <w:lang w:val="da-DK"/>
              </w:rPr>
              <w:t xml:space="preserve">% ændring fra baseline </w:t>
            </w:r>
          </w:p>
          <w:p w14:paraId="66BA4ACB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  <w:proofErr w:type="gramStart"/>
            <w:r w:rsidRPr="00CF5D9E">
              <w:rPr>
                <w:lang w:val="da-DK"/>
              </w:rPr>
              <w:t>n</w:t>
            </w:r>
            <w:proofErr w:type="gramEnd"/>
          </w:p>
          <w:p w14:paraId="13D44C4E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  <w:proofErr w:type="gramStart"/>
            <w:r w:rsidRPr="00CF5D9E">
              <w:rPr>
                <w:lang w:val="da-DK"/>
              </w:rPr>
              <w:t>p</w:t>
            </w:r>
            <w:proofErr w:type="gramEnd"/>
            <w:r w:rsidRPr="00CF5D9E">
              <w:rPr>
                <w:lang w:val="da-DK"/>
              </w:rPr>
              <w:t xml:space="preserve">-værdi* </w:t>
            </w:r>
          </w:p>
        </w:tc>
        <w:tc>
          <w:tcPr>
            <w:tcW w:w="624" w:type="pct"/>
          </w:tcPr>
          <w:p w14:paraId="527FF7CB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  <w:r w:rsidRPr="00CF5D9E">
              <w:rPr>
                <w:lang w:val="da-DK"/>
              </w:rPr>
              <w:t xml:space="preserve">2,9 </w:t>
            </w:r>
          </w:p>
          <w:p w14:paraId="12520E13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  <w:r w:rsidRPr="00CF5D9E">
              <w:rPr>
                <w:lang w:val="da-DK"/>
              </w:rPr>
              <w:t xml:space="preserve">1,1 </w:t>
            </w:r>
          </w:p>
          <w:p w14:paraId="70F2B4E2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</w:p>
          <w:p w14:paraId="2A1234F8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  <w:r w:rsidRPr="00CF5D9E">
              <w:rPr>
                <w:lang w:val="da-DK"/>
              </w:rPr>
              <w:t>(38 %)</w:t>
            </w:r>
          </w:p>
          <w:p w14:paraId="1786D31B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  <w:r w:rsidRPr="00CF5D9E">
              <w:rPr>
                <w:lang w:val="da-DK"/>
              </w:rPr>
              <w:t xml:space="preserve">781 </w:t>
            </w:r>
          </w:p>
        </w:tc>
        <w:tc>
          <w:tcPr>
            <w:tcW w:w="791" w:type="pct"/>
          </w:tcPr>
          <w:p w14:paraId="2A5D7173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  <w:r w:rsidRPr="00CF5D9E">
              <w:rPr>
                <w:lang w:val="da-DK"/>
              </w:rPr>
              <w:t xml:space="preserve">2,6 </w:t>
            </w:r>
          </w:p>
          <w:p w14:paraId="5DD61CEC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  <w:r w:rsidRPr="00CF5D9E">
              <w:rPr>
                <w:lang w:val="da-DK"/>
              </w:rPr>
              <w:t xml:space="preserve">1,5 </w:t>
            </w:r>
          </w:p>
          <w:p w14:paraId="7A2062E5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</w:p>
          <w:p w14:paraId="477EF13D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  <w:r w:rsidRPr="00CF5D9E">
              <w:rPr>
                <w:lang w:val="da-DK"/>
              </w:rPr>
              <w:t>(58 %)</w:t>
            </w:r>
          </w:p>
          <w:p w14:paraId="6BF98959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  <w:r w:rsidRPr="00CF5D9E">
              <w:rPr>
                <w:lang w:val="da-DK"/>
              </w:rPr>
              <w:t>314</w:t>
            </w:r>
          </w:p>
          <w:p w14:paraId="5F171384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  <w:r w:rsidRPr="00CF5D9E">
              <w:rPr>
                <w:lang w:val="da-DK"/>
              </w:rPr>
              <w:t xml:space="preserve">&lt;0,001 </w:t>
            </w:r>
          </w:p>
        </w:tc>
        <w:tc>
          <w:tcPr>
            <w:tcW w:w="791" w:type="pct"/>
          </w:tcPr>
          <w:p w14:paraId="13549648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  <w:r w:rsidRPr="00CF5D9E">
              <w:rPr>
                <w:lang w:val="da-DK"/>
              </w:rPr>
              <w:t xml:space="preserve">2,9 </w:t>
            </w:r>
          </w:p>
          <w:p w14:paraId="2F160E24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  <w:r w:rsidRPr="00CF5D9E">
              <w:rPr>
                <w:lang w:val="da-DK"/>
              </w:rPr>
              <w:t xml:space="preserve">1,8 </w:t>
            </w:r>
          </w:p>
          <w:p w14:paraId="7C294794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</w:p>
          <w:p w14:paraId="56ABE410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  <w:r w:rsidRPr="00CF5D9E">
              <w:rPr>
                <w:lang w:val="da-DK"/>
              </w:rPr>
              <w:t>(62 %)</w:t>
            </w:r>
          </w:p>
          <w:p w14:paraId="1B5917DA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  <w:r w:rsidRPr="00CF5D9E">
              <w:rPr>
                <w:lang w:val="da-DK"/>
              </w:rPr>
              <w:t>778</w:t>
            </w:r>
          </w:p>
          <w:p w14:paraId="43F4B819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  <w:r w:rsidRPr="00CF5D9E">
              <w:rPr>
                <w:lang w:val="da-DK"/>
              </w:rPr>
              <w:t xml:space="preserve">&lt;0,001 </w:t>
            </w:r>
          </w:p>
        </w:tc>
        <w:tc>
          <w:tcPr>
            <w:tcW w:w="891" w:type="pct"/>
          </w:tcPr>
          <w:p w14:paraId="1E476FE0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  <w:r w:rsidRPr="00CF5D9E">
              <w:rPr>
                <w:lang w:val="da-DK"/>
              </w:rPr>
              <w:t xml:space="preserve">2,3 </w:t>
            </w:r>
          </w:p>
          <w:p w14:paraId="359BA138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  <w:r w:rsidRPr="00CF5D9E">
              <w:rPr>
                <w:lang w:val="da-DK"/>
              </w:rPr>
              <w:t xml:space="preserve">1,1 </w:t>
            </w:r>
          </w:p>
          <w:p w14:paraId="2E84A7B4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</w:p>
          <w:p w14:paraId="32226D5F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  <w:r w:rsidRPr="00CF5D9E">
              <w:rPr>
                <w:lang w:val="da-DK"/>
              </w:rPr>
              <w:t>(48 %)</w:t>
            </w:r>
          </w:p>
          <w:p w14:paraId="6DCAAC34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  <w:r w:rsidRPr="00CF5D9E">
              <w:rPr>
                <w:lang w:val="da-DK"/>
              </w:rPr>
              <w:t>157</w:t>
            </w:r>
          </w:p>
          <w:p w14:paraId="133D26CD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  <w:r w:rsidRPr="00CF5D9E">
              <w:rPr>
                <w:lang w:val="da-DK"/>
              </w:rPr>
              <w:t xml:space="preserve">0,009 </w:t>
            </w:r>
          </w:p>
        </w:tc>
      </w:tr>
      <w:tr w:rsidR="003F530C" w:rsidRPr="00CF5D9E" w14:paraId="5B835F85" w14:textId="77777777" w:rsidTr="008115DB">
        <w:tc>
          <w:tcPr>
            <w:tcW w:w="1902" w:type="pct"/>
          </w:tcPr>
          <w:p w14:paraId="08C9CFD8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  <w:r w:rsidRPr="00CF5D9E">
              <w:rPr>
                <w:b/>
                <w:bCs/>
                <w:lang w:val="da-DK"/>
              </w:rPr>
              <w:t xml:space="preserve">Antal episoder af </w:t>
            </w:r>
            <w:proofErr w:type="spellStart"/>
            <w:r w:rsidRPr="00CF5D9E">
              <w:rPr>
                <w:b/>
                <w:bCs/>
                <w:lang w:val="da-DK"/>
              </w:rPr>
              <w:t>nocturi</w:t>
            </w:r>
            <w:proofErr w:type="spellEnd"/>
            <w:r w:rsidRPr="00CF5D9E">
              <w:rPr>
                <w:b/>
                <w:bCs/>
                <w:lang w:val="da-DK"/>
              </w:rPr>
              <w:t xml:space="preserve"> pr. døgn</w:t>
            </w:r>
          </w:p>
        </w:tc>
        <w:tc>
          <w:tcPr>
            <w:tcW w:w="624" w:type="pct"/>
          </w:tcPr>
          <w:p w14:paraId="413757AD" w14:textId="77777777" w:rsidR="003F530C" w:rsidRPr="00CF5D9E" w:rsidRDefault="003F530C" w:rsidP="008115DB">
            <w:pPr>
              <w:rPr>
                <w:sz w:val="24"/>
                <w:szCs w:val="24"/>
              </w:rPr>
            </w:pPr>
            <w:r w:rsidRPr="00CF5D9E">
              <w:rPr>
                <w:sz w:val="24"/>
                <w:szCs w:val="24"/>
              </w:rPr>
              <w:t> </w:t>
            </w:r>
          </w:p>
        </w:tc>
        <w:tc>
          <w:tcPr>
            <w:tcW w:w="791" w:type="pct"/>
          </w:tcPr>
          <w:p w14:paraId="032B6942" w14:textId="77777777" w:rsidR="003F530C" w:rsidRPr="00CF5D9E" w:rsidRDefault="003F530C" w:rsidP="008115DB">
            <w:pPr>
              <w:rPr>
                <w:sz w:val="24"/>
                <w:szCs w:val="24"/>
              </w:rPr>
            </w:pPr>
            <w:r w:rsidRPr="00CF5D9E">
              <w:rPr>
                <w:sz w:val="24"/>
                <w:szCs w:val="24"/>
              </w:rPr>
              <w:t> </w:t>
            </w:r>
          </w:p>
        </w:tc>
        <w:tc>
          <w:tcPr>
            <w:tcW w:w="791" w:type="pct"/>
          </w:tcPr>
          <w:p w14:paraId="3371C18C" w14:textId="77777777" w:rsidR="003F530C" w:rsidRPr="00CF5D9E" w:rsidRDefault="003F530C" w:rsidP="008115DB">
            <w:pPr>
              <w:rPr>
                <w:sz w:val="24"/>
                <w:szCs w:val="24"/>
              </w:rPr>
            </w:pPr>
            <w:r w:rsidRPr="00CF5D9E">
              <w:rPr>
                <w:sz w:val="24"/>
                <w:szCs w:val="24"/>
              </w:rPr>
              <w:t> </w:t>
            </w:r>
          </w:p>
        </w:tc>
        <w:tc>
          <w:tcPr>
            <w:tcW w:w="891" w:type="pct"/>
          </w:tcPr>
          <w:p w14:paraId="2E1AF706" w14:textId="77777777" w:rsidR="003F530C" w:rsidRPr="00CF5D9E" w:rsidRDefault="003F530C" w:rsidP="008115DB">
            <w:pPr>
              <w:rPr>
                <w:sz w:val="24"/>
                <w:szCs w:val="24"/>
              </w:rPr>
            </w:pPr>
            <w:r w:rsidRPr="00CF5D9E">
              <w:rPr>
                <w:sz w:val="24"/>
                <w:szCs w:val="24"/>
              </w:rPr>
              <w:t> </w:t>
            </w:r>
          </w:p>
        </w:tc>
      </w:tr>
      <w:tr w:rsidR="003F530C" w:rsidRPr="00CF5D9E" w14:paraId="2D09B056" w14:textId="77777777" w:rsidTr="008115DB">
        <w:tc>
          <w:tcPr>
            <w:tcW w:w="1902" w:type="pct"/>
          </w:tcPr>
          <w:p w14:paraId="59F44FF3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  <w:r w:rsidRPr="00CF5D9E">
              <w:rPr>
                <w:lang w:val="da-DK"/>
              </w:rPr>
              <w:t>Gennemsnitlig baseline</w:t>
            </w:r>
          </w:p>
          <w:p w14:paraId="0CAC06EE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  <w:r w:rsidRPr="00CF5D9E">
              <w:rPr>
                <w:lang w:val="da-DK"/>
              </w:rPr>
              <w:t>Gennemsnitlig reduktion fra baseline</w:t>
            </w:r>
          </w:p>
          <w:p w14:paraId="3E929048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  <w:r w:rsidRPr="00CF5D9E">
              <w:rPr>
                <w:lang w:val="da-DK"/>
              </w:rPr>
              <w:t xml:space="preserve">% ændring fra baseline </w:t>
            </w:r>
          </w:p>
          <w:p w14:paraId="17B6005C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  <w:proofErr w:type="gramStart"/>
            <w:r w:rsidRPr="00CF5D9E">
              <w:rPr>
                <w:lang w:val="da-DK"/>
              </w:rPr>
              <w:t>n</w:t>
            </w:r>
            <w:proofErr w:type="gramEnd"/>
          </w:p>
          <w:p w14:paraId="3C3899F8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  <w:proofErr w:type="gramStart"/>
            <w:r w:rsidRPr="00CF5D9E">
              <w:rPr>
                <w:lang w:val="da-DK"/>
              </w:rPr>
              <w:t>p</w:t>
            </w:r>
            <w:proofErr w:type="gramEnd"/>
            <w:r w:rsidRPr="00CF5D9E">
              <w:rPr>
                <w:lang w:val="da-DK"/>
              </w:rPr>
              <w:t xml:space="preserve">-værdi* </w:t>
            </w:r>
          </w:p>
        </w:tc>
        <w:tc>
          <w:tcPr>
            <w:tcW w:w="624" w:type="pct"/>
          </w:tcPr>
          <w:p w14:paraId="6277A30C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  <w:r w:rsidRPr="00CF5D9E">
              <w:rPr>
                <w:lang w:val="da-DK"/>
              </w:rPr>
              <w:t xml:space="preserve">1,8 </w:t>
            </w:r>
          </w:p>
          <w:p w14:paraId="22B6E90A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  <w:r w:rsidRPr="00CF5D9E">
              <w:rPr>
                <w:lang w:val="da-DK"/>
              </w:rPr>
              <w:t xml:space="preserve">0,4 </w:t>
            </w:r>
          </w:p>
          <w:p w14:paraId="5E16EAC4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</w:p>
          <w:p w14:paraId="30393BA5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  <w:r w:rsidRPr="00CF5D9E">
              <w:rPr>
                <w:lang w:val="da-DK"/>
              </w:rPr>
              <w:t>(22 %)</w:t>
            </w:r>
          </w:p>
          <w:p w14:paraId="1EB1E5A3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  <w:r w:rsidRPr="00CF5D9E">
              <w:rPr>
                <w:lang w:val="da-DK"/>
              </w:rPr>
              <w:t xml:space="preserve">1005 </w:t>
            </w:r>
          </w:p>
        </w:tc>
        <w:tc>
          <w:tcPr>
            <w:tcW w:w="791" w:type="pct"/>
          </w:tcPr>
          <w:p w14:paraId="29C356A3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  <w:r w:rsidRPr="00CF5D9E">
              <w:rPr>
                <w:lang w:val="da-DK"/>
              </w:rPr>
              <w:t xml:space="preserve">2,0 </w:t>
            </w:r>
          </w:p>
          <w:p w14:paraId="45DF7C70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  <w:r w:rsidRPr="00CF5D9E">
              <w:rPr>
                <w:lang w:val="da-DK"/>
              </w:rPr>
              <w:t xml:space="preserve">0,6 </w:t>
            </w:r>
          </w:p>
          <w:p w14:paraId="29B5AAA2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</w:p>
          <w:p w14:paraId="395FC971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  <w:r w:rsidRPr="00CF5D9E">
              <w:rPr>
                <w:lang w:val="da-DK"/>
              </w:rPr>
              <w:t>(30 %)</w:t>
            </w:r>
          </w:p>
          <w:p w14:paraId="2ABFBD8F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  <w:r w:rsidRPr="00CF5D9E">
              <w:rPr>
                <w:lang w:val="da-DK"/>
              </w:rPr>
              <w:t>494</w:t>
            </w:r>
          </w:p>
          <w:p w14:paraId="18D7D1B2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  <w:r w:rsidRPr="00CF5D9E">
              <w:rPr>
                <w:lang w:val="da-DK"/>
              </w:rPr>
              <w:t xml:space="preserve">0,025 </w:t>
            </w:r>
          </w:p>
        </w:tc>
        <w:tc>
          <w:tcPr>
            <w:tcW w:w="791" w:type="pct"/>
          </w:tcPr>
          <w:p w14:paraId="2A945CBA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  <w:r w:rsidRPr="00CF5D9E">
              <w:rPr>
                <w:lang w:val="da-DK"/>
              </w:rPr>
              <w:t xml:space="preserve">1,8 </w:t>
            </w:r>
          </w:p>
          <w:p w14:paraId="18B614DA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  <w:r w:rsidRPr="00CF5D9E">
              <w:rPr>
                <w:lang w:val="da-DK"/>
              </w:rPr>
              <w:t xml:space="preserve">0,6 </w:t>
            </w:r>
          </w:p>
          <w:p w14:paraId="1C4ABB66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</w:p>
          <w:p w14:paraId="7A04077A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  <w:r w:rsidRPr="00CF5D9E">
              <w:rPr>
                <w:lang w:val="da-DK"/>
              </w:rPr>
              <w:t>(33 %)</w:t>
            </w:r>
          </w:p>
          <w:p w14:paraId="079FC1D8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  <w:r w:rsidRPr="00CF5D9E">
              <w:rPr>
                <w:lang w:val="da-DK"/>
              </w:rPr>
              <w:t>1035</w:t>
            </w:r>
          </w:p>
          <w:p w14:paraId="16DC2BF3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  <w:r w:rsidRPr="00CF5D9E">
              <w:rPr>
                <w:lang w:val="da-DK"/>
              </w:rPr>
              <w:t xml:space="preserve">&lt;0,001 </w:t>
            </w:r>
          </w:p>
        </w:tc>
        <w:tc>
          <w:tcPr>
            <w:tcW w:w="891" w:type="pct"/>
          </w:tcPr>
          <w:p w14:paraId="178ED0C3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  <w:r w:rsidRPr="00CF5D9E">
              <w:rPr>
                <w:lang w:val="da-DK"/>
              </w:rPr>
              <w:t xml:space="preserve">1,9 </w:t>
            </w:r>
          </w:p>
          <w:p w14:paraId="5CEB8741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  <w:r w:rsidRPr="00CF5D9E">
              <w:rPr>
                <w:lang w:val="da-DK"/>
              </w:rPr>
              <w:t xml:space="preserve">0,5 </w:t>
            </w:r>
          </w:p>
          <w:p w14:paraId="52B0AE37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</w:p>
          <w:p w14:paraId="5F185982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  <w:r w:rsidRPr="00CF5D9E">
              <w:rPr>
                <w:lang w:val="da-DK"/>
              </w:rPr>
              <w:t>(26 %)</w:t>
            </w:r>
          </w:p>
          <w:p w14:paraId="442EAEC9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  <w:r w:rsidRPr="00CF5D9E">
              <w:rPr>
                <w:lang w:val="da-DK"/>
              </w:rPr>
              <w:t>232</w:t>
            </w:r>
          </w:p>
          <w:p w14:paraId="4DF437B3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  <w:r w:rsidRPr="00CF5D9E">
              <w:rPr>
                <w:lang w:val="da-DK"/>
              </w:rPr>
              <w:t xml:space="preserve">0,199 </w:t>
            </w:r>
          </w:p>
        </w:tc>
      </w:tr>
      <w:tr w:rsidR="003F530C" w:rsidRPr="00CF5D9E" w14:paraId="5CA79E74" w14:textId="77777777" w:rsidTr="008115DB">
        <w:tc>
          <w:tcPr>
            <w:tcW w:w="1902" w:type="pct"/>
          </w:tcPr>
          <w:p w14:paraId="67BE92B4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  <w:r w:rsidRPr="00CF5D9E">
              <w:rPr>
                <w:b/>
                <w:bCs/>
                <w:lang w:val="da-DK"/>
              </w:rPr>
              <w:t>Udtømningsvolumen pr. vandladning</w:t>
            </w:r>
          </w:p>
        </w:tc>
        <w:tc>
          <w:tcPr>
            <w:tcW w:w="624" w:type="pct"/>
          </w:tcPr>
          <w:p w14:paraId="150EFDD4" w14:textId="77777777" w:rsidR="003F530C" w:rsidRPr="00CF5D9E" w:rsidRDefault="003F530C" w:rsidP="008115DB">
            <w:pPr>
              <w:rPr>
                <w:sz w:val="24"/>
                <w:szCs w:val="24"/>
              </w:rPr>
            </w:pPr>
            <w:r w:rsidRPr="00CF5D9E">
              <w:rPr>
                <w:sz w:val="24"/>
                <w:szCs w:val="24"/>
              </w:rPr>
              <w:t> </w:t>
            </w:r>
          </w:p>
        </w:tc>
        <w:tc>
          <w:tcPr>
            <w:tcW w:w="791" w:type="pct"/>
          </w:tcPr>
          <w:p w14:paraId="7B2C59D8" w14:textId="77777777" w:rsidR="003F530C" w:rsidRPr="00CF5D9E" w:rsidRDefault="003F530C" w:rsidP="008115DB">
            <w:pPr>
              <w:rPr>
                <w:sz w:val="24"/>
                <w:szCs w:val="24"/>
              </w:rPr>
            </w:pPr>
            <w:r w:rsidRPr="00CF5D9E">
              <w:rPr>
                <w:sz w:val="24"/>
                <w:szCs w:val="24"/>
              </w:rPr>
              <w:t> </w:t>
            </w:r>
          </w:p>
        </w:tc>
        <w:tc>
          <w:tcPr>
            <w:tcW w:w="791" w:type="pct"/>
          </w:tcPr>
          <w:p w14:paraId="6F7FBDA2" w14:textId="77777777" w:rsidR="003F530C" w:rsidRPr="00CF5D9E" w:rsidRDefault="003F530C" w:rsidP="008115DB">
            <w:pPr>
              <w:rPr>
                <w:sz w:val="24"/>
                <w:szCs w:val="24"/>
              </w:rPr>
            </w:pPr>
            <w:r w:rsidRPr="00CF5D9E">
              <w:rPr>
                <w:sz w:val="24"/>
                <w:szCs w:val="24"/>
              </w:rPr>
              <w:t> </w:t>
            </w:r>
          </w:p>
        </w:tc>
        <w:tc>
          <w:tcPr>
            <w:tcW w:w="891" w:type="pct"/>
          </w:tcPr>
          <w:p w14:paraId="129AEDF5" w14:textId="77777777" w:rsidR="003F530C" w:rsidRPr="00CF5D9E" w:rsidRDefault="003F530C" w:rsidP="008115DB">
            <w:pPr>
              <w:rPr>
                <w:sz w:val="24"/>
                <w:szCs w:val="24"/>
              </w:rPr>
            </w:pPr>
            <w:r w:rsidRPr="00CF5D9E">
              <w:rPr>
                <w:sz w:val="24"/>
                <w:szCs w:val="24"/>
              </w:rPr>
              <w:t> </w:t>
            </w:r>
          </w:p>
        </w:tc>
      </w:tr>
      <w:tr w:rsidR="003F530C" w:rsidRPr="00CF5D9E" w14:paraId="29AF9E81" w14:textId="77777777" w:rsidTr="008115DB">
        <w:tc>
          <w:tcPr>
            <w:tcW w:w="1902" w:type="pct"/>
          </w:tcPr>
          <w:p w14:paraId="2576A8CD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  <w:r w:rsidRPr="00CF5D9E">
              <w:rPr>
                <w:lang w:val="da-DK"/>
              </w:rPr>
              <w:t>Gennemsnitlig baseline</w:t>
            </w:r>
          </w:p>
          <w:p w14:paraId="54368016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  <w:r w:rsidRPr="00CF5D9E">
              <w:rPr>
                <w:lang w:val="da-DK"/>
              </w:rPr>
              <w:t>Gennemsnitlig reduktion fra baseline</w:t>
            </w:r>
          </w:p>
          <w:p w14:paraId="49DCAE00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  <w:r w:rsidRPr="00CF5D9E">
              <w:rPr>
                <w:lang w:val="da-DK"/>
              </w:rPr>
              <w:t xml:space="preserve">% ændring fra baseline </w:t>
            </w:r>
          </w:p>
          <w:p w14:paraId="320BFFF5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  <w:proofErr w:type="gramStart"/>
            <w:r w:rsidRPr="00CF5D9E">
              <w:rPr>
                <w:lang w:val="da-DK"/>
              </w:rPr>
              <w:t>n</w:t>
            </w:r>
            <w:proofErr w:type="gramEnd"/>
          </w:p>
          <w:p w14:paraId="11671833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  <w:proofErr w:type="gramStart"/>
            <w:r w:rsidRPr="00CF5D9E">
              <w:rPr>
                <w:lang w:val="da-DK"/>
              </w:rPr>
              <w:t>p</w:t>
            </w:r>
            <w:proofErr w:type="gramEnd"/>
            <w:r w:rsidRPr="00CF5D9E">
              <w:rPr>
                <w:lang w:val="da-DK"/>
              </w:rPr>
              <w:t>-værdi*</w:t>
            </w:r>
          </w:p>
        </w:tc>
        <w:tc>
          <w:tcPr>
            <w:tcW w:w="624" w:type="pct"/>
          </w:tcPr>
          <w:p w14:paraId="3B1806DD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  <w:r w:rsidRPr="00CF5D9E">
              <w:rPr>
                <w:lang w:val="da-DK"/>
              </w:rPr>
              <w:t xml:space="preserve">166 ml </w:t>
            </w:r>
          </w:p>
          <w:p w14:paraId="23CC17D1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  <w:r w:rsidRPr="00CF5D9E">
              <w:rPr>
                <w:lang w:val="da-DK"/>
              </w:rPr>
              <w:t xml:space="preserve">9 ml </w:t>
            </w:r>
          </w:p>
          <w:p w14:paraId="67BA63FF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</w:p>
          <w:p w14:paraId="749B1AE1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  <w:r w:rsidRPr="00CF5D9E">
              <w:rPr>
                <w:lang w:val="da-DK"/>
              </w:rPr>
              <w:t>(5 %)</w:t>
            </w:r>
          </w:p>
          <w:p w14:paraId="7D63237E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  <w:r w:rsidRPr="00CF5D9E">
              <w:rPr>
                <w:lang w:val="da-DK"/>
              </w:rPr>
              <w:t xml:space="preserve">1135 </w:t>
            </w:r>
          </w:p>
        </w:tc>
        <w:tc>
          <w:tcPr>
            <w:tcW w:w="791" w:type="pct"/>
          </w:tcPr>
          <w:p w14:paraId="5F559F6B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  <w:r w:rsidRPr="00CF5D9E">
              <w:rPr>
                <w:lang w:val="da-DK"/>
              </w:rPr>
              <w:t xml:space="preserve">146 ml </w:t>
            </w:r>
          </w:p>
          <w:p w14:paraId="72D1B571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  <w:r w:rsidRPr="00CF5D9E">
              <w:rPr>
                <w:lang w:val="da-DK"/>
              </w:rPr>
              <w:t xml:space="preserve">32 ml </w:t>
            </w:r>
          </w:p>
          <w:p w14:paraId="722AADA1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</w:p>
          <w:p w14:paraId="6A53E3CF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  <w:r w:rsidRPr="00CF5D9E">
              <w:rPr>
                <w:lang w:val="da-DK"/>
              </w:rPr>
              <w:t>(21 %)</w:t>
            </w:r>
          </w:p>
          <w:p w14:paraId="2F5772D0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  <w:r w:rsidRPr="00CF5D9E">
              <w:rPr>
                <w:lang w:val="da-DK"/>
              </w:rPr>
              <w:t>552</w:t>
            </w:r>
          </w:p>
          <w:p w14:paraId="48DC5DA5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  <w:r w:rsidRPr="00CF5D9E">
              <w:rPr>
                <w:lang w:val="da-DK"/>
              </w:rPr>
              <w:t xml:space="preserve">&lt;0,001 </w:t>
            </w:r>
          </w:p>
        </w:tc>
        <w:tc>
          <w:tcPr>
            <w:tcW w:w="791" w:type="pct"/>
          </w:tcPr>
          <w:p w14:paraId="490152BD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  <w:r w:rsidRPr="00CF5D9E">
              <w:rPr>
                <w:lang w:val="da-DK"/>
              </w:rPr>
              <w:t xml:space="preserve">163 ml </w:t>
            </w:r>
          </w:p>
          <w:p w14:paraId="52D007A8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  <w:r w:rsidRPr="00CF5D9E">
              <w:rPr>
                <w:lang w:val="da-DK"/>
              </w:rPr>
              <w:t xml:space="preserve">43 ml </w:t>
            </w:r>
          </w:p>
          <w:p w14:paraId="11C2A08F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</w:p>
          <w:p w14:paraId="72965055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  <w:r w:rsidRPr="00CF5D9E">
              <w:rPr>
                <w:lang w:val="da-DK"/>
              </w:rPr>
              <w:t>(26 %)</w:t>
            </w:r>
          </w:p>
          <w:p w14:paraId="0B94CA8A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  <w:r w:rsidRPr="00CF5D9E">
              <w:rPr>
                <w:lang w:val="da-DK"/>
              </w:rPr>
              <w:t>1156</w:t>
            </w:r>
          </w:p>
          <w:p w14:paraId="662AB4C5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  <w:r w:rsidRPr="00CF5D9E">
              <w:rPr>
                <w:lang w:val="da-DK"/>
              </w:rPr>
              <w:t xml:space="preserve">&lt;0,001 </w:t>
            </w:r>
          </w:p>
        </w:tc>
        <w:tc>
          <w:tcPr>
            <w:tcW w:w="891" w:type="pct"/>
          </w:tcPr>
          <w:p w14:paraId="0F65E2F4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  <w:r w:rsidRPr="00CF5D9E">
              <w:rPr>
                <w:lang w:val="da-DK"/>
              </w:rPr>
              <w:t xml:space="preserve">147 ml </w:t>
            </w:r>
          </w:p>
          <w:p w14:paraId="52C06802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  <w:r w:rsidRPr="00CF5D9E">
              <w:rPr>
                <w:lang w:val="da-DK"/>
              </w:rPr>
              <w:t xml:space="preserve">24 ml </w:t>
            </w:r>
          </w:p>
          <w:p w14:paraId="3A62E580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</w:p>
          <w:p w14:paraId="7F0B31FE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  <w:r w:rsidRPr="00CF5D9E">
              <w:rPr>
                <w:lang w:val="da-DK"/>
              </w:rPr>
              <w:t>(16 %)</w:t>
            </w:r>
          </w:p>
          <w:p w14:paraId="6B89DCF3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  <w:r w:rsidRPr="00CF5D9E">
              <w:rPr>
                <w:lang w:val="da-DK"/>
              </w:rPr>
              <w:t>250</w:t>
            </w:r>
          </w:p>
          <w:p w14:paraId="22EE43E6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  <w:r w:rsidRPr="00CF5D9E">
              <w:rPr>
                <w:lang w:val="da-DK"/>
              </w:rPr>
              <w:t xml:space="preserve">&lt;0,001 </w:t>
            </w:r>
          </w:p>
        </w:tc>
      </w:tr>
      <w:tr w:rsidR="003F530C" w:rsidRPr="00CF5D9E" w14:paraId="7ABA5CE3" w14:textId="77777777" w:rsidTr="008115DB">
        <w:tc>
          <w:tcPr>
            <w:tcW w:w="1902" w:type="pct"/>
          </w:tcPr>
          <w:p w14:paraId="51608D6F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  <w:r w:rsidRPr="00CF5D9E">
              <w:rPr>
                <w:b/>
                <w:bCs/>
                <w:lang w:val="da-DK"/>
              </w:rPr>
              <w:t>Antal af bind pr. døgn</w:t>
            </w:r>
          </w:p>
        </w:tc>
        <w:tc>
          <w:tcPr>
            <w:tcW w:w="624" w:type="pct"/>
          </w:tcPr>
          <w:p w14:paraId="001EBB9C" w14:textId="77777777" w:rsidR="003F530C" w:rsidRPr="00CF5D9E" w:rsidRDefault="003F530C" w:rsidP="008115DB">
            <w:pPr>
              <w:rPr>
                <w:sz w:val="24"/>
                <w:szCs w:val="24"/>
              </w:rPr>
            </w:pPr>
            <w:r w:rsidRPr="00CF5D9E">
              <w:rPr>
                <w:sz w:val="24"/>
                <w:szCs w:val="24"/>
              </w:rPr>
              <w:t> </w:t>
            </w:r>
          </w:p>
        </w:tc>
        <w:tc>
          <w:tcPr>
            <w:tcW w:w="791" w:type="pct"/>
          </w:tcPr>
          <w:p w14:paraId="361012CF" w14:textId="77777777" w:rsidR="003F530C" w:rsidRPr="00CF5D9E" w:rsidRDefault="003F530C" w:rsidP="008115DB">
            <w:pPr>
              <w:rPr>
                <w:sz w:val="24"/>
                <w:szCs w:val="24"/>
              </w:rPr>
            </w:pPr>
            <w:r w:rsidRPr="00CF5D9E">
              <w:rPr>
                <w:sz w:val="24"/>
                <w:szCs w:val="24"/>
              </w:rPr>
              <w:t> </w:t>
            </w:r>
          </w:p>
        </w:tc>
        <w:tc>
          <w:tcPr>
            <w:tcW w:w="791" w:type="pct"/>
          </w:tcPr>
          <w:p w14:paraId="21AE5F73" w14:textId="77777777" w:rsidR="003F530C" w:rsidRPr="00CF5D9E" w:rsidRDefault="003F530C" w:rsidP="008115DB">
            <w:pPr>
              <w:rPr>
                <w:sz w:val="24"/>
                <w:szCs w:val="24"/>
              </w:rPr>
            </w:pPr>
            <w:r w:rsidRPr="00CF5D9E">
              <w:rPr>
                <w:sz w:val="24"/>
                <w:szCs w:val="24"/>
              </w:rPr>
              <w:t> </w:t>
            </w:r>
          </w:p>
        </w:tc>
        <w:tc>
          <w:tcPr>
            <w:tcW w:w="891" w:type="pct"/>
          </w:tcPr>
          <w:p w14:paraId="3990953F" w14:textId="77777777" w:rsidR="003F530C" w:rsidRPr="00CF5D9E" w:rsidRDefault="003F530C" w:rsidP="008115DB">
            <w:pPr>
              <w:rPr>
                <w:sz w:val="24"/>
                <w:szCs w:val="24"/>
              </w:rPr>
            </w:pPr>
            <w:r w:rsidRPr="00CF5D9E">
              <w:rPr>
                <w:sz w:val="24"/>
                <w:szCs w:val="24"/>
              </w:rPr>
              <w:t> </w:t>
            </w:r>
          </w:p>
        </w:tc>
      </w:tr>
      <w:tr w:rsidR="003F530C" w:rsidRPr="00CF5D9E" w14:paraId="1B00AC2A" w14:textId="77777777" w:rsidTr="008115DB">
        <w:tc>
          <w:tcPr>
            <w:tcW w:w="1902" w:type="pct"/>
          </w:tcPr>
          <w:p w14:paraId="5A8A69D9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  <w:r w:rsidRPr="00CF5D9E">
              <w:rPr>
                <w:lang w:val="da-DK"/>
              </w:rPr>
              <w:t>Gennemsnitlig baseline</w:t>
            </w:r>
          </w:p>
          <w:p w14:paraId="0B0B8D91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  <w:r w:rsidRPr="00CF5D9E">
              <w:rPr>
                <w:lang w:val="da-DK"/>
              </w:rPr>
              <w:t>Gennemsnitlig reduktion fra baseline</w:t>
            </w:r>
          </w:p>
          <w:p w14:paraId="55429E16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  <w:r w:rsidRPr="00CF5D9E">
              <w:rPr>
                <w:lang w:val="da-DK"/>
              </w:rPr>
              <w:t xml:space="preserve">% ændring fra baseline </w:t>
            </w:r>
          </w:p>
          <w:p w14:paraId="77B7847C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  <w:proofErr w:type="gramStart"/>
            <w:r w:rsidRPr="00CF5D9E">
              <w:rPr>
                <w:lang w:val="da-DK"/>
              </w:rPr>
              <w:t>n</w:t>
            </w:r>
            <w:proofErr w:type="gramEnd"/>
          </w:p>
          <w:p w14:paraId="566288B9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  <w:proofErr w:type="gramStart"/>
            <w:r w:rsidRPr="00CF5D9E">
              <w:rPr>
                <w:lang w:val="da-DK"/>
              </w:rPr>
              <w:t>p</w:t>
            </w:r>
            <w:proofErr w:type="gramEnd"/>
            <w:r w:rsidRPr="00CF5D9E">
              <w:rPr>
                <w:lang w:val="da-DK"/>
              </w:rPr>
              <w:t>-værdi*</w:t>
            </w:r>
          </w:p>
          <w:p w14:paraId="1D240ED4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  <w:r w:rsidRPr="00CF5D9E">
              <w:rPr>
                <w:lang w:val="da-DK"/>
              </w:rPr>
              <w:t xml:space="preserve"> </w:t>
            </w:r>
          </w:p>
        </w:tc>
        <w:tc>
          <w:tcPr>
            <w:tcW w:w="624" w:type="pct"/>
          </w:tcPr>
          <w:p w14:paraId="0B59AAE5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  <w:r w:rsidRPr="00CF5D9E">
              <w:rPr>
                <w:lang w:val="da-DK"/>
              </w:rPr>
              <w:t xml:space="preserve">3,0 </w:t>
            </w:r>
          </w:p>
          <w:p w14:paraId="09FDB86F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  <w:r w:rsidRPr="00CF5D9E">
              <w:rPr>
                <w:lang w:val="da-DK"/>
              </w:rPr>
              <w:t xml:space="preserve">0,8 </w:t>
            </w:r>
          </w:p>
          <w:p w14:paraId="6599385D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</w:p>
          <w:p w14:paraId="421430E9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  <w:r w:rsidRPr="00CF5D9E">
              <w:rPr>
                <w:lang w:val="da-DK"/>
              </w:rPr>
              <w:t>(27 %)</w:t>
            </w:r>
          </w:p>
          <w:p w14:paraId="1BA52E6B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  <w:r w:rsidRPr="00CF5D9E">
              <w:rPr>
                <w:lang w:val="da-DK"/>
              </w:rPr>
              <w:t xml:space="preserve">238 </w:t>
            </w:r>
          </w:p>
        </w:tc>
        <w:tc>
          <w:tcPr>
            <w:tcW w:w="791" w:type="pct"/>
          </w:tcPr>
          <w:p w14:paraId="2AF27532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  <w:r w:rsidRPr="00CF5D9E">
              <w:rPr>
                <w:lang w:val="da-DK"/>
              </w:rPr>
              <w:t xml:space="preserve">2,8 </w:t>
            </w:r>
          </w:p>
          <w:p w14:paraId="3286CD17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  <w:r w:rsidRPr="00CF5D9E">
              <w:rPr>
                <w:lang w:val="da-DK"/>
              </w:rPr>
              <w:t xml:space="preserve">1,3 </w:t>
            </w:r>
          </w:p>
          <w:p w14:paraId="7876C198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</w:p>
          <w:p w14:paraId="7EEDE70A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  <w:r w:rsidRPr="00CF5D9E">
              <w:rPr>
                <w:lang w:val="da-DK"/>
              </w:rPr>
              <w:t>(46 %)</w:t>
            </w:r>
          </w:p>
          <w:p w14:paraId="07C57089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  <w:r w:rsidRPr="00CF5D9E">
              <w:rPr>
                <w:lang w:val="da-DK"/>
              </w:rPr>
              <w:t>236</w:t>
            </w:r>
          </w:p>
          <w:p w14:paraId="3C7ADBA9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  <w:r w:rsidRPr="00CF5D9E">
              <w:rPr>
                <w:lang w:val="da-DK"/>
              </w:rPr>
              <w:t xml:space="preserve">&lt;0,001 </w:t>
            </w:r>
          </w:p>
        </w:tc>
        <w:tc>
          <w:tcPr>
            <w:tcW w:w="791" w:type="pct"/>
          </w:tcPr>
          <w:p w14:paraId="5049BC75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  <w:r w:rsidRPr="00CF5D9E">
              <w:rPr>
                <w:lang w:val="da-DK"/>
              </w:rPr>
              <w:t xml:space="preserve">2,7 </w:t>
            </w:r>
          </w:p>
          <w:p w14:paraId="37CFBB15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  <w:r w:rsidRPr="00CF5D9E">
              <w:rPr>
                <w:lang w:val="da-DK"/>
              </w:rPr>
              <w:t xml:space="preserve">1,3 </w:t>
            </w:r>
          </w:p>
          <w:p w14:paraId="3748E1A8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</w:p>
          <w:p w14:paraId="0205B962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  <w:r w:rsidRPr="00CF5D9E">
              <w:rPr>
                <w:lang w:val="da-DK"/>
              </w:rPr>
              <w:t>(48 %)</w:t>
            </w:r>
          </w:p>
          <w:p w14:paraId="30A5A5CA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  <w:r w:rsidRPr="00CF5D9E">
              <w:rPr>
                <w:lang w:val="da-DK"/>
              </w:rPr>
              <w:t>242</w:t>
            </w:r>
          </w:p>
          <w:p w14:paraId="5DD61146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  <w:r w:rsidRPr="00CF5D9E">
              <w:rPr>
                <w:lang w:val="da-DK"/>
              </w:rPr>
              <w:t xml:space="preserve">&lt;0,001 </w:t>
            </w:r>
          </w:p>
        </w:tc>
        <w:tc>
          <w:tcPr>
            <w:tcW w:w="891" w:type="pct"/>
          </w:tcPr>
          <w:p w14:paraId="78618191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  <w:r w:rsidRPr="00CF5D9E">
              <w:rPr>
                <w:lang w:val="da-DK"/>
              </w:rPr>
              <w:t xml:space="preserve">2,7 </w:t>
            </w:r>
          </w:p>
          <w:p w14:paraId="4FB4A165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  <w:r w:rsidRPr="00CF5D9E">
              <w:rPr>
                <w:lang w:val="da-DK"/>
              </w:rPr>
              <w:t xml:space="preserve">1,0 </w:t>
            </w:r>
          </w:p>
          <w:p w14:paraId="5FA07422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</w:p>
          <w:p w14:paraId="29943164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  <w:r w:rsidRPr="00CF5D9E">
              <w:rPr>
                <w:lang w:val="da-DK"/>
              </w:rPr>
              <w:t>(37 %)</w:t>
            </w:r>
          </w:p>
          <w:p w14:paraId="35379887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  <w:r w:rsidRPr="00CF5D9E">
              <w:rPr>
                <w:lang w:val="da-DK"/>
              </w:rPr>
              <w:t>250</w:t>
            </w:r>
          </w:p>
          <w:p w14:paraId="30E34CA9" w14:textId="77777777" w:rsidR="003F530C" w:rsidRPr="00CF5D9E" w:rsidRDefault="003F530C" w:rsidP="008115DB">
            <w:pPr>
              <w:pStyle w:val="NormalWeb"/>
              <w:spacing w:before="0" w:beforeAutospacing="0" w:after="0" w:afterAutospacing="0"/>
              <w:rPr>
                <w:lang w:val="da-DK"/>
              </w:rPr>
            </w:pPr>
            <w:r w:rsidRPr="00CF5D9E">
              <w:rPr>
                <w:lang w:val="da-DK"/>
              </w:rPr>
              <w:t xml:space="preserve">0,010 </w:t>
            </w:r>
          </w:p>
        </w:tc>
      </w:tr>
    </w:tbl>
    <w:p w14:paraId="03D986A7" w14:textId="77777777" w:rsidR="003F530C" w:rsidRPr="00CF5D9E" w:rsidRDefault="003F530C" w:rsidP="00CF5D9E">
      <w:pPr>
        <w:pStyle w:val="Brdtekst2"/>
        <w:ind w:left="851" w:hanging="851"/>
        <w:jc w:val="left"/>
        <w:rPr>
          <w:szCs w:val="24"/>
          <w:lang w:val="da-DK"/>
        </w:rPr>
      </w:pPr>
    </w:p>
    <w:p w14:paraId="4B0F5B68" w14:textId="77777777" w:rsidR="003F530C" w:rsidRPr="00CF5D9E" w:rsidRDefault="003F530C" w:rsidP="008115DB">
      <w:pPr>
        <w:pStyle w:val="Brdtekst2"/>
        <w:ind w:left="851"/>
        <w:jc w:val="left"/>
        <w:rPr>
          <w:szCs w:val="24"/>
          <w:lang w:val="da-DK"/>
        </w:rPr>
      </w:pPr>
      <w:r w:rsidRPr="00CF5D9E">
        <w:rPr>
          <w:szCs w:val="24"/>
          <w:lang w:val="da-DK"/>
        </w:rPr>
        <w:t xml:space="preserve">Bemærk: I fire af de </w:t>
      </w:r>
      <w:proofErr w:type="spellStart"/>
      <w:r w:rsidRPr="00CF5D9E">
        <w:rPr>
          <w:szCs w:val="24"/>
          <w:lang w:val="da-DK"/>
        </w:rPr>
        <w:t>pivotale</w:t>
      </w:r>
      <w:proofErr w:type="spellEnd"/>
      <w:r w:rsidRPr="00CF5D9E">
        <w:rPr>
          <w:szCs w:val="24"/>
          <w:lang w:val="da-DK"/>
        </w:rPr>
        <w:t xml:space="preserve"> studier blev der anvendt 10 mg </w:t>
      </w:r>
      <w:proofErr w:type="spellStart"/>
      <w:r w:rsidRPr="00CF5D9E">
        <w:rPr>
          <w:szCs w:val="24"/>
          <w:lang w:val="da-DK"/>
        </w:rPr>
        <w:t>solifenacinsuccinat</w:t>
      </w:r>
      <w:proofErr w:type="spellEnd"/>
      <w:r w:rsidRPr="00CF5D9E">
        <w:rPr>
          <w:szCs w:val="24"/>
          <w:lang w:val="da-DK"/>
        </w:rPr>
        <w:t xml:space="preserve"> og placebo. I to ud af fire studier blev der også brugt 5 mg </w:t>
      </w:r>
      <w:proofErr w:type="spellStart"/>
      <w:r w:rsidRPr="00CF5D9E">
        <w:rPr>
          <w:szCs w:val="24"/>
          <w:lang w:val="da-DK"/>
        </w:rPr>
        <w:t>solifenacinsuccinat</w:t>
      </w:r>
      <w:proofErr w:type="spellEnd"/>
      <w:r w:rsidRPr="00CF5D9E">
        <w:rPr>
          <w:szCs w:val="24"/>
          <w:lang w:val="da-DK"/>
        </w:rPr>
        <w:t xml:space="preserve"> og ét af studierne inkluderede 2 mg </w:t>
      </w:r>
      <w:proofErr w:type="spellStart"/>
      <w:r w:rsidRPr="00CF5D9E">
        <w:rPr>
          <w:szCs w:val="24"/>
          <w:lang w:val="da-DK"/>
        </w:rPr>
        <w:t>tolterodin</w:t>
      </w:r>
      <w:proofErr w:type="spellEnd"/>
      <w:r w:rsidRPr="00CF5D9E">
        <w:rPr>
          <w:szCs w:val="24"/>
          <w:lang w:val="da-DK"/>
        </w:rPr>
        <w:t xml:space="preserve"> to gange dagligt.</w:t>
      </w:r>
    </w:p>
    <w:p w14:paraId="27327B1A" w14:textId="77777777" w:rsidR="003F530C" w:rsidRPr="00CF5D9E" w:rsidRDefault="003F530C" w:rsidP="00CF5D9E">
      <w:pPr>
        <w:pStyle w:val="Brdtekst2"/>
        <w:ind w:left="851" w:hanging="851"/>
        <w:jc w:val="left"/>
        <w:rPr>
          <w:szCs w:val="24"/>
          <w:lang w:val="da-DK"/>
        </w:rPr>
      </w:pPr>
    </w:p>
    <w:p w14:paraId="56A95183" w14:textId="77777777" w:rsidR="003F530C" w:rsidRPr="00CF5D9E" w:rsidRDefault="003F530C" w:rsidP="008115DB">
      <w:pPr>
        <w:pStyle w:val="Brdtekst2"/>
        <w:ind w:left="851"/>
        <w:rPr>
          <w:szCs w:val="24"/>
          <w:lang w:val="da-DK"/>
        </w:rPr>
      </w:pPr>
      <w:r w:rsidRPr="00CF5D9E">
        <w:rPr>
          <w:szCs w:val="24"/>
          <w:lang w:val="da-DK"/>
        </w:rPr>
        <w:t>Ikke alle parametre og behandlingsgrupper blev evalueret i de enkelte studier. Derfor kan det angivne antal patienter afvige for de enkelte parametre og behandlingsgrupper.</w:t>
      </w:r>
    </w:p>
    <w:p w14:paraId="38A8E9DA" w14:textId="77777777" w:rsidR="003F530C" w:rsidRPr="00CF5D9E" w:rsidRDefault="003F530C" w:rsidP="00CF5D9E">
      <w:pPr>
        <w:pStyle w:val="Brdtekst2"/>
        <w:ind w:left="851" w:hanging="851"/>
        <w:jc w:val="left"/>
        <w:rPr>
          <w:szCs w:val="24"/>
          <w:lang w:val="da-DK"/>
        </w:rPr>
      </w:pPr>
    </w:p>
    <w:p w14:paraId="4320332D" w14:textId="77777777" w:rsidR="003F530C" w:rsidRPr="00CF5D9E" w:rsidRDefault="003F530C" w:rsidP="008115DB">
      <w:pPr>
        <w:pStyle w:val="Brdtekst2"/>
        <w:ind w:left="851"/>
        <w:jc w:val="left"/>
        <w:rPr>
          <w:szCs w:val="24"/>
          <w:lang w:val="da-DK"/>
        </w:rPr>
      </w:pPr>
      <w:r w:rsidRPr="00CF5D9E">
        <w:rPr>
          <w:szCs w:val="24"/>
          <w:lang w:val="da-DK"/>
        </w:rPr>
        <w:t>*p-værdi for den parvise sammenligning med placebo.</w:t>
      </w:r>
    </w:p>
    <w:p w14:paraId="1B657815" w14:textId="77777777" w:rsidR="00B003BF" w:rsidRPr="00CF5D9E" w:rsidRDefault="00B003BF" w:rsidP="00CF5D9E">
      <w:pPr>
        <w:ind w:left="851" w:hanging="851"/>
        <w:rPr>
          <w:sz w:val="24"/>
          <w:szCs w:val="24"/>
        </w:rPr>
      </w:pPr>
    </w:p>
    <w:p w14:paraId="1EBC7A9F" w14:textId="77777777" w:rsidR="00B003BF" w:rsidRPr="00CF5D9E" w:rsidRDefault="00B003BF" w:rsidP="00CF5D9E">
      <w:pPr>
        <w:ind w:left="851" w:hanging="851"/>
        <w:rPr>
          <w:b/>
          <w:sz w:val="24"/>
          <w:szCs w:val="24"/>
        </w:rPr>
      </w:pPr>
      <w:r w:rsidRPr="00CF5D9E">
        <w:rPr>
          <w:b/>
          <w:sz w:val="24"/>
          <w:szCs w:val="24"/>
        </w:rPr>
        <w:t>5.2</w:t>
      </w:r>
      <w:r w:rsidRPr="00CF5D9E">
        <w:rPr>
          <w:b/>
          <w:sz w:val="24"/>
          <w:szCs w:val="24"/>
        </w:rPr>
        <w:tab/>
      </w:r>
      <w:proofErr w:type="spellStart"/>
      <w:r w:rsidRPr="00CF5D9E">
        <w:rPr>
          <w:b/>
          <w:sz w:val="24"/>
          <w:szCs w:val="24"/>
        </w:rPr>
        <w:t>Farmakokinetiske</w:t>
      </w:r>
      <w:proofErr w:type="spellEnd"/>
      <w:r w:rsidRPr="00CF5D9E">
        <w:rPr>
          <w:b/>
          <w:sz w:val="24"/>
          <w:szCs w:val="24"/>
        </w:rPr>
        <w:t xml:space="preserve"> egenskaber</w:t>
      </w:r>
    </w:p>
    <w:p w14:paraId="2E6AD4DE" w14:textId="77777777" w:rsidR="008115DB" w:rsidRDefault="008115DB" w:rsidP="00CF5D9E">
      <w:pPr>
        <w:pStyle w:val="Brdtekst2"/>
        <w:ind w:left="851" w:hanging="851"/>
        <w:jc w:val="left"/>
        <w:rPr>
          <w:szCs w:val="24"/>
          <w:lang w:val="da-DK"/>
        </w:rPr>
      </w:pPr>
    </w:p>
    <w:p w14:paraId="51698B76" w14:textId="77777777" w:rsidR="003F530C" w:rsidRPr="00CF5D9E" w:rsidRDefault="00B003BF" w:rsidP="00CF5D9E">
      <w:pPr>
        <w:pStyle w:val="Brdtekst2"/>
        <w:ind w:left="851" w:hanging="851"/>
        <w:jc w:val="left"/>
        <w:rPr>
          <w:szCs w:val="24"/>
          <w:u w:val="single"/>
          <w:lang w:val="da-DK"/>
        </w:rPr>
      </w:pPr>
      <w:r w:rsidRPr="008115DB">
        <w:rPr>
          <w:szCs w:val="24"/>
          <w:lang w:val="da-DK"/>
        </w:rPr>
        <w:tab/>
      </w:r>
      <w:r w:rsidR="003F530C" w:rsidRPr="00CF5D9E">
        <w:rPr>
          <w:szCs w:val="24"/>
          <w:u w:val="single"/>
          <w:lang w:val="da-DK"/>
        </w:rPr>
        <w:t>Absorption</w:t>
      </w:r>
    </w:p>
    <w:p w14:paraId="5918144B" w14:textId="758C9298" w:rsidR="003F530C" w:rsidRPr="00CF5D9E" w:rsidRDefault="003F530C" w:rsidP="008115DB">
      <w:pPr>
        <w:pStyle w:val="Brdtekst2"/>
        <w:ind w:left="851"/>
        <w:jc w:val="left"/>
        <w:rPr>
          <w:szCs w:val="24"/>
          <w:lang w:val="da-DK"/>
        </w:rPr>
      </w:pPr>
      <w:r w:rsidRPr="00CF5D9E">
        <w:rPr>
          <w:szCs w:val="24"/>
          <w:lang w:val="da-DK"/>
        </w:rPr>
        <w:t xml:space="preserve">Efter indtagelse af </w:t>
      </w:r>
      <w:proofErr w:type="spellStart"/>
      <w:r w:rsidRPr="00CF5D9E">
        <w:rPr>
          <w:szCs w:val="24"/>
          <w:lang w:val="da-DK"/>
        </w:rPr>
        <w:t>solifenacin</w:t>
      </w:r>
      <w:proofErr w:type="spellEnd"/>
      <w:r w:rsidRPr="00CF5D9E">
        <w:rPr>
          <w:szCs w:val="24"/>
          <w:lang w:val="da-DK"/>
        </w:rPr>
        <w:t xml:space="preserve">-tabletter nås de maksimale </w:t>
      </w:r>
      <w:proofErr w:type="spellStart"/>
      <w:r w:rsidRPr="00CF5D9E">
        <w:rPr>
          <w:szCs w:val="24"/>
          <w:lang w:val="da-DK"/>
        </w:rPr>
        <w:t>solifenacin</w:t>
      </w:r>
      <w:proofErr w:type="spellEnd"/>
      <w:r w:rsidRPr="00CF5D9E">
        <w:rPr>
          <w:szCs w:val="24"/>
          <w:lang w:val="da-DK"/>
        </w:rPr>
        <w:t>-plasma</w:t>
      </w:r>
      <w:r w:rsidR="00082DA9">
        <w:rPr>
          <w:szCs w:val="24"/>
          <w:lang w:val="da-DK"/>
        </w:rPr>
        <w:softHyphen/>
      </w:r>
      <w:r w:rsidRPr="00CF5D9E">
        <w:rPr>
          <w:szCs w:val="24"/>
          <w:lang w:val="da-DK"/>
        </w:rPr>
        <w:t>koncentrationer (</w:t>
      </w:r>
      <w:proofErr w:type="spellStart"/>
      <w:r w:rsidRPr="00CF5D9E">
        <w:rPr>
          <w:szCs w:val="24"/>
          <w:lang w:val="da-DK"/>
        </w:rPr>
        <w:t>C</w:t>
      </w:r>
      <w:r w:rsidRPr="00CF5D9E">
        <w:rPr>
          <w:szCs w:val="24"/>
          <w:vertAlign w:val="subscript"/>
          <w:lang w:val="da-DK"/>
        </w:rPr>
        <w:t>max</w:t>
      </w:r>
      <w:proofErr w:type="spellEnd"/>
      <w:r w:rsidRPr="00CF5D9E">
        <w:rPr>
          <w:szCs w:val="24"/>
          <w:lang w:val="da-DK"/>
        </w:rPr>
        <w:t xml:space="preserve">) efter 3 til 8 timer. </w:t>
      </w:r>
      <w:proofErr w:type="spellStart"/>
      <w:r w:rsidRPr="00CF5D9E">
        <w:rPr>
          <w:szCs w:val="24"/>
          <w:lang w:val="da-DK"/>
        </w:rPr>
        <w:t>T</w:t>
      </w:r>
      <w:r w:rsidRPr="00CF5D9E">
        <w:rPr>
          <w:szCs w:val="24"/>
          <w:vertAlign w:val="subscript"/>
          <w:lang w:val="da-DK"/>
        </w:rPr>
        <w:t>max</w:t>
      </w:r>
      <w:proofErr w:type="spellEnd"/>
      <w:r w:rsidRPr="00CF5D9E">
        <w:rPr>
          <w:szCs w:val="24"/>
          <w:lang w:val="da-DK"/>
        </w:rPr>
        <w:t xml:space="preserve"> er uafhængig af dosis. </w:t>
      </w:r>
      <w:proofErr w:type="spellStart"/>
      <w:r w:rsidRPr="00CF5D9E">
        <w:rPr>
          <w:szCs w:val="24"/>
          <w:lang w:val="da-DK"/>
        </w:rPr>
        <w:t>C</w:t>
      </w:r>
      <w:r w:rsidRPr="00CF5D9E">
        <w:rPr>
          <w:szCs w:val="24"/>
          <w:vertAlign w:val="subscript"/>
          <w:lang w:val="da-DK"/>
        </w:rPr>
        <w:t>max</w:t>
      </w:r>
      <w:proofErr w:type="spellEnd"/>
      <w:r w:rsidRPr="00CF5D9E">
        <w:rPr>
          <w:szCs w:val="24"/>
          <w:lang w:val="da-DK"/>
        </w:rPr>
        <w:t xml:space="preserve"> og areal under kurven (AUC) stiger proportionalt med dosis mellem 5 og 40 mg. Den absolutte biotilgængelighed er ca. 90 %. Fødeindtagelse påvirker ikke </w:t>
      </w:r>
      <w:proofErr w:type="spellStart"/>
      <w:r w:rsidRPr="00CF5D9E">
        <w:rPr>
          <w:szCs w:val="24"/>
          <w:lang w:val="da-DK"/>
        </w:rPr>
        <w:t>solifenacins</w:t>
      </w:r>
      <w:proofErr w:type="spellEnd"/>
      <w:r w:rsidRPr="00CF5D9E">
        <w:rPr>
          <w:szCs w:val="24"/>
          <w:lang w:val="da-DK"/>
        </w:rPr>
        <w:t xml:space="preserve"> </w:t>
      </w:r>
      <w:proofErr w:type="spellStart"/>
      <w:r w:rsidRPr="00CF5D9E">
        <w:rPr>
          <w:szCs w:val="24"/>
          <w:lang w:val="da-DK"/>
        </w:rPr>
        <w:t>C</w:t>
      </w:r>
      <w:r w:rsidRPr="00CF5D9E">
        <w:rPr>
          <w:szCs w:val="24"/>
          <w:vertAlign w:val="subscript"/>
          <w:lang w:val="da-DK"/>
        </w:rPr>
        <w:t>max</w:t>
      </w:r>
      <w:proofErr w:type="spellEnd"/>
      <w:r w:rsidRPr="00CF5D9E">
        <w:rPr>
          <w:szCs w:val="24"/>
          <w:lang w:val="da-DK"/>
        </w:rPr>
        <w:t xml:space="preserve"> og AUC. </w:t>
      </w:r>
    </w:p>
    <w:p w14:paraId="0BCF66B4" w14:textId="77777777" w:rsidR="003F530C" w:rsidRPr="00CF5D9E" w:rsidRDefault="003F530C" w:rsidP="00CF5D9E">
      <w:pPr>
        <w:pStyle w:val="Brdtekst2"/>
        <w:ind w:left="851" w:hanging="851"/>
        <w:jc w:val="left"/>
        <w:rPr>
          <w:szCs w:val="24"/>
          <w:lang w:val="da-DK"/>
        </w:rPr>
      </w:pPr>
    </w:p>
    <w:p w14:paraId="2EA3B89F" w14:textId="77777777" w:rsidR="003F530C" w:rsidRPr="00CF5D9E" w:rsidRDefault="003F530C" w:rsidP="008115DB">
      <w:pPr>
        <w:pStyle w:val="Brdtekst2"/>
        <w:ind w:left="851"/>
        <w:jc w:val="left"/>
        <w:rPr>
          <w:szCs w:val="24"/>
          <w:u w:val="single"/>
          <w:lang w:val="da-DK"/>
        </w:rPr>
      </w:pPr>
      <w:r w:rsidRPr="00CF5D9E">
        <w:rPr>
          <w:szCs w:val="24"/>
          <w:u w:val="single"/>
          <w:lang w:val="da-DK"/>
        </w:rPr>
        <w:t>Fordeling</w:t>
      </w:r>
    </w:p>
    <w:p w14:paraId="59EE6C33" w14:textId="77777777" w:rsidR="003F530C" w:rsidRPr="00CF5D9E" w:rsidRDefault="003F530C" w:rsidP="008115DB">
      <w:pPr>
        <w:pStyle w:val="Brdtekst2"/>
        <w:ind w:left="851"/>
        <w:jc w:val="left"/>
        <w:rPr>
          <w:szCs w:val="24"/>
          <w:lang w:val="da-DK"/>
        </w:rPr>
      </w:pPr>
      <w:proofErr w:type="spellStart"/>
      <w:r w:rsidRPr="00CF5D9E">
        <w:rPr>
          <w:szCs w:val="24"/>
          <w:lang w:val="da-DK"/>
        </w:rPr>
        <w:t>Solifenacins</w:t>
      </w:r>
      <w:proofErr w:type="spellEnd"/>
      <w:r w:rsidRPr="00CF5D9E">
        <w:rPr>
          <w:szCs w:val="24"/>
          <w:lang w:val="da-DK"/>
        </w:rPr>
        <w:t xml:space="preserve"> tilsyneladende fordelingsvolumen efter intravenøs administration er ca. 600 l. </w:t>
      </w:r>
      <w:proofErr w:type="spellStart"/>
      <w:r w:rsidRPr="00CF5D9E">
        <w:rPr>
          <w:szCs w:val="24"/>
          <w:lang w:val="da-DK"/>
        </w:rPr>
        <w:t>Solifenacin</w:t>
      </w:r>
      <w:proofErr w:type="spellEnd"/>
      <w:r w:rsidRPr="00CF5D9E">
        <w:rPr>
          <w:szCs w:val="24"/>
          <w:lang w:val="da-DK"/>
        </w:rPr>
        <w:t xml:space="preserve"> er i stort omfang (ca. 98 %) bundet til plasmaproteiner, primært α</w:t>
      </w:r>
      <w:r w:rsidRPr="00CF5D9E">
        <w:rPr>
          <w:szCs w:val="24"/>
          <w:vertAlign w:val="subscript"/>
          <w:lang w:val="da-DK"/>
        </w:rPr>
        <w:t>1</w:t>
      </w:r>
      <w:r w:rsidRPr="00CF5D9E">
        <w:rPr>
          <w:szCs w:val="24"/>
          <w:lang w:val="da-DK"/>
        </w:rPr>
        <w:t>-syre-glycoprotein.</w:t>
      </w:r>
    </w:p>
    <w:p w14:paraId="2AB9C276" w14:textId="77777777" w:rsidR="003F530C" w:rsidRPr="00CF5D9E" w:rsidRDefault="003F530C" w:rsidP="00CF5D9E">
      <w:pPr>
        <w:pStyle w:val="Brdtekst2"/>
        <w:ind w:left="851" w:hanging="851"/>
        <w:jc w:val="left"/>
        <w:rPr>
          <w:szCs w:val="24"/>
          <w:lang w:val="da-DK"/>
        </w:rPr>
      </w:pPr>
    </w:p>
    <w:p w14:paraId="3365EBDB" w14:textId="77777777" w:rsidR="003F530C" w:rsidRPr="00CF5D9E" w:rsidRDefault="003F530C" w:rsidP="008115DB">
      <w:pPr>
        <w:pStyle w:val="Brdtekst2"/>
        <w:ind w:left="851"/>
        <w:jc w:val="left"/>
        <w:rPr>
          <w:szCs w:val="24"/>
          <w:u w:val="single"/>
          <w:lang w:val="da-DK"/>
        </w:rPr>
      </w:pPr>
      <w:r w:rsidRPr="00CF5D9E">
        <w:rPr>
          <w:szCs w:val="24"/>
          <w:u w:val="single"/>
          <w:lang w:val="da-DK"/>
        </w:rPr>
        <w:t>Biotransformation</w:t>
      </w:r>
    </w:p>
    <w:p w14:paraId="6815F2DE" w14:textId="77777777" w:rsidR="003F530C" w:rsidRPr="00CF5D9E" w:rsidRDefault="003F530C" w:rsidP="008115DB">
      <w:pPr>
        <w:pStyle w:val="Brdtekst2"/>
        <w:ind w:left="851"/>
        <w:jc w:val="left"/>
        <w:rPr>
          <w:szCs w:val="24"/>
          <w:lang w:val="da-DK"/>
        </w:rPr>
      </w:pPr>
      <w:proofErr w:type="spellStart"/>
      <w:r w:rsidRPr="00CF5D9E">
        <w:rPr>
          <w:szCs w:val="24"/>
          <w:lang w:val="da-DK"/>
        </w:rPr>
        <w:t>Solifenacin</w:t>
      </w:r>
      <w:proofErr w:type="spellEnd"/>
      <w:r w:rsidRPr="00CF5D9E">
        <w:rPr>
          <w:szCs w:val="24"/>
          <w:lang w:val="da-DK"/>
        </w:rPr>
        <w:t xml:space="preserve"> </w:t>
      </w:r>
      <w:proofErr w:type="spellStart"/>
      <w:r w:rsidRPr="00CF5D9E">
        <w:rPr>
          <w:szCs w:val="24"/>
          <w:lang w:val="da-DK"/>
        </w:rPr>
        <w:t>metaboliseres</w:t>
      </w:r>
      <w:proofErr w:type="spellEnd"/>
      <w:r w:rsidRPr="00CF5D9E">
        <w:rPr>
          <w:szCs w:val="24"/>
          <w:lang w:val="da-DK"/>
        </w:rPr>
        <w:t xml:space="preserve"> ekstensivt i leveren, primært af </w:t>
      </w:r>
      <w:proofErr w:type="spellStart"/>
      <w:r w:rsidRPr="00CF5D9E">
        <w:rPr>
          <w:szCs w:val="24"/>
          <w:lang w:val="da-DK"/>
        </w:rPr>
        <w:t>cytochrom</w:t>
      </w:r>
      <w:proofErr w:type="spellEnd"/>
      <w:r w:rsidRPr="00CF5D9E">
        <w:rPr>
          <w:szCs w:val="24"/>
          <w:lang w:val="da-DK"/>
        </w:rPr>
        <w:t xml:space="preserve"> P450 3A4 (CYP3A4). Der eksisterer dog alternative </w:t>
      </w:r>
      <w:proofErr w:type="spellStart"/>
      <w:r w:rsidRPr="00CF5D9E">
        <w:rPr>
          <w:szCs w:val="24"/>
          <w:lang w:val="da-DK"/>
        </w:rPr>
        <w:t>metaboliseringsveje</w:t>
      </w:r>
      <w:proofErr w:type="spellEnd"/>
      <w:r w:rsidRPr="00CF5D9E">
        <w:rPr>
          <w:szCs w:val="24"/>
          <w:lang w:val="da-DK"/>
        </w:rPr>
        <w:t xml:space="preserve">, der kan bidrage til </w:t>
      </w:r>
      <w:proofErr w:type="spellStart"/>
      <w:r w:rsidRPr="00CF5D9E">
        <w:rPr>
          <w:szCs w:val="24"/>
          <w:lang w:val="da-DK"/>
        </w:rPr>
        <w:t>metaboliseringen</w:t>
      </w:r>
      <w:proofErr w:type="spellEnd"/>
      <w:r w:rsidRPr="00CF5D9E">
        <w:rPr>
          <w:szCs w:val="24"/>
          <w:lang w:val="da-DK"/>
        </w:rPr>
        <w:t xml:space="preserve"> af </w:t>
      </w:r>
      <w:proofErr w:type="spellStart"/>
      <w:r w:rsidRPr="00CF5D9E">
        <w:rPr>
          <w:szCs w:val="24"/>
          <w:lang w:val="da-DK"/>
        </w:rPr>
        <w:t>solifenacin</w:t>
      </w:r>
      <w:proofErr w:type="spellEnd"/>
      <w:r w:rsidRPr="00CF5D9E">
        <w:rPr>
          <w:szCs w:val="24"/>
          <w:lang w:val="da-DK"/>
        </w:rPr>
        <w:t xml:space="preserve">. Den systemiske </w:t>
      </w:r>
      <w:proofErr w:type="spellStart"/>
      <w:r w:rsidRPr="00CF5D9E">
        <w:rPr>
          <w:szCs w:val="24"/>
          <w:lang w:val="da-DK"/>
        </w:rPr>
        <w:t>clearance</w:t>
      </w:r>
      <w:proofErr w:type="spellEnd"/>
      <w:r w:rsidRPr="00CF5D9E">
        <w:rPr>
          <w:szCs w:val="24"/>
          <w:lang w:val="da-DK"/>
        </w:rPr>
        <w:t xml:space="preserve"> er ca. 9,5 l/t, og </w:t>
      </w:r>
      <w:proofErr w:type="spellStart"/>
      <w:r w:rsidRPr="00CF5D9E">
        <w:rPr>
          <w:szCs w:val="24"/>
          <w:lang w:val="da-DK"/>
        </w:rPr>
        <w:t>solifenacins</w:t>
      </w:r>
      <w:proofErr w:type="spellEnd"/>
      <w:r w:rsidRPr="00CF5D9E">
        <w:rPr>
          <w:szCs w:val="24"/>
          <w:lang w:val="da-DK"/>
        </w:rPr>
        <w:t xml:space="preserve"> terminale halveringstid er 45-68 timer. Efter oral administration er én farmakologisk aktiv (4R-hydroxy-solifenacin) og tre inaktive </w:t>
      </w:r>
      <w:proofErr w:type="spellStart"/>
      <w:r w:rsidRPr="00CF5D9E">
        <w:rPr>
          <w:szCs w:val="24"/>
          <w:lang w:val="da-DK"/>
        </w:rPr>
        <w:t>metabolitter</w:t>
      </w:r>
      <w:proofErr w:type="spellEnd"/>
      <w:r w:rsidRPr="00CF5D9E">
        <w:rPr>
          <w:szCs w:val="24"/>
          <w:lang w:val="da-DK"/>
        </w:rPr>
        <w:t xml:space="preserve"> (N-</w:t>
      </w:r>
      <w:proofErr w:type="spellStart"/>
      <w:r w:rsidRPr="00CF5D9E">
        <w:rPr>
          <w:szCs w:val="24"/>
          <w:lang w:val="da-DK"/>
        </w:rPr>
        <w:t>glucuronid</w:t>
      </w:r>
      <w:proofErr w:type="spellEnd"/>
      <w:r w:rsidRPr="00CF5D9E">
        <w:rPr>
          <w:szCs w:val="24"/>
          <w:lang w:val="da-DK"/>
        </w:rPr>
        <w:t xml:space="preserve">, N-oxid og 4R-hydroxy-N-oxid af </w:t>
      </w:r>
      <w:proofErr w:type="spellStart"/>
      <w:r w:rsidRPr="00CF5D9E">
        <w:rPr>
          <w:szCs w:val="24"/>
          <w:lang w:val="da-DK"/>
        </w:rPr>
        <w:t>solifenacin</w:t>
      </w:r>
      <w:proofErr w:type="spellEnd"/>
      <w:r w:rsidRPr="00CF5D9E">
        <w:rPr>
          <w:szCs w:val="24"/>
          <w:lang w:val="da-DK"/>
        </w:rPr>
        <w:t>) blevet identificeret i plasma.</w:t>
      </w:r>
    </w:p>
    <w:p w14:paraId="2D132556" w14:textId="77777777" w:rsidR="003F530C" w:rsidRPr="00CF5D9E" w:rsidRDefault="003F530C" w:rsidP="00CF5D9E">
      <w:pPr>
        <w:pStyle w:val="Brdtekst2"/>
        <w:ind w:left="851" w:hanging="851"/>
        <w:jc w:val="left"/>
        <w:rPr>
          <w:szCs w:val="24"/>
          <w:lang w:val="da-DK"/>
        </w:rPr>
      </w:pPr>
    </w:p>
    <w:p w14:paraId="528C234A" w14:textId="77777777" w:rsidR="003F530C" w:rsidRPr="00CF5D9E" w:rsidRDefault="003F530C" w:rsidP="008115DB">
      <w:pPr>
        <w:pStyle w:val="Brdtekst2"/>
        <w:ind w:left="851"/>
        <w:jc w:val="left"/>
        <w:rPr>
          <w:szCs w:val="24"/>
          <w:u w:val="single"/>
          <w:lang w:val="da-DK"/>
        </w:rPr>
      </w:pPr>
      <w:r w:rsidRPr="00CF5D9E">
        <w:rPr>
          <w:szCs w:val="24"/>
          <w:u w:val="single"/>
          <w:lang w:val="da-DK"/>
        </w:rPr>
        <w:t>Elimination</w:t>
      </w:r>
    </w:p>
    <w:p w14:paraId="6532BFEC" w14:textId="77777777" w:rsidR="003F530C" w:rsidRPr="00CF5D9E" w:rsidRDefault="003F530C" w:rsidP="008115DB">
      <w:pPr>
        <w:pStyle w:val="Brdtekst2"/>
        <w:ind w:left="851"/>
        <w:jc w:val="left"/>
        <w:rPr>
          <w:szCs w:val="24"/>
          <w:lang w:val="da-DK"/>
        </w:rPr>
      </w:pPr>
      <w:r w:rsidRPr="00CF5D9E">
        <w:rPr>
          <w:szCs w:val="24"/>
          <w:lang w:val="da-DK"/>
        </w:rPr>
        <w:t xml:space="preserve">Efter administration af en enkeltdosis på 10 mg </w:t>
      </w:r>
      <w:proofErr w:type="spellStart"/>
      <w:r w:rsidRPr="00CF5D9E">
        <w:rPr>
          <w:szCs w:val="24"/>
          <w:lang w:val="da-DK"/>
        </w:rPr>
        <w:t>solifenacin</w:t>
      </w:r>
      <w:proofErr w:type="spellEnd"/>
      <w:r w:rsidRPr="00CF5D9E">
        <w:rPr>
          <w:szCs w:val="24"/>
          <w:lang w:val="da-DK"/>
        </w:rPr>
        <w:t xml:space="preserve"> [</w:t>
      </w:r>
      <w:r w:rsidRPr="00CF5D9E">
        <w:rPr>
          <w:szCs w:val="24"/>
          <w:vertAlign w:val="superscript"/>
          <w:lang w:val="da-DK"/>
        </w:rPr>
        <w:t>14</w:t>
      </w:r>
      <w:r w:rsidRPr="00CF5D9E">
        <w:rPr>
          <w:szCs w:val="24"/>
          <w:lang w:val="da-DK"/>
        </w:rPr>
        <w:t xml:space="preserve">C-mærket] sporedes ca. 70 % af radioaktiviteten i urin og 23 % i fæces i løbet af 26 dage. I urinen genfindes ca. 11 % af radioaktiviteten som </w:t>
      </w:r>
      <w:proofErr w:type="spellStart"/>
      <w:r w:rsidRPr="00CF5D9E">
        <w:rPr>
          <w:szCs w:val="24"/>
          <w:lang w:val="da-DK"/>
        </w:rPr>
        <w:t>uomdannet</w:t>
      </w:r>
      <w:proofErr w:type="spellEnd"/>
      <w:r w:rsidRPr="00CF5D9E">
        <w:rPr>
          <w:szCs w:val="24"/>
          <w:lang w:val="da-DK"/>
        </w:rPr>
        <w:t xml:space="preserve"> aktiv substans, ca. 18 % som N-oxid-</w:t>
      </w:r>
      <w:proofErr w:type="spellStart"/>
      <w:r w:rsidRPr="00CF5D9E">
        <w:rPr>
          <w:szCs w:val="24"/>
          <w:lang w:val="da-DK"/>
        </w:rPr>
        <w:t>metabolit</w:t>
      </w:r>
      <w:proofErr w:type="spellEnd"/>
      <w:r w:rsidRPr="00CF5D9E">
        <w:rPr>
          <w:szCs w:val="24"/>
          <w:lang w:val="da-DK"/>
        </w:rPr>
        <w:t xml:space="preserve">, 9 % som 4R-hydroxy-N-oxid-metabolit og 8 % som 4R-hydroxy-metabolit (aktiv </w:t>
      </w:r>
      <w:proofErr w:type="spellStart"/>
      <w:r w:rsidRPr="00CF5D9E">
        <w:rPr>
          <w:szCs w:val="24"/>
          <w:lang w:val="da-DK"/>
        </w:rPr>
        <w:t>metabolit</w:t>
      </w:r>
      <w:proofErr w:type="spellEnd"/>
      <w:r w:rsidRPr="00CF5D9E">
        <w:rPr>
          <w:szCs w:val="24"/>
          <w:lang w:val="da-DK"/>
        </w:rPr>
        <w:t>).</w:t>
      </w:r>
    </w:p>
    <w:p w14:paraId="66F9AC1B" w14:textId="77777777" w:rsidR="003F530C" w:rsidRPr="00CF5D9E" w:rsidRDefault="003F530C" w:rsidP="00CF5D9E">
      <w:pPr>
        <w:pStyle w:val="Brdtekst2"/>
        <w:ind w:left="851" w:hanging="851"/>
        <w:jc w:val="left"/>
        <w:rPr>
          <w:szCs w:val="24"/>
          <w:lang w:val="da-DK"/>
        </w:rPr>
      </w:pPr>
    </w:p>
    <w:p w14:paraId="134C6CD1" w14:textId="77777777" w:rsidR="003F530C" w:rsidRPr="00CF5D9E" w:rsidRDefault="003F530C" w:rsidP="008115DB">
      <w:pPr>
        <w:pStyle w:val="Brdtekst2"/>
        <w:ind w:left="851"/>
        <w:jc w:val="left"/>
        <w:rPr>
          <w:szCs w:val="24"/>
          <w:u w:val="single"/>
          <w:lang w:val="da-DK"/>
        </w:rPr>
      </w:pPr>
      <w:r w:rsidRPr="00CF5D9E">
        <w:rPr>
          <w:szCs w:val="24"/>
          <w:u w:val="single"/>
          <w:lang w:val="da-DK"/>
        </w:rPr>
        <w:t>Linearitet/non-linearitet</w:t>
      </w:r>
    </w:p>
    <w:p w14:paraId="75F73BB4" w14:textId="77777777" w:rsidR="003F530C" w:rsidRPr="00CF5D9E" w:rsidRDefault="003F530C" w:rsidP="008115DB">
      <w:pPr>
        <w:pStyle w:val="Brdtekst2"/>
        <w:ind w:left="851"/>
        <w:jc w:val="left"/>
        <w:rPr>
          <w:szCs w:val="24"/>
          <w:lang w:val="da-DK"/>
        </w:rPr>
      </w:pPr>
      <w:r w:rsidRPr="00CF5D9E">
        <w:rPr>
          <w:szCs w:val="24"/>
          <w:lang w:val="da-DK"/>
        </w:rPr>
        <w:t xml:space="preserve">Der er lineær </w:t>
      </w:r>
      <w:proofErr w:type="spellStart"/>
      <w:r w:rsidRPr="00CF5D9E">
        <w:rPr>
          <w:szCs w:val="24"/>
          <w:lang w:val="da-DK"/>
        </w:rPr>
        <w:t>farmakokinetik</w:t>
      </w:r>
      <w:proofErr w:type="spellEnd"/>
      <w:r w:rsidRPr="00CF5D9E">
        <w:rPr>
          <w:szCs w:val="24"/>
          <w:lang w:val="da-DK"/>
        </w:rPr>
        <w:t xml:space="preserve"> i det terapeutiske dosisinterval.</w:t>
      </w:r>
    </w:p>
    <w:p w14:paraId="28BA67EC" w14:textId="77777777" w:rsidR="003F530C" w:rsidRPr="00CF5D9E" w:rsidRDefault="003F530C" w:rsidP="00CF5D9E">
      <w:pPr>
        <w:pStyle w:val="Brdtekst2"/>
        <w:ind w:left="851" w:hanging="851"/>
        <w:jc w:val="left"/>
        <w:rPr>
          <w:szCs w:val="24"/>
          <w:lang w:val="da-DK"/>
        </w:rPr>
      </w:pPr>
    </w:p>
    <w:p w14:paraId="12318235" w14:textId="77777777" w:rsidR="003F530C" w:rsidRPr="00CF5D9E" w:rsidRDefault="003F530C" w:rsidP="008115DB">
      <w:pPr>
        <w:pStyle w:val="Brdtekst2"/>
        <w:ind w:left="851"/>
        <w:rPr>
          <w:szCs w:val="24"/>
          <w:u w:val="single"/>
          <w:lang w:val="da-DK"/>
        </w:rPr>
      </w:pPr>
      <w:r w:rsidRPr="00CF5D9E">
        <w:rPr>
          <w:szCs w:val="24"/>
          <w:u w:val="single"/>
          <w:lang w:val="da-DK"/>
        </w:rPr>
        <w:t>Andre særlige populationer</w:t>
      </w:r>
    </w:p>
    <w:p w14:paraId="105CEAF2" w14:textId="77777777" w:rsidR="003F530C" w:rsidRPr="00CF5D9E" w:rsidRDefault="003F530C" w:rsidP="00CF5D9E">
      <w:pPr>
        <w:pStyle w:val="Brdtekst2"/>
        <w:ind w:left="851" w:hanging="851"/>
        <w:rPr>
          <w:i/>
          <w:szCs w:val="24"/>
          <w:lang w:val="da-DK"/>
        </w:rPr>
      </w:pPr>
    </w:p>
    <w:p w14:paraId="57AE0886" w14:textId="77777777" w:rsidR="003F530C" w:rsidRPr="00CF5D9E" w:rsidRDefault="003F530C" w:rsidP="008115DB">
      <w:pPr>
        <w:pStyle w:val="Brdtekst2"/>
        <w:ind w:left="851"/>
        <w:rPr>
          <w:szCs w:val="24"/>
          <w:u w:val="single"/>
          <w:lang w:val="da-DK"/>
        </w:rPr>
      </w:pPr>
      <w:r w:rsidRPr="00CF5D9E">
        <w:rPr>
          <w:szCs w:val="24"/>
          <w:u w:val="single"/>
          <w:lang w:val="da-DK"/>
        </w:rPr>
        <w:t>Ældre patienter</w:t>
      </w:r>
    </w:p>
    <w:p w14:paraId="4A89E8E0" w14:textId="77777777" w:rsidR="003F530C" w:rsidRPr="00CF5D9E" w:rsidRDefault="003F530C" w:rsidP="008115DB">
      <w:pPr>
        <w:pStyle w:val="Brdtekst2"/>
        <w:ind w:left="851"/>
        <w:jc w:val="left"/>
        <w:rPr>
          <w:szCs w:val="24"/>
          <w:lang w:val="da-DK"/>
        </w:rPr>
      </w:pPr>
      <w:r w:rsidRPr="00CF5D9E">
        <w:rPr>
          <w:szCs w:val="24"/>
          <w:lang w:val="da-DK"/>
        </w:rPr>
        <w:t xml:space="preserve">Dosisjustering baseret på patientens alder er ikke nødvendig. Studier med ældre patienter har vist, at eksponeringen for </w:t>
      </w:r>
      <w:proofErr w:type="spellStart"/>
      <w:r w:rsidRPr="00CF5D9E">
        <w:rPr>
          <w:szCs w:val="24"/>
          <w:lang w:val="da-DK"/>
        </w:rPr>
        <w:t>solifenacin</w:t>
      </w:r>
      <w:proofErr w:type="spellEnd"/>
      <w:r w:rsidRPr="00CF5D9E">
        <w:rPr>
          <w:szCs w:val="24"/>
          <w:lang w:val="da-DK"/>
        </w:rPr>
        <w:t xml:space="preserve">, udtrykt som AUC, efter administration af </w:t>
      </w:r>
      <w:proofErr w:type="spellStart"/>
      <w:r w:rsidRPr="00CF5D9E">
        <w:rPr>
          <w:szCs w:val="24"/>
          <w:lang w:val="da-DK"/>
        </w:rPr>
        <w:t>solifenacin</w:t>
      </w:r>
      <w:proofErr w:type="spellEnd"/>
      <w:r w:rsidRPr="00CF5D9E">
        <w:rPr>
          <w:szCs w:val="24"/>
          <w:lang w:val="da-DK"/>
        </w:rPr>
        <w:t xml:space="preserve">- </w:t>
      </w:r>
      <w:proofErr w:type="spellStart"/>
      <w:r w:rsidRPr="00CF5D9E">
        <w:rPr>
          <w:szCs w:val="24"/>
          <w:lang w:val="da-DK"/>
        </w:rPr>
        <w:t>succinat</w:t>
      </w:r>
      <w:proofErr w:type="spellEnd"/>
      <w:r w:rsidRPr="00CF5D9E">
        <w:rPr>
          <w:szCs w:val="24"/>
          <w:lang w:val="da-DK"/>
        </w:rPr>
        <w:t xml:space="preserve"> (5 mg og 10 mg én gang dagligt), var ens hos raske ældre patienter (mellem 65 og 80 år) og raske yngre patienter (under 55 år). Den gennemsnitlige absorptionshastighed, udtrykt som </w:t>
      </w:r>
      <w:proofErr w:type="spellStart"/>
      <w:r w:rsidRPr="00CF5D9E">
        <w:rPr>
          <w:szCs w:val="24"/>
          <w:lang w:val="da-DK"/>
        </w:rPr>
        <w:t>t</w:t>
      </w:r>
      <w:r w:rsidRPr="00CF5D9E">
        <w:rPr>
          <w:szCs w:val="24"/>
          <w:vertAlign w:val="subscript"/>
          <w:lang w:val="da-DK"/>
        </w:rPr>
        <w:t>max</w:t>
      </w:r>
      <w:proofErr w:type="spellEnd"/>
      <w:r w:rsidRPr="00CF5D9E">
        <w:rPr>
          <w:szCs w:val="24"/>
          <w:lang w:val="da-DK"/>
        </w:rPr>
        <w:t>, var lidt lavere hos ældre patienter, og den terminale halveringstid var ca. 20 % længere hos ældre patienter. Disse beskedne forskelle anses ikke for at være klinisk signifikante.</w:t>
      </w:r>
    </w:p>
    <w:p w14:paraId="27B7BE4E" w14:textId="77777777" w:rsidR="003F530C" w:rsidRPr="00CF5D9E" w:rsidRDefault="003F530C" w:rsidP="00CF5D9E">
      <w:pPr>
        <w:pStyle w:val="Brdtekst2"/>
        <w:ind w:left="851" w:hanging="851"/>
        <w:jc w:val="left"/>
        <w:rPr>
          <w:szCs w:val="24"/>
          <w:lang w:val="da-DK"/>
        </w:rPr>
      </w:pPr>
    </w:p>
    <w:p w14:paraId="4F0C8383" w14:textId="77777777" w:rsidR="003F530C" w:rsidRPr="00CF5D9E" w:rsidRDefault="003F530C" w:rsidP="008115DB">
      <w:pPr>
        <w:pStyle w:val="Brdtekst2"/>
        <w:ind w:left="851"/>
        <w:jc w:val="left"/>
        <w:rPr>
          <w:szCs w:val="24"/>
          <w:lang w:val="da-DK"/>
        </w:rPr>
      </w:pPr>
      <w:proofErr w:type="spellStart"/>
      <w:r w:rsidRPr="00CF5D9E">
        <w:rPr>
          <w:szCs w:val="24"/>
          <w:lang w:val="da-DK"/>
        </w:rPr>
        <w:t>Solifenacins</w:t>
      </w:r>
      <w:proofErr w:type="spellEnd"/>
      <w:r w:rsidRPr="00CF5D9E">
        <w:rPr>
          <w:szCs w:val="24"/>
          <w:lang w:val="da-DK"/>
        </w:rPr>
        <w:t xml:space="preserve"> </w:t>
      </w:r>
      <w:proofErr w:type="spellStart"/>
      <w:r w:rsidRPr="00CF5D9E">
        <w:rPr>
          <w:szCs w:val="24"/>
          <w:lang w:val="da-DK"/>
        </w:rPr>
        <w:t>farmakokinetik</w:t>
      </w:r>
      <w:proofErr w:type="spellEnd"/>
      <w:r w:rsidRPr="00CF5D9E">
        <w:rPr>
          <w:szCs w:val="24"/>
          <w:lang w:val="da-DK"/>
        </w:rPr>
        <w:t xml:space="preserve"> er ikke fastslået hos børn og unge.</w:t>
      </w:r>
    </w:p>
    <w:p w14:paraId="2E1E15E1" w14:textId="77777777" w:rsidR="003F530C" w:rsidRPr="00CF5D9E" w:rsidRDefault="003F530C" w:rsidP="00CF5D9E">
      <w:pPr>
        <w:pStyle w:val="Brdtekst2"/>
        <w:ind w:left="851" w:hanging="851"/>
        <w:jc w:val="left"/>
        <w:rPr>
          <w:szCs w:val="24"/>
          <w:lang w:val="da-DK"/>
        </w:rPr>
      </w:pPr>
    </w:p>
    <w:p w14:paraId="533A11AF" w14:textId="77777777" w:rsidR="003F530C" w:rsidRPr="00CF5D9E" w:rsidRDefault="003F530C" w:rsidP="008115DB">
      <w:pPr>
        <w:pStyle w:val="Brdtekst2"/>
        <w:ind w:left="851"/>
        <w:jc w:val="left"/>
        <w:rPr>
          <w:szCs w:val="24"/>
          <w:u w:val="single"/>
          <w:lang w:val="da-DK"/>
        </w:rPr>
      </w:pPr>
      <w:r w:rsidRPr="00CF5D9E">
        <w:rPr>
          <w:szCs w:val="24"/>
          <w:u w:val="single"/>
          <w:lang w:val="da-DK"/>
        </w:rPr>
        <w:t>Køn</w:t>
      </w:r>
    </w:p>
    <w:p w14:paraId="75C54235" w14:textId="77777777" w:rsidR="003F530C" w:rsidRPr="00CF5D9E" w:rsidRDefault="003F530C" w:rsidP="008115DB">
      <w:pPr>
        <w:pStyle w:val="Brdtekst2"/>
        <w:ind w:left="851"/>
        <w:jc w:val="left"/>
        <w:rPr>
          <w:szCs w:val="24"/>
          <w:lang w:val="da-DK"/>
        </w:rPr>
      </w:pPr>
      <w:proofErr w:type="spellStart"/>
      <w:r w:rsidRPr="00CF5D9E">
        <w:rPr>
          <w:szCs w:val="24"/>
          <w:lang w:val="da-DK"/>
        </w:rPr>
        <w:t>Solifenacins</w:t>
      </w:r>
      <w:proofErr w:type="spellEnd"/>
      <w:r w:rsidRPr="00CF5D9E">
        <w:rPr>
          <w:szCs w:val="24"/>
          <w:lang w:val="da-DK"/>
        </w:rPr>
        <w:t xml:space="preserve"> </w:t>
      </w:r>
      <w:proofErr w:type="spellStart"/>
      <w:r w:rsidRPr="00CF5D9E">
        <w:rPr>
          <w:szCs w:val="24"/>
          <w:lang w:val="da-DK"/>
        </w:rPr>
        <w:t>famakokinetik</w:t>
      </w:r>
      <w:proofErr w:type="spellEnd"/>
      <w:r w:rsidRPr="00CF5D9E">
        <w:rPr>
          <w:szCs w:val="24"/>
          <w:lang w:val="da-DK"/>
        </w:rPr>
        <w:t xml:space="preserve"> er ikke påvirket af køn.</w:t>
      </w:r>
    </w:p>
    <w:p w14:paraId="2B89F114" w14:textId="77777777" w:rsidR="003F530C" w:rsidRPr="00CF5D9E" w:rsidRDefault="003F530C" w:rsidP="00CF5D9E">
      <w:pPr>
        <w:pStyle w:val="Brdtekst2"/>
        <w:ind w:left="851" w:hanging="851"/>
        <w:jc w:val="left"/>
        <w:rPr>
          <w:szCs w:val="24"/>
          <w:lang w:val="da-DK"/>
        </w:rPr>
      </w:pPr>
    </w:p>
    <w:p w14:paraId="65F24FA0" w14:textId="77777777" w:rsidR="003F530C" w:rsidRPr="00CF5D9E" w:rsidRDefault="003F530C" w:rsidP="008115DB">
      <w:pPr>
        <w:pStyle w:val="Brdtekst2"/>
        <w:ind w:left="851"/>
        <w:jc w:val="left"/>
        <w:rPr>
          <w:szCs w:val="24"/>
          <w:u w:val="single"/>
          <w:lang w:val="da-DK"/>
        </w:rPr>
      </w:pPr>
      <w:r w:rsidRPr="00CF5D9E">
        <w:rPr>
          <w:szCs w:val="24"/>
          <w:u w:val="single"/>
          <w:lang w:val="da-DK"/>
        </w:rPr>
        <w:t>Race</w:t>
      </w:r>
    </w:p>
    <w:p w14:paraId="1BE59248" w14:textId="77777777" w:rsidR="003F530C" w:rsidRPr="00CF5D9E" w:rsidRDefault="003F530C" w:rsidP="008115DB">
      <w:pPr>
        <w:pStyle w:val="Brdtekst2"/>
        <w:ind w:left="851"/>
        <w:jc w:val="left"/>
        <w:rPr>
          <w:szCs w:val="24"/>
          <w:lang w:val="da-DK"/>
        </w:rPr>
      </w:pPr>
      <w:proofErr w:type="spellStart"/>
      <w:r w:rsidRPr="00CF5D9E">
        <w:rPr>
          <w:szCs w:val="24"/>
          <w:lang w:val="da-DK"/>
        </w:rPr>
        <w:t>Solifenacins</w:t>
      </w:r>
      <w:proofErr w:type="spellEnd"/>
      <w:r w:rsidRPr="00CF5D9E">
        <w:rPr>
          <w:szCs w:val="24"/>
          <w:lang w:val="da-DK"/>
        </w:rPr>
        <w:t xml:space="preserve"> </w:t>
      </w:r>
      <w:proofErr w:type="spellStart"/>
      <w:r w:rsidRPr="00CF5D9E">
        <w:rPr>
          <w:szCs w:val="24"/>
          <w:lang w:val="da-DK"/>
        </w:rPr>
        <w:t>farmakokinetik</w:t>
      </w:r>
      <w:proofErr w:type="spellEnd"/>
      <w:r w:rsidRPr="00CF5D9E">
        <w:rPr>
          <w:szCs w:val="24"/>
          <w:lang w:val="da-DK"/>
        </w:rPr>
        <w:t xml:space="preserve"> er ikke påvirket af race.</w:t>
      </w:r>
    </w:p>
    <w:p w14:paraId="51298FE0" w14:textId="77777777" w:rsidR="003F530C" w:rsidRPr="00CF5D9E" w:rsidRDefault="003F530C" w:rsidP="00CF5D9E">
      <w:pPr>
        <w:pStyle w:val="Brdtekst2"/>
        <w:ind w:left="851" w:hanging="851"/>
        <w:jc w:val="left"/>
        <w:rPr>
          <w:szCs w:val="24"/>
          <w:lang w:val="da-DK"/>
        </w:rPr>
      </w:pPr>
    </w:p>
    <w:p w14:paraId="4281554C" w14:textId="77777777" w:rsidR="003F530C" w:rsidRPr="00CF5D9E" w:rsidRDefault="003F530C" w:rsidP="008115DB">
      <w:pPr>
        <w:pStyle w:val="Brdtekst2"/>
        <w:ind w:left="851"/>
        <w:jc w:val="left"/>
        <w:rPr>
          <w:szCs w:val="24"/>
          <w:u w:val="single"/>
          <w:lang w:val="da-DK"/>
        </w:rPr>
      </w:pPr>
      <w:r w:rsidRPr="00CF5D9E">
        <w:rPr>
          <w:szCs w:val="24"/>
          <w:u w:val="single"/>
          <w:lang w:val="da-DK"/>
        </w:rPr>
        <w:t>Nedsat nyrefunktion</w:t>
      </w:r>
    </w:p>
    <w:p w14:paraId="76B2250A" w14:textId="77777777" w:rsidR="003F530C" w:rsidRPr="00CF5D9E" w:rsidRDefault="003F530C" w:rsidP="008115DB">
      <w:pPr>
        <w:pStyle w:val="Brdtekst2"/>
        <w:ind w:left="851"/>
        <w:rPr>
          <w:szCs w:val="24"/>
          <w:lang w:val="da-DK"/>
        </w:rPr>
      </w:pPr>
      <w:proofErr w:type="spellStart"/>
      <w:r w:rsidRPr="00CF5D9E">
        <w:rPr>
          <w:szCs w:val="24"/>
          <w:lang w:val="da-DK"/>
        </w:rPr>
        <w:t>Solifenacins</w:t>
      </w:r>
      <w:proofErr w:type="spellEnd"/>
      <w:r w:rsidRPr="00CF5D9E">
        <w:rPr>
          <w:szCs w:val="24"/>
          <w:lang w:val="da-DK"/>
        </w:rPr>
        <w:t xml:space="preserve"> AUC og </w:t>
      </w:r>
      <w:proofErr w:type="spellStart"/>
      <w:r w:rsidRPr="00CF5D9E">
        <w:rPr>
          <w:szCs w:val="24"/>
          <w:lang w:val="da-DK"/>
        </w:rPr>
        <w:t>C</w:t>
      </w:r>
      <w:r w:rsidRPr="00CF5D9E">
        <w:rPr>
          <w:szCs w:val="24"/>
          <w:vertAlign w:val="subscript"/>
          <w:lang w:val="da-DK"/>
        </w:rPr>
        <w:t>max</w:t>
      </w:r>
      <w:proofErr w:type="spellEnd"/>
      <w:r w:rsidRPr="00CF5D9E">
        <w:rPr>
          <w:szCs w:val="24"/>
          <w:lang w:val="da-DK"/>
        </w:rPr>
        <w:t xml:space="preserve"> hos patienter med let til moderat nedsat nyrefunktion er ikke signifikant anderledes end de værdier, der ses hos raske frivillige forsøgspersoner. Hos patienter med alvorligt nedsat nyrefunktion (</w:t>
      </w:r>
      <w:proofErr w:type="spellStart"/>
      <w:r w:rsidRPr="00CF5D9E">
        <w:rPr>
          <w:szCs w:val="24"/>
          <w:lang w:val="da-DK"/>
        </w:rPr>
        <w:t>kreatininclearance</w:t>
      </w:r>
      <w:proofErr w:type="spellEnd"/>
      <w:r w:rsidRPr="00CF5D9E">
        <w:rPr>
          <w:szCs w:val="24"/>
          <w:lang w:val="da-DK"/>
        </w:rPr>
        <w:t xml:space="preserve"> ≤ 30 ml/min) er eksponeringen for </w:t>
      </w:r>
      <w:proofErr w:type="spellStart"/>
      <w:r w:rsidRPr="00CF5D9E">
        <w:rPr>
          <w:szCs w:val="24"/>
          <w:lang w:val="da-DK"/>
        </w:rPr>
        <w:t>solifenacin</w:t>
      </w:r>
      <w:proofErr w:type="spellEnd"/>
      <w:r w:rsidRPr="00CF5D9E">
        <w:rPr>
          <w:szCs w:val="24"/>
          <w:lang w:val="da-DK"/>
        </w:rPr>
        <w:t xml:space="preserve"> signifikant højere end i kontrolgrupperne med stigninger i </w:t>
      </w:r>
      <w:proofErr w:type="spellStart"/>
      <w:r w:rsidRPr="00CF5D9E">
        <w:rPr>
          <w:szCs w:val="24"/>
          <w:lang w:val="da-DK"/>
        </w:rPr>
        <w:t>C</w:t>
      </w:r>
      <w:r w:rsidRPr="00CF5D9E">
        <w:rPr>
          <w:szCs w:val="24"/>
          <w:vertAlign w:val="subscript"/>
          <w:lang w:val="da-DK"/>
        </w:rPr>
        <w:t>max</w:t>
      </w:r>
      <w:proofErr w:type="spellEnd"/>
      <w:r w:rsidRPr="00CF5D9E">
        <w:rPr>
          <w:szCs w:val="24"/>
          <w:lang w:val="da-DK"/>
        </w:rPr>
        <w:t xml:space="preserve"> på ca. 30 %, i AUC på mere end 100 % og i t</w:t>
      </w:r>
      <w:r w:rsidRPr="00CF5D9E">
        <w:rPr>
          <w:szCs w:val="24"/>
          <w:vertAlign w:val="subscript"/>
          <w:lang w:val="da-DK"/>
        </w:rPr>
        <w:t>½</w:t>
      </w:r>
      <w:r w:rsidRPr="00CF5D9E">
        <w:rPr>
          <w:szCs w:val="24"/>
          <w:lang w:val="da-DK"/>
        </w:rPr>
        <w:t xml:space="preserve"> på mere end 60 %. Der er observeret en statistisk signifikant sammenhæng mellem </w:t>
      </w:r>
      <w:proofErr w:type="spellStart"/>
      <w:r w:rsidRPr="00CF5D9E">
        <w:rPr>
          <w:szCs w:val="24"/>
          <w:lang w:val="da-DK"/>
        </w:rPr>
        <w:t>kreatininclearance</w:t>
      </w:r>
      <w:proofErr w:type="spellEnd"/>
      <w:r w:rsidRPr="00CF5D9E">
        <w:rPr>
          <w:szCs w:val="24"/>
          <w:lang w:val="da-DK"/>
        </w:rPr>
        <w:t xml:space="preserve"> og </w:t>
      </w:r>
      <w:proofErr w:type="spellStart"/>
      <w:r w:rsidRPr="00CF5D9E">
        <w:rPr>
          <w:szCs w:val="24"/>
          <w:lang w:val="da-DK"/>
        </w:rPr>
        <w:t>solifenacinclearance</w:t>
      </w:r>
      <w:proofErr w:type="spellEnd"/>
      <w:r w:rsidRPr="00CF5D9E">
        <w:rPr>
          <w:szCs w:val="24"/>
          <w:lang w:val="da-DK"/>
        </w:rPr>
        <w:t>.</w:t>
      </w:r>
    </w:p>
    <w:p w14:paraId="2B43E812" w14:textId="77777777" w:rsidR="003F530C" w:rsidRPr="00CF5D9E" w:rsidRDefault="003F530C" w:rsidP="008115DB">
      <w:pPr>
        <w:pStyle w:val="Brdtekst2"/>
        <w:ind w:left="851"/>
        <w:jc w:val="left"/>
        <w:rPr>
          <w:szCs w:val="24"/>
          <w:lang w:val="da-DK"/>
        </w:rPr>
      </w:pPr>
      <w:proofErr w:type="spellStart"/>
      <w:r w:rsidRPr="00CF5D9E">
        <w:rPr>
          <w:szCs w:val="24"/>
          <w:lang w:val="da-DK"/>
        </w:rPr>
        <w:t>Solifenacins</w:t>
      </w:r>
      <w:proofErr w:type="spellEnd"/>
      <w:r w:rsidRPr="00CF5D9E">
        <w:rPr>
          <w:szCs w:val="24"/>
          <w:lang w:val="da-DK"/>
        </w:rPr>
        <w:t xml:space="preserve"> </w:t>
      </w:r>
      <w:proofErr w:type="spellStart"/>
      <w:r w:rsidRPr="00CF5D9E">
        <w:rPr>
          <w:szCs w:val="24"/>
          <w:lang w:val="da-DK"/>
        </w:rPr>
        <w:t>farmakokinetik</w:t>
      </w:r>
      <w:proofErr w:type="spellEnd"/>
      <w:r w:rsidRPr="00CF5D9E">
        <w:rPr>
          <w:szCs w:val="24"/>
          <w:lang w:val="da-DK"/>
        </w:rPr>
        <w:t xml:space="preserve"> er ikke undersøgt hos patienter i </w:t>
      </w:r>
      <w:proofErr w:type="spellStart"/>
      <w:r w:rsidRPr="00CF5D9E">
        <w:rPr>
          <w:szCs w:val="24"/>
          <w:lang w:val="da-DK"/>
        </w:rPr>
        <w:t>hæmodialyse</w:t>
      </w:r>
      <w:proofErr w:type="spellEnd"/>
      <w:r w:rsidRPr="00CF5D9E">
        <w:rPr>
          <w:szCs w:val="24"/>
          <w:lang w:val="da-DK"/>
        </w:rPr>
        <w:t>.</w:t>
      </w:r>
    </w:p>
    <w:p w14:paraId="672AC2B1" w14:textId="77777777" w:rsidR="003F530C" w:rsidRPr="00CF5D9E" w:rsidRDefault="003F530C" w:rsidP="00CF5D9E">
      <w:pPr>
        <w:pStyle w:val="Brdtekst2"/>
        <w:ind w:left="851" w:hanging="851"/>
        <w:jc w:val="left"/>
        <w:rPr>
          <w:szCs w:val="24"/>
          <w:lang w:val="da-DK"/>
        </w:rPr>
      </w:pPr>
    </w:p>
    <w:p w14:paraId="6E7BFD6E" w14:textId="77777777" w:rsidR="003F530C" w:rsidRPr="00CF5D9E" w:rsidRDefault="003F530C" w:rsidP="008115DB">
      <w:pPr>
        <w:pStyle w:val="Brdtekst2"/>
        <w:ind w:left="851"/>
        <w:jc w:val="left"/>
        <w:rPr>
          <w:szCs w:val="24"/>
          <w:u w:val="single"/>
          <w:lang w:val="da-DK"/>
        </w:rPr>
      </w:pPr>
      <w:r w:rsidRPr="00CF5D9E">
        <w:rPr>
          <w:szCs w:val="24"/>
          <w:u w:val="single"/>
          <w:lang w:val="da-DK"/>
        </w:rPr>
        <w:t>Nedsat leverfunktion</w:t>
      </w:r>
    </w:p>
    <w:p w14:paraId="25B64BD7" w14:textId="77777777" w:rsidR="003F530C" w:rsidRPr="00CF5D9E" w:rsidRDefault="003F530C" w:rsidP="008115DB">
      <w:pPr>
        <w:pStyle w:val="Brdtekst2"/>
        <w:ind w:left="851"/>
        <w:jc w:val="left"/>
        <w:rPr>
          <w:szCs w:val="24"/>
          <w:lang w:val="da-DK"/>
        </w:rPr>
      </w:pPr>
      <w:r w:rsidRPr="00CF5D9E">
        <w:rPr>
          <w:szCs w:val="24"/>
          <w:lang w:val="da-DK"/>
        </w:rPr>
        <w:t>Hos patienter med moderat nedsat leverfunktion (Child-</w:t>
      </w:r>
      <w:proofErr w:type="spellStart"/>
      <w:r w:rsidRPr="00CF5D9E">
        <w:rPr>
          <w:szCs w:val="24"/>
          <w:lang w:val="da-DK"/>
        </w:rPr>
        <w:t>Pugh</w:t>
      </w:r>
      <w:proofErr w:type="spellEnd"/>
      <w:r w:rsidRPr="00CF5D9E">
        <w:rPr>
          <w:szCs w:val="24"/>
          <w:lang w:val="da-DK"/>
        </w:rPr>
        <w:t xml:space="preserve">-score 7 til 9) påvirkes </w:t>
      </w:r>
      <w:proofErr w:type="spellStart"/>
      <w:r w:rsidRPr="00CF5D9E">
        <w:rPr>
          <w:szCs w:val="24"/>
          <w:lang w:val="da-DK"/>
        </w:rPr>
        <w:t>C</w:t>
      </w:r>
      <w:r w:rsidRPr="00CF5D9E">
        <w:rPr>
          <w:szCs w:val="24"/>
          <w:vertAlign w:val="subscript"/>
          <w:lang w:val="da-DK"/>
        </w:rPr>
        <w:t>max</w:t>
      </w:r>
      <w:proofErr w:type="spellEnd"/>
      <w:r w:rsidRPr="00CF5D9E">
        <w:rPr>
          <w:szCs w:val="24"/>
          <w:lang w:val="da-DK"/>
        </w:rPr>
        <w:t xml:space="preserve"> ikke, AUC stiger med 60 % og t</w:t>
      </w:r>
      <w:r w:rsidRPr="00CF5D9E">
        <w:rPr>
          <w:szCs w:val="24"/>
          <w:vertAlign w:val="subscript"/>
          <w:lang w:val="da-DK"/>
        </w:rPr>
        <w:t>½</w:t>
      </w:r>
      <w:r w:rsidRPr="00CF5D9E">
        <w:rPr>
          <w:szCs w:val="24"/>
          <w:lang w:val="da-DK"/>
        </w:rPr>
        <w:t xml:space="preserve"> fordobles. </w:t>
      </w:r>
      <w:proofErr w:type="spellStart"/>
      <w:r w:rsidRPr="00CF5D9E">
        <w:rPr>
          <w:szCs w:val="24"/>
          <w:lang w:val="da-DK"/>
        </w:rPr>
        <w:t>Solifenacins</w:t>
      </w:r>
      <w:proofErr w:type="spellEnd"/>
      <w:r w:rsidRPr="00CF5D9E">
        <w:rPr>
          <w:szCs w:val="24"/>
          <w:lang w:val="da-DK"/>
        </w:rPr>
        <w:t xml:space="preserve"> </w:t>
      </w:r>
      <w:proofErr w:type="spellStart"/>
      <w:r w:rsidRPr="00CF5D9E">
        <w:rPr>
          <w:szCs w:val="24"/>
          <w:lang w:val="da-DK"/>
        </w:rPr>
        <w:t>farmakokinetik</w:t>
      </w:r>
      <w:proofErr w:type="spellEnd"/>
      <w:r w:rsidRPr="00CF5D9E">
        <w:rPr>
          <w:szCs w:val="24"/>
          <w:lang w:val="da-DK"/>
        </w:rPr>
        <w:t xml:space="preserve"> er ikke undersøgt hos patienter med alvorligt nedsat leverfunktion.</w:t>
      </w:r>
    </w:p>
    <w:p w14:paraId="365DD230" w14:textId="77777777" w:rsidR="00B003BF" w:rsidRPr="00CF5D9E" w:rsidRDefault="00B003BF" w:rsidP="00CF5D9E">
      <w:pPr>
        <w:ind w:left="851" w:hanging="851"/>
        <w:rPr>
          <w:sz w:val="24"/>
          <w:szCs w:val="24"/>
        </w:rPr>
      </w:pPr>
    </w:p>
    <w:p w14:paraId="485552E1" w14:textId="77777777" w:rsidR="00B003BF" w:rsidRPr="00CF5D9E" w:rsidRDefault="00B003BF" w:rsidP="00CF5D9E">
      <w:pPr>
        <w:ind w:left="851" w:hanging="851"/>
        <w:rPr>
          <w:b/>
          <w:sz w:val="24"/>
          <w:szCs w:val="24"/>
        </w:rPr>
      </w:pPr>
      <w:r w:rsidRPr="00CF5D9E">
        <w:rPr>
          <w:b/>
          <w:sz w:val="24"/>
          <w:szCs w:val="24"/>
        </w:rPr>
        <w:t>5.3</w:t>
      </w:r>
      <w:r w:rsidRPr="00CF5D9E">
        <w:rPr>
          <w:b/>
          <w:sz w:val="24"/>
          <w:szCs w:val="24"/>
        </w:rPr>
        <w:tab/>
        <w:t>Prækliniske sikkerhedsdata</w:t>
      </w:r>
    </w:p>
    <w:p w14:paraId="470DB3C7" w14:textId="77777777" w:rsidR="003F530C" w:rsidRPr="00CF5D9E" w:rsidRDefault="00B003BF" w:rsidP="00CF5D9E">
      <w:pPr>
        <w:ind w:left="851" w:hanging="851"/>
        <w:rPr>
          <w:sz w:val="24"/>
          <w:szCs w:val="24"/>
        </w:rPr>
      </w:pPr>
      <w:r w:rsidRPr="00CF5D9E">
        <w:rPr>
          <w:sz w:val="24"/>
          <w:szCs w:val="24"/>
        </w:rPr>
        <w:tab/>
      </w:r>
      <w:r w:rsidR="003F530C" w:rsidRPr="00CF5D9E">
        <w:rPr>
          <w:sz w:val="24"/>
          <w:szCs w:val="24"/>
        </w:rPr>
        <w:t xml:space="preserve">Ikke-kliniske data afslører ingen særlig risiko for mennesker vurderet ud fra konventionelle undersøgelser af sikkerhedsfarmakologi, toksicitet efter gentagne doser, fertilitet, fosterudvikling, genotoksicitet og </w:t>
      </w:r>
      <w:proofErr w:type="spellStart"/>
      <w:r w:rsidR="003F530C" w:rsidRPr="00CF5D9E">
        <w:rPr>
          <w:sz w:val="24"/>
          <w:szCs w:val="24"/>
        </w:rPr>
        <w:t>karcinogenicicitet</w:t>
      </w:r>
      <w:proofErr w:type="spellEnd"/>
      <w:r w:rsidR="003F530C" w:rsidRPr="00CF5D9E">
        <w:rPr>
          <w:sz w:val="24"/>
          <w:szCs w:val="24"/>
        </w:rPr>
        <w:t xml:space="preserve">. I studier af præ- og </w:t>
      </w:r>
      <w:proofErr w:type="spellStart"/>
      <w:r w:rsidR="003F530C" w:rsidRPr="00CF5D9E">
        <w:rPr>
          <w:sz w:val="24"/>
          <w:szCs w:val="24"/>
        </w:rPr>
        <w:t>postnatal</w:t>
      </w:r>
      <w:proofErr w:type="spellEnd"/>
      <w:r w:rsidR="003F530C" w:rsidRPr="00CF5D9E">
        <w:rPr>
          <w:sz w:val="24"/>
          <w:szCs w:val="24"/>
        </w:rPr>
        <w:t xml:space="preserve"> udvikling hos mus forårsagede </w:t>
      </w:r>
      <w:proofErr w:type="spellStart"/>
      <w:r w:rsidR="003F530C" w:rsidRPr="00CF5D9E">
        <w:rPr>
          <w:sz w:val="24"/>
          <w:szCs w:val="24"/>
        </w:rPr>
        <w:t>solifenacinbehandling</w:t>
      </w:r>
      <w:proofErr w:type="spellEnd"/>
      <w:r w:rsidR="003F530C" w:rsidRPr="00CF5D9E">
        <w:rPr>
          <w:sz w:val="24"/>
          <w:szCs w:val="24"/>
        </w:rPr>
        <w:t xml:space="preserve"> af moderen under diegivning et dosisafhængigt fald i overlevelsesratio, nedsat vægt af unger og langsommere fysisk udvikling ved kliniske relevante niveauer.</w:t>
      </w:r>
    </w:p>
    <w:p w14:paraId="73B6B980" w14:textId="77777777" w:rsidR="003F530C" w:rsidRPr="00CF5D9E" w:rsidRDefault="003F530C" w:rsidP="00CF5D9E">
      <w:pPr>
        <w:pStyle w:val="Brdtekst2"/>
        <w:ind w:left="851" w:hanging="851"/>
        <w:jc w:val="left"/>
        <w:rPr>
          <w:szCs w:val="24"/>
          <w:lang w:val="da-DK"/>
        </w:rPr>
      </w:pPr>
    </w:p>
    <w:p w14:paraId="43F74608" w14:textId="77777777" w:rsidR="003F530C" w:rsidRPr="00CF5D9E" w:rsidRDefault="003F530C" w:rsidP="008115DB">
      <w:pPr>
        <w:ind w:left="851"/>
        <w:rPr>
          <w:sz w:val="24"/>
          <w:szCs w:val="24"/>
        </w:rPr>
      </w:pPr>
      <w:r w:rsidRPr="00CF5D9E">
        <w:rPr>
          <w:sz w:val="24"/>
          <w:szCs w:val="24"/>
        </w:rPr>
        <w:t>Dosisrelateret øget dødelighed uden forudgående kliniske tegn forekom hos juvenile mus behandlet fra dag 10 eller 21 efter fødslen med doser, der havde farmakologisk effekt, og i begge grupper var dødeligheden højere end hos voksne mus. Hos juvenile mus behandlet fra dag 10 efter fødslen var plasmaeksponeringen højere end hos voksne mus; fra dag 21 efter fødslen og fremefter var den systemiske eksponering sammenlignelig med den hos voksne mus. De kliniske implikationer af den øgede dødelighed hos juvenile mus kendes ikke.</w:t>
      </w:r>
    </w:p>
    <w:p w14:paraId="5AF5B01E" w14:textId="77777777" w:rsidR="00B003BF" w:rsidRPr="00CF5D9E" w:rsidRDefault="00B003BF" w:rsidP="00CF5D9E">
      <w:pPr>
        <w:ind w:left="851" w:hanging="851"/>
        <w:rPr>
          <w:sz w:val="24"/>
          <w:szCs w:val="24"/>
        </w:rPr>
      </w:pPr>
    </w:p>
    <w:p w14:paraId="1E725780" w14:textId="77777777" w:rsidR="00B003BF" w:rsidRPr="00CF5D9E" w:rsidRDefault="00B003BF" w:rsidP="00CF5D9E">
      <w:pPr>
        <w:ind w:left="851" w:hanging="851"/>
        <w:rPr>
          <w:sz w:val="24"/>
          <w:szCs w:val="24"/>
        </w:rPr>
      </w:pPr>
    </w:p>
    <w:p w14:paraId="239392DB" w14:textId="77777777" w:rsidR="00B003BF" w:rsidRPr="00CF5D9E" w:rsidRDefault="00B003BF" w:rsidP="00CF5D9E">
      <w:pPr>
        <w:ind w:left="851" w:hanging="851"/>
        <w:rPr>
          <w:b/>
          <w:sz w:val="24"/>
          <w:szCs w:val="24"/>
        </w:rPr>
      </w:pPr>
      <w:r w:rsidRPr="00CF5D9E">
        <w:rPr>
          <w:b/>
          <w:sz w:val="24"/>
          <w:szCs w:val="24"/>
        </w:rPr>
        <w:t>6.</w:t>
      </w:r>
      <w:r w:rsidRPr="00CF5D9E">
        <w:rPr>
          <w:b/>
          <w:sz w:val="24"/>
          <w:szCs w:val="24"/>
        </w:rPr>
        <w:tab/>
        <w:t>FARMACEUTISKE OPLYSNINGER</w:t>
      </w:r>
    </w:p>
    <w:p w14:paraId="6F75AEBA" w14:textId="77777777" w:rsidR="00B003BF" w:rsidRPr="00CF5D9E" w:rsidRDefault="00B003BF" w:rsidP="00CF5D9E">
      <w:pPr>
        <w:ind w:left="851" w:hanging="851"/>
        <w:rPr>
          <w:b/>
          <w:sz w:val="24"/>
          <w:szCs w:val="24"/>
        </w:rPr>
      </w:pPr>
    </w:p>
    <w:p w14:paraId="10BD073D" w14:textId="77777777" w:rsidR="00B003BF" w:rsidRPr="00CF5D9E" w:rsidRDefault="00B003BF" w:rsidP="00CF5D9E">
      <w:pPr>
        <w:ind w:left="851" w:hanging="851"/>
        <w:rPr>
          <w:b/>
          <w:sz w:val="24"/>
          <w:szCs w:val="24"/>
        </w:rPr>
      </w:pPr>
      <w:r w:rsidRPr="00CF5D9E">
        <w:rPr>
          <w:b/>
          <w:sz w:val="24"/>
          <w:szCs w:val="24"/>
        </w:rPr>
        <w:t>6.1</w:t>
      </w:r>
      <w:r w:rsidRPr="00CF5D9E">
        <w:rPr>
          <w:b/>
          <w:sz w:val="24"/>
          <w:szCs w:val="24"/>
        </w:rPr>
        <w:tab/>
        <w:t>Hjælpestoffer</w:t>
      </w:r>
    </w:p>
    <w:p w14:paraId="69A07705" w14:textId="77777777" w:rsidR="003F530C" w:rsidRPr="00CF5D9E" w:rsidRDefault="00B003BF" w:rsidP="00CF5D9E">
      <w:pPr>
        <w:pStyle w:val="NormalWeb"/>
        <w:spacing w:before="0" w:beforeAutospacing="0" w:after="0" w:afterAutospacing="0"/>
        <w:ind w:left="851" w:hanging="851"/>
        <w:rPr>
          <w:u w:val="single"/>
          <w:lang w:val="da-DK"/>
        </w:rPr>
      </w:pPr>
      <w:r w:rsidRPr="00AA38AD">
        <w:rPr>
          <w:lang w:val="da-DK"/>
        </w:rPr>
        <w:tab/>
      </w:r>
    </w:p>
    <w:p w14:paraId="4C02F1CD" w14:textId="77777777" w:rsidR="003F530C" w:rsidRPr="00CF5D9E" w:rsidRDefault="003F530C" w:rsidP="008115DB">
      <w:pPr>
        <w:pStyle w:val="NormalWeb"/>
        <w:spacing w:before="0" w:beforeAutospacing="0" w:after="0" w:afterAutospacing="0"/>
        <w:ind w:left="851"/>
        <w:rPr>
          <w:lang w:val="da-DK"/>
        </w:rPr>
      </w:pPr>
      <w:r w:rsidRPr="00CF5D9E">
        <w:rPr>
          <w:u w:val="single"/>
          <w:lang w:val="da-DK"/>
        </w:rPr>
        <w:t>Tabletkerne</w:t>
      </w:r>
    </w:p>
    <w:p w14:paraId="28033066" w14:textId="461A01A3" w:rsidR="003F530C" w:rsidRPr="00CF5D9E" w:rsidRDefault="003F530C" w:rsidP="008115DB">
      <w:pPr>
        <w:pStyle w:val="NormalWeb"/>
        <w:spacing w:before="0" w:beforeAutospacing="0" w:after="0" w:afterAutospacing="0"/>
        <w:ind w:left="851"/>
        <w:rPr>
          <w:lang w:val="da-DK"/>
        </w:rPr>
      </w:pPr>
      <w:proofErr w:type="spellStart"/>
      <w:r w:rsidRPr="00CF5D9E">
        <w:rPr>
          <w:lang w:val="da-DK"/>
        </w:rPr>
        <w:t>La</w:t>
      </w:r>
      <w:r w:rsidR="00082DA9">
        <w:rPr>
          <w:lang w:val="da-DK"/>
        </w:rPr>
        <w:t>c</w:t>
      </w:r>
      <w:r w:rsidRPr="00CF5D9E">
        <w:rPr>
          <w:lang w:val="da-DK"/>
        </w:rPr>
        <w:t>tosemonohydrat</w:t>
      </w:r>
      <w:proofErr w:type="spellEnd"/>
    </w:p>
    <w:p w14:paraId="1D647440" w14:textId="77777777" w:rsidR="003F530C" w:rsidRPr="00CF5D9E" w:rsidRDefault="003F530C" w:rsidP="008115DB">
      <w:pPr>
        <w:pStyle w:val="NormalWeb"/>
        <w:spacing w:before="0" w:beforeAutospacing="0" w:after="0" w:afterAutospacing="0"/>
        <w:ind w:left="851"/>
        <w:rPr>
          <w:lang w:val="da-DK"/>
        </w:rPr>
      </w:pPr>
      <w:r w:rsidRPr="00CF5D9E">
        <w:rPr>
          <w:lang w:val="da-DK"/>
        </w:rPr>
        <w:t xml:space="preserve">Majsstivelse </w:t>
      </w:r>
    </w:p>
    <w:p w14:paraId="31CC81C2" w14:textId="77777777" w:rsidR="003F530C" w:rsidRPr="00AA38AD" w:rsidRDefault="003F530C" w:rsidP="008115DB">
      <w:pPr>
        <w:pStyle w:val="NormalWeb"/>
        <w:spacing w:before="0" w:beforeAutospacing="0" w:after="0" w:afterAutospacing="0"/>
        <w:ind w:left="851"/>
      </w:pPr>
      <w:proofErr w:type="spellStart"/>
      <w:r w:rsidRPr="00AA38AD">
        <w:t>Hypromellose</w:t>
      </w:r>
      <w:proofErr w:type="spellEnd"/>
      <w:r w:rsidRPr="00AA38AD">
        <w:t xml:space="preserve"> (3 cps) (E464) </w:t>
      </w:r>
    </w:p>
    <w:p w14:paraId="0D9AC666" w14:textId="77777777" w:rsidR="003F530C" w:rsidRPr="00AA38AD" w:rsidRDefault="003F530C" w:rsidP="008115DB">
      <w:pPr>
        <w:pStyle w:val="NormalWeb"/>
        <w:spacing w:before="0" w:beforeAutospacing="0" w:after="0" w:afterAutospacing="0"/>
        <w:ind w:left="851"/>
      </w:pPr>
      <w:proofErr w:type="spellStart"/>
      <w:r w:rsidRPr="00AA38AD">
        <w:t>Magnesiumstearat</w:t>
      </w:r>
      <w:proofErr w:type="spellEnd"/>
      <w:r w:rsidRPr="00AA38AD">
        <w:t xml:space="preserve"> (E572) </w:t>
      </w:r>
    </w:p>
    <w:p w14:paraId="05B9DF25" w14:textId="77777777" w:rsidR="003F530C" w:rsidRPr="00AA38AD" w:rsidRDefault="003F530C" w:rsidP="008115DB">
      <w:pPr>
        <w:pStyle w:val="NormalWeb"/>
        <w:spacing w:before="0" w:beforeAutospacing="0" w:after="0" w:afterAutospacing="0"/>
        <w:ind w:left="851"/>
        <w:rPr>
          <w:u w:val="single"/>
        </w:rPr>
      </w:pPr>
    </w:p>
    <w:p w14:paraId="46B248BC" w14:textId="77777777" w:rsidR="003F530C" w:rsidRPr="00AA38AD" w:rsidRDefault="003F530C" w:rsidP="008115DB">
      <w:pPr>
        <w:pStyle w:val="NormalWeb"/>
        <w:spacing w:before="0" w:beforeAutospacing="0" w:after="0" w:afterAutospacing="0"/>
        <w:ind w:left="851"/>
      </w:pPr>
      <w:proofErr w:type="spellStart"/>
      <w:r w:rsidRPr="00AA38AD">
        <w:rPr>
          <w:u w:val="single"/>
        </w:rPr>
        <w:t>Filmovertræk</w:t>
      </w:r>
      <w:proofErr w:type="spellEnd"/>
    </w:p>
    <w:p w14:paraId="409D3A46" w14:textId="77777777" w:rsidR="003F530C" w:rsidRPr="00AA38AD" w:rsidRDefault="003F530C" w:rsidP="008115DB">
      <w:pPr>
        <w:ind w:left="851"/>
        <w:rPr>
          <w:sz w:val="24"/>
          <w:szCs w:val="24"/>
          <w:lang w:val="en-US"/>
        </w:rPr>
      </w:pPr>
      <w:proofErr w:type="spellStart"/>
      <w:r w:rsidRPr="00AA38AD">
        <w:rPr>
          <w:sz w:val="24"/>
          <w:szCs w:val="24"/>
          <w:lang w:val="en-US"/>
        </w:rPr>
        <w:t>Hypromellose</w:t>
      </w:r>
      <w:proofErr w:type="spellEnd"/>
      <w:r w:rsidRPr="00AA38AD">
        <w:rPr>
          <w:sz w:val="24"/>
          <w:szCs w:val="24"/>
          <w:lang w:val="en-US"/>
        </w:rPr>
        <w:t xml:space="preserve"> (5 cps) (E464)</w:t>
      </w:r>
    </w:p>
    <w:p w14:paraId="6AD1716F" w14:textId="7F287DC7" w:rsidR="003F530C" w:rsidRPr="00AA38AD" w:rsidRDefault="003F530C" w:rsidP="008115DB">
      <w:pPr>
        <w:ind w:left="851"/>
        <w:rPr>
          <w:sz w:val="24"/>
          <w:szCs w:val="24"/>
          <w:lang w:val="en-US"/>
        </w:rPr>
      </w:pPr>
      <w:r w:rsidRPr="00AA38AD">
        <w:rPr>
          <w:sz w:val="24"/>
          <w:szCs w:val="24"/>
          <w:lang w:val="en-US"/>
        </w:rPr>
        <w:t>Tal</w:t>
      </w:r>
      <w:r w:rsidR="00082DA9" w:rsidRPr="00AA38AD">
        <w:rPr>
          <w:sz w:val="24"/>
          <w:szCs w:val="24"/>
          <w:lang w:val="en-US"/>
        </w:rPr>
        <w:t>c</w:t>
      </w:r>
      <w:r w:rsidRPr="00AA38AD">
        <w:rPr>
          <w:sz w:val="24"/>
          <w:szCs w:val="24"/>
          <w:lang w:val="en-US"/>
        </w:rPr>
        <w:t>um (E553b)</w:t>
      </w:r>
    </w:p>
    <w:p w14:paraId="7FF99FA3" w14:textId="77777777" w:rsidR="003F530C" w:rsidRPr="00AA38AD" w:rsidRDefault="003F530C" w:rsidP="008115DB">
      <w:pPr>
        <w:ind w:left="851"/>
        <w:rPr>
          <w:sz w:val="24"/>
          <w:szCs w:val="24"/>
          <w:lang w:val="en-US"/>
        </w:rPr>
      </w:pPr>
      <w:proofErr w:type="spellStart"/>
      <w:r w:rsidRPr="00AA38AD">
        <w:rPr>
          <w:sz w:val="24"/>
          <w:szCs w:val="24"/>
          <w:lang w:val="en-US"/>
        </w:rPr>
        <w:t>Titandioxid</w:t>
      </w:r>
      <w:proofErr w:type="spellEnd"/>
      <w:r w:rsidRPr="00AA38AD">
        <w:rPr>
          <w:sz w:val="24"/>
          <w:szCs w:val="24"/>
          <w:lang w:val="en-US"/>
        </w:rPr>
        <w:t xml:space="preserve"> (E171)</w:t>
      </w:r>
    </w:p>
    <w:p w14:paraId="266E3B35" w14:textId="77777777" w:rsidR="003F530C" w:rsidRPr="00AA38AD" w:rsidRDefault="003F530C" w:rsidP="008115DB">
      <w:pPr>
        <w:ind w:left="851"/>
        <w:rPr>
          <w:sz w:val="24"/>
          <w:szCs w:val="24"/>
          <w:lang w:val="en-US"/>
        </w:rPr>
      </w:pPr>
      <w:proofErr w:type="spellStart"/>
      <w:r w:rsidRPr="00AA38AD">
        <w:rPr>
          <w:sz w:val="24"/>
          <w:szCs w:val="24"/>
          <w:lang w:val="en-US"/>
        </w:rPr>
        <w:t>Macrogol</w:t>
      </w:r>
      <w:proofErr w:type="spellEnd"/>
      <w:r w:rsidRPr="00AA38AD">
        <w:rPr>
          <w:sz w:val="24"/>
          <w:szCs w:val="24"/>
          <w:lang w:val="en-US"/>
        </w:rPr>
        <w:t xml:space="preserve"> 6000 (E1521)</w:t>
      </w:r>
    </w:p>
    <w:p w14:paraId="6DE237FE" w14:textId="77777777" w:rsidR="003F530C" w:rsidRPr="00AA38AD" w:rsidRDefault="003F530C" w:rsidP="008115DB">
      <w:pPr>
        <w:ind w:left="851"/>
        <w:rPr>
          <w:sz w:val="24"/>
          <w:szCs w:val="24"/>
          <w:lang w:val="en-US"/>
        </w:rPr>
      </w:pPr>
      <w:r w:rsidRPr="00AA38AD">
        <w:rPr>
          <w:sz w:val="24"/>
          <w:szCs w:val="24"/>
          <w:lang w:val="en-US"/>
        </w:rPr>
        <w:t xml:space="preserve">Gul </w:t>
      </w:r>
      <w:proofErr w:type="spellStart"/>
      <w:r w:rsidRPr="00AA38AD">
        <w:rPr>
          <w:sz w:val="24"/>
          <w:szCs w:val="24"/>
          <w:lang w:val="en-US"/>
        </w:rPr>
        <w:t>jernoxid</w:t>
      </w:r>
      <w:proofErr w:type="spellEnd"/>
      <w:r w:rsidRPr="00AA38AD">
        <w:rPr>
          <w:sz w:val="24"/>
          <w:szCs w:val="24"/>
          <w:lang w:val="en-US"/>
        </w:rPr>
        <w:t xml:space="preserve"> </w:t>
      </w:r>
      <w:bookmarkStart w:id="1" w:name="OLE_LINK1"/>
      <w:bookmarkStart w:id="2" w:name="OLE_LINK2"/>
      <w:r w:rsidRPr="00AA38AD">
        <w:rPr>
          <w:sz w:val="24"/>
          <w:szCs w:val="24"/>
          <w:lang w:val="en-US"/>
        </w:rPr>
        <w:t>(E172)</w:t>
      </w:r>
      <w:bookmarkEnd w:id="1"/>
      <w:bookmarkEnd w:id="2"/>
      <w:r w:rsidRPr="00AA38AD">
        <w:rPr>
          <w:sz w:val="24"/>
          <w:szCs w:val="24"/>
          <w:lang w:val="en-US"/>
        </w:rPr>
        <w:t xml:space="preserve"> (5 mg)</w:t>
      </w:r>
    </w:p>
    <w:p w14:paraId="1A8B0004" w14:textId="77777777" w:rsidR="003F530C" w:rsidRPr="00CF5D9E" w:rsidRDefault="003F530C" w:rsidP="008115DB">
      <w:pPr>
        <w:ind w:left="851"/>
        <w:rPr>
          <w:sz w:val="24"/>
          <w:szCs w:val="24"/>
        </w:rPr>
      </w:pPr>
      <w:r w:rsidRPr="00CF5D9E">
        <w:rPr>
          <w:sz w:val="24"/>
          <w:szCs w:val="24"/>
        </w:rPr>
        <w:t xml:space="preserve">Red jernoxid (E172) (10 mg) </w:t>
      </w:r>
    </w:p>
    <w:p w14:paraId="1EBE746B" w14:textId="77777777" w:rsidR="00B003BF" w:rsidRPr="00CF5D9E" w:rsidRDefault="00B003BF" w:rsidP="00CF5D9E">
      <w:pPr>
        <w:ind w:left="851" w:hanging="851"/>
        <w:rPr>
          <w:sz w:val="24"/>
          <w:szCs w:val="24"/>
        </w:rPr>
      </w:pPr>
    </w:p>
    <w:p w14:paraId="0B84FB06" w14:textId="77777777" w:rsidR="00B003BF" w:rsidRPr="00CF5D9E" w:rsidRDefault="00B003BF" w:rsidP="00CF5D9E">
      <w:pPr>
        <w:ind w:left="851" w:hanging="851"/>
        <w:rPr>
          <w:b/>
          <w:sz w:val="24"/>
          <w:szCs w:val="24"/>
        </w:rPr>
      </w:pPr>
      <w:r w:rsidRPr="00CF5D9E">
        <w:rPr>
          <w:b/>
          <w:sz w:val="24"/>
          <w:szCs w:val="24"/>
        </w:rPr>
        <w:t>6.2</w:t>
      </w:r>
      <w:r w:rsidRPr="00CF5D9E">
        <w:rPr>
          <w:b/>
          <w:sz w:val="24"/>
          <w:szCs w:val="24"/>
        </w:rPr>
        <w:tab/>
        <w:t>Uforligeligheder</w:t>
      </w:r>
    </w:p>
    <w:p w14:paraId="0D5AA9BF" w14:textId="77777777" w:rsidR="003F530C" w:rsidRPr="00CF5D9E" w:rsidRDefault="00B003BF" w:rsidP="00CF5D9E">
      <w:pPr>
        <w:pStyle w:val="Brdtekst2"/>
        <w:ind w:left="851" w:hanging="851"/>
        <w:jc w:val="left"/>
        <w:rPr>
          <w:szCs w:val="24"/>
          <w:lang w:val="da-DK"/>
        </w:rPr>
      </w:pPr>
      <w:r w:rsidRPr="00CF5D9E">
        <w:rPr>
          <w:szCs w:val="24"/>
          <w:lang w:val="da-DK"/>
        </w:rPr>
        <w:tab/>
      </w:r>
      <w:r w:rsidR="003F530C" w:rsidRPr="00CF5D9E">
        <w:rPr>
          <w:szCs w:val="24"/>
          <w:lang w:val="da-DK"/>
        </w:rPr>
        <w:t xml:space="preserve">Ikke relevant. </w:t>
      </w:r>
    </w:p>
    <w:p w14:paraId="741CA8D3" w14:textId="77777777" w:rsidR="00B003BF" w:rsidRPr="00CF5D9E" w:rsidRDefault="00B003BF" w:rsidP="00CF5D9E">
      <w:pPr>
        <w:ind w:left="851" w:hanging="851"/>
        <w:rPr>
          <w:sz w:val="24"/>
          <w:szCs w:val="24"/>
        </w:rPr>
      </w:pPr>
    </w:p>
    <w:p w14:paraId="0A85AD87" w14:textId="77777777" w:rsidR="00B003BF" w:rsidRPr="00CF5D9E" w:rsidRDefault="00B003BF" w:rsidP="00CF5D9E">
      <w:pPr>
        <w:ind w:left="851" w:hanging="851"/>
        <w:rPr>
          <w:b/>
          <w:sz w:val="24"/>
          <w:szCs w:val="24"/>
        </w:rPr>
      </w:pPr>
      <w:r w:rsidRPr="00CF5D9E">
        <w:rPr>
          <w:b/>
          <w:sz w:val="24"/>
          <w:szCs w:val="24"/>
        </w:rPr>
        <w:t>6.3</w:t>
      </w:r>
      <w:r w:rsidRPr="00CF5D9E">
        <w:rPr>
          <w:b/>
          <w:sz w:val="24"/>
          <w:szCs w:val="24"/>
        </w:rPr>
        <w:tab/>
        <w:t>Opbevaringstid</w:t>
      </w:r>
    </w:p>
    <w:p w14:paraId="6C81F557" w14:textId="77777777" w:rsidR="003F530C" w:rsidRPr="00CF5D9E" w:rsidRDefault="00B003BF" w:rsidP="00CF5D9E">
      <w:pPr>
        <w:ind w:left="851" w:hanging="851"/>
        <w:rPr>
          <w:sz w:val="24"/>
          <w:szCs w:val="24"/>
        </w:rPr>
      </w:pPr>
      <w:r w:rsidRPr="00CF5D9E">
        <w:rPr>
          <w:sz w:val="24"/>
          <w:szCs w:val="24"/>
        </w:rPr>
        <w:tab/>
      </w:r>
      <w:r w:rsidR="003F530C" w:rsidRPr="00CF5D9E">
        <w:rPr>
          <w:sz w:val="24"/>
          <w:szCs w:val="24"/>
        </w:rPr>
        <w:t>2 år.</w:t>
      </w:r>
    </w:p>
    <w:p w14:paraId="5FD40E17" w14:textId="77777777" w:rsidR="00B003BF" w:rsidRPr="00CF5D9E" w:rsidRDefault="00B003BF" w:rsidP="00CF5D9E">
      <w:pPr>
        <w:ind w:left="851" w:hanging="851"/>
        <w:rPr>
          <w:sz w:val="24"/>
          <w:szCs w:val="24"/>
        </w:rPr>
      </w:pPr>
    </w:p>
    <w:p w14:paraId="652D77EC" w14:textId="77777777" w:rsidR="00B003BF" w:rsidRPr="00CF5D9E" w:rsidRDefault="00B003BF" w:rsidP="00CF5D9E">
      <w:pPr>
        <w:ind w:left="851" w:hanging="851"/>
        <w:rPr>
          <w:b/>
          <w:sz w:val="24"/>
          <w:szCs w:val="24"/>
        </w:rPr>
      </w:pPr>
      <w:r w:rsidRPr="00CF5D9E">
        <w:rPr>
          <w:b/>
          <w:sz w:val="24"/>
          <w:szCs w:val="24"/>
        </w:rPr>
        <w:t>6.4</w:t>
      </w:r>
      <w:r w:rsidRPr="00CF5D9E">
        <w:rPr>
          <w:b/>
          <w:sz w:val="24"/>
          <w:szCs w:val="24"/>
        </w:rPr>
        <w:tab/>
        <w:t>Særlige opbevaringsforhold</w:t>
      </w:r>
    </w:p>
    <w:p w14:paraId="5ED112A8" w14:textId="70E02E2D" w:rsidR="003F530C" w:rsidRPr="00CF5D9E" w:rsidRDefault="00B003BF" w:rsidP="00CF5D9E">
      <w:pPr>
        <w:ind w:left="851" w:hanging="851"/>
        <w:rPr>
          <w:sz w:val="24"/>
          <w:szCs w:val="24"/>
        </w:rPr>
      </w:pPr>
      <w:r w:rsidRPr="00CF5D9E">
        <w:rPr>
          <w:sz w:val="24"/>
          <w:szCs w:val="24"/>
        </w:rPr>
        <w:tab/>
      </w:r>
      <w:r w:rsidR="003F530C" w:rsidRPr="00CF5D9E">
        <w:rPr>
          <w:sz w:val="24"/>
          <w:szCs w:val="24"/>
        </w:rPr>
        <w:t>Dette lægemiddel kræver ingen særlige forhold vedrørende opbevaringen.</w:t>
      </w:r>
    </w:p>
    <w:p w14:paraId="7107846C" w14:textId="77777777" w:rsidR="00B003BF" w:rsidRPr="00CF5D9E" w:rsidRDefault="00B003BF" w:rsidP="00CF5D9E">
      <w:pPr>
        <w:ind w:left="851" w:hanging="851"/>
        <w:rPr>
          <w:sz w:val="24"/>
          <w:szCs w:val="24"/>
        </w:rPr>
      </w:pPr>
    </w:p>
    <w:p w14:paraId="48701161" w14:textId="77777777" w:rsidR="00B003BF" w:rsidRPr="00CF5D9E" w:rsidRDefault="00B003BF" w:rsidP="00CF5D9E">
      <w:pPr>
        <w:ind w:left="851" w:hanging="851"/>
        <w:rPr>
          <w:b/>
          <w:sz w:val="24"/>
          <w:szCs w:val="24"/>
        </w:rPr>
      </w:pPr>
      <w:r w:rsidRPr="00CF5D9E">
        <w:rPr>
          <w:b/>
          <w:sz w:val="24"/>
          <w:szCs w:val="24"/>
        </w:rPr>
        <w:t>6.5</w:t>
      </w:r>
      <w:r w:rsidRPr="00CF5D9E">
        <w:rPr>
          <w:b/>
          <w:sz w:val="24"/>
          <w:szCs w:val="24"/>
        </w:rPr>
        <w:tab/>
        <w:t>Emballagetyper og pakningsstørrelser</w:t>
      </w:r>
    </w:p>
    <w:p w14:paraId="0AF0F69C" w14:textId="635868C9" w:rsidR="003F530C" w:rsidRPr="00CF5D9E" w:rsidRDefault="00B003BF" w:rsidP="00CF5D9E">
      <w:pPr>
        <w:ind w:left="851" w:hanging="851"/>
        <w:rPr>
          <w:sz w:val="24"/>
          <w:szCs w:val="24"/>
        </w:rPr>
      </w:pPr>
      <w:r w:rsidRPr="00CF5D9E">
        <w:rPr>
          <w:sz w:val="24"/>
          <w:szCs w:val="24"/>
        </w:rPr>
        <w:tab/>
      </w:r>
      <w:r w:rsidR="003F530C" w:rsidRPr="00CF5D9E">
        <w:rPr>
          <w:sz w:val="24"/>
          <w:szCs w:val="24"/>
        </w:rPr>
        <w:t>Tabletterne er pakket i PVC/</w:t>
      </w:r>
      <w:proofErr w:type="spellStart"/>
      <w:r w:rsidR="003F530C" w:rsidRPr="00CF5D9E">
        <w:rPr>
          <w:sz w:val="24"/>
          <w:szCs w:val="24"/>
        </w:rPr>
        <w:t>PVdC</w:t>
      </w:r>
      <w:proofErr w:type="spellEnd"/>
      <w:r w:rsidR="003F530C" w:rsidRPr="00CF5D9E">
        <w:rPr>
          <w:sz w:val="24"/>
          <w:szCs w:val="24"/>
        </w:rPr>
        <w:noBreakHyphen/>
        <w:t>aluminium-blisterkort.</w:t>
      </w:r>
    </w:p>
    <w:p w14:paraId="59316FD3" w14:textId="77777777" w:rsidR="003F530C" w:rsidRPr="00CF5D9E" w:rsidRDefault="003F530C" w:rsidP="00CF5D9E">
      <w:pPr>
        <w:ind w:left="851" w:hanging="851"/>
        <w:rPr>
          <w:sz w:val="24"/>
          <w:szCs w:val="24"/>
        </w:rPr>
      </w:pPr>
    </w:p>
    <w:p w14:paraId="589BD17C" w14:textId="77777777" w:rsidR="003F530C" w:rsidRPr="00CF5D9E" w:rsidRDefault="003F530C" w:rsidP="008115DB">
      <w:pPr>
        <w:ind w:left="851"/>
        <w:rPr>
          <w:sz w:val="24"/>
          <w:szCs w:val="24"/>
        </w:rPr>
      </w:pPr>
      <w:r w:rsidRPr="00CF5D9E">
        <w:rPr>
          <w:sz w:val="24"/>
          <w:szCs w:val="24"/>
        </w:rPr>
        <w:t>Pakningsstørrelser: 3, 5, 10, 20, 30, 50, 60, 90, 100 og 200 tabletter i blister.</w:t>
      </w:r>
    </w:p>
    <w:p w14:paraId="6CC06819" w14:textId="77777777" w:rsidR="003F530C" w:rsidRPr="00CF5D9E" w:rsidRDefault="003F530C" w:rsidP="00CF5D9E">
      <w:pPr>
        <w:ind w:left="851" w:hanging="851"/>
        <w:rPr>
          <w:sz w:val="24"/>
          <w:szCs w:val="24"/>
        </w:rPr>
      </w:pPr>
    </w:p>
    <w:p w14:paraId="2C66700F" w14:textId="77777777" w:rsidR="003F530C" w:rsidRPr="00CF5D9E" w:rsidRDefault="003F530C" w:rsidP="008115DB">
      <w:pPr>
        <w:ind w:left="851"/>
        <w:rPr>
          <w:sz w:val="24"/>
          <w:szCs w:val="24"/>
        </w:rPr>
      </w:pPr>
      <w:r w:rsidRPr="00CF5D9E">
        <w:rPr>
          <w:sz w:val="24"/>
          <w:szCs w:val="24"/>
        </w:rPr>
        <w:t xml:space="preserve">Ikke alle pakningsstørrelser er nødvendigvis markedsført. </w:t>
      </w:r>
    </w:p>
    <w:p w14:paraId="50561FE7" w14:textId="77777777" w:rsidR="00B003BF" w:rsidRPr="00CF5D9E" w:rsidRDefault="00B003BF" w:rsidP="00CF5D9E">
      <w:pPr>
        <w:ind w:left="851" w:hanging="851"/>
        <w:rPr>
          <w:sz w:val="24"/>
          <w:szCs w:val="24"/>
        </w:rPr>
      </w:pPr>
    </w:p>
    <w:p w14:paraId="1312BFB5" w14:textId="77777777" w:rsidR="00B003BF" w:rsidRPr="00CF5D9E" w:rsidRDefault="00B003BF" w:rsidP="00CF5D9E">
      <w:pPr>
        <w:ind w:left="851" w:hanging="851"/>
        <w:rPr>
          <w:b/>
          <w:sz w:val="24"/>
          <w:szCs w:val="24"/>
        </w:rPr>
      </w:pPr>
      <w:r w:rsidRPr="00CF5D9E">
        <w:rPr>
          <w:b/>
          <w:sz w:val="24"/>
          <w:szCs w:val="24"/>
        </w:rPr>
        <w:t>6.6</w:t>
      </w:r>
      <w:r w:rsidRPr="00CF5D9E">
        <w:rPr>
          <w:b/>
          <w:sz w:val="24"/>
          <w:szCs w:val="24"/>
        </w:rPr>
        <w:tab/>
        <w:t>Regler for destruktion og anden håndtering</w:t>
      </w:r>
    </w:p>
    <w:p w14:paraId="0DB23E65" w14:textId="77777777" w:rsidR="003F530C" w:rsidRPr="00CF5D9E" w:rsidRDefault="003F530C" w:rsidP="008115DB">
      <w:pPr>
        <w:ind w:left="851"/>
        <w:rPr>
          <w:sz w:val="24"/>
          <w:szCs w:val="24"/>
        </w:rPr>
      </w:pPr>
      <w:r w:rsidRPr="00CF5D9E">
        <w:rPr>
          <w:sz w:val="24"/>
          <w:szCs w:val="24"/>
        </w:rPr>
        <w:t>Ingen særlige forholdsregler ved bortskaffelse.</w:t>
      </w:r>
    </w:p>
    <w:p w14:paraId="324FB5FB" w14:textId="77777777" w:rsidR="00B003BF" w:rsidRPr="00CF5D9E" w:rsidRDefault="00B003BF" w:rsidP="00CF5D9E">
      <w:pPr>
        <w:ind w:left="851" w:hanging="851"/>
        <w:jc w:val="both"/>
        <w:rPr>
          <w:sz w:val="24"/>
          <w:szCs w:val="24"/>
        </w:rPr>
      </w:pPr>
    </w:p>
    <w:p w14:paraId="37051EC6" w14:textId="77777777" w:rsidR="00B003BF" w:rsidRPr="00CF5D9E" w:rsidRDefault="00B003BF" w:rsidP="00CF5D9E">
      <w:pPr>
        <w:ind w:left="851" w:hanging="851"/>
        <w:rPr>
          <w:b/>
          <w:sz w:val="24"/>
          <w:szCs w:val="24"/>
        </w:rPr>
      </w:pPr>
      <w:r w:rsidRPr="00CF5D9E">
        <w:rPr>
          <w:b/>
          <w:sz w:val="24"/>
          <w:szCs w:val="24"/>
        </w:rPr>
        <w:t>7.</w:t>
      </w:r>
      <w:r w:rsidRPr="00CF5D9E">
        <w:rPr>
          <w:b/>
          <w:sz w:val="24"/>
          <w:szCs w:val="24"/>
        </w:rPr>
        <w:tab/>
        <w:t>INDEHAVER AF MARKEDSFØRINGSTILLADELSEN</w:t>
      </w:r>
    </w:p>
    <w:p w14:paraId="19E4A8EE" w14:textId="77777777" w:rsidR="00C829C7" w:rsidRPr="00C829C7" w:rsidRDefault="00B003BF" w:rsidP="00C829C7">
      <w:pPr>
        <w:ind w:left="851" w:hanging="851"/>
        <w:rPr>
          <w:bCs/>
          <w:iCs/>
          <w:sz w:val="24"/>
          <w:szCs w:val="24"/>
          <w:lang w:val="en-US"/>
        </w:rPr>
      </w:pPr>
      <w:r w:rsidRPr="00CF5D9E">
        <w:rPr>
          <w:sz w:val="24"/>
          <w:szCs w:val="24"/>
        </w:rPr>
        <w:tab/>
      </w:r>
      <w:r w:rsidR="00C829C7" w:rsidRPr="00C829C7">
        <w:rPr>
          <w:bCs/>
          <w:iCs/>
          <w:sz w:val="24"/>
          <w:szCs w:val="24"/>
          <w:lang w:val="en-US"/>
        </w:rPr>
        <w:t>Accord Healthcare B.V.</w:t>
      </w:r>
    </w:p>
    <w:p w14:paraId="68BC0937" w14:textId="77777777" w:rsidR="00C829C7" w:rsidRDefault="00C829C7" w:rsidP="008115DB">
      <w:pPr>
        <w:ind w:left="851"/>
        <w:rPr>
          <w:bCs/>
          <w:iCs/>
          <w:sz w:val="24"/>
          <w:szCs w:val="24"/>
          <w:lang w:val="en-US"/>
        </w:rPr>
      </w:pPr>
      <w:proofErr w:type="spellStart"/>
      <w:r w:rsidRPr="00C829C7">
        <w:rPr>
          <w:bCs/>
          <w:iCs/>
          <w:sz w:val="24"/>
          <w:szCs w:val="24"/>
          <w:lang w:val="en-US"/>
        </w:rPr>
        <w:t>Winthontlaan</w:t>
      </w:r>
      <w:proofErr w:type="spellEnd"/>
      <w:r w:rsidRPr="00C829C7">
        <w:rPr>
          <w:bCs/>
          <w:iCs/>
          <w:sz w:val="24"/>
          <w:szCs w:val="24"/>
          <w:lang w:val="en-US"/>
        </w:rPr>
        <w:t xml:space="preserve"> 200</w:t>
      </w:r>
    </w:p>
    <w:p w14:paraId="56125451" w14:textId="77777777" w:rsidR="00C829C7" w:rsidRDefault="00C829C7" w:rsidP="008115DB">
      <w:pPr>
        <w:ind w:left="851"/>
        <w:rPr>
          <w:bCs/>
          <w:iCs/>
          <w:sz w:val="24"/>
          <w:szCs w:val="24"/>
        </w:rPr>
      </w:pPr>
      <w:r w:rsidRPr="00C829C7">
        <w:rPr>
          <w:bCs/>
          <w:iCs/>
          <w:sz w:val="24"/>
          <w:szCs w:val="24"/>
        </w:rPr>
        <w:t>3526 KV</w:t>
      </w:r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Utrecht</w:t>
      </w:r>
      <w:proofErr w:type="spellEnd"/>
    </w:p>
    <w:p w14:paraId="1887A821" w14:textId="52E33709" w:rsidR="003F530C" w:rsidRPr="00C829C7" w:rsidRDefault="00C829C7" w:rsidP="008115DB">
      <w:pPr>
        <w:ind w:left="851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Holland</w:t>
      </w:r>
    </w:p>
    <w:p w14:paraId="2312926F" w14:textId="77777777" w:rsidR="00B003BF" w:rsidRPr="00CF5D9E" w:rsidRDefault="00B003BF" w:rsidP="00CF5D9E">
      <w:pPr>
        <w:ind w:left="851" w:hanging="851"/>
        <w:rPr>
          <w:sz w:val="24"/>
          <w:szCs w:val="24"/>
        </w:rPr>
      </w:pPr>
    </w:p>
    <w:p w14:paraId="1A886F63" w14:textId="77777777" w:rsidR="00B003BF" w:rsidRPr="00CF5D9E" w:rsidRDefault="00B003BF" w:rsidP="00CF5D9E">
      <w:pPr>
        <w:ind w:left="851" w:hanging="851"/>
        <w:rPr>
          <w:b/>
          <w:sz w:val="24"/>
          <w:szCs w:val="24"/>
        </w:rPr>
      </w:pPr>
      <w:r w:rsidRPr="00CF5D9E">
        <w:rPr>
          <w:b/>
          <w:sz w:val="24"/>
          <w:szCs w:val="24"/>
        </w:rPr>
        <w:t>8.</w:t>
      </w:r>
      <w:r w:rsidRPr="00CF5D9E">
        <w:rPr>
          <w:b/>
          <w:sz w:val="24"/>
          <w:szCs w:val="24"/>
        </w:rPr>
        <w:tab/>
        <w:t>MARKEDSFØRINGSTILLADELSESNUMMER (NUMRE)</w:t>
      </w:r>
    </w:p>
    <w:p w14:paraId="7F25F23E" w14:textId="1881FC93" w:rsidR="00B003BF" w:rsidRPr="00CF5D9E" w:rsidRDefault="00B003BF" w:rsidP="00CF5D9E">
      <w:pPr>
        <w:ind w:left="851" w:hanging="851"/>
        <w:rPr>
          <w:sz w:val="24"/>
          <w:szCs w:val="24"/>
        </w:rPr>
      </w:pPr>
      <w:r w:rsidRPr="00CF5D9E">
        <w:rPr>
          <w:sz w:val="24"/>
          <w:szCs w:val="24"/>
        </w:rPr>
        <w:tab/>
      </w:r>
      <w:r w:rsidR="003F530C" w:rsidRPr="00CF5D9E">
        <w:rPr>
          <w:sz w:val="24"/>
          <w:szCs w:val="24"/>
        </w:rPr>
        <w:t xml:space="preserve">5 mg: </w:t>
      </w:r>
      <w:r w:rsidR="00684659">
        <w:rPr>
          <w:sz w:val="24"/>
          <w:szCs w:val="24"/>
        </w:rPr>
        <w:tab/>
      </w:r>
      <w:r w:rsidR="003F530C" w:rsidRPr="00CF5D9E">
        <w:rPr>
          <w:sz w:val="24"/>
          <w:szCs w:val="24"/>
        </w:rPr>
        <w:t>52916</w:t>
      </w:r>
    </w:p>
    <w:p w14:paraId="5807804A" w14:textId="4DC34E38" w:rsidR="003F530C" w:rsidRPr="00CF5D9E" w:rsidRDefault="003F530C" w:rsidP="008115DB">
      <w:pPr>
        <w:ind w:left="851"/>
        <w:rPr>
          <w:sz w:val="24"/>
          <w:szCs w:val="24"/>
        </w:rPr>
      </w:pPr>
      <w:r w:rsidRPr="00CF5D9E">
        <w:rPr>
          <w:sz w:val="24"/>
          <w:szCs w:val="24"/>
        </w:rPr>
        <w:t xml:space="preserve">10 mg: </w:t>
      </w:r>
      <w:r w:rsidR="00684659">
        <w:rPr>
          <w:sz w:val="24"/>
          <w:szCs w:val="24"/>
        </w:rPr>
        <w:tab/>
      </w:r>
      <w:r w:rsidRPr="00CF5D9E">
        <w:rPr>
          <w:sz w:val="24"/>
          <w:szCs w:val="24"/>
        </w:rPr>
        <w:t>52917</w:t>
      </w:r>
    </w:p>
    <w:p w14:paraId="6DCB2716" w14:textId="77777777" w:rsidR="00B003BF" w:rsidRPr="00CF5D9E" w:rsidRDefault="00B003BF" w:rsidP="00CF5D9E">
      <w:pPr>
        <w:ind w:left="851" w:hanging="851"/>
        <w:jc w:val="both"/>
        <w:rPr>
          <w:sz w:val="24"/>
          <w:szCs w:val="24"/>
        </w:rPr>
      </w:pPr>
    </w:p>
    <w:p w14:paraId="25A76CDB" w14:textId="77777777" w:rsidR="00B003BF" w:rsidRPr="00CF5D9E" w:rsidRDefault="00B003BF" w:rsidP="00CF5D9E">
      <w:pPr>
        <w:ind w:left="851" w:hanging="851"/>
        <w:rPr>
          <w:b/>
          <w:sz w:val="24"/>
          <w:szCs w:val="24"/>
        </w:rPr>
      </w:pPr>
      <w:r w:rsidRPr="00CF5D9E">
        <w:rPr>
          <w:b/>
          <w:sz w:val="24"/>
          <w:szCs w:val="24"/>
        </w:rPr>
        <w:t>9.</w:t>
      </w:r>
      <w:r w:rsidRPr="00CF5D9E">
        <w:rPr>
          <w:b/>
          <w:sz w:val="24"/>
          <w:szCs w:val="24"/>
        </w:rPr>
        <w:tab/>
        <w:t>DATO FOR FØRSTE MARKEDSFØRINGSTILLADELSE</w:t>
      </w:r>
    </w:p>
    <w:p w14:paraId="2307DCC3" w14:textId="1C78258E" w:rsidR="00B003BF" w:rsidRPr="00CF5D9E" w:rsidRDefault="00B003BF" w:rsidP="00CF5D9E">
      <w:pPr>
        <w:ind w:left="851" w:hanging="851"/>
        <w:rPr>
          <w:sz w:val="24"/>
          <w:szCs w:val="24"/>
        </w:rPr>
      </w:pPr>
      <w:r w:rsidRPr="00CF5D9E">
        <w:rPr>
          <w:sz w:val="24"/>
          <w:szCs w:val="24"/>
        </w:rPr>
        <w:tab/>
      </w:r>
      <w:r w:rsidR="003F530C" w:rsidRPr="00CF5D9E">
        <w:rPr>
          <w:sz w:val="24"/>
          <w:szCs w:val="24"/>
        </w:rPr>
        <w:t>2</w:t>
      </w:r>
      <w:r w:rsidR="00684659">
        <w:rPr>
          <w:sz w:val="24"/>
          <w:szCs w:val="24"/>
        </w:rPr>
        <w:t>5</w:t>
      </w:r>
      <w:r w:rsidR="003F530C" w:rsidRPr="00CF5D9E">
        <w:rPr>
          <w:sz w:val="24"/>
          <w:szCs w:val="24"/>
        </w:rPr>
        <w:t>. september 2014</w:t>
      </w:r>
    </w:p>
    <w:p w14:paraId="7FACD816" w14:textId="77777777" w:rsidR="00B003BF" w:rsidRPr="00CF5D9E" w:rsidRDefault="00B003BF" w:rsidP="00CF5D9E">
      <w:pPr>
        <w:ind w:left="851" w:hanging="851"/>
        <w:rPr>
          <w:sz w:val="24"/>
          <w:szCs w:val="24"/>
        </w:rPr>
      </w:pPr>
    </w:p>
    <w:p w14:paraId="24EACD7D" w14:textId="77777777" w:rsidR="00B003BF" w:rsidRPr="00CF5D9E" w:rsidRDefault="00B003BF" w:rsidP="00CF5D9E">
      <w:pPr>
        <w:ind w:left="851" w:hanging="851"/>
        <w:rPr>
          <w:b/>
          <w:sz w:val="24"/>
          <w:szCs w:val="24"/>
        </w:rPr>
      </w:pPr>
      <w:r w:rsidRPr="00CF5D9E">
        <w:rPr>
          <w:b/>
          <w:sz w:val="24"/>
          <w:szCs w:val="24"/>
        </w:rPr>
        <w:t>10.</w:t>
      </w:r>
      <w:r w:rsidRPr="00CF5D9E">
        <w:rPr>
          <w:b/>
          <w:sz w:val="24"/>
          <w:szCs w:val="24"/>
        </w:rPr>
        <w:tab/>
        <w:t>DATO FOR ÆNDRING AF TEKSTEN</w:t>
      </w:r>
    </w:p>
    <w:p w14:paraId="5ED9F3DF" w14:textId="736D2E68" w:rsidR="00B003BF" w:rsidRPr="00CF5D9E" w:rsidRDefault="00B003BF" w:rsidP="00CF5D9E">
      <w:pPr>
        <w:ind w:left="851" w:hanging="851"/>
        <w:rPr>
          <w:sz w:val="24"/>
          <w:szCs w:val="24"/>
        </w:rPr>
      </w:pPr>
      <w:r w:rsidRPr="00CF5D9E">
        <w:rPr>
          <w:sz w:val="24"/>
          <w:szCs w:val="24"/>
        </w:rPr>
        <w:tab/>
      </w:r>
      <w:r w:rsidR="00C829C7">
        <w:rPr>
          <w:sz w:val="24"/>
          <w:szCs w:val="24"/>
        </w:rPr>
        <w:t>14. oktober 2019</w:t>
      </w:r>
    </w:p>
    <w:sectPr w:rsidR="00B003BF" w:rsidRPr="00CF5D9E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0584E0" w14:textId="77777777" w:rsidR="002058DB" w:rsidRDefault="002058DB">
      <w:r>
        <w:separator/>
      </w:r>
    </w:p>
  </w:endnote>
  <w:endnote w:type="continuationSeparator" w:id="0">
    <w:p w14:paraId="7A9AE359" w14:textId="77777777" w:rsidR="002058DB" w:rsidRDefault="00205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C69139" w14:textId="77777777" w:rsidR="000259B9" w:rsidRDefault="000259B9">
    <w:pPr>
      <w:pStyle w:val="Sidefod"/>
      <w:pBdr>
        <w:bottom w:val="single" w:sz="6" w:space="1" w:color="auto"/>
      </w:pBdr>
    </w:pPr>
  </w:p>
  <w:p w14:paraId="1ABE1538" w14:textId="77777777"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14:paraId="0940D333" w14:textId="77777777"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5B63A6">
      <w:rPr>
        <w:i/>
        <w:noProof/>
        <w:sz w:val="18"/>
        <w:szCs w:val="18"/>
      </w:rPr>
      <w:t>Solifenacinsuccinat Accord, filmovertrukne tabletter 5 mg og 10 mg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829C7">
      <w:rPr>
        <w:rStyle w:val="Sidetal"/>
        <w:i/>
        <w:noProof/>
        <w:sz w:val="18"/>
        <w:szCs w:val="18"/>
      </w:rPr>
      <w:t>12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829C7">
      <w:rPr>
        <w:rStyle w:val="Sidetal"/>
        <w:i/>
        <w:noProof/>
        <w:sz w:val="18"/>
        <w:szCs w:val="18"/>
      </w:rPr>
      <w:t>12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B7C1D7" w14:textId="77777777" w:rsidR="002058DB" w:rsidRDefault="002058DB">
      <w:r>
        <w:separator/>
      </w:r>
    </w:p>
  </w:footnote>
  <w:footnote w:type="continuationSeparator" w:id="0">
    <w:p w14:paraId="0EFF80EE" w14:textId="77777777" w:rsidR="002058DB" w:rsidRDefault="00205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1E4B6511"/>
    <w:multiLevelType w:val="hybridMultilevel"/>
    <w:tmpl w:val="C8329C56"/>
    <w:lvl w:ilvl="0" w:tplc="9684DF9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4B1BB6"/>
    <w:multiLevelType w:val="hybridMultilevel"/>
    <w:tmpl w:val="F03258A4"/>
    <w:lvl w:ilvl="0" w:tplc="45BEF8C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354E2409"/>
    <w:multiLevelType w:val="hybridMultilevel"/>
    <w:tmpl w:val="3C24ABAA"/>
    <w:lvl w:ilvl="0" w:tplc="16A651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lang w:val="da-DK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6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DB"/>
    <w:rsid w:val="000259B9"/>
    <w:rsid w:val="00041491"/>
    <w:rsid w:val="00050D16"/>
    <w:rsid w:val="00074F2A"/>
    <w:rsid w:val="00082DA9"/>
    <w:rsid w:val="000A1CA8"/>
    <w:rsid w:val="000A466B"/>
    <w:rsid w:val="000E4EE6"/>
    <w:rsid w:val="002058DB"/>
    <w:rsid w:val="00206CE8"/>
    <w:rsid w:val="00283A2B"/>
    <w:rsid w:val="002B30AD"/>
    <w:rsid w:val="002C2C01"/>
    <w:rsid w:val="003A29AE"/>
    <w:rsid w:val="003A32D7"/>
    <w:rsid w:val="003B4074"/>
    <w:rsid w:val="003C769A"/>
    <w:rsid w:val="003F530C"/>
    <w:rsid w:val="0045746C"/>
    <w:rsid w:val="0049104B"/>
    <w:rsid w:val="004E2258"/>
    <w:rsid w:val="004E3B12"/>
    <w:rsid w:val="00565F0F"/>
    <w:rsid w:val="00594A86"/>
    <w:rsid w:val="00596D86"/>
    <w:rsid w:val="005B63A6"/>
    <w:rsid w:val="006560B1"/>
    <w:rsid w:val="006756DD"/>
    <w:rsid w:val="00684659"/>
    <w:rsid w:val="006F3B90"/>
    <w:rsid w:val="00740EEC"/>
    <w:rsid w:val="0078011A"/>
    <w:rsid w:val="00782AF4"/>
    <w:rsid w:val="00790EE7"/>
    <w:rsid w:val="007B6649"/>
    <w:rsid w:val="008115DB"/>
    <w:rsid w:val="0082576E"/>
    <w:rsid w:val="00907F75"/>
    <w:rsid w:val="0093258A"/>
    <w:rsid w:val="009C7BA3"/>
    <w:rsid w:val="009D1F5A"/>
    <w:rsid w:val="00A27D7D"/>
    <w:rsid w:val="00AA38AD"/>
    <w:rsid w:val="00B003BF"/>
    <w:rsid w:val="00B373D7"/>
    <w:rsid w:val="00B824A9"/>
    <w:rsid w:val="00C36276"/>
    <w:rsid w:val="00C42586"/>
    <w:rsid w:val="00C829C7"/>
    <w:rsid w:val="00C84483"/>
    <w:rsid w:val="00C95551"/>
    <w:rsid w:val="00CB20D7"/>
    <w:rsid w:val="00CF5D9E"/>
    <w:rsid w:val="00D020B0"/>
    <w:rsid w:val="00D11748"/>
    <w:rsid w:val="00D366CF"/>
    <w:rsid w:val="00D37D8E"/>
    <w:rsid w:val="00E108AA"/>
    <w:rsid w:val="00E3749A"/>
    <w:rsid w:val="00E7437F"/>
    <w:rsid w:val="00E865B8"/>
    <w:rsid w:val="00EA030F"/>
    <w:rsid w:val="00EC0B9B"/>
    <w:rsid w:val="00ED5E9F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8EFD209"/>
  <w15:chartTrackingRefBased/>
  <w15:docId w15:val="{D4102547-D7CF-4280-A0A5-BE259A18A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basedOn w:val="Standardskrifttypeiafsnit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basedOn w:val="Standardskrifttypeiafsnit"/>
    <w:link w:val="Sidehoved"/>
    <w:rsid w:val="00B003BF"/>
    <w:rPr>
      <w:sz w:val="24"/>
    </w:rPr>
  </w:style>
  <w:style w:type="character" w:customStyle="1" w:styleId="TitelTegn">
    <w:name w:val="Titel Tegn"/>
    <w:basedOn w:val="Standardskrifttypeiafsnit"/>
    <w:link w:val="Titel"/>
    <w:rsid w:val="00B003BF"/>
    <w:rPr>
      <w:b/>
      <w:sz w:val="24"/>
    </w:rPr>
  </w:style>
  <w:style w:type="paragraph" w:styleId="Brdtekst2">
    <w:name w:val="Body Text 2"/>
    <w:basedOn w:val="Normal"/>
    <w:link w:val="Brdtekst2Tegn"/>
    <w:rsid w:val="003F530C"/>
    <w:pPr>
      <w:jc w:val="both"/>
    </w:pPr>
    <w:rPr>
      <w:sz w:val="24"/>
      <w:lang w:val="en-US"/>
    </w:rPr>
  </w:style>
  <w:style w:type="character" w:customStyle="1" w:styleId="Brdtekst2Tegn">
    <w:name w:val="Brødtekst 2 Tegn"/>
    <w:basedOn w:val="Standardskrifttypeiafsnit"/>
    <w:link w:val="Brdtekst2"/>
    <w:rsid w:val="003F530C"/>
    <w:rPr>
      <w:sz w:val="24"/>
      <w:lang w:val="en-US" w:eastAsia="en-US"/>
    </w:rPr>
  </w:style>
  <w:style w:type="paragraph" w:styleId="NormalWeb">
    <w:name w:val="Normal (Web)"/>
    <w:basedOn w:val="Normal"/>
    <w:rsid w:val="003F530C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yperlink">
    <w:name w:val="Hyperlink"/>
    <w:uiPriority w:val="99"/>
    <w:unhideWhenUsed/>
    <w:rsid w:val="003F53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2990</Words>
  <Characters>19748</Characters>
  <Application>Microsoft Office Word</Application>
  <DocSecurity>0</DocSecurity>
  <Lines>164</Lines>
  <Paragraphs>45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OPTION</Company>
  <LinksUpToDate>false</LinksUpToDate>
  <CharactersWithSpaces>22693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Ott Jensen </dc:creator>
  <cp:keywords/>
  <dc:description>2018090152
Skift af MAH fra Accord Healthcare Limited </dc:description>
  <cp:lastModifiedBy>Marianne Ott Jensen</cp:lastModifiedBy>
  <cp:revision>4</cp:revision>
  <cp:lastPrinted>2014-09-24T13:35:00Z</cp:lastPrinted>
  <dcterms:created xsi:type="dcterms:W3CDTF">2019-10-08T11:37:00Z</dcterms:created>
  <dcterms:modified xsi:type="dcterms:W3CDTF">2019-10-08T11:39:00Z</dcterms:modified>
</cp:coreProperties>
</file>