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DB86"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09B436DD" wp14:editId="61A967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B5560AC" w14:textId="77777777" w:rsidR="006B3847" w:rsidRPr="00303008" w:rsidRDefault="006B3847" w:rsidP="006B3847">
      <w:pPr>
        <w:rPr>
          <w:sz w:val="24"/>
          <w:szCs w:val="24"/>
          <w:lang w:val="en-GB"/>
        </w:rPr>
      </w:pPr>
    </w:p>
    <w:p w14:paraId="756A7AC7" w14:textId="47F44E08" w:rsidR="006B3847" w:rsidRPr="00303008" w:rsidRDefault="006B3847" w:rsidP="006B3847">
      <w:pPr>
        <w:tabs>
          <w:tab w:val="right" w:pos="9356"/>
        </w:tabs>
        <w:rPr>
          <w:b/>
          <w:sz w:val="24"/>
          <w:szCs w:val="24"/>
          <w:lang w:val="en-GB"/>
        </w:rPr>
      </w:pPr>
      <w:r w:rsidRPr="00303008">
        <w:rPr>
          <w:b/>
          <w:sz w:val="24"/>
          <w:szCs w:val="24"/>
          <w:lang w:val="en-GB"/>
        </w:rPr>
        <w:tab/>
      </w:r>
      <w:r w:rsidR="00B60635">
        <w:rPr>
          <w:b/>
          <w:sz w:val="24"/>
          <w:szCs w:val="24"/>
          <w:lang w:val="en-GB"/>
        </w:rPr>
        <w:t>8 July 2024</w:t>
      </w:r>
    </w:p>
    <w:p w14:paraId="10F516DD" w14:textId="77777777" w:rsidR="006B3847" w:rsidRPr="00303008" w:rsidRDefault="006B3847" w:rsidP="006B3847">
      <w:pPr>
        <w:rPr>
          <w:sz w:val="24"/>
          <w:szCs w:val="24"/>
          <w:lang w:val="en-GB"/>
        </w:rPr>
      </w:pPr>
    </w:p>
    <w:p w14:paraId="257AC56C" w14:textId="77777777" w:rsidR="007C5D2A" w:rsidRPr="00303008" w:rsidRDefault="007C5D2A" w:rsidP="007C5D2A">
      <w:pPr>
        <w:rPr>
          <w:sz w:val="24"/>
          <w:szCs w:val="24"/>
          <w:lang w:val="en-GB"/>
        </w:rPr>
      </w:pPr>
    </w:p>
    <w:p w14:paraId="71F48F5B" w14:textId="77777777" w:rsidR="007C5D2A" w:rsidRPr="00303008" w:rsidRDefault="007C5D2A" w:rsidP="007C5D2A">
      <w:pPr>
        <w:rPr>
          <w:sz w:val="24"/>
          <w:szCs w:val="24"/>
          <w:lang w:val="en-GB"/>
        </w:rPr>
      </w:pPr>
    </w:p>
    <w:p w14:paraId="4E2C8F11"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1E796681" w14:textId="77777777" w:rsidR="007C5D2A" w:rsidRPr="00303008" w:rsidRDefault="007C5D2A" w:rsidP="007C5D2A">
      <w:pPr>
        <w:jc w:val="center"/>
        <w:rPr>
          <w:sz w:val="24"/>
          <w:szCs w:val="24"/>
          <w:lang w:val="en-GB"/>
        </w:rPr>
      </w:pPr>
    </w:p>
    <w:p w14:paraId="325E28D9" w14:textId="77777777" w:rsidR="007C5D2A" w:rsidRPr="00303008" w:rsidRDefault="007C5D2A" w:rsidP="007C5D2A">
      <w:pPr>
        <w:jc w:val="center"/>
        <w:rPr>
          <w:b/>
          <w:sz w:val="24"/>
          <w:szCs w:val="24"/>
          <w:lang w:val="en-GB"/>
        </w:rPr>
      </w:pPr>
      <w:r w:rsidRPr="00303008">
        <w:rPr>
          <w:b/>
          <w:sz w:val="24"/>
          <w:szCs w:val="24"/>
          <w:lang w:val="en-GB"/>
        </w:rPr>
        <w:t>for</w:t>
      </w:r>
    </w:p>
    <w:p w14:paraId="6151D955" w14:textId="77777777" w:rsidR="007C5D2A" w:rsidRPr="00303008" w:rsidRDefault="007C5D2A" w:rsidP="007C5D2A">
      <w:pPr>
        <w:jc w:val="center"/>
        <w:rPr>
          <w:sz w:val="24"/>
          <w:szCs w:val="24"/>
          <w:lang w:val="en-GB"/>
        </w:rPr>
      </w:pPr>
    </w:p>
    <w:p w14:paraId="3AC6F179" w14:textId="6F83128D" w:rsidR="00786270" w:rsidRPr="00B60635" w:rsidRDefault="00232B5B" w:rsidP="00786270">
      <w:pPr>
        <w:jc w:val="center"/>
        <w:rPr>
          <w:b/>
          <w:sz w:val="24"/>
          <w:szCs w:val="24"/>
          <w:lang w:val="en-US"/>
        </w:rPr>
      </w:pPr>
      <w:r w:rsidRPr="00B60635">
        <w:rPr>
          <w:b/>
          <w:sz w:val="24"/>
          <w:szCs w:val="24"/>
          <w:lang w:val="en-US"/>
        </w:rPr>
        <w:t xml:space="preserve">Soluzem, </w:t>
      </w:r>
      <w:r w:rsidR="00786270" w:rsidRPr="00B60635">
        <w:rPr>
          <w:b/>
          <w:sz w:val="24"/>
          <w:szCs w:val="24"/>
          <w:lang w:val="en-US"/>
        </w:rPr>
        <w:t>hard capsules</w:t>
      </w:r>
    </w:p>
    <w:p w14:paraId="7FCE0561" w14:textId="77777777" w:rsidR="007C5D2A" w:rsidRPr="00B60635" w:rsidRDefault="007C5D2A" w:rsidP="007C5D2A">
      <w:pPr>
        <w:jc w:val="both"/>
        <w:rPr>
          <w:sz w:val="24"/>
          <w:szCs w:val="24"/>
          <w:lang w:val="en-US"/>
        </w:rPr>
      </w:pPr>
    </w:p>
    <w:p w14:paraId="1DB158DF" w14:textId="77777777" w:rsidR="0042292D" w:rsidRPr="00B60635" w:rsidRDefault="0042292D" w:rsidP="007C5D2A">
      <w:pPr>
        <w:jc w:val="both"/>
        <w:rPr>
          <w:sz w:val="24"/>
          <w:szCs w:val="24"/>
          <w:lang w:val="en-US"/>
        </w:rPr>
      </w:pPr>
    </w:p>
    <w:p w14:paraId="37AB1597" w14:textId="77777777" w:rsidR="008F2F8C" w:rsidRPr="00B60635" w:rsidRDefault="008F2F8C" w:rsidP="008F2F8C">
      <w:pPr>
        <w:tabs>
          <w:tab w:val="left" w:pos="8222"/>
        </w:tabs>
        <w:ind w:left="851" w:hanging="851"/>
        <w:rPr>
          <w:b/>
          <w:sz w:val="24"/>
          <w:szCs w:val="24"/>
          <w:lang w:val="en-US"/>
        </w:rPr>
      </w:pPr>
      <w:r w:rsidRPr="00B60635">
        <w:rPr>
          <w:b/>
          <w:sz w:val="24"/>
          <w:szCs w:val="24"/>
          <w:lang w:val="en-US"/>
        </w:rPr>
        <w:t>0.</w:t>
      </w:r>
      <w:r w:rsidRPr="00B60635">
        <w:rPr>
          <w:b/>
          <w:sz w:val="24"/>
          <w:szCs w:val="24"/>
          <w:lang w:val="en-US"/>
        </w:rPr>
        <w:tab/>
        <w:t>D.SP.NO.</w:t>
      </w:r>
    </w:p>
    <w:p w14:paraId="39680CA2" w14:textId="31989C94" w:rsidR="008F2F8C" w:rsidRPr="00303008" w:rsidRDefault="00786270" w:rsidP="008F2F8C">
      <w:pPr>
        <w:tabs>
          <w:tab w:val="left" w:pos="8222"/>
        </w:tabs>
        <w:ind w:left="851"/>
        <w:rPr>
          <w:sz w:val="24"/>
          <w:szCs w:val="24"/>
          <w:lang w:val="en-GB"/>
        </w:rPr>
      </w:pPr>
      <w:r>
        <w:rPr>
          <w:sz w:val="24"/>
          <w:szCs w:val="24"/>
          <w:lang w:val="en-GB"/>
        </w:rPr>
        <w:t>32847</w:t>
      </w:r>
    </w:p>
    <w:p w14:paraId="67B98754" w14:textId="77777777" w:rsidR="007C5D2A" w:rsidRPr="00303008" w:rsidRDefault="007C5D2A" w:rsidP="007C5D2A">
      <w:pPr>
        <w:tabs>
          <w:tab w:val="left" w:pos="851"/>
        </w:tabs>
        <w:jc w:val="both"/>
        <w:rPr>
          <w:sz w:val="24"/>
          <w:szCs w:val="24"/>
          <w:lang w:val="en-GB"/>
        </w:rPr>
      </w:pPr>
    </w:p>
    <w:p w14:paraId="5389919C"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5FA3DD52" w14:textId="316344B4" w:rsidR="007C5D2A" w:rsidRPr="00303008" w:rsidRDefault="00786270" w:rsidP="004A3BF4">
      <w:pPr>
        <w:tabs>
          <w:tab w:val="left" w:pos="851"/>
        </w:tabs>
        <w:ind w:left="851"/>
        <w:rPr>
          <w:sz w:val="24"/>
          <w:szCs w:val="24"/>
          <w:lang w:val="en-GB"/>
        </w:rPr>
      </w:pPr>
      <w:r>
        <w:rPr>
          <w:sz w:val="24"/>
          <w:szCs w:val="24"/>
          <w:lang w:val="en-GB"/>
        </w:rPr>
        <w:t>Soluzem</w:t>
      </w:r>
    </w:p>
    <w:p w14:paraId="2C6E6FDA" w14:textId="77777777" w:rsidR="007C5D2A" w:rsidRPr="00303008" w:rsidRDefault="007C5D2A" w:rsidP="004A3BF4">
      <w:pPr>
        <w:tabs>
          <w:tab w:val="left" w:pos="851"/>
        </w:tabs>
        <w:ind w:left="851"/>
        <w:rPr>
          <w:sz w:val="24"/>
          <w:szCs w:val="24"/>
          <w:lang w:val="en-GB"/>
        </w:rPr>
      </w:pPr>
    </w:p>
    <w:p w14:paraId="23C5C89A"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6C1E4DB9" w14:textId="46BBB69A" w:rsidR="00786270" w:rsidRDefault="00786270" w:rsidP="00786270">
      <w:pPr>
        <w:tabs>
          <w:tab w:val="left" w:pos="851"/>
        </w:tabs>
        <w:ind w:left="851"/>
        <w:rPr>
          <w:sz w:val="24"/>
          <w:szCs w:val="24"/>
          <w:lang w:val="en-GB"/>
        </w:rPr>
      </w:pPr>
      <w:r w:rsidRPr="00786270">
        <w:rPr>
          <w:sz w:val="24"/>
          <w:szCs w:val="24"/>
          <w:lang w:val="en-GB"/>
        </w:rPr>
        <w:t xml:space="preserve">Each capsule contains 2 mg Loperamide hydrochloride. </w:t>
      </w:r>
    </w:p>
    <w:p w14:paraId="2A590DCF" w14:textId="77777777" w:rsidR="00786270" w:rsidRPr="00786270" w:rsidRDefault="00786270" w:rsidP="00786270">
      <w:pPr>
        <w:tabs>
          <w:tab w:val="left" w:pos="851"/>
        </w:tabs>
        <w:ind w:left="851"/>
        <w:rPr>
          <w:sz w:val="24"/>
          <w:szCs w:val="24"/>
          <w:lang w:val="en-GB"/>
        </w:rPr>
      </w:pPr>
    </w:p>
    <w:p w14:paraId="2CD65DBD" w14:textId="77777777" w:rsidR="00786270" w:rsidRPr="00786270" w:rsidRDefault="00786270" w:rsidP="00786270">
      <w:pPr>
        <w:tabs>
          <w:tab w:val="left" w:pos="851"/>
        </w:tabs>
        <w:ind w:left="851"/>
        <w:rPr>
          <w:sz w:val="24"/>
          <w:szCs w:val="24"/>
          <w:u w:val="single"/>
          <w:lang w:val="en-GB"/>
        </w:rPr>
      </w:pPr>
      <w:r w:rsidRPr="00786270">
        <w:rPr>
          <w:sz w:val="24"/>
          <w:szCs w:val="24"/>
          <w:u w:val="single"/>
          <w:lang w:val="en-GB"/>
        </w:rPr>
        <w:t>Excipient with known effect</w:t>
      </w:r>
    </w:p>
    <w:p w14:paraId="6198999B" w14:textId="21F06C45" w:rsidR="00786270" w:rsidRPr="00786270" w:rsidRDefault="00786270" w:rsidP="00786270">
      <w:pPr>
        <w:tabs>
          <w:tab w:val="left" w:pos="851"/>
        </w:tabs>
        <w:ind w:left="851"/>
        <w:rPr>
          <w:sz w:val="24"/>
          <w:szCs w:val="24"/>
          <w:lang w:val="en-GB"/>
        </w:rPr>
      </w:pPr>
      <w:r w:rsidRPr="00786270">
        <w:rPr>
          <w:sz w:val="24"/>
          <w:szCs w:val="24"/>
          <w:lang w:val="en-GB"/>
        </w:rPr>
        <w:t>Lactose monohydrate 138 mg/capsule</w:t>
      </w:r>
      <w:r>
        <w:rPr>
          <w:sz w:val="24"/>
          <w:szCs w:val="24"/>
          <w:lang w:val="en-GB"/>
        </w:rPr>
        <w:t>.</w:t>
      </w:r>
    </w:p>
    <w:p w14:paraId="6EB5C31E" w14:textId="77777777" w:rsidR="00786270" w:rsidRDefault="00786270" w:rsidP="00786270">
      <w:pPr>
        <w:tabs>
          <w:tab w:val="left" w:pos="851"/>
        </w:tabs>
        <w:ind w:left="851"/>
        <w:rPr>
          <w:sz w:val="24"/>
          <w:szCs w:val="24"/>
          <w:lang w:val="en-GB"/>
        </w:rPr>
      </w:pPr>
    </w:p>
    <w:p w14:paraId="3649C2A0" w14:textId="4E0B48B0" w:rsidR="00786270" w:rsidRPr="00786270" w:rsidRDefault="00786270" w:rsidP="00786270">
      <w:pPr>
        <w:tabs>
          <w:tab w:val="left" w:pos="851"/>
        </w:tabs>
        <w:ind w:left="851"/>
        <w:rPr>
          <w:sz w:val="24"/>
          <w:szCs w:val="24"/>
          <w:lang w:val="en-GB"/>
        </w:rPr>
      </w:pPr>
      <w:r w:rsidRPr="00786270">
        <w:rPr>
          <w:sz w:val="24"/>
          <w:szCs w:val="24"/>
          <w:lang w:val="en-GB"/>
        </w:rPr>
        <w:t>For a full list of excipients, see section 6.1</w:t>
      </w:r>
      <w:r>
        <w:rPr>
          <w:sz w:val="24"/>
          <w:szCs w:val="24"/>
          <w:lang w:val="en-GB"/>
        </w:rPr>
        <w:t>.</w:t>
      </w:r>
    </w:p>
    <w:p w14:paraId="1BB79B77" w14:textId="77777777" w:rsidR="007C5D2A" w:rsidRPr="00303008" w:rsidRDefault="007C5D2A" w:rsidP="004A3BF4">
      <w:pPr>
        <w:tabs>
          <w:tab w:val="left" w:pos="851"/>
        </w:tabs>
        <w:ind w:left="851"/>
        <w:rPr>
          <w:sz w:val="24"/>
          <w:szCs w:val="24"/>
          <w:lang w:val="en-GB"/>
        </w:rPr>
      </w:pPr>
    </w:p>
    <w:p w14:paraId="6DD3F21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0458AFB2" w14:textId="431C8710" w:rsidR="00037140" w:rsidRPr="00037140" w:rsidRDefault="00037140" w:rsidP="00037140">
      <w:pPr>
        <w:tabs>
          <w:tab w:val="left" w:pos="851"/>
        </w:tabs>
        <w:ind w:left="851"/>
        <w:rPr>
          <w:sz w:val="24"/>
          <w:szCs w:val="24"/>
          <w:lang w:val="en-GB"/>
        </w:rPr>
      </w:pPr>
      <w:r w:rsidRPr="00037140">
        <w:rPr>
          <w:sz w:val="24"/>
          <w:szCs w:val="24"/>
          <w:lang w:val="en-GB"/>
        </w:rPr>
        <w:t>Hard capsule</w:t>
      </w:r>
      <w:r>
        <w:rPr>
          <w:sz w:val="24"/>
          <w:szCs w:val="24"/>
          <w:lang w:val="en-GB"/>
        </w:rPr>
        <w:t>s</w:t>
      </w:r>
    </w:p>
    <w:p w14:paraId="5958F5FC" w14:textId="77777777" w:rsidR="00037140" w:rsidRPr="00037140" w:rsidRDefault="00037140" w:rsidP="00037140">
      <w:pPr>
        <w:tabs>
          <w:tab w:val="left" w:pos="851"/>
        </w:tabs>
        <w:ind w:left="851"/>
        <w:rPr>
          <w:sz w:val="24"/>
          <w:szCs w:val="24"/>
          <w:lang w:val="en-GB"/>
        </w:rPr>
      </w:pPr>
    </w:p>
    <w:p w14:paraId="44E1B8D6" w14:textId="11B41CD4" w:rsidR="00037140" w:rsidRPr="00037140" w:rsidRDefault="00037140" w:rsidP="00037140">
      <w:pPr>
        <w:tabs>
          <w:tab w:val="left" w:pos="851"/>
        </w:tabs>
        <w:ind w:left="851"/>
        <w:rPr>
          <w:sz w:val="24"/>
          <w:szCs w:val="24"/>
          <w:lang w:val="en-GB"/>
        </w:rPr>
      </w:pPr>
      <w:r w:rsidRPr="00037140">
        <w:rPr>
          <w:sz w:val="24"/>
          <w:szCs w:val="24"/>
          <w:lang w:val="en-GB"/>
        </w:rPr>
        <w:t>Hard gelatin</w:t>
      </w:r>
      <w:r>
        <w:rPr>
          <w:sz w:val="24"/>
          <w:szCs w:val="24"/>
          <w:lang w:val="en-GB"/>
        </w:rPr>
        <w:t>e</w:t>
      </w:r>
      <w:r w:rsidRPr="00037140">
        <w:rPr>
          <w:sz w:val="24"/>
          <w:szCs w:val="24"/>
          <w:lang w:val="en-GB"/>
        </w:rPr>
        <w:t xml:space="preserve"> capsules of size “4”, of 14.0-14.8 mm </w:t>
      </w:r>
      <w:r w:rsidR="00E86FB6">
        <w:rPr>
          <w:sz w:val="24"/>
          <w:szCs w:val="24"/>
          <w:lang w:val="en-GB"/>
        </w:rPr>
        <w:t>.</w:t>
      </w:r>
    </w:p>
    <w:p w14:paraId="227CBFFD" w14:textId="45C2BD5E" w:rsidR="00037140" w:rsidRPr="00037140" w:rsidRDefault="00037140" w:rsidP="00037140">
      <w:pPr>
        <w:tabs>
          <w:tab w:val="left" w:pos="851"/>
        </w:tabs>
        <w:ind w:left="851"/>
        <w:rPr>
          <w:sz w:val="24"/>
          <w:szCs w:val="24"/>
          <w:lang w:val="en-GB"/>
        </w:rPr>
      </w:pPr>
      <w:r w:rsidRPr="00037140">
        <w:rPr>
          <w:sz w:val="24"/>
          <w:szCs w:val="24"/>
          <w:lang w:val="es-ES"/>
        </w:rPr>
        <w:t>White to off white powder</w:t>
      </w:r>
      <w:r w:rsidR="00E86FB6">
        <w:rPr>
          <w:sz w:val="24"/>
          <w:szCs w:val="24"/>
          <w:lang w:val="es-ES"/>
        </w:rPr>
        <w:t>.</w:t>
      </w:r>
    </w:p>
    <w:p w14:paraId="26DE0303" w14:textId="5AE79C82" w:rsidR="00037140" w:rsidRPr="00037140" w:rsidRDefault="00037140" w:rsidP="00037140">
      <w:pPr>
        <w:tabs>
          <w:tab w:val="left" w:pos="851"/>
        </w:tabs>
        <w:ind w:left="851"/>
        <w:rPr>
          <w:sz w:val="24"/>
          <w:szCs w:val="24"/>
          <w:lang w:val="en-GB"/>
        </w:rPr>
      </w:pPr>
      <w:r w:rsidRPr="00037140">
        <w:rPr>
          <w:sz w:val="24"/>
          <w:szCs w:val="24"/>
          <w:lang w:val="en-GB"/>
        </w:rPr>
        <w:t>Opaque green cap and grey body</w:t>
      </w:r>
      <w:r w:rsidR="00E86FB6">
        <w:rPr>
          <w:sz w:val="24"/>
          <w:szCs w:val="24"/>
          <w:lang w:val="en-GB"/>
        </w:rPr>
        <w:t>.</w:t>
      </w:r>
    </w:p>
    <w:p w14:paraId="114624A7" w14:textId="77777777" w:rsidR="007C5D2A" w:rsidRPr="00303008" w:rsidRDefault="007C5D2A" w:rsidP="004A3BF4">
      <w:pPr>
        <w:tabs>
          <w:tab w:val="left" w:pos="851"/>
        </w:tabs>
        <w:ind w:left="851"/>
        <w:rPr>
          <w:sz w:val="24"/>
          <w:szCs w:val="24"/>
          <w:lang w:val="en-GB"/>
        </w:rPr>
      </w:pPr>
    </w:p>
    <w:p w14:paraId="4AF8E153" w14:textId="77777777" w:rsidR="007C5D2A" w:rsidRPr="00303008" w:rsidRDefault="007C5D2A" w:rsidP="004A3BF4">
      <w:pPr>
        <w:tabs>
          <w:tab w:val="left" w:pos="851"/>
        </w:tabs>
        <w:ind w:left="851"/>
        <w:rPr>
          <w:sz w:val="24"/>
          <w:szCs w:val="24"/>
          <w:lang w:val="en-GB"/>
        </w:rPr>
      </w:pPr>
    </w:p>
    <w:p w14:paraId="48E91201"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0649CF0" w14:textId="77777777" w:rsidR="007C5D2A" w:rsidRPr="00303008" w:rsidRDefault="007C5D2A" w:rsidP="004A3BF4">
      <w:pPr>
        <w:tabs>
          <w:tab w:val="left" w:pos="851"/>
        </w:tabs>
        <w:ind w:left="851"/>
        <w:rPr>
          <w:sz w:val="24"/>
          <w:szCs w:val="24"/>
          <w:lang w:val="en-GB"/>
        </w:rPr>
      </w:pPr>
    </w:p>
    <w:p w14:paraId="1EE55E3C"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71BDF0D" w14:textId="77777777" w:rsidR="00E86FB6" w:rsidRPr="00E86FB6" w:rsidRDefault="00E86FB6" w:rsidP="00E86FB6">
      <w:pPr>
        <w:tabs>
          <w:tab w:val="left" w:pos="851"/>
        </w:tabs>
        <w:ind w:left="851"/>
        <w:rPr>
          <w:sz w:val="24"/>
          <w:szCs w:val="24"/>
          <w:lang w:val="en-GB"/>
        </w:rPr>
      </w:pPr>
      <w:r w:rsidRPr="00E86FB6">
        <w:rPr>
          <w:sz w:val="24"/>
          <w:szCs w:val="24"/>
          <w:lang w:val="en-GB"/>
        </w:rPr>
        <w:t xml:space="preserve">For the symptomatic treatment of acute diarrhoea in adults and children aged 12 years and over </w:t>
      </w:r>
    </w:p>
    <w:p w14:paraId="657EE14E" w14:textId="77777777" w:rsidR="007C5D2A" w:rsidRPr="00303008" w:rsidRDefault="007C5D2A" w:rsidP="00A85D26">
      <w:pPr>
        <w:tabs>
          <w:tab w:val="left" w:pos="851"/>
        </w:tabs>
        <w:ind w:left="851"/>
        <w:rPr>
          <w:sz w:val="24"/>
          <w:szCs w:val="24"/>
          <w:lang w:val="en-GB"/>
        </w:rPr>
      </w:pPr>
    </w:p>
    <w:p w14:paraId="4F966166"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22E4D5F" w14:textId="77777777" w:rsidR="00E86FB6" w:rsidRDefault="00E86FB6" w:rsidP="00E86FB6">
      <w:pPr>
        <w:tabs>
          <w:tab w:val="left" w:pos="851"/>
        </w:tabs>
        <w:ind w:left="851"/>
        <w:rPr>
          <w:sz w:val="24"/>
          <w:szCs w:val="24"/>
          <w:u w:val="single"/>
          <w:lang w:val="en-GB"/>
        </w:rPr>
      </w:pPr>
    </w:p>
    <w:p w14:paraId="5AFD5A0E" w14:textId="49C33971" w:rsidR="00E86FB6" w:rsidRDefault="00E86FB6" w:rsidP="00E86FB6">
      <w:pPr>
        <w:tabs>
          <w:tab w:val="left" w:pos="851"/>
        </w:tabs>
        <w:ind w:left="851"/>
        <w:rPr>
          <w:sz w:val="24"/>
          <w:szCs w:val="24"/>
          <w:u w:val="single"/>
          <w:lang w:val="en-GB"/>
        </w:rPr>
      </w:pPr>
      <w:r w:rsidRPr="00E86FB6">
        <w:rPr>
          <w:sz w:val="24"/>
          <w:szCs w:val="24"/>
          <w:u w:val="single"/>
          <w:lang w:val="en-GB"/>
        </w:rPr>
        <w:t>Posology</w:t>
      </w:r>
    </w:p>
    <w:p w14:paraId="617F73FF" w14:textId="77777777" w:rsidR="00E86FB6" w:rsidRPr="00E86FB6" w:rsidRDefault="00E86FB6" w:rsidP="00E86FB6">
      <w:pPr>
        <w:tabs>
          <w:tab w:val="left" w:pos="851"/>
        </w:tabs>
        <w:ind w:left="851"/>
        <w:rPr>
          <w:sz w:val="24"/>
          <w:szCs w:val="24"/>
          <w:lang w:val="en-GB"/>
        </w:rPr>
      </w:pPr>
    </w:p>
    <w:p w14:paraId="4474A599" w14:textId="7191F691" w:rsidR="00E86FB6" w:rsidRPr="00E86FB6" w:rsidRDefault="00E86FB6" w:rsidP="00E86FB6">
      <w:pPr>
        <w:tabs>
          <w:tab w:val="left" w:pos="851"/>
        </w:tabs>
        <w:ind w:left="851"/>
        <w:rPr>
          <w:i/>
          <w:sz w:val="24"/>
          <w:szCs w:val="24"/>
          <w:lang w:val="en-GB"/>
        </w:rPr>
      </w:pPr>
      <w:r w:rsidRPr="00E86FB6">
        <w:rPr>
          <w:i/>
          <w:sz w:val="24"/>
          <w:szCs w:val="24"/>
          <w:lang w:val="en-GB"/>
        </w:rPr>
        <w:t>Adults</w:t>
      </w:r>
    </w:p>
    <w:p w14:paraId="4A01C89B" w14:textId="77777777" w:rsidR="00E86FB6" w:rsidRPr="00E86FB6" w:rsidRDefault="00E86FB6" w:rsidP="00E86FB6">
      <w:pPr>
        <w:tabs>
          <w:tab w:val="left" w:pos="851"/>
        </w:tabs>
        <w:ind w:left="851"/>
        <w:rPr>
          <w:sz w:val="24"/>
          <w:szCs w:val="24"/>
          <w:lang w:val="en-GB"/>
        </w:rPr>
      </w:pPr>
      <w:r w:rsidRPr="00E86FB6">
        <w:rPr>
          <w:sz w:val="24"/>
          <w:szCs w:val="24"/>
          <w:lang w:val="en-GB"/>
        </w:rPr>
        <w:t xml:space="preserve">The starting dose is 4 mg (2 capsules) followed by 2 mg (1 capsule) after each diarrheal stool. </w:t>
      </w:r>
    </w:p>
    <w:p w14:paraId="4179BCF9" w14:textId="77777777" w:rsidR="00E86FB6" w:rsidRPr="00E86FB6" w:rsidRDefault="00E86FB6" w:rsidP="00E86FB6">
      <w:pPr>
        <w:tabs>
          <w:tab w:val="left" w:pos="851"/>
        </w:tabs>
        <w:ind w:left="851"/>
        <w:rPr>
          <w:sz w:val="24"/>
          <w:szCs w:val="24"/>
          <w:lang w:val="en-GB"/>
        </w:rPr>
      </w:pPr>
      <w:r w:rsidRPr="00E86FB6">
        <w:rPr>
          <w:sz w:val="24"/>
          <w:szCs w:val="24"/>
          <w:lang w:val="en-GB"/>
        </w:rPr>
        <w:lastRenderedPageBreak/>
        <w:t>Do not take more than 8 capsules (16 mg of loperamide) daily.</w:t>
      </w:r>
    </w:p>
    <w:p w14:paraId="76536E0D" w14:textId="77777777" w:rsidR="00E86FB6" w:rsidRPr="00E86FB6" w:rsidRDefault="00E86FB6" w:rsidP="00E86FB6">
      <w:pPr>
        <w:tabs>
          <w:tab w:val="left" w:pos="851"/>
        </w:tabs>
        <w:ind w:left="851"/>
        <w:rPr>
          <w:sz w:val="24"/>
          <w:szCs w:val="24"/>
          <w:lang w:val="en-GB"/>
        </w:rPr>
      </w:pPr>
    </w:p>
    <w:p w14:paraId="79B1E181" w14:textId="77777777" w:rsidR="00E86FB6" w:rsidRPr="00E86FB6" w:rsidRDefault="00E86FB6" w:rsidP="00E86FB6">
      <w:pPr>
        <w:tabs>
          <w:tab w:val="left" w:pos="851"/>
        </w:tabs>
        <w:ind w:left="851"/>
        <w:rPr>
          <w:sz w:val="24"/>
          <w:szCs w:val="24"/>
          <w:lang w:val="en-GB"/>
        </w:rPr>
      </w:pPr>
      <w:r w:rsidRPr="00E86FB6">
        <w:rPr>
          <w:sz w:val="24"/>
          <w:szCs w:val="24"/>
          <w:lang w:val="en-GB"/>
        </w:rPr>
        <w:t>A pause of one hour should be taken after the initial dose.</w:t>
      </w:r>
    </w:p>
    <w:p w14:paraId="38250A93" w14:textId="77777777" w:rsidR="00E86FB6" w:rsidRPr="00E86FB6" w:rsidRDefault="00E86FB6" w:rsidP="00E86FB6">
      <w:pPr>
        <w:tabs>
          <w:tab w:val="left" w:pos="851"/>
        </w:tabs>
        <w:ind w:left="851"/>
        <w:rPr>
          <w:sz w:val="24"/>
          <w:szCs w:val="24"/>
          <w:lang w:val="en-GB"/>
        </w:rPr>
      </w:pPr>
    </w:p>
    <w:p w14:paraId="001374DC" w14:textId="07AD1F53" w:rsidR="00E86FB6" w:rsidRPr="00E86FB6" w:rsidRDefault="00E86FB6" w:rsidP="00E86FB6">
      <w:pPr>
        <w:tabs>
          <w:tab w:val="left" w:pos="851"/>
        </w:tabs>
        <w:ind w:left="851"/>
        <w:rPr>
          <w:i/>
          <w:sz w:val="24"/>
          <w:szCs w:val="24"/>
          <w:lang w:val="en-GB"/>
        </w:rPr>
      </w:pPr>
      <w:r w:rsidRPr="00E86FB6">
        <w:rPr>
          <w:i/>
          <w:sz w:val="24"/>
          <w:szCs w:val="24"/>
          <w:lang w:val="en-GB"/>
        </w:rPr>
        <w:t>Children over 12 years old</w:t>
      </w:r>
    </w:p>
    <w:p w14:paraId="0576CC08" w14:textId="77777777" w:rsidR="00E86FB6" w:rsidRPr="00E86FB6" w:rsidRDefault="00E86FB6" w:rsidP="00E86FB6">
      <w:pPr>
        <w:tabs>
          <w:tab w:val="left" w:pos="851"/>
        </w:tabs>
        <w:ind w:left="851"/>
        <w:rPr>
          <w:sz w:val="24"/>
          <w:szCs w:val="24"/>
          <w:lang w:val="en-GB"/>
        </w:rPr>
      </w:pPr>
      <w:r w:rsidRPr="00E86FB6">
        <w:rPr>
          <w:sz w:val="24"/>
          <w:szCs w:val="24"/>
          <w:lang w:val="en-GB"/>
        </w:rPr>
        <w:t xml:space="preserve">The initial dose of 2 mg (1 capsule) followed by 2 mg (1 capsule) after each diarrheal stool. </w:t>
      </w:r>
    </w:p>
    <w:p w14:paraId="397DF38C" w14:textId="77777777" w:rsidR="00E86FB6" w:rsidRPr="00E86FB6" w:rsidRDefault="00E86FB6" w:rsidP="00E86FB6">
      <w:pPr>
        <w:tabs>
          <w:tab w:val="left" w:pos="851"/>
        </w:tabs>
        <w:ind w:left="851"/>
        <w:rPr>
          <w:sz w:val="24"/>
          <w:szCs w:val="24"/>
          <w:lang w:val="en-GB"/>
        </w:rPr>
      </w:pPr>
      <w:r w:rsidRPr="00E86FB6">
        <w:rPr>
          <w:sz w:val="24"/>
          <w:szCs w:val="24"/>
          <w:lang w:val="en-GB"/>
        </w:rPr>
        <w:t>A pause of one hour should be taken after the initial dose.</w:t>
      </w:r>
    </w:p>
    <w:p w14:paraId="2FF52289" w14:textId="77777777" w:rsidR="00E86FB6" w:rsidRPr="00E86FB6" w:rsidRDefault="00E86FB6" w:rsidP="00E86FB6">
      <w:pPr>
        <w:tabs>
          <w:tab w:val="left" w:pos="851"/>
        </w:tabs>
        <w:ind w:left="851"/>
        <w:rPr>
          <w:sz w:val="24"/>
          <w:szCs w:val="24"/>
          <w:lang w:val="en-GB"/>
        </w:rPr>
      </w:pPr>
    </w:p>
    <w:p w14:paraId="6A3ABFE1" w14:textId="77777777" w:rsidR="00E86FB6" w:rsidRPr="00E86FB6" w:rsidRDefault="00E86FB6" w:rsidP="00E86FB6">
      <w:pPr>
        <w:tabs>
          <w:tab w:val="left" w:pos="851"/>
        </w:tabs>
        <w:ind w:left="851"/>
        <w:rPr>
          <w:sz w:val="24"/>
          <w:szCs w:val="24"/>
          <w:lang w:val="en-GB"/>
        </w:rPr>
      </w:pPr>
      <w:r w:rsidRPr="00E86FB6">
        <w:rPr>
          <w:sz w:val="24"/>
          <w:szCs w:val="24"/>
          <w:lang w:val="en-GB"/>
        </w:rPr>
        <w:t>The maximum dose in children between 12-18 years is 4 capsules (8 mg)</w:t>
      </w:r>
    </w:p>
    <w:p w14:paraId="6ADFF9F8" w14:textId="77777777" w:rsidR="00E86FB6" w:rsidRPr="00E86FB6" w:rsidRDefault="00E86FB6" w:rsidP="00E86FB6">
      <w:pPr>
        <w:tabs>
          <w:tab w:val="left" w:pos="851"/>
        </w:tabs>
        <w:ind w:left="851"/>
        <w:rPr>
          <w:sz w:val="24"/>
          <w:szCs w:val="24"/>
          <w:lang w:val="en-GB"/>
        </w:rPr>
      </w:pPr>
    </w:p>
    <w:p w14:paraId="2D859A21" w14:textId="77777777" w:rsidR="00E86FB6" w:rsidRPr="00E86FB6" w:rsidRDefault="00E86FB6" w:rsidP="00E86FB6">
      <w:pPr>
        <w:tabs>
          <w:tab w:val="left" w:pos="851"/>
        </w:tabs>
        <w:ind w:left="851"/>
        <w:rPr>
          <w:sz w:val="24"/>
          <w:szCs w:val="24"/>
          <w:lang w:val="en-GB"/>
        </w:rPr>
      </w:pPr>
      <w:bookmarkStart w:id="1" w:name="_Hlk123038898"/>
      <w:r w:rsidRPr="00E86FB6">
        <w:rPr>
          <w:sz w:val="24"/>
          <w:szCs w:val="24"/>
          <w:lang w:val="en-GB"/>
        </w:rPr>
        <w:t>The duration of treatment should not exceed 48 hours</w:t>
      </w:r>
      <w:bookmarkEnd w:id="1"/>
    </w:p>
    <w:p w14:paraId="7976A15A" w14:textId="77777777" w:rsidR="00E86FB6" w:rsidRPr="00E86FB6" w:rsidRDefault="00E86FB6" w:rsidP="00E86FB6">
      <w:pPr>
        <w:tabs>
          <w:tab w:val="left" w:pos="851"/>
        </w:tabs>
        <w:ind w:left="851"/>
        <w:rPr>
          <w:sz w:val="24"/>
          <w:szCs w:val="24"/>
          <w:lang w:val="en-GB"/>
        </w:rPr>
      </w:pPr>
    </w:p>
    <w:p w14:paraId="5718F0D5" w14:textId="77777777" w:rsidR="00E86FB6" w:rsidRPr="00E86FB6" w:rsidRDefault="00E86FB6" w:rsidP="00E86FB6">
      <w:pPr>
        <w:tabs>
          <w:tab w:val="left" w:pos="851"/>
        </w:tabs>
        <w:ind w:left="851"/>
        <w:rPr>
          <w:sz w:val="24"/>
          <w:szCs w:val="24"/>
          <w:lang w:val="en-GB"/>
        </w:rPr>
      </w:pPr>
      <w:r w:rsidRPr="00E86FB6">
        <w:rPr>
          <w:sz w:val="24"/>
          <w:szCs w:val="24"/>
          <w:lang w:val="en-GB"/>
        </w:rPr>
        <w:t>Soluzem 2 mg hard-capsules must not be used</w:t>
      </w:r>
      <w:r w:rsidRPr="00E86FB6">
        <w:rPr>
          <w:sz w:val="24"/>
          <w:szCs w:val="24"/>
          <w:lang w:val="es-ES"/>
        </w:rPr>
        <w:t xml:space="preserve"> for children under 12 years of age.</w:t>
      </w:r>
    </w:p>
    <w:p w14:paraId="7A47436D" w14:textId="77777777" w:rsidR="00E86FB6" w:rsidRPr="00E86FB6" w:rsidRDefault="00E86FB6" w:rsidP="00E86FB6">
      <w:pPr>
        <w:tabs>
          <w:tab w:val="left" w:pos="851"/>
        </w:tabs>
        <w:ind w:left="851"/>
        <w:rPr>
          <w:sz w:val="24"/>
          <w:szCs w:val="24"/>
          <w:lang w:val="en-GB"/>
        </w:rPr>
      </w:pPr>
    </w:p>
    <w:p w14:paraId="1AF2B87E" w14:textId="77777777" w:rsidR="00E86FB6" w:rsidRPr="00E86FB6" w:rsidRDefault="00E86FB6" w:rsidP="00E86FB6">
      <w:pPr>
        <w:tabs>
          <w:tab w:val="left" w:pos="851"/>
        </w:tabs>
        <w:ind w:left="851"/>
        <w:rPr>
          <w:sz w:val="24"/>
          <w:szCs w:val="24"/>
          <w:lang w:val="en-GB"/>
        </w:rPr>
      </w:pPr>
      <w:r w:rsidRPr="00E86FB6">
        <w:rPr>
          <w:i/>
          <w:sz w:val="24"/>
          <w:szCs w:val="24"/>
          <w:lang w:val="en-GB"/>
        </w:rPr>
        <w:t>Elderly</w:t>
      </w:r>
    </w:p>
    <w:p w14:paraId="6C9C720B" w14:textId="77777777" w:rsidR="00E86FB6" w:rsidRPr="00E86FB6" w:rsidRDefault="00E86FB6" w:rsidP="00E86FB6">
      <w:pPr>
        <w:tabs>
          <w:tab w:val="left" w:pos="851"/>
        </w:tabs>
        <w:ind w:left="851"/>
        <w:rPr>
          <w:sz w:val="24"/>
          <w:szCs w:val="24"/>
          <w:lang w:val="en-GB"/>
        </w:rPr>
      </w:pPr>
      <w:r w:rsidRPr="00E86FB6">
        <w:rPr>
          <w:sz w:val="24"/>
          <w:szCs w:val="24"/>
          <w:lang w:val="en-GB"/>
        </w:rPr>
        <w:t>No dose adjustment is required for the elderly.</w:t>
      </w:r>
    </w:p>
    <w:p w14:paraId="48CFF9A5" w14:textId="77777777" w:rsidR="00E86FB6" w:rsidRPr="00E86FB6" w:rsidRDefault="00E86FB6" w:rsidP="00E86FB6">
      <w:pPr>
        <w:tabs>
          <w:tab w:val="left" w:pos="851"/>
        </w:tabs>
        <w:ind w:left="851"/>
        <w:rPr>
          <w:sz w:val="24"/>
          <w:szCs w:val="24"/>
          <w:lang w:val="en-GB"/>
        </w:rPr>
      </w:pPr>
    </w:p>
    <w:p w14:paraId="6DA90D46" w14:textId="77777777" w:rsidR="00E86FB6" w:rsidRPr="00E86FB6" w:rsidRDefault="00E86FB6" w:rsidP="00E86FB6">
      <w:pPr>
        <w:tabs>
          <w:tab w:val="left" w:pos="851"/>
        </w:tabs>
        <w:ind w:left="851"/>
        <w:rPr>
          <w:sz w:val="24"/>
          <w:szCs w:val="24"/>
          <w:lang w:val="en-GB"/>
        </w:rPr>
      </w:pPr>
      <w:r w:rsidRPr="00E86FB6">
        <w:rPr>
          <w:i/>
          <w:sz w:val="24"/>
          <w:szCs w:val="24"/>
          <w:lang w:val="en-GB"/>
        </w:rPr>
        <w:t>Renal impairment</w:t>
      </w:r>
    </w:p>
    <w:p w14:paraId="096F2A92" w14:textId="77777777" w:rsidR="00E86FB6" w:rsidRPr="00E86FB6" w:rsidRDefault="00E86FB6" w:rsidP="00E86FB6">
      <w:pPr>
        <w:tabs>
          <w:tab w:val="left" w:pos="851"/>
        </w:tabs>
        <w:ind w:left="851"/>
        <w:rPr>
          <w:sz w:val="24"/>
          <w:szCs w:val="24"/>
          <w:lang w:val="en-GB"/>
        </w:rPr>
      </w:pPr>
      <w:r w:rsidRPr="00E86FB6">
        <w:rPr>
          <w:sz w:val="24"/>
          <w:szCs w:val="24"/>
          <w:lang w:val="en-GB"/>
        </w:rPr>
        <w:t>No dose adjustment is required for patients with renal impairment.</w:t>
      </w:r>
    </w:p>
    <w:p w14:paraId="08C0EB80" w14:textId="77777777" w:rsidR="00E86FB6" w:rsidRPr="00E86FB6" w:rsidRDefault="00E86FB6" w:rsidP="00E86FB6">
      <w:pPr>
        <w:tabs>
          <w:tab w:val="left" w:pos="851"/>
        </w:tabs>
        <w:ind w:left="851"/>
        <w:rPr>
          <w:sz w:val="24"/>
          <w:szCs w:val="24"/>
          <w:lang w:val="en-GB"/>
        </w:rPr>
      </w:pPr>
    </w:p>
    <w:p w14:paraId="6C173369" w14:textId="77777777" w:rsidR="00E86FB6" w:rsidRPr="00E86FB6" w:rsidRDefault="00E86FB6" w:rsidP="00E86FB6">
      <w:pPr>
        <w:tabs>
          <w:tab w:val="left" w:pos="851"/>
        </w:tabs>
        <w:ind w:left="851"/>
        <w:rPr>
          <w:i/>
          <w:sz w:val="24"/>
          <w:szCs w:val="24"/>
          <w:lang w:val="en-GB"/>
        </w:rPr>
      </w:pPr>
      <w:r w:rsidRPr="00E86FB6">
        <w:rPr>
          <w:i/>
          <w:sz w:val="24"/>
          <w:szCs w:val="24"/>
          <w:lang w:val="en-GB"/>
        </w:rPr>
        <w:t>Hepatic impairment</w:t>
      </w:r>
    </w:p>
    <w:p w14:paraId="511C3FE6" w14:textId="77777777" w:rsidR="00E86FB6" w:rsidRPr="00E86FB6" w:rsidRDefault="00E86FB6" w:rsidP="00E86FB6">
      <w:pPr>
        <w:tabs>
          <w:tab w:val="left" w:pos="851"/>
        </w:tabs>
        <w:ind w:left="851"/>
        <w:rPr>
          <w:sz w:val="24"/>
          <w:szCs w:val="24"/>
          <w:lang w:val="en-GB"/>
        </w:rPr>
      </w:pPr>
      <w:r w:rsidRPr="00E86FB6">
        <w:rPr>
          <w:sz w:val="24"/>
          <w:szCs w:val="24"/>
          <w:lang w:val="en-GB"/>
        </w:rPr>
        <w:t>Although no pharmacokinetic data are available in patients with hepatic impairment, Loperamide OPKO should be used with caution in such patients because of reduced first pass metabolism. (see 4.4 Special warnings and special precautions for use).</w:t>
      </w:r>
    </w:p>
    <w:p w14:paraId="43CC4507" w14:textId="77777777" w:rsidR="00E86FB6" w:rsidRPr="00E86FB6" w:rsidRDefault="00E86FB6" w:rsidP="00E86FB6">
      <w:pPr>
        <w:tabs>
          <w:tab w:val="left" w:pos="851"/>
        </w:tabs>
        <w:ind w:left="851"/>
        <w:rPr>
          <w:sz w:val="24"/>
          <w:szCs w:val="24"/>
          <w:lang w:val="en-GB"/>
        </w:rPr>
      </w:pPr>
    </w:p>
    <w:p w14:paraId="0E80FBA8" w14:textId="77777777" w:rsidR="00E86FB6" w:rsidRPr="00E86FB6" w:rsidRDefault="00E86FB6" w:rsidP="00E86FB6">
      <w:pPr>
        <w:tabs>
          <w:tab w:val="left" w:pos="851"/>
        </w:tabs>
        <w:ind w:left="851"/>
        <w:rPr>
          <w:sz w:val="24"/>
          <w:szCs w:val="24"/>
          <w:u w:val="single"/>
          <w:lang w:val="en-GB"/>
        </w:rPr>
      </w:pPr>
      <w:r w:rsidRPr="00E86FB6">
        <w:rPr>
          <w:sz w:val="24"/>
          <w:szCs w:val="24"/>
          <w:u w:val="single"/>
          <w:lang w:val="en-GB"/>
        </w:rPr>
        <w:t>Method of administration</w:t>
      </w:r>
    </w:p>
    <w:p w14:paraId="054314E8" w14:textId="77777777" w:rsidR="00E86FB6" w:rsidRPr="00E86FB6" w:rsidRDefault="00E86FB6" w:rsidP="00E86FB6">
      <w:pPr>
        <w:tabs>
          <w:tab w:val="left" w:pos="851"/>
        </w:tabs>
        <w:ind w:left="851"/>
        <w:rPr>
          <w:sz w:val="24"/>
          <w:szCs w:val="24"/>
          <w:lang w:val="en-GB"/>
        </w:rPr>
      </w:pPr>
      <w:r w:rsidRPr="00E86FB6">
        <w:rPr>
          <w:sz w:val="24"/>
          <w:szCs w:val="24"/>
          <w:lang w:val="en-GB"/>
        </w:rPr>
        <w:t>Oral use.</w:t>
      </w:r>
    </w:p>
    <w:p w14:paraId="7985B695" w14:textId="77777777" w:rsidR="00E86FB6" w:rsidRPr="00E86FB6" w:rsidRDefault="00E86FB6" w:rsidP="00E86FB6">
      <w:pPr>
        <w:tabs>
          <w:tab w:val="left" w:pos="851"/>
        </w:tabs>
        <w:ind w:left="851"/>
        <w:rPr>
          <w:sz w:val="24"/>
          <w:szCs w:val="24"/>
          <w:lang w:val="en-GB"/>
        </w:rPr>
      </w:pPr>
      <w:r w:rsidRPr="00E86FB6">
        <w:rPr>
          <w:sz w:val="24"/>
          <w:szCs w:val="24"/>
          <w:lang w:val="en-GB"/>
        </w:rPr>
        <w:t>The capsules should be taken with liquid.</w:t>
      </w:r>
    </w:p>
    <w:p w14:paraId="05366DF1" w14:textId="77777777" w:rsidR="007C5D2A" w:rsidRPr="00303008" w:rsidRDefault="007C5D2A" w:rsidP="00A85D26">
      <w:pPr>
        <w:tabs>
          <w:tab w:val="left" w:pos="851"/>
        </w:tabs>
        <w:ind w:left="851"/>
        <w:rPr>
          <w:sz w:val="24"/>
          <w:szCs w:val="24"/>
          <w:lang w:val="en-GB"/>
        </w:rPr>
      </w:pPr>
    </w:p>
    <w:p w14:paraId="14246E7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1AA99890" w14:textId="77777777" w:rsidR="00E00E7E" w:rsidRPr="00E00E7E" w:rsidRDefault="00E00E7E" w:rsidP="00E00E7E">
      <w:pPr>
        <w:tabs>
          <w:tab w:val="left" w:pos="1134"/>
        </w:tabs>
        <w:ind w:left="1134" w:hanging="283"/>
        <w:rPr>
          <w:sz w:val="24"/>
          <w:szCs w:val="24"/>
          <w:lang w:val="en-GB"/>
        </w:rPr>
      </w:pPr>
      <w:r w:rsidRPr="00E00E7E">
        <w:rPr>
          <w:sz w:val="24"/>
          <w:szCs w:val="24"/>
          <w:lang w:val="en-GB"/>
        </w:rPr>
        <w:t>This medicine is contraindicated:</w:t>
      </w:r>
    </w:p>
    <w:p w14:paraId="774E9F7B" w14:textId="77842D9F"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hypersensitivity to the active substance or to any of the excipients listed in section 6.1.</w:t>
      </w:r>
    </w:p>
    <w:p w14:paraId="1E49235A" w14:textId="6BD40033"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in children less than 12 years of age.</w:t>
      </w:r>
    </w:p>
    <w:p w14:paraId="76DDFC4C" w14:textId="2CAE6B8D"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in patients with acute dysentery, which is characteri</w:t>
      </w:r>
      <w:r w:rsidRPr="00E00E7E">
        <w:rPr>
          <w:sz w:val="24"/>
          <w:szCs w:val="24"/>
          <w:u w:val="single"/>
          <w:lang w:val="en-GB"/>
        </w:rPr>
        <w:t>s</w:t>
      </w:r>
      <w:r w:rsidRPr="00E00E7E">
        <w:rPr>
          <w:sz w:val="24"/>
          <w:szCs w:val="24"/>
          <w:lang w:val="en-GB"/>
        </w:rPr>
        <w:t>ed by blood in stools and high fever. (above 38ºC)</w:t>
      </w:r>
    </w:p>
    <w:p w14:paraId="3D24F030" w14:textId="2DDA292C"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in patients with acute ulcerative colitis.</w:t>
      </w:r>
    </w:p>
    <w:p w14:paraId="4D1F2F96" w14:textId="77953C3B"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in patients with bacterial enterocolitis caused by invasive organisms including Salmonella, Shigella and Campylobacter</w:t>
      </w:r>
    </w:p>
    <w:p w14:paraId="407178A4" w14:textId="062B8DE5" w:rsidR="00E00E7E" w:rsidRPr="00E00E7E" w:rsidRDefault="00E00E7E" w:rsidP="00E00E7E">
      <w:pPr>
        <w:tabs>
          <w:tab w:val="left" w:pos="1134"/>
        </w:tabs>
        <w:ind w:left="1134" w:hanging="283"/>
        <w:rPr>
          <w:sz w:val="24"/>
          <w:szCs w:val="24"/>
          <w:lang w:val="en-GB"/>
        </w:rPr>
      </w:pPr>
      <w:r w:rsidRPr="00E00E7E">
        <w:rPr>
          <w:sz w:val="24"/>
          <w:szCs w:val="24"/>
          <w:lang w:val="en-GB"/>
        </w:rPr>
        <w:t>•</w:t>
      </w:r>
      <w:r>
        <w:rPr>
          <w:sz w:val="24"/>
          <w:szCs w:val="24"/>
          <w:lang w:val="en-GB"/>
        </w:rPr>
        <w:tab/>
      </w:r>
      <w:r w:rsidRPr="00E00E7E">
        <w:rPr>
          <w:sz w:val="24"/>
          <w:szCs w:val="24"/>
          <w:lang w:val="en-GB"/>
        </w:rPr>
        <w:t>in patients with pseudomembranous colitis associated with the use of broad-spectrum antibiotics.</w:t>
      </w:r>
    </w:p>
    <w:p w14:paraId="5C2DFBAD" w14:textId="77777777" w:rsidR="00E00E7E" w:rsidRPr="00E00E7E" w:rsidRDefault="00E00E7E" w:rsidP="00E00E7E">
      <w:pPr>
        <w:tabs>
          <w:tab w:val="left" w:pos="851"/>
        </w:tabs>
        <w:ind w:left="851"/>
        <w:rPr>
          <w:sz w:val="24"/>
          <w:szCs w:val="24"/>
          <w:lang w:val="en-GB"/>
        </w:rPr>
      </w:pPr>
    </w:p>
    <w:p w14:paraId="6B1CFC5A" w14:textId="338242B5" w:rsidR="00E00E7E" w:rsidRPr="00E00E7E" w:rsidRDefault="00E00E7E" w:rsidP="00E00E7E">
      <w:pPr>
        <w:tabs>
          <w:tab w:val="left" w:pos="851"/>
        </w:tabs>
        <w:ind w:left="851"/>
        <w:rPr>
          <w:sz w:val="24"/>
          <w:szCs w:val="24"/>
          <w:lang w:val="en-GB"/>
        </w:rPr>
      </w:pPr>
      <w:r w:rsidRPr="00E00E7E">
        <w:rPr>
          <w:sz w:val="24"/>
          <w:szCs w:val="24"/>
          <w:lang w:val="en-GB"/>
        </w:rPr>
        <w:t xml:space="preserve">Soluzem 2 mg </w:t>
      </w:r>
      <w:r>
        <w:rPr>
          <w:sz w:val="24"/>
          <w:szCs w:val="24"/>
          <w:lang w:val="en-GB"/>
        </w:rPr>
        <w:t>capsules</w:t>
      </w:r>
      <w:r w:rsidRPr="00E00E7E">
        <w:rPr>
          <w:sz w:val="24"/>
          <w:szCs w:val="24"/>
          <w:lang w:val="en-GB"/>
        </w:rPr>
        <w:t xml:space="preserve"> must not be used when inhibition of peristalsis is to be avoided due to the possible risk of significant sequelae including ileus, megacolon and toxic megacolon. Soluzem 2 mg </w:t>
      </w:r>
      <w:r>
        <w:rPr>
          <w:sz w:val="24"/>
          <w:szCs w:val="24"/>
          <w:lang w:val="en-GB"/>
        </w:rPr>
        <w:t>capsules</w:t>
      </w:r>
      <w:r w:rsidRPr="00E00E7E">
        <w:rPr>
          <w:sz w:val="24"/>
          <w:szCs w:val="24"/>
          <w:lang w:val="en-GB"/>
        </w:rPr>
        <w:t xml:space="preserve"> must be discontinued promptly when ileus, constipation or abdominal distension develop.</w:t>
      </w:r>
    </w:p>
    <w:p w14:paraId="31265EEC" w14:textId="77777777" w:rsidR="007C5D2A" w:rsidRPr="00303008" w:rsidRDefault="007C5D2A" w:rsidP="003E0341">
      <w:pPr>
        <w:tabs>
          <w:tab w:val="left" w:pos="851"/>
        </w:tabs>
        <w:ind w:left="851"/>
        <w:rPr>
          <w:sz w:val="24"/>
          <w:szCs w:val="24"/>
          <w:lang w:val="en-GB"/>
        </w:rPr>
      </w:pPr>
    </w:p>
    <w:p w14:paraId="281441B4"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7D3887B0" w14:textId="77777777" w:rsidR="00E00E7E" w:rsidRPr="00E00E7E" w:rsidRDefault="00E00E7E" w:rsidP="00E00E7E">
      <w:pPr>
        <w:tabs>
          <w:tab w:val="left" w:pos="851"/>
        </w:tabs>
        <w:ind w:left="851"/>
        <w:rPr>
          <w:sz w:val="24"/>
          <w:szCs w:val="24"/>
          <w:lang w:val="en-GB"/>
        </w:rPr>
      </w:pPr>
      <w:r w:rsidRPr="00E00E7E">
        <w:rPr>
          <w:sz w:val="24"/>
          <w:szCs w:val="24"/>
          <w:lang w:val="en-GB"/>
        </w:rPr>
        <w:t xml:space="preserve">Treatment of diarrhoea with loperamide HCl 2 mg capsules is only symptomatic. Whenever an underlying etiology can be determined, specific treatment should be given when appropriate. </w:t>
      </w:r>
    </w:p>
    <w:p w14:paraId="7CBA76FA" w14:textId="77777777" w:rsidR="00E00E7E" w:rsidRPr="00E00E7E" w:rsidRDefault="00E00E7E" w:rsidP="00E00E7E">
      <w:pPr>
        <w:tabs>
          <w:tab w:val="left" w:pos="851"/>
        </w:tabs>
        <w:ind w:left="851"/>
        <w:rPr>
          <w:sz w:val="24"/>
          <w:szCs w:val="24"/>
          <w:lang w:val="en-GB"/>
        </w:rPr>
      </w:pPr>
      <w:r w:rsidRPr="00E00E7E">
        <w:rPr>
          <w:sz w:val="24"/>
          <w:szCs w:val="24"/>
          <w:lang w:val="en-GB"/>
        </w:rPr>
        <w:lastRenderedPageBreak/>
        <w:t>In acute diarrhoea, if no clinical improvement is observed within 48 hours, loperamide HCl should be discontinued and patients should be instructed to consult their doctor.</w:t>
      </w:r>
    </w:p>
    <w:p w14:paraId="18734165" w14:textId="77777777" w:rsidR="00E00E7E" w:rsidRPr="00E00E7E" w:rsidRDefault="00E00E7E" w:rsidP="00E00E7E">
      <w:pPr>
        <w:tabs>
          <w:tab w:val="left" w:pos="851"/>
        </w:tabs>
        <w:ind w:left="851"/>
        <w:rPr>
          <w:sz w:val="24"/>
          <w:szCs w:val="24"/>
          <w:lang w:val="en-GB"/>
        </w:rPr>
      </w:pPr>
    </w:p>
    <w:p w14:paraId="18A07AD0" w14:textId="77777777" w:rsidR="00E00E7E" w:rsidRPr="00E00E7E" w:rsidRDefault="00E00E7E" w:rsidP="00E00E7E">
      <w:pPr>
        <w:tabs>
          <w:tab w:val="left" w:pos="851"/>
        </w:tabs>
        <w:ind w:left="851"/>
        <w:rPr>
          <w:sz w:val="24"/>
          <w:szCs w:val="24"/>
          <w:lang w:val="en-GB"/>
        </w:rPr>
      </w:pPr>
      <w:r w:rsidRPr="00E00E7E">
        <w:rPr>
          <w:sz w:val="24"/>
          <w:szCs w:val="24"/>
          <w:lang w:val="en-GB"/>
        </w:rPr>
        <w:t>In patients with diarrhea, especially in the elderly, fluid and electrolyte depletion may occur. In such cases, the most important therapeutic measure is the administration of appropriate fluids and the replacement of electrolytes.</w:t>
      </w:r>
    </w:p>
    <w:p w14:paraId="5F943D1A" w14:textId="77777777" w:rsidR="00E00E7E" w:rsidRPr="00E00E7E" w:rsidRDefault="00E00E7E" w:rsidP="00E00E7E">
      <w:pPr>
        <w:tabs>
          <w:tab w:val="left" w:pos="851"/>
        </w:tabs>
        <w:ind w:left="851"/>
        <w:rPr>
          <w:sz w:val="24"/>
          <w:szCs w:val="24"/>
          <w:lang w:val="en-GB"/>
        </w:rPr>
      </w:pPr>
    </w:p>
    <w:p w14:paraId="54F8E97B" w14:textId="77777777" w:rsidR="00E00E7E" w:rsidRPr="00E00E7E" w:rsidRDefault="00E00E7E" w:rsidP="00E00E7E">
      <w:pPr>
        <w:tabs>
          <w:tab w:val="left" w:pos="851"/>
        </w:tabs>
        <w:ind w:left="851"/>
        <w:rPr>
          <w:sz w:val="24"/>
          <w:szCs w:val="24"/>
          <w:lang w:val="en-GB"/>
        </w:rPr>
      </w:pPr>
      <w:r w:rsidRPr="00E00E7E">
        <w:rPr>
          <w:sz w:val="24"/>
          <w:szCs w:val="24"/>
          <w:lang w:val="en-GB"/>
        </w:rPr>
        <w:t>Cardiac events, such as QT prolongation, QRS complex and torsades de pointes, associated with overdose have been reported. Some cases had a fatal outcome (see section 4.9). Patients should not exceed the recommended dose or recommended duration of treatment.</w:t>
      </w:r>
    </w:p>
    <w:p w14:paraId="6C22081F" w14:textId="77777777" w:rsidR="00E00E7E" w:rsidRPr="00E00E7E" w:rsidRDefault="00E00E7E" w:rsidP="00E00E7E">
      <w:pPr>
        <w:tabs>
          <w:tab w:val="left" w:pos="851"/>
        </w:tabs>
        <w:ind w:left="851"/>
        <w:rPr>
          <w:sz w:val="24"/>
          <w:szCs w:val="24"/>
          <w:lang w:val="en-GB"/>
        </w:rPr>
      </w:pPr>
      <w:r w:rsidRPr="00E00E7E">
        <w:rPr>
          <w:sz w:val="24"/>
          <w:szCs w:val="24"/>
          <w:lang w:val="en-GB"/>
        </w:rPr>
        <w:t>Overdose can untangle an existing Brugada syndrome.</w:t>
      </w:r>
    </w:p>
    <w:p w14:paraId="709E7170" w14:textId="77777777" w:rsidR="00E00E7E" w:rsidRPr="00E00E7E" w:rsidRDefault="00E00E7E" w:rsidP="00E00E7E">
      <w:pPr>
        <w:tabs>
          <w:tab w:val="left" w:pos="851"/>
        </w:tabs>
        <w:ind w:left="851"/>
        <w:rPr>
          <w:sz w:val="24"/>
          <w:szCs w:val="24"/>
          <w:lang w:val="en-GB"/>
        </w:rPr>
      </w:pPr>
    </w:p>
    <w:p w14:paraId="0972D059" w14:textId="77777777" w:rsidR="00E00E7E" w:rsidRPr="00E00E7E" w:rsidRDefault="00E00E7E" w:rsidP="00E00E7E">
      <w:pPr>
        <w:tabs>
          <w:tab w:val="left" w:pos="851"/>
        </w:tabs>
        <w:ind w:left="851"/>
        <w:rPr>
          <w:sz w:val="24"/>
          <w:szCs w:val="24"/>
          <w:lang w:val="en-GB"/>
        </w:rPr>
      </w:pPr>
      <w:r w:rsidRPr="00E00E7E">
        <w:rPr>
          <w:sz w:val="24"/>
          <w:szCs w:val="24"/>
          <w:lang w:val="en-GB"/>
        </w:rPr>
        <w:t xml:space="preserve">AIDS patients treated with loperamide HCl for diarrhoea should discontinue treatment at the first signs of abdominal distention. Very rare cases of constipation with increased risk of toxic megacolon have been reported in AIDS patients treated with Loperamide for infectious colitis due to viral or bacterial pathogens. </w:t>
      </w:r>
    </w:p>
    <w:p w14:paraId="31AC14DA" w14:textId="77777777" w:rsidR="00E00E7E" w:rsidRPr="00E00E7E" w:rsidRDefault="00E00E7E" w:rsidP="00E00E7E">
      <w:pPr>
        <w:tabs>
          <w:tab w:val="left" w:pos="851"/>
        </w:tabs>
        <w:ind w:left="851"/>
        <w:rPr>
          <w:sz w:val="24"/>
          <w:szCs w:val="24"/>
          <w:lang w:val="en-GB"/>
        </w:rPr>
      </w:pPr>
    </w:p>
    <w:p w14:paraId="31A8C3F1" w14:textId="77777777" w:rsidR="00E00E7E" w:rsidRPr="00E00E7E" w:rsidRDefault="00E00E7E" w:rsidP="00E00E7E">
      <w:pPr>
        <w:tabs>
          <w:tab w:val="left" w:pos="851"/>
        </w:tabs>
        <w:ind w:left="851"/>
        <w:rPr>
          <w:sz w:val="24"/>
          <w:szCs w:val="24"/>
          <w:lang w:val="en-GB"/>
        </w:rPr>
      </w:pPr>
      <w:r w:rsidRPr="00E00E7E">
        <w:rPr>
          <w:sz w:val="24"/>
          <w:szCs w:val="24"/>
          <w:lang w:val="en-GB"/>
        </w:rPr>
        <w:t xml:space="preserve">Although no pharmacokinetic data are available in patients with hepatic impairment, loperamide HCl should be used with caution in these patients given the reduction in first-pass metabolism. This medicinal product should be used with caution in patients with hepatic dysfunction as it may result in an overdose leading to CNS toxicity. </w:t>
      </w:r>
    </w:p>
    <w:p w14:paraId="3271B8BD" w14:textId="77777777" w:rsidR="00E00E7E" w:rsidRPr="00E00E7E" w:rsidRDefault="00E00E7E" w:rsidP="00E00E7E">
      <w:pPr>
        <w:tabs>
          <w:tab w:val="left" w:pos="851"/>
        </w:tabs>
        <w:ind w:left="851"/>
        <w:rPr>
          <w:sz w:val="24"/>
          <w:szCs w:val="24"/>
          <w:lang w:val="en-GB"/>
        </w:rPr>
      </w:pPr>
    </w:p>
    <w:p w14:paraId="4FC8E960" w14:textId="77777777" w:rsidR="00E00E7E" w:rsidRPr="00E00E7E" w:rsidRDefault="00E00E7E" w:rsidP="00E00E7E">
      <w:pPr>
        <w:tabs>
          <w:tab w:val="left" w:pos="851"/>
        </w:tabs>
        <w:ind w:left="851"/>
        <w:rPr>
          <w:sz w:val="24"/>
          <w:szCs w:val="24"/>
          <w:lang w:val="en-GB"/>
        </w:rPr>
      </w:pPr>
      <w:r w:rsidRPr="00E00E7E">
        <w:rPr>
          <w:sz w:val="24"/>
          <w:szCs w:val="24"/>
          <w:lang w:val="en-GB"/>
        </w:rPr>
        <w:t>Abuse and misuse of loperamide, as an opioid substitute, have been described in subjects with opioid addiction (see section 4.9).</w:t>
      </w:r>
    </w:p>
    <w:p w14:paraId="72978BF3" w14:textId="77777777" w:rsidR="00E00E7E" w:rsidRDefault="00E00E7E" w:rsidP="00E00E7E">
      <w:pPr>
        <w:tabs>
          <w:tab w:val="left" w:pos="851"/>
        </w:tabs>
        <w:ind w:left="851"/>
        <w:rPr>
          <w:sz w:val="24"/>
          <w:szCs w:val="24"/>
          <w:u w:val="single"/>
          <w:lang w:val="en-GB"/>
        </w:rPr>
      </w:pPr>
    </w:p>
    <w:p w14:paraId="69ADE2FC" w14:textId="086DAD21" w:rsidR="00E00E7E" w:rsidRPr="00E00E7E" w:rsidRDefault="00E00E7E" w:rsidP="00E00E7E">
      <w:pPr>
        <w:tabs>
          <w:tab w:val="left" w:pos="851"/>
        </w:tabs>
        <w:ind w:left="851"/>
        <w:rPr>
          <w:sz w:val="24"/>
          <w:szCs w:val="24"/>
          <w:u w:val="single"/>
          <w:lang w:val="en-GB"/>
        </w:rPr>
      </w:pPr>
      <w:r w:rsidRPr="00E00E7E">
        <w:rPr>
          <w:sz w:val="24"/>
          <w:szCs w:val="24"/>
          <w:u w:val="single"/>
          <w:lang w:val="en-GB"/>
        </w:rPr>
        <w:t>Excipients Warning</w:t>
      </w:r>
    </w:p>
    <w:p w14:paraId="4EE9D8F4" w14:textId="3AE0D5A0" w:rsidR="00E00E7E" w:rsidRPr="00E00E7E" w:rsidRDefault="00E00E7E" w:rsidP="00E00E7E">
      <w:pPr>
        <w:tabs>
          <w:tab w:val="left" w:pos="851"/>
        </w:tabs>
        <w:ind w:left="851"/>
        <w:rPr>
          <w:sz w:val="24"/>
          <w:szCs w:val="24"/>
          <w:lang w:val="en-GB"/>
        </w:rPr>
      </w:pPr>
      <w:r w:rsidRPr="00E00E7E">
        <w:rPr>
          <w:sz w:val="24"/>
          <w:szCs w:val="24"/>
          <w:lang w:val="en-GB"/>
        </w:rPr>
        <w:t>Patients with hederitarian intolerance to galactose, total lactase deficiency, or problems with glucose or galactose absorption should not take this medicine</w:t>
      </w:r>
      <w:r>
        <w:rPr>
          <w:sz w:val="24"/>
          <w:szCs w:val="24"/>
          <w:lang w:val="en-GB"/>
        </w:rPr>
        <w:t>.</w:t>
      </w:r>
    </w:p>
    <w:p w14:paraId="4842ACF7" w14:textId="77777777" w:rsidR="007C5D2A" w:rsidRPr="00303008" w:rsidRDefault="007C5D2A" w:rsidP="003E0341">
      <w:pPr>
        <w:tabs>
          <w:tab w:val="left" w:pos="851"/>
        </w:tabs>
        <w:ind w:left="851"/>
        <w:rPr>
          <w:sz w:val="24"/>
          <w:szCs w:val="24"/>
          <w:lang w:val="en-GB"/>
        </w:rPr>
      </w:pPr>
    </w:p>
    <w:p w14:paraId="40F25C0B"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30CFDDA" w14:textId="77777777" w:rsidR="00E74EDC" w:rsidRPr="00E74EDC" w:rsidRDefault="00E74EDC" w:rsidP="00E74EDC">
      <w:pPr>
        <w:tabs>
          <w:tab w:val="left" w:pos="851"/>
        </w:tabs>
        <w:ind w:left="851"/>
        <w:rPr>
          <w:sz w:val="24"/>
          <w:szCs w:val="24"/>
          <w:lang w:val="en-GB"/>
        </w:rPr>
      </w:pPr>
      <w:r w:rsidRPr="00E74EDC">
        <w:rPr>
          <w:sz w:val="24"/>
          <w:szCs w:val="24"/>
          <w:lang w:val="en-GB"/>
        </w:rPr>
        <w:t>Loperamide may interact with quinidine, ritonavir, gemfibrozil, itraconazole, ketoconazole, desmopressin, saquinavir</w:t>
      </w:r>
      <w:bookmarkStart w:id="2" w:name="_Hlk123038968"/>
      <w:r w:rsidRPr="00E74EDC">
        <w:rPr>
          <w:sz w:val="24"/>
          <w:szCs w:val="24"/>
          <w:lang w:val="en-GB"/>
        </w:rPr>
        <w:t>.</w:t>
      </w:r>
      <w:bookmarkEnd w:id="2"/>
    </w:p>
    <w:p w14:paraId="44735037" w14:textId="77777777" w:rsidR="00E74EDC" w:rsidRPr="00E74EDC" w:rsidRDefault="00E74EDC" w:rsidP="00E74EDC">
      <w:pPr>
        <w:tabs>
          <w:tab w:val="left" w:pos="851"/>
        </w:tabs>
        <w:ind w:left="851"/>
        <w:rPr>
          <w:sz w:val="24"/>
          <w:szCs w:val="24"/>
          <w:lang w:val="en-GB"/>
        </w:rPr>
      </w:pPr>
    </w:p>
    <w:p w14:paraId="16D9146A" w14:textId="77777777" w:rsidR="00E74EDC" w:rsidRPr="00E74EDC" w:rsidRDefault="00E74EDC" w:rsidP="00E74EDC">
      <w:pPr>
        <w:tabs>
          <w:tab w:val="left" w:pos="851"/>
        </w:tabs>
        <w:ind w:left="851"/>
        <w:rPr>
          <w:sz w:val="24"/>
          <w:szCs w:val="24"/>
          <w:lang w:val="en-GB"/>
        </w:rPr>
      </w:pPr>
      <w:r w:rsidRPr="00E74EDC">
        <w:rPr>
          <w:sz w:val="24"/>
          <w:szCs w:val="24"/>
          <w:lang w:val="en-GB"/>
        </w:rPr>
        <w:t xml:space="preserve">Non-clinical data have shown that loperamide is a substrate of glycoprotein P. </w:t>
      </w:r>
    </w:p>
    <w:p w14:paraId="20F0F675" w14:textId="77777777" w:rsidR="00E74EDC" w:rsidRPr="00E74EDC" w:rsidRDefault="00E74EDC" w:rsidP="00E74EDC">
      <w:pPr>
        <w:tabs>
          <w:tab w:val="left" w:pos="851"/>
        </w:tabs>
        <w:ind w:left="851"/>
        <w:rPr>
          <w:sz w:val="24"/>
          <w:szCs w:val="24"/>
          <w:lang w:val="en-GB"/>
        </w:rPr>
      </w:pPr>
      <w:r w:rsidRPr="00E74EDC">
        <w:rPr>
          <w:sz w:val="24"/>
          <w:szCs w:val="24"/>
          <w:lang w:val="en-GB"/>
        </w:rPr>
        <w:t xml:space="preserve">Concomitant administration of loperamide (single dose of 16 mg) with quinidine or ritonavir, both P-glycoprotein inhibitors, increased plasma levels of loperamide by 2 or 3 times. The clinical significance of this pharmacokinetic interaction with P-glycoprotein inhibitors is unknown when recommended doses of loperamide are administered. </w:t>
      </w:r>
    </w:p>
    <w:p w14:paraId="572BB913" w14:textId="77777777" w:rsidR="00E74EDC" w:rsidRPr="00E74EDC" w:rsidRDefault="00E74EDC" w:rsidP="00E74EDC">
      <w:pPr>
        <w:tabs>
          <w:tab w:val="left" w:pos="851"/>
        </w:tabs>
        <w:ind w:left="851"/>
        <w:rPr>
          <w:sz w:val="24"/>
          <w:szCs w:val="24"/>
          <w:lang w:val="en-GB"/>
        </w:rPr>
      </w:pPr>
    </w:p>
    <w:p w14:paraId="4367EE2F" w14:textId="77777777" w:rsidR="00E74EDC" w:rsidRPr="00E74EDC" w:rsidRDefault="00E74EDC" w:rsidP="00E74EDC">
      <w:pPr>
        <w:tabs>
          <w:tab w:val="left" w:pos="851"/>
        </w:tabs>
        <w:ind w:left="851"/>
        <w:rPr>
          <w:sz w:val="24"/>
          <w:szCs w:val="24"/>
          <w:lang w:val="en-GB"/>
        </w:rPr>
      </w:pPr>
      <w:r w:rsidRPr="00E74EDC">
        <w:rPr>
          <w:sz w:val="24"/>
          <w:szCs w:val="24"/>
          <w:lang w:val="en-GB"/>
        </w:rPr>
        <w:t>Concomitant administration of loperamide (single dose of 4 mg) and itraconazole, an inhibitor of CYP3A4 and P glycoprotein, leads to a 3- to 4-fold increase in plasma concentrations of loperamide. In the same study, it was found that gemfibrozil, an inhibitor of CYP2C8, produced an increase of approximately twice the plasma levels of loperamide. The combination of itraconazole and gemfibrozil increased the peak plasma level of loperamide by 4 times and the total plasma exposure by 13 times. These increases in concentration were not associated with effects on the CNS, as could be seen with the performance of psychomotor tests (xej. Subjective drowsiness and DSST (Digital Symbol Substitution Test))</w:t>
      </w:r>
    </w:p>
    <w:p w14:paraId="05296A94" w14:textId="77777777" w:rsidR="00E74EDC" w:rsidRPr="00E74EDC" w:rsidRDefault="00E74EDC" w:rsidP="00E74EDC">
      <w:pPr>
        <w:tabs>
          <w:tab w:val="left" w:pos="851"/>
        </w:tabs>
        <w:ind w:left="851"/>
        <w:rPr>
          <w:sz w:val="24"/>
          <w:szCs w:val="24"/>
          <w:lang w:val="en-GB"/>
        </w:rPr>
      </w:pPr>
    </w:p>
    <w:p w14:paraId="20EA59A7" w14:textId="77777777" w:rsidR="00E74EDC" w:rsidRPr="00E74EDC" w:rsidRDefault="00E74EDC" w:rsidP="00E74EDC">
      <w:pPr>
        <w:tabs>
          <w:tab w:val="left" w:pos="851"/>
        </w:tabs>
        <w:ind w:left="851"/>
        <w:rPr>
          <w:sz w:val="24"/>
          <w:szCs w:val="24"/>
          <w:lang w:val="en-GB"/>
        </w:rPr>
      </w:pPr>
      <w:r w:rsidRPr="00E74EDC">
        <w:rPr>
          <w:sz w:val="24"/>
          <w:szCs w:val="24"/>
          <w:lang w:val="en-GB"/>
        </w:rPr>
        <w:t xml:space="preserve">Concomitant administration of loperamide (single dose of 16 mg) and ketoconazole, inhibitor of CYP3A4 and glycoprotein P, causes a 5-fold increase in plasma concentrations </w:t>
      </w:r>
      <w:r w:rsidRPr="00E74EDC">
        <w:rPr>
          <w:sz w:val="24"/>
          <w:szCs w:val="24"/>
          <w:lang w:val="en-GB"/>
        </w:rPr>
        <w:lastRenderedPageBreak/>
        <w:t>of loperamide. The increase is not associated with increased pharmacodynamic effects, as could be verified by pupillometry.</w:t>
      </w:r>
    </w:p>
    <w:p w14:paraId="597E23BF" w14:textId="77777777" w:rsidR="00E74EDC" w:rsidRPr="00E74EDC" w:rsidRDefault="00E74EDC" w:rsidP="00E74EDC">
      <w:pPr>
        <w:tabs>
          <w:tab w:val="left" w:pos="851"/>
        </w:tabs>
        <w:ind w:left="851"/>
        <w:rPr>
          <w:sz w:val="24"/>
          <w:szCs w:val="24"/>
          <w:lang w:val="en-GB"/>
        </w:rPr>
      </w:pPr>
    </w:p>
    <w:p w14:paraId="572E4C8C" w14:textId="77777777" w:rsidR="00E74EDC" w:rsidRPr="00E74EDC" w:rsidRDefault="00E74EDC" w:rsidP="00E74EDC">
      <w:pPr>
        <w:tabs>
          <w:tab w:val="left" w:pos="851"/>
        </w:tabs>
        <w:ind w:left="851"/>
        <w:rPr>
          <w:sz w:val="24"/>
          <w:szCs w:val="24"/>
          <w:lang w:val="en-GB"/>
        </w:rPr>
      </w:pPr>
      <w:r w:rsidRPr="00E74EDC">
        <w:rPr>
          <w:sz w:val="24"/>
          <w:szCs w:val="24"/>
          <w:lang w:val="en-GB"/>
        </w:rPr>
        <w:t>Concomitant treatment with oral desmopressin increased plasma concentrations of desmopressin by 3, presumably due to a reduction in gastrointestinal motility.</w:t>
      </w:r>
    </w:p>
    <w:p w14:paraId="263B81DC" w14:textId="77777777" w:rsidR="00E74EDC" w:rsidRPr="00E74EDC" w:rsidRDefault="00E74EDC" w:rsidP="00E74EDC">
      <w:pPr>
        <w:tabs>
          <w:tab w:val="left" w:pos="851"/>
        </w:tabs>
        <w:ind w:left="851"/>
        <w:rPr>
          <w:sz w:val="24"/>
          <w:szCs w:val="24"/>
          <w:lang w:val="en-GB"/>
        </w:rPr>
      </w:pPr>
    </w:p>
    <w:p w14:paraId="53F19715" w14:textId="77777777" w:rsidR="00E74EDC" w:rsidRPr="00E74EDC" w:rsidRDefault="00E74EDC" w:rsidP="00E74EDC">
      <w:pPr>
        <w:tabs>
          <w:tab w:val="left" w:pos="851"/>
        </w:tabs>
        <w:ind w:left="851"/>
        <w:rPr>
          <w:sz w:val="24"/>
          <w:szCs w:val="24"/>
          <w:lang w:val="en-GB"/>
        </w:rPr>
      </w:pPr>
      <w:r w:rsidRPr="00E74EDC">
        <w:rPr>
          <w:sz w:val="24"/>
          <w:szCs w:val="24"/>
          <w:lang w:val="en-GB"/>
        </w:rPr>
        <w:t>Concomitant administration of loperamide and saquinavir may significantly reduce the Cmax and AUC of saquinavir, possibly by reducing the absorption of saquinavir by the effect of loperamide in the gastrointestinal tract, and their joint use should therefore be avoided, especially for prolonged periods.</w:t>
      </w:r>
    </w:p>
    <w:p w14:paraId="763DE960" w14:textId="77777777" w:rsidR="00E74EDC" w:rsidRPr="00E74EDC" w:rsidRDefault="00E74EDC" w:rsidP="00E74EDC">
      <w:pPr>
        <w:tabs>
          <w:tab w:val="left" w:pos="851"/>
        </w:tabs>
        <w:ind w:left="851"/>
        <w:rPr>
          <w:sz w:val="24"/>
          <w:szCs w:val="24"/>
          <w:lang w:val="en-GB"/>
        </w:rPr>
      </w:pPr>
    </w:p>
    <w:p w14:paraId="402F0588" w14:textId="77777777" w:rsidR="00E74EDC" w:rsidRPr="00E74EDC" w:rsidRDefault="00E74EDC" w:rsidP="00E74EDC">
      <w:pPr>
        <w:tabs>
          <w:tab w:val="left" w:pos="851"/>
        </w:tabs>
        <w:ind w:left="851"/>
        <w:rPr>
          <w:sz w:val="24"/>
          <w:szCs w:val="24"/>
          <w:lang w:val="en-GB"/>
        </w:rPr>
      </w:pPr>
      <w:r w:rsidRPr="00E74EDC">
        <w:rPr>
          <w:sz w:val="24"/>
          <w:szCs w:val="24"/>
          <w:lang w:val="en-GB"/>
        </w:rPr>
        <w:t>Concurrent use with opioid analgesics may increase the risk of severe constipation and CNS depression.</w:t>
      </w:r>
      <w:bookmarkStart w:id="3" w:name="_Hlk123038991"/>
    </w:p>
    <w:bookmarkEnd w:id="3"/>
    <w:p w14:paraId="66F3FD68" w14:textId="77777777" w:rsidR="00E74EDC" w:rsidRPr="00E74EDC" w:rsidRDefault="00E74EDC" w:rsidP="00E74EDC">
      <w:pPr>
        <w:tabs>
          <w:tab w:val="left" w:pos="851"/>
        </w:tabs>
        <w:ind w:left="851"/>
        <w:rPr>
          <w:sz w:val="24"/>
          <w:szCs w:val="24"/>
          <w:lang w:val="en-GB"/>
        </w:rPr>
      </w:pPr>
    </w:p>
    <w:p w14:paraId="394D782A" w14:textId="77777777" w:rsidR="00E74EDC" w:rsidRPr="00E74EDC" w:rsidRDefault="00E74EDC" w:rsidP="00E74EDC">
      <w:pPr>
        <w:tabs>
          <w:tab w:val="left" w:pos="851"/>
        </w:tabs>
        <w:ind w:left="851"/>
        <w:rPr>
          <w:sz w:val="24"/>
          <w:szCs w:val="24"/>
          <w:lang w:val="en-GB"/>
        </w:rPr>
      </w:pPr>
      <w:r w:rsidRPr="00E74EDC">
        <w:rPr>
          <w:sz w:val="24"/>
          <w:szCs w:val="24"/>
          <w:lang w:val="en-GB"/>
        </w:rPr>
        <w:t>It is expected that the use of other drugs with pharmacological properties similar to loperamide, may enhance its effect, while those drugs that accelerate intestinal transit may decrease its effect. (For example, it can potentiate the action of anticholinergics and inhibitors of intestinal peristalsis)</w:t>
      </w:r>
    </w:p>
    <w:p w14:paraId="6C07C6FC" w14:textId="77777777" w:rsidR="00E74EDC" w:rsidRPr="00E74EDC" w:rsidRDefault="00E74EDC" w:rsidP="00E74EDC">
      <w:pPr>
        <w:tabs>
          <w:tab w:val="left" w:pos="851"/>
        </w:tabs>
        <w:ind w:left="851"/>
        <w:rPr>
          <w:b/>
          <w:bCs/>
          <w:sz w:val="24"/>
          <w:szCs w:val="24"/>
          <w:lang w:val="en-US"/>
        </w:rPr>
      </w:pPr>
    </w:p>
    <w:p w14:paraId="090F622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05A79C04" w14:textId="77777777" w:rsidR="00B66A76" w:rsidRPr="00B66A76" w:rsidRDefault="00B66A76" w:rsidP="00B66A76">
      <w:pPr>
        <w:tabs>
          <w:tab w:val="left" w:pos="851"/>
        </w:tabs>
        <w:ind w:left="851"/>
        <w:rPr>
          <w:sz w:val="24"/>
          <w:szCs w:val="24"/>
          <w:u w:val="single"/>
          <w:lang w:val="en-GB"/>
        </w:rPr>
      </w:pPr>
    </w:p>
    <w:p w14:paraId="0A18F1E4" w14:textId="77777777" w:rsidR="00B66A76" w:rsidRPr="00B66A76" w:rsidRDefault="00B66A76" w:rsidP="00B66A76">
      <w:pPr>
        <w:tabs>
          <w:tab w:val="left" w:pos="851"/>
        </w:tabs>
        <w:ind w:left="851"/>
        <w:rPr>
          <w:sz w:val="24"/>
          <w:szCs w:val="24"/>
          <w:u w:val="single"/>
          <w:lang w:val="en-GB"/>
        </w:rPr>
      </w:pPr>
      <w:r w:rsidRPr="00B66A76">
        <w:rPr>
          <w:sz w:val="24"/>
          <w:szCs w:val="24"/>
          <w:u w:val="single"/>
          <w:lang w:val="en-GB"/>
        </w:rPr>
        <w:t>Pregnancy</w:t>
      </w:r>
    </w:p>
    <w:p w14:paraId="7A046049" w14:textId="77777777" w:rsidR="00B66A76" w:rsidRPr="00B66A76" w:rsidRDefault="00B66A76" w:rsidP="00B66A76">
      <w:pPr>
        <w:tabs>
          <w:tab w:val="left" w:pos="851"/>
        </w:tabs>
        <w:ind w:left="851"/>
        <w:rPr>
          <w:sz w:val="24"/>
          <w:szCs w:val="24"/>
          <w:lang w:val="en-GB"/>
        </w:rPr>
      </w:pPr>
      <w:r w:rsidRPr="00B66A76">
        <w:rPr>
          <w:sz w:val="24"/>
          <w:szCs w:val="24"/>
          <w:lang w:val="en-GB"/>
        </w:rPr>
        <w:t>Although there is no evidence that loperamide has teratogenic or embryotoxic properties at clinically relevant doses, the potential therapeutic benefits should be weighed against the possible risks before Soluzem is used during pregnancy, particularly in the first trimester.</w:t>
      </w:r>
    </w:p>
    <w:p w14:paraId="14EED406" w14:textId="77777777" w:rsidR="00B66A76" w:rsidRPr="00B66A76" w:rsidRDefault="00B66A76" w:rsidP="00B66A76">
      <w:pPr>
        <w:tabs>
          <w:tab w:val="left" w:pos="851"/>
        </w:tabs>
        <w:ind w:left="851"/>
        <w:rPr>
          <w:sz w:val="24"/>
          <w:szCs w:val="24"/>
          <w:lang w:val="en-GB"/>
        </w:rPr>
      </w:pPr>
    </w:p>
    <w:p w14:paraId="29489544" w14:textId="77777777" w:rsidR="00B66A76" w:rsidRPr="00B66A76" w:rsidRDefault="00B66A76" w:rsidP="00B66A76">
      <w:pPr>
        <w:tabs>
          <w:tab w:val="left" w:pos="851"/>
        </w:tabs>
        <w:ind w:left="851"/>
        <w:rPr>
          <w:sz w:val="24"/>
          <w:szCs w:val="24"/>
          <w:lang w:val="en-GB"/>
        </w:rPr>
      </w:pPr>
      <w:r w:rsidRPr="00B66A76">
        <w:rPr>
          <w:sz w:val="24"/>
          <w:szCs w:val="24"/>
          <w:u w:val="single"/>
          <w:lang w:val="en-GB"/>
        </w:rPr>
        <w:t>Breast-feeding</w:t>
      </w:r>
    </w:p>
    <w:p w14:paraId="60931630" w14:textId="77777777" w:rsidR="00B66A76" w:rsidRPr="00B66A76" w:rsidRDefault="00B66A76" w:rsidP="00B66A76">
      <w:pPr>
        <w:tabs>
          <w:tab w:val="left" w:pos="851"/>
        </w:tabs>
        <w:ind w:left="851"/>
        <w:rPr>
          <w:sz w:val="24"/>
          <w:szCs w:val="24"/>
          <w:lang w:val="en-GB"/>
        </w:rPr>
      </w:pPr>
      <w:r w:rsidRPr="00B66A76">
        <w:rPr>
          <w:sz w:val="24"/>
          <w:szCs w:val="24"/>
          <w:lang w:val="en-GB"/>
        </w:rPr>
        <w:t>Small amounts of loperamide may be excreted in human milk. Therefore, the use of Soluzem is not recommended during lactation.</w:t>
      </w:r>
    </w:p>
    <w:p w14:paraId="05C70A08" w14:textId="77777777" w:rsidR="00B66A76" w:rsidRPr="00B66A76" w:rsidRDefault="00B66A76" w:rsidP="00B66A76">
      <w:pPr>
        <w:tabs>
          <w:tab w:val="left" w:pos="851"/>
        </w:tabs>
        <w:ind w:left="851"/>
        <w:rPr>
          <w:sz w:val="24"/>
          <w:szCs w:val="24"/>
          <w:lang w:val="en-GB"/>
        </w:rPr>
      </w:pPr>
    </w:p>
    <w:p w14:paraId="3FD8792C" w14:textId="77777777" w:rsidR="00B66A76" w:rsidRPr="00B66A76" w:rsidRDefault="00B66A76" w:rsidP="00B66A76">
      <w:pPr>
        <w:tabs>
          <w:tab w:val="left" w:pos="851"/>
        </w:tabs>
        <w:ind w:left="851"/>
        <w:rPr>
          <w:sz w:val="24"/>
          <w:szCs w:val="24"/>
          <w:lang w:val="en-GB"/>
        </w:rPr>
      </w:pPr>
      <w:r w:rsidRPr="00B66A76">
        <w:rPr>
          <w:sz w:val="24"/>
          <w:szCs w:val="24"/>
          <w:u w:val="single"/>
          <w:lang w:val="en-GB"/>
        </w:rPr>
        <w:t>Fertility</w:t>
      </w:r>
    </w:p>
    <w:p w14:paraId="6EAD6386" w14:textId="77777777" w:rsidR="00B66A76" w:rsidRPr="00B66A76" w:rsidRDefault="00B66A76" w:rsidP="00B66A76">
      <w:pPr>
        <w:tabs>
          <w:tab w:val="left" w:pos="851"/>
        </w:tabs>
        <w:ind w:left="851"/>
        <w:rPr>
          <w:sz w:val="24"/>
          <w:szCs w:val="24"/>
          <w:lang w:val="en-GB"/>
        </w:rPr>
      </w:pPr>
      <w:r w:rsidRPr="00B66A76">
        <w:rPr>
          <w:sz w:val="24"/>
          <w:szCs w:val="24"/>
          <w:lang w:val="en-GB"/>
        </w:rPr>
        <w:t>No data are available on the possible effects of Soluzem 2 mg hard capsules on human fertility.</w:t>
      </w:r>
    </w:p>
    <w:p w14:paraId="0CD00405" w14:textId="77777777" w:rsidR="00B66A76" w:rsidRPr="00B66A76" w:rsidRDefault="00B66A76" w:rsidP="00B66A76">
      <w:pPr>
        <w:tabs>
          <w:tab w:val="left" w:pos="851"/>
        </w:tabs>
        <w:ind w:left="851"/>
        <w:rPr>
          <w:sz w:val="24"/>
          <w:szCs w:val="24"/>
          <w:lang w:val="en-GB"/>
        </w:rPr>
      </w:pPr>
      <w:r w:rsidRPr="00B66A76">
        <w:rPr>
          <w:sz w:val="24"/>
          <w:szCs w:val="24"/>
          <w:lang w:val="en-GB"/>
        </w:rPr>
        <w:t>Very high doses of loperamide (20 times the maximum level for use in humans) caused impaired fertility in rats (see section 5.3).</w:t>
      </w:r>
    </w:p>
    <w:p w14:paraId="3FEAB915" w14:textId="77777777" w:rsidR="007C5D2A" w:rsidRPr="00303008" w:rsidRDefault="007C5D2A" w:rsidP="00B66A76">
      <w:pPr>
        <w:tabs>
          <w:tab w:val="left" w:pos="851"/>
        </w:tabs>
        <w:rPr>
          <w:sz w:val="24"/>
          <w:szCs w:val="24"/>
          <w:lang w:val="en-GB"/>
        </w:rPr>
      </w:pPr>
    </w:p>
    <w:p w14:paraId="2ACB2C9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6EB41BC1" w14:textId="3C81EFA7" w:rsidR="00B66A76" w:rsidRPr="00B66A76" w:rsidRDefault="00B66A76" w:rsidP="00B66A76">
      <w:pPr>
        <w:tabs>
          <w:tab w:val="left" w:pos="851"/>
        </w:tabs>
        <w:ind w:left="851"/>
        <w:rPr>
          <w:sz w:val="24"/>
          <w:szCs w:val="24"/>
          <w:lang w:val="en-GB"/>
        </w:rPr>
      </w:pPr>
      <w:r w:rsidRPr="00B66A76">
        <w:rPr>
          <w:sz w:val="24"/>
          <w:szCs w:val="24"/>
          <w:lang w:val="en-GB"/>
        </w:rPr>
        <w:t>It has been reported that in patients being treated with loperamide, tiredness, dizziness and drowsiness have occurred. If affected, do not drive or operate machines (</w:t>
      </w:r>
      <w:r>
        <w:rPr>
          <w:sz w:val="24"/>
          <w:szCs w:val="24"/>
          <w:lang w:val="en-GB"/>
        </w:rPr>
        <w:t>s</w:t>
      </w:r>
      <w:r w:rsidRPr="00B66A76">
        <w:rPr>
          <w:sz w:val="24"/>
          <w:szCs w:val="24"/>
          <w:lang w:val="en-GB"/>
        </w:rPr>
        <w:t>ee section 4.8)</w:t>
      </w:r>
      <w:r>
        <w:rPr>
          <w:sz w:val="24"/>
          <w:szCs w:val="24"/>
          <w:lang w:val="en-GB"/>
        </w:rPr>
        <w:t>.</w:t>
      </w:r>
    </w:p>
    <w:p w14:paraId="37C3E893" w14:textId="77777777" w:rsidR="007C5D2A" w:rsidRPr="00303008" w:rsidRDefault="007C5D2A" w:rsidP="003E0341">
      <w:pPr>
        <w:tabs>
          <w:tab w:val="left" w:pos="851"/>
        </w:tabs>
        <w:ind w:left="851"/>
        <w:rPr>
          <w:sz w:val="24"/>
          <w:szCs w:val="24"/>
          <w:lang w:val="en-GB"/>
        </w:rPr>
      </w:pPr>
    </w:p>
    <w:p w14:paraId="71BE1CA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0AE4C15A" w14:textId="77777777" w:rsidR="00B66A76" w:rsidRPr="00B66A76" w:rsidRDefault="00B66A76" w:rsidP="00B66A76">
      <w:pPr>
        <w:tabs>
          <w:tab w:val="left" w:pos="851"/>
        </w:tabs>
        <w:ind w:left="851"/>
        <w:rPr>
          <w:sz w:val="24"/>
          <w:szCs w:val="24"/>
          <w:lang w:val="en-GB"/>
        </w:rPr>
      </w:pPr>
      <w:r w:rsidRPr="00B66A76">
        <w:rPr>
          <w:sz w:val="24"/>
          <w:szCs w:val="24"/>
          <w:lang w:val="en-GB"/>
        </w:rPr>
        <w:t>The safety of Loperamide HCl in the treatment of diarrhoea was evaluated in 3076 adults and children aged 12 years and older, who participated in 31 controlled and uncontrolled clinical trials. Of these, 26 clinical trials were for acute diarrhoea (N=2775), and 5 for chronic diarrhoea (N=321).</w:t>
      </w:r>
    </w:p>
    <w:p w14:paraId="04DA600F" w14:textId="77777777" w:rsidR="00B66A76" w:rsidRPr="00B66A76" w:rsidRDefault="00B66A76" w:rsidP="00B66A76">
      <w:pPr>
        <w:tabs>
          <w:tab w:val="left" w:pos="851"/>
        </w:tabs>
        <w:ind w:left="851"/>
        <w:rPr>
          <w:sz w:val="24"/>
          <w:szCs w:val="24"/>
          <w:lang w:val="en-GB"/>
        </w:rPr>
      </w:pPr>
    </w:p>
    <w:p w14:paraId="48A3C211" w14:textId="77777777" w:rsidR="00B66A76" w:rsidRPr="00B66A76" w:rsidRDefault="00B66A76" w:rsidP="00B66A76">
      <w:pPr>
        <w:tabs>
          <w:tab w:val="left" w:pos="851"/>
        </w:tabs>
        <w:ind w:left="851"/>
        <w:rPr>
          <w:sz w:val="24"/>
          <w:szCs w:val="24"/>
          <w:lang w:val="en-GB"/>
        </w:rPr>
      </w:pPr>
      <w:r w:rsidRPr="00B66A76">
        <w:rPr>
          <w:sz w:val="24"/>
          <w:szCs w:val="24"/>
          <w:lang w:val="en-GB"/>
        </w:rPr>
        <w:t>The most commonly reported adverse reactions (≥1% incidence) in clinical trials with loperamide HCl for acute diarrhoea were: constipation (2.7%), flatulence (1.7%), headache (1.2%) and nausea (1.1%). In clinical trials for chronic diarrhoea, the most commonly reported adverse reactions (≥1% incidence) were: flatulence (2.8%), constipation (2.2%), nausea (1.2%) and dizziness (1.2%).</w:t>
      </w:r>
    </w:p>
    <w:p w14:paraId="4D58DCDE" w14:textId="77777777" w:rsidR="00B66A76" w:rsidRPr="00B66A76" w:rsidRDefault="00B66A76" w:rsidP="00B66A76">
      <w:pPr>
        <w:tabs>
          <w:tab w:val="left" w:pos="851"/>
        </w:tabs>
        <w:ind w:left="851"/>
        <w:rPr>
          <w:sz w:val="24"/>
          <w:szCs w:val="24"/>
          <w:lang w:val="en-GB"/>
        </w:rPr>
      </w:pPr>
    </w:p>
    <w:p w14:paraId="651E108E" w14:textId="77777777" w:rsidR="00B66A76" w:rsidRPr="00B66A76" w:rsidRDefault="00B66A76" w:rsidP="00B66A76">
      <w:pPr>
        <w:tabs>
          <w:tab w:val="left" w:pos="851"/>
        </w:tabs>
        <w:ind w:left="851"/>
        <w:rPr>
          <w:sz w:val="24"/>
          <w:szCs w:val="24"/>
          <w:lang w:val="en-GB"/>
        </w:rPr>
      </w:pPr>
      <w:r w:rsidRPr="00B66A76">
        <w:rPr>
          <w:sz w:val="24"/>
          <w:szCs w:val="24"/>
          <w:lang w:val="en-GB"/>
        </w:rPr>
        <w:t>The safety of Loperamide HCl was evaluated in 607 patients aged 10 days to 13 years who participated in 13 controlled and uncontrolled clinical trials of loperamide HCl for the treatment of acute diarrhoea. The most frequently reported ADR (≥1 %) was vomiting (1.2 %).</w:t>
      </w:r>
    </w:p>
    <w:p w14:paraId="4D6E049B" w14:textId="77777777" w:rsidR="00B66A76" w:rsidRPr="00B66A76" w:rsidRDefault="00B66A76" w:rsidP="00B66A76">
      <w:pPr>
        <w:tabs>
          <w:tab w:val="left" w:pos="851"/>
        </w:tabs>
        <w:ind w:left="851"/>
        <w:rPr>
          <w:sz w:val="24"/>
          <w:szCs w:val="24"/>
          <w:lang w:val="en-GB"/>
        </w:rPr>
      </w:pPr>
    </w:p>
    <w:p w14:paraId="10B3932A" w14:textId="77777777" w:rsidR="00B66A76" w:rsidRPr="00B66A76" w:rsidRDefault="00B66A76" w:rsidP="00B66A76">
      <w:pPr>
        <w:tabs>
          <w:tab w:val="left" w:pos="851"/>
        </w:tabs>
        <w:ind w:left="851"/>
        <w:rPr>
          <w:sz w:val="24"/>
          <w:szCs w:val="24"/>
          <w:lang w:val="en-GB"/>
        </w:rPr>
      </w:pPr>
      <w:r w:rsidRPr="00B66A76">
        <w:rPr>
          <w:sz w:val="24"/>
          <w:szCs w:val="24"/>
          <w:lang w:val="en-GB"/>
        </w:rPr>
        <w:t>Adverse reactions identified during these clinical trials and during the post-marketing experience period are summarised in the table below, according to the following frequencies:</w:t>
      </w:r>
    </w:p>
    <w:p w14:paraId="54217877" w14:textId="77777777" w:rsidR="00B66A76" w:rsidRPr="00B66A76" w:rsidRDefault="00B66A76" w:rsidP="00B66A76">
      <w:pPr>
        <w:tabs>
          <w:tab w:val="left" w:pos="851"/>
        </w:tabs>
        <w:ind w:left="851"/>
        <w:rPr>
          <w:sz w:val="24"/>
          <w:szCs w:val="24"/>
          <w:lang w:val="en-GB"/>
        </w:rPr>
      </w:pPr>
      <w:r w:rsidRPr="00B66A76">
        <w:rPr>
          <w:sz w:val="24"/>
          <w:szCs w:val="24"/>
          <w:lang w:val="en-GB"/>
        </w:rPr>
        <w:t>- Very frequent ≥1/10</w:t>
      </w:r>
    </w:p>
    <w:p w14:paraId="23174EA4" w14:textId="77777777" w:rsidR="00B66A76" w:rsidRPr="00B66A76" w:rsidRDefault="00B66A76" w:rsidP="00B66A76">
      <w:pPr>
        <w:tabs>
          <w:tab w:val="left" w:pos="851"/>
        </w:tabs>
        <w:ind w:left="851"/>
        <w:rPr>
          <w:sz w:val="24"/>
          <w:szCs w:val="24"/>
          <w:lang w:val="en-GB"/>
        </w:rPr>
      </w:pPr>
      <w:r w:rsidRPr="00B66A76">
        <w:rPr>
          <w:sz w:val="24"/>
          <w:szCs w:val="24"/>
          <w:lang w:val="en-GB"/>
        </w:rPr>
        <w:t>- Frequent ≥1/100 and &lt; 1/10</w:t>
      </w:r>
    </w:p>
    <w:p w14:paraId="5030A226" w14:textId="77777777" w:rsidR="00B66A76" w:rsidRPr="00B66A76" w:rsidRDefault="00B66A76" w:rsidP="00B66A76">
      <w:pPr>
        <w:tabs>
          <w:tab w:val="left" w:pos="851"/>
        </w:tabs>
        <w:ind w:left="851"/>
        <w:rPr>
          <w:sz w:val="24"/>
          <w:szCs w:val="24"/>
          <w:lang w:val="en-GB"/>
        </w:rPr>
      </w:pPr>
      <w:r w:rsidRPr="00B66A76">
        <w:rPr>
          <w:sz w:val="24"/>
          <w:szCs w:val="24"/>
          <w:lang w:val="en-GB"/>
        </w:rPr>
        <w:t>- Infrequent ≥1/1000 and &lt; 1/100</w:t>
      </w:r>
    </w:p>
    <w:p w14:paraId="74C96AF6" w14:textId="77777777" w:rsidR="00B66A76" w:rsidRPr="00B66A76" w:rsidRDefault="00B66A76" w:rsidP="00B66A76">
      <w:pPr>
        <w:tabs>
          <w:tab w:val="left" w:pos="851"/>
        </w:tabs>
        <w:ind w:left="851"/>
        <w:rPr>
          <w:sz w:val="24"/>
          <w:szCs w:val="24"/>
          <w:lang w:val="en-GB"/>
        </w:rPr>
      </w:pPr>
      <w:r w:rsidRPr="00B66A76">
        <w:rPr>
          <w:sz w:val="24"/>
          <w:szCs w:val="24"/>
          <w:lang w:val="en-GB"/>
        </w:rPr>
        <w:t>- Rare ≥1/10.000 and &lt; 1/1.000</w:t>
      </w:r>
    </w:p>
    <w:p w14:paraId="6E19536E" w14:textId="77777777" w:rsidR="00B66A76" w:rsidRPr="00B66A76" w:rsidRDefault="00B66A76" w:rsidP="00B66A76">
      <w:pPr>
        <w:tabs>
          <w:tab w:val="left" w:pos="851"/>
        </w:tabs>
        <w:ind w:left="851"/>
        <w:rPr>
          <w:sz w:val="24"/>
          <w:szCs w:val="24"/>
          <w:lang w:val="en-GB"/>
        </w:rPr>
      </w:pPr>
      <w:r w:rsidRPr="00B66A76">
        <w:rPr>
          <w:sz w:val="24"/>
          <w:szCs w:val="24"/>
          <w:lang w:val="en-GB"/>
        </w:rPr>
        <w:t>- Very rare ≥1/10,000</w:t>
      </w:r>
    </w:p>
    <w:p w14:paraId="5CA28ABC" w14:textId="77777777" w:rsidR="00B66A76" w:rsidRPr="00B66A76" w:rsidRDefault="00B66A76" w:rsidP="00B66A76">
      <w:pPr>
        <w:tabs>
          <w:tab w:val="left" w:pos="851"/>
        </w:tabs>
        <w:ind w:left="851"/>
        <w:rPr>
          <w:sz w:val="24"/>
          <w:szCs w:val="24"/>
          <w:lang w:val="en-GB"/>
        </w:rPr>
      </w:pPr>
      <w:r w:rsidRPr="00B66A76">
        <w:rPr>
          <w:sz w:val="24"/>
          <w:szCs w:val="24"/>
          <w:lang w:val="en-GB"/>
        </w:rPr>
        <w:t>- Not known: cannot be estimated from available data.</w:t>
      </w:r>
    </w:p>
    <w:p w14:paraId="62B13E2A" w14:textId="77777777" w:rsidR="00B66A76" w:rsidRPr="00B66A76" w:rsidRDefault="00B66A76" w:rsidP="00B66A76">
      <w:pPr>
        <w:tabs>
          <w:tab w:val="left" w:pos="851"/>
        </w:tabs>
        <w:ind w:left="851"/>
        <w:rPr>
          <w:iCs/>
          <w:sz w:val="24"/>
          <w:szCs w:val="24"/>
          <w:lang w:val="en-GB"/>
        </w:rPr>
      </w:pPr>
    </w:p>
    <w:tbl>
      <w:tblPr>
        <w:tblStyle w:val="Tabel-Gitter"/>
        <w:tblW w:w="8784" w:type="dxa"/>
        <w:jc w:val="center"/>
        <w:tblLook w:val="04A0" w:firstRow="1" w:lastRow="0" w:firstColumn="1" w:lastColumn="0" w:noHBand="0" w:noVBand="1"/>
      </w:tblPr>
      <w:tblGrid>
        <w:gridCol w:w="2405"/>
        <w:gridCol w:w="6379"/>
      </w:tblGrid>
      <w:tr w:rsidR="00B66A76" w:rsidRPr="00B66A76" w14:paraId="74B37EC1"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44AAB25D" w14:textId="77777777" w:rsidR="00B66A76" w:rsidRPr="00B66A76" w:rsidRDefault="00B66A76" w:rsidP="00B66A76">
            <w:pPr>
              <w:ind w:left="32"/>
              <w:rPr>
                <w:iCs/>
                <w:sz w:val="22"/>
                <w:szCs w:val="22"/>
                <w:lang w:val="en-GB"/>
              </w:rPr>
            </w:pPr>
            <w:r w:rsidRPr="00B66A76">
              <w:rPr>
                <w:iCs/>
                <w:sz w:val="22"/>
                <w:szCs w:val="22"/>
                <w:lang w:val="en-GB"/>
              </w:rPr>
              <w:t>System organ class</w:t>
            </w:r>
          </w:p>
          <w:p w14:paraId="63898335" w14:textId="77777777" w:rsidR="00B66A76" w:rsidRPr="00B66A76" w:rsidRDefault="00B66A76" w:rsidP="00B66A76">
            <w:pPr>
              <w:ind w:left="32"/>
              <w:rPr>
                <w:iCs/>
                <w:sz w:val="22"/>
                <w:szCs w:val="22"/>
                <w:lang w:val="en-GB"/>
              </w:rPr>
            </w:pPr>
            <w:r w:rsidRPr="00B66A76">
              <w:rPr>
                <w:iCs/>
                <w:sz w:val="22"/>
                <w:szCs w:val="22"/>
                <w:lang w:val="en-GB"/>
              </w:rPr>
              <w:t>Frequency</w:t>
            </w:r>
          </w:p>
        </w:tc>
        <w:tc>
          <w:tcPr>
            <w:tcW w:w="6379" w:type="dxa"/>
            <w:tcBorders>
              <w:top w:val="single" w:sz="4" w:space="0" w:color="auto"/>
              <w:left w:val="single" w:sz="4" w:space="0" w:color="auto"/>
              <w:bottom w:val="single" w:sz="4" w:space="0" w:color="auto"/>
              <w:right w:val="single" w:sz="4" w:space="0" w:color="auto"/>
            </w:tcBorders>
          </w:tcPr>
          <w:p w14:paraId="2D7B77E6" w14:textId="77777777" w:rsidR="00B66A76" w:rsidRPr="00B66A76" w:rsidRDefault="00B66A76" w:rsidP="00B66A76">
            <w:pPr>
              <w:ind w:left="32"/>
              <w:rPr>
                <w:iCs/>
                <w:sz w:val="22"/>
                <w:szCs w:val="22"/>
                <w:lang w:val="en-GB"/>
              </w:rPr>
            </w:pPr>
          </w:p>
        </w:tc>
      </w:tr>
      <w:tr w:rsidR="00B66A76" w:rsidRPr="00B66A76" w14:paraId="57C01113"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2512A7E7" w14:textId="77777777" w:rsidR="00B66A76" w:rsidRPr="00B66A76" w:rsidRDefault="00B66A76" w:rsidP="00B66A76">
            <w:pPr>
              <w:ind w:left="32"/>
              <w:rPr>
                <w:iCs/>
                <w:sz w:val="22"/>
                <w:szCs w:val="22"/>
                <w:lang w:val="en-GB"/>
              </w:rPr>
            </w:pPr>
            <w:r w:rsidRPr="00B66A76">
              <w:rPr>
                <w:iCs/>
                <w:sz w:val="22"/>
                <w:szCs w:val="22"/>
                <w:lang w:val="en-GB"/>
              </w:rPr>
              <w:t>Immune system disorders</w:t>
            </w:r>
          </w:p>
        </w:tc>
      </w:tr>
      <w:tr w:rsidR="00B66A76" w:rsidRPr="00B60635" w14:paraId="5BA1899C"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7E5BDCAA"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252D7300" w14:textId="77777777" w:rsidR="00B66A76" w:rsidRPr="00B66A76" w:rsidRDefault="00B66A76" w:rsidP="00B66A76">
            <w:pPr>
              <w:ind w:left="32"/>
              <w:rPr>
                <w:iCs/>
                <w:sz w:val="22"/>
                <w:szCs w:val="22"/>
                <w:lang w:val="en-GB"/>
              </w:rPr>
            </w:pPr>
            <w:r w:rsidRPr="00B66A76">
              <w:rPr>
                <w:iCs/>
                <w:sz w:val="22"/>
                <w:szCs w:val="22"/>
                <w:lang w:val="en-GB"/>
              </w:rPr>
              <w:t>Hypersensitivity</w:t>
            </w:r>
            <w:r w:rsidRPr="00B66A76">
              <w:rPr>
                <w:iCs/>
                <w:sz w:val="22"/>
                <w:szCs w:val="22"/>
                <w:vertAlign w:val="superscript"/>
                <w:lang w:val="en-GB"/>
              </w:rPr>
              <w:t>a</w:t>
            </w:r>
            <w:r w:rsidRPr="00B66A76">
              <w:rPr>
                <w:iCs/>
                <w:sz w:val="22"/>
                <w:szCs w:val="22"/>
                <w:lang w:val="en-GB"/>
              </w:rPr>
              <w:t>, anaphylactic reaction</w:t>
            </w:r>
            <w:r w:rsidRPr="00B66A76">
              <w:rPr>
                <w:iCs/>
                <w:sz w:val="22"/>
                <w:szCs w:val="22"/>
                <w:vertAlign w:val="superscript"/>
                <w:lang w:val="en-GB"/>
              </w:rPr>
              <w:t xml:space="preserve">a </w:t>
            </w:r>
            <w:r w:rsidRPr="00B66A76">
              <w:rPr>
                <w:iCs/>
                <w:sz w:val="22"/>
                <w:szCs w:val="22"/>
                <w:lang w:val="en-GB"/>
              </w:rPr>
              <w:t xml:space="preserve">(including anaphylactic shock), anaphylactoid reaction </w:t>
            </w:r>
            <w:r w:rsidRPr="00B66A76">
              <w:rPr>
                <w:iCs/>
                <w:sz w:val="22"/>
                <w:szCs w:val="22"/>
                <w:vertAlign w:val="superscript"/>
                <w:lang w:val="en-GB"/>
              </w:rPr>
              <w:t>a</w:t>
            </w:r>
          </w:p>
        </w:tc>
      </w:tr>
      <w:tr w:rsidR="00B66A76" w:rsidRPr="00B66A76" w14:paraId="459F5694"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5F2911DE" w14:textId="77777777" w:rsidR="00B66A76" w:rsidRPr="00B66A76" w:rsidRDefault="00B66A76" w:rsidP="00B66A76">
            <w:pPr>
              <w:ind w:left="32"/>
              <w:rPr>
                <w:iCs/>
                <w:sz w:val="22"/>
                <w:szCs w:val="22"/>
                <w:lang w:val="en-GB"/>
              </w:rPr>
            </w:pPr>
            <w:r w:rsidRPr="00B66A76">
              <w:rPr>
                <w:iCs/>
                <w:sz w:val="22"/>
                <w:szCs w:val="22"/>
                <w:lang w:val="en-GB"/>
              </w:rPr>
              <w:t>Nervous system disorders</w:t>
            </w:r>
          </w:p>
        </w:tc>
      </w:tr>
      <w:tr w:rsidR="00B66A76" w:rsidRPr="00B66A76" w14:paraId="2168BB0E"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0CC938F2" w14:textId="77777777" w:rsidR="00B66A76" w:rsidRPr="00B66A76" w:rsidRDefault="00B66A76" w:rsidP="00B66A76">
            <w:pPr>
              <w:ind w:left="32"/>
              <w:rPr>
                <w:iCs/>
                <w:sz w:val="22"/>
                <w:szCs w:val="22"/>
                <w:lang w:val="en-GB"/>
              </w:rPr>
            </w:pPr>
            <w:r w:rsidRPr="00B66A76">
              <w:rPr>
                <w:iCs/>
                <w:sz w:val="22"/>
                <w:szCs w:val="22"/>
                <w:lang w:val="en-GB"/>
              </w:rPr>
              <w:t>Common</w:t>
            </w:r>
          </w:p>
        </w:tc>
        <w:tc>
          <w:tcPr>
            <w:tcW w:w="6379" w:type="dxa"/>
            <w:tcBorders>
              <w:top w:val="single" w:sz="4" w:space="0" w:color="auto"/>
              <w:left w:val="single" w:sz="4" w:space="0" w:color="auto"/>
              <w:bottom w:val="single" w:sz="4" w:space="0" w:color="auto"/>
              <w:right w:val="single" w:sz="4" w:space="0" w:color="auto"/>
            </w:tcBorders>
            <w:hideMark/>
          </w:tcPr>
          <w:p w14:paraId="1E9A52D7" w14:textId="77777777" w:rsidR="00B66A76" w:rsidRPr="00B66A76" w:rsidRDefault="00B66A76" w:rsidP="00B66A76">
            <w:pPr>
              <w:ind w:left="32"/>
              <w:rPr>
                <w:iCs/>
                <w:sz w:val="22"/>
                <w:szCs w:val="22"/>
                <w:lang w:val="en-GB"/>
              </w:rPr>
            </w:pPr>
            <w:r w:rsidRPr="00B66A76">
              <w:rPr>
                <w:iCs/>
                <w:sz w:val="22"/>
                <w:szCs w:val="22"/>
                <w:lang w:val="en-GB"/>
              </w:rPr>
              <w:t>Headache, dizziness</w:t>
            </w:r>
          </w:p>
        </w:tc>
      </w:tr>
      <w:tr w:rsidR="00B66A76" w:rsidRPr="00B66A76" w14:paraId="61A70E4F"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49DCBD5C" w14:textId="77777777" w:rsidR="00B66A76" w:rsidRPr="00B66A76" w:rsidRDefault="00B66A76" w:rsidP="00B66A76">
            <w:pPr>
              <w:ind w:left="32"/>
              <w:rPr>
                <w:iCs/>
                <w:sz w:val="22"/>
                <w:szCs w:val="22"/>
                <w:lang w:val="en-GB"/>
              </w:rPr>
            </w:pPr>
            <w:r w:rsidRPr="00B66A76">
              <w:rPr>
                <w:iCs/>
                <w:sz w:val="22"/>
                <w:szCs w:val="22"/>
                <w:lang w:val="en-GB"/>
              </w:rPr>
              <w:t>Uncommon</w:t>
            </w:r>
          </w:p>
        </w:tc>
        <w:tc>
          <w:tcPr>
            <w:tcW w:w="6379" w:type="dxa"/>
            <w:tcBorders>
              <w:top w:val="single" w:sz="4" w:space="0" w:color="auto"/>
              <w:left w:val="single" w:sz="4" w:space="0" w:color="auto"/>
              <w:bottom w:val="single" w:sz="4" w:space="0" w:color="auto"/>
              <w:right w:val="single" w:sz="4" w:space="0" w:color="auto"/>
            </w:tcBorders>
            <w:hideMark/>
          </w:tcPr>
          <w:p w14:paraId="345951E2" w14:textId="77777777" w:rsidR="00B66A76" w:rsidRPr="00B66A76" w:rsidRDefault="00B66A76" w:rsidP="00B66A76">
            <w:pPr>
              <w:ind w:left="32"/>
              <w:rPr>
                <w:iCs/>
                <w:sz w:val="22"/>
                <w:szCs w:val="22"/>
                <w:lang w:val="en-GB"/>
              </w:rPr>
            </w:pPr>
            <w:r w:rsidRPr="00B66A76">
              <w:rPr>
                <w:iCs/>
                <w:sz w:val="22"/>
                <w:szCs w:val="22"/>
                <w:lang w:val="en-GB"/>
              </w:rPr>
              <w:t xml:space="preserve">Somnolens </w:t>
            </w:r>
            <w:r w:rsidRPr="00B66A76">
              <w:rPr>
                <w:iCs/>
                <w:sz w:val="22"/>
                <w:szCs w:val="22"/>
                <w:vertAlign w:val="superscript"/>
                <w:lang w:val="en-GB"/>
              </w:rPr>
              <w:t>a</w:t>
            </w:r>
          </w:p>
        </w:tc>
      </w:tr>
      <w:tr w:rsidR="00B66A76" w:rsidRPr="00B60635" w14:paraId="2DE99F13"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60DCEA47"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1614901E" w14:textId="77777777" w:rsidR="00B66A76" w:rsidRPr="00B66A76" w:rsidRDefault="00B66A76" w:rsidP="00B66A76">
            <w:pPr>
              <w:ind w:left="32"/>
              <w:rPr>
                <w:iCs/>
                <w:sz w:val="22"/>
                <w:szCs w:val="22"/>
                <w:lang w:val="en-GB"/>
              </w:rPr>
            </w:pPr>
            <w:r w:rsidRPr="00B66A76">
              <w:rPr>
                <w:iCs/>
                <w:sz w:val="22"/>
                <w:szCs w:val="22"/>
                <w:lang w:val="en-GB"/>
              </w:rPr>
              <w:t>Loss of consciousness</w:t>
            </w:r>
            <w:r w:rsidRPr="00B66A76">
              <w:rPr>
                <w:iCs/>
                <w:sz w:val="22"/>
                <w:szCs w:val="22"/>
                <w:vertAlign w:val="superscript"/>
                <w:lang w:val="en-GB"/>
              </w:rPr>
              <w:t>a</w:t>
            </w:r>
            <w:r w:rsidRPr="00B66A76">
              <w:rPr>
                <w:iCs/>
                <w:sz w:val="22"/>
                <w:szCs w:val="22"/>
                <w:lang w:val="en-GB"/>
              </w:rPr>
              <w:t>, stupor</w:t>
            </w:r>
            <w:r w:rsidRPr="00B66A76">
              <w:rPr>
                <w:iCs/>
                <w:sz w:val="22"/>
                <w:szCs w:val="22"/>
                <w:vertAlign w:val="superscript"/>
                <w:lang w:val="en-GB"/>
              </w:rPr>
              <w:t>a</w:t>
            </w:r>
            <w:r w:rsidRPr="00B66A76">
              <w:rPr>
                <w:iCs/>
                <w:sz w:val="22"/>
                <w:szCs w:val="22"/>
                <w:lang w:val="en-GB"/>
              </w:rPr>
              <w:t>, impaired consciousness</w:t>
            </w:r>
            <w:r w:rsidRPr="00B66A76">
              <w:rPr>
                <w:iCs/>
                <w:sz w:val="22"/>
                <w:szCs w:val="22"/>
                <w:vertAlign w:val="superscript"/>
                <w:lang w:val="en-GB"/>
              </w:rPr>
              <w:t>a</w:t>
            </w:r>
            <w:r w:rsidRPr="00B66A76">
              <w:rPr>
                <w:iCs/>
                <w:sz w:val="22"/>
                <w:szCs w:val="22"/>
                <w:lang w:val="en-GB"/>
              </w:rPr>
              <w:t>, hypertonia</w:t>
            </w:r>
            <w:r w:rsidRPr="00B66A76">
              <w:rPr>
                <w:iCs/>
                <w:sz w:val="22"/>
                <w:szCs w:val="22"/>
                <w:vertAlign w:val="superscript"/>
                <w:lang w:val="en-GB"/>
              </w:rPr>
              <w:t>a</w:t>
            </w:r>
            <w:r w:rsidRPr="00B66A76">
              <w:rPr>
                <w:iCs/>
                <w:sz w:val="22"/>
                <w:szCs w:val="22"/>
                <w:lang w:val="en-GB"/>
              </w:rPr>
              <w:t>, coordination abnormality</w:t>
            </w:r>
            <w:r w:rsidRPr="00B66A76">
              <w:rPr>
                <w:iCs/>
                <w:sz w:val="22"/>
                <w:szCs w:val="22"/>
                <w:vertAlign w:val="superscript"/>
                <w:lang w:val="en-GB"/>
              </w:rPr>
              <w:t>a</w:t>
            </w:r>
          </w:p>
        </w:tc>
      </w:tr>
      <w:tr w:rsidR="00B66A76" w:rsidRPr="00B66A76" w14:paraId="6865365F"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76885D03" w14:textId="77777777" w:rsidR="00B66A76" w:rsidRPr="00B66A76" w:rsidRDefault="00B66A76" w:rsidP="00B66A76">
            <w:pPr>
              <w:ind w:left="32"/>
              <w:rPr>
                <w:iCs/>
                <w:sz w:val="22"/>
                <w:szCs w:val="22"/>
                <w:lang w:val="en-GB"/>
              </w:rPr>
            </w:pPr>
            <w:r w:rsidRPr="00B66A76">
              <w:rPr>
                <w:iCs/>
                <w:sz w:val="22"/>
                <w:szCs w:val="22"/>
                <w:lang w:val="en-GB"/>
              </w:rPr>
              <w:t>Eyes disorders</w:t>
            </w:r>
          </w:p>
        </w:tc>
      </w:tr>
      <w:tr w:rsidR="00B66A76" w:rsidRPr="00B66A76" w14:paraId="2886410C"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0DE3C523"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760E9565" w14:textId="77777777" w:rsidR="00B66A76" w:rsidRPr="00B66A76" w:rsidRDefault="00B66A76" w:rsidP="00B66A76">
            <w:pPr>
              <w:ind w:left="32"/>
              <w:rPr>
                <w:iCs/>
                <w:sz w:val="22"/>
                <w:szCs w:val="22"/>
                <w:lang w:val="en-GB"/>
              </w:rPr>
            </w:pPr>
            <w:r w:rsidRPr="00B66A76">
              <w:rPr>
                <w:iCs/>
                <w:sz w:val="22"/>
                <w:szCs w:val="22"/>
                <w:lang w:val="en-GB"/>
              </w:rPr>
              <w:t>Miosis</w:t>
            </w:r>
            <w:r w:rsidRPr="00B66A76">
              <w:rPr>
                <w:iCs/>
                <w:sz w:val="22"/>
                <w:szCs w:val="22"/>
                <w:vertAlign w:val="superscript"/>
                <w:lang w:val="en-GB"/>
              </w:rPr>
              <w:t>a</w:t>
            </w:r>
          </w:p>
        </w:tc>
      </w:tr>
      <w:tr w:rsidR="00B66A76" w:rsidRPr="00B66A76" w14:paraId="09CA14B4"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417A3EDA" w14:textId="77777777" w:rsidR="00B66A76" w:rsidRPr="00B66A76" w:rsidRDefault="00B66A76" w:rsidP="00B66A76">
            <w:pPr>
              <w:ind w:left="32"/>
              <w:rPr>
                <w:iCs/>
                <w:sz w:val="22"/>
                <w:szCs w:val="22"/>
                <w:lang w:val="en-GB"/>
              </w:rPr>
            </w:pPr>
            <w:r w:rsidRPr="00B66A76">
              <w:rPr>
                <w:iCs/>
                <w:sz w:val="22"/>
                <w:szCs w:val="22"/>
                <w:lang w:val="en-GB"/>
              </w:rPr>
              <w:t>Gastrointestinal disorders</w:t>
            </w:r>
          </w:p>
        </w:tc>
      </w:tr>
      <w:tr w:rsidR="00B66A76" w:rsidRPr="00B66A76" w14:paraId="0D9DE4F0"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2888F943" w14:textId="77777777" w:rsidR="00B66A76" w:rsidRPr="00B66A76" w:rsidRDefault="00B66A76" w:rsidP="00B66A76">
            <w:pPr>
              <w:ind w:left="32"/>
              <w:rPr>
                <w:iCs/>
                <w:sz w:val="22"/>
                <w:szCs w:val="22"/>
                <w:lang w:val="en-GB"/>
              </w:rPr>
            </w:pPr>
            <w:r w:rsidRPr="00B66A76">
              <w:rPr>
                <w:iCs/>
                <w:sz w:val="22"/>
                <w:szCs w:val="22"/>
                <w:lang w:val="en-GB"/>
              </w:rPr>
              <w:t>Common</w:t>
            </w:r>
          </w:p>
        </w:tc>
        <w:tc>
          <w:tcPr>
            <w:tcW w:w="6379" w:type="dxa"/>
            <w:tcBorders>
              <w:top w:val="single" w:sz="4" w:space="0" w:color="auto"/>
              <w:left w:val="single" w:sz="4" w:space="0" w:color="auto"/>
              <w:bottom w:val="single" w:sz="4" w:space="0" w:color="auto"/>
              <w:right w:val="single" w:sz="4" w:space="0" w:color="auto"/>
            </w:tcBorders>
            <w:hideMark/>
          </w:tcPr>
          <w:p w14:paraId="29CF37D6" w14:textId="77777777" w:rsidR="00B66A76" w:rsidRPr="00B66A76" w:rsidRDefault="00B66A76" w:rsidP="00B66A76">
            <w:pPr>
              <w:ind w:left="32"/>
              <w:rPr>
                <w:iCs/>
                <w:sz w:val="22"/>
                <w:szCs w:val="22"/>
                <w:lang w:val="en-GB"/>
              </w:rPr>
            </w:pPr>
            <w:r w:rsidRPr="00B66A76">
              <w:rPr>
                <w:iCs/>
                <w:sz w:val="22"/>
                <w:szCs w:val="22"/>
                <w:lang w:val="en-GB"/>
              </w:rPr>
              <w:t>Constipation, nausea, flatulence</w:t>
            </w:r>
          </w:p>
        </w:tc>
      </w:tr>
      <w:tr w:rsidR="00B66A76" w:rsidRPr="00B60635" w14:paraId="4953DF18"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7D6476A4" w14:textId="77777777" w:rsidR="00B66A76" w:rsidRPr="00B66A76" w:rsidRDefault="00B66A76" w:rsidP="00B66A76">
            <w:pPr>
              <w:ind w:left="32"/>
              <w:rPr>
                <w:iCs/>
                <w:sz w:val="22"/>
                <w:szCs w:val="22"/>
                <w:lang w:val="en-GB"/>
              </w:rPr>
            </w:pPr>
            <w:r w:rsidRPr="00B66A76">
              <w:rPr>
                <w:iCs/>
                <w:sz w:val="22"/>
                <w:szCs w:val="22"/>
                <w:lang w:val="en-GB"/>
              </w:rPr>
              <w:t>Uncommon</w:t>
            </w:r>
          </w:p>
        </w:tc>
        <w:tc>
          <w:tcPr>
            <w:tcW w:w="6379" w:type="dxa"/>
            <w:tcBorders>
              <w:top w:val="single" w:sz="4" w:space="0" w:color="auto"/>
              <w:left w:val="single" w:sz="4" w:space="0" w:color="auto"/>
              <w:bottom w:val="single" w:sz="4" w:space="0" w:color="auto"/>
              <w:right w:val="single" w:sz="4" w:space="0" w:color="auto"/>
            </w:tcBorders>
          </w:tcPr>
          <w:p w14:paraId="12287F45" w14:textId="77777777" w:rsidR="00B66A76" w:rsidRPr="00B66A76" w:rsidRDefault="00B66A76" w:rsidP="00B66A76">
            <w:pPr>
              <w:ind w:left="32"/>
              <w:rPr>
                <w:iCs/>
                <w:sz w:val="22"/>
                <w:szCs w:val="22"/>
                <w:lang w:val="en-GB"/>
              </w:rPr>
            </w:pPr>
            <w:r w:rsidRPr="00B66A76">
              <w:rPr>
                <w:iCs/>
                <w:sz w:val="22"/>
                <w:szCs w:val="22"/>
                <w:lang w:val="en-GB"/>
              </w:rPr>
              <w:t xml:space="preserve">Abdominal pain, abdominal discomfort, dry mouth, upper abdominal pain, vomiting, dyspepsia </w:t>
            </w:r>
          </w:p>
          <w:p w14:paraId="36A74020" w14:textId="77777777" w:rsidR="00B66A76" w:rsidRPr="00B66A76" w:rsidRDefault="00B66A76" w:rsidP="00B66A76">
            <w:pPr>
              <w:ind w:left="32"/>
              <w:rPr>
                <w:iCs/>
                <w:sz w:val="22"/>
                <w:szCs w:val="22"/>
                <w:lang w:val="en-GB"/>
              </w:rPr>
            </w:pPr>
          </w:p>
        </w:tc>
      </w:tr>
      <w:tr w:rsidR="00B66A76" w:rsidRPr="00B60635" w14:paraId="6CD40DB0"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31A282E5"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4284699A" w14:textId="77777777" w:rsidR="00B66A76" w:rsidRPr="00B66A76" w:rsidRDefault="00B66A76" w:rsidP="00B66A76">
            <w:pPr>
              <w:ind w:left="32"/>
              <w:rPr>
                <w:iCs/>
                <w:sz w:val="22"/>
                <w:szCs w:val="22"/>
                <w:lang w:val="en-GB"/>
              </w:rPr>
            </w:pPr>
            <w:r w:rsidRPr="00B66A76">
              <w:rPr>
                <w:iCs/>
                <w:sz w:val="22"/>
                <w:szCs w:val="22"/>
                <w:lang w:val="en-GB"/>
              </w:rPr>
              <w:t>Ileus</w:t>
            </w:r>
            <w:r w:rsidRPr="00B66A76">
              <w:rPr>
                <w:iCs/>
                <w:sz w:val="22"/>
                <w:szCs w:val="22"/>
                <w:vertAlign w:val="superscript"/>
                <w:lang w:val="en-GB"/>
              </w:rPr>
              <w:t>a</w:t>
            </w:r>
            <w:r w:rsidRPr="00B66A76">
              <w:rPr>
                <w:iCs/>
                <w:sz w:val="22"/>
                <w:szCs w:val="22"/>
                <w:lang w:val="en-GB"/>
              </w:rPr>
              <w:t xml:space="preserve"> (including paralytic ileus), megacolon</w:t>
            </w:r>
            <w:r w:rsidRPr="00B66A76">
              <w:rPr>
                <w:iCs/>
                <w:sz w:val="22"/>
                <w:szCs w:val="22"/>
                <w:vertAlign w:val="superscript"/>
                <w:lang w:val="en-GB"/>
              </w:rPr>
              <w:t>a</w:t>
            </w:r>
            <w:r w:rsidRPr="00B66A76">
              <w:rPr>
                <w:iCs/>
                <w:sz w:val="22"/>
                <w:szCs w:val="22"/>
                <w:lang w:val="en-GB"/>
              </w:rPr>
              <w:t xml:space="preserve"> (including toxic megacolon</w:t>
            </w:r>
            <w:r w:rsidRPr="00B66A76">
              <w:rPr>
                <w:iCs/>
                <w:sz w:val="22"/>
                <w:szCs w:val="22"/>
                <w:vertAlign w:val="superscript"/>
                <w:lang w:val="en-GB"/>
              </w:rPr>
              <w:t>b</w:t>
            </w:r>
            <w:r w:rsidRPr="00B66A76">
              <w:rPr>
                <w:iCs/>
                <w:sz w:val="22"/>
                <w:szCs w:val="22"/>
                <w:lang w:val="en-GB"/>
              </w:rPr>
              <w:t>), abdominal distension</w:t>
            </w:r>
          </w:p>
        </w:tc>
      </w:tr>
      <w:tr w:rsidR="00B66A76" w:rsidRPr="00B66A76" w14:paraId="2C6A137B"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1E1E037D" w14:textId="77777777" w:rsidR="00B66A76" w:rsidRPr="00B66A76" w:rsidRDefault="00B66A76" w:rsidP="00B66A76">
            <w:pPr>
              <w:ind w:left="32"/>
              <w:rPr>
                <w:iCs/>
                <w:sz w:val="22"/>
                <w:szCs w:val="22"/>
                <w:lang w:val="en-GB"/>
              </w:rPr>
            </w:pPr>
            <w:r w:rsidRPr="00B66A76">
              <w:rPr>
                <w:iCs/>
                <w:sz w:val="22"/>
                <w:szCs w:val="22"/>
                <w:lang w:val="en-GB"/>
              </w:rPr>
              <w:t xml:space="preserve">Unknown </w:t>
            </w:r>
          </w:p>
        </w:tc>
        <w:tc>
          <w:tcPr>
            <w:tcW w:w="6379" w:type="dxa"/>
            <w:tcBorders>
              <w:top w:val="single" w:sz="4" w:space="0" w:color="auto"/>
              <w:left w:val="single" w:sz="4" w:space="0" w:color="auto"/>
              <w:bottom w:val="single" w:sz="4" w:space="0" w:color="auto"/>
              <w:right w:val="single" w:sz="4" w:space="0" w:color="auto"/>
            </w:tcBorders>
            <w:hideMark/>
          </w:tcPr>
          <w:p w14:paraId="00789147" w14:textId="77777777" w:rsidR="00B66A76" w:rsidRPr="00B66A76" w:rsidRDefault="00B66A76" w:rsidP="00B66A76">
            <w:pPr>
              <w:ind w:left="32"/>
              <w:rPr>
                <w:iCs/>
                <w:sz w:val="22"/>
                <w:szCs w:val="22"/>
                <w:lang w:val="en-GB"/>
              </w:rPr>
            </w:pPr>
            <w:r w:rsidRPr="00B66A76">
              <w:rPr>
                <w:iCs/>
                <w:sz w:val="22"/>
                <w:szCs w:val="22"/>
                <w:lang w:val="en-GB"/>
              </w:rPr>
              <w:t>Acute pancreatitis</w:t>
            </w:r>
          </w:p>
        </w:tc>
      </w:tr>
      <w:tr w:rsidR="00B66A76" w:rsidRPr="00B60635" w14:paraId="7489DB5A"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7C7A227C" w14:textId="77777777" w:rsidR="00B66A76" w:rsidRPr="00B66A76" w:rsidRDefault="00B66A76" w:rsidP="00B66A76">
            <w:pPr>
              <w:ind w:left="32"/>
              <w:rPr>
                <w:iCs/>
                <w:sz w:val="22"/>
                <w:szCs w:val="22"/>
                <w:lang w:val="en-GB"/>
              </w:rPr>
            </w:pPr>
            <w:r w:rsidRPr="00B66A76">
              <w:rPr>
                <w:iCs/>
                <w:sz w:val="22"/>
                <w:szCs w:val="22"/>
                <w:lang w:val="en-GB"/>
              </w:rPr>
              <w:t>Skin and subcutaneous tissues disorders</w:t>
            </w:r>
          </w:p>
        </w:tc>
      </w:tr>
      <w:tr w:rsidR="00B66A76" w:rsidRPr="00B66A76" w14:paraId="1D09CED6"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67B10E4B" w14:textId="77777777" w:rsidR="00B66A76" w:rsidRPr="00B66A76" w:rsidRDefault="00B66A76" w:rsidP="00B66A76">
            <w:pPr>
              <w:ind w:left="32"/>
              <w:rPr>
                <w:iCs/>
                <w:sz w:val="22"/>
                <w:szCs w:val="22"/>
                <w:lang w:val="en-GB"/>
              </w:rPr>
            </w:pPr>
            <w:r w:rsidRPr="00B66A76">
              <w:rPr>
                <w:iCs/>
                <w:sz w:val="22"/>
                <w:szCs w:val="22"/>
                <w:lang w:val="en-GB"/>
              </w:rPr>
              <w:t>Uncommon</w:t>
            </w:r>
          </w:p>
        </w:tc>
        <w:tc>
          <w:tcPr>
            <w:tcW w:w="6379" w:type="dxa"/>
            <w:tcBorders>
              <w:top w:val="single" w:sz="4" w:space="0" w:color="auto"/>
              <w:left w:val="single" w:sz="4" w:space="0" w:color="auto"/>
              <w:bottom w:val="single" w:sz="4" w:space="0" w:color="auto"/>
              <w:right w:val="single" w:sz="4" w:space="0" w:color="auto"/>
            </w:tcBorders>
            <w:hideMark/>
          </w:tcPr>
          <w:p w14:paraId="0E7E442B" w14:textId="77777777" w:rsidR="00B66A76" w:rsidRPr="00B66A76" w:rsidRDefault="00B66A76" w:rsidP="00B66A76">
            <w:pPr>
              <w:ind w:left="32"/>
              <w:rPr>
                <w:iCs/>
                <w:sz w:val="22"/>
                <w:szCs w:val="22"/>
                <w:lang w:val="en-GB"/>
              </w:rPr>
            </w:pPr>
            <w:r w:rsidRPr="00B66A76">
              <w:rPr>
                <w:iCs/>
                <w:sz w:val="22"/>
                <w:szCs w:val="22"/>
                <w:lang w:val="en-GB"/>
              </w:rPr>
              <w:t>Rash</w:t>
            </w:r>
          </w:p>
        </w:tc>
      </w:tr>
      <w:tr w:rsidR="00B66A76" w:rsidRPr="00B60635" w14:paraId="70BE154F"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1C509779"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5ACFCB7B" w14:textId="77777777" w:rsidR="00B66A76" w:rsidRPr="00B66A76" w:rsidRDefault="00B66A76" w:rsidP="00B66A76">
            <w:pPr>
              <w:ind w:left="32"/>
              <w:rPr>
                <w:iCs/>
                <w:sz w:val="22"/>
                <w:szCs w:val="22"/>
                <w:lang w:val="en-GB"/>
              </w:rPr>
            </w:pPr>
            <w:r w:rsidRPr="00B66A76">
              <w:rPr>
                <w:iCs/>
                <w:sz w:val="22"/>
                <w:szCs w:val="22"/>
                <w:lang w:val="en-GB"/>
              </w:rPr>
              <w:t>Bullous eruption</w:t>
            </w:r>
            <w:r w:rsidRPr="00B66A76">
              <w:rPr>
                <w:iCs/>
                <w:sz w:val="22"/>
                <w:szCs w:val="22"/>
                <w:vertAlign w:val="superscript"/>
                <w:lang w:val="en-GB"/>
              </w:rPr>
              <w:t>a</w:t>
            </w:r>
            <w:r w:rsidRPr="00B66A76">
              <w:rPr>
                <w:iCs/>
                <w:sz w:val="22"/>
                <w:szCs w:val="22"/>
                <w:lang w:val="en-GB"/>
              </w:rPr>
              <w:t>(including Stevens-Johnson syndrome, toxic epidermal necrolysis and erythema multiforme), angioedema</w:t>
            </w:r>
            <w:r w:rsidRPr="00B66A76">
              <w:rPr>
                <w:iCs/>
                <w:sz w:val="22"/>
                <w:szCs w:val="22"/>
                <w:vertAlign w:val="superscript"/>
                <w:lang w:val="en-GB"/>
              </w:rPr>
              <w:t>a</w:t>
            </w:r>
            <w:r w:rsidRPr="00B66A76">
              <w:rPr>
                <w:iCs/>
                <w:sz w:val="22"/>
                <w:szCs w:val="22"/>
                <w:lang w:val="en-GB"/>
              </w:rPr>
              <w:t>, urticaria</w:t>
            </w:r>
            <w:r w:rsidRPr="00B66A76">
              <w:rPr>
                <w:iCs/>
                <w:sz w:val="22"/>
                <w:szCs w:val="22"/>
                <w:vertAlign w:val="superscript"/>
                <w:lang w:val="en-GB"/>
              </w:rPr>
              <w:t>a</w:t>
            </w:r>
            <w:r w:rsidRPr="00B66A76">
              <w:rPr>
                <w:iCs/>
                <w:sz w:val="22"/>
                <w:szCs w:val="22"/>
                <w:lang w:val="en-GB"/>
              </w:rPr>
              <w:t>, pruritus</w:t>
            </w:r>
            <w:r w:rsidRPr="00B66A76">
              <w:rPr>
                <w:iCs/>
                <w:sz w:val="22"/>
                <w:szCs w:val="22"/>
                <w:vertAlign w:val="superscript"/>
                <w:lang w:val="en-GB"/>
              </w:rPr>
              <w:t>a</w:t>
            </w:r>
          </w:p>
        </w:tc>
      </w:tr>
      <w:tr w:rsidR="00B66A76" w:rsidRPr="00B66A76" w14:paraId="242C7F1E"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4744598E" w14:textId="77777777" w:rsidR="00B66A76" w:rsidRPr="00B66A76" w:rsidRDefault="00B66A76" w:rsidP="00B66A76">
            <w:pPr>
              <w:ind w:left="32"/>
              <w:rPr>
                <w:iCs/>
                <w:sz w:val="22"/>
                <w:szCs w:val="22"/>
                <w:lang w:val="en-GB"/>
              </w:rPr>
            </w:pPr>
            <w:r w:rsidRPr="00B66A76">
              <w:rPr>
                <w:iCs/>
                <w:sz w:val="22"/>
                <w:szCs w:val="22"/>
                <w:lang w:val="en-GB"/>
              </w:rPr>
              <w:t>Renal and urinary disorders</w:t>
            </w:r>
          </w:p>
        </w:tc>
      </w:tr>
      <w:tr w:rsidR="00B66A76" w:rsidRPr="00B66A76" w14:paraId="7DFC0B3F"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5A157644"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0466FCC7" w14:textId="77777777" w:rsidR="00B66A76" w:rsidRPr="00B66A76" w:rsidRDefault="00B66A76" w:rsidP="00B66A76">
            <w:pPr>
              <w:ind w:left="32"/>
              <w:rPr>
                <w:iCs/>
                <w:sz w:val="22"/>
                <w:szCs w:val="22"/>
                <w:lang w:val="en-GB"/>
              </w:rPr>
            </w:pPr>
            <w:r w:rsidRPr="00B66A76">
              <w:rPr>
                <w:iCs/>
                <w:sz w:val="22"/>
                <w:szCs w:val="22"/>
                <w:lang w:val="en-GB"/>
              </w:rPr>
              <w:t>Urine retention</w:t>
            </w:r>
            <w:r w:rsidRPr="00B66A76">
              <w:rPr>
                <w:iCs/>
                <w:sz w:val="22"/>
                <w:szCs w:val="22"/>
                <w:vertAlign w:val="superscript"/>
                <w:lang w:val="en-GB"/>
              </w:rPr>
              <w:t>a</w:t>
            </w:r>
          </w:p>
        </w:tc>
      </w:tr>
      <w:tr w:rsidR="00B66A76" w:rsidRPr="00B60635" w14:paraId="7AE9F522" w14:textId="77777777" w:rsidTr="00B66A76">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14:paraId="49486F7D" w14:textId="77777777" w:rsidR="00B66A76" w:rsidRPr="00B66A76" w:rsidRDefault="00B66A76" w:rsidP="00B66A76">
            <w:pPr>
              <w:ind w:left="32"/>
              <w:rPr>
                <w:iCs/>
                <w:sz w:val="22"/>
                <w:szCs w:val="22"/>
                <w:lang w:val="en-GB"/>
              </w:rPr>
            </w:pPr>
            <w:r w:rsidRPr="00B66A76">
              <w:rPr>
                <w:iCs/>
                <w:sz w:val="22"/>
                <w:szCs w:val="22"/>
                <w:lang w:val="en-GB"/>
              </w:rPr>
              <w:t>General disorders  and administration site conditions</w:t>
            </w:r>
          </w:p>
        </w:tc>
      </w:tr>
      <w:tr w:rsidR="00B66A76" w:rsidRPr="00B66A76" w14:paraId="1E3C678B" w14:textId="77777777" w:rsidTr="00B66A76">
        <w:trPr>
          <w:jc w:val="center"/>
        </w:trPr>
        <w:tc>
          <w:tcPr>
            <w:tcW w:w="2405" w:type="dxa"/>
            <w:tcBorders>
              <w:top w:val="single" w:sz="4" w:space="0" w:color="auto"/>
              <w:left w:val="single" w:sz="4" w:space="0" w:color="auto"/>
              <w:bottom w:val="single" w:sz="4" w:space="0" w:color="auto"/>
              <w:right w:val="single" w:sz="4" w:space="0" w:color="auto"/>
            </w:tcBorders>
            <w:hideMark/>
          </w:tcPr>
          <w:p w14:paraId="7C6E1AAD" w14:textId="77777777" w:rsidR="00B66A76" w:rsidRPr="00B66A76" w:rsidRDefault="00B66A76" w:rsidP="00B66A76">
            <w:pPr>
              <w:ind w:left="32"/>
              <w:rPr>
                <w:iCs/>
                <w:sz w:val="22"/>
                <w:szCs w:val="22"/>
                <w:lang w:val="en-GB"/>
              </w:rPr>
            </w:pPr>
            <w:r w:rsidRPr="00B66A76">
              <w:rPr>
                <w:iCs/>
                <w:sz w:val="22"/>
                <w:szCs w:val="22"/>
                <w:lang w:val="en-GB"/>
              </w:rPr>
              <w:t>Rare</w:t>
            </w:r>
          </w:p>
        </w:tc>
        <w:tc>
          <w:tcPr>
            <w:tcW w:w="6379" w:type="dxa"/>
            <w:tcBorders>
              <w:top w:val="single" w:sz="4" w:space="0" w:color="auto"/>
              <w:left w:val="single" w:sz="4" w:space="0" w:color="auto"/>
              <w:bottom w:val="single" w:sz="4" w:space="0" w:color="auto"/>
              <w:right w:val="single" w:sz="4" w:space="0" w:color="auto"/>
            </w:tcBorders>
            <w:hideMark/>
          </w:tcPr>
          <w:p w14:paraId="27024C78" w14:textId="77777777" w:rsidR="00B66A76" w:rsidRPr="00B66A76" w:rsidRDefault="00B66A76" w:rsidP="00B66A76">
            <w:pPr>
              <w:ind w:left="32"/>
              <w:rPr>
                <w:iCs/>
                <w:sz w:val="22"/>
                <w:szCs w:val="22"/>
                <w:lang w:val="en-GB"/>
              </w:rPr>
            </w:pPr>
            <w:r w:rsidRPr="00B66A76">
              <w:rPr>
                <w:iCs/>
                <w:sz w:val="22"/>
                <w:szCs w:val="22"/>
                <w:lang w:val="en-GB"/>
              </w:rPr>
              <w:t>Fatigue</w:t>
            </w:r>
            <w:r w:rsidRPr="00B66A76">
              <w:rPr>
                <w:iCs/>
                <w:sz w:val="22"/>
                <w:szCs w:val="22"/>
                <w:vertAlign w:val="superscript"/>
                <w:lang w:val="en-GB"/>
              </w:rPr>
              <w:t>a</w:t>
            </w:r>
          </w:p>
        </w:tc>
      </w:tr>
    </w:tbl>
    <w:p w14:paraId="4D07E7B4" w14:textId="77777777" w:rsidR="00B66A76" w:rsidRDefault="00B66A76" w:rsidP="00B66A76">
      <w:pPr>
        <w:tabs>
          <w:tab w:val="left" w:pos="851"/>
        </w:tabs>
        <w:ind w:left="851"/>
        <w:rPr>
          <w:iCs/>
          <w:sz w:val="24"/>
          <w:szCs w:val="24"/>
          <w:lang w:val="en-GB"/>
        </w:rPr>
      </w:pPr>
    </w:p>
    <w:p w14:paraId="0E5D1212" w14:textId="3AB857AA" w:rsidR="00B66A76" w:rsidRPr="00B66A76" w:rsidRDefault="00B66A76" w:rsidP="00B66A76">
      <w:pPr>
        <w:tabs>
          <w:tab w:val="left" w:pos="851"/>
        </w:tabs>
        <w:ind w:left="851"/>
        <w:rPr>
          <w:iCs/>
          <w:sz w:val="20"/>
          <w:lang w:val="en-GB"/>
        </w:rPr>
      </w:pPr>
      <w:r w:rsidRPr="00B66A76">
        <w:rPr>
          <w:iCs/>
          <w:sz w:val="20"/>
          <w:lang w:val="en-GB"/>
        </w:rPr>
        <w:t>a: This side effect is included due to post-marketing reports of Imodium. The management of post-marketing adverse reactions does not take into account whether the product is used for chronic or acute diarrhoea or whether the product is used in children or adults. Therefore, the frequency of this adverse reaction is estimated from all clinical studies conducted with Imodium, i.e. also from clinical studies in children younger than 12 years (N=3683).</w:t>
      </w:r>
    </w:p>
    <w:p w14:paraId="238AF676" w14:textId="77777777" w:rsidR="00B66A76" w:rsidRPr="00B66A76" w:rsidRDefault="00B66A76" w:rsidP="00B66A76">
      <w:pPr>
        <w:tabs>
          <w:tab w:val="left" w:pos="851"/>
        </w:tabs>
        <w:ind w:left="851"/>
        <w:rPr>
          <w:iCs/>
          <w:sz w:val="20"/>
          <w:lang w:val="en-GB"/>
        </w:rPr>
      </w:pPr>
      <w:r w:rsidRPr="00B66A76">
        <w:rPr>
          <w:iCs/>
          <w:sz w:val="20"/>
          <w:lang w:val="en-GB"/>
        </w:rPr>
        <w:t xml:space="preserve">b: </w:t>
      </w:r>
      <w:r w:rsidRPr="00B66A76">
        <w:rPr>
          <w:sz w:val="20"/>
          <w:lang w:val="es-ES"/>
        </w:rPr>
        <w:t>See pkt. 4.3</w:t>
      </w:r>
    </w:p>
    <w:p w14:paraId="251DD001" w14:textId="77777777" w:rsidR="00B66A76" w:rsidRPr="00B66A76" w:rsidRDefault="00B66A76" w:rsidP="00B66A76">
      <w:pPr>
        <w:tabs>
          <w:tab w:val="left" w:pos="851"/>
        </w:tabs>
        <w:ind w:left="851"/>
        <w:rPr>
          <w:iCs/>
          <w:sz w:val="24"/>
          <w:szCs w:val="24"/>
          <w:lang w:val="en-GB"/>
        </w:rPr>
      </w:pPr>
    </w:p>
    <w:p w14:paraId="03C1869E" w14:textId="77777777" w:rsidR="00B66A76" w:rsidRPr="00B66A76" w:rsidRDefault="00B66A76" w:rsidP="00B66A76">
      <w:pPr>
        <w:tabs>
          <w:tab w:val="left" w:pos="851"/>
        </w:tabs>
        <w:ind w:left="851"/>
        <w:rPr>
          <w:iCs/>
          <w:sz w:val="24"/>
          <w:szCs w:val="24"/>
          <w:u w:val="single"/>
          <w:lang w:val="en-GB"/>
        </w:rPr>
      </w:pPr>
      <w:r w:rsidRPr="00B66A76">
        <w:rPr>
          <w:iCs/>
          <w:sz w:val="24"/>
          <w:szCs w:val="24"/>
          <w:u w:val="single"/>
          <w:lang w:val="en-GB"/>
        </w:rPr>
        <w:lastRenderedPageBreak/>
        <w:t>Paediatric population</w:t>
      </w:r>
    </w:p>
    <w:p w14:paraId="3255FD1E" w14:textId="77777777" w:rsidR="00B66A76" w:rsidRPr="00B66A76" w:rsidRDefault="00B66A76" w:rsidP="00B66A76">
      <w:pPr>
        <w:tabs>
          <w:tab w:val="left" w:pos="851"/>
        </w:tabs>
        <w:ind w:left="851"/>
        <w:rPr>
          <w:iCs/>
          <w:sz w:val="24"/>
          <w:szCs w:val="24"/>
          <w:lang w:val="en-GB"/>
        </w:rPr>
      </w:pPr>
      <w:r w:rsidRPr="00B66A76">
        <w:rPr>
          <w:iCs/>
          <w:sz w:val="24"/>
          <w:szCs w:val="24"/>
          <w:lang w:val="en-GB"/>
        </w:rPr>
        <w:t>The safety of Imodium was evaluated in 607 patients aged 10 days-13 years who participated in 13 clinical studies (controlled and uncontrolled) in which Imodium was used for the treatment of acute diarrhoea. The adverse event profile in this population was generally similar to that seen in the clinical studies of Imodium in adults and children over 12 years of age.</w:t>
      </w:r>
    </w:p>
    <w:p w14:paraId="465192A9" w14:textId="77777777" w:rsidR="00B66A76" w:rsidRPr="00B66A76" w:rsidRDefault="00B66A76" w:rsidP="00B66A76">
      <w:pPr>
        <w:tabs>
          <w:tab w:val="left" w:pos="851"/>
        </w:tabs>
        <w:ind w:left="851"/>
        <w:rPr>
          <w:b/>
          <w:bCs/>
          <w:sz w:val="24"/>
          <w:szCs w:val="24"/>
          <w:u w:val="single"/>
          <w:lang w:val="en-GB"/>
        </w:rPr>
      </w:pPr>
    </w:p>
    <w:p w14:paraId="562D1F81" w14:textId="77777777" w:rsidR="00B66A76" w:rsidRPr="00B66A76" w:rsidRDefault="00B66A76" w:rsidP="00B66A76">
      <w:pPr>
        <w:tabs>
          <w:tab w:val="left" w:pos="851"/>
        </w:tabs>
        <w:ind w:left="851"/>
        <w:rPr>
          <w:bCs/>
          <w:sz w:val="24"/>
          <w:szCs w:val="24"/>
          <w:u w:val="single"/>
          <w:lang w:val="en-US"/>
        </w:rPr>
      </w:pPr>
      <w:r w:rsidRPr="00B66A76">
        <w:rPr>
          <w:bCs/>
          <w:sz w:val="24"/>
          <w:szCs w:val="24"/>
          <w:u w:val="single"/>
          <w:lang w:val="en-US"/>
        </w:rPr>
        <w:t>Reporting of suspected adverse reactions</w:t>
      </w:r>
    </w:p>
    <w:p w14:paraId="1C1E876F" w14:textId="77777777" w:rsidR="00B66A76" w:rsidRPr="00B66A76" w:rsidRDefault="00B66A76" w:rsidP="00B66A76">
      <w:pPr>
        <w:tabs>
          <w:tab w:val="left" w:pos="851"/>
        </w:tabs>
        <w:ind w:left="851"/>
        <w:rPr>
          <w:bCs/>
          <w:sz w:val="24"/>
          <w:szCs w:val="24"/>
          <w:lang w:val="en-US"/>
        </w:rPr>
      </w:pPr>
      <w:r w:rsidRPr="00B66A76">
        <w:rPr>
          <w:bCs/>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via:</w:t>
      </w:r>
    </w:p>
    <w:p w14:paraId="5A3E728F" w14:textId="77777777" w:rsidR="00B66A76" w:rsidRPr="00B66A76" w:rsidRDefault="00B66A76" w:rsidP="00B66A76">
      <w:pPr>
        <w:tabs>
          <w:tab w:val="left" w:pos="851"/>
        </w:tabs>
        <w:ind w:left="851"/>
        <w:rPr>
          <w:bCs/>
          <w:sz w:val="24"/>
          <w:szCs w:val="24"/>
          <w:lang w:val="en-US"/>
        </w:rPr>
      </w:pPr>
      <w:bookmarkStart w:id="4" w:name="_Hlk112685907"/>
    </w:p>
    <w:p w14:paraId="28BDAB7F" w14:textId="77777777" w:rsidR="00B66A76" w:rsidRPr="00B66A76" w:rsidRDefault="00B66A76" w:rsidP="00B66A76">
      <w:pPr>
        <w:tabs>
          <w:tab w:val="left" w:pos="851"/>
        </w:tabs>
        <w:ind w:left="851"/>
        <w:rPr>
          <w:bCs/>
          <w:sz w:val="24"/>
          <w:szCs w:val="24"/>
          <w:lang w:val="en-US"/>
        </w:rPr>
      </w:pPr>
      <w:bookmarkStart w:id="5" w:name="_Hlk117501544"/>
      <w:bookmarkStart w:id="6" w:name="_Hlk112664459"/>
      <w:r w:rsidRPr="00B66A76">
        <w:rPr>
          <w:bCs/>
          <w:sz w:val="24"/>
          <w:szCs w:val="24"/>
          <w:lang w:val="en-US"/>
        </w:rPr>
        <w:t>Lægemiddelstyrelsen</w:t>
      </w:r>
    </w:p>
    <w:p w14:paraId="0F68EEEC" w14:textId="77777777" w:rsidR="00B66A76" w:rsidRPr="00B66A76" w:rsidRDefault="00B66A76" w:rsidP="00B66A76">
      <w:pPr>
        <w:tabs>
          <w:tab w:val="left" w:pos="851"/>
        </w:tabs>
        <w:ind w:left="851"/>
        <w:rPr>
          <w:bCs/>
          <w:sz w:val="24"/>
          <w:szCs w:val="24"/>
          <w:lang w:val="en-US"/>
        </w:rPr>
      </w:pPr>
      <w:bookmarkStart w:id="7" w:name="_Hlk117501524"/>
      <w:bookmarkEnd w:id="5"/>
      <w:r w:rsidRPr="00B66A76">
        <w:rPr>
          <w:bCs/>
          <w:sz w:val="24"/>
          <w:szCs w:val="24"/>
          <w:lang w:val="en-US"/>
        </w:rPr>
        <w:t>Axel Heides Gade 1</w:t>
      </w:r>
    </w:p>
    <w:p w14:paraId="47A287A9" w14:textId="77777777" w:rsidR="00B66A76" w:rsidRPr="00B66A76" w:rsidRDefault="00B66A76" w:rsidP="00B66A76">
      <w:pPr>
        <w:tabs>
          <w:tab w:val="left" w:pos="851"/>
        </w:tabs>
        <w:ind w:left="851"/>
        <w:rPr>
          <w:bCs/>
          <w:sz w:val="24"/>
          <w:szCs w:val="24"/>
        </w:rPr>
      </w:pPr>
      <w:r w:rsidRPr="00B66A76">
        <w:rPr>
          <w:bCs/>
          <w:sz w:val="24"/>
          <w:szCs w:val="24"/>
        </w:rPr>
        <w:t>DK-2300 København S</w:t>
      </w:r>
    </w:p>
    <w:p w14:paraId="413B3383" w14:textId="77777777" w:rsidR="00B66A76" w:rsidRPr="00B66A76" w:rsidRDefault="00B66A76" w:rsidP="00B66A76">
      <w:pPr>
        <w:tabs>
          <w:tab w:val="left" w:pos="851"/>
        </w:tabs>
        <w:ind w:left="851"/>
        <w:rPr>
          <w:bCs/>
          <w:sz w:val="24"/>
          <w:szCs w:val="24"/>
        </w:rPr>
      </w:pPr>
      <w:r w:rsidRPr="00B66A76">
        <w:rPr>
          <w:bCs/>
          <w:sz w:val="24"/>
          <w:szCs w:val="24"/>
        </w:rPr>
        <w:t>Website: www.meldenbivirkning.dk</w:t>
      </w:r>
      <w:bookmarkEnd w:id="4"/>
      <w:bookmarkEnd w:id="6"/>
      <w:bookmarkEnd w:id="7"/>
    </w:p>
    <w:p w14:paraId="25A23713" w14:textId="77777777" w:rsidR="007C5D2A" w:rsidRPr="00B66A76" w:rsidRDefault="007C5D2A" w:rsidP="007A4CC6">
      <w:pPr>
        <w:tabs>
          <w:tab w:val="left" w:pos="851"/>
        </w:tabs>
        <w:ind w:left="851"/>
        <w:rPr>
          <w:sz w:val="24"/>
          <w:szCs w:val="24"/>
        </w:rPr>
      </w:pPr>
    </w:p>
    <w:p w14:paraId="5B27977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624266C8" w14:textId="77777777" w:rsidR="00B66A76" w:rsidRDefault="00B66A76" w:rsidP="00B66A76">
      <w:pPr>
        <w:tabs>
          <w:tab w:val="left" w:pos="851"/>
        </w:tabs>
        <w:ind w:left="851"/>
        <w:rPr>
          <w:i/>
          <w:sz w:val="24"/>
          <w:szCs w:val="24"/>
          <w:lang w:val="en-GB"/>
        </w:rPr>
      </w:pPr>
    </w:p>
    <w:p w14:paraId="53A9A853" w14:textId="286DEBE3" w:rsidR="00B66A76" w:rsidRPr="00B66A76" w:rsidRDefault="00B66A76" w:rsidP="00B66A76">
      <w:pPr>
        <w:tabs>
          <w:tab w:val="left" w:pos="851"/>
        </w:tabs>
        <w:ind w:left="851"/>
        <w:rPr>
          <w:sz w:val="24"/>
          <w:szCs w:val="24"/>
          <w:u w:val="single"/>
          <w:lang w:val="en-GB"/>
        </w:rPr>
      </w:pPr>
      <w:r w:rsidRPr="00B66A76">
        <w:rPr>
          <w:sz w:val="24"/>
          <w:szCs w:val="24"/>
          <w:u w:val="single"/>
          <w:lang w:val="en-GB"/>
        </w:rPr>
        <w:t>Symptoms</w:t>
      </w:r>
    </w:p>
    <w:p w14:paraId="7F04DCF7" w14:textId="77777777" w:rsidR="00B66A76" w:rsidRPr="00B66A76" w:rsidRDefault="00B66A76" w:rsidP="00B66A76">
      <w:pPr>
        <w:tabs>
          <w:tab w:val="left" w:pos="851"/>
        </w:tabs>
        <w:ind w:left="851"/>
        <w:rPr>
          <w:sz w:val="24"/>
          <w:szCs w:val="24"/>
          <w:lang w:val="en-GB"/>
        </w:rPr>
      </w:pPr>
      <w:r w:rsidRPr="00B66A76">
        <w:rPr>
          <w:sz w:val="24"/>
          <w:szCs w:val="24"/>
          <w:lang w:val="en-GB"/>
        </w:rPr>
        <w:t>In case of overdose (including relative overdose due to hepatic dysfunction), CNS depression (stupor, coordination abnormality, somnolence, miosis, muscular hypertonia and respiratory depression), urinary retention and ileus may occur. Children may be more sensitive to CNS effects.</w:t>
      </w:r>
    </w:p>
    <w:p w14:paraId="789DF21A" w14:textId="77777777" w:rsidR="00B66A76" w:rsidRPr="00B66A76" w:rsidRDefault="00B66A76" w:rsidP="00B66A76">
      <w:pPr>
        <w:tabs>
          <w:tab w:val="left" w:pos="851"/>
        </w:tabs>
        <w:ind w:left="851"/>
        <w:rPr>
          <w:sz w:val="24"/>
          <w:szCs w:val="24"/>
          <w:lang w:val="en-GB"/>
        </w:rPr>
      </w:pPr>
    </w:p>
    <w:p w14:paraId="5E5DD1BE" w14:textId="77777777" w:rsidR="00B66A76" w:rsidRPr="00B66A76" w:rsidRDefault="00B66A76" w:rsidP="00B66A76">
      <w:pPr>
        <w:tabs>
          <w:tab w:val="left" w:pos="851"/>
        </w:tabs>
        <w:ind w:left="851"/>
        <w:rPr>
          <w:sz w:val="24"/>
          <w:szCs w:val="24"/>
          <w:lang w:val="en-GB"/>
        </w:rPr>
      </w:pPr>
      <w:r w:rsidRPr="00B66A76">
        <w:rPr>
          <w:sz w:val="24"/>
          <w:szCs w:val="24"/>
          <w:lang w:val="en-GB"/>
        </w:rPr>
        <w:t>In individuals who have ingested overdoses of loperamide, cardiac events such as QT interval and QRS complex prolongation, torsades de pointes, other serious ventricular arrhythmias, cardiac arrest and syncope have been observed (see section 4.4). Fatal cases have also been reported. Overdose can unmask existing Brugada syndrome.</w:t>
      </w:r>
    </w:p>
    <w:p w14:paraId="5044616E" w14:textId="77777777" w:rsidR="00B66A76" w:rsidRPr="00B66A76" w:rsidRDefault="00B66A76" w:rsidP="00B66A76">
      <w:pPr>
        <w:tabs>
          <w:tab w:val="left" w:pos="851"/>
        </w:tabs>
        <w:ind w:left="851"/>
        <w:rPr>
          <w:sz w:val="24"/>
          <w:szCs w:val="24"/>
          <w:lang w:val="en-GB"/>
        </w:rPr>
      </w:pPr>
    </w:p>
    <w:p w14:paraId="6A5A9904" w14:textId="1BFF2627" w:rsidR="00B66A76" w:rsidRPr="00B66A76" w:rsidRDefault="00B66A76" w:rsidP="00B66A76">
      <w:pPr>
        <w:tabs>
          <w:tab w:val="left" w:pos="851"/>
        </w:tabs>
        <w:ind w:left="851"/>
        <w:rPr>
          <w:sz w:val="24"/>
          <w:szCs w:val="24"/>
          <w:u w:val="single"/>
          <w:lang w:val="en-GB"/>
        </w:rPr>
      </w:pPr>
      <w:r w:rsidRPr="00B66A76">
        <w:rPr>
          <w:sz w:val="24"/>
          <w:szCs w:val="24"/>
          <w:u w:val="single"/>
          <w:lang w:val="en-GB"/>
        </w:rPr>
        <w:t>Treatment</w:t>
      </w:r>
    </w:p>
    <w:p w14:paraId="7E1A7DC1" w14:textId="77777777" w:rsidR="00B66A76" w:rsidRPr="00B66A76" w:rsidRDefault="00B66A76" w:rsidP="00B66A76">
      <w:pPr>
        <w:tabs>
          <w:tab w:val="left" w:pos="851"/>
        </w:tabs>
        <w:ind w:left="851"/>
        <w:rPr>
          <w:sz w:val="24"/>
          <w:szCs w:val="24"/>
          <w:lang w:val="en-GB"/>
        </w:rPr>
      </w:pPr>
      <w:r w:rsidRPr="00B66A76">
        <w:rPr>
          <w:sz w:val="24"/>
          <w:szCs w:val="24"/>
          <w:lang w:val="en-GB"/>
        </w:rPr>
        <w:t>In cases of overdose, ECG monitoring for QT interval prolongation should be initiated.</w:t>
      </w:r>
    </w:p>
    <w:p w14:paraId="5957426F" w14:textId="77777777" w:rsidR="00B66A76" w:rsidRPr="00B66A76" w:rsidRDefault="00B66A76" w:rsidP="00B66A76">
      <w:pPr>
        <w:tabs>
          <w:tab w:val="left" w:pos="851"/>
        </w:tabs>
        <w:ind w:left="851"/>
        <w:rPr>
          <w:sz w:val="24"/>
          <w:szCs w:val="24"/>
          <w:lang w:val="en-GB"/>
        </w:rPr>
      </w:pPr>
    </w:p>
    <w:p w14:paraId="039C76C4" w14:textId="77777777" w:rsidR="00B66A76" w:rsidRPr="00B66A76" w:rsidRDefault="00B66A76" w:rsidP="00B66A76">
      <w:pPr>
        <w:tabs>
          <w:tab w:val="left" w:pos="851"/>
        </w:tabs>
        <w:ind w:left="851"/>
        <w:rPr>
          <w:sz w:val="24"/>
          <w:szCs w:val="24"/>
          <w:lang w:val="en-GB"/>
        </w:rPr>
      </w:pPr>
      <w:r w:rsidRPr="00B66A76">
        <w:rPr>
          <w:sz w:val="24"/>
          <w:szCs w:val="24"/>
          <w:lang w:val="en-GB"/>
        </w:rPr>
        <w:t>If CNS symptoms of overdose occur, naloxone can be given as an antidote. Since the duration of action of loperamide is longer than that of naloxone (1 to 3 hours), repeated treatment with naloxone might be indicated. Therefore, the patient should be monitored closely for at least 48 hours in order to detect possible CNS depression.</w:t>
      </w:r>
    </w:p>
    <w:p w14:paraId="1A526387" w14:textId="77777777" w:rsidR="007C5D2A" w:rsidRPr="00303008" w:rsidRDefault="007C5D2A" w:rsidP="003E0341">
      <w:pPr>
        <w:tabs>
          <w:tab w:val="left" w:pos="851"/>
        </w:tabs>
        <w:ind w:left="851"/>
        <w:rPr>
          <w:sz w:val="24"/>
          <w:szCs w:val="24"/>
          <w:lang w:val="en-GB"/>
        </w:rPr>
      </w:pPr>
    </w:p>
    <w:p w14:paraId="65C10416" w14:textId="77777777" w:rsidR="008F2F8C" w:rsidRPr="00B60635" w:rsidRDefault="0042292D" w:rsidP="0042292D">
      <w:pPr>
        <w:tabs>
          <w:tab w:val="left" w:pos="851"/>
        </w:tabs>
        <w:rPr>
          <w:b/>
          <w:sz w:val="24"/>
          <w:szCs w:val="24"/>
          <w:lang w:val="en-US"/>
        </w:rPr>
      </w:pPr>
      <w:r w:rsidRPr="00B60635">
        <w:rPr>
          <w:b/>
          <w:sz w:val="24"/>
          <w:szCs w:val="24"/>
          <w:lang w:val="en-US"/>
        </w:rPr>
        <w:t>4.10</w:t>
      </w:r>
      <w:r w:rsidRPr="00B60635">
        <w:rPr>
          <w:b/>
          <w:sz w:val="24"/>
          <w:szCs w:val="24"/>
          <w:lang w:val="en-US"/>
        </w:rPr>
        <w:tab/>
        <w:t>Legal status</w:t>
      </w:r>
    </w:p>
    <w:p w14:paraId="199DB6D2" w14:textId="77777777" w:rsidR="00514410" w:rsidRPr="00514410" w:rsidRDefault="00514410" w:rsidP="00514410">
      <w:pPr>
        <w:tabs>
          <w:tab w:val="left" w:pos="851"/>
        </w:tabs>
        <w:ind w:left="851"/>
        <w:rPr>
          <w:sz w:val="24"/>
          <w:szCs w:val="24"/>
          <w:lang w:val="en-US"/>
        </w:rPr>
      </w:pPr>
      <w:r w:rsidRPr="00514410">
        <w:rPr>
          <w:sz w:val="24"/>
          <w:szCs w:val="24"/>
          <w:lang w:val="en-US"/>
        </w:rPr>
        <w:t>HX18 for pack sizes &lt; 20.</w:t>
      </w:r>
    </w:p>
    <w:p w14:paraId="5D8FBFAE" w14:textId="4712DBFF" w:rsidR="00B66A76" w:rsidRPr="00B66A76" w:rsidRDefault="00B66A76" w:rsidP="00B66A76">
      <w:pPr>
        <w:tabs>
          <w:tab w:val="left" w:pos="851"/>
        </w:tabs>
        <w:ind w:left="851"/>
        <w:rPr>
          <w:sz w:val="24"/>
          <w:szCs w:val="24"/>
          <w:lang w:val="en-US"/>
        </w:rPr>
      </w:pPr>
      <w:r w:rsidRPr="00B66A76">
        <w:rPr>
          <w:sz w:val="24"/>
          <w:szCs w:val="24"/>
          <w:lang w:val="en-US"/>
        </w:rPr>
        <w:t xml:space="preserve">HA18 for pack sizes ≥ 20 stk. </w:t>
      </w:r>
    </w:p>
    <w:p w14:paraId="3B2FB6B1" w14:textId="77777777" w:rsidR="007C5D2A" w:rsidRPr="00514410" w:rsidRDefault="007C5D2A" w:rsidP="003E0341">
      <w:pPr>
        <w:tabs>
          <w:tab w:val="left" w:pos="851"/>
        </w:tabs>
        <w:ind w:left="851"/>
        <w:rPr>
          <w:sz w:val="24"/>
          <w:szCs w:val="24"/>
          <w:lang w:val="en-US"/>
        </w:rPr>
      </w:pPr>
    </w:p>
    <w:p w14:paraId="308071EE" w14:textId="77777777" w:rsidR="00AD2E36" w:rsidRPr="00514410" w:rsidRDefault="00AD2E36" w:rsidP="003E0341">
      <w:pPr>
        <w:tabs>
          <w:tab w:val="left" w:pos="851"/>
        </w:tabs>
        <w:ind w:left="851"/>
        <w:rPr>
          <w:sz w:val="24"/>
          <w:szCs w:val="24"/>
          <w:lang w:val="en-US"/>
        </w:rPr>
      </w:pPr>
    </w:p>
    <w:p w14:paraId="4A9F71D4"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61DEBEF6" w14:textId="77777777" w:rsidR="007C5D2A" w:rsidRDefault="007C5D2A" w:rsidP="003E0341">
      <w:pPr>
        <w:tabs>
          <w:tab w:val="left" w:pos="851"/>
        </w:tabs>
        <w:ind w:left="851"/>
        <w:rPr>
          <w:sz w:val="24"/>
          <w:szCs w:val="24"/>
          <w:lang w:val="en-GB"/>
        </w:rPr>
      </w:pPr>
    </w:p>
    <w:p w14:paraId="3950C14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3C6CCD37" w14:textId="24F30245" w:rsidR="00514410" w:rsidRPr="00514410" w:rsidRDefault="00514410" w:rsidP="00514410">
      <w:pPr>
        <w:tabs>
          <w:tab w:val="left" w:pos="851"/>
        </w:tabs>
        <w:ind w:left="851"/>
        <w:rPr>
          <w:sz w:val="24"/>
          <w:szCs w:val="24"/>
          <w:lang w:val="en-GB"/>
        </w:rPr>
      </w:pPr>
      <w:r w:rsidRPr="00514410">
        <w:rPr>
          <w:sz w:val="24"/>
          <w:szCs w:val="24"/>
          <w:lang w:val="en-GB"/>
        </w:rPr>
        <w:t xml:space="preserve">Pharmacotherapeutic </w:t>
      </w:r>
      <w:r>
        <w:rPr>
          <w:sz w:val="24"/>
          <w:szCs w:val="24"/>
          <w:lang w:val="en-GB"/>
        </w:rPr>
        <w:t>gr</w:t>
      </w:r>
      <w:r w:rsidRPr="00514410">
        <w:rPr>
          <w:sz w:val="24"/>
          <w:szCs w:val="24"/>
          <w:lang w:val="en-GB"/>
        </w:rPr>
        <w:t>oup: Antipropulsives</w:t>
      </w:r>
      <w:r>
        <w:rPr>
          <w:sz w:val="24"/>
          <w:szCs w:val="24"/>
          <w:lang w:val="en-GB"/>
        </w:rPr>
        <w:t xml:space="preserve">, </w:t>
      </w:r>
      <w:r w:rsidRPr="00514410">
        <w:rPr>
          <w:sz w:val="24"/>
          <w:szCs w:val="24"/>
          <w:lang w:val="en-GB"/>
        </w:rPr>
        <w:t>ATC code: A07DA03</w:t>
      </w:r>
      <w:r>
        <w:rPr>
          <w:sz w:val="24"/>
          <w:szCs w:val="24"/>
          <w:lang w:val="en-GB"/>
        </w:rPr>
        <w:t>.</w:t>
      </w:r>
    </w:p>
    <w:p w14:paraId="3509849B" w14:textId="77777777" w:rsidR="00514410" w:rsidRPr="00514410" w:rsidRDefault="00514410" w:rsidP="00514410">
      <w:pPr>
        <w:tabs>
          <w:tab w:val="left" w:pos="851"/>
        </w:tabs>
        <w:ind w:left="851"/>
        <w:rPr>
          <w:sz w:val="24"/>
          <w:szCs w:val="24"/>
          <w:lang w:val="en-GB"/>
        </w:rPr>
      </w:pPr>
    </w:p>
    <w:p w14:paraId="49310F0A" w14:textId="77777777" w:rsidR="00514410" w:rsidRPr="00514410" w:rsidRDefault="00514410" w:rsidP="00514410">
      <w:pPr>
        <w:tabs>
          <w:tab w:val="left" w:pos="851"/>
        </w:tabs>
        <w:ind w:left="851"/>
        <w:rPr>
          <w:i/>
          <w:sz w:val="24"/>
          <w:szCs w:val="24"/>
          <w:lang w:val="en-GB"/>
        </w:rPr>
      </w:pPr>
      <w:r w:rsidRPr="00514410">
        <w:rPr>
          <w:sz w:val="24"/>
          <w:szCs w:val="24"/>
          <w:lang w:val="en-GB"/>
        </w:rPr>
        <w:t xml:space="preserve">Loperamide binds to the opiate receptor in the gut wall, reducing propulsive peristalsis, increasing intestinal transit time and enhancing resorption of water and electrolytes. </w:t>
      </w:r>
      <w:r w:rsidRPr="00514410">
        <w:rPr>
          <w:sz w:val="24"/>
          <w:szCs w:val="24"/>
          <w:lang w:val="en-GB"/>
        </w:rPr>
        <w:lastRenderedPageBreak/>
        <w:t>Loperamide increases the tone of the anal sphincter, which helps reduce faecal incontinence and urgency.</w:t>
      </w:r>
    </w:p>
    <w:p w14:paraId="684E9295" w14:textId="77777777" w:rsidR="007C5D2A" w:rsidRPr="00303008" w:rsidRDefault="007C5D2A" w:rsidP="003E0341">
      <w:pPr>
        <w:tabs>
          <w:tab w:val="left" w:pos="851"/>
        </w:tabs>
        <w:ind w:left="851"/>
        <w:rPr>
          <w:sz w:val="24"/>
          <w:szCs w:val="24"/>
          <w:lang w:val="en-GB"/>
        </w:rPr>
      </w:pPr>
    </w:p>
    <w:p w14:paraId="295A409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7E88A9C2" w14:textId="77777777" w:rsidR="00E85432" w:rsidRDefault="00E85432" w:rsidP="00E85432">
      <w:pPr>
        <w:tabs>
          <w:tab w:val="left" w:pos="851"/>
        </w:tabs>
        <w:ind w:left="851"/>
        <w:rPr>
          <w:sz w:val="24"/>
          <w:szCs w:val="24"/>
          <w:lang w:val="en-GB"/>
        </w:rPr>
      </w:pPr>
    </w:p>
    <w:p w14:paraId="5FE2A7D5" w14:textId="77777777" w:rsidR="00E85432" w:rsidRPr="00E85432" w:rsidRDefault="00E85432" w:rsidP="00E85432">
      <w:pPr>
        <w:tabs>
          <w:tab w:val="left" w:pos="851"/>
        </w:tabs>
        <w:ind w:left="851"/>
        <w:rPr>
          <w:sz w:val="24"/>
          <w:szCs w:val="24"/>
          <w:u w:val="single"/>
          <w:lang w:val="en-GB"/>
        </w:rPr>
      </w:pPr>
      <w:r w:rsidRPr="00E85432">
        <w:rPr>
          <w:sz w:val="24"/>
          <w:szCs w:val="24"/>
          <w:u w:val="single"/>
          <w:lang w:val="en-GB"/>
        </w:rPr>
        <w:t>Absorption</w:t>
      </w:r>
    </w:p>
    <w:p w14:paraId="622679EA" w14:textId="79AF948C" w:rsidR="00E85432" w:rsidRPr="00E85432" w:rsidRDefault="00E85432" w:rsidP="00E85432">
      <w:pPr>
        <w:tabs>
          <w:tab w:val="left" w:pos="851"/>
        </w:tabs>
        <w:ind w:left="851"/>
        <w:rPr>
          <w:sz w:val="24"/>
          <w:szCs w:val="24"/>
          <w:lang w:val="en-GB"/>
        </w:rPr>
      </w:pPr>
      <w:r w:rsidRPr="00E85432">
        <w:rPr>
          <w:sz w:val="24"/>
          <w:szCs w:val="24"/>
          <w:lang w:val="en-GB"/>
        </w:rPr>
        <w:t>Most ingested loperamide is absorbed from the gut (approximately 40</w:t>
      </w:r>
      <w:r>
        <w:rPr>
          <w:sz w:val="24"/>
          <w:szCs w:val="24"/>
          <w:lang w:val="en-GB"/>
        </w:rPr>
        <w:t xml:space="preserve"> </w:t>
      </w:r>
      <w:r w:rsidRPr="00E85432">
        <w:rPr>
          <w:sz w:val="24"/>
          <w:szCs w:val="24"/>
          <w:lang w:val="en-GB"/>
        </w:rPr>
        <w:t>%), but as a result of significant first pass metabolism, systemic bioavailability is only approximately 0.3</w:t>
      </w:r>
      <w:r>
        <w:rPr>
          <w:sz w:val="24"/>
          <w:szCs w:val="24"/>
          <w:lang w:val="en-GB"/>
        </w:rPr>
        <w:t xml:space="preserve"> </w:t>
      </w:r>
      <w:r w:rsidRPr="00E85432">
        <w:rPr>
          <w:sz w:val="24"/>
          <w:szCs w:val="24"/>
          <w:lang w:val="en-GB"/>
        </w:rPr>
        <w:t>%.</w:t>
      </w:r>
    </w:p>
    <w:p w14:paraId="791FF01A" w14:textId="77777777" w:rsidR="00E85432" w:rsidRPr="00E85432" w:rsidRDefault="00E85432" w:rsidP="00E85432">
      <w:pPr>
        <w:tabs>
          <w:tab w:val="left" w:pos="851"/>
        </w:tabs>
        <w:ind w:left="851"/>
        <w:rPr>
          <w:sz w:val="24"/>
          <w:szCs w:val="24"/>
          <w:lang w:val="en-GB"/>
        </w:rPr>
      </w:pPr>
    </w:p>
    <w:p w14:paraId="09D93E94" w14:textId="77777777" w:rsidR="00E85432" w:rsidRPr="00E85432" w:rsidRDefault="00E85432" w:rsidP="00E85432">
      <w:pPr>
        <w:tabs>
          <w:tab w:val="left" w:pos="851"/>
        </w:tabs>
        <w:ind w:left="851"/>
        <w:rPr>
          <w:sz w:val="24"/>
          <w:szCs w:val="24"/>
          <w:u w:val="single"/>
          <w:lang w:val="en-GB"/>
        </w:rPr>
      </w:pPr>
      <w:r w:rsidRPr="00E85432">
        <w:rPr>
          <w:sz w:val="24"/>
          <w:szCs w:val="24"/>
          <w:u w:val="single"/>
          <w:lang w:val="en-GB"/>
        </w:rPr>
        <w:t>Distribution</w:t>
      </w:r>
    </w:p>
    <w:p w14:paraId="594B1D70" w14:textId="04ECC1F3" w:rsidR="00E85432" w:rsidRPr="00E85432" w:rsidRDefault="00E85432" w:rsidP="00E85432">
      <w:pPr>
        <w:tabs>
          <w:tab w:val="left" w:pos="851"/>
        </w:tabs>
        <w:ind w:left="851"/>
        <w:rPr>
          <w:sz w:val="24"/>
          <w:szCs w:val="24"/>
          <w:lang w:val="en-GB"/>
        </w:rPr>
      </w:pPr>
      <w:r w:rsidRPr="00E85432">
        <w:rPr>
          <w:sz w:val="24"/>
          <w:szCs w:val="24"/>
          <w:lang w:val="en-GB"/>
        </w:rPr>
        <w:t>Studies on distribution in rats show a high affinity for the gut wall with a preference for binding to receptors of the longitudinal muscle layer. The plasma protein binding of loperamide is 95</w:t>
      </w:r>
      <w:r>
        <w:rPr>
          <w:sz w:val="24"/>
          <w:szCs w:val="24"/>
          <w:lang w:val="en-GB"/>
        </w:rPr>
        <w:t xml:space="preserve"> </w:t>
      </w:r>
      <w:r w:rsidRPr="00E85432">
        <w:rPr>
          <w:sz w:val="24"/>
          <w:szCs w:val="24"/>
          <w:lang w:val="en-GB"/>
        </w:rPr>
        <w:t>%, mainly to albumin. Non-clinical data have shown that loperamide is a P-glycoprotein substrate.</w:t>
      </w:r>
    </w:p>
    <w:p w14:paraId="31B5459A" w14:textId="77777777" w:rsidR="00E85432" w:rsidRPr="00E85432" w:rsidRDefault="00E85432" w:rsidP="00E85432">
      <w:pPr>
        <w:tabs>
          <w:tab w:val="left" w:pos="851"/>
        </w:tabs>
        <w:ind w:left="851"/>
        <w:rPr>
          <w:sz w:val="24"/>
          <w:szCs w:val="24"/>
          <w:lang w:val="en-GB"/>
        </w:rPr>
      </w:pPr>
    </w:p>
    <w:p w14:paraId="33FBD516" w14:textId="77777777" w:rsidR="00E85432" w:rsidRPr="00E85432" w:rsidRDefault="00E85432" w:rsidP="00E85432">
      <w:pPr>
        <w:tabs>
          <w:tab w:val="left" w:pos="851"/>
        </w:tabs>
        <w:ind w:left="851"/>
        <w:rPr>
          <w:sz w:val="24"/>
          <w:szCs w:val="24"/>
          <w:u w:val="single"/>
          <w:lang w:val="en-GB"/>
        </w:rPr>
      </w:pPr>
      <w:r w:rsidRPr="00E85432">
        <w:rPr>
          <w:sz w:val="24"/>
          <w:szCs w:val="24"/>
          <w:u w:val="single"/>
          <w:lang w:val="en-GB"/>
        </w:rPr>
        <w:t>Metabolism or biotransformation</w:t>
      </w:r>
    </w:p>
    <w:p w14:paraId="123BFEB6" w14:textId="5E9923B6" w:rsidR="00E85432" w:rsidRPr="00E85432" w:rsidRDefault="00E85432" w:rsidP="00E85432">
      <w:pPr>
        <w:tabs>
          <w:tab w:val="left" w:pos="851"/>
        </w:tabs>
        <w:ind w:left="851"/>
        <w:rPr>
          <w:sz w:val="24"/>
          <w:szCs w:val="24"/>
          <w:lang w:val="en-GB"/>
        </w:rPr>
      </w:pPr>
      <w:r w:rsidRPr="00E85432">
        <w:rPr>
          <w:sz w:val="24"/>
          <w:szCs w:val="24"/>
          <w:lang w:val="en-GB"/>
        </w:rPr>
        <w:t>loperamide is almost completely extracted by the liver, where it is predominantly metabolized, conjugated, and excreted via the bile. Oxidative N-demethylation is the main metabolic pathway for loperamide and is mediated mainly through CYP3A4 and CYP2C8. Due to this very high first pass effect, plasma concentrations of unchanged drug remain extremely low.</w:t>
      </w:r>
    </w:p>
    <w:p w14:paraId="22A756D3" w14:textId="77777777" w:rsidR="00E85432" w:rsidRPr="00E85432" w:rsidRDefault="00E85432" w:rsidP="00E85432">
      <w:pPr>
        <w:tabs>
          <w:tab w:val="left" w:pos="851"/>
        </w:tabs>
        <w:ind w:left="851"/>
        <w:rPr>
          <w:sz w:val="24"/>
          <w:szCs w:val="24"/>
          <w:lang w:val="en-GB"/>
        </w:rPr>
      </w:pPr>
    </w:p>
    <w:p w14:paraId="0FD65792" w14:textId="77777777" w:rsidR="00E85432" w:rsidRPr="00E85432" w:rsidRDefault="00E85432" w:rsidP="00E85432">
      <w:pPr>
        <w:tabs>
          <w:tab w:val="left" w:pos="851"/>
        </w:tabs>
        <w:ind w:left="851"/>
        <w:rPr>
          <w:sz w:val="24"/>
          <w:szCs w:val="24"/>
          <w:u w:val="single"/>
          <w:lang w:val="en-GB"/>
        </w:rPr>
      </w:pPr>
      <w:r w:rsidRPr="00E85432">
        <w:rPr>
          <w:sz w:val="24"/>
          <w:szCs w:val="24"/>
          <w:u w:val="single"/>
          <w:lang w:val="en-GB"/>
        </w:rPr>
        <w:t>Elimination</w:t>
      </w:r>
    </w:p>
    <w:p w14:paraId="08BA93CE" w14:textId="6F830150" w:rsidR="00E85432" w:rsidRPr="00E85432" w:rsidRDefault="00E85432" w:rsidP="00E85432">
      <w:pPr>
        <w:tabs>
          <w:tab w:val="left" w:pos="851"/>
        </w:tabs>
        <w:ind w:left="851"/>
        <w:rPr>
          <w:sz w:val="24"/>
          <w:szCs w:val="24"/>
          <w:lang w:val="en-GB"/>
        </w:rPr>
      </w:pPr>
      <w:r w:rsidRPr="00E85432">
        <w:rPr>
          <w:sz w:val="24"/>
          <w:szCs w:val="24"/>
          <w:lang w:val="en-GB"/>
        </w:rPr>
        <w:t>The half-life of loperamide in man is about 11 hours with a range of 9-14 hours. Excretion of the unchanged loperamide and the metabolites mainly occurs through the faeces.</w:t>
      </w:r>
    </w:p>
    <w:p w14:paraId="78C4ED52" w14:textId="77777777" w:rsidR="00E85432" w:rsidRPr="00E85432" w:rsidRDefault="00E85432" w:rsidP="00E85432">
      <w:pPr>
        <w:tabs>
          <w:tab w:val="left" w:pos="851"/>
        </w:tabs>
        <w:ind w:left="851"/>
        <w:rPr>
          <w:sz w:val="24"/>
          <w:szCs w:val="24"/>
          <w:lang w:val="en-GB"/>
        </w:rPr>
      </w:pPr>
    </w:p>
    <w:p w14:paraId="35D1586D" w14:textId="77777777" w:rsidR="00E85432" w:rsidRPr="00E85432" w:rsidRDefault="00E85432" w:rsidP="00E85432">
      <w:pPr>
        <w:tabs>
          <w:tab w:val="left" w:pos="851"/>
        </w:tabs>
        <w:ind w:left="851"/>
        <w:rPr>
          <w:sz w:val="24"/>
          <w:szCs w:val="24"/>
          <w:u w:val="single"/>
          <w:lang w:val="en-GB"/>
        </w:rPr>
      </w:pPr>
      <w:r w:rsidRPr="00E85432">
        <w:rPr>
          <w:sz w:val="24"/>
          <w:szCs w:val="24"/>
          <w:u w:val="single"/>
          <w:lang w:val="en-GB"/>
        </w:rPr>
        <w:t>Paediatric population</w:t>
      </w:r>
    </w:p>
    <w:p w14:paraId="3B3A2E55" w14:textId="77777777" w:rsidR="00E85432" w:rsidRPr="00E85432" w:rsidRDefault="00E85432" w:rsidP="00E85432">
      <w:pPr>
        <w:tabs>
          <w:tab w:val="left" w:pos="851"/>
        </w:tabs>
        <w:ind w:left="851"/>
        <w:rPr>
          <w:sz w:val="24"/>
          <w:szCs w:val="24"/>
          <w:lang w:val="en-GB"/>
        </w:rPr>
      </w:pPr>
      <w:r w:rsidRPr="00E85432">
        <w:rPr>
          <w:sz w:val="24"/>
          <w:szCs w:val="24"/>
          <w:lang w:val="en-GB"/>
        </w:rPr>
        <w:t>No pharmacokinetic studies have been conducted in the paediatric population. The pharmacokinetic behavior of loperamide and drug interactions with loperamide are expected to be similar to those of adults.</w:t>
      </w:r>
    </w:p>
    <w:p w14:paraId="0CA62806" w14:textId="77777777" w:rsidR="007C5D2A" w:rsidRPr="00303008" w:rsidRDefault="007C5D2A" w:rsidP="003E0341">
      <w:pPr>
        <w:tabs>
          <w:tab w:val="left" w:pos="851"/>
        </w:tabs>
        <w:ind w:left="851"/>
        <w:rPr>
          <w:sz w:val="24"/>
          <w:szCs w:val="24"/>
          <w:lang w:val="en-GB"/>
        </w:rPr>
      </w:pPr>
    </w:p>
    <w:p w14:paraId="5D5A1AC3"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7B805C29" w14:textId="77777777" w:rsidR="00782BD3" w:rsidRPr="00782BD3" w:rsidRDefault="00782BD3" w:rsidP="00782BD3">
      <w:pPr>
        <w:tabs>
          <w:tab w:val="left" w:pos="851"/>
        </w:tabs>
        <w:ind w:left="851"/>
        <w:rPr>
          <w:bCs/>
          <w:sz w:val="24"/>
          <w:szCs w:val="24"/>
          <w:lang w:val="en-GB"/>
        </w:rPr>
      </w:pPr>
      <w:r w:rsidRPr="00782BD3">
        <w:rPr>
          <w:bCs/>
          <w:sz w:val="24"/>
          <w:szCs w:val="24"/>
          <w:lang w:val="en-GB"/>
        </w:rPr>
        <w:t>Non-clinical data reveal no special hazard for humans at clinically relevant doses in conventional studies of safety pharmacology, repeat dose toxicity, genotoxicity, carcinogenicity, reproductive and developmental toxicity.</w:t>
      </w:r>
    </w:p>
    <w:p w14:paraId="065C7993" w14:textId="77777777" w:rsidR="00782BD3" w:rsidRPr="00782BD3" w:rsidRDefault="00782BD3" w:rsidP="00782BD3">
      <w:pPr>
        <w:tabs>
          <w:tab w:val="left" w:pos="851"/>
        </w:tabs>
        <w:ind w:left="851"/>
        <w:rPr>
          <w:bCs/>
          <w:sz w:val="24"/>
          <w:szCs w:val="24"/>
          <w:lang w:val="en-GB"/>
        </w:rPr>
      </w:pPr>
    </w:p>
    <w:p w14:paraId="24B0A670" w14:textId="77777777" w:rsidR="00782BD3" w:rsidRPr="00782BD3" w:rsidRDefault="00782BD3" w:rsidP="00782BD3">
      <w:pPr>
        <w:tabs>
          <w:tab w:val="left" w:pos="851"/>
        </w:tabs>
        <w:ind w:left="851"/>
        <w:rPr>
          <w:b/>
          <w:bCs/>
          <w:sz w:val="24"/>
          <w:szCs w:val="24"/>
          <w:lang w:val="en-GB"/>
        </w:rPr>
      </w:pPr>
      <w:r w:rsidRPr="00782BD3">
        <w:rPr>
          <w:bCs/>
          <w:sz w:val="24"/>
          <w:szCs w:val="24"/>
          <w:lang w:val="en-GB"/>
        </w:rPr>
        <w:t>Loperamide had no effects on fertility in male rats when doses up to 40 mg/kg were administered orally prior to mating (20-fold clinically relevant adult dose). There were no pregnancies in females treated with 40 mg/kg. The lower doses (10 and 2.5 mg/kg) did not affect female fertility (1.25 to 5-fold clinically relevant adult dose). In rabbits, no differences in pregnancy rate were observed when females were administered doses up to 40 mg/kg orally (40-fold clinically relevant adult dose).</w:t>
      </w:r>
    </w:p>
    <w:p w14:paraId="27EDECB5" w14:textId="77777777" w:rsidR="00782BD3" w:rsidRPr="00782BD3" w:rsidRDefault="00782BD3" w:rsidP="00782BD3">
      <w:pPr>
        <w:tabs>
          <w:tab w:val="left" w:pos="851"/>
        </w:tabs>
        <w:ind w:left="851"/>
        <w:rPr>
          <w:sz w:val="24"/>
          <w:szCs w:val="24"/>
          <w:lang w:val="en-GB"/>
        </w:rPr>
      </w:pPr>
    </w:p>
    <w:p w14:paraId="6D9EA34F" w14:textId="77777777" w:rsidR="00782BD3" w:rsidRPr="00782BD3" w:rsidRDefault="00782BD3" w:rsidP="00782BD3">
      <w:pPr>
        <w:tabs>
          <w:tab w:val="left" w:pos="851"/>
        </w:tabs>
        <w:ind w:left="851"/>
        <w:rPr>
          <w:sz w:val="24"/>
          <w:szCs w:val="24"/>
          <w:lang w:val="en-GB"/>
        </w:rPr>
      </w:pPr>
      <w:r w:rsidRPr="00782BD3">
        <w:rPr>
          <w:sz w:val="24"/>
          <w:szCs w:val="24"/>
          <w:lang w:val="en-GB"/>
        </w:rPr>
        <w:t xml:space="preserve">In non-clinical </w:t>
      </w:r>
      <w:r w:rsidRPr="00782BD3">
        <w:rPr>
          <w:i/>
          <w:sz w:val="24"/>
          <w:szCs w:val="24"/>
          <w:lang w:val="en-GB"/>
        </w:rPr>
        <w:t>in vitro</w:t>
      </w:r>
      <w:r w:rsidRPr="00782BD3">
        <w:rPr>
          <w:sz w:val="24"/>
          <w:szCs w:val="24"/>
          <w:lang w:val="en-GB"/>
        </w:rPr>
        <w:t xml:space="preserve"> and </w:t>
      </w:r>
      <w:r w:rsidRPr="00782BD3">
        <w:rPr>
          <w:i/>
          <w:sz w:val="24"/>
          <w:szCs w:val="24"/>
          <w:lang w:val="en-GB"/>
        </w:rPr>
        <w:t>in vivo</w:t>
      </w:r>
      <w:r w:rsidRPr="00782BD3">
        <w:rPr>
          <w:sz w:val="24"/>
          <w:szCs w:val="24"/>
          <w:lang w:val="en-GB"/>
        </w:rPr>
        <w:t xml:space="preserve"> assessment, there is no indication of significant cardiac electrophysiological effects within the therapeutically relevant concentration range and at significant excess of this range (up to 47-fold).</w:t>
      </w:r>
    </w:p>
    <w:p w14:paraId="79EBF971" w14:textId="77777777" w:rsidR="00782BD3" w:rsidRPr="00782BD3" w:rsidRDefault="00782BD3" w:rsidP="00782BD3">
      <w:pPr>
        <w:tabs>
          <w:tab w:val="left" w:pos="851"/>
        </w:tabs>
        <w:ind w:left="851"/>
        <w:rPr>
          <w:sz w:val="24"/>
          <w:szCs w:val="24"/>
          <w:lang w:val="en-GB"/>
        </w:rPr>
      </w:pPr>
      <w:r w:rsidRPr="00782BD3">
        <w:rPr>
          <w:sz w:val="24"/>
          <w:szCs w:val="24"/>
          <w:lang w:val="en-GB"/>
        </w:rPr>
        <w:t>However, at extremely high concentrations associated with overdose (see section 4.4), loperamide has cardiac electrophysiological effects consisting of inhibition of potassium (hERG) and sodium channels, and arrhythmias.</w:t>
      </w:r>
    </w:p>
    <w:p w14:paraId="6F7BF3D6" w14:textId="77777777" w:rsidR="007C5D2A" w:rsidRPr="00303008" w:rsidRDefault="007C5D2A" w:rsidP="003E0341">
      <w:pPr>
        <w:tabs>
          <w:tab w:val="left" w:pos="851"/>
        </w:tabs>
        <w:ind w:left="851"/>
        <w:rPr>
          <w:sz w:val="24"/>
          <w:szCs w:val="24"/>
          <w:lang w:val="en-GB"/>
        </w:rPr>
      </w:pPr>
    </w:p>
    <w:p w14:paraId="0146513B" w14:textId="77777777" w:rsidR="007C5D2A" w:rsidRPr="00303008" w:rsidRDefault="007C5D2A" w:rsidP="003E0341">
      <w:pPr>
        <w:tabs>
          <w:tab w:val="left" w:pos="851"/>
        </w:tabs>
        <w:ind w:left="851"/>
        <w:rPr>
          <w:sz w:val="24"/>
          <w:szCs w:val="24"/>
          <w:lang w:val="en-GB"/>
        </w:rPr>
      </w:pPr>
    </w:p>
    <w:p w14:paraId="01A6FAE9" w14:textId="77777777" w:rsidR="007C5D2A" w:rsidRPr="00303008" w:rsidRDefault="009925C9" w:rsidP="007C5D2A">
      <w:pPr>
        <w:ind w:left="851" w:hanging="851"/>
        <w:rPr>
          <w:b/>
          <w:sz w:val="24"/>
          <w:szCs w:val="24"/>
          <w:lang w:val="en-GB"/>
        </w:rPr>
      </w:pPr>
      <w:r w:rsidRPr="00303008">
        <w:rPr>
          <w:b/>
          <w:sz w:val="24"/>
          <w:szCs w:val="24"/>
          <w:lang w:val="en-GB"/>
        </w:rPr>
        <w:lastRenderedPageBreak/>
        <w:t>6.</w:t>
      </w:r>
      <w:r w:rsidR="007C5D2A" w:rsidRPr="00303008">
        <w:rPr>
          <w:b/>
          <w:sz w:val="24"/>
          <w:szCs w:val="24"/>
          <w:lang w:val="en-GB"/>
        </w:rPr>
        <w:tab/>
        <w:t>PHARMACEUTICAL PARTICULARS</w:t>
      </w:r>
    </w:p>
    <w:p w14:paraId="7DF47224" w14:textId="77777777" w:rsidR="007C5D2A" w:rsidRPr="00303008" w:rsidRDefault="007C5D2A" w:rsidP="003E0341">
      <w:pPr>
        <w:tabs>
          <w:tab w:val="left" w:pos="851"/>
        </w:tabs>
        <w:ind w:left="851"/>
        <w:rPr>
          <w:sz w:val="24"/>
          <w:szCs w:val="24"/>
          <w:lang w:val="en-GB"/>
        </w:rPr>
      </w:pPr>
    </w:p>
    <w:p w14:paraId="25CBCEF1"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1D87FC13" w14:textId="77777777" w:rsidR="00482F31" w:rsidRPr="00482F31" w:rsidRDefault="00482F31" w:rsidP="00482F31">
      <w:pPr>
        <w:tabs>
          <w:tab w:val="left" w:pos="851"/>
        </w:tabs>
        <w:ind w:left="851"/>
        <w:rPr>
          <w:sz w:val="24"/>
          <w:szCs w:val="24"/>
          <w:lang w:val="en-US"/>
        </w:rPr>
      </w:pPr>
      <w:r w:rsidRPr="00482F31">
        <w:rPr>
          <w:sz w:val="24"/>
          <w:szCs w:val="24"/>
          <w:lang w:val="en-US"/>
        </w:rPr>
        <w:t xml:space="preserve">Lactose monohydrate </w:t>
      </w:r>
    </w:p>
    <w:p w14:paraId="04DE26B1" w14:textId="77777777" w:rsidR="00482F31" w:rsidRPr="00482F31" w:rsidRDefault="00482F31" w:rsidP="00482F31">
      <w:pPr>
        <w:tabs>
          <w:tab w:val="left" w:pos="851"/>
        </w:tabs>
        <w:ind w:left="851"/>
        <w:rPr>
          <w:sz w:val="24"/>
          <w:szCs w:val="24"/>
          <w:u w:val="single"/>
          <w:lang w:val="en-GB"/>
        </w:rPr>
      </w:pPr>
    </w:p>
    <w:p w14:paraId="597F1A35" w14:textId="7FE4F8A2" w:rsidR="00482F31" w:rsidRPr="00482F31" w:rsidRDefault="00482F31" w:rsidP="00482F31">
      <w:pPr>
        <w:tabs>
          <w:tab w:val="left" w:pos="851"/>
        </w:tabs>
        <w:ind w:left="851"/>
        <w:rPr>
          <w:sz w:val="24"/>
          <w:szCs w:val="24"/>
          <w:u w:val="single"/>
          <w:lang w:val="en-GB"/>
        </w:rPr>
      </w:pPr>
      <w:r w:rsidRPr="00482F31">
        <w:rPr>
          <w:sz w:val="24"/>
          <w:szCs w:val="24"/>
          <w:u w:val="single"/>
          <w:lang w:val="en-GB"/>
        </w:rPr>
        <w:t>Capsule</w:t>
      </w:r>
    </w:p>
    <w:p w14:paraId="7C1D4F26" w14:textId="0E235E4F" w:rsidR="00482F31" w:rsidRPr="00482F31" w:rsidRDefault="00482F31" w:rsidP="00482F31">
      <w:pPr>
        <w:tabs>
          <w:tab w:val="left" w:pos="851"/>
        </w:tabs>
        <w:ind w:left="851"/>
        <w:rPr>
          <w:sz w:val="24"/>
          <w:szCs w:val="24"/>
          <w:lang w:val="en-US"/>
        </w:rPr>
      </w:pPr>
      <w:r w:rsidRPr="00482F31">
        <w:rPr>
          <w:sz w:val="24"/>
          <w:szCs w:val="24"/>
          <w:lang w:val="en-US"/>
        </w:rPr>
        <w:t>Titanium dioxide (E171)</w:t>
      </w:r>
    </w:p>
    <w:p w14:paraId="3C15EC71" w14:textId="77777777" w:rsidR="00482F31" w:rsidRPr="00482F31" w:rsidRDefault="00482F31" w:rsidP="00482F31">
      <w:pPr>
        <w:tabs>
          <w:tab w:val="left" w:pos="851"/>
        </w:tabs>
        <w:ind w:left="851"/>
        <w:rPr>
          <w:sz w:val="24"/>
          <w:szCs w:val="24"/>
          <w:lang w:val="en-US"/>
        </w:rPr>
      </w:pPr>
      <w:r w:rsidRPr="00482F31">
        <w:rPr>
          <w:sz w:val="24"/>
          <w:szCs w:val="24"/>
          <w:lang w:val="en-US"/>
        </w:rPr>
        <w:t>Iron oxide black (E172)</w:t>
      </w:r>
    </w:p>
    <w:p w14:paraId="5279011C" w14:textId="77777777" w:rsidR="00482F31" w:rsidRPr="00482F31" w:rsidRDefault="00482F31" w:rsidP="00482F31">
      <w:pPr>
        <w:tabs>
          <w:tab w:val="left" w:pos="851"/>
        </w:tabs>
        <w:ind w:left="851"/>
        <w:rPr>
          <w:sz w:val="24"/>
          <w:szCs w:val="24"/>
          <w:lang w:val="en-US"/>
        </w:rPr>
      </w:pPr>
      <w:r w:rsidRPr="00482F31">
        <w:rPr>
          <w:sz w:val="24"/>
          <w:szCs w:val="24"/>
          <w:lang w:val="en-US"/>
        </w:rPr>
        <w:t>Iron oxide red (E172)</w:t>
      </w:r>
    </w:p>
    <w:p w14:paraId="072C70E2" w14:textId="77777777" w:rsidR="00482F31" w:rsidRPr="00482F31" w:rsidRDefault="00482F31" w:rsidP="00482F31">
      <w:pPr>
        <w:tabs>
          <w:tab w:val="left" w:pos="851"/>
        </w:tabs>
        <w:ind w:left="851"/>
        <w:rPr>
          <w:sz w:val="24"/>
          <w:szCs w:val="24"/>
          <w:lang w:val="en-US"/>
        </w:rPr>
      </w:pPr>
      <w:r w:rsidRPr="00482F31">
        <w:rPr>
          <w:sz w:val="24"/>
          <w:szCs w:val="24"/>
          <w:lang w:val="en-US"/>
        </w:rPr>
        <w:t>Iron oxide yellow (E172)</w:t>
      </w:r>
    </w:p>
    <w:p w14:paraId="4EF33C2F" w14:textId="77777777" w:rsidR="00482F31" w:rsidRPr="00482F31" w:rsidRDefault="00482F31" w:rsidP="00482F31">
      <w:pPr>
        <w:tabs>
          <w:tab w:val="left" w:pos="851"/>
        </w:tabs>
        <w:ind w:left="851"/>
        <w:rPr>
          <w:sz w:val="24"/>
          <w:szCs w:val="24"/>
          <w:lang w:val="en-US"/>
        </w:rPr>
      </w:pPr>
      <w:r w:rsidRPr="00482F31">
        <w:rPr>
          <w:sz w:val="24"/>
          <w:szCs w:val="24"/>
          <w:lang w:val="en-US"/>
        </w:rPr>
        <w:t>Brilliant blue FCF (E133)</w:t>
      </w:r>
    </w:p>
    <w:p w14:paraId="6458A5BF" w14:textId="5FB921A0" w:rsidR="00482F31" w:rsidRPr="00482F31" w:rsidRDefault="00482F31" w:rsidP="00482F31">
      <w:pPr>
        <w:tabs>
          <w:tab w:val="left" w:pos="851"/>
        </w:tabs>
        <w:ind w:left="851"/>
        <w:rPr>
          <w:sz w:val="24"/>
          <w:szCs w:val="24"/>
          <w:lang w:val="en-US"/>
        </w:rPr>
      </w:pPr>
      <w:r w:rsidRPr="00482F31">
        <w:rPr>
          <w:sz w:val="24"/>
          <w:szCs w:val="24"/>
          <w:lang w:val="en-US"/>
        </w:rPr>
        <w:t>Gelatin</w:t>
      </w:r>
    </w:p>
    <w:p w14:paraId="15EC8F8A" w14:textId="77777777" w:rsidR="007C5D2A" w:rsidRPr="00482F31" w:rsidRDefault="007C5D2A" w:rsidP="003D727E">
      <w:pPr>
        <w:tabs>
          <w:tab w:val="left" w:pos="851"/>
        </w:tabs>
        <w:ind w:left="851"/>
        <w:rPr>
          <w:sz w:val="24"/>
          <w:szCs w:val="24"/>
          <w:lang w:val="en-US"/>
        </w:rPr>
      </w:pPr>
    </w:p>
    <w:p w14:paraId="2F4B579B"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DCC2CEB" w14:textId="77777777" w:rsidR="00F66036" w:rsidRPr="00F66036" w:rsidRDefault="00F66036" w:rsidP="00F66036">
      <w:pPr>
        <w:tabs>
          <w:tab w:val="left" w:pos="851"/>
        </w:tabs>
        <w:ind w:left="851"/>
        <w:rPr>
          <w:sz w:val="24"/>
          <w:szCs w:val="24"/>
          <w:lang w:val="en-GB"/>
        </w:rPr>
      </w:pPr>
      <w:r w:rsidRPr="00F66036">
        <w:rPr>
          <w:sz w:val="24"/>
          <w:szCs w:val="24"/>
          <w:lang w:val="en-GB"/>
        </w:rPr>
        <w:t>Not applicable.</w:t>
      </w:r>
    </w:p>
    <w:p w14:paraId="7CD5B2FB" w14:textId="77777777" w:rsidR="007C5D2A" w:rsidRPr="00303008" w:rsidRDefault="007C5D2A" w:rsidP="003E0341">
      <w:pPr>
        <w:tabs>
          <w:tab w:val="left" w:pos="851"/>
        </w:tabs>
        <w:ind w:left="851"/>
        <w:rPr>
          <w:sz w:val="24"/>
          <w:szCs w:val="24"/>
          <w:lang w:val="en-GB"/>
        </w:rPr>
      </w:pPr>
    </w:p>
    <w:p w14:paraId="2D404AD6"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03F22429" w14:textId="2F133C2F" w:rsidR="00F66036" w:rsidRPr="00F66036" w:rsidRDefault="00F66036" w:rsidP="00F66036">
      <w:pPr>
        <w:tabs>
          <w:tab w:val="left" w:pos="851"/>
        </w:tabs>
        <w:ind w:left="851"/>
        <w:rPr>
          <w:sz w:val="24"/>
          <w:szCs w:val="24"/>
          <w:lang w:val="en-GB"/>
        </w:rPr>
      </w:pPr>
      <w:r w:rsidRPr="00F66036">
        <w:rPr>
          <w:sz w:val="24"/>
          <w:szCs w:val="24"/>
          <w:lang w:val="en-GB"/>
        </w:rPr>
        <w:t>24 months</w:t>
      </w:r>
      <w:r>
        <w:rPr>
          <w:sz w:val="24"/>
          <w:szCs w:val="24"/>
          <w:lang w:val="en-GB"/>
        </w:rPr>
        <w:t>.</w:t>
      </w:r>
    </w:p>
    <w:p w14:paraId="54879772" w14:textId="77777777" w:rsidR="007C5D2A" w:rsidRPr="00303008" w:rsidRDefault="007C5D2A" w:rsidP="003E0341">
      <w:pPr>
        <w:tabs>
          <w:tab w:val="left" w:pos="851"/>
        </w:tabs>
        <w:ind w:left="851"/>
        <w:rPr>
          <w:sz w:val="24"/>
          <w:szCs w:val="24"/>
          <w:lang w:val="en-GB"/>
        </w:rPr>
      </w:pPr>
    </w:p>
    <w:p w14:paraId="70C9CBC0"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7E670B8A" w14:textId="79C3D581" w:rsidR="00F66036" w:rsidRPr="00F66036" w:rsidRDefault="00F66036" w:rsidP="00F66036">
      <w:pPr>
        <w:tabs>
          <w:tab w:val="left" w:pos="851"/>
        </w:tabs>
        <w:ind w:left="851"/>
        <w:rPr>
          <w:sz w:val="24"/>
          <w:szCs w:val="24"/>
          <w:lang w:val="es-ES"/>
        </w:rPr>
      </w:pPr>
      <w:r w:rsidRPr="00F66036">
        <w:rPr>
          <w:sz w:val="24"/>
          <w:szCs w:val="24"/>
          <w:lang w:val="es-ES"/>
        </w:rPr>
        <w:t>This medicinal product does not require any special storage conditions</w:t>
      </w:r>
      <w:r>
        <w:rPr>
          <w:sz w:val="24"/>
          <w:szCs w:val="24"/>
          <w:lang w:val="es-ES"/>
        </w:rPr>
        <w:t>.</w:t>
      </w:r>
    </w:p>
    <w:p w14:paraId="27959CE0" w14:textId="77777777" w:rsidR="007C5D2A" w:rsidRPr="00F66036" w:rsidRDefault="007C5D2A" w:rsidP="003E0341">
      <w:pPr>
        <w:tabs>
          <w:tab w:val="left" w:pos="851"/>
        </w:tabs>
        <w:ind w:left="851"/>
        <w:rPr>
          <w:sz w:val="24"/>
          <w:szCs w:val="24"/>
          <w:lang w:val="es-ES"/>
        </w:rPr>
      </w:pPr>
    </w:p>
    <w:p w14:paraId="31AFFAAB"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0B52365E" w14:textId="77777777" w:rsidR="002E7BFD" w:rsidRDefault="002E7BFD" w:rsidP="002E7BFD">
      <w:pPr>
        <w:tabs>
          <w:tab w:val="left" w:pos="851"/>
        </w:tabs>
        <w:ind w:left="851"/>
        <w:rPr>
          <w:sz w:val="24"/>
          <w:szCs w:val="24"/>
          <w:lang w:val="en-GB"/>
        </w:rPr>
      </w:pPr>
      <w:r w:rsidRPr="002E7BFD">
        <w:rPr>
          <w:sz w:val="24"/>
          <w:szCs w:val="24"/>
          <w:lang w:val="en-GB"/>
        </w:rPr>
        <w:t>Alu/PVC blister pack</w:t>
      </w:r>
      <w:r>
        <w:rPr>
          <w:sz w:val="24"/>
          <w:szCs w:val="24"/>
          <w:lang w:val="en-GB"/>
        </w:rPr>
        <w:t>.</w:t>
      </w:r>
    </w:p>
    <w:p w14:paraId="5039931A" w14:textId="77777777" w:rsidR="002E7BFD" w:rsidRDefault="002E7BFD" w:rsidP="002E7BFD">
      <w:pPr>
        <w:tabs>
          <w:tab w:val="left" w:pos="851"/>
        </w:tabs>
        <w:ind w:left="851"/>
        <w:rPr>
          <w:sz w:val="24"/>
          <w:szCs w:val="24"/>
          <w:lang w:val="en-GB"/>
        </w:rPr>
      </w:pPr>
    </w:p>
    <w:p w14:paraId="154D9E25" w14:textId="461EAFE1" w:rsidR="002E7BFD" w:rsidRDefault="002E7BFD" w:rsidP="002E7BFD">
      <w:pPr>
        <w:tabs>
          <w:tab w:val="left" w:pos="851"/>
        </w:tabs>
        <w:ind w:left="851"/>
        <w:rPr>
          <w:sz w:val="24"/>
          <w:szCs w:val="24"/>
          <w:lang w:val="en-GB"/>
        </w:rPr>
      </w:pPr>
      <w:r>
        <w:rPr>
          <w:sz w:val="24"/>
          <w:szCs w:val="24"/>
          <w:lang w:val="en-GB"/>
        </w:rPr>
        <w:t xml:space="preserve">Pack sizes: </w:t>
      </w:r>
      <w:r w:rsidRPr="002E7BFD">
        <w:rPr>
          <w:sz w:val="24"/>
          <w:szCs w:val="24"/>
          <w:lang w:val="en-GB"/>
        </w:rPr>
        <w:t>20 hard capsules</w:t>
      </w:r>
      <w:r>
        <w:rPr>
          <w:sz w:val="24"/>
          <w:szCs w:val="24"/>
          <w:lang w:val="en-GB"/>
        </w:rPr>
        <w:t>.</w:t>
      </w:r>
    </w:p>
    <w:p w14:paraId="224E1538" w14:textId="64A61665" w:rsidR="002E7BFD" w:rsidRPr="002E7BFD" w:rsidRDefault="002E7BFD" w:rsidP="002E7BFD">
      <w:pPr>
        <w:tabs>
          <w:tab w:val="left" w:pos="851"/>
        </w:tabs>
        <w:ind w:left="851"/>
        <w:rPr>
          <w:sz w:val="24"/>
          <w:szCs w:val="24"/>
          <w:lang w:val="en-GB"/>
        </w:rPr>
      </w:pPr>
      <w:r>
        <w:rPr>
          <w:sz w:val="24"/>
          <w:szCs w:val="24"/>
          <w:lang w:val="en-GB"/>
        </w:rPr>
        <w:t>Not all pack sizes may be marketed.</w:t>
      </w:r>
    </w:p>
    <w:p w14:paraId="2077C9B8" w14:textId="77777777" w:rsidR="007C5D2A" w:rsidRPr="00303008" w:rsidRDefault="007C5D2A" w:rsidP="003E0341">
      <w:pPr>
        <w:tabs>
          <w:tab w:val="left" w:pos="851"/>
        </w:tabs>
        <w:ind w:left="851"/>
        <w:rPr>
          <w:sz w:val="24"/>
          <w:szCs w:val="24"/>
          <w:lang w:val="en-GB"/>
        </w:rPr>
      </w:pPr>
    </w:p>
    <w:p w14:paraId="2E824A6C"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95E6994" w14:textId="77777777" w:rsidR="007D69C2" w:rsidRDefault="007D69C2" w:rsidP="007D69C2">
      <w:pPr>
        <w:tabs>
          <w:tab w:val="left" w:pos="851"/>
        </w:tabs>
        <w:ind w:left="851"/>
        <w:rPr>
          <w:sz w:val="24"/>
          <w:szCs w:val="24"/>
          <w:lang w:val="en-GB"/>
        </w:rPr>
      </w:pPr>
      <w:r w:rsidRPr="007D69C2">
        <w:rPr>
          <w:sz w:val="24"/>
          <w:szCs w:val="24"/>
          <w:lang w:val="en-GB"/>
        </w:rPr>
        <w:t>No special requirements.</w:t>
      </w:r>
    </w:p>
    <w:p w14:paraId="2B76B70E" w14:textId="77777777" w:rsidR="007D69C2" w:rsidRDefault="007D69C2" w:rsidP="007D69C2">
      <w:pPr>
        <w:tabs>
          <w:tab w:val="left" w:pos="851"/>
        </w:tabs>
        <w:ind w:left="851"/>
        <w:rPr>
          <w:sz w:val="24"/>
          <w:szCs w:val="24"/>
          <w:lang w:val="en-GB"/>
        </w:rPr>
      </w:pPr>
    </w:p>
    <w:p w14:paraId="6837A9DC" w14:textId="26051155" w:rsidR="007D69C2" w:rsidRPr="007D69C2" w:rsidRDefault="007D69C2" w:rsidP="007D69C2">
      <w:pPr>
        <w:tabs>
          <w:tab w:val="left" w:pos="851"/>
        </w:tabs>
        <w:ind w:left="851"/>
        <w:rPr>
          <w:sz w:val="24"/>
          <w:szCs w:val="24"/>
          <w:lang w:val="en-GB"/>
        </w:rPr>
      </w:pPr>
      <w:r w:rsidRPr="007D69C2">
        <w:rPr>
          <w:sz w:val="24"/>
          <w:szCs w:val="24"/>
          <w:lang w:val="en-GB"/>
        </w:rPr>
        <w:t>Any unused medicinal product or waste material should be disposed of in accordance with local requirements.</w:t>
      </w:r>
    </w:p>
    <w:p w14:paraId="2C9E4392" w14:textId="77777777" w:rsidR="007C5D2A" w:rsidRPr="00303008" w:rsidRDefault="007C5D2A" w:rsidP="00AB4376">
      <w:pPr>
        <w:tabs>
          <w:tab w:val="left" w:pos="851"/>
        </w:tabs>
        <w:ind w:left="851"/>
        <w:rPr>
          <w:sz w:val="24"/>
          <w:szCs w:val="24"/>
          <w:lang w:val="en-GB"/>
        </w:rPr>
      </w:pPr>
    </w:p>
    <w:p w14:paraId="4E9301C5"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0FD5B5F7" w14:textId="77777777" w:rsidR="007D69C2" w:rsidRPr="007D69C2" w:rsidRDefault="007D69C2" w:rsidP="007D69C2">
      <w:pPr>
        <w:tabs>
          <w:tab w:val="left" w:pos="851"/>
        </w:tabs>
        <w:ind w:left="851"/>
        <w:jc w:val="both"/>
        <w:rPr>
          <w:sz w:val="24"/>
          <w:szCs w:val="24"/>
          <w:lang w:val="en-GB"/>
        </w:rPr>
      </w:pPr>
      <w:r w:rsidRPr="007D69C2">
        <w:rPr>
          <w:sz w:val="24"/>
          <w:szCs w:val="24"/>
          <w:lang w:val="en-GB"/>
        </w:rPr>
        <w:t>OPKO Health Spain S.L.U</w:t>
      </w:r>
    </w:p>
    <w:p w14:paraId="14B288C5" w14:textId="511C6B6D" w:rsidR="007D69C2" w:rsidRPr="007D69C2" w:rsidRDefault="007D69C2" w:rsidP="007D69C2">
      <w:pPr>
        <w:tabs>
          <w:tab w:val="left" w:pos="851"/>
        </w:tabs>
        <w:ind w:left="851"/>
        <w:jc w:val="both"/>
        <w:rPr>
          <w:sz w:val="24"/>
          <w:szCs w:val="24"/>
        </w:rPr>
      </w:pPr>
      <w:r w:rsidRPr="007D69C2">
        <w:rPr>
          <w:sz w:val="24"/>
          <w:szCs w:val="24"/>
        </w:rPr>
        <w:t xml:space="preserve">Plaza Europa 13-15, </w:t>
      </w:r>
    </w:p>
    <w:p w14:paraId="2035B55A" w14:textId="79FDC38A" w:rsidR="007D69C2" w:rsidRPr="00B60635" w:rsidRDefault="007D69C2" w:rsidP="007D69C2">
      <w:pPr>
        <w:tabs>
          <w:tab w:val="left" w:pos="851"/>
        </w:tabs>
        <w:ind w:left="851"/>
        <w:jc w:val="both"/>
        <w:rPr>
          <w:sz w:val="24"/>
          <w:szCs w:val="24"/>
        </w:rPr>
      </w:pPr>
      <w:r w:rsidRPr="00B60635">
        <w:rPr>
          <w:sz w:val="24"/>
          <w:szCs w:val="24"/>
        </w:rPr>
        <w:t>L`Hospitalet de Llobregat</w:t>
      </w:r>
    </w:p>
    <w:p w14:paraId="62969F7B" w14:textId="77777777" w:rsidR="007D69C2" w:rsidRPr="007D69C2" w:rsidRDefault="007D69C2" w:rsidP="007D69C2">
      <w:pPr>
        <w:tabs>
          <w:tab w:val="left" w:pos="851"/>
        </w:tabs>
        <w:ind w:left="851"/>
        <w:jc w:val="both"/>
        <w:rPr>
          <w:sz w:val="24"/>
          <w:szCs w:val="24"/>
          <w:lang w:val="en-US"/>
        </w:rPr>
      </w:pPr>
      <w:r w:rsidRPr="007D69C2">
        <w:rPr>
          <w:sz w:val="24"/>
          <w:szCs w:val="24"/>
          <w:lang w:val="en-US"/>
        </w:rPr>
        <w:t>08908 Barcelona</w:t>
      </w:r>
    </w:p>
    <w:p w14:paraId="477AF19F" w14:textId="5DAA1FE6" w:rsidR="007D69C2" w:rsidRPr="007D69C2" w:rsidRDefault="007D69C2" w:rsidP="007D69C2">
      <w:pPr>
        <w:tabs>
          <w:tab w:val="left" w:pos="851"/>
        </w:tabs>
        <w:ind w:left="851"/>
        <w:jc w:val="both"/>
        <w:rPr>
          <w:b/>
          <w:bCs/>
          <w:sz w:val="24"/>
          <w:szCs w:val="24"/>
          <w:lang w:val="es-ES"/>
        </w:rPr>
      </w:pPr>
      <w:r w:rsidRPr="007D69C2">
        <w:rPr>
          <w:sz w:val="24"/>
          <w:szCs w:val="24"/>
          <w:lang w:val="en-GB"/>
        </w:rPr>
        <w:t>Spain</w:t>
      </w:r>
    </w:p>
    <w:p w14:paraId="3A3CC50B" w14:textId="77777777" w:rsidR="007C5D2A" w:rsidRDefault="007C5D2A" w:rsidP="003E0341">
      <w:pPr>
        <w:tabs>
          <w:tab w:val="left" w:pos="851"/>
        </w:tabs>
        <w:ind w:left="851"/>
        <w:jc w:val="both"/>
        <w:rPr>
          <w:sz w:val="24"/>
          <w:szCs w:val="24"/>
          <w:lang w:val="en-GB"/>
        </w:rPr>
      </w:pPr>
    </w:p>
    <w:p w14:paraId="14C6D66B"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2B1C8823" w14:textId="61C44328" w:rsidR="007C5D2A" w:rsidRPr="00303008" w:rsidRDefault="007D69C2" w:rsidP="00A85D26">
      <w:pPr>
        <w:tabs>
          <w:tab w:val="left" w:pos="851"/>
        </w:tabs>
        <w:ind w:left="851"/>
        <w:jc w:val="both"/>
        <w:rPr>
          <w:sz w:val="24"/>
          <w:szCs w:val="24"/>
          <w:lang w:val="en-GB"/>
        </w:rPr>
      </w:pPr>
      <w:r>
        <w:rPr>
          <w:sz w:val="24"/>
          <w:szCs w:val="24"/>
          <w:lang w:val="en-GB"/>
        </w:rPr>
        <w:t>67270</w:t>
      </w:r>
    </w:p>
    <w:p w14:paraId="009F6236" w14:textId="77777777" w:rsidR="007C5D2A" w:rsidRPr="00303008" w:rsidRDefault="007C5D2A" w:rsidP="00180A12">
      <w:pPr>
        <w:tabs>
          <w:tab w:val="left" w:pos="851"/>
        </w:tabs>
        <w:ind w:left="851"/>
        <w:jc w:val="both"/>
        <w:rPr>
          <w:sz w:val="24"/>
          <w:szCs w:val="24"/>
          <w:lang w:val="en-GB"/>
        </w:rPr>
      </w:pPr>
    </w:p>
    <w:p w14:paraId="7D876DA2"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F85CCA6" w14:textId="5A389177" w:rsidR="007C5D2A" w:rsidRPr="00303008" w:rsidRDefault="00B60635" w:rsidP="00A85D26">
      <w:pPr>
        <w:ind w:left="851"/>
        <w:jc w:val="both"/>
        <w:rPr>
          <w:sz w:val="24"/>
          <w:szCs w:val="24"/>
          <w:lang w:val="en-GB"/>
        </w:rPr>
      </w:pPr>
      <w:r>
        <w:rPr>
          <w:sz w:val="24"/>
          <w:szCs w:val="24"/>
          <w:lang w:val="en-GB"/>
        </w:rPr>
        <w:t>8 july 2024</w:t>
      </w:r>
      <w:bookmarkStart w:id="8" w:name="_GoBack"/>
      <w:bookmarkEnd w:id="8"/>
    </w:p>
    <w:p w14:paraId="5B08D7CA" w14:textId="77777777" w:rsidR="007C5D2A" w:rsidRPr="00303008" w:rsidRDefault="007C5D2A" w:rsidP="003E0341">
      <w:pPr>
        <w:tabs>
          <w:tab w:val="left" w:pos="851"/>
        </w:tabs>
        <w:ind w:left="851"/>
        <w:jc w:val="both"/>
        <w:rPr>
          <w:sz w:val="24"/>
          <w:szCs w:val="24"/>
          <w:lang w:val="en-GB"/>
        </w:rPr>
      </w:pPr>
    </w:p>
    <w:p w14:paraId="7D4B5844"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E861A85" w14:textId="1D260842" w:rsidR="007C5D2A" w:rsidRPr="00303008" w:rsidRDefault="007D69C2"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3C37F" w14:textId="77777777" w:rsidR="00232B5B" w:rsidRDefault="00232B5B">
      <w:r>
        <w:separator/>
      </w:r>
    </w:p>
  </w:endnote>
  <w:endnote w:type="continuationSeparator" w:id="0">
    <w:p w14:paraId="39BED8FE" w14:textId="77777777" w:rsidR="00232B5B" w:rsidRDefault="0023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175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41B1" w14:textId="77777777" w:rsidR="00864538" w:rsidRDefault="00864538">
    <w:pPr>
      <w:pStyle w:val="Sidefod"/>
      <w:pBdr>
        <w:bottom w:val="single" w:sz="6" w:space="1" w:color="auto"/>
      </w:pBdr>
    </w:pPr>
  </w:p>
  <w:p w14:paraId="2B83E4B7" w14:textId="77777777" w:rsidR="00864538" w:rsidRDefault="00864538">
    <w:pPr>
      <w:pStyle w:val="Sidefod"/>
      <w:tabs>
        <w:tab w:val="clear" w:pos="4819"/>
        <w:tab w:val="left" w:pos="8647"/>
      </w:tabs>
      <w:rPr>
        <w:i/>
        <w:snapToGrid w:val="0"/>
        <w:sz w:val="18"/>
      </w:rPr>
    </w:pPr>
  </w:p>
  <w:p w14:paraId="7DEA09E8" w14:textId="7B7A5A73"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37140">
      <w:rPr>
        <w:i/>
        <w:noProof/>
        <w:snapToGrid w:val="0"/>
        <w:sz w:val="18"/>
      </w:rPr>
      <w:t>Soluzem, hårde kapsler 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F5E1" w14:textId="77777777" w:rsidR="00864538" w:rsidRDefault="00864538">
    <w:pPr>
      <w:pStyle w:val="Sidefod"/>
      <w:pBdr>
        <w:bottom w:val="single" w:sz="6" w:space="1" w:color="auto"/>
      </w:pBdr>
      <w:tabs>
        <w:tab w:val="clear" w:pos="4819"/>
        <w:tab w:val="left" w:pos="8789"/>
      </w:tabs>
      <w:rPr>
        <w:i/>
        <w:snapToGrid w:val="0"/>
        <w:sz w:val="18"/>
      </w:rPr>
    </w:pPr>
  </w:p>
  <w:p w14:paraId="23FD5E5B" w14:textId="77777777" w:rsidR="00864538" w:rsidRDefault="00864538">
    <w:pPr>
      <w:pStyle w:val="Sidefod"/>
      <w:tabs>
        <w:tab w:val="clear" w:pos="4819"/>
        <w:tab w:val="left" w:pos="8789"/>
      </w:tabs>
      <w:rPr>
        <w:i/>
        <w:snapToGrid w:val="0"/>
        <w:sz w:val="18"/>
      </w:rPr>
    </w:pPr>
  </w:p>
  <w:p w14:paraId="4A198394" w14:textId="5F41AA34"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37140">
      <w:rPr>
        <w:i/>
        <w:noProof/>
        <w:snapToGrid w:val="0"/>
        <w:sz w:val="18"/>
      </w:rPr>
      <w:t>Soluzem, hårde kapsler 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786B" w14:textId="77777777" w:rsidR="00232B5B" w:rsidRDefault="00232B5B">
      <w:r>
        <w:separator/>
      </w:r>
    </w:p>
  </w:footnote>
  <w:footnote w:type="continuationSeparator" w:id="0">
    <w:p w14:paraId="3F428B11" w14:textId="77777777" w:rsidR="00232B5B" w:rsidRDefault="0023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7543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F519"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2B46"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5B"/>
    <w:rsid w:val="00037140"/>
    <w:rsid w:val="00056601"/>
    <w:rsid w:val="000C3846"/>
    <w:rsid w:val="000C6218"/>
    <w:rsid w:val="000D3C9D"/>
    <w:rsid w:val="000F0D47"/>
    <w:rsid w:val="001242DE"/>
    <w:rsid w:val="00180A12"/>
    <w:rsid w:val="00214331"/>
    <w:rsid w:val="00214CF4"/>
    <w:rsid w:val="00232B5B"/>
    <w:rsid w:val="00281F03"/>
    <w:rsid w:val="0029458A"/>
    <w:rsid w:val="002A1587"/>
    <w:rsid w:val="002B27C5"/>
    <w:rsid w:val="002E7BFD"/>
    <w:rsid w:val="002F6D9C"/>
    <w:rsid w:val="00303008"/>
    <w:rsid w:val="00373B55"/>
    <w:rsid w:val="003D727E"/>
    <w:rsid w:val="003E0341"/>
    <w:rsid w:val="003E3402"/>
    <w:rsid w:val="003F4736"/>
    <w:rsid w:val="00401B49"/>
    <w:rsid w:val="0042292D"/>
    <w:rsid w:val="00437D5B"/>
    <w:rsid w:val="00440254"/>
    <w:rsid w:val="00482F31"/>
    <w:rsid w:val="004860D3"/>
    <w:rsid w:val="004A3BF4"/>
    <w:rsid w:val="004A5DB3"/>
    <w:rsid w:val="00514410"/>
    <w:rsid w:val="005152D9"/>
    <w:rsid w:val="00533AD4"/>
    <w:rsid w:val="00534849"/>
    <w:rsid w:val="00560102"/>
    <w:rsid w:val="00562EA1"/>
    <w:rsid w:val="005A498B"/>
    <w:rsid w:val="00617BB8"/>
    <w:rsid w:val="006207FF"/>
    <w:rsid w:val="00680052"/>
    <w:rsid w:val="00683267"/>
    <w:rsid w:val="006844E9"/>
    <w:rsid w:val="006B3847"/>
    <w:rsid w:val="0075453D"/>
    <w:rsid w:val="00782BD3"/>
    <w:rsid w:val="00786270"/>
    <w:rsid w:val="007A4CC6"/>
    <w:rsid w:val="007C3623"/>
    <w:rsid w:val="007C5D2A"/>
    <w:rsid w:val="007D69C2"/>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B11F3A"/>
    <w:rsid w:val="00B45DC5"/>
    <w:rsid w:val="00B60635"/>
    <w:rsid w:val="00B66A76"/>
    <w:rsid w:val="00BD3490"/>
    <w:rsid w:val="00C26226"/>
    <w:rsid w:val="00C3571D"/>
    <w:rsid w:val="00C54F0B"/>
    <w:rsid w:val="00C82621"/>
    <w:rsid w:val="00CB1423"/>
    <w:rsid w:val="00D02508"/>
    <w:rsid w:val="00D778CC"/>
    <w:rsid w:val="00D82FE9"/>
    <w:rsid w:val="00D97B77"/>
    <w:rsid w:val="00DB6A85"/>
    <w:rsid w:val="00E00E7E"/>
    <w:rsid w:val="00E06B32"/>
    <w:rsid w:val="00E1290F"/>
    <w:rsid w:val="00E36A80"/>
    <w:rsid w:val="00E74EDC"/>
    <w:rsid w:val="00E85432"/>
    <w:rsid w:val="00E86FB6"/>
    <w:rsid w:val="00EB21D7"/>
    <w:rsid w:val="00EE3EB7"/>
    <w:rsid w:val="00F57E16"/>
    <w:rsid w:val="00F60336"/>
    <w:rsid w:val="00F660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0467D"/>
  <w15:chartTrackingRefBased/>
  <w15:docId w15:val="{37387793-17BE-4C1D-84D6-E98A2E16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B66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5898">
      <w:bodyDiv w:val="1"/>
      <w:marLeft w:val="0"/>
      <w:marRight w:val="0"/>
      <w:marTop w:val="0"/>
      <w:marBottom w:val="0"/>
      <w:divBdr>
        <w:top w:val="none" w:sz="0" w:space="0" w:color="auto"/>
        <w:left w:val="none" w:sz="0" w:space="0" w:color="auto"/>
        <w:bottom w:val="none" w:sz="0" w:space="0" w:color="auto"/>
        <w:right w:val="none" w:sz="0" w:space="0" w:color="auto"/>
      </w:divBdr>
    </w:div>
    <w:div w:id="68580691">
      <w:bodyDiv w:val="1"/>
      <w:marLeft w:val="0"/>
      <w:marRight w:val="0"/>
      <w:marTop w:val="0"/>
      <w:marBottom w:val="0"/>
      <w:divBdr>
        <w:top w:val="none" w:sz="0" w:space="0" w:color="auto"/>
        <w:left w:val="none" w:sz="0" w:space="0" w:color="auto"/>
        <w:bottom w:val="none" w:sz="0" w:space="0" w:color="auto"/>
        <w:right w:val="none" w:sz="0" w:space="0" w:color="auto"/>
      </w:divBdr>
    </w:div>
    <w:div w:id="70467350">
      <w:bodyDiv w:val="1"/>
      <w:marLeft w:val="0"/>
      <w:marRight w:val="0"/>
      <w:marTop w:val="0"/>
      <w:marBottom w:val="0"/>
      <w:divBdr>
        <w:top w:val="none" w:sz="0" w:space="0" w:color="auto"/>
        <w:left w:val="none" w:sz="0" w:space="0" w:color="auto"/>
        <w:bottom w:val="none" w:sz="0" w:space="0" w:color="auto"/>
        <w:right w:val="none" w:sz="0" w:space="0" w:color="auto"/>
      </w:divBdr>
    </w:div>
    <w:div w:id="143930282">
      <w:bodyDiv w:val="1"/>
      <w:marLeft w:val="0"/>
      <w:marRight w:val="0"/>
      <w:marTop w:val="0"/>
      <w:marBottom w:val="0"/>
      <w:divBdr>
        <w:top w:val="none" w:sz="0" w:space="0" w:color="auto"/>
        <w:left w:val="none" w:sz="0" w:space="0" w:color="auto"/>
        <w:bottom w:val="none" w:sz="0" w:space="0" w:color="auto"/>
        <w:right w:val="none" w:sz="0" w:space="0" w:color="auto"/>
      </w:divBdr>
    </w:div>
    <w:div w:id="163202946">
      <w:bodyDiv w:val="1"/>
      <w:marLeft w:val="0"/>
      <w:marRight w:val="0"/>
      <w:marTop w:val="0"/>
      <w:marBottom w:val="0"/>
      <w:divBdr>
        <w:top w:val="none" w:sz="0" w:space="0" w:color="auto"/>
        <w:left w:val="none" w:sz="0" w:space="0" w:color="auto"/>
        <w:bottom w:val="none" w:sz="0" w:space="0" w:color="auto"/>
        <w:right w:val="none" w:sz="0" w:space="0" w:color="auto"/>
      </w:divBdr>
    </w:div>
    <w:div w:id="340936969">
      <w:bodyDiv w:val="1"/>
      <w:marLeft w:val="0"/>
      <w:marRight w:val="0"/>
      <w:marTop w:val="0"/>
      <w:marBottom w:val="0"/>
      <w:divBdr>
        <w:top w:val="none" w:sz="0" w:space="0" w:color="auto"/>
        <w:left w:val="none" w:sz="0" w:space="0" w:color="auto"/>
        <w:bottom w:val="none" w:sz="0" w:space="0" w:color="auto"/>
        <w:right w:val="none" w:sz="0" w:space="0" w:color="auto"/>
      </w:divBdr>
    </w:div>
    <w:div w:id="379675156">
      <w:bodyDiv w:val="1"/>
      <w:marLeft w:val="0"/>
      <w:marRight w:val="0"/>
      <w:marTop w:val="0"/>
      <w:marBottom w:val="0"/>
      <w:divBdr>
        <w:top w:val="none" w:sz="0" w:space="0" w:color="auto"/>
        <w:left w:val="none" w:sz="0" w:space="0" w:color="auto"/>
        <w:bottom w:val="none" w:sz="0" w:space="0" w:color="auto"/>
        <w:right w:val="none" w:sz="0" w:space="0" w:color="auto"/>
      </w:divBdr>
    </w:div>
    <w:div w:id="465703838">
      <w:bodyDiv w:val="1"/>
      <w:marLeft w:val="0"/>
      <w:marRight w:val="0"/>
      <w:marTop w:val="0"/>
      <w:marBottom w:val="0"/>
      <w:divBdr>
        <w:top w:val="none" w:sz="0" w:space="0" w:color="auto"/>
        <w:left w:val="none" w:sz="0" w:space="0" w:color="auto"/>
        <w:bottom w:val="none" w:sz="0" w:space="0" w:color="auto"/>
        <w:right w:val="none" w:sz="0" w:space="0" w:color="auto"/>
      </w:divBdr>
    </w:div>
    <w:div w:id="534657826">
      <w:bodyDiv w:val="1"/>
      <w:marLeft w:val="0"/>
      <w:marRight w:val="0"/>
      <w:marTop w:val="0"/>
      <w:marBottom w:val="0"/>
      <w:divBdr>
        <w:top w:val="none" w:sz="0" w:space="0" w:color="auto"/>
        <w:left w:val="none" w:sz="0" w:space="0" w:color="auto"/>
        <w:bottom w:val="none" w:sz="0" w:space="0" w:color="auto"/>
        <w:right w:val="none" w:sz="0" w:space="0" w:color="auto"/>
      </w:divBdr>
    </w:div>
    <w:div w:id="636033615">
      <w:bodyDiv w:val="1"/>
      <w:marLeft w:val="0"/>
      <w:marRight w:val="0"/>
      <w:marTop w:val="0"/>
      <w:marBottom w:val="0"/>
      <w:divBdr>
        <w:top w:val="none" w:sz="0" w:space="0" w:color="auto"/>
        <w:left w:val="none" w:sz="0" w:space="0" w:color="auto"/>
        <w:bottom w:val="none" w:sz="0" w:space="0" w:color="auto"/>
        <w:right w:val="none" w:sz="0" w:space="0" w:color="auto"/>
      </w:divBdr>
    </w:div>
    <w:div w:id="655260991">
      <w:bodyDiv w:val="1"/>
      <w:marLeft w:val="0"/>
      <w:marRight w:val="0"/>
      <w:marTop w:val="0"/>
      <w:marBottom w:val="0"/>
      <w:divBdr>
        <w:top w:val="none" w:sz="0" w:space="0" w:color="auto"/>
        <w:left w:val="none" w:sz="0" w:space="0" w:color="auto"/>
        <w:bottom w:val="none" w:sz="0" w:space="0" w:color="auto"/>
        <w:right w:val="none" w:sz="0" w:space="0" w:color="auto"/>
      </w:divBdr>
    </w:div>
    <w:div w:id="735321287">
      <w:bodyDiv w:val="1"/>
      <w:marLeft w:val="0"/>
      <w:marRight w:val="0"/>
      <w:marTop w:val="0"/>
      <w:marBottom w:val="0"/>
      <w:divBdr>
        <w:top w:val="none" w:sz="0" w:space="0" w:color="auto"/>
        <w:left w:val="none" w:sz="0" w:space="0" w:color="auto"/>
        <w:bottom w:val="none" w:sz="0" w:space="0" w:color="auto"/>
        <w:right w:val="none" w:sz="0" w:space="0" w:color="auto"/>
      </w:divBdr>
    </w:div>
    <w:div w:id="793669374">
      <w:bodyDiv w:val="1"/>
      <w:marLeft w:val="0"/>
      <w:marRight w:val="0"/>
      <w:marTop w:val="0"/>
      <w:marBottom w:val="0"/>
      <w:divBdr>
        <w:top w:val="none" w:sz="0" w:space="0" w:color="auto"/>
        <w:left w:val="none" w:sz="0" w:space="0" w:color="auto"/>
        <w:bottom w:val="none" w:sz="0" w:space="0" w:color="auto"/>
        <w:right w:val="none" w:sz="0" w:space="0" w:color="auto"/>
      </w:divBdr>
    </w:div>
    <w:div w:id="837355291">
      <w:bodyDiv w:val="1"/>
      <w:marLeft w:val="0"/>
      <w:marRight w:val="0"/>
      <w:marTop w:val="0"/>
      <w:marBottom w:val="0"/>
      <w:divBdr>
        <w:top w:val="none" w:sz="0" w:space="0" w:color="auto"/>
        <w:left w:val="none" w:sz="0" w:space="0" w:color="auto"/>
        <w:bottom w:val="none" w:sz="0" w:space="0" w:color="auto"/>
        <w:right w:val="none" w:sz="0" w:space="0" w:color="auto"/>
      </w:divBdr>
    </w:div>
    <w:div w:id="986321906">
      <w:bodyDiv w:val="1"/>
      <w:marLeft w:val="0"/>
      <w:marRight w:val="0"/>
      <w:marTop w:val="0"/>
      <w:marBottom w:val="0"/>
      <w:divBdr>
        <w:top w:val="none" w:sz="0" w:space="0" w:color="auto"/>
        <w:left w:val="none" w:sz="0" w:space="0" w:color="auto"/>
        <w:bottom w:val="none" w:sz="0" w:space="0" w:color="auto"/>
        <w:right w:val="none" w:sz="0" w:space="0" w:color="auto"/>
      </w:divBdr>
    </w:div>
    <w:div w:id="1001199579">
      <w:bodyDiv w:val="1"/>
      <w:marLeft w:val="0"/>
      <w:marRight w:val="0"/>
      <w:marTop w:val="0"/>
      <w:marBottom w:val="0"/>
      <w:divBdr>
        <w:top w:val="none" w:sz="0" w:space="0" w:color="auto"/>
        <w:left w:val="none" w:sz="0" w:space="0" w:color="auto"/>
        <w:bottom w:val="none" w:sz="0" w:space="0" w:color="auto"/>
        <w:right w:val="none" w:sz="0" w:space="0" w:color="auto"/>
      </w:divBdr>
    </w:div>
    <w:div w:id="1042166699">
      <w:bodyDiv w:val="1"/>
      <w:marLeft w:val="0"/>
      <w:marRight w:val="0"/>
      <w:marTop w:val="0"/>
      <w:marBottom w:val="0"/>
      <w:divBdr>
        <w:top w:val="none" w:sz="0" w:space="0" w:color="auto"/>
        <w:left w:val="none" w:sz="0" w:space="0" w:color="auto"/>
        <w:bottom w:val="none" w:sz="0" w:space="0" w:color="auto"/>
        <w:right w:val="none" w:sz="0" w:space="0" w:color="auto"/>
      </w:divBdr>
    </w:div>
    <w:div w:id="1046295757">
      <w:bodyDiv w:val="1"/>
      <w:marLeft w:val="0"/>
      <w:marRight w:val="0"/>
      <w:marTop w:val="0"/>
      <w:marBottom w:val="0"/>
      <w:divBdr>
        <w:top w:val="none" w:sz="0" w:space="0" w:color="auto"/>
        <w:left w:val="none" w:sz="0" w:space="0" w:color="auto"/>
        <w:bottom w:val="none" w:sz="0" w:space="0" w:color="auto"/>
        <w:right w:val="none" w:sz="0" w:space="0" w:color="auto"/>
      </w:divBdr>
    </w:div>
    <w:div w:id="1058094115">
      <w:bodyDiv w:val="1"/>
      <w:marLeft w:val="0"/>
      <w:marRight w:val="0"/>
      <w:marTop w:val="0"/>
      <w:marBottom w:val="0"/>
      <w:divBdr>
        <w:top w:val="none" w:sz="0" w:space="0" w:color="auto"/>
        <w:left w:val="none" w:sz="0" w:space="0" w:color="auto"/>
        <w:bottom w:val="none" w:sz="0" w:space="0" w:color="auto"/>
        <w:right w:val="none" w:sz="0" w:space="0" w:color="auto"/>
      </w:divBdr>
    </w:div>
    <w:div w:id="1061174182">
      <w:bodyDiv w:val="1"/>
      <w:marLeft w:val="0"/>
      <w:marRight w:val="0"/>
      <w:marTop w:val="0"/>
      <w:marBottom w:val="0"/>
      <w:divBdr>
        <w:top w:val="none" w:sz="0" w:space="0" w:color="auto"/>
        <w:left w:val="none" w:sz="0" w:space="0" w:color="auto"/>
        <w:bottom w:val="none" w:sz="0" w:space="0" w:color="auto"/>
        <w:right w:val="none" w:sz="0" w:space="0" w:color="auto"/>
      </w:divBdr>
    </w:div>
    <w:div w:id="1095832784">
      <w:bodyDiv w:val="1"/>
      <w:marLeft w:val="0"/>
      <w:marRight w:val="0"/>
      <w:marTop w:val="0"/>
      <w:marBottom w:val="0"/>
      <w:divBdr>
        <w:top w:val="none" w:sz="0" w:space="0" w:color="auto"/>
        <w:left w:val="none" w:sz="0" w:space="0" w:color="auto"/>
        <w:bottom w:val="none" w:sz="0" w:space="0" w:color="auto"/>
        <w:right w:val="none" w:sz="0" w:space="0" w:color="auto"/>
      </w:divBdr>
    </w:div>
    <w:div w:id="1106265707">
      <w:bodyDiv w:val="1"/>
      <w:marLeft w:val="0"/>
      <w:marRight w:val="0"/>
      <w:marTop w:val="0"/>
      <w:marBottom w:val="0"/>
      <w:divBdr>
        <w:top w:val="none" w:sz="0" w:space="0" w:color="auto"/>
        <w:left w:val="none" w:sz="0" w:space="0" w:color="auto"/>
        <w:bottom w:val="none" w:sz="0" w:space="0" w:color="auto"/>
        <w:right w:val="none" w:sz="0" w:space="0" w:color="auto"/>
      </w:divBdr>
    </w:div>
    <w:div w:id="1192454474">
      <w:bodyDiv w:val="1"/>
      <w:marLeft w:val="0"/>
      <w:marRight w:val="0"/>
      <w:marTop w:val="0"/>
      <w:marBottom w:val="0"/>
      <w:divBdr>
        <w:top w:val="none" w:sz="0" w:space="0" w:color="auto"/>
        <w:left w:val="none" w:sz="0" w:space="0" w:color="auto"/>
        <w:bottom w:val="none" w:sz="0" w:space="0" w:color="auto"/>
        <w:right w:val="none" w:sz="0" w:space="0" w:color="auto"/>
      </w:divBdr>
    </w:div>
    <w:div w:id="1239361846">
      <w:bodyDiv w:val="1"/>
      <w:marLeft w:val="0"/>
      <w:marRight w:val="0"/>
      <w:marTop w:val="0"/>
      <w:marBottom w:val="0"/>
      <w:divBdr>
        <w:top w:val="none" w:sz="0" w:space="0" w:color="auto"/>
        <w:left w:val="none" w:sz="0" w:space="0" w:color="auto"/>
        <w:bottom w:val="none" w:sz="0" w:space="0" w:color="auto"/>
        <w:right w:val="none" w:sz="0" w:space="0" w:color="auto"/>
      </w:divBdr>
    </w:div>
    <w:div w:id="1262488473">
      <w:bodyDiv w:val="1"/>
      <w:marLeft w:val="0"/>
      <w:marRight w:val="0"/>
      <w:marTop w:val="0"/>
      <w:marBottom w:val="0"/>
      <w:divBdr>
        <w:top w:val="none" w:sz="0" w:space="0" w:color="auto"/>
        <w:left w:val="none" w:sz="0" w:space="0" w:color="auto"/>
        <w:bottom w:val="none" w:sz="0" w:space="0" w:color="auto"/>
        <w:right w:val="none" w:sz="0" w:space="0" w:color="auto"/>
      </w:divBdr>
    </w:div>
    <w:div w:id="1286765490">
      <w:bodyDiv w:val="1"/>
      <w:marLeft w:val="0"/>
      <w:marRight w:val="0"/>
      <w:marTop w:val="0"/>
      <w:marBottom w:val="0"/>
      <w:divBdr>
        <w:top w:val="none" w:sz="0" w:space="0" w:color="auto"/>
        <w:left w:val="none" w:sz="0" w:space="0" w:color="auto"/>
        <w:bottom w:val="none" w:sz="0" w:space="0" w:color="auto"/>
        <w:right w:val="none" w:sz="0" w:space="0" w:color="auto"/>
      </w:divBdr>
    </w:div>
    <w:div w:id="1358703669">
      <w:bodyDiv w:val="1"/>
      <w:marLeft w:val="0"/>
      <w:marRight w:val="0"/>
      <w:marTop w:val="0"/>
      <w:marBottom w:val="0"/>
      <w:divBdr>
        <w:top w:val="none" w:sz="0" w:space="0" w:color="auto"/>
        <w:left w:val="none" w:sz="0" w:space="0" w:color="auto"/>
        <w:bottom w:val="none" w:sz="0" w:space="0" w:color="auto"/>
        <w:right w:val="none" w:sz="0" w:space="0" w:color="auto"/>
      </w:divBdr>
    </w:div>
    <w:div w:id="1406876173">
      <w:bodyDiv w:val="1"/>
      <w:marLeft w:val="0"/>
      <w:marRight w:val="0"/>
      <w:marTop w:val="0"/>
      <w:marBottom w:val="0"/>
      <w:divBdr>
        <w:top w:val="none" w:sz="0" w:space="0" w:color="auto"/>
        <w:left w:val="none" w:sz="0" w:space="0" w:color="auto"/>
        <w:bottom w:val="none" w:sz="0" w:space="0" w:color="auto"/>
        <w:right w:val="none" w:sz="0" w:space="0" w:color="auto"/>
      </w:divBdr>
    </w:div>
    <w:div w:id="1501237430">
      <w:bodyDiv w:val="1"/>
      <w:marLeft w:val="0"/>
      <w:marRight w:val="0"/>
      <w:marTop w:val="0"/>
      <w:marBottom w:val="0"/>
      <w:divBdr>
        <w:top w:val="none" w:sz="0" w:space="0" w:color="auto"/>
        <w:left w:val="none" w:sz="0" w:space="0" w:color="auto"/>
        <w:bottom w:val="none" w:sz="0" w:space="0" w:color="auto"/>
        <w:right w:val="none" w:sz="0" w:space="0" w:color="auto"/>
      </w:divBdr>
    </w:div>
    <w:div w:id="1508520057">
      <w:bodyDiv w:val="1"/>
      <w:marLeft w:val="0"/>
      <w:marRight w:val="0"/>
      <w:marTop w:val="0"/>
      <w:marBottom w:val="0"/>
      <w:divBdr>
        <w:top w:val="none" w:sz="0" w:space="0" w:color="auto"/>
        <w:left w:val="none" w:sz="0" w:space="0" w:color="auto"/>
        <w:bottom w:val="none" w:sz="0" w:space="0" w:color="auto"/>
        <w:right w:val="none" w:sz="0" w:space="0" w:color="auto"/>
      </w:divBdr>
    </w:div>
    <w:div w:id="1595629543">
      <w:bodyDiv w:val="1"/>
      <w:marLeft w:val="0"/>
      <w:marRight w:val="0"/>
      <w:marTop w:val="0"/>
      <w:marBottom w:val="0"/>
      <w:divBdr>
        <w:top w:val="none" w:sz="0" w:space="0" w:color="auto"/>
        <w:left w:val="none" w:sz="0" w:space="0" w:color="auto"/>
        <w:bottom w:val="none" w:sz="0" w:space="0" w:color="auto"/>
        <w:right w:val="none" w:sz="0" w:space="0" w:color="auto"/>
      </w:divBdr>
    </w:div>
    <w:div w:id="1598825613">
      <w:bodyDiv w:val="1"/>
      <w:marLeft w:val="0"/>
      <w:marRight w:val="0"/>
      <w:marTop w:val="0"/>
      <w:marBottom w:val="0"/>
      <w:divBdr>
        <w:top w:val="none" w:sz="0" w:space="0" w:color="auto"/>
        <w:left w:val="none" w:sz="0" w:space="0" w:color="auto"/>
        <w:bottom w:val="none" w:sz="0" w:space="0" w:color="auto"/>
        <w:right w:val="none" w:sz="0" w:space="0" w:color="auto"/>
      </w:divBdr>
    </w:div>
    <w:div w:id="1633825936">
      <w:bodyDiv w:val="1"/>
      <w:marLeft w:val="0"/>
      <w:marRight w:val="0"/>
      <w:marTop w:val="0"/>
      <w:marBottom w:val="0"/>
      <w:divBdr>
        <w:top w:val="none" w:sz="0" w:space="0" w:color="auto"/>
        <w:left w:val="none" w:sz="0" w:space="0" w:color="auto"/>
        <w:bottom w:val="none" w:sz="0" w:space="0" w:color="auto"/>
        <w:right w:val="none" w:sz="0" w:space="0" w:color="auto"/>
      </w:divBdr>
    </w:div>
    <w:div w:id="1686129550">
      <w:bodyDiv w:val="1"/>
      <w:marLeft w:val="0"/>
      <w:marRight w:val="0"/>
      <w:marTop w:val="0"/>
      <w:marBottom w:val="0"/>
      <w:divBdr>
        <w:top w:val="none" w:sz="0" w:space="0" w:color="auto"/>
        <w:left w:val="none" w:sz="0" w:space="0" w:color="auto"/>
        <w:bottom w:val="none" w:sz="0" w:space="0" w:color="auto"/>
        <w:right w:val="none" w:sz="0" w:space="0" w:color="auto"/>
      </w:divBdr>
    </w:div>
    <w:div w:id="1707221512">
      <w:bodyDiv w:val="1"/>
      <w:marLeft w:val="0"/>
      <w:marRight w:val="0"/>
      <w:marTop w:val="0"/>
      <w:marBottom w:val="0"/>
      <w:divBdr>
        <w:top w:val="none" w:sz="0" w:space="0" w:color="auto"/>
        <w:left w:val="none" w:sz="0" w:space="0" w:color="auto"/>
        <w:bottom w:val="none" w:sz="0" w:space="0" w:color="auto"/>
        <w:right w:val="none" w:sz="0" w:space="0" w:color="auto"/>
      </w:divBdr>
    </w:div>
    <w:div w:id="1752853926">
      <w:bodyDiv w:val="1"/>
      <w:marLeft w:val="0"/>
      <w:marRight w:val="0"/>
      <w:marTop w:val="0"/>
      <w:marBottom w:val="0"/>
      <w:divBdr>
        <w:top w:val="none" w:sz="0" w:space="0" w:color="auto"/>
        <w:left w:val="none" w:sz="0" w:space="0" w:color="auto"/>
        <w:bottom w:val="none" w:sz="0" w:space="0" w:color="auto"/>
        <w:right w:val="none" w:sz="0" w:space="0" w:color="auto"/>
      </w:divBdr>
    </w:div>
    <w:div w:id="1797024053">
      <w:bodyDiv w:val="1"/>
      <w:marLeft w:val="0"/>
      <w:marRight w:val="0"/>
      <w:marTop w:val="0"/>
      <w:marBottom w:val="0"/>
      <w:divBdr>
        <w:top w:val="none" w:sz="0" w:space="0" w:color="auto"/>
        <w:left w:val="none" w:sz="0" w:space="0" w:color="auto"/>
        <w:bottom w:val="none" w:sz="0" w:space="0" w:color="auto"/>
        <w:right w:val="none" w:sz="0" w:space="0" w:color="auto"/>
      </w:divBdr>
    </w:div>
    <w:div w:id="1826630277">
      <w:bodyDiv w:val="1"/>
      <w:marLeft w:val="0"/>
      <w:marRight w:val="0"/>
      <w:marTop w:val="0"/>
      <w:marBottom w:val="0"/>
      <w:divBdr>
        <w:top w:val="none" w:sz="0" w:space="0" w:color="auto"/>
        <w:left w:val="none" w:sz="0" w:space="0" w:color="auto"/>
        <w:bottom w:val="none" w:sz="0" w:space="0" w:color="auto"/>
        <w:right w:val="none" w:sz="0" w:space="0" w:color="auto"/>
      </w:divBdr>
    </w:div>
    <w:div w:id="1873765957">
      <w:bodyDiv w:val="1"/>
      <w:marLeft w:val="0"/>
      <w:marRight w:val="0"/>
      <w:marTop w:val="0"/>
      <w:marBottom w:val="0"/>
      <w:divBdr>
        <w:top w:val="none" w:sz="0" w:space="0" w:color="auto"/>
        <w:left w:val="none" w:sz="0" w:space="0" w:color="auto"/>
        <w:bottom w:val="none" w:sz="0" w:space="0" w:color="auto"/>
        <w:right w:val="none" w:sz="0" w:space="0" w:color="auto"/>
      </w:divBdr>
    </w:div>
    <w:div w:id="1909343056">
      <w:bodyDiv w:val="1"/>
      <w:marLeft w:val="0"/>
      <w:marRight w:val="0"/>
      <w:marTop w:val="0"/>
      <w:marBottom w:val="0"/>
      <w:divBdr>
        <w:top w:val="none" w:sz="0" w:space="0" w:color="auto"/>
        <w:left w:val="none" w:sz="0" w:space="0" w:color="auto"/>
        <w:bottom w:val="none" w:sz="0" w:space="0" w:color="auto"/>
        <w:right w:val="none" w:sz="0" w:space="0" w:color="auto"/>
      </w:divBdr>
    </w:div>
    <w:div w:id="1921988630">
      <w:bodyDiv w:val="1"/>
      <w:marLeft w:val="0"/>
      <w:marRight w:val="0"/>
      <w:marTop w:val="0"/>
      <w:marBottom w:val="0"/>
      <w:divBdr>
        <w:top w:val="none" w:sz="0" w:space="0" w:color="auto"/>
        <w:left w:val="none" w:sz="0" w:space="0" w:color="auto"/>
        <w:bottom w:val="none" w:sz="0" w:space="0" w:color="auto"/>
        <w:right w:val="none" w:sz="0" w:space="0" w:color="auto"/>
      </w:divBdr>
    </w:div>
    <w:div w:id="1931427180">
      <w:bodyDiv w:val="1"/>
      <w:marLeft w:val="0"/>
      <w:marRight w:val="0"/>
      <w:marTop w:val="0"/>
      <w:marBottom w:val="0"/>
      <w:divBdr>
        <w:top w:val="none" w:sz="0" w:space="0" w:color="auto"/>
        <w:left w:val="none" w:sz="0" w:space="0" w:color="auto"/>
        <w:bottom w:val="none" w:sz="0" w:space="0" w:color="auto"/>
        <w:right w:val="none" w:sz="0" w:space="0" w:color="auto"/>
      </w:divBdr>
    </w:div>
    <w:div w:id="1937051845">
      <w:bodyDiv w:val="1"/>
      <w:marLeft w:val="0"/>
      <w:marRight w:val="0"/>
      <w:marTop w:val="0"/>
      <w:marBottom w:val="0"/>
      <w:divBdr>
        <w:top w:val="none" w:sz="0" w:space="0" w:color="auto"/>
        <w:left w:val="none" w:sz="0" w:space="0" w:color="auto"/>
        <w:bottom w:val="none" w:sz="0" w:space="0" w:color="auto"/>
        <w:right w:val="none" w:sz="0" w:space="0" w:color="auto"/>
      </w:divBdr>
    </w:div>
    <w:div w:id="1984579044">
      <w:bodyDiv w:val="1"/>
      <w:marLeft w:val="0"/>
      <w:marRight w:val="0"/>
      <w:marTop w:val="0"/>
      <w:marBottom w:val="0"/>
      <w:divBdr>
        <w:top w:val="none" w:sz="0" w:space="0" w:color="auto"/>
        <w:left w:val="none" w:sz="0" w:space="0" w:color="auto"/>
        <w:bottom w:val="none" w:sz="0" w:space="0" w:color="auto"/>
        <w:right w:val="none" w:sz="0" w:space="0" w:color="auto"/>
      </w:divBdr>
    </w:div>
    <w:div w:id="2061199375">
      <w:bodyDiv w:val="1"/>
      <w:marLeft w:val="0"/>
      <w:marRight w:val="0"/>
      <w:marTop w:val="0"/>
      <w:marBottom w:val="0"/>
      <w:divBdr>
        <w:top w:val="none" w:sz="0" w:space="0" w:color="auto"/>
        <w:left w:val="none" w:sz="0" w:space="0" w:color="auto"/>
        <w:bottom w:val="none" w:sz="0" w:space="0" w:color="auto"/>
        <w:right w:val="none" w:sz="0" w:space="0" w:color="auto"/>
      </w:divBdr>
    </w:div>
    <w:div w:id="2117750268">
      <w:bodyDiv w:val="1"/>
      <w:marLeft w:val="0"/>
      <w:marRight w:val="0"/>
      <w:marTop w:val="0"/>
      <w:marBottom w:val="0"/>
      <w:divBdr>
        <w:top w:val="none" w:sz="0" w:space="0" w:color="auto"/>
        <w:left w:val="none" w:sz="0" w:space="0" w:color="auto"/>
        <w:bottom w:val="none" w:sz="0" w:space="0" w:color="auto"/>
        <w:right w:val="none" w:sz="0" w:space="0" w:color="auto"/>
      </w:divBdr>
    </w:div>
    <w:div w:id="2140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27</TotalTime>
  <Pages>8</Pages>
  <Words>2414</Words>
  <Characters>14280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2022012019 mt</dc:description>
  <cp:lastModifiedBy>Hanne Thy Iversen</cp:lastModifiedBy>
  <cp:revision>14</cp:revision>
  <cp:lastPrinted>2006-02-24T09:31:00Z</cp:lastPrinted>
  <dcterms:created xsi:type="dcterms:W3CDTF">2024-07-04T11:59:00Z</dcterms:created>
  <dcterms:modified xsi:type="dcterms:W3CDTF">2024-07-08T09:03:00Z</dcterms:modified>
</cp:coreProperties>
</file>