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6D2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30598EF" wp14:editId="78C8DC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D80875F" w14:textId="77777777" w:rsidR="009260DE" w:rsidRPr="00C84483" w:rsidRDefault="009260DE" w:rsidP="009260DE">
      <w:pPr>
        <w:pStyle w:val="Titel"/>
        <w:tabs>
          <w:tab w:val="right" w:pos="9356"/>
        </w:tabs>
        <w:jc w:val="left"/>
        <w:rPr>
          <w:b w:val="0"/>
          <w:szCs w:val="24"/>
          <w:lang w:eastAsia="en-US"/>
        </w:rPr>
      </w:pPr>
    </w:p>
    <w:p w14:paraId="16D60F12" w14:textId="1B42BAD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96717">
        <w:rPr>
          <w:szCs w:val="24"/>
        </w:rPr>
        <w:t>13. september 2024</w:t>
      </w:r>
    </w:p>
    <w:p w14:paraId="2D0CEAED" w14:textId="77777777" w:rsidR="009260DE" w:rsidRPr="00C84483" w:rsidRDefault="009260DE" w:rsidP="009260DE">
      <w:pPr>
        <w:pStyle w:val="Titel"/>
        <w:tabs>
          <w:tab w:val="left" w:pos="8222"/>
        </w:tabs>
        <w:jc w:val="left"/>
        <w:rPr>
          <w:b w:val="0"/>
          <w:szCs w:val="24"/>
        </w:rPr>
      </w:pPr>
    </w:p>
    <w:p w14:paraId="639D4137" w14:textId="77777777" w:rsidR="009260DE" w:rsidRPr="00C84483" w:rsidRDefault="009260DE" w:rsidP="009260DE">
      <w:pPr>
        <w:pStyle w:val="Titel"/>
        <w:jc w:val="left"/>
        <w:rPr>
          <w:b w:val="0"/>
          <w:szCs w:val="24"/>
        </w:rPr>
      </w:pPr>
    </w:p>
    <w:p w14:paraId="22DBC0E3" w14:textId="77777777" w:rsidR="009260DE" w:rsidRPr="00C84483" w:rsidRDefault="009260DE" w:rsidP="009260DE">
      <w:pPr>
        <w:pStyle w:val="Titel"/>
        <w:jc w:val="left"/>
        <w:rPr>
          <w:b w:val="0"/>
          <w:szCs w:val="24"/>
        </w:rPr>
      </w:pPr>
    </w:p>
    <w:p w14:paraId="63837923" w14:textId="77777777" w:rsidR="009260DE" w:rsidRPr="00C84483" w:rsidRDefault="009260DE" w:rsidP="009260DE">
      <w:pPr>
        <w:jc w:val="center"/>
        <w:rPr>
          <w:b/>
          <w:sz w:val="24"/>
          <w:szCs w:val="24"/>
        </w:rPr>
      </w:pPr>
      <w:r w:rsidRPr="00C84483">
        <w:rPr>
          <w:b/>
          <w:sz w:val="24"/>
          <w:szCs w:val="24"/>
        </w:rPr>
        <w:t>PRODUKTRESUMÉ</w:t>
      </w:r>
    </w:p>
    <w:p w14:paraId="45CB2827" w14:textId="77777777" w:rsidR="009260DE" w:rsidRPr="00C84483" w:rsidRDefault="009260DE" w:rsidP="009260DE">
      <w:pPr>
        <w:jc w:val="center"/>
        <w:rPr>
          <w:b/>
          <w:sz w:val="24"/>
          <w:szCs w:val="24"/>
        </w:rPr>
      </w:pPr>
    </w:p>
    <w:p w14:paraId="1DD04459" w14:textId="77777777" w:rsidR="009260DE" w:rsidRDefault="009260DE" w:rsidP="009260DE">
      <w:pPr>
        <w:jc w:val="center"/>
        <w:rPr>
          <w:b/>
          <w:sz w:val="24"/>
          <w:szCs w:val="24"/>
        </w:rPr>
      </w:pPr>
      <w:r w:rsidRPr="00C84483">
        <w:rPr>
          <w:b/>
          <w:sz w:val="24"/>
          <w:szCs w:val="24"/>
        </w:rPr>
        <w:t>for</w:t>
      </w:r>
    </w:p>
    <w:p w14:paraId="59DADE8D" w14:textId="77777777" w:rsidR="000B058C" w:rsidRPr="00C84483" w:rsidRDefault="000B058C" w:rsidP="009260DE">
      <w:pPr>
        <w:jc w:val="center"/>
        <w:rPr>
          <w:b/>
          <w:sz w:val="24"/>
          <w:szCs w:val="24"/>
        </w:rPr>
      </w:pPr>
    </w:p>
    <w:p w14:paraId="3C98A75B" w14:textId="77777777" w:rsidR="009260DE" w:rsidRPr="00C84483" w:rsidRDefault="006C6D5F" w:rsidP="009260DE">
      <w:pPr>
        <w:jc w:val="center"/>
        <w:rPr>
          <w:b/>
          <w:sz w:val="24"/>
          <w:szCs w:val="24"/>
        </w:rPr>
      </w:pPr>
      <w:r>
        <w:rPr>
          <w:b/>
          <w:sz w:val="24"/>
          <w:szCs w:val="24"/>
        </w:rPr>
        <w:t>Somnols, filmovertrukne tabletter</w:t>
      </w:r>
    </w:p>
    <w:p w14:paraId="4759299F" w14:textId="77777777" w:rsidR="009260DE" w:rsidRPr="00C84483" w:rsidRDefault="009260DE" w:rsidP="009260DE">
      <w:pPr>
        <w:jc w:val="both"/>
        <w:rPr>
          <w:sz w:val="24"/>
          <w:szCs w:val="24"/>
        </w:rPr>
      </w:pPr>
    </w:p>
    <w:p w14:paraId="429E9141" w14:textId="77777777" w:rsidR="009260DE" w:rsidRPr="00C84483" w:rsidRDefault="009260DE" w:rsidP="009260DE">
      <w:pPr>
        <w:jc w:val="both"/>
        <w:rPr>
          <w:sz w:val="24"/>
          <w:szCs w:val="24"/>
        </w:rPr>
      </w:pPr>
    </w:p>
    <w:p w14:paraId="583731F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883E7C1" w14:textId="77777777" w:rsidR="009260DE" w:rsidRPr="00C84483" w:rsidRDefault="006C6D5F" w:rsidP="009260DE">
      <w:pPr>
        <w:tabs>
          <w:tab w:val="left" w:pos="851"/>
        </w:tabs>
        <w:ind w:left="851"/>
        <w:rPr>
          <w:sz w:val="24"/>
          <w:szCs w:val="24"/>
        </w:rPr>
      </w:pPr>
      <w:r>
        <w:rPr>
          <w:sz w:val="24"/>
          <w:szCs w:val="24"/>
        </w:rPr>
        <w:t>33079</w:t>
      </w:r>
    </w:p>
    <w:p w14:paraId="575EC4F5" w14:textId="77777777" w:rsidR="009260DE" w:rsidRPr="00C84483" w:rsidRDefault="009260DE" w:rsidP="009260DE">
      <w:pPr>
        <w:tabs>
          <w:tab w:val="left" w:pos="851"/>
        </w:tabs>
        <w:ind w:left="851"/>
        <w:rPr>
          <w:sz w:val="24"/>
          <w:szCs w:val="24"/>
        </w:rPr>
      </w:pPr>
    </w:p>
    <w:p w14:paraId="69B6CFC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54E1143" w14:textId="77777777" w:rsidR="009260DE" w:rsidRPr="00C84483" w:rsidRDefault="006C6D5F" w:rsidP="009260DE">
      <w:pPr>
        <w:tabs>
          <w:tab w:val="left" w:pos="851"/>
        </w:tabs>
        <w:ind w:left="851"/>
        <w:rPr>
          <w:sz w:val="24"/>
          <w:szCs w:val="24"/>
        </w:rPr>
      </w:pPr>
      <w:r>
        <w:rPr>
          <w:sz w:val="24"/>
          <w:szCs w:val="24"/>
        </w:rPr>
        <w:t>Somnols</w:t>
      </w:r>
    </w:p>
    <w:p w14:paraId="3EF8F681" w14:textId="77777777" w:rsidR="009260DE" w:rsidRPr="00C84483" w:rsidRDefault="009260DE" w:rsidP="009260DE">
      <w:pPr>
        <w:tabs>
          <w:tab w:val="left" w:pos="851"/>
        </w:tabs>
        <w:ind w:left="851"/>
        <w:rPr>
          <w:sz w:val="24"/>
          <w:szCs w:val="24"/>
        </w:rPr>
      </w:pPr>
    </w:p>
    <w:p w14:paraId="7015916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678BEEB" w14:textId="77777777" w:rsidR="006C6D5F" w:rsidRPr="006C6D5F" w:rsidRDefault="006C6D5F" w:rsidP="006C6D5F">
      <w:pPr>
        <w:tabs>
          <w:tab w:val="left" w:pos="851"/>
        </w:tabs>
        <w:ind w:left="851"/>
        <w:rPr>
          <w:sz w:val="24"/>
          <w:szCs w:val="24"/>
        </w:rPr>
      </w:pPr>
      <w:r w:rsidRPr="006C6D5F">
        <w:rPr>
          <w:sz w:val="24"/>
          <w:szCs w:val="24"/>
        </w:rPr>
        <w:t>Hver filmovertrukket tablet indeholder henholdsvis 3,75 mg, 5 mg og 7,5 mg zopiclon.</w:t>
      </w:r>
    </w:p>
    <w:p w14:paraId="6140F963" w14:textId="77777777" w:rsidR="006C6D5F" w:rsidRPr="006C6D5F" w:rsidRDefault="006C6D5F" w:rsidP="006C6D5F">
      <w:pPr>
        <w:tabs>
          <w:tab w:val="left" w:pos="851"/>
        </w:tabs>
        <w:ind w:left="851"/>
        <w:rPr>
          <w:sz w:val="24"/>
          <w:szCs w:val="24"/>
        </w:rPr>
      </w:pPr>
    </w:p>
    <w:p w14:paraId="14AC37C4" w14:textId="7742F913" w:rsidR="006C6D5F" w:rsidRPr="006C6D5F" w:rsidRDefault="006C6D5F" w:rsidP="006C6D5F">
      <w:pPr>
        <w:tabs>
          <w:tab w:val="left" w:pos="851"/>
        </w:tabs>
        <w:ind w:left="851"/>
        <w:rPr>
          <w:sz w:val="24"/>
          <w:szCs w:val="24"/>
        </w:rPr>
      </w:pPr>
      <w:r w:rsidRPr="006C6D5F">
        <w:rPr>
          <w:sz w:val="24"/>
          <w:szCs w:val="24"/>
          <w:u w:val="single"/>
        </w:rPr>
        <w:t>Hjælpestoffer, som behandleren skal være opmærksom på</w:t>
      </w:r>
    </w:p>
    <w:p w14:paraId="2DE403CA" w14:textId="77777777" w:rsidR="006C6D5F" w:rsidRPr="006C6D5F" w:rsidRDefault="006C6D5F" w:rsidP="006C6D5F">
      <w:pPr>
        <w:tabs>
          <w:tab w:val="left" w:pos="851"/>
        </w:tabs>
        <w:ind w:left="851"/>
        <w:rPr>
          <w:sz w:val="24"/>
          <w:szCs w:val="24"/>
        </w:rPr>
      </w:pPr>
      <w:r w:rsidRPr="006C6D5F">
        <w:rPr>
          <w:sz w:val="24"/>
          <w:szCs w:val="24"/>
        </w:rPr>
        <w:t xml:space="preserve">Hver 5 mg filmovertrukken tablet indeholder cochenillerød A (E124) 0,0017 mg. </w:t>
      </w:r>
    </w:p>
    <w:p w14:paraId="1F722EF5" w14:textId="77777777" w:rsidR="006C6D5F" w:rsidRPr="006C6D5F" w:rsidRDefault="006C6D5F" w:rsidP="006C6D5F">
      <w:pPr>
        <w:tabs>
          <w:tab w:val="left" w:pos="851"/>
        </w:tabs>
        <w:ind w:left="851"/>
        <w:rPr>
          <w:sz w:val="24"/>
          <w:szCs w:val="24"/>
        </w:rPr>
      </w:pPr>
    </w:p>
    <w:p w14:paraId="7A8026EC" w14:textId="77777777" w:rsidR="006C6D5F" w:rsidRPr="006C6D5F" w:rsidRDefault="006C6D5F" w:rsidP="006C6D5F">
      <w:pPr>
        <w:tabs>
          <w:tab w:val="left" w:pos="851"/>
        </w:tabs>
        <w:ind w:left="851"/>
        <w:rPr>
          <w:sz w:val="24"/>
          <w:szCs w:val="24"/>
        </w:rPr>
      </w:pPr>
      <w:r w:rsidRPr="006C6D5F">
        <w:rPr>
          <w:sz w:val="24"/>
          <w:szCs w:val="24"/>
        </w:rPr>
        <w:t>Alle hjælpestoffer er anført under pkt. 6.1.</w:t>
      </w:r>
    </w:p>
    <w:p w14:paraId="2162153C" w14:textId="77777777" w:rsidR="009260DE" w:rsidRPr="00C84483" w:rsidRDefault="009260DE" w:rsidP="009260DE">
      <w:pPr>
        <w:tabs>
          <w:tab w:val="left" w:pos="851"/>
        </w:tabs>
        <w:ind w:left="851"/>
        <w:rPr>
          <w:sz w:val="24"/>
          <w:szCs w:val="24"/>
        </w:rPr>
      </w:pPr>
    </w:p>
    <w:p w14:paraId="4AD56F0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3649C28" w14:textId="22BF4630" w:rsidR="00996271" w:rsidRDefault="00996271" w:rsidP="00996271">
      <w:pPr>
        <w:tabs>
          <w:tab w:val="left" w:pos="851"/>
        </w:tabs>
        <w:ind w:left="851"/>
        <w:rPr>
          <w:sz w:val="24"/>
          <w:szCs w:val="24"/>
        </w:rPr>
      </w:pPr>
      <w:r w:rsidRPr="00996271">
        <w:rPr>
          <w:sz w:val="24"/>
          <w:szCs w:val="24"/>
        </w:rPr>
        <w:t>Filmovertruk</w:t>
      </w:r>
      <w:r>
        <w:rPr>
          <w:sz w:val="24"/>
          <w:szCs w:val="24"/>
        </w:rPr>
        <w:t>ne</w:t>
      </w:r>
      <w:r w:rsidRPr="00996271">
        <w:rPr>
          <w:sz w:val="24"/>
          <w:szCs w:val="24"/>
        </w:rPr>
        <w:t xml:space="preserve"> tablet</w:t>
      </w:r>
      <w:r>
        <w:rPr>
          <w:sz w:val="24"/>
          <w:szCs w:val="24"/>
        </w:rPr>
        <w:t>ter</w:t>
      </w:r>
      <w:r w:rsidRPr="00996271">
        <w:rPr>
          <w:sz w:val="24"/>
          <w:szCs w:val="24"/>
        </w:rPr>
        <w:t xml:space="preserve"> (tablet)</w:t>
      </w:r>
    </w:p>
    <w:p w14:paraId="1EF4668C" w14:textId="77777777" w:rsidR="00996271" w:rsidRPr="00996271" w:rsidRDefault="00996271" w:rsidP="00996271">
      <w:pPr>
        <w:tabs>
          <w:tab w:val="left" w:pos="851"/>
        </w:tabs>
        <w:ind w:left="851"/>
        <w:rPr>
          <w:sz w:val="24"/>
          <w:szCs w:val="24"/>
        </w:rPr>
      </w:pPr>
    </w:p>
    <w:p w14:paraId="05C77B3C" w14:textId="0F2B39E2" w:rsidR="00996271" w:rsidRDefault="00996271" w:rsidP="00996271">
      <w:pPr>
        <w:tabs>
          <w:tab w:val="left" w:pos="851"/>
        </w:tabs>
        <w:ind w:left="851"/>
        <w:rPr>
          <w:sz w:val="24"/>
          <w:szCs w:val="24"/>
        </w:rPr>
      </w:pPr>
      <w:r w:rsidRPr="00996271">
        <w:rPr>
          <w:sz w:val="24"/>
          <w:szCs w:val="24"/>
        </w:rPr>
        <w:t>Somnols 3,75 mg er hvide</w:t>
      </w:r>
      <w:r>
        <w:rPr>
          <w:sz w:val="24"/>
          <w:szCs w:val="24"/>
        </w:rPr>
        <w:t>,</w:t>
      </w:r>
      <w:r w:rsidRPr="00996271">
        <w:rPr>
          <w:sz w:val="24"/>
          <w:szCs w:val="24"/>
        </w:rPr>
        <w:t xml:space="preserve"> runde</w:t>
      </w:r>
      <w:r>
        <w:rPr>
          <w:sz w:val="24"/>
          <w:szCs w:val="24"/>
        </w:rPr>
        <w:t>,</w:t>
      </w:r>
      <w:r w:rsidRPr="00996271">
        <w:rPr>
          <w:sz w:val="24"/>
          <w:szCs w:val="24"/>
        </w:rPr>
        <w:t xml:space="preserve"> bikonvekse</w:t>
      </w:r>
      <w:r>
        <w:rPr>
          <w:sz w:val="24"/>
          <w:szCs w:val="24"/>
        </w:rPr>
        <w:t>,</w:t>
      </w:r>
      <w:r w:rsidRPr="00996271">
        <w:rPr>
          <w:sz w:val="24"/>
          <w:szCs w:val="24"/>
        </w:rPr>
        <w:t xml:space="preserve"> filmovertrukne tabletter med glatte overflader. Tablettens størrelse er ca. 5 mm i diameter.</w:t>
      </w:r>
    </w:p>
    <w:p w14:paraId="4F86C7F4" w14:textId="77777777" w:rsidR="00996271" w:rsidRPr="00996271" w:rsidRDefault="00996271" w:rsidP="00996271">
      <w:pPr>
        <w:tabs>
          <w:tab w:val="left" w:pos="851"/>
        </w:tabs>
        <w:ind w:left="851"/>
        <w:rPr>
          <w:sz w:val="24"/>
          <w:szCs w:val="24"/>
        </w:rPr>
      </w:pPr>
    </w:p>
    <w:p w14:paraId="50CF51F6" w14:textId="61C2F483" w:rsidR="00996271" w:rsidRDefault="00996271" w:rsidP="00996271">
      <w:pPr>
        <w:tabs>
          <w:tab w:val="left" w:pos="851"/>
        </w:tabs>
        <w:ind w:left="851"/>
        <w:rPr>
          <w:sz w:val="24"/>
          <w:szCs w:val="24"/>
        </w:rPr>
      </w:pPr>
      <w:r w:rsidRPr="00996271">
        <w:rPr>
          <w:sz w:val="24"/>
          <w:szCs w:val="24"/>
        </w:rPr>
        <w:t>Somnols 5 mg er blå</w:t>
      </w:r>
      <w:r>
        <w:rPr>
          <w:sz w:val="24"/>
          <w:szCs w:val="24"/>
        </w:rPr>
        <w:t>,</w:t>
      </w:r>
      <w:r w:rsidRPr="00996271">
        <w:rPr>
          <w:sz w:val="24"/>
          <w:szCs w:val="24"/>
        </w:rPr>
        <w:t xml:space="preserve"> runde</w:t>
      </w:r>
      <w:r>
        <w:rPr>
          <w:sz w:val="24"/>
          <w:szCs w:val="24"/>
        </w:rPr>
        <w:t>,</w:t>
      </w:r>
      <w:r w:rsidRPr="00996271">
        <w:rPr>
          <w:sz w:val="24"/>
          <w:szCs w:val="24"/>
        </w:rPr>
        <w:t xml:space="preserve"> bikonvekse</w:t>
      </w:r>
      <w:r>
        <w:rPr>
          <w:sz w:val="24"/>
          <w:szCs w:val="24"/>
        </w:rPr>
        <w:t>,</w:t>
      </w:r>
      <w:r w:rsidRPr="00996271">
        <w:rPr>
          <w:sz w:val="24"/>
          <w:szCs w:val="24"/>
        </w:rPr>
        <w:t xml:space="preserve"> filmovertrukne tabletter med glatte overflader. Tablettens størrelse er ca. 6 mm i diameter.</w:t>
      </w:r>
    </w:p>
    <w:p w14:paraId="3E04906A" w14:textId="77777777" w:rsidR="00996271" w:rsidRPr="00996271" w:rsidRDefault="00996271" w:rsidP="00996271">
      <w:pPr>
        <w:tabs>
          <w:tab w:val="left" w:pos="851"/>
        </w:tabs>
        <w:ind w:left="851"/>
        <w:rPr>
          <w:sz w:val="24"/>
          <w:szCs w:val="24"/>
        </w:rPr>
      </w:pPr>
    </w:p>
    <w:p w14:paraId="3C8827CE" w14:textId="3D0E73A5" w:rsidR="00996271" w:rsidRPr="00996271" w:rsidRDefault="00996271" w:rsidP="00996271">
      <w:pPr>
        <w:tabs>
          <w:tab w:val="left" w:pos="851"/>
        </w:tabs>
        <w:ind w:left="851"/>
        <w:rPr>
          <w:sz w:val="24"/>
          <w:szCs w:val="24"/>
        </w:rPr>
      </w:pPr>
      <w:r w:rsidRPr="00996271">
        <w:rPr>
          <w:sz w:val="24"/>
          <w:szCs w:val="24"/>
        </w:rPr>
        <w:t>Somnols 7,5 mg er hvide</w:t>
      </w:r>
      <w:r>
        <w:rPr>
          <w:sz w:val="24"/>
          <w:szCs w:val="24"/>
        </w:rPr>
        <w:t>,</w:t>
      </w:r>
      <w:r w:rsidRPr="00996271">
        <w:rPr>
          <w:sz w:val="24"/>
          <w:szCs w:val="24"/>
        </w:rPr>
        <w:t xml:space="preserve"> runde</w:t>
      </w:r>
      <w:r>
        <w:rPr>
          <w:sz w:val="24"/>
          <w:szCs w:val="24"/>
        </w:rPr>
        <w:t>,</w:t>
      </w:r>
      <w:r w:rsidRPr="00996271">
        <w:rPr>
          <w:sz w:val="24"/>
          <w:szCs w:val="24"/>
        </w:rPr>
        <w:t xml:space="preserve"> filmovertrukne tabletter, konvekse på den ene side og med fordybning og delekærv på den anden og med glatte overflader. Tablettens størrelse er ca. 7 mm i diameter. Tabletten kan deles i to lige store doser.</w:t>
      </w:r>
    </w:p>
    <w:p w14:paraId="3EE8A9DA" w14:textId="77777777" w:rsidR="009260DE" w:rsidRPr="00C84483" w:rsidRDefault="009260DE" w:rsidP="009260DE">
      <w:pPr>
        <w:tabs>
          <w:tab w:val="left" w:pos="851"/>
        </w:tabs>
        <w:ind w:left="851"/>
        <w:rPr>
          <w:sz w:val="24"/>
          <w:szCs w:val="24"/>
        </w:rPr>
      </w:pPr>
    </w:p>
    <w:p w14:paraId="7EC8D4E7" w14:textId="77777777" w:rsidR="009260DE" w:rsidRPr="00C84483" w:rsidRDefault="009260DE" w:rsidP="009260DE">
      <w:pPr>
        <w:tabs>
          <w:tab w:val="left" w:pos="851"/>
        </w:tabs>
        <w:ind w:left="851"/>
        <w:rPr>
          <w:sz w:val="24"/>
          <w:szCs w:val="24"/>
        </w:rPr>
      </w:pPr>
    </w:p>
    <w:p w14:paraId="799C916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6834DC7" w14:textId="77777777" w:rsidR="009260DE" w:rsidRPr="00C84483" w:rsidRDefault="009260DE" w:rsidP="009260DE">
      <w:pPr>
        <w:tabs>
          <w:tab w:val="left" w:pos="851"/>
        </w:tabs>
        <w:ind w:left="851"/>
        <w:rPr>
          <w:b/>
          <w:sz w:val="24"/>
          <w:szCs w:val="24"/>
        </w:rPr>
      </w:pPr>
    </w:p>
    <w:p w14:paraId="764B7CAB"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50E8C4" w14:textId="77777777" w:rsidR="00226454" w:rsidRPr="00226454" w:rsidRDefault="00226454" w:rsidP="00226454">
      <w:pPr>
        <w:tabs>
          <w:tab w:val="left" w:pos="851"/>
        </w:tabs>
        <w:ind w:left="851"/>
        <w:rPr>
          <w:sz w:val="24"/>
          <w:szCs w:val="24"/>
        </w:rPr>
      </w:pPr>
      <w:r w:rsidRPr="00226454">
        <w:rPr>
          <w:sz w:val="24"/>
          <w:szCs w:val="24"/>
        </w:rPr>
        <w:t>Zopiclon er indiceret til kortvarig behandling af søvnløshed hos voksne.</w:t>
      </w:r>
    </w:p>
    <w:p w14:paraId="4BFE72E1" w14:textId="77777777" w:rsidR="00226454" w:rsidRPr="00226454" w:rsidRDefault="00226454" w:rsidP="00226454">
      <w:pPr>
        <w:tabs>
          <w:tab w:val="left" w:pos="851"/>
        </w:tabs>
        <w:ind w:left="851"/>
        <w:rPr>
          <w:sz w:val="24"/>
          <w:szCs w:val="24"/>
        </w:rPr>
      </w:pPr>
      <w:bookmarkStart w:id="1" w:name="_Hlk131085463"/>
    </w:p>
    <w:p w14:paraId="7B8A0D1B" w14:textId="77777777" w:rsidR="00226454" w:rsidRPr="00226454" w:rsidRDefault="00226454" w:rsidP="00226454">
      <w:pPr>
        <w:tabs>
          <w:tab w:val="left" w:pos="851"/>
        </w:tabs>
        <w:ind w:left="851"/>
        <w:rPr>
          <w:sz w:val="24"/>
          <w:szCs w:val="24"/>
        </w:rPr>
      </w:pPr>
      <w:r w:rsidRPr="00226454">
        <w:rPr>
          <w:sz w:val="24"/>
          <w:szCs w:val="24"/>
        </w:rPr>
        <w:lastRenderedPageBreak/>
        <w:t>Benzodiazepiner og benzodiazepinlignende midler er kun indiceret, når tilstanden er alvorlig, invaliderende eller belaster patienten i udtalt grad.</w:t>
      </w:r>
      <w:bookmarkEnd w:id="1"/>
    </w:p>
    <w:p w14:paraId="51F9F1C3" w14:textId="77777777" w:rsidR="009260DE" w:rsidRPr="00C84483" w:rsidRDefault="009260DE" w:rsidP="009260DE">
      <w:pPr>
        <w:tabs>
          <w:tab w:val="left" w:pos="851"/>
        </w:tabs>
        <w:ind w:left="851"/>
        <w:rPr>
          <w:sz w:val="24"/>
          <w:szCs w:val="24"/>
        </w:rPr>
      </w:pPr>
    </w:p>
    <w:p w14:paraId="7CBC978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FE99EC1" w14:textId="77777777" w:rsidR="00750E74" w:rsidRDefault="00750E74" w:rsidP="00750E74">
      <w:pPr>
        <w:tabs>
          <w:tab w:val="left" w:pos="851"/>
        </w:tabs>
        <w:ind w:left="851"/>
        <w:rPr>
          <w:sz w:val="24"/>
          <w:szCs w:val="24"/>
          <w:u w:val="single"/>
        </w:rPr>
      </w:pPr>
    </w:p>
    <w:p w14:paraId="70EB62A0" w14:textId="1CAA64CC" w:rsidR="00750E74" w:rsidRPr="00750E74" w:rsidRDefault="00750E74" w:rsidP="00750E74">
      <w:pPr>
        <w:tabs>
          <w:tab w:val="left" w:pos="851"/>
        </w:tabs>
        <w:ind w:left="851"/>
        <w:rPr>
          <w:iCs/>
          <w:sz w:val="24"/>
          <w:szCs w:val="24"/>
          <w:u w:val="single"/>
        </w:rPr>
      </w:pPr>
      <w:r w:rsidRPr="00750E74">
        <w:rPr>
          <w:sz w:val="24"/>
          <w:szCs w:val="24"/>
          <w:u w:val="single"/>
        </w:rPr>
        <w:t>Dosering</w:t>
      </w:r>
    </w:p>
    <w:p w14:paraId="48866C1A" w14:textId="77777777" w:rsidR="00750E74" w:rsidRDefault="00750E74" w:rsidP="00750E74">
      <w:pPr>
        <w:tabs>
          <w:tab w:val="left" w:pos="851"/>
        </w:tabs>
        <w:ind w:left="851"/>
        <w:rPr>
          <w:i/>
          <w:sz w:val="24"/>
          <w:szCs w:val="24"/>
        </w:rPr>
      </w:pPr>
    </w:p>
    <w:p w14:paraId="1133892B" w14:textId="507C383D" w:rsidR="00750E74" w:rsidRPr="00750E74" w:rsidRDefault="00750E74" w:rsidP="00750E74">
      <w:pPr>
        <w:tabs>
          <w:tab w:val="left" w:pos="851"/>
        </w:tabs>
        <w:ind w:left="851"/>
        <w:rPr>
          <w:i/>
          <w:iCs/>
          <w:sz w:val="24"/>
          <w:szCs w:val="24"/>
        </w:rPr>
      </w:pPr>
      <w:r w:rsidRPr="00750E74">
        <w:rPr>
          <w:i/>
          <w:sz w:val="24"/>
          <w:szCs w:val="24"/>
        </w:rPr>
        <w:t>Voksne</w:t>
      </w:r>
    </w:p>
    <w:p w14:paraId="0121F68A" w14:textId="77777777" w:rsidR="00750E74" w:rsidRPr="00750E74" w:rsidRDefault="00750E74" w:rsidP="00750E74">
      <w:pPr>
        <w:tabs>
          <w:tab w:val="left" w:pos="851"/>
        </w:tabs>
        <w:ind w:left="851"/>
        <w:rPr>
          <w:sz w:val="24"/>
          <w:szCs w:val="24"/>
        </w:rPr>
      </w:pPr>
      <w:r w:rsidRPr="00750E74">
        <w:rPr>
          <w:sz w:val="24"/>
          <w:szCs w:val="24"/>
        </w:rPr>
        <w:t>Behandlingstiden bør være så kort som muligt. Den laveste effektive dosis skal anvendes.</w:t>
      </w:r>
    </w:p>
    <w:p w14:paraId="0EFBBD4A" w14:textId="77777777" w:rsidR="00750E74" w:rsidRPr="00750E74" w:rsidRDefault="00750E74" w:rsidP="00750E74">
      <w:pPr>
        <w:tabs>
          <w:tab w:val="left" w:pos="851"/>
        </w:tabs>
        <w:ind w:left="851"/>
        <w:rPr>
          <w:sz w:val="24"/>
          <w:szCs w:val="24"/>
        </w:rPr>
      </w:pPr>
    </w:p>
    <w:p w14:paraId="6A99795A" w14:textId="77777777" w:rsidR="00750E74" w:rsidRPr="00750E74" w:rsidRDefault="00750E74" w:rsidP="00750E74">
      <w:pPr>
        <w:tabs>
          <w:tab w:val="left" w:pos="851"/>
        </w:tabs>
        <w:ind w:left="851"/>
        <w:rPr>
          <w:sz w:val="24"/>
          <w:szCs w:val="24"/>
        </w:rPr>
      </w:pPr>
      <w:r w:rsidRPr="00750E74">
        <w:rPr>
          <w:sz w:val="24"/>
          <w:szCs w:val="24"/>
        </w:rPr>
        <w:t xml:space="preserve">Den sædvanlige startdosis er 5 mg som en enkelt dosis ved sengetid og må ikke tages igen i løbet af samme nat. Hos patienter, der ikke responderer på denne dosis, kan dosis øges til 7,5 mg. </w:t>
      </w:r>
    </w:p>
    <w:p w14:paraId="1CD16340" w14:textId="77777777" w:rsidR="00750E74" w:rsidRPr="00750E74" w:rsidRDefault="00750E74" w:rsidP="00750E74">
      <w:pPr>
        <w:tabs>
          <w:tab w:val="left" w:pos="851"/>
        </w:tabs>
        <w:ind w:left="851"/>
        <w:rPr>
          <w:sz w:val="24"/>
          <w:szCs w:val="24"/>
        </w:rPr>
      </w:pPr>
    </w:p>
    <w:p w14:paraId="27D95F79" w14:textId="77777777" w:rsidR="00750E74" w:rsidRPr="00750E74" w:rsidRDefault="00750E74" w:rsidP="00750E74">
      <w:pPr>
        <w:tabs>
          <w:tab w:val="left" w:pos="851"/>
        </w:tabs>
        <w:ind w:left="851"/>
        <w:rPr>
          <w:sz w:val="24"/>
          <w:szCs w:val="24"/>
        </w:rPr>
      </w:pPr>
      <w:bookmarkStart w:id="2" w:name="_Hlk168996869"/>
      <w:r w:rsidRPr="00750E74">
        <w:rPr>
          <w:sz w:val="24"/>
          <w:szCs w:val="24"/>
        </w:rPr>
        <w:t>Dosis må ikke overstige 7,5 mg pr. dag.</w:t>
      </w:r>
    </w:p>
    <w:bookmarkEnd w:id="2"/>
    <w:p w14:paraId="59307AE6" w14:textId="77777777" w:rsidR="00750E74" w:rsidRPr="00750E74" w:rsidRDefault="00750E74" w:rsidP="00750E74">
      <w:pPr>
        <w:tabs>
          <w:tab w:val="left" w:pos="851"/>
        </w:tabs>
        <w:ind w:left="851"/>
        <w:rPr>
          <w:sz w:val="24"/>
          <w:szCs w:val="24"/>
          <w:u w:val="single"/>
        </w:rPr>
      </w:pPr>
    </w:p>
    <w:p w14:paraId="33E7B082" w14:textId="77777777" w:rsidR="00750E74" w:rsidRPr="00750E74" w:rsidRDefault="00750E74" w:rsidP="00750E74">
      <w:pPr>
        <w:tabs>
          <w:tab w:val="left" w:pos="851"/>
        </w:tabs>
        <w:ind w:left="851"/>
        <w:rPr>
          <w:sz w:val="24"/>
          <w:szCs w:val="24"/>
          <w:u w:val="single"/>
        </w:rPr>
      </w:pPr>
      <w:r w:rsidRPr="00750E74">
        <w:rPr>
          <w:sz w:val="24"/>
          <w:szCs w:val="24"/>
          <w:u w:val="single"/>
        </w:rPr>
        <w:t>Behandlingsvarighed</w:t>
      </w:r>
    </w:p>
    <w:p w14:paraId="5A6B34BB" w14:textId="77777777" w:rsidR="00750E74" w:rsidRPr="00750E74" w:rsidRDefault="00750E74" w:rsidP="00750E74">
      <w:pPr>
        <w:tabs>
          <w:tab w:val="left" w:pos="851"/>
        </w:tabs>
        <w:ind w:left="851"/>
        <w:rPr>
          <w:sz w:val="24"/>
          <w:szCs w:val="24"/>
        </w:rPr>
      </w:pPr>
      <w:r w:rsidRPr="00750E74">
        <w:rPr>
          <w:sz w:val="24"/>
          <w:szCs w:val="24"/>
        </w:rPr>
        <w:t>Behandlingstiden skal være så kort som muligt (få dage til 2 uger) og ikke længere end 4 uger, inklusive nedtrapning. I nogle tilfælde kan det være nødvendigt at forlænge behandlingen ud over den maksimale behandlingsperiode. Dette bør dog ikke ske uden en revurdering af patientens status, da risikoen for afhængighed eller misbrug stiger med dosis og varighed af behandlingen (se også pkt. 4.4).</w:t>
      </w:r>
    </w:p>
    <w:p w14:paraId="5DD2CB0A" w14:textId="77777777" w:rsidR="00750E74" w:rsidRPr="00750E74" w:rsidRDefault="00750E74" w:rsidP="00750E74">
      <w:pPr>
        <w:tabs>
          <w:tab w:val="left" w:pos="851"/>
        </w:tabs>
        <w:ind w:left="851"/>
        <w:rPr>
          <w:sz w:val="24"/>
          <w:szCs w:val="24"/>
        </w:rPr>
      </w:pPr>
    </w:p>
    <w:p w14:paraId="7AC4280E" w14:textId="77777777" w:rsidR="00750E74" w:rsidRPr="00750E74" w:rsidRDefault="00750E74" w:rsidP="00750E74">
      <w:pPr>
        <w:tabs>
          <w:tab w:val="left" w:pos="851"/>
        </w:tabs>
        <w:ind w:left="851"/>
        <w:rPr>
          <w:iCs/>
          <w:sz w:val="24"/>
          <w:szCs w:val="24"/>
          <w:u w:val="single"/>
        </w:rPr>
      </w:pPr>
      <w:r w:rsidRPr="00750E74">
        <w:rPr>
          <w:sz w:val="24"/>
          <w:szCs w:val="24"/>
          <w:u w:val="single"/>
        </w:rPr>
        <w:t>Særlige populationer</w:t>
      </w:r>
    </w:p>
    <w:p w14:paraId="31F0189F" w14:textId="77777777" w:rsidR="00750E74" w:rsidRDefault="00750E74" w:rsidP="00750E74">
      <w:pPr>
        <w:tabs>
          <w:tab w:val="left" w:pos="851"/>
        </w:tabs>
        <w:ind w:left="851"/>
        <w:rPr>
          <w:i/>
          <w:sz w:val="24"/>
          <w:szCs w:val="24"/>
        </w:rPr>
      </w:pPr>
    </w:p>
    <w:p w14:paraId="524190BA" w14:textId="67EE0985" w:rsidR="00750E74" w:rsidRPr="00750E74" w:rsidRDefault="00750E74" w:rsidP="00750E74">
      <w:pPr>
        <w:tabs>
          <w:tab w:val="left" w:pos="851"/>
        </w:tabs>
        <w:ind w:left="851"/>
        <w:rPr>
          <w:i/>
          <w:iCs/>
          <w:sz w:val="24"/>
          <w:szCs w:val="24"/>
        </w:rPr>
      </w:pPr>
      <w:r w:rsidRPr="00750E74">
        <w:rPr>
          <w:i/>
          <w:sz w:val="24"/>
          <w:szCs w:val="24"/>
        </w:rPr>
        <w:t>Ældre</w:t>
      </w:r>
    </w:p>
    <w:p w14:paraId="385A2249" w14:textId="77777777" w:rsidR="00750E74" w:rsidRPr="00750E74" w:rsidRDefault="00750E74" w:rsidP="00750E74">
      <w:pPr>
        <w:tabs>
          <w:tab w:val="left" w:pos="851"/>
        </w:tabs>
        <w:ind w:left="851"/>
        <w:rPr>
          <w:sz w:val="24"/>
          <w:szCs w:val="24"/>
        </w:rPr>
      </w:pPr>
      <w:r w:rsidRPr="00750E74">
        <w:rPr>
          <w:sz w:val="24"/>
          <w:szCs w:val="24"/>
        </w:rPr>
        <w:t>Til ældre er den sædvanlige startdosis 3,75 mg. Dosen kan senere øges til 5 mg og om nødvendigt op til 7,5 mg.</w:t>
      </w:r>
    </w:p>
    <w:p w14:paraId="74E227E1" w14:textId="77777777" w:rsidR="00750E74" w:rsidRPr="00750E74" w:rsidRDefault="00750E74" w:rsidP="00750E74">
      <w:pPr>
        <w:tabs>
          <w:tab w:val="left" w:pos="851"/>
        </w:tabs>
        <w:ind w:left="851"/>
        <w:rPr>
          <w:sz w:val="24"/>
          <w:szCs w:val="24"/>
        </w:rPr>
      </w:pPr>
    </w:p>
    <w:p w14:paraId="2320C904" w14:textId="77777777" w:rsidR="00750E74" w:rsidRPr="00750E74" w:rsidRDefault="00750E74" w:rsidP="00750E74">
      <w:pPr>
        <w:tabs>
          <w:tab w:val="left" w:pos="851"/>
        </w:tabs>
        <w:ind w:left="851"/>
        <w:rPr>
          <w:i/>
          <w:iCs/>
          <w:sz w:val="24"/>
          <w:szCs w:val="24"/>
        </w:rPr>
      </w:pPr>
      <w:r w:rsidRPr="00750E74">
        <w:rPr>
          <w:i/>
          <w:sz w:val="24"/>
          <w:szCs w:val="24"/>
        </w:rPr>
        <w:t>Nedsat nyrefunktion</w:t>
      </w:r>
    </w:p>
    <w:p w14:paraId="3BCC760B" w14:textId="77777777" w:rsidR="00750E74" w:rsidRPr="00750E74" w:rsidRDefault="00750E74" w:rsidP="00750E74">
      <w:pPr>
        <w:tabs>
          <w:tab w:val="left" w:pos="851"/>
        </w:tabs>
        <w:ind w:left="851"/>
        <w:rPr>
          <w:sz w:val="24"/>
          <w:szCs w:val="24"/>
        </w:rPr>
      </w:pPr>
      <w:r w:rsidRPr="00750E74">
        <w:rPr>
          <w:sz w:val="24"/>
          <w:szCs w:val="24"/>
        </w:rPr>
        <w:t>Skønt der ikke er set akkumulering af zopiclon eller dets metabolitter hos patienter med nedsat nyrefunktion, anbefales det at begynde behandlingen af patienter med nedsat nyrefunktion ved 3,75 mg.</w:t>
      </w:r>
    </w:p>
    <w:p w14:paraId="2DD96ACD" w14:textId="77777777" w:rsidR="00750E74" w:rsidRPr="00750E74" w:rsidRDefault="00750E74" w:rsidP="00750E74">
      <w:pPr>
        <w:tabs>
          <w:tab w:val="left" w:pos="851"/>
        </w:tabs>
        <w:ind w:left="851"/>
        <w:rPr>
          <w:sz w:val="24"/>
          <w:szCs w:val="24"/>
        </w:rPr>
      </w:pPr>
    </w:p>
    <w:p w14:paraId="08E2F60B" w14:textId="77777777" w:rsidR="00750E74" w:rsidRPr="00750E74" w:rsidRDefault="00750E74" w:rsidP="00750E74">
      <w:pPr>
        <w:tabs>
          <w:tab w:val="left" w:pos="851"/>
        </w:tabs>
        <w:ind w:left="851"/>
        <w:rPr>
          <w:sz w:val="24"/>
          <w:szCs w:val="24"/>
        </w:rPr>
      </w:pPr>
      <w:r w:rsidRPr="00750E74">
        <w:rPr>
          <w:i/>
          <w:sz w:val="24"/>
          <w:szCs w:val="24"/>
        </w:rPr>
        <w:t>Nedsat leverfunktion og kronisk respirationssvigt</w:t>
      </w:r>
    </w:p>
    <w:p w14:paraId="0605C6FC" w14:textId="77777777" w:rsidR="00750E74" w:rsidRPr="00750E74" w:rsidRDefault="00750E74" w:rsidP="00750E74">
      <w:pPr>
        <w:tabs>
          <w:tab w:val="left" w:pos="851"/>
        </w:tabs>
        <w:ind w:left="851"/>
        <w:rPr>
          <w:sz w:val="24"/>
          <w:szCs w:val="24"/>
        </w:rPr>
      </w:pPr>
      <w:r w:rsidRPr="00750E74">
        <w:rPr>
          <w:sz w:val="24"/>
          <w:szCs w:val="24"/>
        </w:rPr>
        <w:t>Behandlingen bør indledes</w:t>
      </w:r>
      <w:r w:rsidRPr="00750E74">
        <w:rPr>
          <w:i/>
          <w:sz w:val="24"/>
          <w:szCs w:val="24"/>
        </w:rPr>
        <w:t xml:space="preserve"> </w:t>
      </w:r>
      <w:r w:rsidRPr="00750E74">
        <w:rPr>
          <w:sz w:val="24"/>
          <w:szCs w:val="24"/>
        </w:rPr>
        <w:t>med en dosis på 3,75 mg. Dosen kan senere øges til 5 mg og, om nødvendigt, op til 7,5 mg.</w:t>
      </w:r>
    </w:p>
    <w:p w14:paraId="26AF73DC" w14:textId="77777777" w:rsidR="00750E74" w:rsidRPr="00750E74" w:rsidRDefault="00750E74" w:rsidP="00750E74">
      <w:pPr>
        <w:tabs>
          <w:tab w:val="left" w:pos="851"/>
        </w:tabs>
        <w:ind w:left="851"/>
        <w:rPr>
          <w:sz w:val="24"/>
          <w:szCs w:val="24"/>
        </w:rPr>
      </w:pPr>
    </w:p>
    <w:p w14:paraId="33FC8F3F" w14:textId="77777777" w:rsidR="00750E74" w:rsidRPr="00750E74" w:rsidRDefault="00750E74" w:rsidP="00750E74">
      <w:pPr>
        <w:tabs>
          <w:tab w:val="left" w:pos="851"/>
        </w:tabs>
        <w:ind w:left="851"/>
        <w:rPr>
          <w:i/>
          <w:iCs/>
          <w:sz w:val="24"/>
          <w:szCs w:val="24"/>
        </w:rPr>
      </w:pPr>
      <w:r w:rsidRPr="00750E74">
        <w:rPr>
          <w:i/>
          <w:sz w:val="24"/>
          <w:szCs w:val="24"/>
        </w:rPr>
        <w:t>Pædiatrisk population</w:t>
      </w:r>
    </w:p>
    <w:p w14:paraId="7B1032EF" w14:textId="77777777" w:rsidR="00750E74" w:rsidRPr="00750E74" w:rsidRDefault="00750E74" w:rsidP="00750E74">
      <w:pPr>
        <w:tabs>
          <w:tab w:val="left" w:pos="851"/>
        </w:tabs>
        <w:ind w:left="851"/>
        <w:rPr>
          <w:sz w:val="24"/>
          <w:szCs w:val="24"/>
          <w:u w:val="single"/>
        </w:rPr>
      </w:pPr>
      <w:r w:rsidRPr="00750E74">
        <w:rPr>
          <w:sz w:val="24"/>
          <w:szCs w:val="24"/>
        </w:rPr>
        <w:t>Somnols bør ikke anvendes til børn og unge i alderen under 18 år. Zopiclons sikkerhed og virkning hos denne aldersgruppe er ikke klarlagt.</w:t>
      </w:r>
      <w:bookmarkStart w:id="3" w:name="page2"/>
      <w:bookmarkEnd w:id="3"/>
    </w:p>
    <w:p w14:paraId="377EECDE" w14:textId="77777777" w:rsidR="00750E74" w:rsidRPr="00750E74" w:rsidRDefault="00750E74" w:rsidP="00750E74">
      <w:pPr>
        <w:tabs>
          <w:tab w:val="left" w:pos="851"/>
        </w:tabs>
        <w:ind w:left="851"/>
        <w:rPr>
          <w:sz w:val="24"/>
          <w:szCs w:val="24"/>
          <w:u w:val="single"/>
        </w:rPr>
      </w:pPr>
    </w:p>
    <w:p w14:paraId="1B51C5CF" w14:textId="77777777" w:rsidR="00750E74" w:rsidRPr="00750E74" w:rsidRDefault="00750E74" w:rsidP="00750E74">
      <w:pPr>
        <w:tabs>
          <w:tab w:val="left" w:pos="851"/>
        </w:tabs>
        <w:ind w:left="851"/>
        <w:rPr>
          <w:sz w:val="24"/>
          <w:szCs w:val="24"/>
          <w:u w:val="single"/>
        </w:rPr>
      </w:pPr>
      <w:r w:rsidRPr="00750E74">
        <w:rPr>
          <w:sz w:val="24"/>
          <w:szCs w:val="24"/>
          <w:u w:val="single"/>
        </w:rPr>
        <w:t>Administration</w:t>
      </w:r>
    </w:p>
    <w:p w14:paraId="2B1E62C7" w14:textId="77777777" w:rsidR="00750E74" w:rsidRPr="00750E74" w:rsidRDefault="00750E74" w:rsidP="00750E74">
      <w:pPr>
        <w:numPr>
          <w:ilvl w:val="0"/>
          <w:numId w:val="6"/>
        </w:numPr>
        <w:tabs>
          <w:tab w:val="left" w:pos="851"/>
        </w:tabs>
        <w:ind w:left="1134" w:hanging="283"/>
        <w:rPr>
          <w:sz w:val="24"/>
          <w:szCs w:val="24"/>
        </w:rPr>
      </w:pPr>
      <w:r w:rsidRPr="00750E74">
        <w:rPr>
          <w:sz w:val="24"/>
          <w:szCs w:val="24"/>
        </w:rPr>
        <w:t xml:space="preserve">Til oral anvendelse. </w:t>
      </w:r>
    </w:p>
    <w:p w14:paraId="47C03832" w14:textId="77777777" w:rsidR="00750E74" w:rsidRPr="00750E74" w:rsidRDefault="00750E74" w:rsidP="00750E74">
      <w:pPr>
        <w:numPr>
          <w:ilvl w:val="0"/>
          <w:numId w:val="6"/>
        </w:numPr>
        <w:tabs>
          <w:tab w:val="left" w:pos="851"/>
        </w:tabs>
        <w:ind w:left="1134" w:hanging="283"/>
        <w:rPr>
          <w:sz w:val="24"/>
          <w:szCs w:val="24"/>
        </w:rPr>
      </w:pPr>
      <w:r w:rsidRPr="00750E74">
        <w:rPr>
          <w:sz w:val="24"/>
          <w:szCs w:val="24"/>
        </w:rPr>
        <w:t xml:space="preserve">Tabletten skal tages om aftenen før sengetid. </w:t>
      </w:r>
    </w:p>
    <w:p w14:paraId="3438B014" w14:textId="77777777" w:rsidR="00750E74" w:rsidRPr="00750E74" w:rsidRDefault="00750E74" w:rsidP="00750E74">
      <w:pPr>
        <w:numPr>
          <w:ilvl w:val="0"/>
          <w:numId w:val="6"/>
        </w:numPr>
        <w:tabs>
          <w:tab w:val="left" w:pos="851"/>
        </w:tabs>
        <w:ind w:left="1134" w:hanging="283"/>
        <w:rPr>
          <w:sz w:val="24"/>
          <w:szCs w:val="24"/>
        </w:rPr>
      </w:pPr>
      <w:r w:rsidRPr="00750E74">
        <w:rPr>
          <w:sz w:val="24"/>
          <w:szCs w:val="24"/>
        </w:rPr>
        <w:t>Tabletterne skal tages i oprejst stilling, da optagelsen kan blive forsinket i liggende stilling.</w:t>
      </w:r>
    </w:p>
    <w:p w14:paraId="1CA84C7C" w14:textId="77777777" w:rsidR="009260DE" w:rsidRPr="00C84483" w:rsidRDefault="009260DE" w:rsidP="009260DE">
      <w:pPr>
        <w:tabs>
          <w:tab w:val="left" w:pos="851"/>
        </w:tabs>
        <w:ind w:left="851"/>
        <w:rPr>
          <w:sz w:val="24"/>
          <w:szCs w:val="24"/>
        </w:rPr>
      </w:pPr>
    </w:p>
    <w:p w14:paraId="7F8B03C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60A80E"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t>Overfølsomhed over for det aktive stof eller over for et eller flere af hjælpestofferne anført i pkt. 6.1.</w:t>
      </w:r>
    </w:p>
    <w:p w14:paraId="691C1286"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lastRenderedPageBreak/>
        <w:t>Alvorlig leverinsufficiens</w:t>
      </w:r>
    </w:p>
    <w:p w14:paraId="74FF9F2E"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t>Søvnapnøsyndrom</w:t>
      </w:r>
    </w:p>
    <w:p w14:paraId="0D8A9542"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t>Myasthenia gravis</w:t>
      </w:r>
    </w:p>
    <w:p w14:paraId="188CCE09"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t>Alvorlig respirationsinsufficiens</w:t>
      </w:r>
    </w:p>
    <w:p w14:paraId="6CC8E690" w14:textId="77777777" w:rsidR="00750E74" w:rsidRPr="00750E74" w:rsidRDefault="00750E74" w:rsidP="00750E74">
      <w:pPr>
        <w:numPr>
          <w:ilvl w:val="0"/>
          <w:numId w:val="7"/>
        </w:numPr>
        <w:tabs>
          <w:tab w:val="left" w:pos="851"/>
        </w:tabs>
        <w:ind w:left="1134" w:hanging="283"/>
        <w:rPr>
          <w:sz w:val="24"/>
          <w:szCs w:val="24"/>
        </w:rPr>
      </w:pPr>
      <w:r w:rsidRPr="00750E74">
        <w:rPr>
          <w:sz w:val="24"/>
          <w:szCs w:val="24"/>
        </w:rPr>
        <w:t>Tidligere kompleks søvnadfærd efter indtagelse af zopiclon (se pkt. 4.4).</w:t>
      </w:r>
    </w:p>
    <w:p w14:paraId="43456491" w14:textId="77777777" w:rsidR="009260DE" w:rsidRPr="00C84483" w:rsidRDefault="009260DE" w:rsidP="009260DE">
      <w:pPr>
        <w:tabs>
          <w:tab w:val="left" w:pos="851"/>
        </w:tabs>
        <w:ind w:left="851"/>
        <w:rPr>
          <w:sz w:val="24"/>
          <w:szCs w:val="24"/>
        </w:rPr>
      </w:pPr>
    </w:p>
    <w:p w14:paraId="582FE6A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C9A23E7" w14:textId="77777777" w:rsidR="00750E74" w:rsidRPr="00750E74" w:rsidRDefault="00750E74" w:rsidP="00750E74">
      <w:pPr>
        <w:tabs>
          <w:tab w:val="left" w:pos="851"/>
        </w:tabs>
        <w:ind w:left="851"/>
        <w:rPr>
          <w:sz w:val="24"/>
          <w:szCs w:val="24"/>
        </w:rPr>
      </w:pPr>
      <w:r w:rsidRPr="00750E74">
        <w:rPr>
          <w:sz w:val="24"/>
          <w:szCs w:val="24"/>
        </w:rPr>
        <w:t xml:space="preserve">Før behandling med zopiclon påbegyndes, skal enhver underliggende årsag til søvnløshed behandles omhyggeligt. </w:t>
      </w:r>
    </w:p>
    <w:p w14:paraId="60602623" w14:textId="77777777" w:rsidR="00750E74" w:rsidRPr="00750E74" w:rsidRDefault="00750E74" w:rsidP="00750E74">
      <w:pPr>
        <w:tabs>
          <w:tab w:val="left" w:pos="851"/>
        </w:tabs>
        <w:ind w:left="851"/>
        <w:rPr>
          <w:sz w:val="24"/>
          <w:szCs w:val="24"/>
        </w:rPr>
      </w:pPr>
    </w:p>
    <w:p w14:paraId="63A40905" w14:textId="77777777" w:rsidR="00750E74" w:rsidRPr="00750E74" w:rsidRDefault="00750E74" w:rsidP="00750E74">
      <w:pPr>
        <w:tabs>
          <w:tab w:val="left" w:pos="851"/>
        </w:tabs>
        <w:ind w:left="851"/>
        <w:rPr>
          <w:sz w:val="24"/>
          <w:szCs w:val="24"/>
        </w:rPr>
      </w:pPr>
      <w:r w:rsidRPr="00750E74">
        <w:rPr>
          <w:sz w:val="24"/>
          <w:szCs w:val="24"/>
        </w:rPr>
        <w:t>Somnols skal endvidere anvendes med forsigtighed til patienter, der tidligere har haft alkohol- eller stofmisbrug. Samtidig indtagelse af alkohol skal undgås.</w:t>
      </w:r>
    </w:p>
    <w:p w14:paraId="26FAEBC5" w14:textId="77777777" w:rsidR="00750E74" w:rsidRPr="00750E74" w:rsidRDefault="00750E74" w:rsidP="00750E74">
      <w:pPr>
        <w:tabs>
          <w:tab w:val="left" w:pos="851"/>
        </w:tabs>
        <w:ind w:left="851"/>
        <w:rPr>
          <w:sz w:val="24"/>
          <w:szCs w:val="24"/>
          <w:u w:val="single"/>
        </w:rPr>
      </w:pPr>
    </w:p>
    <w:p w14:paraId="0333AE13" w14:textId="77777777" w:rsidR="00750E74" w:rsidRPr="00750E74" w:rsidRDefault="00750E74" w:rsidP="00750E74">
      <w:pPr>
        <w:tabs>
          <w:tab w:val="left" w:pos="851"/>
        </w:tabs>
        <w:ind w:left="851"/>
        <w:rPr>
          <w:sz w:val="24"/>
          <w:szCs w:val="24"/>
          <w:u w:val="single"/>
        </w:rPr>
      </w:pPr>
      <w:r w:rsidRPr="00750E74">
        <w:rPr>
          <w:sz w:val="24"/>
          <w:szCs w:val="24"/>
          <w:u w:val="single"/>
        </w:rPr>
        <w:t>Afhængighed</w:t>
      </w:r>
    </w:p>
    <w:p w14:paraId="70A9C9A5" w14:textId="77777777" w:rsidR="00750E74" w:rsidRPr="00750E74" w:rsidRDefault="00750E74" w:rsidP="00750E74">
      <w:pPr>
        <w:tabs>
          <w:tab w:val="left" w:pos="851"/>
        </w:tabs>
        <w:ind w:left="851"/>
        <w:rPr>
          <w:sz w:val="24"/>
          <w:szCs w:val="24"/>
        </w:rPr>
      </w:pPr>
      <w:r w:rsidRPr="00750E74">
        <w:rPr>
          <w:sz w:val="24"/>
          <w:szCs w:val="24"/>
        </w:rPr>
        <w:t xml:space="preserve">Behandling med sedativa/hypnotika, såsom zopiclon, kan føre til fysisk eller psykisk afhængighed eller misbrug af disse midler. </w:t>
      </w:r>
    </w:p>
    <w:p w14:paraId="3CA9A85E" w14:textId="77777777" w:rsidR="00750E74" w:rsidRPr="00750E74" w:rsidRDefault="00750E74" w:rsidP="00750E74">
      <w:pPr>
        <w:tabs>
          <w:tab w:val="left" w:pos="851"/>
        </w:tabs>
        <w:ind w:left="851"/>
        <w:rPr>
          <w:sz w:val="24"/>
          <w:szCs w:val="24"/>
        </w:rPr>
      </w:pPr>
    </w:p>
    <w:p w14:paraId="53ACFE6E" w14:textId="77777777" w:rsidR="00750E74" w:rsidRPr="00750E74" w:rsidRDefault="00750E74" w:rsidP="00750E74">
      <w:pPr>
        <w:tabs>
          <w:tab w:val="left" w:pos="851"/>
        </w:tabs>
        <w:ind w:left="851"/>
        <w:rPr>
          <w:sz w:val="24"/>
          <w:szCs w:val="24"/>
        </w:rPr>
      </w:pPr>
      <w:r w:rsidRPr="00750E74">
        <w:rPr>
          <w:sz w:val="24"/>
          <w:szCs w:val="24"/>
        </w:rPr>
        <w:t xml:space="preserve">Risikoen for afhængighed eller misbrug stiger med dosis og behandlingens varighed. Risikoen for afhængighed eller misbrug er ligeledes større hos patienter, der tidligere har haft et alkohol- eller stofmisbrug, og hvis zopiclon tages i kombination med alkohol eller andre psykofarmaka. </w:t>
      </w:r>
    </w:p>
    <w:p w14:paraId="2EA9AB76" w14:textId="77777777" w:rsidR="00750E74" w:rsidRPr="00750E74" w:rsidRDefault="00750E74" w:rsidP="00750E74">
      <w:pPr>
        <w:tabs>
          <w:tab w:val="left" w:pos="851"/>
        </w:tabs>
        <w:ind w:left="851"/>
        <w:rPr>
          <w:sz w:val="24"/>
          <w:szCs w:val="24"/>
        </w:rPr>
      </w:pPr>
    </w:p>
    <w:p w14:paraId="3E239E1E" w14:textId="77777777" w:rsidR="00750E74" w:rsidRPr="00750E74" w:rsidRDefault="00750E74" w:rsidP="00750E74">
      <w:pPr>
        <w:tabs>
          <w:tab w:val="left" w:pos="851"/>
        </w:tabs>
        <w:ind w:left="851"/>
        <w:rPr>
          <w:sz w:val="24"/>
          <w:szCs w:val="24"/>
        </w:rPr>
      </w:pPr>
      <w:r w:rsidRPr="00750E74">
        <w:rPr>
          <w:sz w:val="24"/>
          <w:szCs w:val="24"/>
        </w:rPr>
        <w:t>Hvis der opstår fysisk afhængighed, kan pludselig seponering af behandlingen føre til abstinenssymptomer, som kan omfatte søvnløshed, hovedpine, muskelsmerter, alvorlig angst, anspændthed, agitation, forvirring og irritabilitet. I alvorlige tilfælde kan følgende symptomer forekomme: depersonalisering, derealisering, hyperacusis, følelsesløshed og prikken i ekstremiteterne, overfølsomhed over for lys, støj og fysisk kontakt, hallucinationer eller epileptiske anfald.</w:t>
      </w:r>
    </w:p>
    <w:p w14:paraId="7775ACFA" w14:textId="77777777" w:rsidR="00750E74" w:rsidRPr="00750E74" w:rsidRDefault="00750E74" w:rsidP="00750E74">
      <w:pPr>
        <w:tabs>
          <w:tab w:val="left" w:pos="851"/>
        </w:tabs>
        <w:ind w:left="851"/>
        <w:rPr>
          <w:sz w:val="24"/>
          <w:szCs w:val="24"/>
        </w:rPr>
      </w:pPr>
    </w:p>
    <w:p w14:paraId="7879E8FB" w14:textId="77777777" w:rsidR="00750E74" w:rsidRPr="00750E74" w:rsidRDefault="00750E74" w:rsidP="00750E74">
      <w:pPr>
        <w:tabs>
          <w:tab w:val="left" w:pos="851"/>
        </w:tabs>
        <w:ind w:left="851"/>
        <w:rPr>
          <w:sz w:val="24"/>
          <w:szCs w:val="24"/>
        </w:rPr>
      </w:pPr>
      <w:r w:rsidRPr="00750E74">
        <w:rPr>
          <w:sz w:val="24"/>
          <w:szCs w:val="24"/>
        </w:rPr>
        <w:t>Abstinenssymptomer kan forekomme få dage efter behandlingsophør. For korttidsvirkende benzodiazepiner, og særligt hvis de gives i høje doser, kan der endda optræde symptomer i intervallet mellem doserne.</w:t>
      </w:r>
    </w:p>
    <w:p w14:paraId="77EBD041" w14:textId="77777777" w:rsidR="00750E74" w:rsidRPr="00750E74" w:rsidRDefault="00750E74" w:rsidP="00750E74">
      <w:pPr>
        <w:tabs>
          <w:tab w:val="left" w:pos="851"/>
        </w:tabs>
        <w:ind w:left="851"/>
        <w:rPr>
          <w:sz w:val="24"/>
          <w:szCs w:val="24"/>
        </w:rPr>
      </w:pPr>
    </w:p>
    <w:p w14:paraId="2CA13D2F" w14:textId="77777777" w:rsidR="00750E74" w:rsidRPr="00750E74" w:rsidRDefault="00750E74" w:rsidP="00750E74">
      <w:pPr>
        <w:tabs>
          <w:tab w:val="left" w:pos="851"/>
        </w:tabs>
        <w:ind w:left="851"/>
        <w:rPr>
          <w:sz w:val="24"/>
          <w:szCs w:val="24"/>
          <w:u w:val="single"/>
        </w:rPr>
      </w:pPr>
      <w:r w:rsidRPr="00750E74">
        <w:rPr>
          <w:sz w:val="24"/>
          <w:szCs w:val="24"/>
          <w:u w:val="single"/>
        </w:rPr>
        <w:t>Rebound-søvnløshed</w:t>
      </w:r>
    </w:p>
    <w:p w14:paraId="40B4F962" w14:textId="77777777" w:rsidR="00750E74" w:rsidRPr="00750E74" w:rsidRDefault="00750E74" w:rsidP="00750E74">
      <w:pPr>
        <w:tabs>
          <w:tab w:val="left" w:pos="851"/>
        </w:tabs>
        <w:ind w:left="851"/>
        <w:rPr>
          <w:sz w:val="24"/>
          <w:szCs w:val="24"/>
        </w:rPr>
      </w:pPr>
      <w:r w:rsidRPr="00750E74">
        <w:rPr>
          <w:sz w:val="24"/>
          <w:szCs w:val="24"/>
        </w:rPr>
        <w:t>Et forbigående syndrom, hvor de symptomer, der førte til behandling med sedativa/hypnotika, vender tilbage i forstærket form, når behandlingen ophører. Risikoen for disse symptomer er større efter et brat behandlingsophør, især efter forlænget behandling med sovemedicin. Det anbefales derfor, at patienten informeres herom og rådes til gradvist at reducere dosis (se også pkt 4.8 Bivirkninger). Behandling med sovemedicin bør være midlertidig eller periodisk for at mindske risikoen for abstinenser.</w:t>
      </w:r>
    </w:p>
    <w:p w14:paraId="79CFFF1D" w14:textId="77777777" w:rsidR="00750E74" w:rsidRPr="00750E74" w:rsidRDefault="00750E74" w:rsidP="00750E74">
      <w:pPr>
        <w:tabs>
          <w:tab w:val="left" w:pos="851"/>
        </w:tabs>
        <w:ind w:left="851"/>
        <w:rPr>
          <w:sz w:val="24"/>
          <w:szCs w:val="24"/>
        </w:rPr>
      </w:pPr>
    </w:p>
    <w:p w14:paraId="3B7AE58F" w14:textId="77777777" w:rsidR="00750E74" w:rsidRPr="00750E74" w:rsidRDefault="00750E74" w:rsidP="00750E74">
      <w:pPr>
        <w:tabs>
          <w:tab w:val="left" w:pos="851"/>
        </w:tabs>
        <w:ind w:left="851"/>
        <w:rPr>
          <w:sz w:val="24"/>
          <w:szCs w:val="24"/>
          <w:u w:val="single"/>
        </w:rPr>
      </w:pPr>
      <w:r w:rsidRPr="00750E74">
        <w:rPr>
          <w:sz w:val="24"/>
          <w:szCs w:val="24"/>
          <w:u w:val="single"/>
        </w:rPr>
        <w:t>Behandlingsvarighed</w:t>
      </w:r>
    </w:p>
    <w:p w14:paraId="74C579AF" w14:textId="77777777" w:rsidR="00750E74" w:rsidRPr="00750E74" w:rsidRDefault="00750E74" w:rsidP="00750E74">
      <w:pPr>
        <w:tabs>
          <w:tab w:val="left" w:pos="851"/>
        </w:tabs>
        <w:ind w:left="851"/>
        <w:rPr>
          <w:sz w:val="24"/>
          <w:szCs w:val="24"/>
        </w:rPr>
      </w:pPr>
      <w:r w:rsidRPr="00750E74">
        <w:rPr>
          <w:sz w:val="24"/>
          <w:szCs w:val="24"/>
        </w:rPr>
        <w:t>Behandlingens varighed skal være så kort som muligt (se pkt. 4.2) og ikke længere end 4 uger inklusive nedtrapning. Denne periode må kun overskrides efter en revurdering af patientens status. Det kan være en fordel at informere patienten i begyndelsen af behandlingen om, at behandlingen vil være kortvarig, og at forklare præcist, hvordan dosen gradvist skal reduceres.</w:t>
      </w:r>
    </w:p>
    <w:p w14:paraId="56DA2D80" w14:textId="77777777" w:rsidR="00750E74" w:rsidRPr="00750E74" w:rsidRDefault="00750E74" w:rsidP="00750E74">
      <w:pPr>
        <w:tabs>
          <w:tab w:val="left" w:pos="851"/>
        </w:tabs>
        <w:ind w:left="851"/>
        <w:rPr>
          <w:sz w:val="24"/>
          <w:szCs w:val="24"/>
        </w:rPr>
      </w:pPr>
      <w:r w:rsidRPr="00750E74">
        <w:rPr>
          <w:sz w:val="24"/>
          <w:szCs w:val="24"/>
        </w:rPr>
        <w:t xml:space="preserve">Det er ligeledes vigtigt at gøre opmærksom på muligheden for en rebound-effekt, så patienten ikke bekymrer sig unødigt om disse symptomer under nedtrapningen af behandlingen. </w:t>
      </w:r>
    </w:p>
    <w:p w14:paraId="0B107C51" w14:textId="77777777" w:rsidR="00750E74" w:rsidRPr="00750E74" w:rsidRDefault="00750E74" w:rsidP="00750E74">
      <w:pPr>
        <w:tabs>
          <w:tab w:val="left" w:pos="851"/>
        </w:tabs>
        <w:ind w:left="851"/>
        <w:rPr>
          <w:iCs/>
          <w:sz w:val="24"/>
          <w:szCs w:val="24"/>
        </w:rPr>
      </w:pPr>
    </w:p>
    <w:p w14:paraId="127DE9B9" w14:textId="77777777" w:rsidR="00750E74" w:rsidRPr="00750E74" w:rsidRDefault="00750E74" w:rsidP="00750E74">
      <w:pPr>
        <w:tabs>
          <w:tab w:val="left" w:pos="851"/>
        </w:tabs>
        <w:ind w:left="851"/>
        <w:rPr>
          <w:sz w:val="24"/>
          <w:szCs w:val="24"/>
        </w:rPr>
      </w:pPr>
      <w:r w:rsidRPr="00750E74">
        <w:rPr>
          <w:sz w:val="24"/>
          <w:szCs w:val="24"/>
          <w:u w:val="single"/>
        </w:rPr>
        <w:lastRenderedPageBreak/>
        <w:t>Psykomotorisk svækkelse</w:t>
      </w:r>
    </w:p>
    <w:p w14:paraId="037C1DD3" w14:textId="77777777" w:rsidR="00750E74" w:rsidRPr="00750E74" w:rsidRDefault="00750E74" w:rsidP="00750E74">
      <w:pPr>
        <w:tabs>
          <w:tab w:val="left" w:pos="851"/>
        </w:tabs>
        <w:ind w:left="851"/>
        <w:rPr>
          <w:sz w:val="24"/>
          <w:szCs w:val="24"/>
        </w:rPr>
      </w:pPr>
      <w:r w:rsidRPr="00750E74">
        <w:rPr>
          <w:sz w:val="24"/>
          <w:szCs w:val="24"/>
        </w:rPr>
        <w:t>Som alle andre sedativa/hypnotika har zopiclon CNS-deprimerende virkninger. Ændringer i de psykomotoriske funktioner vil sandsynligvis indtræde inden for timer efter administration. Risikoen for psykomotorisk svækkelse, herunder evnen til at føre motorkøretøjer, øges i følgende situationer:</w:t>
      </w:r>
    </w:p>
    <w:p w14:paraId="4B90E34B" w14:textId="77777777" w:rsidR="00750E74" w:rsidRPr="00750E74" w:rsidRDefault="00750E74" w:rsidP="00750E74">
      <w:pPr>
        <w:numPr>
          <w:ilvl w:val="1"/>
          <w:numId w:val="8"/>
        </w:numPr>
        <w:tabs>
          <w:tab w:val="left" w:pos="851"/>
        </w:tabs>
        <w:rPr>
          <w:sz w:val="24"/>
          <w:szCs w:val="24"/>
        </w:rPr>
      </w:pPr>
      <w:r w:rsidRPr="00750E74">
        <w:rPr>
          <w:sz w:val="24"/>
          <w:szCs w:val="24"/>
        </w:rPr>
        <w:t>Indtagelse af dette lægemiddel mindre end 12 timer før udførelse af en aktivitet, der kræver årvågenhed (se pkt. 4.7).</w:t>
      </w:r>
    </w:p>
    <w:p w14:paraId="106CA491" w14:textId="77777777" w:rsidR="00750E74" w:rsidRPr="00750E74" w:rsidRDefault="00750E74" w:rsidP="00750E74">
      <w:pPr>
        <w:numPr>
          <w:ilvl w:val="1"/>
          <w:numId w:val="8"/>
        </w:numPr>
        <w:tabs>
          <w:tab w:val="left" w:pos="851"/>
        </w:tabs>
        <w:rPr>
          <w:sz w:val="24"/>
          <w:szCs w:val="24"/>
        </w:rPr>
      </w:pPr>
      <w:r w:rsidRPr="00750E74">
        <w:rPr>
          <w:sz w:val="24"/>
          <w:szCs w:val="24"/>
        </w:rPr>
        <w:t>Overskridelse af den anbefalede dosis.</w:t>
      </w:r>
    </w:p>
    <w:p w14:paraId="32F20CDE" w14:textId="77777777" w:rsidR="00750E74" w:rsidRPr="00750E74" w:rsidRDefault="00750E74" w:rsidP="00750E74">
      <w:pPr>
        <w:numPr>
          <w:ilvl w:val="1"/>
          <w:numId w:val="8"/>
        </w:numPr>
        <w:tabs>
          <w:tab w:val="left" w:pos="851"/>
        </w:tabs>
        <w:rPr>
          <w:sz w:val="24"/>
          <w:szCs w:val="24"/>
        </w:rPr>
      </w:pPr>
      <w:r w:rsidRPr="00750E74">
        <w:rPr>
          <w:sz w:val="24"/>
          <w:szCs w:val="24"/>
        </w:rPr>
        <w:t>Samtidig administration med andre CNS-depressiva, alkohol, ulovlige stoffer eller andre lægemidler, der øger koncentrationen af zopiclon i blodet (se pkt. 4.5).</w:t>
      </w:r>
    </w:p>
    <w:p w14:paraId="0AE4715A" w14:textId="77777777" w:rsidR="00750E74" w:rsidRPr="00750E74" w:rsidRDefault="00750E74" w:rsidP="00750E74">
      <w:pPr>
        <w:tabs>
          <w:tab w:val="left" w:pos="851"/>
        </w:tabs>
        <w:ind w:left="851"/>
        <w:rPr>
          <w:sz w:val="24"/>
          <w:szCs w:val="24"/>
        </w:rPr>
      </w:pPr>
      <w:r w:rsidRPr="00750E74">
        <w:rPr>
          <w:sz w:val="24"/>
          <w:szCs w:val="24"/>
        </w:rPr>
        <w:t>Patienterne skal advares mod at deltage i farlige aktiviteter, der kræver fuld opmærksomhed eller motorisk koordination (f.eks. betjening af maskiner eller føring af motorkøretøjer) efter indtagelse af zopiclon, og især i løbet af de første 12 timer efter administration.</w:t>
      </w:r>
    </w:p>
    <w:p w14:paraId="78DD2EDB" w14:textId="77777777" w:rsidR="00750E74" w:rsidRPr="00750E74" w:rsidRDefault="00750E74" w:rsidP="00750E74">
      <w:pPr>
        <w:tabs>
          <w:tab w:val="left" w:pos="851"/>
        </w:tabs>
        <w:ind w:left="851"/>
        <w:rPr>
          <w:sz w:val="24"/>
          <w:szCs w:val="24"/>
        </w:rPr>
      </w:pPr>
    </w:p>
    <w:p w14:paraId="585B8B5B" w14:textId="77777777" w:rsidR="00750E74" w:rsidRPr="00750E74" w:rsidRDefault="00750E74" w:rsidP="00750E74">
      <w:pPr>
        <w:tabs>
          <w:tab w:val="left" w:pos="851"/>
        </w:tabs>
        <w:ind w:left="851"/>
        <w:rPr>
          <w:sz w:val="24"/>
          <w:szCs w:val="24"/>
          <w:u w:val="single"/>
        </w:rPr>
      </w:pPr>
      <w:r w:rsidRPr="00750E74">
        <w:rPr>
          <w:sz w:val="24"/>
          <w:szCs w:val="24"/>
          <w:u w:val="single"/>
        </w:rPr>
        <w:t>Anterograd amnesi</w:t>
      </w:r>
    </w:p>
    <w:p w14:paraId="4AFE0F61" w14:textId="77777777" w:rsidR="00750E74" w:rsidRPr="00750E74" w:rsidRDefault="00750E74" w:rsidP="00750E74">
      <w:pPr>
        <w:tabs>
          <w:tab w:val="left" w:pos="851"/>
        </w:tabs>
        <w:ind w:left="851"/>
        <w:rPr>
          <w:sz w:val="24"/>
          <w:szCs w:val="24"/>
        </w:rPr>
      </w:pPr>
      <w:r w:rsidRPr="00750E74">
        <w:rPr>
          <w:sz w:val="24"/>
          <w:szCs w:val="24"/>
        </w:rPr>
        <w:t>Der kan forekomme anterograd amnesi, især hvis søvnen afbrydes, eller hvis sengetiden udsættes efter indtagelse af Somnols. Anterograd amnesi kan indtræde inden for få timer efter administration.</w:t>
      </w:r>
    </w:p>
    <w:p w14:paraId="0FA0D69B" w14:textId="77777777" w:rsidR="00750E74" w:rsidRPr="00750E74" w:rsidRDefault="00750E74" w:rsidP="00750E74">
      <w:pPr>
        <w:tabs>
          <w:tab w:val="left" w:pos="851"/>
        </w:tabs>
        <w:ind w:left="851"/>
        <w:rPr>
          <w:sz w:val="24"/>
          <w:szCs w:val="24"/>
        </w:rPr>
      </w:pPr>
      <w:r w:rsidRPr="00750E74">
        <w:rPr>
          <w:sz w:val="24"/>
          <w:szCs w:val="24"/>
        </w:rPr>
        <w:t>For at reducere risikoen for anterograd amnesi skal patienten rådes til at:</w:t>
      </w:r>
    </w:p>
    <w:p w14:paraId="2855AE09" w14:textId="77777777" w:rsidR="00750E74" w:rsidRPr="00750E74" w:rsidRDefault="00750E74" w:rsidP="00750E74">
      <w:pPr>
        <w:numPr>
          <w:ilvl w:val="0"/>
          <w:numId w:val="9"/>
        </w:numPr>
        <w:tabs>
          <w:tab w:val="left" w:pos="851"/>
        </w:tabs>
        <w:ind w:left="1134" w:hanging="283"/>
        <w:rPr>
          <w:sz w:val="24"/>
          <w:szCs w:val="24"/>
        </w:rPr>
      </w:pPr>
      <w:r w:rsidRPr="00750E74">
        <w:rPr>
          <w:sz w:val="24"/>
          <w:szCs w:val="24"/>
        </w:rPr>
        <w:t>tage tabletten umiddelbart før sengetid, eller i sengen</w:t>
      </w:r>
    </w:p>
    <w:p w14:paraId="45233B69" w14:textId="77777777" w:rsidR="00750E74" w:rsidRPr="00750E74" w:rsidRDefault="00750E74" w:rsidP="00750E74">
      <w:pPr>
        <w:numPr>
          <w:ilvl w:val="0"/>
          <w:numId w:val="9"/>
        </w:numPr>
        <w:tabs>
          <w:tab w:val="left" w:pos="851"/>
        </w:tabs>
        <w:ind w:left="1134" w:hanging="283"/>
        <w:rPr>
          <w:sz w:val="24"/>
          <w:szCs w:val="24"/>
        </w:rPr>
      </w:pPr>
      <w:r w:rsidRPr="00750E74">
        <w:rPr>
          <w:sz w:val="24"/>
          <w:szCs w:val="24"/>
        </w:rPr>
        <w:t>skabe de mest gunstige betingelser for en hel nats søvn (7</w:t>
      </w:r>
      <w:r w:rsidRPr="00750E74">
        <w:rPr>
          <w:sz w:val="24"/>
          <w:szCs w:val="24"/>
        </w:rPr>
        <w:noBreakHyphen/>
        <w:t>8 timer).</w:t>
      </w:r>
    </w:p>
    <w:p w14:paraId="73AB04AE" w14:textId="77777777" w:rsidR="00750E74" w:rsidRPr="00750E74" w:rsidRDefault="00750E74" w:rsidP="00750E74">
      <w:pPr>
        <w:tabs>
          <w:tab w:val="left" w:pos="851"/>
        </w:tabs>
        <w:ind w:left="851"/>
        <w:rPr>
          <w:sz w:val="24"/>
          <w:szCs w:val="24"/>
        </w:rPr>
      </w:pPr>
    </w:p>
    <w:p w14:paraId="02DF89BD" w14:textId="77777777" w:rsidR="00750E74" w:rsidRPr="00750E74" w:rsidRDefault="00750E74" w:rsidP="00750E74">
      <w:pPr>
        <w:tabs>
          <w:tab w:val="left" w:pos="851"/>
        </w:tabs>
        <w:ind w:left="851"/>
        <w:rPr>
          <w:sz w:val="24"/>
          <w:szCs w:val="24"/>
          <w:u w:val="single"/>
        </w:rPr>
      </w:pPr>
      <w:r w:rsidRPr="00750E74">
        <w:rPr>
          <w:sz w:val="24"/>
          <w:szCs w:val="24"/>
          <w:u w:val="single"/>
        </w:rPr>
        <w:t>Tolerance</w:t>
      </w:r>
    </w:p>
    <w:p w14:paraId="54B3DB52" w14:textId="77777777" w:rsidR="00750E74" w:rsidRPr="00750E74" w:rsidRDefault="00750E74" w:rsidP="00750E74">
      <w:pPr>
        <w:tabs>
          <w:tab w:val="left" w:pos="851"/>
        </w:tabs>
        <w:ind w:left="851"/>
        <w:rPr>
          <w:sz w:val="24"/>
          <w:szCs w:val="24"/>
          <w:u w:val="single"/>
        </w:rPr>
      </w:pPr>
      <w:r w:rsidRPr="00750E74">
        <w:rPr>
          <w:sz w:val="24"/>
          <w:szCs w:val="24"/>
        </w:rPr>
        <w:t>Den hypnotiske virkning af kortvirkende benzodiazepiner og benzodiazepinlignende midler kan aftage efter gentagen anvendelse i få uger. Der er dog ikke set udtalt tolerance over for zopiclon ved behandling i op til 4 uger.</w:t>
      </w:r>
    </w:p>
    <w:p w14:paraId="12F1B375" w14:textId="77777777" w:rsidR="00750E74" w:rsidRPr="00750E74" w:rsidRDefault="00750E74" w:rsidP="00750E74">
      <w:pPr>
        <w:tabs>
          <w:tab w:val="left" w:pos="851"/>
        </w:tabs>
        <w:ind w:left="851"/>
        <w:rPr>
          <w:sz w:val="24"/>
          <w:szCs w:val="24"/>
          <w:u w:val="single"/>
        </w:rPr>
      </w:pPr>
    </w:p>
    <w:p w14:paraId="5D7E51BD" w14:textId="77777777" w:rsidR="00750E74" w:rsidRPr="00750E74" w:rsidRDefault="00750E74" w:rsidP="00750E74">
      <w:pPr>
        <w:tabs>
          <w:tab w:val="left" w:pos="851"/>
        </w:tabs>
        <w:ind w:left="851"/>
        <w:rPr>
          <w:sz w:val="24"/>
          <w:szCs w:val="24"/>
          <w:u w:val="single"/>
        </w:rPr>
      </w:pPr>
      <w:r w:rsidRPr="00750E74">
        <w:rPr>
          <w:sz w:val="24"/>
          <w:szCs w:val="24"/>
          <w:u w:val="single"/>
        </w:rPr>
        <w:t>Somnambulisme og beslægtet adfærd</w:t>
      </w:r>
    </w:p>
    <w:p w14:paraId="5212AF61" w14:textId="77777777" w:rsidR="00750E74" w:rsidRPr="00750E74" w:rsidRDefault="00750E74" w:rsidP="00750E74">
      <w:pPr>
        <w:tabs>
          <w:tab w:val="left" w:pos="851"/>
        </w:tabs>
        <w:ind w:left="851"/>
        <w:rPr>
          <w:sz w:val="24"/>
          <w:szCs w:val="24"/>
        </w:rPr>
      </w:pPr>
      <w:r w:rsidRPr="00750E74">
        <w:rPr>
          <w:sz w:val="24"/>
          <w:szCs w:val="24"/>
        </w:rPr>
        <w:t>Søvngængeri og anden kompleks søvnadfærd såsom ”søvnkørsel”, madlavning og indtagelse af mad, sex eller telefonopkald i søvne, med amnesi relateret til begivenheden, er blevet rapporteret hos patienter, der har taget den første eller en efterfølgende dosis zopiclon, og ikke har været helt vågne. Patienterne husker sædvanligvis ikke disse begivenheder.</w:t>
      </w:r>
    </w:p>
    <w:p w14:paraId="31DEEF69" w14:textId="77777777" w:rsidR="00750E74" w:rsidRPr="00750E74" w:rsidRDefault="00750E74" w:rsidP="00750E74">
      <w:pPr>
        <w:tabs>
          <w:tab w:val="left" w:pos="851"/>
        </w:tabs>
        <w:ind w:left="851"/>
        <w:rPr>
          <w:sz w:val="24"/>
          <w:szCs w:val="24"/>
        </w:rPr>
      </w:pPr>
      <w:r w:rsidRPr="00750E74">
        <w:rPr>
          <w:sz w:val="24"/>
          <w:szCs w:val="24"/>
        </w:rPr>
        <w:t xml:space="preserve">Patienterne kan komme alvorligt til skade eller forvolde skade på andre under kompleks søvnadfærd. Sådanne tilskadekomster kan have fatale følger. </w:t>
      </w:r>
    </w:p>
    <w:p w14:paraId="50935A72" w14:textId="77777777" w:rsidR="00750E74" w:rsidRPr="00750E74" w:rsidRDefault="00750E74" w:rsidP="00750E74">
      <w:pPr>
        <w:tabs>
          <w:tab w:val="left" w:pos="851"/>
        </w:tabs>
        <w:ind w:left="851"/>
        <w:rPr>
          <w:sz w:val="24"/>
          <w:szCs w:val="24"/>
        </w:rPr>
      </w:pPr>
      <w:r w:rsidRPr="00750E74">
        <w:rPr>
          <w:sz w:val="24"/>
          <w:szCs w:val="24"/>
        </w:rPr>
        <w:t xml:space="preserve">Risikoen for en sådan adfærd øges ved samtidig anvendelse af alkohol og andre CNS-depressiva eller ved overskridelse af den maksimale anbefalede dosis. Seponering af behandlingen bør kraftigt overvejes hos patienter, der </w:t>
      </w:r>
      <w:bookmarkStart w:id="4" w:name="page3"/>
      <w:bookmarkEnd w:id="4"/>
      <w:r w:rsidRPr="00750E74">
        <w:rPr>
          <w:sz w:val="24"/>
          <w:szCs w:val="24"/>
        </w:rPr>
        <w:t xml:space="preserve">indberetter en sådan adfærd (se pkt. 4.5). </w:t>
      </w:r>
    </w:p>
    <w:p w14:paraId="4001B64F" w14:textId="77777777" w:rsidR="00750E74" w:rsidRPr="00750E74" w:rsidRDefault="00750E74" w:rsidP="00750E74">
      <w:pPr>
        <w:tabs>
          <w:tab w:val="left" w:pos="851"/>
        </w:tabs>
        <w:ind w:left="851"/>
        <w:rPr>
          <w:sz w:val="24"/>
          <w:szCs w:val="24"/>
          <w:u w:val="single"/>
        </w:rPr>
      </w:pPr>
    </w:p>
    <w:p w14:paraId="1CBBC7F2" w14:textId="77777777" w:rsidR="00750E74" w:rsidRPr="00750E74" w:rsidRDefault="00750E74" w:rsidP="00750E74">
      <w:pPr>
        <w:tabs>
          <w:tab w:val="left" w:pos="851"/>
        </w:tabs>
        <w:ind w:left="851"/>
        <w:rPr>
          <w:sz w:val="24"/>
          <w:szCs w:val="24"/>
          <w:u w:val="single"/>
        </w:rPr>
      </w:pPr>
      <w:r w:rsidRPr="00750E74">
        <w:rPr>
          <w:sz w:val="24"/>
          <w:szCs w:val="24"/>
          <w:u w:val="single"/>
        </w:rPr>
        <w:t>Psykiatriske og paradoksale reaktioner</w:t>
      </w:r>
    </w:p>
    <w:p w14:paraId="6AF2612F" w14:textId="77777777" w:rsidR="00750E74" w:rsidRPr="00750E74" w:rsidRDefault="00750E74" w:rsidP="00750E74">
      <w:pPr>
        <w:tabs>
          <w:tab w:val="left" w:pos="851"/>
        </w:tabs>
        <w:ind w:left="851"/>
        <w:rPr>
          <w:sz w:val="24"/>
          <w:szCs w:val="24"/>
          <w:u w:val="single"/>
        </w:rPr>
      </w:pPr>
      <w:r w:rsidRPr="00750E74">
        <w:rPr>
          <w:sz w:val="24"/>
          <w:szCs w:val="24"/>
        </w:rPr>
        <w:t>Der kan forekomme reaktioner som rastløshed, agitation, irritabilitet, aggressivitet, vrangforestillinger, raseri, mareridt, hallucinationer, psykose, uhensigtsmæssig adfærd og andre adfærdsforstyrrelser under behandling med benzodiazepiner og benzodiazepinlignende midler. I dette tilfælde skal lægemidlet seponeres. Disse reaktioner forekommer oftere hos ældre.</w:t>
      </w:r>
    </w:p>
    <w:p w14:paraId="6F8732D8" w14:textId="77777777" w:rsidR="00750E74" w:rsidRPr="00750E74" w:rsidRDefault="00750E74" w:rsidP="00750E74">
      <w:pPr>
        <w:tabs>
          <w:tab w:val="left" w:pos="851"/>
        </w:tabs>
        <w:ind w:left="851"/>
        <w:rPr>
          <w:sz w:val="24"/>
          <w:szCs w:val="24"/>
          <w:u w:val="single"/>
        </w:rPr>
      </w:pPr>
    </w:p>
    <w:p w14:paraId="30B68287" w14:textId="77777777" w:rsidR="00750E74" w:rsidRPr="00750E74" w:rsidRDefault="00750E74" w:rsidP="00750E74">
      <w:pPr>
        <w:tabs>
          <w:tab w:val="left" w:pos="851"/>
        </w:tabs>
        <w:ind w:left="851"/>
        <w:rPr>
          <w:sz w:val="24"/>
          <w:szCs w:val="24"/>
          <w:u w:val="single"/>
        </w:rPr>
      </w:pPr>
      <w:r w:rsidRPr="00750E74">
        <w:rPr>
          <w:sz w:val="24"/>
          <w:szCs w:val="24"/>
          <w:u w:val="single"/>
        </w:rPr>
        <w:t>Selvmord/depression/svær depressiv episode</w:t>
      </w:r>
    </w:p>
    <w:p w14:paraId="64BA4AD5" w14:textId="77777777" w:rsidR="00750E74" w:rsidRPr="00750E74" w:rsidRDefault="00750E74" w:rsidP="00750E74">
      <w:pPr>
        <w:tabs>
          <w:tab w:val="left" w:pos="851"/>
        </w:tabs>
        <w:ind w:left="851"/>
        <w:rPr>
          <w:sz w:val="24"/>
          <w:szCs w:val="24"/>
        </w:rPr>
      </w:pPr>
      <w:r w:rsidRPr="00750E74">
        <w:rPr>
          <w:sz w:val="24"/>
          <w:szCs w:val="24"/>
        </w:rPr>
        <w:t xml:space="preserve">En række epidemiologiske undersøgelser viser en øget forekomst af selvmordstanker, selvmordsforsøg og selvmord hos patienter med eller uden depression, som behandles med </w:t>
      </w:r>
      <w:r w:rsidRPr="00750E74">
        <w:rPr>
          <w:sz w:val="24"/>
          <w:szCs w:val="24"/>
        </w:rPr>
        <w:lastRenderedPageBreak/>
        <w:t>benzodiazepiner og andre hypnotika, herunder zopiclon. En årsagssammenhæng er dog ikke blevet fastslået.</w:t>
      </w:r>
    </w:p>
    <w:p w14:paraId="59D5CCC1" w14:textId="77777777" w:rsidR="00750E74" w:rsidRPr="00750E74" w:rsidRDefault="00750E74" w:rsidP="00750E74">
      <w:pPr>
        <w:tabs>
          <w:tab w:val="left" w:pos="851"/>
        </w:tabs>
        <w:ind w:left="851"/>
        <w:rPr>
          <w:sz w:val="24"/>
          <w:szCs w:val="24"/>
        </w:rPr>
      </w:pPr>
    </w:p>
    <w:p w14:paraId="7A1D0038" w14:textId="77777777" w:rsidR="00750E74" w:rsidRPr="00750E74" w:rsidRDefault="00750E74" w:rsidP="00750E74">
      <w:pPr>
        <w:tabs>
          <w:tab w:val="left" w:pos="851"/>
        </w:tabs>
        <w:ind w:left="851"/>
        <w:rPr>
          <w:sz w:val="24"/>
          <w:szCs w:val="24"/>
        </w:rPr>
      </w:pPr>
      <w:r w:rsidRPr="00750E74">
        <w:rPr>
          <w:sz w:val="24"/>
          <w:szCs w:val="24"/>
        </w:rPr>
        <w:t>Som med andre hypnotika udgør zopiclon ikke en behandling af depression og kan endda maskere tilstandens symptomer (selvmord kan forekomme pludseligt hos sådanne patienter).</w:t>
      </w:r>
    </w:p>
    <w:p w14:paraId="459E6B11" w14:textId="77777777" w:rsidR="00750E74" w:rsidRPr="00750E74" w:rsidRDefault="00750E74" w:rsidP="00750E74">
      <w:pPr>
        <w:tabs>
          <w:tab w:val="left" w:pos="851"/>
        </w:tabs>
        <w:ind w:left="851"/>
        <w:rPr>
          <w:i/>
          <w:iCs/>
          <w:sz w:val="24"/>
          <w:szCs w:val="24"/>
        </w:rPr>
      </w:pPr>
    </w:p>
    <w:p w14:paraId="697E356D" w14:textId="77777777" w:rsidR="00750E74" w:rsidRPr="00750E74" w:rsidRDefault="00750E74" w:rsidP="00750E74">
      <w:pPr>
        <w:tabs>
          <w:tab w:val="left" w:pos="851"/>
        </w:tabs>
        <w:ind w:left="851"/>
        <w:rPr>
          <w:i/>
          <w:iCs/>
          <w:sz w:val="24"/>
          <w:szCs w:val="24"/>
        </w:rPr>
      </w:pPr>
      <w:r w:rsidRPr="00750E74">
        <w:rPr>
          <w:i/>
          <w:sz w:val="24"/>
          <w:szCs w:val="24"/>
        </w:rPr>
        <w:t>Hos personer med en svær depressiv episode:</w:t>
      </w:r>
    </w:p>
    <w:p w14:paraId="29D49707" w14:textId="77777777" w:rsidR="00750E74" w:rsidRPr="00750E74" w:rsidRDefault="00750E74" w:rsidP="00750E74">
      <w:pPr>
        <w:tabs>
          <w:tab w:val="left" w:pos="851"/>
        </w:tabs>
        <w:ind w:left="851"/>
        <w:rPr>
          <w:sz w:val="24"/>
          <w:szCs w:val="24"/>
        </w:rPr>
      </w:pPr>
      <w:r w:rsidRPr="00750E74">
        <w:rPr>
          <w:sz w:val="24"/>
          <w:szCs w:val="24"/>
        </w:rPr>
        <w:t>Benzodiazepiner og benzodiazepinlignende lægemidler bør ikke ordineres som monoterapi, da det kan bevirke, at den underliggende depression forværres og bliver vedvarende, med øget risiko for selvmord til følge.</w:t>
      </w:r>
    </w:p>
    <w:p w14:paraId="5BB2A7C1" w14:textId="77777777" w:rsidR="00750E74" w:rsidRPr="00750E74" w:rsidRDefault="00750E74" w:rsidP="00750E74">
      <w:pPr>
        <w:tabs>
          <w:tab w:val="left" w:pos="851"/>
        </w:tabs>
        <w:ind w:left="851"/>
        <w:rPr>
          <w:sz w:val="24"/>
          <w:szCs w:val="24"/>
        </w:rPr>
      </w:pPr>
      <w:r w:rsidRPr="00750E74">
        <w:rPr>
          <w:sz w:val="24"/>
          <w:szCs w:val="24"/>
        </w:rPr>
        <w:t>På grund af selvmordsrisikoen hos disse patienter skal den lavest mulige dosis zopiclon anvendes til disse patienter for at undgå risikoen for forsætlig overdosering.</w:t>
      </w:r>
    </w:p>
    <w:p w14:paraId="6FDA8A80" w14:textId="77777777" w:rsidR="00750E74" w:rsidRPr="00750E74" w:rsidRDefault="00750E74" w:rsidP="00750E74">
      <w:pPr>
        <w:tabs>
          <w:tab w:val="left" w:pos="851"/>
        </w:tabs>
        <w:ind w:left="851"/>
        <w:rPr>
          <w:sz w:val="24"/>
          <w:szCs w:val="24"/>
          <w:u w:val="single"/>
        </w:rPr>
      </w:pPr>
    </w:p>
    <w:p w14:paraId="2E004637" w14:textId="77777777" w:rsidR="00750E74" w:rsidRPr="00750E74" w:rsidRDefault="00750E74" w:rsidP="00750E74">
      <w:pPr>
        <w:tabs>
          <w:tab w:val="left" w:pos="851"/>
        </w:tabs>
        <w:ind w:left="851"/>
        <w:rPr>
          <w:sz w:val="24"/>
          <w:szCs w:val="24"/>
          <w:u w:val="single"/>
        </w:rPr>
      </w:pPr>
      <w:r w:rsidRPr="00750E74">
        <w:rPr>
          <w:sz w:val="24"/>
          <w:szCs w:val="24"/>
          <w:u w:val="single"/>
        </w:rPr>
        <w:t>Risici ved samtidig anvendelse af opioider</w:t>
      </w:r>
    </w:p>
    <w:p w14:paraId="5B926D3E" w14:textId="77777777" w:rsidR="00750E74" w:rsidRPr="00750E74" w:rsidRDefault="00750E74" w:rsidP="00750E74">
      <w:pPr>
        <w:tabs>
          <w:tab w:val="left" w:pos="851"/>
        </w:tabs>
        <w:ind w:left="851"/>
        <w:rPr>
          <w:sz w:val="24"/>
          <w:szCs w:val="24"/>
        </w:rPr>
      </w:pPr>
      <w:r w:rsidRPr="00750E74">
        <w:rPr>
          <w:sz w:val="24"/>
          <w:szCs w:val="24"/>
        </w:rPr>
        <w:t xml:space="preserve">Samtidig anvendelse af Somnols og opioider øger risikoen for sedation, respirationsdepression, koma og død. På grund af disse risici skal samtidig ordination af sedativa som benzodiazepiner eller beslægtede lægemidler som Somnols sammen med opioider forbeholdes patienter, for hvem alternative behandlingsmuligheder ikke er hensigtsmæssige. Besluttes det at ordinere Somnols samtidig med opioider, skal den laveste effektive dosis anvendes, og behandlingens varighed skal være så kort som mulig (se også den generelle dosisanbefaling i pkt. 4.2). </w:t>
      </w:r>
    </w:p>
    <w:p w14:paraId="1B75C562" w14:textId="77777777" w:rsidR="00750E74" w:rsidRPr="00750E74" w:rsidRDefault="00750E74" w:rsidP="00750E74">
      <w:pPr>
        <w:tabs>
          <w:tab w:val="left" w:pos="851"/>
        </w:tabs>
        <w:ind w:left="851"/>
        <w:rPr>
          <w:sz w:val="24"/>
          <w:szCs w:val="24"/>
        </w:rPr>
      </w:pPr>
    </w:p>
    <w:p w14:paraId="1021FC9F" w14:textId="77777777" w:rsidR="00750E74" w:rsidRPr="00750E74" w:rsidRDefault="00750E74" w:rsidP="00750E74">
      <w:pPr>
        <w:tabs>
          <w:tab w:val="left" w:pos="851"/>
        </w:tabs>
        <w:ind w:left="851"/>
        <w:rPr>
          <w:sz w:val="24"/>
          <w:szCs w:val="24"/>
        </w:rPr>
      </w:pPr>
      <w:r w:rsidRPr="00750E74">
        <w:rPr>
          <w:sz w:val="24"/>
          <w:szCs w:val="24"/>
        </w:rPr>
        <w:t>Patienterne skal overvåges nøje for tegn og symptomer på respirationsdepression og sedation. Som led i dette anbefales det på det kraftigste, at patienter og deres omsorgspersoner (hvis det er relevant) informeres om at være opmærksomme på disse symptomer (se pkt. 4.5).</w:t>
      </w:r>
    </w:p>
    <w:p w14:paraId="02E52633" w14:textId="77777777" w:rsidR="00750E74" w:rsidRPr="00750E74" w:rsidRDefault="00750E74" w:rsidP="00750E74">
      <w:pPr>
        <w:tabs>
          <w:tab w:val="left" w:pos="851"/>
        </w:tabs>
        <w:ind w:left="851"/>
        <w:rPr>
          <w:sz w:val="24"/>
          <w:szCs w:val="24"/>
          <w:u w:val="single"/>
        </w:rPr>
      </w:pPr>
    </w:p>
    <w:p w14:paraId="2BF71C1D" w14:textId="77777777" w:rsidR="00750E74" w:rsidRPr="00750E74" w:rsidRDefault="00750E74" w:rsidP="00750E74">
      <w:pPr>
        <w:tabs>
          <w:tab w:val="left" w:pos="851"/>
        </w:tabs>
        <w:ind w:left="851"/>
        <w:rPr>
          <w:sz w:val="24"/>
          <w:szCs w:val="24"/>
          <w:u w:val="single"/>
        </w:rPr>
      </w:pPr>
      <w:r w:rsidRPr="00750E74">
        <w:rPr>
          <w:sz w:val="24"/>
          <w:szCs w:val="24"/>
          <w:u w:val="single"/>
        </w:rPr>
        <w:t>Særlige populationer</w:t>
      </w:r>
    </w:p>
    <w:p w14:paraId="1FA6C060" w14:textId="77777777" w:rsidR="00750E74" w:rsidRDefault="00750E74" w:rsidP="00750E74">
      <w:pPr>
        <w:tabs>
          <w:tab w:val="left" w:pos="851"/>
        </w:tabs>
        <w:ind w:left="851"/>
        <w:rPr>
          <w:i/>
          <w:sz w:val="24"/>
          <w:szCs w:val="24"/>
        </w:rPr>
      </w:pPr>
    </w:p>
    <w:p w14:paraId="41FE571C" w14:textId="7CCEABEE" w:rsidR="00750E74" w:rsidRPr="00750E74" w:rsidRDefault="00750E74" w:rsidP="00750E74">
      <w:pPr>
        <w:tabs>
          <w:tab w:val="left" w:pos="851"/>
        </w:tabs>
        <w:ind w:left="851"/>
        <w:rPr>
          <w:i/>
          <w:iCs/>
          <w:sz w:val="24"/>
          <w:szCs w:val="24"/>
        </w:rPr>
      </w:pPr>
      <w:r w:rsidRPr="00750E74">
        <w:rPr>
          <w:i/>
          <w:sz w:val="24"/>
          <w:szCs w:val="24"/>
        </w:rPr>
        <w:t>Nedsat leverfunktion</w:t>
      </w:r>
    </w:p>
    <w:p w14:paraId="55609E18" w14:textId="77777777" w:rsidR="00750E74" w:rsidRPr="00750E74" w:rsidRDefault="00750E74" w:rsidP="00750E74">
      <w:pPr>
        <w:tabs>
          <w:tab w:val="left" w:pos="851"/>
        </w:tabs>
        <w:ind w:left="851"/>
        <w:rPr>
          <w:sz w:val="24"/>
          <w:szCs w:val="24"/>
        </w:rPr>
      </w:pPr>
      <w:r w:rsidRPr="00750E74">
        <w:rPr>
          <w:sz w:val="24"/>
          <w:szCs w:val="24"/>
        </w:rPr>
        <w:t>Det anbefales at reducere dosis, se pkt. 4.2. Benzodiazepiner er ikke indiceret til behandling af patienter med svær leverinsufficiens, da de kan fremme forekomsten af encefalopati (se pkt. 4.3).</w:t>
      </w:r>
    </w:p>
    <w:p w14:paraId="769DDF26" w14:textId="77777777" w:rsidR="00750E74" w:rsidRPr="00750E74" w:rsidRDefault="00750E74" w:rsidP="00750E74">
      <w:pPr>
        <w:tabs>
          <w:tab w:val="left" w:pos="851"/>
        </w:tabs>
        <w:ind w:left="851"/>
        <w:rPr>
          <w:sz w:val="24"/>
          <w:szCs w:val="24"/>
        </w:rPr>
      </w:pPr>
    </w:p>
    <w:p w14:paraId="2186AC3E" w14:textId="77777777" w:rsidR="00750E74" w:rsidRPr="00750E74" w:rsidRDefault="00750E74" w:rsidP="00750E74">
      <w:pPr>
        <w:tabs>
          <w:tab w:val="left" w:pos="851"/>
        </w:tabs>
        <w:ind w:left="851"/>
        <w:rPr>
          <w:i/>
          <w:iCs/>
          <w:sz w:val="24"/>
          <w:szCs w:val="24"/>
        </w:rPr>
      </w:pPr>
      <w:r w:rsidRPr="00750E74">
        <w:rPr>
          <w:i/>
          <w:sz w:val="24"/>
          <w:szCs w:val="24"/>
        </w:rPr>
        <w:t>Kronisk respirationssvigt</w:t>
      </w:r>
    </w:p>
    <w:p w14:paraId="468A8EAE" w14:textId="77777777" w:rsidR="00750E74" w:rsidRPr="00750E74" w:rsidRDefault="00750E74" w:rsidP="00750E74">
      <w:pPr>
        <w:tabs>
          <w:tab w:val="left" w:pos="851"/>
        </w:tabs>
        <w:ind w:left="851"/>
        <w:rPr>
          <w:sz w:val="24"/>
          <w:szCs w:val="24"/>
        </w:rPr>
      </w:pPr>
      <w:r w:rsidRPr="00750E74">
        <w:rPr>
          <w:sz w:val="24"/>
          <w:szCs w:val="24"/>
        </w:rPr>
        <w:t>Til patienter med kronisk respirationssvigt anbefales det at anvende en lavere dosis på grund af risikoen for respirationsdepression.</w:t>
      </w:r>
    </w:p>
    <w:p w14:paraId="4C907FFA" w14:textId="77777777" w:rsidR="00750E74" w:rsidRPr="00750E74" w:rsidRDefault="00750E74" w:rsidP="00750E74">
      <w:pPr>
        <w:tabs>
          <w:tab w:val="left" w:pos="851"/>
        </w:tabs>
        <w:ind w:left="851"/>
        <w:rPr>
          <w:sz w:val="24"/>
          <w:szCs w:val="24"/>
        </w:rPr>
      </w:pPr>
    </w:p>
    <w:p w14:paraId="5E8A80B2" w14:textId="77777777" w:rsidR="00750E74" w:rsidRPr="00750E74" w:rsidRDefault="00750E74" w:rsidP="00750E74">
      <w:pPr>
        <w:tabs>
          <w:tab w:val="left" w:pos="851"/>
        </w:tabs>
        <w:ind w:left="851"/>
        <w:rPr>
          <w:i/>
          <w:iCs/>
          <w:sz w:val="24"/>
          <w:szCs w:val="24"/>
        </w:rPr>
      </w:pPr>
      <w:r w:rsidRPr="00750E74">
        <w:rPr>
          <w:i/>
          <w:sz w:val="24"/>
          <w:szCs w:val="24"/>
        </w:rPr>
        <w:t>Nedsat nyrefunktion</w:t>
      </w:r>
    </w:p>
    <w:p w14:paraId="02781591" w14:textId="77777777" w:rsidR="00750E74" w:rsidRPr="00750E74" w:rsidRDefault="00750E74" w:rsidP="00750E74">
      <w:pPr>
        <w:tabs>
          <w:tab w:val="left" w:pos="851"/>
        </w:tabs>
        <w:ind w:left="851"/>
        <w:rPr>
          <w:sz w:val="24"/>
          <w:szCs w:val="24"/>
        </w:rPr>
      </w:pPr>
      <w:r w:rsidRPr="00750E74">
        <w:rPr>
          <w:sz w:val="24"/>
          <w:szCs w:val="24"/>
        </w:rPr>
        <w:t>Det anbefales at reducere dosis (se pkt. 4.2).</w:t>
      </w:r>
    </w:p>
    <w:p w14:paraId="53E01A8A" w14:textId="77777777" w:rsidR="00750E74" w:rsidRPr="00750E74" w:rsidRDefault="00750E74" w:rsidP="00750E74">
      <w:pPr>
        <w:tabs>
          <w:tab w:val="left" w:pos="851"/>
        </w:tabs>
        <w:ind w:left="851"/>
        <w:rPr>
          <w:sz w:val="24"/>
          <w:szCs w:val="24"/>
        </w:rPr>
      </w:pPr>
    </w:p>
    <w:p w14:paraId="5767092F" w14:textId="77777777" w:rsidR="00750E74" w:rsidRPr="00750E74" w:rsidRDefault="00750E74" w:rsidP="00750E74">
      <w:pPr>
        <w:tabs>
          <w:tab w:val="left" w:pos="851"/>
        </w:tabs>
        <w:ind w:left="851"/>
        <w:rPr>
          <w:i/>
          <w:iCs/>
          <w:sz w:val="24"/>
          <w:szCs w:val="24"/>
        </w:rPr>
      </w:pPr>
      <w:r w:rsidRPr="00750E74">
        <w:rPr>
          <w:i/>
          <w:sz w:val="24"/>
          <w:szCs w:val="24"/>
        </w:rPr>
        <w:t>Ældre</w:t>
      </w:r>
    </w:p>
    <w:p w14:paraId="26D833E1" w14:textId="77777777" w:rsidR="00750E74" w:rsidRPr="00750E74" w:rsidRDefault="00750E74" w:rsidP="00750E74">
      <w:pPr>
        <w:tabs>
          <w:tab w:val="left" w:pos="851"/>
        </w:tabs>
        <w:ind w:left="851"/>
        <w:rPr>
          <w:sz w:val="24"/>
          <w:szCs w:val="24"/>
        </w:rPr>
      </w:pPr>
      <w:r w:rsidRPr="00750E74">
        <w:rPr>
          <w:sz w:val="24"/>
          <w:szCs w:val="24"/>
        </w:rPr>
        <w:t>Ældre bør gives en reduceret dosis (se pkt. 4.2). Der er risiko for fald, især hos ældre mennesker, når de står op i løbet af natten pga. den muskelafslappende virkning af zopiclon.</w:t>
      </w:r>
    </w:p>
    <w:p w14:paraId="4F4B167B" w14:textId="77777777" w:rsidR="00750E74" w:rsidRPr="00750E74" w:rsidRDefault="00750E74" w:rsidP="00750E74">
      <w:pPr>
        <w:tabs>
          <w:tab w:val="left" w:pos="851"/>
        </w:tabs>
        <w:ind w:left="851"/>
        <w:rPr>
          <w:i/>
          <w:iCs/>
          <w:sz w:val="24"/>
          <w:szCs w:val="24"/>
        </w:rPr>
      </w:pPr>
    </w:p>
    <w:p w14:paraId="0EAA3B10" w14:textId="77777777" w:rsidR="00750E74" w:rsidRPr="00750E74" w:rsidRDefault="00750E74" w:rsidP="00750E74">
      <w:pPr>
        <w:tabs>
          <w:tab w:val="left" w:pos="851"/>
        </w:tabs>
        <w:ind w:left="851"/>
        <w:rPr>
          <w:i/>
          <w:iCs/>
          <w:sz w:val="24"/>
          <w:szCs w:val="24"/>
        </w:rPr>
      </w:pPr>
      <w:r w:rsidRPr="00750E74">
        <w:rPr>
          <w:i/>
          <w:sz w:val="24"/>
          <w:szCs w:val="24"/>
        </w:rPr>
        <w:t>Pædiatrisk population</w:t>
      </w:r>
    </w:p>
    <w:p w14:paraId="33A88824" w14:textId="77777777" w:rsidR="00750E74" w:rsidRPr="00750E74" w:rsidRDefault="00750E74" w:rsidP="00750E74">
      <w:pPr>
        <w:tabs>
          <w:tab w:val="left" w:pos="851"/>
        </w:tabs>
        <w:ind w:left="851"/>
        <w:rPr>
          <w:sz w:val="24"/>
          <w:szCs w:val="24"/>
        </w:rPr>
      </w:pPr>
      <w:r w:rsidRPr="00750E74">
        <w:rPr>
          <w:sz w:val="24"/>
          <w:szCs w:val="24"/>
        </w:rPr>
        <w:t>Somnols bør ikke administreres til børn og unge i alderen under 18 år. Zopiclons sikkerhed og virkning i denne gruppe er ikke klarlagt.</w:t>
      </w:r>
    </w:p>
    <w:p w14:paraId="637B90D0" w14:textId="77777777" w:rsidR="00750E74" w:rsidRPr="00750E74" w:rsidRDefault="00750E74" w:rsidP="00750E74">
      <w:pPr>
        <w:tabs>
          <w:tab w:val="left" w:pos="851"/>
        </w:tabs>
        <w:ind w:left="851"/>
        <w:rPr>
          <w:sz w:val="24"/>
          <w:szCs w:val="24"/>
        </w:rPr>
      </w:pPr>
    </w:p>
    <w:p w14:paraId="166F5D32" w14:textId="77777777" w:rsidR="00750E74" w:rsidRPr="00750E74" w:rsidRDefault="00750E74" w:rsidP="00750E74">
      <w:pPr>
        <w:tabs>
          <w:tab w:val="left" w:pos="851"/>
        </w:tabs>
        <w:ind w:left="851"/>
        <w:rPr>
          <w:sz w:val="24"/>
          <w:szCs w:val="24"/>
          <w:u w:val="single"/>
        </w:rPr>
      </w:pPr>
      <w:r w:rsidRPr="00750E74">
        <w:rPr>
          <w:sz w:val="24"/>
          <w:szCs w:val="24"/>
          <w:u w:val="single"/>
        </w:rPr>
        <w:lastRenderedPageBreak/>
        <w:t>Hjælpestoffer</w:t>
      </w:r>
    </w:p>
    <w:p w14:paraId="495714A4" w14:textId="77777777" w:rsidR="00750E74" w:rsidRPr="00750E74" w:rsidRDefault="00750E74" w:rsidP="00750E74">
      <w:pPr>
        <w:tabs>
          <w:tab w:val="left" w:pos="851"/>
        </w:tabs>
        <w:ind w:left="851"/>
        <w:rPr>
          <w:sz w:val="24"/>
          <w:szCs w:val="24"/>
        </w:rPr>
      </w:pPr>
      <w:r w:rsidRPr="00750E74">
        <w:rPr>
          <w:sz w:val="24"/>
          <w:szCs w:val="24"/>
        </w:rPr>
        <w:t>Dette lægemiddel indeholder mindre end 1 mmol (23 mg) natrium pr. tablet, dvs. det er i det væsentlige ”natriumfrit”.</w:t>
      </w:r>
    </w:p>
    <w:p w14:paraId="2CBFAA60" w14:textId="77777777" w:rsidR="00750E74" w:rsidRPr="00750E74" w:rsidRDefault="00750E74" w:rsidP="00750E74">
      <w:pPr>
        <w:tabs>
          <w:tab w:val="left" w:pos="851"/>
        </w:tabs>
        <w:ind w:left="851"/>
        <w:rPr>
          <w:sz w:val="24"/>
          <w:szCs w:val="24"/>
        </w:rPr>
      </w:pPr>
      <w:r w:rsidRPr="00750E74">
        <w:rPr>
          <w:sz w:val="24"/>
          <w:szCs w:val="24"/>
        </w:rPr>
        <w:t>5 mg filmovertrukne tabletter indeholder cochenillerød A (E124), som kan forårsage allergiske reaktioner.</w:t>
      </w:r>
    </w:p>
    <w:p w14:paraId="3BB73940" w14:textId="77777777" w:rsidR="009260DE" w:rsidRPr="00C84483" w:rsidRDefault="009260DE" w:rsidP="009260DE">
      <w:pPr>
        <w:tabs>
          <w:tab w:val="left" w:pos="851"/>
        </w:tabs>
        <w:ind w:left="851"/>
        <w:rPr>
          <w:sz w:val="24"/>
          <w:szCs w:val="24"/>
        </w:rPr>
      </w:pPr>
    </w:p>
    <w:p w14:paraId="7F1C111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83D54F1" w14:textId="77777777" w:rsidR="00685A45" w:rsidRDefault="00685A45" w:rsidP="00685A45">
      <w:pPr>
        <w:tabs>
          <w:tab w:val="left" w:pos="851"/>
        </w:tabs>
        <w:ind w:left="851"/>
        <w:rPr>
          <w:b/>
          <w:i/>
          <w:sz w:val="24"/>
          <w:szCs w:val="24"/>
        </w:rPr>
      </w:pPr>
    </w:p>
    <w:p w14:paraId="4F13B24E" w14:textId="2B679DD4" w:rsidR="00685A45" w:rsidRPr="00685A45" w:rsidRDefault="00685A45" w:rsidP="00685A45">
      <w:pPr>
        <w:tabs>
          <w:tab w:val="left" w:pos="851"/>
        </w:tabs>
        <w:ind w:left="851"/>
        <w:rPr>
          <w:sz w:val="24"/>
          <w:szCs w:val="24"/>
          <w:u w:val="single"/>
        </w:rPr>
      </w:pPr>
      <w:r w:rsidRPr="00685A45">
        <w:rPr>
          <w:sz w:val="24"/>
          <w:szCs w:val="24"/>
          <w:u w:val="single"/>
        </w:rPr>
        <w:t>Samtidig anvendelse frarådes</w:t>
      </w:r>
    </w:p>
    <w:p w14:paraId="21E1B635" w14:textId="77777777" w:rsidR="00685A45" w:rsidRDefault="00685A45" w:rsidP="00685A45">
      <w:pPr>
        <w:tabs>
          <w:tab w:val="left" w:pos="851"/>
        </w:tabs>
        <w:ind w:left="851"/>
        <w:rPr>
          <w:i/>
          <w:sz w:val="24"/>
          <w:szCs w:val="24"/>
        </w:rPr>
      </w:pPr>
    </w:p>
    <w:p w14:paraId="41AC440F" w14:textId="63F0A473" w:rsidR="00685A45" w:rsidRPr="00685A45" w:rsidRDefault="00685A45" w:rsidP="00685A45">
      <w:pPr>
        <w:tabs>
          <w:tab w:val="left" w:pos="851"/>
        </w:tabs>
        <w:ind w:left="851"/>
        <w:rPr>
          <w:i/>
          <w:sz w:val="24"/>
          <w:szCs w:val="24"/>
        </w:rPr>
      </w:pPr>
      <w:r w:rsidRPr="00685A45">
        <w:rPr>
          <w:i/>
          <w:sz w:val="24"/>
          <w:szCs w:val="24"/>
        </w:rPr>
        <w:t>Alkohol</w:t>
      </w:r>
    </w:p>
    <w:p w14:paraId="08BBD89B" w14:textId="77777777" w:rsidR="00685A45" w:rsidRPr="00685A45" w:rsidRDefault="00685A45" w:rsidP="00685A45">
      <w:pPr>
        <w:tabs>
          <w:tab w:val="left" w:pos="851"/>
        </w:tabs>
        <w:ind w:left="851"/>
        <w:rPr>
          <w:sz w:val="24"/>
          <w:szCs w:val="24"/>
        </w:rPr>
      </w:pPr>
      <w:r w:rsidRPr="00685A45">
        <w:rPr>
          <w:sz w:val="24"/>
          <w:szCs w:val="24"/>
        </w:rPr>
        <w:t>Samtidig indtagelse af alkohol frarådes. Somnols sedative virkning kan blive forstærket, når lægemidlet kombineres med alkohol. Det påvirker evnen til at føre motorkøretøj og betjene maskiner.</w:t>
      </w:r>
    </w:p>
    <w:p w14:paraId="29716E07" w14:textId="77777777" w:rsidR="00685A45" w:rsidRPr="00685A45" w:rsidRDefault="00685A45" w:rsidP="00685A45">
      <w:pPr>
        <w:tabs>
          <w:tab w:val="left" w:pos="851"/>
        </w:tabs>
        <w:ind w:left="851"/>
        <w:rPr>
          <w:sz w:val="24"/>
          <w:szCs w:val="24"/>
        </w:rPr>
      </w:pPr>
    </w:p>
    <w:p w14:paraId="7F96D376" w14:textId="4C9C5673" w:rsidR="00685A45" w:rsidRPr="00685A45" w:rsidRDefault="00685A45" w:rsidP="00685A45">
      <w:pPr>
        <w:tabs>
          <w:tab w:val="left" w:pos="851"/>
        </w:tabs>
        <w:ind w:left="851"/>
        <w:rPr>
          <w:sz w:val="24"/>
          <w:szCs w:val="24"/>
          <w:u w:val="single"/>
        </w:rPr>
      </w:pPr>
      <w:r w:rsidRPr="00685A45">
        <w:rPr>
          <w:sz w:val="24"/>
          <w:szCs w:val="24"/>
          <w:u w:val="single"/>
        </w:rPr>
        <w:t>Der skal udvises forsigtighed ved interaktio</w:t>
      </w:r>
      <w:r>
        <w:rPr>
          <w:sz w:val="24"/>
          <w:szCs w:val="24"/>
          <w:u w:val="single"/>
        </w:rPr>
        <w:t>n</w:t>
      </w:r>
    </w:p>
    <w:p w14:paraId="0B53DD90" w14:textId="77777777" w:rsidR="00685A45" w:rsidRDefault="00685A45" w:rsidP="00685A45">
      <w:pPr>
        <w:tabs>
          <w:tab w:val="left" w:pos="851"/>
        </w:tabs>
        <w:ind w:left="851"/>
        <w:rPr>
          <w:i/>
          <w:sz w:val="24"/>
          <w:szCs w:val="24"/>
        </w:rPr>
      </w:pPr>
    </w:p>
    <w:p w14:paraId="583B5CA9" w14:textId="6B17CE57" w:rsidR="00685A45" w:rsidRPr="00685A45" w:rsidRDefault="00685A45" w:rsidP="00685A45">
      <w:pPr>
        <w:tabs>
          <w:tab w:val="left" w:pos="851"/>
        </w:tabs>
        <w:ind w:left="851"/>
        <w:rPr>
          <w:i/>
          <w:iCs/>
          <w:sz w:val="24"/>
          <w:szCs w:val="24"/>
        </w:rPr>
      </w:pPr>
      <w:r w:rsidRPr="00685A45">
        <w:rPr>
          <w:i/>
          <w:sz w:val="24"/>
          <w:szCs w:val="24"/>
        </w:rPr>
        <w:t>CNS-depressiva</w:t>
      </w:r>
    </w:p>
    <w:p w14:paraId="785EB6E7" w14:textId="77777777" w:rsidR="00685A45" w:rsidRPr="00685A45" w:rsidRDefault="00685A45" w:rsidP="00685A45">
      <w:pPr>
        <w:tabs>
          <w:tab w:val="left" w:pos="851"/>
        </w:tabs>
        <w:ind w:left="851"/>
        <w:rPr>
          <w:sz w:val="24"/>
          <w:szCs w:val="24"/>
        </w:rPr>
      </w:pPr>
      <w:r w:rsidRPr="00685A45">
        <w:rPr>
          <w:sz w:val="24"/>
          <w:szCs w:val="24"/>
        </w:rPr>
        <w:t>Kombination med andre CNS-depressiva, såsom neuroleptika, hypnotika, anxiolytika/sedativa, antidepressiva, narkotiske analgetika, antiepileptika, anæstetika og sedative antihistaminer skal overvejes nøje, da zopiclons undertrykkende virkning på centralnervesystemet kan blive forstærket i kombination med disse midler.</w:t>
      </w:r>
    </w:p>
    <w:p w14:paraId="649BB141" w14:textId="77777777" w:rsidR="00685A45" w:rsidRPr="00685A45" w:rsidRDefault="00685A45" w:rsidP="00685A45">
      <w:pPr>
        <w:tabs>
          <w:tab w:val="left" w:pos="851"/>
        </w:tabs>
        <w:ind w:left="851"/>
        <w:rPr>
          <w:sz w:val="24"/>
          <w:szCs w:val="24"/>
        </w:rPr>
      </w:pPr>
      <w:r w:rsidRPr="00685A45">
        <w:rPr>
          <w:sz w:val="24"/>
          <w:szCs w:val="24"/>
        </w:rPr>
        <w:t>I forbindelse med narkotika-analgetika kan der endvidere forekomme en potensering af eufori, hvilket kan føre til øget psykologisk afhængighed.</w:t>
      </w:r>
    </w:p>
    <w:p w14:paraId="43EBF5D6" w14:textId="77777777" w:rsidR="00685A45" w:rsidRPr="00685A45" w:rsidRDefault="00685A45" w:rsidP="00685A45">
      <w:pPr>
        <w:tabs>
          <w:tab w:val="left" w:pos="851"/>
        </w:tabs>
        <w:ind w:left="851"/>
        <w:rPr>
          <w:i/>
          <w:iCs/>
          <w:sz w:val="24"/>
          <w:szCs w:val="24"/>
        </w:rPr>
      </w:pPr>
    </w:p>
    <w:p w14:paraId="4E42E9CF" w14:textId="77777777" w:rsidR="00685A45" w:rsidRPr="00685A45" w:rsidRDefault="00685A45" w:rsidP="00685A45">
      <w:pPr>
        <w:tabs>
          <w:tab w:val="left" w:pos="851"/>
        </w:tabs>
        <w:ind w:left="851"/>
        <w:rPr>
          <w:i/>
          <w:iCs/>
          <w:sz w:val="24"/>
          <w:szCs w:val="24"/>
        </w:rPr>
      </w:pPr>
      <w:r w:rsidRPr="00685A45">
        <w:rPr>
          <w:i/>
          <w:sz w:val="24"/>
          <w:szCs w:val="24"/>
        </w:rPr>
        <w:t>Opioider</w:t>
      </w:r>
    </w:p>
    <w:p w14:paraId="78108695" w14:textId="77777777" w:rsidR="00685A45" w:rsidRPr="00685A45" w:rsidRDefault="00685A45" w:rsidP="00685A45">
      <w:pPr>
        <w:tabs>
          <w:tab w:val="left" w:pos="851"/>
        </w:tabs>
        <w:ind w:left="851"/>
        <w:rPr>
          <w:sz w:val="24"/>
          <w:szCs w:val="24"/>
        </w:rPr>
      </w:pPr>
      <w:r w:rsidRPr="00685A45">
        <w:rPr>
          <w:sz w:val="24"/>
          <w:szCs w:val="24"/>
        </w:rPr>
        <w:t>Samtidig anvendelse af sederende lægemidler, såsom benzodiazepiner eller lignende lægemidler som f.eks. Somnols og opioider, øger risikoen for sedation, respirationsdepression, koma og død på grund af den addiktive CNS</w:t>
      </w:r>
      <w:r w:rsidRPr="00685A45">
        <w:rPr>
          <w:sz w:val="24"/>
          <w:szCs w:val="24"/>
        </w:rPr>
        <w:noBreakHyphen/>
        <w:t>deprimerende virkning. Dosis og varighed af samtidig brug skal begrænses (se pkt 4.4).</w:t>
      </w:r>
    </w:p>
    <w:p w14:paraId="2D0800E9" w14:textId="77777777" w:rsidR="00685A45" w:rsidRPr="00685A45" w:rsidRDefault="00685A45" w:rsidP="00685A45">
      <w:pPr>
        <w:tabs>
          <w:tab w:val="left" w:pos="851"/>
        </w:tabs>
        <w:ind w:left="851"/>
        <w:rPr>
          <w:sz w:val="24"/>
          <w:szCs w:val="24"/>
        </w:rPr>
      </w:pPr>
    </w:p>
    <w:p w14:paraId="2717AB03" w14:textId="77777777" w:rsidR="00685A45" w:rsidRPr="00685A45" w:rsidRDefault="00685A45" w:rsidP="00685A45">
      <w:pPr>
        <w:tabs>
          <w:tab w:val="left" w:pos="851"/>
        </w:tabs>
        <w:ind w:left="851"/>
        <w:rPr>
          <w:i/>
          <w:sz w:val="24"/>
          <w:szCs w:val="24"/>
        </w:rPr>
      </w:pPr>
      <w:r w:rsidRPr="00685A45">
        <w:rPr>
          <w:i/>
          <w:sz w:val="24"/>
          <w:szCs w:val="24"/>
        </w:rPr>
        <w:t>CYP3A4-hæmmere/CYP3A4-induktorer</w:t>
      </w:r>
    </w:p>
    <w:p w14:paraId="520846B0" w14:textId="77777777" w:rsidR="00685A45" w:rsidRPr="00685A45" w:rsidRDefault="00685A45" w:rsidP="00685A45">
      <w:pPr>
        <w:tabs>
          <w:tab w:val="left" w:pos="851"/>
        </w:tabs>
        <w:ind w:left="851"/>
        <w:rPr>
          <w:sz w:val="24"/>
          <w:szCs w:val="24"/>
        </w:rPr>
      </w:pPr>
      <w:r w:rsidRPr="00685A45">
        <w:rPr>
          <w:sz w:val="24"/>
          <w:szCs w:val="24"/>
        </w:rPr>
        <w:t xml:space="preserve">Idet zopiclon metaboliseres via CYP3A4, kan plasmakoncentrationen af zopiclon stige, hvis det administreres sammen med CYP3A4-hæmmere såsom makrolider, azoler, HIV-proteasehæmmere og grapefrugtjuice. Det kan være nødvendigt at reducere dosis af zopiclon under samtidig behandling med CYP3A4-hæmmere. </w:t>
      </w:r>
    </w:p>
    <w:p w14:paraId="228CBB69" w14:textId="77777777" w:rsidR="00685A45" w:rsidRPr="00685A45" w:rsidRDefault="00685A45" w:rsidP="00685A45">
      <w:pPr>
        <w:tabs>
          <w:tab w:val="left" w:pos="851"/>
        </w:tabs>
        <w:ind w:left="851"/>
        <w:rPr>
          <w:sz w:val="24"/>
          <w:szCs w:val="24"/>
        </w:rPr>
      </w:pPr>
    </w:p>
    <w:p w14:paraId="0BFE6D16" w14:textId="77777777" w:rsidR="00685A45" w:rsidRPr="00685A45" w:rsidRDefault="00685A45" w:rsidP="00685A45">
      <w:pPr>
        <w:tabs>
          <w:tab w:val="left" w:pos="851"/>
        </w:tabs>
        <w:ind w:left="851"/>
        <w:rPr>
          <w:sz w:val="24"/>
          <w:szCs w:val="24"/>
        </w:rPr>
      </w:pPr>
      <w:r w:rsidRPr="00685A45">
        <w:rPr>
          <w:sz w:val="24"/>
          <w:szCs w:val="24"/>
        </w:rPr>
        <w:t>Omvendt kan plasmakoncentrationen af zopiclon falde, hvis det administreres sammen med CYP3A4-induktorer såsom phenobarbital, phenytoin, carbamazepin, rifampicin og produkter, der indeholder perikon. Det kan være nødvendigt at øge dosis af zopiclon.</w:t>
      </w:r>
    </w:p>
    <w:p w14:paraId="3AAB9279" w14:textId="77777777" w:rsidR="00685A45" w:rsidRPr="00685A45" w:rsidRDefault="00685A45" w:rsidP="00685A45">
      <w:pPr>
        <w:tabs>
          <w:tab w:val="left" w:pos="851"/>
        </w:tabs>
        <w:ind w:left="851"/>
        <w:rPr>
          <w:sz w:val="24"/>
          <w:szCs w:val="24"/>
        </w:rPr>
      </w:pPr>
    </w:p>
    <w:p w14:paraId="631F0F9C" w14:textId="77777777" w:rsidR="00685A45" w:rsidRPr="00685A45" w:rsidRDefault="00685A45" w:rsidP="00685A45">
      <w:pPr>
        <w:tabs>
          <w:tab w:val="left" w:pos="851"/>
        </w:tabs>
        <w:ind w:left="851"/>
        <w:rPr>
          <w:i/>
          <w:sz w:val="24"/>
          <w:szCs w:val="24"/>
        </w:rPr>
      </w:pPr>
      <w:r w:rsidRPr="00685A45">
        <w:rPr>
          <w:i/>
          <w:sz w:val="24"/>
          <w:szCs w:val="24"/>
        </w:rPr>
        <w:t>Erythromycin</w:t>
      </w:r>
    </w:p>
    <w:p w14:paraId="39A6C3D7" w14:textId="77777777" w:rsidR="00685A45" w:rsidRPr="00685A45" w:rsidRDefault="00685A45" w:rsidP="00685A45">
      <w:pPr>
        <w:tabs>
          <w:tab w:val="left" w:pos="851"/>
        </w:tabs>
        <w:ind w:left="851"/>
        <w:rPr>
          <w:sz w:val="24"/>
          <w:szCs w:val="24"/>
        </w:rPr>
      </w:pPr>
      <w:r w:rsidRPr="00685A45">
        <w:rPr>
          <w:sz w:val="24"/>
          <w:szCs w:val="24"/>
        </w:rPr>
        <w:t>Erythromycins virkning på zopiclons farmakokinetik er blevet undersøgt hos raske forsøgspersoner. AUC for zopiclon øges med 80 % ved tilstedeværelse af erythromycin, sandsynligvis fordi erythromycin hæmmer metabolismen af lægemidler, der metaboliseres af CYP3A4. Som følge heraf kan den zopiclons hypnotiske virkning blive forstærket.</w:t>
      </w:r>
    </w:p>
    <w:p w14:paraId="4DB3E5B9" w14:textId="77777777" w:rsidR="00685A45" w:rsidRPr="00685A45" w:rsidRDefault="00685A45" w:rsidP="00685A45">
      <w:pPr>
        <w:tabs>
          <w:tab w:val="left" w:pos="851"/>
        </w:tabs>
        <w:ind w:left="851"/>
        <w:rPr>
          <w:sz w:val="24"/>
          <w:szCs w:val="24"/>
        </w:rPr>
      </w:pPr>
    </w:p>
    <w:p w14:paraId="0980C327" w14:textId="77777777" w:rsidR="00685A45" w:rsidRPr="00685A45" w:rsidRDefault="00685A45" w:rsidP="00685A45">
      <w:pPr>
        <w:tabs>
          <w:tab w:val="left" w:pos="851"/>
        </w:tabs>
        <w:ind w:left="851"/>
        <w:rPr>
          <w:i/>
          <w:sz w:val="24"/>
          <w:szCs w:val="24"/>
        </w:rPr>
      </w:pPr>
      <w:r w:rsidRPr="00685A45">
        <w:rPr>
          <w:i/>
          <w:sz w:val="24"/>
          <w:szCs w:val="24"/>
        </w:rPr>
        <w:t>Itraconazol</w:t>
      </w:r>
    </w:p>
    <w:p w14:paraId="2BCB5396" w14:textId="77777777" w:rsidR="00685A45" w:rsidRPr="00685A45" w:rsidRDefault="00685A45" w:rsidP="00685A45">
      <w:pPr>
        <w:tabs>
          <w:tab w:val="left" w:pos="851"/>
        </w:tabs>
        <w:ind w:left="851"/>
        <w:rPr>
          <w:sz w:val="24"/>
          <w:szCs w:val="24"/>
        </w:rPr>
      </w:pPr>
      <w:r w:rsidRPr="00685A45">
        <w:rPr>
          <w:sz w:val="24"/>
          <w:szCs w:val="24"/>
        </w:rPr>
        <w:t>Ved samtidig administration af itraconazol (som hæmmer CYP3A4-medieret metabolisme) øges biotilgængeligheden af zopiclon med ca. 70 %.</w:t>
      </w:r>
    </w:p>
    <w:p w14:paraId="32525F9C" w14:textId="77777777" w:rsidR="00685A45" w:rsidRPr="00685A45" w:rsidRDefault="00685A45" w:rsidP="00685A45">
      <w:pPr>
        <w:tabs>
          <w:tab w:val="left" w:pos="851"/>
        </w:tabs>
        <w:ind w:left="851"/>
        <w:rPr>
          <w:sz w:val="24"/>
          <w:szCs w:val="24"/>
        </w:rPr>
      </w:pPr>
      <w:bookmarkStart w:id="5" w:name="page4"/>
      <w:bookmarkEnd w:id="5"/>
    </w:p>
    <w:p w14:paraId="1D2AAD67" w14:textId="77777777" w:rsidR="00685A45" w:rsidRPr="00685A45" w:rsidRDefault="00685A45" w:rsidP="00685A45">
      <w:pPr>
        <w:tabs>
          <w:tab w:val="left" w:pos="851"/>
        </w:tabs>
        <w:ind w:left="851"/>
        <w:rPr>
          <w:i/>
          <w:sz w:val="24"/>
          <w:szCs w:val="24"/>
        </w:rPr>
      </w:pPr>
      <w:r w:rsidRPr="00685A45">
        <w:rPr>
          <w:i/>
          <w:sz w:val="24"/>
          <w:szCs w:val="24"/>
        </w:rPr>
        <w:lastRenderedPageBreak/>
        <w:t xml:space="preserve">Rifampicin </w:t>
      </w:r>
    </w:p>
    <w:p w14:paraId="094B1812" w14:textId="77777777" w:rsidR="00685A45" w:rsidRPr="00685A45" w:rsidRDefault="00685A45" w:rsidP="00685A45">
      <w:pPr>
        <w:tabs>
          <w:tab w:val="left" w:pos="851"/>
        </w:tabs>
        <w:ind w:left="851"/>
        <w:rPr>
          <w:sz w:val="24"/>
          <w:szCs w:val="24"/>
        </w:rPr>
      </w:pPr>
      <w:r w:rsidRPr="00685A45">
        <w:rPr>
          <w:sz w:val="24"/>
          <w:szCs w:val="24"/>
        </w:rPr>
        <w:t>Rifampicin inducerer kraftigt metabolismen af zopiclon, sandsynligvis via CYP3A4. Dets plasmakoncentration falder med ca. 80 %, og dets virkning i psykomotoriske tests reduceres signifikant.</w:t>
      </w:r>
    </w:p>
    <w:p w14:paraId="2C329EB3" w14:textId="77777777" w:rsidR="009260DE" w:rsidRPr="00C84483" w:rsidRDefault="009260DE" w:rsidP="009260DE">
      <w:pPr>
        <w:tabs>
          <w:tab w:val="left" w:pos="851"/>
        </w:tabs>
        <w:ind w:left="851"/>
        <w:rPr>
          <w:sz w:val="24"/>
          <w:szCs w:val="24"/>
        </w:rPr>
      </w:pPr>
    </w:p>
    <w:p w14:paraId="2CFEF91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5F16BDC" w14:textId="77777777" w:rsidR="005E67A0" w:rsidRDefault="005E67A0" w:rsidP="005E67A0">
      <w:pPr>
        <w:tabs>
          <w:tab w:val="left" w:pos="851"/>
        </w:tabs>
        <w:ind w:left="851"/>
        <w:rPr>
          <w:sz w:val="24"/>
          <w:szCs w:val="24"/>
          <w:u w:val="single"/>
        </w:rPr>
      </w:pPr>
    </w:p>
    <w:p w14:paraId="38795D93" w14:textId="02EDC028" w:rsidR="005E67A0" w:rsidRPr="005E67A0" w:rsidRDefault="005E67A0" w:rsidP="005E67A0">
      <w:pPr>
        <w:tabs>
          <w:tab w:val="left" w:pos="851"/>
        </w:tabs>
        <w:ind w:left="851"/>
        <w:rPr>
          <w:sz w:val="24"/>
          <w:szCs w:val="24"/>
          <w:u w:val="single"/>
        </w:rPr>
      </w:pPr>
      <w:r w:rsidRPr="005E67A0">
        <w:rPr>
          <w:sz w:val="24"/>
          <w:szCs w:val="24"/>
          <w:u w:val="single"/>
        </w:rPr>
        <w:t>Graviditet</w:t>
      </w:r>
    </w:p>
    <w:p w14:paraId="2307ADD7" w14:textId="77777777" w:rsidR="005E67A0" w:rsidRPr="005E67A0" w:rsidRDefault="005E67A0" w:rsidP="005E67A0">
      <w:pPr>
        <w:tabs>
          <w:tab w:val="left" w:pos="851"/>
        </w:tabs>
        <w:ind w:left="851"/>
        <w:rPr>
          <w:sz w:val="24"/>
          <w:szCs w:val="24"/>
        </w:rPr>
      </w:pPr>
      <w:r w:rsidRPr="005E67A0">
        <w:rPr>
          <w:sz w:val="24"/>
          <w:szCs w:val="24"/>
        </w:rPr>
        <w:t>Zopiclon bør ikke anvendes under graviditeten.</w:t>
      </w:r>
    </w:p>
    <w:p w14:paraId="78A4D7FC" w14:textId="77777777" w:rsidR="005E67A0" w:rsidRPr="005E67A0" w:rsidRDefault="005E67A0" w:rsidP="005E67A0">
      <w:pPr>
        <w:tabs>
          <w:tab w:val="left" w:pos="851"/>
        </w:tabs>
        <w:ind w:left="851"/>
        <w:rPr>
          <w:sz w:val="24"/>
          <w:szCs w:val="24"/>
        </w:rPr>
      </w:pPr>
    </w:p>
    <w:p w14:paraId="66FED84E" w14:textId="77777777" w:rsidR="005E67A0" w:rsidRPr="005E67A0" w:rsidRDefault="005E67A0" w:rsidP="005E67A0">
      <w:pPr>
        <w:tabs>
          <w:tab w:val="left" w:pos="851"/>
        </w:tabs>
        <w:ind w:left="851"/>
        <w:rPr>
          <w:sz w:val="24"/>
          <w:szCs w:val="24"/>
        </w:rPr>
      </w:pPr>
      <w:r w:rsidRPr="005E67A0">
        <w:rPr>
          <w:sz w:val="24"/>
          <w:szCs w:val="24"/>
        </w:rPr>
        <w:t>Dyreforsøg indikerer hverken direkte eller indirekte skadelige virkninger hvad angår reproduktionstoksicitet.</w:t>
      </w:r>
    </w:p>
    <w:p w14:paraId="59BD089E" w14:textId="77777777" w:rsidR="005E67A0" w:rsidRPr="005E67A0" w:rsidRDefault="005E67A0" w:rsidP="005E67A0">
      <w:pPr>
        <w:tabs>
          <w:tab w:val="left" w:pos="851"/>
        </w:tabs>
        <w:ind w:left="851"/>
        <w:rPr>
          <w:sz w:val="24"/>
          <w:szCs w:val="24"/>
        </w:rPr>
      </w:pPr>
    </w:p>
    <w:p w14:paraId="44007EE6" w14:textId="77777777" w:rsidR="005E67A0" w:rsidRPr="005E67A0" w:rsidRDefault="005E67A0" w:rsidP="005E67A0">
      <w:pPr>
        <w:tabs>
          <w:tab w:val="left" w:pos="851"/>
        </w:tabs>
        <w:ind w:left="851"/>
        <w:rPr>
          <w:sz w:val="24"/>
          <w:szCs w:val="24"/>
        </w:rPr>
      </w:pPr>
      <w:r w:rsidRPr="005E67A0">
        <w:rPr>
          <w:sz w:val="24"/>
          <w:szCs w:val="24"/>
        </w:rPr>
        <w:t>Zopiclon passerer placenta.</w:t>
      </w:r>
    </w:p>
    <w:p w14:paraId="62110DCD" w14:textId="77777777" w:rsidR="005E67A0" w:rsidRPr="005E67A0" w:rsidRDefault="005E67A0" w:rsidP="005E67A0">
      <w:pPr>
        <w:tabs>
          <w:tab w:val="left" w:pos="851"/>
        </w:tabs>
        <w:ind w:left="851"/>
        <w:rPr>
          <w:sz w:val="24"/>
          <w:szCs w:val="24"/>
        </w:rPr>
      </w:pPr>
    </w:p>
    <w:p w14:paraId="434B5FEB" w14:textId="49C3D301" w:rsidR="005E67A0" w:rsidRPr="005E67A0" w:rsidRDefault="005E67A0" w:rsidP="005E67A0">
      <w:pPr>
        <w:tabs>
          <w:tab w:val="left" w:pos="851"/>
        </w:tabs>
        <w:ind w:left="851"/>
        <w:rPr>
          <w:sz w:val="24"/>
          <w:szCs w:val="24"/>
        </w:rPr>
      </w:pPr>
      <w:r w:rsidRPr="005E67A0">
        <w:rPr>
          <w:sz w:val="24"/>
          <w:szCs w:val="24"/>
        </w:rPr>
        <w:t>En stor mængde data om gravide kvinder (resultater fra mere end 1000 graviditeter) indsamlet fra kohortestudier viste ikke tegn på forekomst af misdannelser efter eksponering for benzodiazepiner eller benzodiazepinlignende midler i løbet af graviditetens første trimester. Visse case-kontrol-studier har imidlertid rapporteret om en øget forekomst af læbe-ganespalte i forbindelse med brug af benzodiazepiner under graviditeten.</w:t>
      </w:r>
    </w:p>
    <w:p w14:paraId="3DAB8A2C" w14:textId="77777777" w:rsidR="005E67A0" w:rsidRPr="005E67A0" w:rsidRDefault="005E67A0" w:rsidP="005E67A0">
      <w:pPr>
        <w:tabs>
          <w:tab w:val="left" w:pos="851"/>
        </w:tabs>
        <w:ind w:left="851"/>
        <w:rPr>
          <w:sz w:val="24"/>
          <w:szCs w:val="24"/>
        </w:rPr>
      </w:pPr>
    </w:p>
    <w:p w14:paraId="78E07E9E" w14:textId="77777777" w:rsidR="005E67A0" w:rsidRPr="005E67A0" w:rsidRDefault="005E67A0" w:rsidP="005E67A0">
      <w:pPr>
        <w:tabs>
          <w:tab w:val="left" w:pos="851"/>
        </w:tabs>
        <w:ind w:left="851"/>
        <w:rPr>
          <w:sz w:val="24"/>
          <w:szCs w:val="24"/>
        </w:rPr>
      </w:pPr>
      <w:r w:rsidRPr="005E67A0">
        <w:rPr>
          <w:sz w:val="24"/>
          <w:szCs w:val="24"/>
        </w:rPr>
        <w:t>Der er beskrevet tilfælde af nedsat fosterbevægelse og variabilitet i fosterets hjertefrekvens efter indtagelse af benzodiazepiner eller benzodiazepinlignende midler i andet og/eller tredje trimester af graviditeten.</w:t>
      </w:r>
    </w:p>
    <w:p w14:paraId="57665BEC" w14:textId="77777777" w:rsidR="005E67A0" w:rsidRPr="005E67A0" w:rsidRDefault="005E67A0" w:rsidP="005E67A0">
      <w:pPr>
        <w:tabs>
          <w:tab w:val="left" w:pos="851"/>
        </w:tabs>
        <w:ind w:left="851"/>
        <w:rPr>
          <w:sz w:val="24"/>
          <w:szCs w:val="24"/>
        </w:rPr>
      </w:pPr>
    </w:p>
    <w:p w14:paraId="0CE15590" w14:textId="77777777" w:rsidR="005E67A0" w:rsidRPr="005E67A0" w:rsidRDefault="005E67A0" w:rsidP="005E67A0">
      <w:pPr>
        <w:tabs>
          <w:tab w:val="left" w:pos="851"/>
        </w:tabs>
        <w:ind w:left="851"/>
        <w:rPr>
          <w:sz w:val="24"/>
          <w:szCs w:val="24"/>
        </w:rPr>
      </w:pPr>
      <w:r w:rsidRPr="005E67A0">
        <w:rPr>
          <w:sz w:val="24"/>
          <w:szCs w:val="24"/>
        </w:rPr>
        <w:t>Administration af benzodiazepiner eller benzodiazepinlignende stoffer, herunder zopiclon, i den sene fase af graviditeten eller under fødslen have virkninger på det nyfødte barn, såsom hypotermi, hypotoni, spisevanskeligheder (”floppy infant syndrome”) og respirationsdepression, som følge af produktets farmakologiske virkning. Der er rapporteret om tilfælde af alvorlig neonatal respirationsdepression.</w:t>
      </w:r>
    </w:p>
    <w:p w14:paraId="3B9C2D36" w14:textId="77777777" w:rsidR="005E67A0" w:rsidRPr="005E67A0" w:rsidRDefault="005E67A0" w:rsidP="005E67A0">
      <w:pPr>
        <w:tabs>
          <w:tab w:val="left" w:pos="851"/>
        </w:tabs>
        <w:ind w:left="851"/>
        <w:rPr>
          <w:sz w:val="24"/>
          <w:szCs w:val="24"/>
        </w:rPr>
      </w:pPr>
    </w:p>
    <w:p w14:paraId="717F376C" w14:textId="77777777" w:rsidR="005E67A0" w:rsidRPr="005E67A0" w:rsidRDefault="005E67A0" w:rsidP="005E67A0">
      <w:pPr>
        <w:tabs>
          <w:tab w:val="left" w:pos="851"/>
        </w:tabs>
        <w:ind w:left="851"/>
        <w:rPr>
          <w:sz w:val="24"/>
          <w:szCs w:val="24"/>
        </w:rPr>
      </w:pPr>
      <w:r w:rsidRPr="005E67A0">
        <w:rPr>
          <w:sz w:val="24"/>
          <w:szCs w:val="24"/>
        </w:rPr>
        <w:t>Endvidere kan børn født af mødre, der tog sedativa/hypnotika over en længere periode i løbet af de sidste stadier af graviditeten, have udviklet fysisk afhængighed og kan være i risiko for at udvikle abstinenssymptomer i den postnatale periode.</w:t>
      </w:r>
    </w:p>
    <w:p w14:paraId="387E1D06" w14:textId="77777777" w:rsidR="005E67A0" w:rsidRPr="005E67A0" w:rsidRDefault="005E67A0" w:rsidP="005E67A0">
      <w:pPr>
        <w:tabs>
          <w:tab w:val="left" w:pos="851"/>
        </w:tabs>
        <w:ind w:left="851"/>
        <w:rPr>
          <w:sz w:val="24"/>
          <w:szCs w:val="24"/>
        </w:rPr>
      </w:pPr>
    </w:p>
    <w:p w14:paraId="592C5382" w14:textId="77777777" w:rsidR="005E67A0" w:rsidRPr="005E67A0" w:rsidRDefault="005E67A0" w:rsidP="005E67A0">
      <w:pPr>
        <w:tabs>
          <w:tab w:val="left" w:pos="851"/>
        </w:tabs>
        <w:ind w:left="851"/>
        <w:rPr>
          <w:sz w:val="24"/>
          <w:szCs w:val="24"/>
        </w:rPr>
      </w:pPr>
      <w:r w:rsidRPr="005E67A0">
        <w:rPr>
          <w:sz w:val="24"/>
          <w:szCs w:val="24"/>
        </w:rPr>
        <w:t>Passende overvågning af den nyfødte i efterfødselsperioden anbefales.</w:t>
      </w:r>
    </w:p>
    <w:p w14:paraId="148C8463" w14:textId="77777777" w:rsidR="005E67A0" w:rsidRPr="005E67A0" w:rsidRDefault="005E67A0" w:rsidP="005E67A0">
      <w:pPr>
        <w:tabs>
          <w:tab w:val="left" w:pos="851"/>
        </w:tabs>
        <w:ind w:left="851"/>
        <w:rPr>
          <w:sz w:val="24"/>
          <w:szCs w:val="24"/>
        </w:rPr>
      </w:pPr>
    </w:p>
    <w:p w14:paraId="6DBF7B7D" w14:textId="77777777" w:rsidR="005E67A0" w:rsidRPr="005E67A0" w:rsidRDefault="005E67A0" w:rsidP="005E67A0">
      <w:pPr>
        <w:tabs>
          <w:tab w:val="left" w:pos="851"/>
        </w:tabs>
        <w:ind w:left="851"/>
        <w:rPr>
          <w:sz w:val="24"/>
          <w:szCs w:val="24"/>
        </w:rPr>
      </w:pPr>
      <w:r w:rsidRPr="005E67A0">
        <w:rPr>
          <w:sz w:val="24"/>
          <w:szCs w:val="24"/>
        </w:rPr>
        <w:t>Hvis Somnols ordineres til kvinder i den fertile alder, skal hun opfordres til at konsultere lægen for at drøfte seponering af dette lægemiddel, såfremt hun har til hensigt at blive gravid eller har mistanke om, at hun er gravid.</w:t>
      </w:r>
    </w:p>
    <w:p w14:paraId="65F16D15" w14:textId="77777777" w:rsidR="005E67A0" w:rsidRPr="005E67A0" w:rsidRDefault="005E67A0" w:rsidP="005E67A0">
      <w:pPr>
        <w:tabs>
          <w:tab w:val="left" w:pos="851"/>
        </w:tabs>
        <w:ind w:left="851"/>
        <w:rPr>
          <w:sz w:val="24"/>
          <w:szCs w:val="24"/>
        </w:rPr>
      </w:pPr>
    </w:p>
    <w:p w14:paraId="79F2B670" w14:textId="77777777" w:rsidR="005E67A0" w:rsidRPr="005E67A0" w:rsidRDefault="005E67A0" w:rsidP="005E67A0">
      <w:pPr>
        <w:tabs>
          <w:tab w:val="left" w:pos="851"/>
        </w:tabs>
        <w:ind w:left="851"/>
        <w:rPr>
          <w:sz w:val="24"/>
          <w:szCs w:val="24"/>
        </w:rPr>
      </w:pPr>
      <w:r w:rsidRPr="005E67A0">
        <w:rPr>
          <w:sz w:val="24"/>
          <w:szCs w:val="24"/>
          <w:u w:val="single"/>
        </w:rPr>
        <w:t>Amning</w:t>
      </w:r>
    </w:p>
    <w:p w14:paraId="6F4DD188" w14:textId="77777777" w:rsidR="005E67A0" w:rsidRPr="005E67A0" w:rsidRDefault="005E67A0" w:rsidP="005E67A0">
      <w:pPr>
        <w:tabs>
          <w:tab w:val="left" w:pos="851"/>
        </w:tabs>
        <w:ind w:left="851"/>
        <w:rPr>
          <w:sz w:val="24"/>
          <w:szCs w:val="24"/>
        </w:rPr>
      </w:pPr>
      <w:r w:rsidRPr="005E67A0">
        <w:rPr>
          <w:sz w:val="24"/>
          <w:szCs w:val="24"/>
        </w:rPr>
        <w:t>Zopiclon udskilles i human mælk, og selvom koncentrationen af zopiclon i modermælken er lav, skal anvendelse hos ammende mødre undgås.</w:t>
      </w:r>
    </w:p>
    <w:p w14:paraId="360BF8CB" w14:textId="77777777" w:rsidR="009260DE" w:rsidRPr="00C84483" w:rsidRDefault="009260DE" w:rsidP="009260DE">
      <w:pPr>
        <w:tabs>
          <w:tab w:val="left" w:pos="851"/>
        </w:tabs>
        <w:ind w:left="851"/>
        <w:rPr>
          <w:sz w:val="24"/>
          <w:szCs w:val="24"/>
        </w:rPr>
      </w:pPr>
    </w:p>
    <w:p w14:paraId="0454443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1DF6FD7" w14:textId="77777777" w:rsidR="005E67A0" w:rsidRDefault="005E67A0" w:rsidP="005E67A0">
      <w:pPr>
        <w:tabs>
          <w:tab w:val="left" w:pos="851"/>
        </w:tabs>
        <w:ind w:left="851"/>
        <w:rPr>
          <w:sz w:val="24"/>
          <w:szCs w:val="24"/>
        </w:rPr>
      </w:pPr>
      <w:r>
        <w:rPr>
          <w:sz w:val="24"/>
          <w:szCs w:val="24"/>
        </w:rPr>
        <w:t>Mærkning.</w:t>
      </w:r>
    </w:p>
    <w:p w14:paraId="69843BA6" w14:textId="06DC0604" w:rsidR="005E67A0" w:rsidRPr="005E67A0" w:rsidRDefault="005E67A0" w:rsidP="005E67A0">
      <w:pPr>
        <w:tabs>
          <w:tab w:val="left" w:pos="851"/>
        </w:tabs>
        <w:ind w:left="851"/>
        <w:rPr>
          <w:sz w:val="24"/>
          <w:szCs w:val="24"/>
        </w:rPr>
      </w:pPr>
      <w:r w:rsidRPr="005E67A0">
        <w:rPr>
          <w:sz w:val="24"/>
          <w:szCs w:val="24"/>
        </w:rPr>
        <w:t xml:space="preserve">Zopiclon påvirker i væsentlig grad evnen til at føre motorkøretøj og betjene maskiner. </w:t>
      </w:r>
    </w:p>
    <w:p w14:paraId="10F13489" w14:textId="77777777" w:rsidR="005E67A0" w:rsidRPr="005E67A0" w:rsidRDefault="005E67A0" w:rsidP="005E67A0">
      <w:pPr>
        <w:tabs>
          <w:tab w:val="left" w:pos="851"/>
        </w:tabs>
        <w:ind w:left="851"/>
        <w:rPr>
          <w:sz w:val="24"/>
          <w:szCs w:val="24"/>
        </w:rPr>
      </w:pPr>
    </w:p>
    <w:p w14:paraId="10792E75" w14:textId="77777777" w:rsidR="005E67A0" w:rsidRPr="005E67A0" w:rsidRDefault="005E67A0" w:rsidP="005E67A0">
      <w:pPr>
        <w:tabs>
          <w:tab w:val="left" w:pos="851"/>
        </w:tabs>
        <w:ind w:left="851"/>
        <w:rPr>
          <w:sz w:val="24"/>
          <w:szCs w:val="24"/>
        </w:rPr>
      </w:pPr>
      <w:r w:rsidRPr="005E67A0">
        <w:rPr>
          <w:sz w:val="24"/>
          <w:szCs w:val="24"/>
        </w:rPr>
        <w:lastRenderedPageBreak/>
        <w:t>Under behandling med zopiclon kan reaktionsevnen blive nedsat. Dette skal overvejes, når årvågenhed er påkrævet, f.eks. ved kørsel eller præcisionsarbejde, især i de første 12 timer efter administration af zopiclon. For at minimere disse risici anbefales en uafbrudt hvileperiode på mindst 12 timer mellem indtagelse af zopiclon og kørsel, brug af maskiner eller arbejde i højder.</w:t>
      </w:r>
    </w:p>
    <w:p w14:paraId="13F80B4F" w14:textId="77777777" w:rsidR="005E67A0" w:rsidRPr="005E67A0" w:rsidRDefault="005E67A0" w:rsidP="005E67A0">
      <w:pPr>
        <w:tabs>
          <w:tab w:val="left" w:pos="851"/>
        </w:tabs>
        <w:ind w:left="851"/>
        <w:rPr>
          <w:sz w:val="24"/>
          <w:szCs w:val="24"/>
        </w:rPr>
      </w:pPr>
    </w:p>
    <w:p w14:paraId="2DD69025" w14:textId="77777777" w:rsidR="005E67A0" w:rsidRPr="005E67A0" w:rsidRDefault="005E67A0" w:rsidP="005E67A0">
      <w:pPr>
        <w:tabs>
          <w:tab w:val="left" w:pos="851"/>
        </w:tabs>
        <w:ind w:left="851"/>
        <w:rPr>
          <w:sz w:val="24"/>
          <w:szCs w:val="24"/>
        </w:rPr>
      </w:pPr>
      <w:r w:rsidRPr="005E67A0">
        <w:rPr>
          <w:sz w:val="24"/>
          <w:szCs w:val="24"/>
        </w:rPr>
        <w:t>Risikoen øges desuden ved samtidig indtagelse af alkohol eller andre CNS-depressiva. Risikoen øges yderligere ved utilstrækkelig søvn. Patienterne skal advares om at undgå alkohol eller andre psykoaktive stoffer, når de tager zopiclon.</w:t>
      </w:r>
    </w:p>
    <w:p w14:paraId="3ED58CB6" w14:textId="77777777" w:rsidR="009260DE" w:rsidRPr="00C84483" w:rsidRDefault="009260DE" w:rsidP="009260DE">
      <w:pPr>
        <w:tabs>
          <w:tab w:val="left" w:pos="851"/>
        </w:tabs>
        <w:ind w:left="851"/>
        <w:rPr>
          <w:sz w:val="24"/>
          <w:szCs w:val="24"/>
        </w:rPr>
      </w:pPr>
    </w:p>
    <w:p w14:paraId="21840AC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398595C" w14:textId="77777777" w:rsidR="005E67A0" w:rsidRPr="005E67A0" w:rsidRDefault="005E67A0" w:rsidP="005E67A0">
      <w:pPr>
        <w:spacing w:line="257" w:lineRule="exact"/>
        <w:ind w:left="851"/>
        <w:rPr>
          <w:sz w:val="24"/>
          <w:szCs w:val="24"/>
        </w:rPr>
      </w:pPr>
    </w:p>
    <w:p w14:paraId="46A8E8D3" w14:textId="77777777" w:rsidR="005E67A0" w:rsidRPr="005E67A0" w:rsidRDefault="005E67A0" w:rsidP="005E67A0">
      <w:pPr>
        <w:autoSpaceDE w:val="0"/>
        <w:autoSpaceDN w:val="0"/>
        <w:adjustRightInd w:val="0"/>
        <w:ind w:left="851"/>
        <w:rPr>
          <w:rFonts w:eastAsia="Calibri" w:cs="Arial"/>
          <w:sz w:val="24"/>
          <w:szCs w:val="24"/>
          <w:u w:val="single"/>
        </w:rPr>
      </w:pPr>
      <w:r w:rsidRPr="005E67A0">
        <w:rPr>
          <w:sz w:val="24"/>
          <w:szCs w:val="24"/>
          <w:u w:val="single"/>
        </w:rPr>
        <w:t>Sammenfatning sikkerhedsprofilen</w:t>
      </w:r>
    </w:p>
    <w:p w14:paraId="58F8CEA7" w14:textId="77777777" w:rsidR="005E67A0" w:rsidRPr="005E67A0" w:rsidRDefault="005E67A0" w:rsidP="005E67A0">
      <w:pPr>
        <w:spacing w:line="256" w:lineRule="auto"/>
        <w:ind w:left="851"/>
        <w:rPr>
          <w:sz w:val="24"/>
          <w:szCs w:val="24"/>
        </w:rPr>
      </w:pPr>
      <w:r w:rsidRPr="005E67A0">
        <w:rPr>
          <w:sz w:val="24"/>
          <w:szCs w:val="24"/>
        </w:rPr>
        <w:t>Cirka 10 % af de behandlede patienter oplever en eller anden form for bivirkning. Den mest almindelige bivirkning er en bitter smag, ofte forbigående. Denne optræder hos ca. 4 % af patienterne i kliniske studier, efterfulgt af døsighed, som er dosisafhængig.</w:t>
      </w:r>
    </w:p>
    <w:p w14:paraId="5C1CBB00" w14:textId="77777777" w:rsidR="005E67A0" w:rsidRPr="005E67A0" w:rsidRDefault="005E67A0" w:rsidP="005E67A0">
      <w:pPr>
        <w:autoSpaceDE w:val="0"/>
        <w:autoSpaceDN w:val="0"/>
        <w:adjustRightInd w:val="0"/>
        <w:ind w:left="851"/>
        <w:rPr>
          <w:rFonts w:eastAsia="Calibri" w:cs="Arial"/>
          <w:sz w:val="24"/>
          <w:szCs w:val="24"/>
          <w:u w:val="single"/>
          <w:lang w:eastAsia="de-DE"/>
        </w:rPr>
      </w:pPr>
    </w:p>
    <w:p w14:paraId="553EE323" w14:textId="77777777" w:rsidR="005E67A0" w:rsidRPr="005E67A0" w:rsidRDefault="005E67A0" w:rsidP="005E67A0">
      <w:pPr>
        <w:autoSpaceDE w:val="0"/>
        <w:autoSpaceDN w:val="0"/>
        <w:adjustRightInd w:val="0"/>
        <w:ind w:left="851"/>
        <w:rPr>
          <w:sz w:val="24"/>
          <w:szCs w:val="24"/>
          <w:u w:val="single"/>
        </w:rPr>
      </w:pPr>
      <w:r w:rsidRPr="005E67A0">
        <w:rPr>
          <w:sz w:val="24"/>
          <w:szCs w:val="24"/>
          <w:u w:val="single"/>
        </w:rPr>
        <w:t>Bivirkninger opstillet i tabelform</w:t>
      </w:r>
    </w:p>
    <w:p w14:paraId="404C11BE" w14:textId="03E51D10" w:rsidR="005E67A0" w:rsidRPr="005E67A0" w:rsidRDefault="005E67A0" w:rsidP="005E67A0">
      <w:pPr>
        <w:spacing w:line="256" w:lineRule="auto"/>
        <w:ind w:left="851"/>
        <w:rPr>
          <w:sz w:val="24"/>
          <w:szCs w:val="24"/>
        </w:rPr>
      </w:pPr>
      <w:r w:rsidRPr="005E67A0">
        <w:rPr>
          <w:sz w:val="24"/>
          <w:szCs w:val="24"/>
        </w:rPr>
        <w:t xml:space="preserve">Hyppighederne af bivirkninger er rangeret i nedenstående tabel i henhold til følgende: </w:t>
      </w:r>
      <w:r>
        <w:rPr>
          <w:sz w:val="24"/>
          <w:szCs w:val="24"/>
        </w:rPr>
        <w:t>M</w:t>
      </w:r>
      <w:r w:rsidRPr="005E67A0">
        <w:rPr>
          <w:sz w:val="24"/>
          <w:szCs w:val="24"/>
        </w:rPr>
        <w:t>eget almindelig (≥ 1/10), almindelig (≥ 1/100 til &lt; 1/10), ikke almindelig (≥ 1/1 000 til &lt; 1/100), sjælden (≥ 1/10 000 til &lt; 1/1 000), meget sjælden (&lt; 1/10 000), ikke kendt (kan ikke estimeres ud fra forhåndenværende data).</w:t>
      </w:r>
    </w:p>
    <w:p w14:paraId="7D0F180C" w14:textId="02D6823E" w:rsidR="005E67A0" w:rsidRDefault="005E67A0" w:rsidP="005E67A0">
      <w:pPr>
        <w:spacing w:line="256" w:lineRule="auto"/>
        <w:ind w:left="851"/>
        <w:rPr>
          <w:rFonts w:eastAsia="Calibri" w:cs="Arial"/>
          <w:sz w:val="24"/>
          <w:szCs w:val="24"/>
        </w:rPr>
      </w:pPr>
      <w:r w:rsidRPr="005E67A0">
        <w:rPr>
          <w:sz w:val="24"/>
          <w:szCs w:val="24"/>
        </w:rPr>
        <w:t>Disse virkninger er både relateret til den dosis, der tages, og patientens individuelle følsomhed.</w:t>
      </w:r>
    </w:p>
    <w:p w14:paraId="438E8CB6" w14:textId="77777777" w:rsidR="005E67A0" w:rsidRPr="005E67A0" w:rsidRDefault="005E67A0" w:rsidP="005E67A0">
      <w:pPr>
        <w:spacing w:line="256" w:lineRule="auto"/>
        <w:ind w:left="851"/>
        <w:rPr>
          <w:rFonts w:eastAsia="Calibri" w:cs="Arial"/>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95"/>
        <w:gridCol w:w="1545"/>
        <w:gridCol w:w="1756"/>
        <w:gridCol w:w="1262"/>
        <w:gridCol w:w="1707"/>
      </w:tblGrid>
      <w:tr w:rsidR="005E67A0" w14:paraId="116E1AEB" w14:textId="77777777" w:rsidTr="005E67A0">
        <w:trPr>
          <w:tblHeader/>
        </w:trPr>
        <w:tc>
          <w:tcPr>
            <w:tcW w:w="2405" w:type="dxa"/>
            <w:tcBorders>
              <w:top w:val="single" w:sz="4" w:space="0" w:color="auto"/>
              <w:left w:val="single" w:sz="4" w:space="0" w:color="auto"/>
              <w:bottom w:val="single" w:sz="4" w:space="0" w:color="auto"/>
              <w:right w:val="single" w:sz="4" w:space="0" w:color="auto"/>
            </w:tcBorders>
            <w:hideMark/>
          </w:tcPr>
          <w:p w14:paraId="471A8EC0" w14:textId="77777777" w:rsidR="005E67A0" w:rsidRDefault="005E67A0" w:rsidP="005E67A0">
            <w:pPr>
              <w:spacing w:line="256" w:lineRule="auto"/>
              <w:rPr>
                <w:szCs w:val="22"/>
              </w:rPr>
            </w:pPr>
            <w:r>
              <w:rPr>
                <w:b/>
              </w:rPr>
              <w:t>Systemorganklasse</w:t>
            </w:r>
          </w:p>
        </w:tc>
        <w:tc>
          <w:tcPr>
            <w:tcW w:w="1494" w:type="dxa"/>
            <w:tcBorders>
              <w:top w:val="single" w:sz="4" w:space="0" w:color="auto"/>
              <w:left w:val="single" w:sz="4" w:space="0" w:color="auto"/>
              <w:bottom w:val="single" w:sz="4" w:space="0" w:color="auto"/>
              <w:right w:val="single" w:sz="4" w:space="0" w:color="auto"/>
            </w:tcBorders>
          </w:tcPr>
          <w:p w14:paraId="60E34878" w14:textId="77777777" w:rsidR="005E67A0" w:rsidRDefault="005E67A0" w:rsidP="005E67A0">
            <w:pPr>
              <w:spacing w:line="256" w:lineRule="auto"/>
              <w:jc w:val="center"/>
              <w:rPr>
                <w:b/>
                <w:bCs/>
                <w:szCs w:val="22"/>
              </w:rPr>
            </w:pPr>
            <w:r>
              <w:rPr>
                <w:b/>
              </w:rPr>
              <w:t>Almindelig</w:t>
            </w:r>
          </w:p>
          <w:p w14:paraId="0A6012F1" w14:textId="77777777" w:rsidR="005E67A0" w:rsidRDefault="005E67A0" w:rsidP="005E67A0">
            <w:pPr>
              <w:spacing w:line="256" w:lineRule="auto"/>
              <w:jc w:val="center"/>
              <w:rPr>
                <w:szCs w:val="22"/>
              </w:rPr>
            </w:pPr>
          </w:p>
        </w:tc>
        <w:tc>
          <w:tcPr>
            <w:tcW w:w="1544" w:type="dxa"/>
            <w:tcBorders>
              <w:top w:val="single" w:sz="4" w:space="0" w:color="auto"/>
              <w:left w:val="single" w:sz="4" w:space="0" w:color="auto"/>
              <w:bottom w:val="single" w:sz="4" w:space="0" w:color="auto"/>
              <w:right w:val="single" w:sz="4" w:space="0" w:color="auto"/>
            </w:tcBorders>
            <w:hideMark/>
          </w:tcPr>
          <w:p w14:paraId="22C357E2" w14:textId="77777777" w:rsidR="005E67A0" w:rsidRDefault="005E67A0" w:rsidP="005E67A0">
            <w:pPr>
              <w:spacing w:line="256" w:lineRule="auto"/>
              <w:jc w:val="center"/>
              <w:rPr>
                <w:szCs w:val="22"/>
              </w:rPr>
            </w:pPr>
            <w:r>
              <w:rPr>
                <w:b/>
              </w:rPr>
              <w:t>Ikke almindelig</w:t>
            </w:r>
          </w:p>
        </w:tc>
        <w:tc>
          <w:tcPr>
            <w:tcW w:w="1755" w:type="dxa"/>
            <w:tcBorders>
              <w:top w:val="single" w:sz="4" w:space="0" w:color="auto"/>
              <w:left w:val="single" w:sz="4" w:space="0" w:color="auto"/>
              <w:bottom w:val="single" w:sz="4" w:space="0" w:color="auto"/>
              <w:right w:val="single" w:sz="4" w:space="0" w:color="auto"/>
            </w:tcBorders>
            <w:hideMark/>
          </w:tcPr>
          <w:p w14:paraId="3B0F32A6" w14:textId="77777777" w:rsidR="005E67A0" w:rsidRDefault="005E67A0" w:rsidP="005E67A0">
            <w:pPr>
              <w:spacing w:line="256" w:lineRule="auto"/>
              <w:ind w:right="-12"/>
              <w:jc w:val="center"/>
              <w:rPr>
                <w:szCs w:val="22"/>
              </w:rPr>
            </w:pPr>
            <w:r>
              <w:rPr>
                <w:b/>
              </w:rPr>
              <w:t xml:space="preserve">Sjælden </w:t>
            </w:r>
          </w:p>
        </w:tc>
        <w:tc>
          <w:tcPr>
            <w:tcW w:w="1261" w:type="dxa"/>
            <w:tcBorders>
              <w:top w:val="single" w:sz="4" w:space="0" w:color="auto"/>
              <w:left w:val="single" w:sz="4" w:space="0" w:color="auto"/>
              <w:bottom w:val="single" w:sz="4" w:space="0" w:color="auto"/>
              <w:right w:val="single" w:sz="4" w:space="0" w:color="auto"/>
            </w:tcBorders>
            <w:hideMark/>
          </w:tcPr>
          <w:p w14:paraId="5116D0F6" w14:textId="77777777" w:rsidR="005E67A0" w:rsidRDefault="005E67A0" w:rsidP="005E67A0">
            <w:pPr>
              <w:spacing w:line="256" w:lineRule="auto"/>
              <w:ind w:left="-66"/>
              <w:jc w:val="center"/>
              <w:rPr>
                <w:b/>
                <w:bCs/>
                <w:szCs w:val="22"/>
              </w:rPr>
            </w:pPr>
            <w:r>
              <w:rPr>
                <w:b/>
              </w:rPr>
              <w:t>Meget sjælden</w:t>
            </w:r>
          </w:p>
        </w:tc>
        <w:tc>
          <w:tcPr>
            <w:tcW w:w="1706" w:type="dxa"/>
            <w:tcBorders>
              <w:top w:val="single" w:sz="4" w:space="0" w:color="auto"/>
              <w:left w:val="single" w:sz="4" w:space="0" w:color="auto"/>
              <w:bottom w:val="single" w:sz="4" w:space="0" w:color="auto"/>
              <w:right w:val="single" w:sz="4" w:space="0" w:color="auto"/>
            </w:tcBorders>
            <w:hideMark/>
          </w:tcPr>
          <w:p w14:paraId="735B5238" w14:textId="77777777" w:rsidR="005E67A0" w:rsidRDefault="005E67A0" w:rsidP="005E67A0">
            <w:pPr>
              <w:spacing w:line="256" w:lineRule="auto"/>
              <w:ind w:left="-66"/>
              <w:jc w:val="center"/>
              <w:rPr>
                <w:b/>
                <w:bCs/>
                <w:szCs w:val="22"/>
              </w:rPr>
            </w:pPr>
            <w:r>
              <w:rPr>
                <w:b/>
              </w:rPr>
              <w:t>Ikke kendt</w:t>
            </w:r>
          </w:p>
        </w:tc>
      </w:tr>
      <w:tr w:rsidR="005E67A0" w14:paraId="26AD4965"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480B647D" w14:textId="77777777" w:rsidR="005E67A0" w:rsidRDefault="005E67A0" w:rsidP="005E67A0">
            <w:pPr>
              <w:spacing w:line="256" w:lineRule="auto"/>
              <w:rPr>
                <w:sz w:val="20"/>
              </w:rPr>
            </w:pPr>
            <w:r>
              <w:rPr>
                <w:sz w:val="20"/>
              </w:rPr>
              <w:t>Immunsystemet</w:t>
            </w:r>
          </w:p>
        </w:tc>
        <w:tc>
          <w:tcPr>
            <w:tcW w:w="1494" w:type="dxa"/>
            <w:tcBorders>
              <w:top w:val="single" w:sz="4" w:space="0" w:color="auto"/>
              <w:left w:val="single" w:sz="4" w:space="0" w:color="auto"/>
              <w:bottom w:val="single" w:sz="4" w:space="0" w:color="auto"/>
              <w:right w:val="single" w:sz="4" w:space="0" w:color="auto"/>
            </w:tcBorders>
          </w:tcPr>
          <w:p w14:paraId="781AF54F"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tcPr>
          <w:p w14:paraId="3D41D91A" w14:textId="77777777" w:rsidR="005E67A0" w:rsidRDefault="005E67A0" w:rsidP="005E67A0">
            <w:pPr>
              <w:spacing w:line="256" w:lineRule="auto"/>
              <w:rPr>
                <w:sz w:val="20"/>
              </w:rPr>
            </w:pPr>
          </w:p>
        </w:tc>
        <w:tc>
          <w:tcPr>
            <w:tcW w:w="1755" w:type="dxa"/>
            <w:tcBorders>
              <w:top w:val="single" w:sz="4" w:space="0" w:color="auto"/>
              <w:left w:val="single" w:sz="4" w:space="0" w:color="auto"/>
              <w:bottom w:val="single" w:sz="4" w:space="0" w:color="auto"/>
              <w:right w:val="single" w:sz="4" w:space="0" w:color="auto"/>
            </w:tcBorders>
          </w:tcPr>
          <w:p w14:paraId="22328899" w14:textId="77777777" w:rsidR="005E67A0" w:rsidRDefault="005E67A0" w:rsidP="005E67A0">
            <w:pPr>
              <w:spacing w:line="256" w:lineRule="auto"/>
              <w:ind w:right="-12"/>
              <w:rPr>
                <w:sz w:val="20"/>
              </w:rPr>
            </w:pPr>
          </w:p>
        </w:tc>
        <w:tc>
          <w:tcPr>
            <w:tcW w:w="1261" w:type="dxa"/>
            <w:tcBorders>
              <w:top w:val="single" w:sz="4" w:space="0" w:color="auto"/>
              <w:left w:val="single" w:sz="4" w:space="0" w:color="auto"/>
              <w:bottom w:val="single" w:sz="4" w:space="0" w:color="auto"/>
              <w:right w:val="single" w:sz="4" w:space="0" w:color="auto"/>
            </w:tcBorders>
            <w:hideMark/>
          </w:tcPr>
          <w:p w14:paraId="07AF1A5F" w14:textId="77777777" w:rsidR="005E67A0" w:rsidRDefault="005E67A0" w:rsidP="005E67A0">
            <w:pPr>
              <w:spacing w:line="256" w:lineRule="auto"/>
              <w:ind w:left="-66"/>
              <w:rPr>
                <w:sz w:val="20"/>
              </w:rPr>
            </w:pPr>
            <w:r>
              <w:rPr>
                <w:sz w:val="20"/>
              </w:rPr>
              <w:t>Angioødem, anafylaktiske reaktioner</w:t>
            </w:r>
          </w:p>
        </w:tc>
        <w:tc>
          <w:tcPr>
            <w:tcW w:w="1706" w:type="dxa"/>
            <w:tcBorders>
              <w:top w:val="single" w:sz="4" w:space="0" w:color="auto"/>
              <w:left w:val="single" w:sz="4" w:space="0" w:color="auto"/>
              <w:bottom w:val="single" w:sz="4" w:space="0" w:color="auto"/>
              <w:right w:val="single" w:sz="4" w:space="0" w:color="auto"/>
            </w:tcBorders>
          </w:tcPr>
          <w:p w14:paraId="6393583F" w14:textId="77777777" w:rsidR="005E67A0" w:rsidRDefault="005E67A0" w:rsidP="005E67A0">
            <w:pPr>
              <w:spacing w:line="256" w:lineRule="auto"/>
              <w:ind w:left="-66"/>
              <w:rPr>
                <w:sz w:val="20"/>
                <w:lang w:val="en-GB"/>
              </w:rPr>
            </w:pPr>
          </w:p>
        </w:tc>
      </w:tr>
      <w:tr w:rsidR="005E67A0" w14:paraId="3D312AD2"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60E57FBB" w14:textId="77777777" w:rsidR="005E67A0" w:rsidRDefault="005E67A0" w:rsidP="005E67A0">
            <w:pPr>
              <w:spacing w:line="256" w:lineRule="auto"/>
              <w:rPr>
                <w:sz w:val="20"/>
              </w:rPr>
            </w:pPr>
            <w:r>
              <w:rPr>
                <w:sz w:val="20"/>
              </w:rPr>
              <w:t>Psykiske forstyrrelser</w:t>
            </w:r>
          </w:p>
        </w:tc>
        <w:tc>
          <w:tcPr>
            <w:tcW w:w="1494" w:type="dxa"/>
            <w:tcBorders>
              <w:top w:val="single" w:sz="4" w:space="0" w:color="auto"/>
              <w:left w:val="single" w:sz="4" w:space="0" w:color="auto"/>
              <w:bottom w:val="single" w:sz="4" w:space="0" w:color="auto"/>
              <w:right w:val="single" w:sz="4" w:space="0" w:color="auto"/>
            </w:tcBorders>
          </w:tcPr>
          <w:p w14:paraId="5F62132E"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hideMark/>
          </w:tcPr>
          <w:p w14:paraId="5086BB47" w14:textId="77777777" w:rsidR="005E67A0" w:rsidRDefault="005E67A0" w:rsidP="005E67A0">
            <w:pPr>
              <w:spacing w:line="256" w:lineRule="auto"/>
              <w:rPr>
                <w:sz w:val="20"/>
              </w:rPr>
            </w:pPr>
            <w:r>
              <w:rPr>
                <w:sz w:val="20"/>
              </w:rPr>
              <w:t>Agitation, mareridt</w:t>
            </w:r>
          </w:p>
        </w:tc>
        <w:tc>
          <w:tcPr>
            <w:tcW w:w="1755" w:type="dxa"/>
            <w:tcBorders>
              <w:top w:val="single" w:sz="4" w:space="0" w:color="auto"/>
              <w:left w:val="single" w:sz="4" w:space="0" w:color="auto"/>
              <w:bottom w:val="single" w:sz="4" w:space="0" w:color="auto"/>
              <w:right w:val="single" w:sz="4" w:space="0" w:color="auto"/>
            </w:tcBorders>
            <w:hideMark/>
          </w:tcPr>
          <w:p w14:paraId="5BCB7E63" w14:textId="77777777" w:rsidR="005E67A0" w:rsidRDefault="005E67A0" w:rsidP="005E67A0">
            <w:pPr>
              <w:spacing w:line="256" w:lineRule="auto"/>
              <w:ind w:right="-12"/>
              <w:rPr>
                <w:sz w:val="20"/>
              </w:rPr>
            </w:pPr>
            <w:r>
              <w:rPr>
                <w:sz w:val="20"/>
              </w:rPr>
              <w:t>Forvirringstilstand, libidoforstyrrelser, irritabilitet, aggression, hallucinationer, depression*.</w:t>
            </w:r>
          </w:p>
        </w:tc>
        <w:tc>
          <w:tcPr>
            <w:tcW w:w="1261" w:type="dxa"/>
            <w:tcBorders>
              <w:top w:val="single" w:sz="4" w:space="0" w:color="auto"/>
              <w:left w:val="single" w:sz="4" w:space="0" w:color="auto"/>
              <w:bottom w:val="single" w:sz="4" w:space="0" w:color="auto"/>
              <w:right w:val="single" w:sz="4" w:space="0" w:color="auto"/>
            </w:tcBorders>
          </w:tcPr>
          <w:p w14:paraId="28BC95E0"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hideMark/>
          </w:tcPr>
          <w:p w14:paraId="65CE7A28" w14:textId="77777777" w:rsidR="005E67A0" w:rsidRDefault="005E67A0" w:rsidP="005E67A0">
            <w:pPr>
              <w:spacing w:line="256" w:lineRule="auto"/>
              <w:ind w:left="-66"/>
              <w:rPr>
                <w:sz w:val="20"/>
              </w:rPr>
            </w:pPr>
            <w:r>
              <w:rPr>
                <w:sz w:val="20"/>
              </w:rPr>
              <w:t>Rastløshed, vrangforestillinger, vrede, unormal adfærd (sandsynligvis forbundet til amnesi) og kompleks søvnadfærd, herunder somnambulisme (se pkt. 4.4), psykose, fysisk og psykisk afhængighed, abstinenssyndrom**</w:t>
            </w:r>
          </w:p>
        </w:tc>
      </w:tr>
      <w:tr w:rsidR="005E67A0" w14:paraId="33EA05BD"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22448F69" w14:textId="77777777" w:rsidR="005E67A0" w:rsidRDefault="005E67A0" w:rsidP="005E67A0">
            <w:pPr>
              <w:spacing w:line="256" w:lineRule="auto"/>
              <w:rPr>
                <w:sz w:val="20"/>
              </w:rPr>
            </w:pPr>
            <w:r>
              <w:rPr>
                <w:sz w:val="20"/>
              </w:rPr>
              <w:t>Nervesystemet</w:t>
            </w:r>
          </w:p>
        </w:tc>
        <w:tc>
          <w:tcPr>
            <w:tcW w:w="1494" w:type="dxa"/>
            <w:tcBorders>
              <w:top w:val="single" w:sz="4" w:space="0" w:color="auto"/>
              <w:left w:val="single" w:sz="4" w:space="0" w:color="auto"/>
              <w:bottom w:val="single" w:sz="4" w:space="0" w:color="auto"/>
              <w:right w:val="single" w:sz="4" w:space="0" w:color="auto"/>
            </w:tcBorders>
            <w:hideMark/>
          </w:tcPr>
          <w:p w14:paraId="3B3E6FCF" w14:textId="77777777" w:rsidR="005E67A0" w:rsidRDefault="005E67A0" w:rsidP="005E67A0">
            <w:pPr>
              <w:spacing w:line="256" w:lineRule="auto"/>
              <w:rPr>
                <w:sz w:val="20"/>
              </w:rPr>
            </w:pPr>
            <w:r>
              <w:rPr>
                <w:sz w:val="20"/>
              </w:rPr>
              <w:t>Dysgeusi (bitter/metallisk smag), døsighed</w:t>
            </w:r>
          </w:p>
        </w:tc>
        <w:tc>
          <w:tcPr>
            <w:tcW w:w="1544" w:type="dxa"/>
            <w:tcBorders>
              <w:top w:val="single" w:sz="4" w:space="0" w:color="auto"/>
              <w:left w:val="single" w:sz="4" w:space="0" w:color="auto"/>
              <w:bottom w:val="single" w:sz="4" w:space="0" w:color="auto"/>
              <w:right w:val="single" w:sz="4" w:space="0" w:color="auto"/>
            </w:tcBorders>
            <w:hideMark/>
          </w:tcPr>
          <w:p w14:paraId="655428AC" w14:textId="77777777" w:rsidR="005E67A0" w:rsidRDefault="005E67A0" w:rsidP="005E67A0">
            <w:pPr>
              <w:spacing w:line="256" w:lineRule="auto"/>
              <w:rPr>
                <w:sz w:val="20"/>
              </w:rPr>
            </w:pPr>
            <w:r>
              <w:rPr>
                <w:sz w:val="20"/>
              </w:rPr>
              <w:t>Nedsat opmærksomhed, hovedpine, svimmelhed</w:t>
            </w:r>
          </w:p>
        </w:tc>
        <w:tc>
          <w:tcPr>
            <w:tcW w:w="1755" w:type="dxa"/>
            <w:tcBorders>
              <w:top w:val="single" w:sz="4" w:space="0" w:color="auto"/>
              <w:left w:val="single" w:sz="4" w:space="0" w:color="auto"/>
              <w:bottom w:val="single" w:sz="4" w:space="0" w:color="auto"/>
              <w:right w:val="single" w:sz="4" w:space="0" w:color="auto"/>
            </w:tcBorders>
            <w:hideMark/>
          </w:tcPr>
          <w:p w14:paraId="68A92B78" w14:textId="77777777" w:rsidR="005E67A0" w:rsidRDefault="005E67A0" w:rsidP="005E67A0">
            <w:pPr>
              <w:spacing w:line="256" w:lineRule="auto"/>
              <w:ind w:right="-12"/>
              <w:rPr>
                <w:sz w:val="20"/>
              </w:rPr>
            </w:pPr>
            <w:r>
              <w:rPr>
                <w:sz w:val="20"/>
              </w:rPr>
              <w:t>Anterograd amnesi</w:t>
            </w:r>
          </w:p>
        </w:tc>
        <w:tc>
          <w:tcPr>
            <w:tcW w:w="1261" w:type="dxa"/>
            <w:tcBorders>
              <w:top w:val="single" w:sz="4" w:space="0" w:color="auto"/>
              <w:left w:val="single" w:sz="4" w:space="0" w:color="auto"/>
              <w:bottom w:val="single" w:sz="4" w:space="0" w:color="auto"/>
              <w:right w:val="single" w:sz="4" w:space="0" w:color="auto"/>
            </w:tcBorders>
          </w:tcPr>
          <w:p w14:paraId="3CF58465"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hideMark/>
          </w:tcPr>
          <w:p w14:paraId="31E4DC73" w14:textId="77777777" w:rsidR="005E67A0" w:rsidRDefault="005E67A0" w:rsidP="005E67A0">
            <w:pPr>
              <w:spacing w:line="256" w:lineRule="auto"/>
              <w:ind w:left="-66"/>
              <w:rPr>
                <w:sz w:val="20"/>
              </w:rPr>
            </w:pPr>
            <w:r>
              <w:rPr>
                <w:sz w:val="20"/>
              </w:rPr>
              <w:t>Ataksi, paræstesi, kognitive forstyrrelser som hukommelsessvigt, opmærksomhedsfo</w:t>
            </w:r>
            <w:r>
              <w:rPr>
                <w:sz w:val="20"/>
              </w:rPr>
              <w:lastRenderedPageBreak/>
              <w:t>rstyrrelser, taleforstyrrelser</w:t>
            </w:r>
          </w:p>
        </w:tc>
      </w:tr>
      <w:tr w:rsidR="005E67A0" w14:paraId="10003824"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33EAF4F5" w14:textId="77777777" w:rsidR="005E67A0" w:rsidRDefault="005E67A0" w:rsidP="005E67A0">
            <w:pPr>
              <w:spacing w:line="256" w:lineRule="auto"/>
              <w:rPr>
                <w:sz w:val="20"/>
              </w:rPr>
            </w:pPr>
            <w:r>
              <w:rPr>
                <w:sz w:val="20"/>
              </w:rPr>
              <w:lastRenderedPageBreak/>
              <w:t>Øjne</w:t>
            </w:r>
          </w:p>
        </w:tc>
        <w:tc>
          <w:tcPr>
            <w:tcW w:w="1494" w:type="dxa"/>
            <w:tcBorders>
              <w:top w:val="single" w:sz="4" w:space="0" w:color="auto"/>
              <w:left w:val="single" w:sz="4" w:space="0" w:color="auto"/>
              <w:bottom w:val="single" w:sz="4" w:space="0" w:color="auto"/>
              <w:right w:val="single" w:sz="4" w:space="0" w:color="auto"/>
            </w:tcBorders>
          </w:tcPr>
          <w:p w14:paraId="57C437EA" w14:textId="77777777" w:rsidR="005E67A0" w:rsidRDefault="005E67A0" w:rsidP="005E67A0">
            <w:pPr>
              <w:spacing w:line="256" w:lineRule="auto"/>
              <w:rPr>
                <w:sz w:val="20"/>
                <w:lang w:val="en-GB"/>
              </w:rPr>
            </w:pPr>
          </w:p>
        </w:tc>
        <w:tc>
          <w:tcPr>
            <w:tcW w:w="1544" w:type="dxa"/>
            <w:tcBorders>
              <w:top w:val="single" w:sz="4" w:space="0" w:color="auto"/>
              <w:left w:val="single" w:sz="4" w:space="0" w:color="auto"/>
              <w:bottom w:val="single" w:sz="4" w:space="0" w:color="auto"/>
              <w:right w:val="single" w:sz="4" w:space="0" w:color="auto"/>
            </w:tcBorders>
          </w:tcPr>
          <w:p w14:paraId="1DA1EED7" w14:textId="77777777" w:rsidR="005E67A0" w:rsidRDefault="005E67A0" w:rsidP="005E67A0">
            <w:pPr>
              <w:spacing w:line="256" w:lineRule="auto"/>
              <w:rPr>
                <w:sz w:val="20"/>
                <w:lang w:val="en-GB"/>
              </w:rPr>
            </w:pPr>
          </w:p>
        </w:tc>
        <w:tc>
          <w:tcPr>
            <w:tcW w:w="1755" w:type="dxa"/>
            <w:tcBorders>
              <w:top w:val="single" w:sz="4" w:space="0" w:color="auto"/>
              <w:left w:val="single" w:sz="4" w:space="0" w:color="auto"/>
              <w:bottom w:val="single" w:sz="4" w:space="0" w:color="auto"/>
              <w:right w:val="single" w:sz="4" w:space="0" w:color="auto"/>
            </w:tcBorders>
          </w:tcPr>
          <w:p w14:paraId="685477FC" w14:textId="77777777" w:rsidR="005E67A0" w:rsidRDefault="005E67A0" w:rsidP="005E67A0">
            <w:pPr>
              <w:spacing w:line="256" w:lineRule="auto"/>
              <w:ind w:right="-12"/>
              <w:rPr>
                <w:sz w:val="20"/>
              </w:rPr>
            </w:pPr>
          </w:p>
        </w:tc>
        <w:tc>
          <w:tcPr>
            <w:tcW w:w="1261" w:type="dxa"/>
            <w:tcBorders>
              <w:top w:val="single" w:sz="4" w:space="0" w:color="auto"/>
              <w:left w:val="single" w:sz="4" w:space="0" w:color="auto"/>
              <w:bottom w:val="single" w:sz="4" w:space="0" w:color="auto"/>
              <w:right w:val="single" w:sz="4" w:space="0" w:color="auto"/>
            </w:tcBorders>
          </w:tcPr>
          <w:p w14:paraId="0B8BDC23"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hideMark/>
          </w:tcPr>
          <w:p w14:paraId="0F88D92C" w14:textId="77777777" w:rsidR="005E67A0" w:rsidRDefault="005E67A0" w:rsidP="005E67A0">
            <w:pPr>
              <w:spacing w:line="256" w:lineRule="auto"/>
              <w:ind w:left="-66"/>
              <w:rPr>
                <w:sz w:val="20"/>
              </w:rPr>
            </w:pPr>
            <w:r>
              <w:rPr>
                <w:sz w:val="20"/>
              </w:rPr>
              <w:t>Diplopi</w:t>
            </w:r>
          </w:p>
        </w:tc>
      </w:tr>
      <w:tr w:rsidR="005E67A0" w14:paraId="02F18C29"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737677AB" w14:textId="77777777" w:rsidR="005E67A0" w:rsidRDefault="005E67A0" w:rsidP="005E67A0">
            <w:pPr>
              <w:spacing w:line="256" w:lineRule="auto"/>
              <w:rPr>
                <w:sz w:val="20"/>
              </w:rPr>
            </w:pPr>
            <w:r>
              <w:rPr>
                <w:sz w:val="20"/>
              </w:rPr>
              <w:t>Luftveje, thorax og mediastinum</w:t>
            </w:r>
          </w:p>
        </w:tc>
        <w:tc>
          <w:tcPr>
            <w:tcW w:w="1494" w:type="dxa"/>
            <w:tcBorders>
              <w:top w:val="single" w:sz="4" w:space="0" w:color="auto"/>
              <w:left w:val="single" w:sz="4" w:space="0" w:color="auto"/>
              <w:bottom w:val="single" w:sz="4" w:space="0" w:color="auto"/>
              <w:right w:val="single" w:sz="4" w:space="0" w:color="auto"/>
            </w:tcBorders>
          </w:tcPr>
          <w:p w14:paraId="22D9DCF9" w14:textId="77777777" w:rsidR="005E67A0" w:rsidRDefault="005E67A0" w:rsidP="005E67A0">
            <w:pPr>
              <w:spacing w:line="256" w:lineRule="auto"/>
              <w:rPr>
                <w:sz w:val="20"/>
                <w:lang w:val="en-GB"/>
              </w:rPr>
            </w:pPr>
          </w:p>
        </w:tc>
        <w:tc>
          <w:tcPr>
            <w:tcW w:w="1544" w:type="dxa"/>
            <w:tcBorders>
              <w:top w:val="single" w:sz="4" w:space="0" w:color="auto"/>
              <w:left w:val="single" w:sz="4" w:space="0" w:color="auto"/>
              <w:bottom w:val="single" w:sz="4" w:space="0" w:color="auto"/>
              <w:right w:val="single" w:sz="4" w:space="0" w:color="auto"/>
            </w:tcBorders>
          </w:tcPr>
          <w:p w14:paraId="1AFF0E0E" w14:textId="77777777" w:rsidR="005E67A0" w:rsidRDefault="005E67A0" w:rsidP="005E67A0">
            <w:pPr>
              <w:spacing w:line="256" w:lineRule="auto"/>
              <w:rPr>
                <w:sz w:val="20"/>
                <w:lang w:val="en-GB"/>
              </w:rPr>
            </w:pPr>
          </w:p>
        </w:tc>
        <w:tc>
          <w:tcPr>
            <w:tcW w:w="1755" w:type="dxa"/>
            <w:tcBorders>
              <w:top w:val="single" w:sz="4" w:space="0" w:color="auto"/>
              <w:left w:val="single" w:sz="4" w:space="0" w:color="auto"/>
              <w:bottom w:val="single" w:sz="4" w:space="0" w:color="auto"/>
              <w:right w:val="single" w:sz="4" w:space="0" w:color="auto"/>
            </w:tcBorders>
            <w:hideMark/>
          </w:tcPr>
          <w:p w14:paraId="45CB0182" w14:textId="77777777" w:rsidR="005E67A0" w:rsidRDefault="005E67A0" w:rsidP="005E67A0">
            <w:pPr>
              <w:spacing w:line="256" w:lineRule="auto"/>
              <w:ind w:right="-12"/>
              <w:rPr>
                <w:sz w:val="20"/>
              </w:rPr>
            </w:pPr>
            <w:r>
              <w:rPr>
                <w:sz w:val="20"/>
              </w:rPr>
              <w:t>Dyspnø</w:t>
            </w:r>
          </w:p>
        </w:tc>
        <w:tc>
          <w:tcPr>
            <w:tcW w:w="1261" w:type="dxa"/>
            <w:tcBorders>
              <w:top w:val="single" w:sz="4" w:space="0" w:color="auto"/>
              <w:left w:val="single" w:sz="4" w:space="0" w:color="auto"/>
              <w:bottom w:val="single" w:sz="4" w:space="0" w:color="auto"/>
              <w:right w:val="single" w:sz="4" w:space="0" w:color="auto"/>
            </w:tcBorders>
          </w:tcPr>
          <w:p w14:paraId="1805AA93" w14:textId="77777777" w:rsidR="005E67A0" w:rsidRDefault="005E67A0" w:rsidP="005E67A0">
            <w:pPr>
              <w:spacing w:line="256" w:lineRule="auto"/>
              <w:ind w:left="-66"/>
              <w:rPr>
                <w:sz w:val="20"/>
                <w:lang w:val="en-GB"/>
              </w:rPr>
            </w:pPr>
          </w:p>
        </w:tc>
        <w:tc>
          <w:tcPr>
            <w:tcW w:w="1706" w:type="dxa"/>
            <w:tcBorders>
              <w:top w:val="single" w:sz="4" w:space="0" w:color="auto"/>
              <w:left w:val="single" w:sz="4" w:space="0" w:color="auto"/>
              <w:bottom w:val="single" w:sz="4" w:space="0" w:color="auto"/>
              <w:right w:val="single" w:sz="4" w:space="0" w:color="auto"/>
            </w:tcBorders>
            <w:hideMark/>
          </w:tcPr>
          <w:p w14:paraId="2C6D94C8" w14:textId="77777777" w:rsidR="005E67A0" w:rsidRDefault="005E67A0" w:rsidP="005E67A0">
            <w:pPr>
              <w:spacing w:line="256" w:lineRule="auto"/>
              <w:ind w:left="-66"/>
              <w:rPr>
                <w:sz w:val="20"/>
              </w:rPr>
            </w:pPr>
            <w:r>
              <w:rPr>
                <w:sz w:val="20"/>
              </w:rPr>
              <w:t>Respirationsdepression</w:t>
            </w:r>
          </w:p>
        </w:tc>
      </w:tr>
      <w:tr w:rsidR="005E67A0" w14:paraId="66110CB8"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079AA9A9" w14:textId="77777777" w:rsidR="005E67A0" w:rsidRDefault="005E67A0" w:rsidP="005E67A0">
            <w:pPr>
              <w:spacing w:line="256" w:lineRule="auto"/>
              <w:rPr>
                <w:sz w:val="20"/>
              </w:rPr>
            </w:pPr>
            <w:r>
              <w:rPr>
                <w:sz w:val="20"/>
              </w:rPr>
              <w:t>Mave-tarm-kanalen</w:t>
            </w:r>
          </w:p>
        </w:tc>
        <w:tc>
          <w:tcPr>
            <w:tcW w:w="1494" w:type="dxa"/>
            <w:tcBorders>
              <w:top w:val="single" w:sz="4" w:space="0" w:color="auto"/>
              <w:left w:val="single" w:sz="4" w:space="0" w:color="auto"/>
              <w:bottom w:val="single" w:sz="4" w:space="0" w:color="auto"/>
              <w:right w:val="single" w:sz="4" w:space="0" w:color="auto"/>
            </w:tcBorders>
            <w:hideMark/>
          </w:tcPr>
          <w:p w14:paraId="536B64AE" w14:textId="77777777" w:rsidR="005E67A0" w:rsidRDefault="005E67A0" w:rsidP="005E67A0">
            <w:pPr>
              <w:spacing w:line="256" w:lineRule="auto"/>
              <w:rPr>
                <w:sz w:val="20"/>
              </w:rPr>
            </w:pPr>
            <w:r>
              <w:rPr>
                <w:sz w:val="20"/>
              </w:rPr>
              <w:t>Mundtørhed</w:t>
            </w:r>
          </w:p>
        </w:tc>
        <w:tc>
          <w:tcPr>
            <w:tcW w:w="1544" w:type="dxa"/>
            <w:tcBorders>
              <w:top w:val="single" w:sz="4" w:space="0" w:color="auto"/>
              <w:left w:val="single" w:sz="4" w:space="0" w:color="auto"/>
              <w:bottom w:val="single" w:sz="4" w:space="0" w:color="auto"/>
              <w:right w:val="single" w:sz="4" w:space="0" w:color="auto"/>
            </w:tcBorders>
            <w:hideMark/>
          </w:tcPr>
          <w:p w14:paraId="5A023F17" w14:textId="77777777" w:rsidR="005E67A0" w:rsidRDefault="005E67A0" w:rsidP="005E67A0">
            <w:pPr>
              <w:spacing w:line="256" w:lineRule="auto"/>
              <w:rPr>
                <w:sz w:val="20"/>
              </w:rPr>
            </w:pPr>
            <w:r>
              <w:rPr>
                <w:sz w:val="20"/>
              </w:rPr>
              <w:t>Kvalme, utilpashed, abdominale smerter</w:t>
            </w:r>
          </w:p>
        </w:tc>
        <w:tc>
          <w:tcPr>
            <w:tcW w:w="1755" w:type="dxa"/>
            <w:tcBorders>
              <w:top w:val="single" w:sz="4" w:space="0" w:color="auto"/>
              <w:left w:val="single" w:sz="4" w:space="0" w:color="auto"/>
              <w:bottom w:val="single" w:sz="4" w:space="0" w:color="auto"/>
              <w:right w:val="single" w:sz="4" w:space="0" w:color="auto"/>
            </w:tcBorders>
          </w:tcPr>
          <w:p w14:paraId="233B48BF" w14:textId="77777777" w:rsidR="005E67A0" w:rsidRDefault="005E67A0" w:rsidP="005E67A0">
            <w:pPr>
              <w:spacing w:line="256" w:lineRule="auto"/>
              <w:ind w:right="-12"/>
              <w:rPr>
                <w:sz w:val="20"/>
              </w:rPr>
            </w:pPr>
          </w:p>
        </w:tc>
        <w:tc>
          <w:tcPr>
            <w:tcW w:w="1261" w:type="dxa"/>
            <w:tcBorders>
              <w:top w:val="single" w:sz="4" w:space="0" w:color="auto"/>
              <w:left w:val="single" w:sz="4" w:space="0" w:color="auto"/>
              <w:bottom w:val="single" w:sz="4" w:space="0" w:color="auto"/>
              <w:right w:val="single" w:sz="4" w:space="0" w:color="auto"/>
            </w:tcBorders>
          </w:tcPr>
          <w:p w14:paraId="346296BD" w14:textId="77777777" w:rsidR="005E67A0" w:rsidRDefault="005E67A0" w:rsidP="005E67A0">
            <w:pPr>
              <w:spacing w:line="256" w:lineRule="auto"/>
              <w:ind w:left="-66"/>
              <w:rPr>
                <w:sz w:val="20"/>
                <w:lang w:val="en-GB"/>
              </w:rPr>
            </w:pPr>
          </w:p>
        </w:tc>
        <w:tc>
          <w:tcPr>
            <w:tcW w:w="1706" w:type="dxa"/>
            <w:tcBorders>
              <w:top w:val="single" w:sz="4" w:space="0" w:color="auto"/>
              <w:left w:val="single" w:sz="4" w:space="0" w:color="auto"/>
              <w:bottom w:val="single" w:sz="4" w:space="0" w:color="auto"/>
              <w:right w:val="single" w:sz="4" w:space="0" w:color="auto"/>
            </w:tcBorders>
            <w:hideMark/>
          </w:tcPr>
          <w:p w14:paraId="453D91D9" w14:textId="77777777" w:rsidR="005E67A0" w:rsidRDefault="005E67A0" w:rsidP="005E67A0">
            <w:pPr>
              <w:spacing w:line="256" w:lineRule="auto"/>
              <w:ind w:left="-66"/>
              <w:rPr>
                <w:sz w:val="20"/>
              </w:rPr>
            </w:pPr>
            <w:r>
              <w:rPr>
                <w:sz w:val="20"/>
              </w:rPr>
              <w:t>Dyspepsi, opkastning</w:t>
            </w:r>
          </w:p>
        </w:tc>
      </w:tr>
      <w:tr w:rsidR="005E67A0" w14:paraId="7C3E23E2"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3721D559" w14:textId="77777777" w:rsidR="005E67A0" w:rsidRDefault="005E67A0" w:rsidP="005E67A0">
            <w:pPr>
              <w:spacing w:line="256" w:lineRule="auto"/>
              <w:rPr>
                <w:sz w:val="20"/>
              </w:rPr>
            </w:pPr>
            <w:r>
              <w:rPr>
                <w:sz w:val="20"/>
              </w:rPr>
              <w:t>Lever og galdeveje</w:t>
            </w:r>
          </w:p>
        </w:tc>
        <w:tc>
          <w:tcPr>
            <w:tcW w:w="1494" w:type="dxa"/>
            <w:tcBorders>
              <w:top w:val="single" w:sz="4" w:space="0" w:color="auto"/>
              <w:left w:val="single" w:sz="4" w:space="0" w:color="auto"/>
              <w:bottom w:val="single" w:sz="4" w:space="0" w:color="auto"/>
              <w:right w:val="single" w:sz="4" w:space="0" w:color="auto"/>
            </w:tcBorders>
          </w:tcPr>
          <w:p w14:paraId="28027D64" w14:textId="77777777" w:rsidR="005E67A0" w:rsidRDefault="005E67A0" w:rsidP="005E67A0">
            <w:pPr>
              <w:spacing w:line="256" w:lineRule="auto"/>
              <w:rPr>
                <w:sz w:val="20"/>
                <w:lang w:val="en-GB"/>
              </w:rPr>
            </w:pPr>
          </w:p>
        </w:tc>
        <w:tc>
          <w:tcPr>
            <w:tcW w:w="1544" w:type="dxa"/>
            <w:tcBorders>
              <w:top w:val="single" w:sz="4" w:space="0" w:color="auto"/>
              <w:left w:val="single" w:sz="4" w:space="0" w:color="auto"/>
              <w:bottom w:val="single" w:sz="4" w:space="0" w:color="auto"/>
              <w:right w:val="single" w:sz="4" w:space="0" w:color="auto"/>
            </w:tcBorders>
          </w:tcPr>
          <w:p w14:paraId="029138CD" w14:textId="77777777" w:rsidR="005E67A0" w:rsidRDefault="005E67A0" w:rsidP="005E67A0">
            <w:pPr>
              <w:spacing w:line="256" w:lineRule="auto"/>
              <w:rPr>
                <w:sz w:val="20"/>
                <w:lang w:val="en-GB"/>
              </w:rPr>
            </w:pPr>
          </w:p>
        </w:tc>
        <w:tc>
          <w:tcPr>
            <w:tcW w:w="1755" w:type="dxa"/>
            <w:tcBorders>
              <w:top w:val="single" w:sz="4" w:space="0" w:color="auto"/>
              <w:left w:val="single" w:sz="4" w:space="0" w:color="auto"/>
              <w:bottom w:val="single" w:sz="4" w:space="0" w:color="auto"/>
              <w:right w:val="single" w:sz="4" w:space="0" w:color="auto"/>
            </w:tcBorders>
          </w:tcPr>
          <w:p w14:paraId="183CD14A" w14:textId="77777777" w:rsidR="005E67A0" w:rsidRDefault="005E67A0" w:rsidP="005E67A0">
            <w:pPr>
              <w:spacing w:line="256" w:lineRule="auto"/>
              <w:ind w:right="-12"/>
              <w:rPr>
                <w:sz w:val="20"/>
                <w:lang w:val="en-GB"/>
              </w:rPr>
            </w:pPr>
          </w:p>
        </w:tc>
        <w:tc>
          <w:tcPr>
            <w:tcW w:w="1261" w:type="dxa"/>
            <w:tcBorders>
              <w:top w:val="single" w:sz="4" w:space="0" w:color="auto"/>
              <w:left w:val="single" w:sz="4" w:space="0" w:color="auto"/>
              <w:bottom w:val="single" w:sz="4" w:space="0" w:color="auto"/>
              <w:right w:val="single" w:sz="4" w:space="0" w:color="auto"/>
            </w:tcBorders>
            <w:hideMark/>
          </w:tcPr>
          <w:p w14:paraId="7035BBEE" w14:textId="77777777" w:rsidR="005E67A0" w:rsidRDefault="005E67A0" w:rsidP="005E67A0">
            <w:pPr>
              <w:spacing w:line="256" w:lineRule="auto"/>
              <w:ind w:left="-66"/>
              <w:rPr>
                <w:sz w:val="20"/>
              </w:rPr>
            </w:pPr>
            <w:r>
              <w:rPr>
                <w:sz w:val="20"/>
              </w:rPr>
              <w:t>Stigninger i serum-transaminaser og/eller basisk phosphatase (mildt eller moderat)</w:t>
            </w:r>
          </w:p>
        </w:tc>
        <w:tc>
          <w:tcPr>
            <w:tcW w:w="1706" w:type="dxa"/>
            <w:tcBorders>
              <w:top w:val="single" w:sz="4" w:space="0" w:color="auto"/>
              <w:left w:val="single" w:sz="4" w:space="0" w:color="auto"/>
              <w:bottom w:val="single" w:sz="4" w:space="0" w:color="auto"/>
              <w:right w:val="single" w:sz="4" w:space="0" w:color="auto"/>
            </w:tcBorders>
          </w:tcPr>
          <w:p w14:paraId="58778535" w14:textId="77777777" w:rsidR="005E67A0" w:rsidRDefault="005E67A0" w:rsidP="005E67A0">
            <w:pPr>
              <w:spacing w:line="256" w:lineRule="auto"/>
              <w:ind w:left="-66"/>
              <w:rPr>
                <w:sz w:val="20"/>
              </w:rPr>
            </w:pPr>
          </w:p>
        </w:tc>
      </w:tr>
      <w:tr w:rsidR="005E67A0" w14:paraId="32CBD0C3"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76F388F0" w14:textId="77777777" w:rsidR="005E67A0" w:rsidRDefault="005E67A0" w:rsidP="005E67A0">
            <w:pPr>
              <w:spacing w:line="256" w:lineRule="auto"/>
              <w:rPr>
                <w:sz w:val="20"/>
              </w:rPr>
            </w:pPr>
            <w:r>
              <w:rPr>
                <w:sz w:val="20"/>
              </w:rPr>
              <w:t>Hud og subkutane væv</w:t>
            </w:r>
          </w:p>
        </w:tc>
        <w:tc>
          <w:tcPr>
            <w:tcW w:w="1494" w:type="dxa"/>
            <w:tcBorders>
              <w:top w:val="single" w:sz="4" w:space="0" w:color="auto"/>
              <w:left w:val="single" w:sz="4" w:space="0" w:color="auto"/>
              <w:bottom w:val="single" w:sz="4" w:space="0" w:color="auto"/>
              <w:right w:val="single" w:sz="4" w:space="0" w:color="auto"/>
            </w:tcBorders>
          </w:tcPr>
          <w:p w14:paraId="77D9587E"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tcPr>
          <w:p w14:paraId="6824DCF9" w14:textId="77777777" w:rsidR="005E67A0" w:rsidRDefault="005E67A0" w:rsidP="005E67A0">
            <w:pPr>
              <w:spacing w:line="256" w:lineRule="auto"/>
              <w:rPr>
                <w:sz w:val="20"/>
              </w:rPr>
            </w:pPr>
          </w:p>
        </w:tc>
        <w:tc>
          <w:tcPr>
            <w:tcW w:w="1755" w:type="dxa"/>
            <w:tcBorders>
              <w:top w:val="single" w:sz="4" w:space="0" w:color="auto"/>
              <w:left w:val="single" w:sz="4" w:space="0" w:color="auto"/>
              <w:bottom w:val="single" w:sz="4" w:space="0" w:color="auto"/>
              <w:right w:val="single" w:sz="4" w:space="0" w:color="auto"/>
            </w:tcBorders>
            <w:hideMark/>
          </w:tcPr>
          <w:p w14:paraId="693E1864" w14:textId="77777777" w:rsidR="005E67A0" w:rsidRDefault="005E67A0" w:rsidP="005E67A0">
            <w:pPr>
              <w:spacing w:line="256" w:lineRule="auto"/>
              <w:ind w:right="-12"/>
              <w:rPr>
                <w:sz w:val="20"/>
              </w:rPr>
            </w:pPr>
            <w:r>
              <w:rPr>
                <w:sz w:val="20"/>
              </w:rPr>
              <w:t>Allergiske hudreaktioner (inklusive udslæt, pruritus, urticaria)</w:t>
            </w:r>
          </w:p>
        </w:tc>
        <w:tc>
          <w:tcPr>
            <w:tcW w:w="1261" w:type="dxa"/>
            <w:tcBorders>
              <w:top w:val="single" w:sz="4" w:space="0" w:color="auto"/>
              <w:left w:val="single" w:sz="4" w:space="0" w:color="auto"/>
              <w:bottom w:val="single" w:sz="4" w:space="0" w:color="auto"/>
              <w:right w:val="single" w:sz="4" w:space="0" w:color="auto"/>
            </w:tcBorders>
          </w:tcPr>
          <w:p w14:paraId="0E3AAFAA"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tcPr>
          <w:p w14:paraId="7C71BF7B" w14:textId="77777777" w:rsidR="005E67A0" w:rsidRDefault="005E67A0" w:rsidP="005E67A0">
            <w:pPr>
              <w:spacing w:line="256" w:lineRule="auto"/>
              <w:ind w:left="-66"/>
              <w:rPr>
                <w:sz w:val="20"/>
              </w:rPr>
            </w:pPr>
          </w:p>
        </w:tc>
      </w:tr>
      <w:tr w:rsidR="005E67A0" w14:paraId="52BB8C54"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5014A513" w14:textId="77777777" w:rsidR="005E67A0" w:rsidRDefault="005E67A0" w:rsidP="005E67A0">
            <w:pPr>
              <w:spacing w:line="256" w:lineRule="auto"/>
              <w:rPr>
                <w:sz w:val="20"/>
              </w:rPr>
            </w:pPr>
            <w:r>
              <w:rPr>
                <w:sz w:val="20"/>
              </w:rPr>
              <w:t>Knogler, led, muskler og bindevæv</w:t>
            </w:r>
          </w:p>
        </w:tc>
        <w:tc>
          <w:tcPr>
            <w:tcW w:w="1494" w:type="dxa"/>
            <w:tcBorders>
              <w:top w:val="single" w:sz="4" w:space="0" w:color="auto"/>
              <w:left w:val="single" w:sz="4" w:space="0" w:color="auto"/>
              <w:bottom w:val="single" w:sz="4" w:space="0" w:color="auto"/>
              <w:right w:val="single" w:sz="4" w:space="0" w:color="auto"/>
            </w:tcBorders>
          </w:tcPr>
          <w:p w14:paraId="430DBABF"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tcPr>
          <w:p w14:paraId="00C1F9FF" w14:textId="77777777" w:rsidR="005E67A0" w:rsidRDefault="005E67A0" w:rsidP="005E67A0">
            <w:pPr>
              <w:spacing w:line="256" w:lineRule="auto"/>
              <w:rPr>
                <w:sz w:val="20"/>
              </w:rPr>
            </w:pPr>
          </w:p>
        </w:tc>
        <w:tc>
          <w:tcPr>
            <w:tcW w:w="1755" w:type="dxa"/>
            <w:tcBorders>
              <w:top w:val="single" w:sz="4" w:space="0" w:color="auto"/>
              <w:left w:val="single" w:sz="4" w:space="0" w:color="auto"/>
              <w:bottom w:val="single" w:sz="4" w:space="0" w:color="auto"/>
              <w:right w:val="single" w:sz="4" w:space="0" w:color="auto"/>
            </w:tcBorders>
          </w:tcPr>
          <w:p w14:paraId="2CA05F7D" w14:textId="77777777" w:rsidR="005E67A0" w:rsidRDefault="005E67A0" w:rsidP="005E67A0">
            <w:pPr>
              <w:spacing w:line="256" w:lineRule="auto"/>
              <w:ind w:right="-12"/>
              <w:rPr>
                <w:sz w:val="20"/>
              </w:rPr>
            </w:pPr>
          </w:p>
        </w:tc>
        <w:tc>
          <w:tcPr>
            <w:tcW w:w="1261" w:type="dxa"/>
            <w:tcBorders>
              <w:top w:val="single" w:sz="4" w:space="0" w:color="auto"/>
              <w:left w:val="single" w:sz="4" w:space="0" w:color="auto"/>
              <w:bottom w:val="single" w:sz="4" w:space="0" w:color="auto"/>
              <w:right w:val="single" w:sz="4" w:space="0" w:color="auto"/>
            </w:tcBorders>
          </w:tcPr>
          <w:p w14:paraId="1F7C0C90"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hideMark/>
          </w:tcPr>
          <w:p w14:paraId="74FAC098" w14:textId="77777777" w:rsidR="005E67A0" w:rsidRDefault="005E67A0" w:rsidP="005E67A0">
            <w:pPr>
              <w:spacing w:line="256" w:lineRule="auto"/>
              <w:ind w:left="-66"/>
              <w:rPr>
                <w:sz w:val="20"/>
              </w:rPr>
            </w:pPr>
            <w:r>
              <w:rPr>
                <w:sz w:val="20"/>
              </w:rPr>
              <w:t>Muskelsvaghed</w:t>
            </w:r>
          </w:p>
        </w:tc>
      </w:tr>
      <w:tr w:rsidR="005E67A0" w14:paraId="08E17E52"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0003538D" w14:textId="77777777" w:rsidR="005E67A0" w:rsidRDefault="005E67A0" w:rsidP="005E67A0">
            <w:pPr>
              <w:spacing w:line="256" w:lineRule="auto"/>
              <w:rPr>
                <w:sz w:val="20"/>
              </w:rPr>
            </w:pPr>
            <w:r>
              <w:rPr>
                <w:sz w:val="20"/>
              </w:rPr>
              <w:t>Almene symptomer og reaktioner på administrationsstedet</w:t>
            </w:r>
          </w:p>
        </w:tc>
        <w:tc>
          <w:tcPr>
            <w:tcW w:w="1494" w:type="dxa"/>
            <w:tcBorders>
              <w:top w:val="single" w:sz="4" w:space="0" w:color="auto"/>
              <w:left w:val="single" w:sz="4" w:space="0" w:color="auto"/>
              <w:bottom w:val="single" w:sz="4" w:space="0" w:color="auto"/>
              <w:right w:val="single" w:sz="4" w:space="0" w:color="auto"/>
            </w:tcBorders>
          </w:tcPr>
          <w:p w14:paraId="1AA90451"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hideMark/>
          </w:tcPr>
          <w:p w14:paraId="611764D4" w14:textId="77777777" w:rsidR="005E67A0" w:rsidRDefault="005E67A0" w:rsidP="005E67A0">
            <w:pPr>
              <w:spacing w:line="256" w:lineRule="auto"/>
              <w:rPr>
                <w:sz w:val="20"/>
              </w:rPr>
            </w:pPr>
            <w:r>
              <w:rPr>
                <w:sz w:val="20"/>
              </w:rPr>
              <w:t>Svært ved at komme op om morgenen, træthed (asteni)</w:t>
            </w:r>
          </w:p>
        </w:tc>
        <w:tc>
          <w:tcPr>
            <w:tcW w:w="1755" w:type="dxa"/>
            <w:tcBorders>
              <w:top w:val="single" w:sz="4" w:space="0" w:color="auto"/>
              <w:left w:val="single" w:sz="4" w:space="0" w:color="auto"/>
              <w:bottom w:val="single" w:sz="4" w:space="0" w:color="auto"/>
              <w:right w:val="single" w:sz="4" w:space="0" w:color="auto"/>
            </w:tcBorders>
          </w:tcPr>
          <w:p w14:paraId="5983F2AB" w14:textId="77777777" w:rsidR="005E67A0" w:rsidRDefault="005E67A0" w:rsidP="005E67A0">
            <w:pPr>
              <w:spacing w:line="256" w:lineRule="auto"/>
              <w:ind w:right="-12"/>
              <w:rPr>
                <w:sz w:val="20"/>
              </w:rPr>
            </w:pPr>
          </w:p>
        </w:tc>
        <w:tc>
          <w:tcPr>
            <w:tcW w:w="1261" w:type="dxa"/>
            <w:tcBorders>
              <w:top w:val="single" w:sz="4" w:space="0" w:color="auto"/>
              <w:left w:val="single" w:sz="4" w:space="0" w:color="auto"/>
              <w:bottom w:val="single" w:sz="4" w:space="0" w:color="auto"/>
              <w:right w:val="single" w:sz="4" w:space="0" w:color="auto"/>
            </w:tcBorders>
          </w:tcPr>
          <w:p w14:paraId="36015D98"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tcPr>
          <w:p w14:paraId="6D705107" w14:textId="77777777" w:rsidR="005E67A0" w:rsidRDefault="005E67A0" w:rsidP="005E67A0">
            <w:pPr>
              <w:spacing w:line="256" w:lineRule="auto"/>
              <w:ind w:left="-66"/>
              <w:rPr>
                <w:sz w:val="20"/>
              </w:rPr>
            </w:pPr>
          </w:p>
        </w:tc>
      </w:tr>
      <w:tr w:rsidR="005E67A0" w14:paraId="023D4F63" w14:textId="77777777" w:rsidTr="005E67A0">
        <w:tc>
          <w:tcPr>
            <w:tcW w:w="2405" w:type="dxa"/>
            <w:tcBorders>
              <w:top w:val="single" w:sz="4" w:space="0" w:color="auto"/>
              <w:left w:val="single" w:sz="4" w:space="0" w:color="auto"/>
              <w:bottom w:val="single" w:sz="4" w:space="0" w:color="auto"/>
              <w:right w:val="single" w:sz="4" w:space="0" w:color="auto"/>
            </w:tcBorders>
            <w:hideMark/>
          </w:tcPr>
          <w:p w14:paraId="4DB7BE2B" w14:textId="77777777" w:rsidR="005E67A0" w:rsidRDefault="005E67A0" w:rsidP="005E67A0">
            <w:pPr>
              <w:spacing w:line="256" w:lineRule="auto"/>
              <w:rPr>
                <w:sz w:val="20"/>
              </w:rPr>
            </w:pPr>
            <w:r>
              <w:rPr>
                <w:sz w:val="20"/>
              </w:rPr>
              <w:t>Traumer, forgiftninger og behandlingskomplikationer</w:t>
            </w:r>
          </w:p>
        </w:tc>
        <w:tc>
          <w:tcPr>
            <w:tcW w:w="1494" w:type="dxa"/>
            <w:tcBorders>
              <w:top w:val="single" w:sz="4" w:space="0" w:color="auto"/>
              <w:left w:val="single" w:sz="4" w:space="0" w:color="auto"/>
              <w:bottom w:val="single" w:sz="4" w:space="0" w:color="auto"/>
              <w:right w:val="single" w:sz="4" w:space="0" w:color="auto"/>
            </w:tcBorders>
          </w:tcPr>
          <w:p w14:paraId="1D07622C" w14:textId="77777777" w:rsidR="005E67A0" w:rsidRDefault="005E67A0" w:rsidP="005E67A0">
            <w:pPr>
              <w:spacing w:line="256" w:lineRule="auto"/>
              <w:rPr>
                <w:sz w:val="20"/>
              </w:rPr>
            </w:pPr>
          </w:p>
        </w:tc>
        <w:tc>
          <w:tcPr>
            <w:tcW w:w="1544" w:type="dxa"/>
            <w:tcBorders>
              <w:top w:val="single" w:sz="4" w:space="0" w:color="auto"/>
              <w:left w:val="single" w:sz="4" w:space="0" w:color="auto"/>
              <w:bottom w:val="single" w:sz="4" w:space="0" w:color="auto"/>
              <w:right w:val="single" w:sz="4" w:space="0" w:color="auto"/>
            </w:tcBorders>
          </w:tcPr>
          <w:p w14:paraId="3F4DF0B3" w14:textId="77777777" w:rsidR="005E67A0" w:rsidRDefault="005E67A0" w:rsidP="005E67A0">
            <w:pPr>
              <w:spacing w:line="256" w:lineRule="auto"/>
              <w:rPr>
                <w:sz w:val="20"/>
              </w:rPr>
            </w:pPr>
          </w:p>
        </w:tc>
        <w:tc>
          <w:tcPr>
            <w:tcW w:w="1755" w:type="dxa"/>
            <w:tcBorders>
              <w:top w:val="single" w:sz="4" w:space="0" w:color="auto"/>
              <w:left w:val="single" w:sz="4" w:space="0" w:color="auto"/>
              <w:bottom w:val="single" w:sz="4" w:space="0" w:color="auto"/>
              <w:right w:val="single" w:sz="4" w:space="0" w:color="auto"/>
            </w:tcBorders>
            <w:hideMark/>
          </w:tcPr>
          <w:p w14:paraId="2C17DE24" w14:textId="77777777" w:rsidR="005E67A0" w:rsidRDefault="005E67A0" w:rsidP="005E67A0">
            <w:pPr>
              <w:spacing w:line="256" w:lineRule="auto"/>
              <w:ind w:right="-12"/>
              <w:rPr>
                <w:sz w:val="20"/>
              </w:rPr>
            </w:pPr>
            <w:r>
              <w:rPr>
                <w:sz w:val="20"/>
              </w:rPr>
              <w:t>Faldulykker (hovedsageligt hos ældre, se pkt. 4.4)</w:t>
            </w:r>
          </w:p>
        </w:tc>
        <w:tc>
          <w:tcPr>
            <w:tcW w:w="1261" w:type="dxa"/>
            <w:tcBorders>
              <w:top w:val="single" w:sz="4" w:space="0" w:color="auto"/>
              <w:left w:val="single" w:sz="4" w:space="0" w:color="auto"/>
              <w:bottom w:val="single" w:sz="4" w:space="0" w:color="auto"/>
              <w:right w:val="single" w:sz="4" w:space="0" w:color="auto"/>
            </w:tcBorders>
          </w:tcPr>
          <w:p w14:paraId="2AB1E020" w14:textId="77777777" w:rsidR="005E67A0" w:rsidRDefault="005E67A0" w:rsidP="005E67A0">
            <w:pPr>
              <w:spacing w:line="256" w:lineRule="auto"/>
              <w:ind w:left="-66"/>
              <w:rPr>
                <w:sz w:val="20"/>
              </w:rPr>
            </w:pPr>
          </w:p>
        </w:tc>
        <w:tc>
          <w:tcPr>
            <w:tcW w:w="1706" w:type="dxa"/>
            <w:tcBorders>
              <w:top w:val="single" w:sz="4" w:space="0" w:color="auto"/>
              <w:left w:val="single" w:sz="4" w:space="0" w:color="auto"/>
              <w:bottom w:val="single" w:sz="4" w:space="0" w:color="auto"/>
              <w:right w:val="single" w:sz="4" w:space="0" w:color="auto"/>
            </w:tcBorders>
          </w:tcPr>
          <w:p w14:paraId="04EFE553" w14:textId="77777777" w:rsidR="005E67A0" w:rsidRDefault="005E67A0" w:rsidP="005E67A0">
            <w:pPr>
              <w:spacing w:line="256" w:lineRule="auto"/>
              <w:ind w:left="-66"/>
              <w:rPr>
                <w:sz w:val="20"/>
              </w:rPr>
            </w:pPr>
          </w:p>
        </w:tc>
      </w:tr>
    </w:tbl>
    <w:p w14:paraId="0154E7F2" w14:textId="4EB8FBBB" w:rsidR="005E67A0" w:rsidRPr="005E67A0" w:rsidRDefault="005E67A0" w:rsidP="005E67A0">
      <w:pPr>
        <w:spacing w:line="256" w:lineRule="auto"/>
        <w:rPr>
          <w:sz w:val="20"/>
        </w:rPr>
      </w:pPr>
      <w:r w:rsidRPr="005E67A0">
        <w:rPr>
          <w:sz w:val="20"/>
        </w:rPr>
        <w:t>* Allerede eksisterende depression kan manifestere sig under brug af benzodiazepiner og benzodiazepinlignende midler</w:t>
      </w:r>
    </w:p>
    <w:p w14:paraId="299E1811" w14:textId="77777777" w:rsidR="005E67A0" w:rsidRDefault="005E67A0" w:rsidP="005E67A0">
      <w:pPr>
        <w:spacing w:line="256" w:lineRule="auto"/>
        <w:rPr>
          <w:szCs w:val="22"/>
        </w:rPr>
      </w:pPr>
    </w:p>
    <w:p w14:paraId="3152D38C" w14:textId="77777777" w:rsidR="005E67A0" w:rsidRPr="005E67A0" w:rsidRDefault="005E67A0" w:rsidP="005E67A0">
      <w:pPr>
        <w:spacing w:line="256" w:lineRule="auto"/>
        <w:ind w:left="851"/>
        <w:rPr>
          <w:sz w:val="24"/>
          <w:szCs w:val="24"/>
        </w:rPr>
      </w:pPr>
      <w:r w:rsidRPr="005E67A0">
        <w:rPr>
          <w:sz w:val="24"/>
          <w:szCs w:val="24"/>
        </w:rPr>
        <w:t>Brug af zopiclon kan føre til fysisk afhængighed selv ved terapeutiske doser, og seponering af behandlingen kan forårsage abstinenssymptomer eller rebound-effekt (se pkt. 4.4). Psykologisk afhængighed kan også forekomme. Misbrug er forekommet.</w:t>
      </w:r>
    </w:p>
    <w:p w14:paraId="518A65A0" w14:textId="77777777" w:rsidR="005E67A0" w:rsidRPr="005E67A0" w:rsidRDefault="005E67A0" w:rsidP="005E67A0">
      <w:pPr>
        <w:spacing w:line="256" w:lineRule="auto"/>
        <w:ind w:left="851"/>
        <w:rPr>
          <w:sz w:val="24"/>
          <w:szCs w:val="24"/>
        </w:rPr>
      </w:pPr>
    </w:p>
    <w:p w14:paraId="45697950" w14:textId="77777777" w:rsidR="005E67A0" w:rsidRPr="005E67A0" w:rsidRDefault="005E67A0" w:rsidP="005E67A0">
      <w:pPr>
        <w:ind w:left="851"/>
        <w:rPr>
          <w:rFonts w:eastAsia="Calibri" w:cs="Arial"/>
          <w:sz w:val="24"/>
          <w:szCs w:val="24"/>
          <w:u w:val="single"/>
        </w:rPr>
      </w:pPr>
      <w:r w:rsidRPr="005E67A0">
        <w:rPr>
          <w:sz w:val="24"/>
          <w:szCs w:val="24"/>
          <w:u w:val="single"/>
        </w:rPr>
        <w:t xml:space="preserve">Beskrivelse af udvalgte bivirkninger </w:t>
      </w:r>
    </w:p>
    <w:p w14:paraId="7A5FCD79" w14:textId="77777777" w:rsidR="005E67A0" w:rsidRPr="005E67A0" w:rsidRDefault="005E67A0" w:rsidP="005E67A0">
      <w:pPr>
        <w:ind w:left="851"/>
        <w:rPr>
          <w:sz w:val="24"/>
          <w:szCs w:val="24"/>
        </w:rPr>
      </w:pPr>
      <w:r w:rsidRPr="005E67A0">
        <w:rPr>
          <w:sz w:val="24"/>
          <w:szCs w:val="24"/>
        </w:rPr>
        <w:t>Der er rapporteret om abstinenser i forbindelse med seponering af zopiclon (se pkt. 4.4 Særlige advarsler og forsigtighedsregler vedrørende brugen). Abstinenssymptomerne varierer og omfatter søvnbesvær, angst, tremor,</w:t>
      </w:r>
      <w:bookmarkStart w:id="6" w:name="page5"/>
      <w:bookmarkEnd w:id="6"/>
      <w:r w:rsidRPr="005E67A0">
        <w:rPr>
          <w:sz w:val="24"/>
          <w:szCs w:val="24"/>
        </w:rPr>
        <w:t xml:space="preserve"> svedtendens, agitation, konfusion, hovedpine, palpitationer, takykardi, delirium, mareridt, hallucinationer og irritabilitet. I meget sjældne tilfælde er der desuden registreret anfald.</w:t>
      </w:r>
    </w:p>
    <w:p w14:paraId="485A8BE0" w14:textId="77777777" w:rsidR="005E67A0" w:rsidRPr="005E67A0" w:rsidRDefault="005E67A0" w:rsidP="005E67A0">
      <w:pPr>
        <w:spacing w:line="0" w:lineRule="atLeast"/>
        <w:ind w:left="851"/>
        <w:rPr>
          <w:sz w:val="24"/>
          <w:szCs w:val="24"/>
          <w:u w:val="single"/>
        </w:rPr>
      </w:pPr>
    </w:p>
    <w:p w14:paraId="54B4E006" w14:textId="77777777" w:rsidR="005E67A0" w:rsidRPr="005E67A0" w:rsidRDefault="005E67A0" w:rsidP="005E67A0">
      <w:pPr>
        <w:spacing w:line="0" w:lineRule="atLeast"/>
        <w:ind w:left="851"/>
        <w:rPr>
          <w:sz w:val="24"/>
          <w:szCs w:val="24"/>
          <w:u w:val="single"/>
        </w:rPr>
      </w:pPr>
      <w:r w:rsidRPr="005E67A0">
        <w:rPr>
          <w:sz w:val="24"/>
          <w:szCs w:val="24"/>
          <w:u w:val="single"/>
        </w:rPr>
        <w:t>Indberetning af formodede bivirkninger</w:t>
      </w:r>
    </w:p>
    <w:p w14:paraId="3A03233E" w14:textId="2FF70E9D" w:rsidR="005E67A0" w:rsidRDefault="005E67A0" w:rsidP="005E67A0">
      <w:pPr>
        <w:spacing w:line="242" w:lineRule="auto"/>
        <w:ind w:left="851"/>
        <w:jc w:val="both"/>
        <w:rPr>
          <w:sz w:val="24"/>
          <w:szCs w:val="24"/>
        </w:rPr>
      </w:pPr>
      <w:r w:rsidRPr="005E67A0">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3F85A1B" w14:textId="77777777" w:rsidR="005E67A0" w:rsidRPr="005E67A0" w:rsidRDefault="005E67A0" w:rsidP="005E67A0">
      <w:pPr>
        <w:spacing w:line="242" w:lineRule="auto"/>
        <w:ind w:left="851"/>
        <w:jc w:val="both"/>
        <w:rPr>
          <w:rFonts w:eastAsia="Calibri" w:cs="Arial"/>
          <w:sz w:val="24"/>
          <w:szCs w:val="24"/>
        </w:rPr>
      </w:pPr>
    </w:p>
    <w:p w14:paraId="256BCBEE" w14:textId="77777777" w:rsidR="005E67A0" w:rsidRPr="005E67A0" w:rsidRDefault="005E67A0" w:rsidP="005E67A0">
      <w:pPr>
        <w:spacing w:line="242" w:lineRule="auto"/>
        <w:ind w:left="851"/>
        <w:jc w:val="both"/>
        <w:rPr>
          <w:sz w:val="24"/>
          <w:szCs w:val="24"/>
        </w:rPr>
      </w:pPr>
      <w:r w:rsidRPr="005E67A0">
        <w:rPr>
          <w:sz w:val="24"/>
          <w:szCs w:val="24"/>
        </w:rPr>
        <w:t>Lægemiddelstyrelsen</w:t>
      </w:r>
    </w:p>
    <w:p w14:paraId="337B2B19" w14:textId="77777777" w:rsidR="005E67A0" w:rsidRPr="005E67A0" w:rsidRDefault="005E67A0" w:rsidP="005E67A0">
      <w:pPr>
        <w:spacing w:line="242" w:lineRule="auto"/>
        <w:ind w:left="851"/>
        <w:jc w:val="both"/>
        <w:rPr>
          <w:sz w:val="24"/>
          <w:szCs w:val="24"/>
        </w:rPr>
      </w:pPr>
      <w:r w:rsidRPr="005E67A0">
        <w:rPr>
          <w:sz w:val="24"/>
          <w:szCs w:val="24"/>
        </w:rPr>
        <w:t>Axel Heides Gade 1</w:t>
      </w:r>
    </w:p>
    <w:p w14:paraId="17313C6B" w14:textId="77777777" w:rsidR="005E67A0" w:rsidRPr="005E67A0" w:rsidRDefault="005E67A0" w:rsidP="005E67A0">
      <w:pPr>
        <w:spacing w:line="242" w:lineRule="auto"/>
        <w:ind w:left="851"/>
        <w:jc w:val="both"/>
        <w:rPr>
          <w:sz w:val="24"/>
          <w:szCs w:val="24"/>
        </w:rPr>
      </w:pPr>
      <w:r w:rsidRPr="005E67A0">
        <w:rPr>
          <w:sz w:val="24"/>
          <w:szCs w:val="24"/>
        </w:rPr>
        <w:t>DK-2300 København S</w:t>
      </w:r>
    </w:p>
    <w:p w14:paraId="56E7A2A5" w14:textId="3EA0E508" w:rsidR="005E67A0" w:rsidRPr="005E67A0" w:rsidRDefault="005E67A0" w:rsidP="005E67A0">
      <w:pPr>
        <w:spacing w:line="242" w:lineRule="auto"/>
        <w:ind w:left="851"/>
        <w:jc w:val="both"/>
        <w:rPr>
          <w:sz w:val="24"/>
          <w:szCs w:val="24"/>
        </w:rPr>
      </w:pPr>
      <w:r w:rsidRPr="005E67A0">
        <w:rPr>
          <w:sz w:val="24"/>
          <w:szCs w:val="24"/>
        </w:rPr>
        <w:t>Websted: www.meldenbivirkning.dk</w:t>
      </w:r>
    </w:p>
    <w:p w14:paraId="26BA2797" w14:textId="77777777" w:rsidR="009260DE" w:rsidRPr="005E67A0" w:rsidRDefault="009260DE" w:rsidP="005E67A0">
      <w:pPr>
        <w:tabs>
          <w:tab w:val="left" w:pos="851"/>
        </w:tabs>
        <w:ind w:left="851"/>
        <w:rPr>
          <w:sz w:val="24"/>
          <w:szCs w:val="24"/>
        </w:rPr>
      </w:pPr>
    </w:p>
    <w:p w14:paraId="4E8D978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C773873" w14:textId="77777777" w:rsidR="005E67A0" w:rsidRPr="005E67A0" w:rsidRDefault="005E67A0" w:rsidP="005E67A0">
      <w:pPr>
        <w:tabs>
          <w:tab w:val="left" w:pos="851"/>
        </w:tabs>
        <w:ind w:left="851"/>
        <w:rPr>
          <w:sz w:val="24"/>
          <w:szCs w:val="24"/>
        </w:rPr>
      </w:pPr>
    </w:p>
    <w:p w14:paraId="64BD7FAC" w14:textId="77777777" w:rsidR="005E67A0" w:rsidRPr="005E67A0" w:rsidRDefault="005E67A0" w:rsidP="005E67A0">
      <w:pPr>
        <w:tabs>
          <w:tab w:val="left" w:pos="851"/>
        </w:tabs>
        <w:ind w:left="851"/>
        <w:rPr>
          <w:iCs/>
          <w:sz w:val="24"/>
          <w:szCs w:val="24"/>
          <w:u w:val="single"/>
        </w:rPr>
      </w:pPr>
      <w:r w:rsidRPr="005E67A0">
        <w:rPr>
          <w:sz w:val="24"/>
          <w:szCs w:val="24"/>
          <w:u w:val="single"/>
        </w:rPr>
        <w:t>Toksisitet</w:t>
      </w:r>
    </w:p>
    <w:p w14:paraId="54D7D8E7" w14:textId="77777777" w:rsidR="005E67A0" w:rsidRPr="005E67A0" w:rsidRDefault="005E67A0" w:rsidP="005E67A0">
      <w:pPr>
        <w:tabs>
          <w:tab w:val="left" w:pos="851"/>
        </w:tabs>
        <w:ind w:left="851"/>
        <w:rPr>
          <w:sz w:val="24"/>
          <w:szCs w:val="24"/>
        </w:rPr>
      </w:pPr>
      <w:r w:rsidRPr="005E67A0">
        <w:rPr>
          <w:sz w:val="24"/>
          <w:szCs w:val="24"/>
        </w:rPr>
        <w:t>Store individuelle variationer. 5 mg forårsagede mild forgiftning hos 1½</w:t>
      </w:r>
      <w:r w:rsidRPr="005E67A0">
        <w:rPr>
          <w:sz w:val="24"/>
          <w:szCs w:val="24"/>
        </w:rPr>
        <w:noBreakHyphen/>
        <w:t>årige børn. Ca. 30 mg forårsagede moderat forgiftning hos 6</w:t>
      </w:r>
      <w:r w:rsidRPr="005E67A0">
        <w:rPr>
          <w:sz w:val="24"/>
          <w:szCs w:val="24"/>
        </w:rPr>
        <w:noBreakHyphen/>
        <w:t>årige børn. 22,5</w:t>
      </w:r>
      <w:r w:rsidRPr="005E67A0">
        <w:rPr>
          <w:sz w:val="24"/>
          <w:szCs w:val="24"/>
        </w:rPr>
        <w:noBreakHyphen/>
        <w:t>50 mg hos voksne og 40 mg hos ældre forårsagede mild forgiftning. &gt; 50</w:t>
      </w:r>
      <w:r w:rsidRPr="005E67A0">
        <w:rPr>
          <w:sz w:val="24"/>
          <w:szCs w:val="24"/>
        </w:rPr>
        <w:noBreakHyphen/>
        <w:t>&gt; 100 mg forårsagede mild til moderat forgiftning hos voksne. 100 mg forårsagede dyb bevidstløshed hos voksne. 187 mg og alkohol forårsagede alvorlig forgiftning hos voksne.</w:t>
      </w:r>
    </w:p>
    <w:p w14:paraId="77A8F393" w14:textId="77777777" w:rsidR="005E67A0" w:rsidRPr="005E67A0" w:rsidRDefault="005E67A0" w:rsidP="005E67A0">
      <w:pPr>
        <w:tabs>
          <w:tab w:val="left" w:pos="851"/>
        </w:tabs>
        <w:ind w:left="851"/>
        <w:rPr>
          <w:sz w:val="24"/>
          <w:szCs w:val="24"/>
        </w:rPr>
      </w:pPr>
    </w:p>
    <w:p w14:paraId="2795508E" w14:textId="77777777" w:rsidR="005E67A0" w:rsidRPr="005E67A0" w:rsidRDefault="005E67A0" w:rsidP="005E67A0">
      <w:pPr>
        <w:tabs>
          <w:tab w:val="left" w:pos="851"/>
        </w:tabs>
        <w:ind w:left="851"/>
        <w:rPr>
          <w:iCs/>
          <w:sz w:val="24"/>
          <w:szCs w:val="24"/>
          <w:u w:val="single"/>
        </w:rPr>
      </w:pPr>
      <w:r w:rsidRPr="005E67A0">
        <w:rPr>
          <w:sz w:val="24"/>
          <w:szCs w:val="24"/>
          <w:u w:val="single"/>
        </w:rPr>
        <w:t>Symptomer</w:t>
      </w:r>
    </w:p>
    <w:p w14:paraId="26401EB2" w14:textId="77777777" w:rsidR="005E67A0" w:rsidRPr="005E67A0" w:rsidRDefault="005E67A0" w:rsidP="005E67A0">
      <w:pPr>
        <w:tabs>
          <w:tab w:val="left" w:pos="851"/>
        </w:tabs>
        <w:ind w:left="851"/>
        <w:rPr>
          <w:sz w:val="24"/>
          <w:szCs w:val="24"/>
        </w:rPr>
      </w:pPr>
      <w:r w:rsidRPr="005E67A0">
        <w:rPr>
          <w:sz w:val="24"/>
          <w:szCs w:val="24"/>
        </w:rPr>
        <w:t xml:space="preserve">Overdosering manifesterer sig sædvanligvis som forskellige grader af depression af centralnervesystemet (hos ældre sommetider meget langvarig), der varierer fra døsighed til koma. I milde tilfælde omfatter symptomerne træthed, døsighed, somnolens, konfusion, letargi og bevidstløshed, som undertiden går forud for eller efterfølges af agitation og hallucinationer. I mere alvorlige tilfælde omfatter symptomerne ataksi, muskelsvaghed (hypotoni), hypotension, methæmoglobinæmi, respirationsdepression (hovedsageligt i kombination med alkohol eller CNS-depressiva) og koma. </w:t>
      </w:r>
    </w:p>
    <w:p w14:paraId="04E6549B" w14:textId="77777777" w:rsidR="005E67A0" w:rsidRPr="005E67A0" w:rsidRDefault="005E67A0" w:rsidP="005E67A0">
      <w:pPr>
        <w:tabs>
          <w:tab w:val="left" w:pos="851"/>
        </w:tabs>
        <w:ind w:left="851"/>
        <w:rPr>
          <w:sz w:val="24"/>
          <w:szCs w:val="24"/>
        </w:rPr>
      </w:pPr>
      <w:r w:rsidRPr="005E67A0">
        <w:rPr>
          <w:sz w:val="24"/>
          <w:szCs w:val="24"/>
        </w:rPr>
        <w:t>Andre risikofaktorer, som f.eks. tilstedeværelsen af andre sygdomme eller en svækket almentilstand hos patienten, kan bidrage til symptomernes sværhedsgrad og kan i meget sjældne tilfælde have fatale følger.</w:t>
      </w:r>
    </w:p>
    <w:p w14:paraId="13486BCB" w14:textId="77777777" w:rsidR="005E67A0" w:rsidRPr="005E67A0" w:rsidRDefault="005E67A0" w:rsidP="005E67A0">
      <w:pPr>
        <w:tabs>
          <w:tab w:val="left" w:pos="851"/>
        </w:tabs>
        <w:ind w:left="851"/>
        <w:rPr>
          <w:sz w:val="24"/>
          <w:szCs w:val="24"/>
        </w:rPr>
      </w:pPr>
    </w:p>
    <w:p w14:paraId="5C5C0809" w14:textId="77777777" w:rsidR="005E67A0" w:rsidRPr="005E67A0" w:rsidRDefault="005E67A0" w:rsidP="005E67A0">
      <w:pPr>
        <w:tabs>
          <w:tab w:val="left" w:pos="851"/>
        </w:tabs>
        <w:ind w:left="851"/>
        <w:rPr>
          <w:iCs/>
          <w:sz w:val="24"/>
          <w:szCs w:val="24"/>
          <w:u w:val="single"/>
        </w:rPr>
      </w:pPr>
      <w:r w:rsidRPr="005E67A0">
        <w:rPr>
          <w:sz w:val="24"/>
          <w:szCs w:val="24"/>
          <w:u w:val="single"/>
        </w:rPr>
        <w:t xml:space="preserve">Behandling </w:t>
      </w:r>
    </w:p>
    <w:p w14:paraId="51AD3170" w14:textId="77777777" w:rsidR="005E67A0" w:rsidRPr="005E67A0" w:rsidRDefault="005E67A0" w:rsidP="005E67A0">
      <w:pPr>
        <w:tabs>
          <w:tab w:val="left" w:pos="851"/>
        </w:tabs>
        <w:ind w:left="851"/>
        <w:rPr>
          <w:sz w:val="24"/>
          <w:szCs w:val="24"/>
        </w:rPr>
      </w:pPr>
      <w:r w:rsidRPr="005E67A0">
        <w:rPr>
          <w:sz w:val="24"/>
          <w:szCs w:val="24"/>
        </w:rPr>
        <w:t>Det anbefales at give symptomatisk og understøttende behandling i passende kliniske rammer, og der skal lægges vægt på de respiratoriske og kardiovaskulære funktioner.  Ventrikelskylning eller aktivt kul er kun nyttigt, hvis det udføres kort tid efter indtagelse. Flumazenil kan være anvendelig som antidot til at lindre CNS- og respirationsdepression og er primært indiceret ved alvorlig forgiftning for at undgå intubation og respiratorbehandling. Bemærk, at virkningsvarigheden for flumazenil er kortere end for zopiclon. Hæmodialyse er ikke anvendelig til behandling af overdosis på grund af zopiclons store fordelingsvolumen.</w:t>
      </w:r>
    </w:p>
    <w:p w14:paraId="7C4E6C4D" w14:textId="77777777" w:rsidR="005E67A0" w:rsidRPr="005E67A0" w:rsidRDefault="005E67A0" w:rsidP="005E67A0">
      <w:pPr>
        <w:tabs>
          <w:tab w:val="left" w:pos="851"/>
        </w:tabs>
        <w:ind w:left="851"/>
        <w:rPr>
          <w:sz w:val="24"/>
          <w:szCs w:val="24"/>
        </w:rPr>
      </w:pPr>
    </w:p>
    <w:p w14:paraId="02C351C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A243248" w14:textId="42460F77" w:rsidR="009260DE" w:rsidRPr="00C84483" w:rsidRDefault="005E67A0" w:rsidP="009260DE">
      <w:pPr>
        <w:tabs>
          <w:tab w:val="left" w:pos="851"/>
        </w:tabs>
        <w:ind w:left="851"/>
        <w:rPr>
          <w:sz w:val="24"/>
          <w:szCs w:val="24"/>
        </w:rPr>
      </w:pPr>
      <w:r>
        <w:rPr>
          <w:sz w:val="24"/>
          <w:szCs w:val="24"/>
        </w:rPr>
        <w:t>A</w:t>
      </w:r>
    </w:p>
    <w:p w14:paraId="79A9AD7A" w14:textId="77777777" w:rsidR="009260DE" w:rsidRPr="00C84483" w:rsidRDefault="009260DE" w:rsidP="009260DE">
      <w:pPr>
        <w:tabs>
          <w:tab w:val="left" w:pos="851"/>
        </w:tabs>
        <w:ind w:left="851"/>
        <w:rPr>
          <w:sz w:val="24"/>
          <w:szCs w:val="24"/>
        </w:rPr>
      </w:pPr>
    </w:p>
    <w:p w14:paraId="7D711070" w14:textId="77777777" w:rsidR="009260DE" w:rsidRPr="00C84483" w:rsidRDefault="009260DE" w:rsidP="009260DE">
      <w:pPr>
        <w:tabs>
          <w:tab w:val="left" w:pos="851"/>
        </w:tabs>
        <w:ind w:left="851"/>
        <w:rPr>
          <w:sz w:val="24"/>
          <w:szCs w:val="24"/>
        </w:rPr>
      </w:pPr>
    </w:p>
    <w:p w14:paraId="759080E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3AE5DF6" w14:textId="77777777" w:rsidR="009260DE" w:rsidRPr="00C84483" w:rsidRDefault="009260DE" w:rsidP="009260DE">
      <w:pPr>
        <w:tabs>
          <w:tab w:val="left" w:pos="851"/>
        </w:tabs>
        <w:ind w:left="851"/>
        <w:rPr>
          <w:sz w:val="24"/>
          <w:szCs w:val="24"/>
        </w:rPr>
      </w:pPr>
    </w:p>
    <w:p w14:paraId="13576ED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CF554FA" w14:textId="62806696" w:rsidR="002A4B25" w:rsidRPr="002A4B25" w:rsidRDefault="002A4B25" w:rsidP="002A4B25">
      <w:pPr>
        <w:tabs>
          <w:tab w:val="left" w:pos="851"/>
        </w:tabs>
        <w:ind w:left="851"/>
        <w:rPr>
          <w:sz w:val="24"/>
          <w:szCs w:val="24"/>
        </w:rPr>
      </w:pPr>
      <w:r w:rsidRPr="002A4B25">
        <w:rPr>
          <w:sz w:val="24"/>
          <w:szCs w:val="24"/>
        </w:rPr>
        <w:t>Farmakoterapeutisk klassifikation: Hypnotika og sedativa, benzodiazepin-relaterede lægemidler ATC-kode: N05CF01</w:t>
      </w:r>
      <w:r>
        <w:rPr>
          <w:sz w:val="24"/>
          <w:szCs w:val="24"/>
        </w:rPr>
        <w:t>.</w:t>
      </w:r>
    </w:p>
    <w:p w14:paraId="4AC9F58D" w14:textId="77777777" w:rsidR="002A4B25" w:rsidRPr="002A4B25" w:rsidRDefault="002A4B25" w:rsidP="002A4B25">
      <w:pPr>
        <w:tabs>
          <w:tab w:val="left" w:pos="851"/>
        </w:tabs>
        <w:ind w:left="851"/>
        <w:rPr>
          <w:sz w:val="24"/>
          <w:szCs w:val="24"/>
        </w:rPr>
      </w:pPr>
    </w:p>
    <w:p w14:paraId="40DE104B" w14:textId="77777777" w:rsidR="002A4B25" w:rsidRPr="002A4B25" w:rsidRDefault="002A4B25" w:rsidP="002A4B25">
      <w:pPr>
        <w:tabs>
          <w:tab w:val="left" w:pos="851"/>
        </w:tabs>
        <w:ind w:left="851"/>
        <w:rPr>
          <w:sz w:val="24"/>
          <w:szCs w:val="24"/>
        </w:rPr>
      </w:pPr>
      <w:r w:rsidRPr="002A4B25">
        <w:rPr>
          <w:sz w:val="24"/>
          <w:szCs w:val="24"/>
        </w:rPr>
        <w:t>Zopiclon er et benzodiazepinlignende hypnotikum, som hører til gruppen af cyclopyrroloner. Dets farmakologiske egenskaber er: hypnose, sedation, anxiolyse, antikonvulsion, muskelafslapning. Zopiclon har en høj affinitet til bindingsstedet i det makromolekylære GABA</w:t>
      </w:r>
      <w:r w:rsidRPr="002A4B25">
        <w:rPr>
          <w:sz w:val="24"/>
          <w:szCs w:val="24"/>
          <w:vertAlign w:val="subscript"/>
        </w:rPr>
        <w:t xml:space="preserve">A </w:t>
      </w:r>
      <w:r w:rsidRPr="002A4B25">
        <w:rPr>
          <w:sz w:val="24"/>
          <w:szCs w:val="24"/>
        </w:rPr>
        <w:t>-receptorkompleks, hvor det inducerer specifikke konformationsændringer og forbedrer den normale transmission af neurotransmitteren GABA i CNS. Zopiclon virker hurtigt (inden for ca. 30 minutter), forkorter indsovningstiden, forlænger søvnens varighed og reducerer antallet af opvågninger i løbet af natten. Mængden af REM-søvn og dyb søvn (stadie III og IV) opretholdes ved den anbefalede dosis.</w:t>
      </w:r>
    </w:p>
    <w:p w14:paraId="5FEA60DA" w14:textId="77777777" w:rsidR="009260DE" w:rsidRPr="00C84483" w:rsidRDefault="009260DE" w:rsidP="009260DE">
      <w:pPr>
        <w:tabs>
          <w:tab w:val="left" w:pos="851"/>
        </w:tabs>
        <w:ind w:left="851"/>
        <w:rPr>
          <w:sz w:val="24"/>
          <w:szCs w:val="24"/>
        </w:rPr>
      </w:pPr>
    </w:p>
    <w:p w14:paraId="3D92759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8AD6922" w14:textId="77777777" w:rsidR="002A4B25" w:rsidRPr="002A4B25" w:rsidRDefault="002A4B25" w:rsidP="002A4B25">
      <w:pPr>
        <w:tabs>
          <w:tab w:val="left" w:pos="851"/>
        </w:tabs>
        <w:ind w:left="851"/>
        <w:rPr>
          <w:sz w:val="24"/>
          <w:szCs w:val="24"/>
        </w:rPr>
      </w:pPr>
    </w:p>
    <w:p w14:paraId="1FA70549" w14:textId="77777777" w:rsidR="002A4B25" w:rsidRPr="002A4B25" w:rsidRDefault="002A4B25" w:rsidP="002A4B25">
      <w:pPr>
        <w:tabs>
          <w:tab w:val="left" w:pos="851"/>
        </w:tabs>
        <w:ind w:left="851"/>
        <w:rPr>
          <w:sz w:val="24"/>
          <w:szCs w:val="24"/>
          <w:u w:val="single"/>
        </w:rPr>
      </w:pPr>
      <w:r w:rsidRPr="002A4B25">
        <w:rPr>
          <w:sz w:val="24"/>
          <w:szCs w:val="24"/>
          <w:u w:val="single"/>
        </w:rPr>
        <w:t>Absorption</w:t>
      </w:r>
    </w:p>
    <w:p w14:paraId="65828361" w14:textId="77777777" w:rsidR="002A4B25" w:rsidRPr="002A4B25" w:rsidRDefault="002A4B25" w:rsidP="002A4B25">
      <w:pPr>
        <w:tabs>
          <w:tab w:val="left" w:pos="851"/>
        </w:tabs>
        <w:ind w:left="851"/>
        <w:rPr>
          <w:sz w:val="24"/>
          <w:szCs w:val="24"/>
        </w:rPr>
      </w:pPr>
      <w:bookmarkStart w:id="7" w:name="page6"/>
      <w:bookmarkEnd w:id="7"/>
      <w:r w:rsidRPr="002A4B25">
        <w:rPr>
          <w:sz w:val="24"/>
          <w:szCs w:val="24"/>
        </w:rPr>
        <w:t>Biotilgængeligheden for zopiclon er ca. 80 %. Maksimal plasmakoncentration nås inden for 1,5</w:t>
      </w:r>
      <w:r w:rsidRPr="002A4B25">
        <w:rPr>
          <w:sz w:val="24"/>
          <w:szCs w:val="24"/>
        </w:rPr>
        <w:noBreakHyphen/>
        <w:t>2 timer og er ca. 30 ng og 60 ng/ml efter en dosis på henholdsvis 3,75 mg og 7,5 mg. Optagelsen er den samme hos kvinder og mænd og påvirkes ikke af samtidig fødeindtagelse. Absorptionen kan blive forsinket, hvis zopiclon indtages horisontalt.</w:t>
      </w:r>
    </w:p>
    <w:p w14:paraId="5AF7137A" w14:textId="77777777" w:rsidR="002A4B25" w:rsidRPr="002A4B25" w:rsidRDefault="002A4B25" w:rsidP="002A4B25">
      <w:pPr>
        <w:tabs>
          <w:tab w:val="left" w:pos="851"/>
        </w:tabs>
        <w:ind w:left="851"/>
        <w:rPr>
          <w:sz w:val="24"/>
          <w:szCs w:val="24"/>
        </w:rPr>
      </w:pPr>
    </w:p>
    <w:p w14:paraId="53B31718" w14:textId="77777777" w:rsidR="002A4B25" w:rsidRPr="002A4B25" w:rsidRDefault="002A4B25" w:rsidP="002A4B25">
      <w:pPr>
        <w:tabs>
          <w:tab w:val="left" w:pos="851"/>
        </w:tabs>
        <w:ind w:left="851"/>
        <w:rPr>
          <w:sz w:val="24"/>
          <w:szCs w:val="24"/>
          <w:u w:val="single"/>
        </w:rPr>
      </w:pPr>
      <w:r w:rsidRPr="002A4B25">
        <w:rPr>
          <w:sz w:val="24"/>
          <w:szCs w:val="24"/>
          <w:u w:val="single"/>
        </w:rPr>
        <w:t>Fordeling</w:t>
      </w:r>
    </w:p>
    <w:p w14:paraId="1889E384" w14:textId="77777777" w:rsidR="002A4B25" w:rsidRPr="002A4B25" w:rsidRDefault="002A4B25" w:rsidP="002A4B25">
      <w:pPr>
        <w:tabs>
          <w:tab w:val="left" w:pos="851"/>
        </w:tabs>
        <w:ind w:left="851"/>
        <w:rPr>
          <w:sz w:val="24"/>
          <w:szCs w:val="24"/>
        </w:rPr>
      </w:pPr>
      <w:r w:rsidRPr="002A4B25">
        <w:rPr>
          <w:sz w:val="24"/>
          <w:szCs w:val="24"/>
        </w:rPr>
        <w:t>Zopiclon fordeles hurtigt fra karbanen. Fordelingsvolumenet er 1,3 l/kg, og proteinbindingsniveauet er ca. 45 % og er ikke mættet. Mindre end 1 % af den dosis, som moderen indtager, kan forventes at nå et ammende barn via modermælken.</w:t>
      </w:r>
    </w:p>
    <w:p w14:paraId="7CE9F2BA" w14:textId="77777777" w:rsidR="002A4B25" w:rsidRPr="002A4B25" w:rsidRDefault="002A4B25" w:rsidP="002A4B25">
      <w:pPr>
        <w:tabs>
          <w:tab w:val="left" w:pos="851"/>
        </w:tabs>
        <w:ind w:left="851"/>
        <w:rPr>
          <w:sz w:val="24"/>
          <w:szCs w:val="24"/>
        </w:rPr>
      </w:pPr>
    </w:p>
    <w:p w14:paraId="3611B71E" w14:textId="77777777" w:rsidR="002A4B25" w:rsidRPr="002A4B25" w:rsidRDefault="002A4B25" w:rsidP="002A4B25">
      <w:pPr>
        <w:tabs>
          <w:tab w:val="left" w:pos="851"/>
        </w:tabs>
        <w:ind w:left="851"/>
        <w:rPr>
          <w:sz w:val="24"/>
          <w:szCs w:val="24"/>
          <w:u w:val="single"/>
        </w:rPr>
      </w:pPr>
      <w:r w:rsidRPr="002A4B25">
        <w:rPr>
          <w:sz w:val="24"/>
          <w:szCs w:val="24"/>
          <w:u w:val="single"/>
        </w:rPr>
        <w:t>Biotransformation</w:t>
      </w:r>
    </w:p>
    <w:p w14:paraId="60AAC2F4" w14:textId="77777777" w:rsidR="002A4B25" w:rsidRPr="002A4B25" w:rsidRDefault="002A4B25" w:rsidP="002A4B25">
      <w:pPr>
        <w:tabs>
          <w:tab w:val="left" w:pos="851"/>
        </w:tabs>
        <w:ind w:left="851"/>
        <w:rPr>
          <w:sz w:val="24"/>
          <w:szCs w:val="24"/>
        </w:rPr>
      </w:pPr>
      <w:r w:rsidRPr="002A4B25">
        <w:rPr>
          <w:sz w:val="24"/>
          <w:szCs w:val="24"/>
        </w:rPr>
        <w:t>Der er ingen akkumulering efter gentagen administration, og variationerne mellem individer synes at være små.</w:t>
      </w:r>
    </w:p>
    <w:p w14:paraId="1205E84E" w14:textId="77777777" w:rsidR="002A4B25" w:rsidRPr="002A4B25" w:rsidRDefault="002A4B25" w:rsidP="002A4B25">
      <w:pPr>
        <w:tabs>
          <w:tab w:val="left" w:pos="851"/>
        </w:tabs>
        <w:ind w:left="851"/>
        <w:rPr>
          <w:sz w:val="24"/>
          <w:szCs w:val="24"/>
        </w:rPr>
      </w:pPr>
      <w:r w:rsidRPr="002A4B25">
        <w:rPr>
          <w:sz w:val="24"/>
          <w:szCs w:val="24"/>
        </w:rPr>
        <w:t xml:space="preserve"> Zopiclon metaboliseres i vid udstrækning i leveren ved decarboxylering.</w:t>
      </w:r>
    </w:p>
    <w:p w14:paraId="07ADADC3" w14:textId="77777777" w:rsidR="002A4B25" w:rsidRPr="002A4B25" w:rsidRDefault="002A4B25" w:rsidP="002A4B25">
      <w:pPr>
        <w:tabs>
          <w:tab w:val="left" w:pos="851"/>
        </w:tabs>
        <w:ind w:left="851"/>
        <w:rPr>
          <w:sz w:val="24"/>
          <w:szCs w:val="24"/>
        </w:rPr>
      </w:pPr>
      <w:r w:rsidRPr="002A4B25">
        <w:rPr>
          <w:sz w:val="24"/>
          <w:szCs w:val="24"/>
        </w:rPr>
        <w:t>Ca. 11 % omdannes til N</w:t>
      </w:r>
      <w:r w:rsidRPr="002A4B25">
        <w:rPr>
          <w:sz w:val="24"/>
          <w:szCs w:val="24"/>
        </w:rPr>
        <w:noBreakHyphen/>
        <w:t>oxidzopiclon, som er mindre aktivt end moderstoffet og uden klinisk betydning, og ca. 15 % omdannes til det inaktive N</w:t>
      </w:r>
      <w:r w:rsidRPr="002A4B25">
        <w:rPr>
          <w:sz w:val="24"/>
          <w:szCs w:val="24"/>
        </w:rPr>
        <w:noBreakHyphen/>
        <w:t>desmethylzopiclon. De tilsyneladende halveringstider er henholdsvis ca. 4,5 og 7,4 timer.</w:t>
      </w:r>
    </w:p>
    <w:p w14:paraId="2CEFD8E0" w14:textId="77777777" w:rsidR="002A4B25" w:rsidRPr="002A4B25" w:rsidRDefault="002A4B25" w:rsidP="002A4B25">
      <w:pPr>
        <w:tabs>
          <w:tab w:val="left" w:pos="851"/>
        </w:tabs>
        <w:ind w:left="851"/>
        <w:rPr>
          <w:sz w:val="24"/>
          <w:szCs w:val="24"/>
        </w:rPr>
      </w:pPr>
    </w:p>
    <w:p w14:paraId="085FC459" w14:textId="77777777" w:rsidR="002A4B25" w:rsidRPr="002A4B25" w:rsidRDefault="002A4B25" w:rsidP="002A4B25">
      <w:pPr>
        <w:tabs>
          <w:tab w:val="left" w:pos="851"/>
        </w:tabs>
        <w:ind w:left="851"/>
        <w:rPr>
          <w:sz w:val="24"/>
          <w:szCs w:val="24"/>
          <w:u w:val="single"/>
        </w:rPr>
      </w:pPr>
      <w:r w:rsidRPr="002A4B25">
        <w:rPr>
          <w:sz w:val="24"/>
          <w:szCs w:val="24"/>
          <w:u w:val="single"/>
        </w:rPr>
        <w:t>Elimination</w:t>
      </w:r>
    </w:p>
    <w:p w14:paraId="5CFC3BEF" w14:textId="77777777" w:rsidR="002A4B25" w:rsidRPr="002A4B25" w:rsidRDefault="002A4B25" w:rsidP="002A4B25">
      <w:pPr>
        <w:tabs>
          <w:tab w:val="left" w:pos="851"/>
        </w:tabs>
        <w:ind w:left="851"/>
        <w:rPr>
          <w:sz w:val="24"/>
          <w:szCs w:val="24"/>
        </w:rPr>
      </w:pPr>
      <w:r w:rsidRPr="002A4B25">
        <w:rPr>
          <w:sz w:val="24"/>
          <w:szCs w:val="24"/>
        </w:rPr>
        <w:t>Den lave renale clearance af zopiclon (gennemsnitligt 8,4 ml/min) sammenlignet med plasmaclearance (232 ml/min) indikerer, at eliminationen af zopiclon primært er metabolisk.</w:t>
      </w:r>
    </w:p>
    <w:p w14:paraId="5394231A" w14:textId="77777777" w:rsidR="002A4B25" w:rsidRPr="002A4B25" w:rsidRDefault="002A4B25" w:rsidP="002A4B25">
      <w:pPr>
        <w:tabs>
          <w:tab w:val="left" w:pos="851"/>
        </w:tabs>
        <w:ind w:left="851"/>
        <w:rPr>
          <w:sz w:val="24"/>
          <w:szCs w:val="24"/>
        </w:rPr>
      </w:pPr>
    </w:p>
    <w:p w14:paraId="75139022" w14:textId="77777777" w:rsidR="002A4B25" w:rsidRPr="002A4B25" w:rsidRDefault="002A4B25" w:rsidP="002A4B25">
      <w:pPr>
        <w:tabs>
          <w:tab w:val="left" w:pos="851"/>
        </w:tabs>
        <w:ind w:left="851"/>
        <w:rPr>
          <w:sz w:val="24"/>
          <w:szCs w:val="24"/>
        </w:rPr>
      </w:pPr>
      <w:r w:rsidRPr="002A4B25">
        <w:rPr>
          <w:sz w:val="24"/>
          <w:szCs w:val="24"/>
        </w:rPr>
        <w:t>Halveringstiden er 5 timer og øges til 7 timer hos ældre. I en række studier med ældre patienter blev der ikke observeret akkumulering af zopiclon i plasma efter en gentagen dosering.</w:t>
      </w:r>
    </w:p>
    <w:p w14:paraId="0A8D5394" w14:textId="77777777" w:rsidR="002A4B25" w:rsidRPr="002A4B25" w:rsidRDefault="002A4B25" w:rsidP="002A4B25">
      <w:pPr>
        <w:tabs>
          <w:tab w:val="left" w:pos="851"/>
        </w:tabs>
        <w:ind w:left="851"/>
        <w:rPr>
          <w:sz w:val="24"/>
          <w:szCs w:val="24"/>
        </w:rPr>
      </w:pPr>
      <w:r w:rsidRPr="002A4B25">
        <w:rPr>
          <w:sz w:val="24"/>
          <w:szCs w:val="24"/>
        </w:rPr>
        <w:t>Plasmaclearance er reduceret med ca. 40 % hos patienter med levercirrhose på grund af den langsommere methyleringsproces, og derfor skal dosis justeres til disse patienter. Hos patienter med nedsat nyrefunktion er der ikke konstateret akkumulering af zopiclon, som også krydser dialysemembranen, eller dets metabolitter efter længere tids administration.</w:t>
      </w:r>
    </w:p>
    <w:p w14:paraId="6ACC058B" w14:textId="77777777" w:rsidR="002A4B25" w:rsidRPr="002A4B25" w:rsidRDefault="002A4B25" w:rsidP="002A4B25">
      <w:pPr>
        <w:tabs>
          <w:tab w:val="left" w:pos="851"/>
        </w:tabs>
        <w:ind w:left="851"/>
        <w:rPr>
          <w:sz w:val="24"/>
          <w:szCs w:val="24"/>
        </w:rPr>
      </w:pPr>
    </w:p>
    <w:p w14:paraId="2FFD88DA" w14:textId="77777777" w:rsidR="002A4B25" w:rsidRPr="002A4B25" w:rsidRDefault="002A4B25" w:rsidP="002A4B25">
      <w:pPr>
        <w:tabs>
          <w:tab w:val="left" w:pos="851"/>
        </w:tabs>
        <w:ind w:left="851"/>
        <w:rPr>
          <w:sz w:val="24"/>
          <w:szCs w:val="24"/>
        </w:rPr>
      </w:pPr>
      <w:r w:rsidRPr="002A4B25">
        <w:rPr>
          <w:sz w:val="24"/>
          <w:szCs w:val="24"/>
        </w:rPr>
        <w:t>Ca. 80 % af al zopiclon udskilles i urinen, hovedsageligt i form af ukonjugerede metabolitter (N</w:t>
      </w:r>
      <w:r w:rsidRPr="002A4B25">
        <w:rPr>
          <w:sz w:val="24"/>
          <w:szCs w:val="24"/>
        </w:rPr>
        <w:noBreakHyphen/>
        <w:t>oxid- og N</w:t>
      </w:r>
      <w:r w:rsidRPr="002A4B25">
        <w:rPr>
          <w:sz w:val="24"/>
          <w:szCs w:val="24"/>
        </w:rPr>
        <w:noBreakHyphen/>
        <w:t>dimethylderivater). Omkring 16 % udskilles i fæces.</w:t>
      </w:r>
    </w:p>
    <w:p w14:paraId="2C77E7A4" w14:textId="77777777" w:rsidR="002A4B25" w:rsidRPr="002A4B25" w:rsidRDefault="002A4B25" w:rsidP="002A4B25">
      <w:pPr>
        <w:tabs>
          <w:tab w:val="left" w:pos="851"/>
        </w:tabs>
        <w:ind w:left="851"/>
        <w:rPr>
          <w:sz w:val="24"/>
          <w:szCs w:val="24"/>
        </w:rPr>
      </w:pPr>
    </w:p>
    <w:p w14:paraId="7444799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2AC86A5" w14:textId="77777777" w:rsidR="002A4B25" w:rsidRPr="002A4B25" w:rsidRDefault="002A4B25" w:rsidP="002A4B25">
      <w:pPr>
        <w:tabs>
          <w:tab w:val="left" w:pos="851"/>
        </w:tabs>
        <w:ind w:left="851"/>
        <w:rPr>
          <w:sz w:val="24"/>
          <w:szCs w:val="24"/>
        </w:rPr>
      </w:pPr>
      <w:r w:rsidRPr="002A4B25">
        <w:rPr>
          <w:sz w:val="24"/>
          <w:szCs w:val="24"/>
        </w:rPr>
        <w:t>Der er ingen non</w:t>
      </w:r>
      <w:r w:rsidRPr="002A4B25">
        <w:rPr>
          <w:sz w:val="24"/>
          <w:szCs w:val="24"/>
        </w:rPr>
        <w:noBreakHyphen/>
        <w:t>kliniske data af relevans for den ordinerende læge ud over dem, der allerede er anført i andre afsnit af produktresuméet.</w:t>
      </w:r>
    </w:p>
    <w:p w14:paraId="557BDCA9" w14:textId="77777777" w:rsidR="009260DE" w:rsidRPr="00C84483" w:rsidRDefault="009260DE" w:rsidP="009260DE">
      <w:pPr>
        <w:tabs>
          <w:tab w:val="left" w:pos="851"/>
        </w:tabs>
        <w:ind w:left="851"/>
        <w:rPr>
          <w:sz w:val="24"/>
          <w:szCs w:val="24"/>
        </w:rPr>
      </w:pPr>
    </w:p>
    <w:p w14:paraId="0BCD1844" w14:textId="77777777" w:rsidR="009260DE" w:rsidRPr="00C84483" w:rsidRDefault="009260DE" w:rsidP="009260DE">
      <w:pPr>
        <w:tabs>
          <w:tab w:val="left" w:pos="851"/>
        </w:tabs>
        <w:ind w:left="851"/>
        <w:rPr>
          <w:sz w:val="24"/>
          <w:szCs w:val="24"/>
        </w:rPr>
      </w:pPr>
    </w:p>
    <w:p w14:paraId="56289D2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F21C0B3" w14:textId="77777777" w:rsidR="009260DE" w:rsidRPr="00BA09F1" w:rsidRDefault="009260DE" w:rsidP="009260DE">
      <w:pPr>
        <w:tabs>
          <w:tab w:val="left" w:pos="851"/>
        </w:tabs>
        <w:ind w:left="851"/>
        <w:rPr>
          <w:sz w:val="24"/>
          <w:szCs w:val="24"/>
        </w:rPr>
      </w:pPr>
    </w:p>
    <w:p w14:paraId="7CEA839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B9473BA" w14:textId="77777777" w:rsidR="002A4B25" w:rsidRDefault="002A4B25" w:rsidP="002A4B25">
      <w:pPr>
        <w:tabs>
          <w:tab w:val="left" w:pos="851"/>
        </w:tabs>
        <w:ind w:left="851"/>
        <w:rPr>
          <w:sz w:val="24"/>
          <w:szCs w:val="24"/>
          <w:u w:val="single"/>
        </w:rPr>
      </w:pPr>
    </w:p>
    <w:p w14:paraId="5A565A4B" w14:textId="15FAA4E4" w:rsidR="002A4B25" w:rsidRPr="002A4B25" w:rsidRDefault="002A4B25" w:rsidP="002A4B25">
      <w:pPr>
        <w:tabs>
          <w:tab w:val="left" w:pos="851"/>
        </w:tabs>
        <w:ind w:left="851"/>
        <w:rPr>
          <w:sz w:val="24"/>
          <w:szCs w:val="24"/>
          <w:u w:val="single"/>
        </w:rPr>
      </w:pPr>
      <w:r w:rsidRPr="002A4B25">
        <w:rPr>
          <w:sz w:val="24"/>
          <w:szCs w:val="24"/>
          <w:u w:val="single"/>
        </w:rPr>
        <w:t>Tabletkerne</w:t>
      </w:r>
    </w:p>
    <w:p w14:paraId="3DD2DA18" w14:textId="77777777" w:rsidR="002A4B25" w:rsidRPr="002A4B25" w:rsidRDefault="002A4B25" w:rsidP="002A4B25">
      <w:pPr>
        <w:tabs>
          <w:tab w:val="left" w:pos="851"/>
        </w:tabs>
        <w:ind w:left="851"/>
        <w:rPr>
          <w:sz w:val="24"/>
          <w:szCs w:val="24"/>
        </w:rPr>
      </w:pPr>
      <w:r w:rsidRPr="002A4B25">
        <w:rPr>
          <w:sz w:val="24"/>
          <w:szCs w:val="24"/>
        </w:rPr>
        <w:t>Majsstivelse</w:t>
      </w:r>
    </w:p>
    <w:p w14:paraId="5D05A54E" w14:textId="77777777" w:rsidR="002A4B25" w:rsidRPr="002A4B25" w:rsidRDefault="002A4B25" w:rsidP="002A4B25">
      <w:pPr>
        <w:tabs>
          <w:tab w:val="left" w:pos="851"/>
        </w:tabs>
        <w:ind w:left="851"/>
        <w:rPr>
          <w:sz w:val="24"/>
          <w:szCs w:val="24"/>
        </w:rPr>
      </w:pPr>
      <w:r w:rsidRPr="002A4B25">
        <w:rPr>
          <w:sz w:val="24"/>
          <w:szCs w:val="24"/>
        </w:rPr>
        <w:t>Hypromellose (type 2910) (E464)</w:t>
      </w:r>
    </w:p>
    <w:p w14:paraId="3CA39254" w14:textId="77777777" w:rsidR="002A4B25" w:rsidRPr="002A4B25" w:rsidRDefault="002A4B25" w:rsidP="002A4B25">
      <w:pPr>
        <w:tabs>
          <w:tab w:val="left" w:pos="851"/>
        </w:tabs>
        <w:ind w:left="851"/>
        <w:rPr>
          <w:sz w:val="24"/>
          <w:szCs w:val="24"/>
          <w:lang w:val="en-US"/>
        </w:rPr>
      </w:pPr>
      <w:r w:rsidRPr="002A4B25">
        <w:rPr>
          <w:sz w:val="24"/>
          <w:szCs w:val="24"/>
          <w:lang w:val="en-US"/>
        </w:rPr>
        <w:t>Calciumhydrogenphosphat (E341)</w:t>
      </w:r>
    </w:p>
    <w:p w14:paraId="6A31770E" w14:textId="77777777" w:rsidR="002A4B25" w:rsidRPr="002A4B25" w:rsidRDefault="002A4B25" w:rsidP="002A4B25">
      <w:pPr>
        <w:tabs>
          <w:tab w:val="left" w:pos="851"/>
        </w:tabs>
        <w:ind w:left="851"/>
        <w:rPr>
          <w:sz w:val="24"/>
          <w:szCs w:val="24"/>
          <w:lang w:val="en-US"/>
        </w:rPr>
      </w:pPr>
      <w:r w:rsidRPr="002A4B25">
        <w:rPr>
          <w:sz w:val="24"/>
          <w:szCs w:val="24"/>
          <w:lang w:val="en-US"/>
        </w:rPr>
        <w:lastRenderedPageBreak/>
        <w:t>Natriumstivelsesglycolat (type A)</w:t>
      </w:r>
    </w:p>
    <w:p w14:paraId="06B14C6D" w14:textId="77777777" w:rsidR="002A4B25" w:rsidRPr="002A4B25" w:rsidRDefault="002A4B25" w:rsidP="002A4B25">
      <w:pPr>
        <w:tabs>
          <w:tab w:val="left" w:pos="851"/>
        </w:tabs>
        <w:ind w:left="851"/>
        <w:rPr>
          <w:sz w:val="24"/>
          <w:szCs w:val="24"/>
        </w:rPr>
      </w:pPr>
      <w:r w:rsidRPr="002A4B25">
        <w:rPr>
          <w:sz w:val="24"/>
          <w:szCs w:val="24"/>
        </w:rPr>
        <w:t>Mikrokrystallinsk cellulose (E460)</w:t>
      </w:r>
    </w:p>
    <w:p w14:paraId="5ACD9A22" w14:textId="77777777" w:rsidR="002A4B25" w:rsidRPr="002A4B25" w:rsidRDefault="002A4B25" w:rsidP="002A4B25">
      <w:pPr>
        <w:tabs>
          <w:tab w:val="left" w:pos="851"/>
        </w:tabs>
        <w:ind w:left="851"/>
        <w:rPr>
          <w:sz w:val="24"/>
          <w:szCs w:val="24"/>
        </w:rPr>
      </w:pPr>
      <w:r w:rsidRPr="002A4B25">
        <w:rPr>
          <w:sz w:val="24"/>
          <w:szCs w:val="24"/>
        </w:rPr>
        <w:t>Magnesiumstearat (E572)</w:t>
      </w:r>
    </w:p>
    <w:p w14:paraId="1C9EEE75" w14:textId="77777777" w:rsidR="002A4B25" w:rsidRPr="002A4B25" w:rsidRDefault="002A4B25" w:rsidP="002A4B25">
      <w:pPr>
        <w:tabs>
          <w:tab w:val="left" w:pos="851"/>
        </w:tabs>
        <w:ind w:left="851"/>
        <w:rPr>
          <w:sz w:val="24"/>
          <w:szCs w:val="24"/>
          <w:lang w:val="it-IT"/>
        </w:rPr>
      </w:pPr>
    </w:p>
    <w:p w14:paraId="182ECBC2" w14:textId="77777777" w:rsidR="002A4B25" w:rsidRPr="002A4B25" w:rsidRDefault="002A4B25" w:rsidP="002A4B25">
      <w:pPr>
        <w:tabs>
          <w:tab w:val="left" w:pos="851"/>
        </w:tabs>
        <w:ind w:left="851"/>
        <w:rPr>
          <w:sz w:val="24"/>
          <w:szCs w:val="24"/>
          <w:u w:val="single"/>
        </w:rPr>
      </w:pPr>
      <w:r w:rsidRPr="002A4B25">
        <w:rPr>
          <w:sz w:val="24"/>
          <w:szCs w:val="24"/>
          <w:u w:val="single"/>
        </w:rPr>
        <w:t>Tabletovertræk</w:t>
      </w:r>
    </w:p>
    <w:p w14:paraId="4331BE0A" w14:textId="77777777" w:rsidR="002A4B25" w:rsidRDefault="002A4B25" w:rsidP="002A4B25">
      <w:pPr>
        <w:tabs>
          <w:tab w:val="left" w:pos="851"/>
        </w:tabs>
        <w:ind w:left="851"/>
        <w:rPr>
          <w:i/>
          <w:sz w:val="24"/>
          <w:szCs w:val="24"/>
        </w:rPr>
      </w:pPr>
    </w:p>
    <w:p w14:paraId="564B8F5E" w14:textId="66545AF9" w:rsidR="002A4B25" w:rsidRPr="002A4B25" w:rsidRDefault="002A4B25" w:rsidP="002A4B25">
      <w:pPr>
        <w:tabs>
          <w:tab w:val="left" w:pos="851"/>
        </w:tabs>
        <w:ind w:left="851"/>
        <w:rPr>
          <w:i/>
          <w:sz w:val="24"/>
          <w:szCs w:val="24"/>
        </w:rPr>
      </w:pPr>
      <w:r w:rsidRPr="002A4B25">
        <w:rPr>
          <w:i/>
          <w:sz w:val="24"/>
          <w:szCs w:val="24"/>
        </w:rPr>
        <w:t>5 mg tabletter</w:t>
      </w:r>
    </w:p>
    <w:p w14:paraId="2BC7E456" w14:textId="77777777" w:rsidR="002A4B25" w:rsidRPr="002A4B25" w:rsidRDefault="002A4B25" w:rsidP="002A4B25">
      <w:pPr>
        <w:tabs>
          <w:tab w:val="left" w:pos="851"/>
        </w:tabs>
        <w:ind w:left="851"/>
        <w:rPr>
          <w:sz w:val="24"/>
          <w:szCs w:val="24"/>
        </w:rPr>
      </w:pPr>
      <w:r w:rsidRPr="002A4B25">
        <w:rPr>
          <w:sz w:val="24"/>
          <w:szCs w:val="24"/>
        </w:rPr>
        <w:t xml:space="preserve">Macrogol poly(vinylalkohol) podet copolymer (E1209) </w:t>
      </w:r>
    </w:p>
    <w:p w14:paraId="2E8F9341" w14:textId="77777777" w:rsidR="002A4B25" w:rsidRPr="002A4B25" w:rsidRDefault="002A4B25" w:rsidP="002A4B25">
      <w:pPr>
        <w:tabs>
          <w:tab w:val="left" w:pos="851"/>
        </w:tabs>
        <w:ind w:left="851"/>
        <w:rPr>
          <w:sz w:val="24"/>
          <w:szCs w:val="24"/>
          <w:lang w:val="en-US"/>
        </w:rPr>
      </w:pPr>
      <w:r w:rsidRPr="002A4B25">
        <w:rPr>
          <w:sz w:val="24"/>
          <w:szCs w:val="24"/>
          <w:lang w:val="en-US"/>
        </w:rPr>
        <w:t>Talkum (E553b)</w:t>
      </w:r>
    </w:p>
    <w:p w14:paraId="5511008D" w14:textId="77777777" w:rsidR="002A4B25" w:rsidRPr="002A4B25" w:rsidRDefault="002A4B25" w:rsidP="002A4B25">
      <w:pPr>
        <w:tabs>
          <w:tab w:val="left" w:pos="851"/>
        </w:tabs>
        <w:ind w:left="851"/>
        <w:rPr>
          <w:sz w:val="24"/>
          <w:szCs w:val="24"/>
          <w:lang w:val="en-US"/>
        </w:rPr>
      </w:pPr>
      <w:r w:rsidRPr="002A4B25">
        <w:rPr>
          <w:sz w:val="24"/>
          <w:szCs w:val="24"/>
          <w:lang w:val="en-US"/>
        </w:rPr>
        <w:t>Titandioxid (E171)</w:t>
      </w:r>
    </w:p>
    <w:p w14:paraId="084EF632" w14:textId="77777777" w:rsidR="002A4B25" w:rsidRPr="002A4B25" w:rsidRDefault="002A4B25" w:rsidP="002A4B25">
      <w:pPr>
        <w:tabs>
          <w:tab w:val="left" w:pos="851"/>
        </w:tabs>
        <w:ind w:left="851"/>
        <w:rPr>
          <w:sz w:val="24"/>
          <w:szCs w:val="24"/>
          <w:lang w:val="en-US"/>
        </w:rPr>
      </w:pPr>
      <w:r w:rsidRPr="002A4B25">
        <w:rPr>
          <w:sz w:val="24"/>
          <w:szCs w:val="24"/>
          <w:lang w:val="en-US"/>
        </w:rPr>
        <w:t>Glycerol monocaprylocaprat (E471)</w:t>
      </w:r>
    </w:p>
    <w:p w14:paraId="58478EE4" w14:textId="77777777" w:rsidR="002A4B25" w:rsidRPr="002A4B25" w:rsidRDefault="002A4B25" w:rsidP="002A4B25">
      <w:pPr>
        <w:tabs>
          <w:tab w:val="left" w:pos="851"/>
        </w:tabs>
        <w:ind w:left="851"/>
        <w:rPr>
          <w:sz w:val="24"/>
          <w:szCs w:val="24"/>
        </w:rPr>
      </w:pPr>
      <w:r w:rsidRPr="002A4B25">
        <w:rPr>
          <w:sz w:val="24"/>
          <w:szCs w:val="24"/>
        </w:rPr>
        <w:t>Poly(vinylalkohol) (E1203)</w:t>
      </w:r>
    </w:p>
    <w:p w14:paraId="4C41998B" w14:textId="77777777" w:rsidR="002A4B25" w:rsidRPr="002A4B25" w:rsidRDefault="002A4B25" w:rsidP="002A4B25">
      <w:pPr>
        <w:tabs>
          <w:tab w:val="left" w:pos="851"/>
        </w:tabs>
        <w:ind w:left="851"/>
        <w:rPr>
          <w:sz w:val="24"/>
          <w:szCs w:val="24"/>
        </w:rPr>
      </w:pPr>
      <w:r w:rsidRPr="002A4B25">
        <w:rPr>
          <w:sz w:val="24"/>
          <w:szCs w:val="24"/>
        </w:rPr>
        <w:t>Indigocarmin (E132)</w:t>
      </w:r>
    </w:p>
    <w:p w14:paraId="0BAC45BD" w14:textId="77777777" w:rsidR="002A4B25" w:rsidRPr="002A4B25" w:rsidRDefault="002A4B25" w:rsidP="002A4B25">
      <w:pPr>
        <w:tabs>
          <w:tab w:val="left" w:pos="851"/>
        </w:tabs>
        <w:ind w:left="851"/>
        <w:rPr>
          <w:sz w:val="24"/>
          <w:szCs w:val="24"/>
          <w:lang w:val="en-US"/>
        </w:rPr>
      </w:pPr>
      <w:r w:rsidRPr="002A4B25">
        <w:rPr>
          <w:sz w:val="24"/>
          <w:szCs w:val="24"/>
          <w:lang w:val="en-US"/>
        </w:rPr>
        <w:t>Cochenillerød A (E124)</w:t>
      </w:r>
    </w:p>
    <w:p w14:paraId="6AFC07C6" w14:textId="77777777" w:rsidR="002A4B25" w:rsidRPr="002A4B25" w:rsidRDefault="002A4B25" w:rsidP="002A4B25">
      <w:pPr>
        <w:tabs>
          <w:tab w:val="left" w:pos="851"/>
        </w:tabs>
        <w:ind w:left="851"/>
        <w:rPr>
          <w:sz w:val="24"/>
          <w:szCs w:val="24"/>
          <w:lang w:val="en-US"/>
        </w:rPr>
      </w:pPr>
      <w:r w:rsidRPr="002A4B25">
        <w:rPr>
          <w:sz w:val="24"/>
          <w:szCs w:val="24"/>
          <w:lang w:val="en-US"/>
        </w:rPr>
        <w:t>Kinolingul (E104)</w:t>
      </w:r>
    </w:p>
    <w:p w14:paraId="61C325E6" w14:textId="77777777" w:rsidR="002A4B25" w:rsidRPr="002A4B25" w:rsidRDefault="002A4B25" w:rsidP="002A4B25">
      <w:pPr>
        <w:tabs>
          <w:tab w:val="left" w:pos="851"/>
        </w:tabs>
        <w:ind w:left="851"/>
        <w:rPr>
          <w:i/>
          <w:sz w:val="24"/>
          <w:szCs w:val="24"/>
          <w:lang w:val="it-IT"/>
        </w:rPr>
      </w:pPr>
    </w:p>
    <w:p w14:paraId="1691C2D9" w14:textId="4D32FE63" w:rsidR="002A4B25" w:rsidRPr="002A4B25" w:rsidRDefault="002A4B25" w:rsidP="002A4B25">
      <w:pPr>
        <w:tabs>
          <w:tab w:val="left" w:pos="851"/>
        </w:tabs>
        <w:ind w:left="851"/>
        <w:rPr>
          <w:i/>
          <w:sz w:val="24"/>
          <w:szCs w:val="24"/>
        </w:rPr>
      </w:pPr>
      <w:r w:rsidRPr="002A4B25">
        <w:rPr>
          <w:i/>
          <w:sz w:val="24"/>
          <w:szCs w:val="24"/>
        </w:rPr>
        <w:t>3,75 mg og 7,5 mg tabletter</w:t>
      </w:r>
    </w:p>
    <w:p w14:paraId="70ECAD96" w14:textId="77777777" w:rsidR="002A4B25" w:rsidRPr="002A4B25" w:rsidRDefault="002A4B25" w:rsidP="002A4B25">
      <w:pPr>
        <w:tabs>
          <w:tab w:val="left" w:pos="851"/>
        </w:tabs>
        <w:ind w:left="851"/>
        <w:rPr>
          <w:sz w:val="24"/>
          <w:szCs w:val="24"/>
        </w:rPr>
      </w:pPr>
      <w:r w:rsidRPr="002A4B25">
        <w:rPr>
          <w:sz w:val="24"/>
          <w:szCs w:val="24"/>
        </w:rPr>
        <w:t xml:space="preserve">Macrogol poly(vinylalkohol) podet copolymer (E1209) </w:t>
      </w:r>
    </w:p>
    <w:p w14:paraId="42CC3A85" w14:textId="77777777" w:rsidR="002A4B25" w:rsidRPr="002A4B25" w:rsidRDefault="002A4B25" w:rsidP="002A4B25">
      <w:pPr>
        <w:tabs>
          <w:tab w:val="left" w:pos="851"/>
        </w:tabs>
        <w:ind w:left="851"/>
        <w:rPr>
          <w:sz w:val="24"/>
          <w:szCs w:val="24"/>
          <w:lang w:val="en-US"/>
        </w:rPr>
      </w:pPr>
      <w:r w:rsidRPr="002A4B25">
        <w:rPr>
          <w:sz w:val="24"/>
          <w:szCs w:val="24"/>
          <w:lang w:val="en-US"/>
        </w:rPr>
        <w:t>Talcum (E553b)</w:t>
      </w:r>
    </w:p>
    <w:p w14:paraId="2FEDD0DE" w14:textId="77777777" w:rsidR="002A4B25" w:rsidRPr="002A4B25" w:rsidRDefault="002A4B25" w:rsidP="002A4B25">
      <w:pPr>
        <w:tabs>
          <w:tab w:val="left" w:pos="851"/>
        </w:tabs>
        <w:ind w:left="851"/>
        <w:rPr>
          <w:sz w:val="24"/>
          <w:szCs w:val="24"/>
          <w:lang w:val="en-US"/>
        </w:rPr>
      </w:pPr>
      <w:r w:rsidRPr="002A4B25">
        <w:rPr>
          <w:sz w:val="24"/>
          <w:szCs w:val="24"/>
          <w:lang w:val="en-US"/>
        </w:rPr>
        <w:t>Titandioxid (E171)</w:t>
      </w:r>
    </w:p>
    <w:p w14:paraId="5172923D" w14:textId="77777777" w:rsidR="002A4B25" w:rsidRPr="002A4B25" w:rsidRDefault="002A4B25" w:rsidP="002A4B25">
      <w:pPr>
        <w:tabs>
          <w:tab w:val="left" w:pos="851"/>
        </w:tabs>
        <w:ind w:left="851"/>
        <w:rPr>
          <w:sz w:val="24"/>
          <w:szCs w:val="24"/>
          <w:lang w:val="en-US"/>
        </w:rPr>
      </w:pPr>
      <w:r w:rsidRPr="002A4B25">
        <w:rPr>
          <w:sz w:val="24"/>
          <w:szCs w:val="24"/>
          <w:lang w:val="en-US"/>
        </w:rPr>
        <w:t>Glycerol monocaprylocaprat (E471)</w:t>
      </w:r>
    </w:p>
    <w:p w14:paraId="336113D7" w14:textId="77777777" w:rsidR="002A4B25" w:rsidRPr="002A4B25" w:rsidRDefault="002A4B25" w:rsidP="002A4B25">
      <w:pPr>
        <w:tabs>
          <w:tab w:val="left" w:pos="851"/>
        </w:tabs>
        <w:ind w:left="851"/>
        <w:rPr>
          <w:sz w:val="24"/>
          <w:szCs w:val="24"/>
        </w:rPr>
      </w:pPr>
      <w:r w:rsidRPr="002A4B25">
        <w:rPr>
          <w:sz w:val="24"/>
          <w:szCs w:val="24"/>
        </w:rPr>
        <w:t>Poly(vinylalkohol) (E1203)</w:t>
      </w:r>
    </w:p>
    <w:p w14:paraId="114301DE" w14:textId="77777777" w:rsidR="009260DE" w:rsidRPr="00C84483" w:rsidRDefault="009260DE" w:rsidP="009260DE">
      <w:pPr>
        <w:tabs>
          <w:tab w:val="left" w:pos="851"/>
        </w:tabs>
        <w:ind w:left="851"/>
        <w:rPr>
          <w:sz w:val="24"/>
          <w:szCs w:val="24"/>
        </w:rPr>
      </w:pPr>
    </w:p>
    <w:p w14:paraId="52AB6D0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0F9D66A" w14:textId="77777777" w:rsidR="002A4B25" w:rsidRPr="002A4B25" w:rsidRDefault="002A4B25" w:rsidP="002A4B25">
      <w:pPr>
        <w:tabs>
          <w:tab w:val="left" w:pos="851"/>
        </w:tabs>
        <w:ind w:left="851"/>
        <w:rPr>
          <w:sz w:val="24"/>
          <w:szCs w:val="24"/>
        </w:rPr>
      </w:pPr>
      <w:r w:rsidRPr="002A4B25">
        <w:rPr>
          <w:sz w:val="24"/>
          <w:szCs w:val="24"/>
        </w:rPr>
        <w:t>Ikke relevant.</w:t>
      </w:r>
    </w:p>
    <w:p w14:paraId="48D0F61F" w14:textId="77777777" w:rsidR="009260DE" w:rsidRPr="00C84483" w:rsidRDefault="009260DE" w:rsidP="009260DE">
      <w:pPr>
        <w:tabs>
          <w:tab w:val="left" w:pos="851"/>
        </w:tabs>
        <w:ind w:left="851"/>
        <w:rPr>
          <w:sz w:val="24"/>
          <w:szCs w:val="24"/>
        </w:rPr>
      </w:pPr>
    </w:p>
    <w:p w14:paraId="137ED5E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FDCCF24" w14:textId="77777777" w:rsidR="002A4B25" w:rsidRPr="002A4B25" w:rsidRDefault="002A4B25" w:rsidP="002A4B25">
      <w:pPr>
        <w:tabs>
          <w:tab w:val="left" w:pos="851"/>
        </w:tabs>
        <w:ind w:left="851"/>
        <w:rPr>
          <w:sz w:val="24"/>
          <w:szCs w:val="24"/>
        </w:rPr>
      </w:pPr>
      <w:r w:rsidRPr="002A4B25">
        <w:rPr>
          <w:sz w:val="24"/>
          <w:szCs w:val="24"/>
        </w:rPr>
        <w:t>2 år.</w:t>
      </w:r>
    </w:p>
    <w:p w14:paraId="6BAAA2C8" w14:textId="77777777" w:rsidR="009260DE" w:rsidRPr="00C84483" w:rsidRDefault="009260DE" w:rsidP="009260DE">
      <w:pPr>
        <w:tabs>
          <w:tab w:val="left" w:pos="851"/>
        </w:tabs>
        <w:ind w:left="851"/>
        <w:rPr>
          <w:sz w:val="24"/>
          <w:szCs w:val="24"/>
        </w:rPr>
      </w:pPr>
    </w:p>
    <w:p w14:paraId="0C33C9A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857AC15" w14:textId="77777777" w:rsidR="002A4B25" w:rsidRPr="00F506D2" w:rsidRDefault="002A4B25" w:rsidP="002A4B25">
      <w:pPr>
        <w:tabs>
          <w:tab w:val="left" w:pos="851"/>
        </w:tabs>
        <w:ind w:left="851"/>
        <w:rPr>
          <w:sz w:val="24"/>
          <w:szCs w:val="24"/>
        </w:rPr>
      </w:pPr>
      <w:bookmarkStart w:id="8" w:name="_Hlk153282386"/>
      <w:r w:rsidRPr="00F506D2">
        <w:rPr>
          <w:sz w:val="24"/>
          <w:szCs w:val="24"/>
        </w:rPr>
        <w:t>Dette lægemiddel kræver ingen særlige forholdsregler vedrørende opbevaringen.</w:t>
      </w:r>
      <w:bookmarkEnd w:id="8"/>
    </w:p>
    <w:p w14:paraId="4F80A70E" w14:textId="77777777" w:rsidR="009260DE" w:rsidRPr="00F506D2" w:rsidRDefault="009260DE" w:rsidP="009260DE">
      <w:pPr>
        <w:tabs>
          <w:tab w:val="left" w:pos="851"/>
        </w:tabs>
        <w:ind w:left="851"/>
        <w:rPr>
          <w:sz w:val="24"/>
          <w:szCs w:val="24"/>
        </w:rPr>
      </w:pPr>
    </w:p>
    <w:p w14:paraId="1595B0F6" w14:textId="77777777" w:rsidR="009260DE" w:rsidRPr="00F506D2" w:rsidRDefault="009260DE" w:rsidP="009260DE">
      <w:pPr>
        <w:tabs>
          <w:tab w:val="left" w:pos="851"/>
        </w:tabs>
        <w:ind w:left="851" w:hanging="851"/>
        <w:rPr>
          <w:b/>
          <w:sz w:val="24"/>
          <w:szCs w:val="24"/>
        </w:rPr>
      </w:pPr>
      <w:r w:rsidRPr="00F506D2">
        <w:rPr>
          <w:b/>
          <w:sz w:val="24"/>
          <w:szCs w:val="24"/>
        </w:rPr>
        <w:t>6.5</w:t>
      </w:r>
      <w:r w:rsidRPr="00F506D2">
        <w:rPr>
          <w:b/>
          <w:sz w:val="24"/>
          <w:szCs w:val="24"/>
        </w:rPr>
        <w:tab/>
        <w:t>Emballagetype og pakningsstørrelser</w:t>
      </w:r>
    </w:p>
    <w:p w14:paraId="30490F42" w14:textId="0A3F3CBF" w:rsidR="00F506D2" w:rsidRPr="00F506D2" w:rsidRDefault="00F506D2" w:rsidP="00F506D2">
      <w:pPr>
        <w:spacing w:line="0" w:lineRule="atLeast"/>
        <w:ind w:left="851"/>
        <w:rPr>
          <w:sz w:val="24"/>
          <w:szCs w:val="24"/>
        </w:rPr>
      </w:pPr>
      <w:r w:rsidRPr="00F506D2">
        <w:rPr>
          <w:sz w:val="24"/>
          <w:szCs w:val="24"/>
        </w:rPr>
        <w:t>PVC/PVDC//Alu-blister.</w:t>
      </w:r>
    </w:p>
    <w:p w14:paraId="16E00F6D" w14:textId="2CBC98C6" w:rsidR="00F506D2" w:rsidRPr="00F506D2" w:rsidRDefault="00F506D2" w:rsidP="00F506D2">
      <w:pPr>
        <w:spacing w:line="0" w:lineRule="atLeast"/>
        <w:ind w:left="851"/>
        <w:rPr>
          <w:sz w:val="24"/>
          <w:szCs w:val="24"/>
        </w:rPr>
      </w:pPr>
    </w:p>
    <w:p w14:paraId="5A3DA50B" w14:textId="14677AAE" w:rsidR="00F506D2" w:rsidRPr="00F506D2" w:rsidRDefault="00F506D2" w:rsidP="00F506D2">
      <w:pPr>
        <w:spacing w:line="0" w:lineRule="atLeast"/>
        <w:ind w:left="851"/>
        <w:rPr>
          <w:sz w:val="24"/>
          <w:szCs w:val="24"/>
        </w:rPr>
      </w:pPr>
      <w:r w:rsidRPr="00F506D2">
        <w:rPr>
          <w:sz w:val="24"/>
          <w:szCs w:val="24"/>
        </w:rPr>
        <w:t>Pakningsstørrelser: 10, 20, 30 og 100 filmovertrukne tabletter.</w:t>
      </w:r>
    </w:p>
    <w:p w14:paraId="7DDB298B" w14:textId="77777777" w:rsidR="00F506D2" w:rsidRPr="00F506D2" w:rsidRDefault="00F506D2" w:rsidP="00F506D2">
      <w:pPr>
        <w:spacing w:line="217" w:lineRule="exact"/>
        <w:ind w:left="851"/>
        <w:rPr>
          <w:sz w:val="24"/>
          <w:szCs w:val="24"/>
        </w:rPr>
      </w:pPr>
      <w:r w:rsidRPr="00F506D2">
        <w:rPr>
          <w:sz w:val="24"/>
          <w:szCs w:val="24"/>
        </w:rPr>
        <w:t>Ikke alle pakningsstørrelser er nødvendigvis markedsført.</w:t>
      </w:r>
    </w:p>
    <w:p w14:paraId="1C959530" w14:textId="77777777" w:rsidR="009260DE" w:rsidRPr="00F506D2" w:rsidRDefault="009260DE" w:rsidP="00F506D2">
      <w:pPr>
        <w:tabs>
          <w:tab w:val="left" w:pos="851"/>
        </w:tabs>
        <w:ind w:left="851"/>
        <w:rPr>
          <w:sz w:val="24"/>
          <w:szCs w:val="24"/>
        </w:rPr>
      </w:pPr>
    </w:p>
    <w:p w14:paraId="31890CBC" w14:textId="77777777" w:rsidR="009260DE" w:rsidRPr="00F506D2" w:rsidRDefault="009260DE" w:rsidP="009260DE">
      <w:pPr>
        <w:tabs>
          <w:tab w:val="left" w:pos="851"/>
        </w:tabs>
        <w:ind w:left="851" w:hanging="851"/>
        <w:rPr>
          <w:b/>
          <w:sz w:val="24"/>
          <w:szCs w:val="24"/>
        </w:rPr>
      </w:pPr>
      <w:r w:rsidRPr="00F506D2">
        <w:rPr>
          <w:b/>
          <w:sz w:val="24"/>
          <w:szCs w:val="24"/>
        </w:rPr>
        <w:t>6.6</w:t>
      </w:r>
      <w:r w:rsidRPr="00F506D2">
        <w:rPr>
          <w:b/>
          <w:sz w:val="24"/>
          <w:szCs w:val="24"/>
        </w:rPr>
        <w:tab/>
        <w:t xml:space="preserve">Regler for </w:t>
      </w:r>
      <w:r w:rsidR="00BD7931" w:rsidRPr="00F506D2">
        <w:rPr>
          <w:b/>
          <w:sz w:val="24"/>
          <w:szCs w:val="24"/>
        </w:rPr>
        <w:t>bortskaffelse</w:t>
      </w:r>
      <w:r w:rsidRPr="00F506D2">
        <w:rPr>
          <w:b/>
          <w:sz w:val="24"/>
          <w:szCs w:val="24"/>
        </w:rPr>
        <w:t xml:space="preserve"> og anden håndtering</w:t>
      </w:r>
    </w:p>
    <w:p w14:paraId="197085C8" w14:textId="77777777" w:rsidR="00F506D2" w:rsidRPr="00F506D2" w:rsidRDefault="00F506D2" w:rsidP="00F506D2">
      <w:pPr>
        <w:tabs>
          <w:tab w:val="left" w:pos="851"/>
        </w:tabs>
        <w:ind w:left="851"/>
        <w:rPr>
          <w:sz w:val="24"/>
          <w:szCs w:val="24"/>
        </w:rPr>
      </w:pPr>
      <w:r w:rsidRPr="00F506D2">
        <w:rPr>
          <w:sz w:val="24"/>
          <w:szCs w:val="24"/>
        </w:rPr>
        <w:t>Ingen særlige forholdsregler.</w:t>
      </w:r>
    </w:p>
    <w:p w14:paraId="126597A7" w14:textId="77777777" w:rsidR="009260DE" w:rsidRPr="00F506D2" w:rsidRDefault="009260DE" w:rsidP="000730CA">
      <w:pPr>
        <w:tabs>
          <w:tab w:val="left" w:pos="851"/>
        </w:tabs>
        <w:ind w:left="851"/>
        <w:rPr>
          <w:sz w:val="24"/>
          <w:szCs w:val="24"/>
        </w:rPr>
      </w:pPr>
    </w:p>
    <w:p w14:paraId="5E77AB9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5DA4970" w14:textId="77777777" w:rsidR="00F506D2" w:rsidRPr="00F506D2" w:rsidRDefault="00F506D2" w:rsidP="00F506D2">
      <w:pPr>
        <w:tabs>
          <w:tab w:val="left" w:pos="851"/>
        </w:tabs>
        <w:ind w:left="851"/>
        <w:rPr>
          <w:sz w:val="24"/>
          <w:szCs w:val="24"/>
        </w:rPr>
      </w:pPr>
      <w:bookmarkStart w:id="9" w:name="_Hlk172794736"/>
      <w:r w:rsidRPr="00F506D2">
        <w:rPr>
          <w:sz w:val="24"/>
          <w:szCs w:val="24"/>
        </w:rPr>
        <w:t>UAB Baltijos Bitė</w:t>
      </w:r>
    </w:p>
    <w:p w14:paraId="62402E6B" w14:textId="77777777" w:rsidR="00F506D2" w:rsidRPr="00F506D2" w:rsidRDefault="00F506D2" w:rsidP="00F506D2">
      <w:pPr>
        <w:tabs>
          <w:tab w:val="left" w:pos="851"/>
        </w:tabs>
        <w:ind w:left="851"/>
        <w:rPr>
          <w:sz w:val="24"/>
          <w:szCs w:val="24"/>
        </w:rPr>
      </w:pPr>
      <w:r w:rsidRPr="00F506D2">
        <w:rPr>
          <w:sz w:val="24"/>
          <w:szCs w:val="24"/>
        </w:rPr>
        <w:t>Ramybės g. 49</w:t>
      </w:r>
    </w:p>
    <w:p w14:paraId="5341ABD1" w14:textId="77777777" w:rsidR="00F506D2" w:rsidRPr="00F506D2" w:rsidRDefault="00F506D2" w:rsidP="00F506D2">
      <w:pPr>
        <w:tabs>
          <w:tab w:val="left" w:pos="851"/>
        </w:tabs>
        <w:ind w:left="851"/>
        <w:rPr>
          <w:sz w:val="24"/>
          <w:szCs w:val="24"/>
        </w:rPr>
      </w:pPr>
      <w:r w:rsidRPr="00F506D2">
        <w:rPr>
          <w:sz w:val="24"/>
          <w:szCs w:val="24"/>
        </w:rPr>
        <w:t>Kaunas</w:t>
      </w:r>
    </w:p>
    <w:p w14:paraId="19694ED0" w14:textId="77777777" w:rsidR="00F506D2" w:rsidRPr="00F506D2" w:rsidRDefault="00F506D2" w:rsidP="00F506D2">
      <w:pPr>
        <w:tabs>
          <w:tab w:val="left" w:pos="851"/>
        </w:tabs>
        <w:ind w:left="851"/>
        <w:rPr>
          <w:sz w:val="24"/>
          <w:szCs w:val="24"/>
        </w:rPr>
      </w:pPr>
      <w:r w:rsidRPr="00F506D2">
        <w:rPr>
          <w:sz w:val="24"/>
          <w:szCs w:val="24"/>
        </w:rPr>
        <w:t>LT-47163</w:t>
      </w:r>
      <w:r w:rsidRPr="00F506D2">
        <w:rPr>
          <w:sz w:val="24"/>
          <w:szCs w:val="24"/>
        </w:rPr>
        <w:br/>
        <w:t>Litauen</w:t>
      </w:r>
      <w:bookmarkEnd w:id="9"/>
    </w:p>
    <w:p w14:paraId="04F40F21" w14:textId="77777777" w:rsidR="009260DE" w:rsidRDefault="009260DE" w:rsidP="009260DE">
      <w:pPr>
        <w:tabs>
          <w:tab w:val="left" w:pos="851"/>
        </w:tabs>
        <w:ind w:left="851"/>
        <w:rPr>
          <w:sz w:val="24"/>
          <w:szCs w:val="24"/>
        </w:rPr>
      </w:pPr>
    </w:p>
    <w:p w14:paraId="21F50A28" w14:textId="77777777" w:rsidR="00641C65" w:rsidRDefault="00641C65" w:rsidP="009260DE">
      <w:pPr>
        <w:tabs>
          <w:tab w:val="left" w:pos="851"/>
        </w:tabs>
        <w:ind w:left="851"/>
        <w:rPr>
          <w:sz w:val="24"/>
          <w:szCs w:val="24"/>
        </w:rPr>
      </w:pPr>
      <w:r>
        <w:rPr>
          <w:b/>
          <w:sz w:val="24"/>
          <w:szCs w:val="24"/>
        </w:rPr>
        <w:t>Repræsentant</w:t>
      </w:r>
    </w:p>
    <w:p w14:paraId="569244A4" w14:textId="6E19EAB8" w:rsidR="00F506D2" w:rsidRPr="00F506D2" w:rsidRDefault="00F506D2" w:rsidP="00F506D2">
      <w:pPr>
        <w:tabs>
          <w:tab w:val="left" w:pos="851"/>
        </w:tabs>
        <w:ind w:left="851"/>
        <w:rPr>
          <w:sz w:val="24"/>
          <w:szCs w:val="24"/>
        </w:rPr>
      </w:pPr>
      <w:r w:rsidRPr="00F506D2">
        <w:rPr>
          <w:sz w:val="24"/>
          <w:szCs w:val="24"/>
        </w:rPr>
        <w:t>Grindeks Kalceks Danmark ApS</w:t>
      </w:r>
      <w:r w:rsidRPr="00F506D2">
        <w:rPr>
          <w:sz w:val="24"/>
          <w:szCs w:val="24"/>
        </w:rPr>
        <w:br/>
        <w:t>Klosterstræde 9</w:t>
      </w:r>
    </w:p>
    <w:p w14:paraId="3F949C31" w14:textId="44603280" w:rsidR="00641C65" w:rsidRPr="00641C65" w:rsidRDefault="00F506D2" w:rsidP="00F506D2">
      <w:pPr>
        <w:tabs>
          <w:tab w:val="left" w:pos="851"/>
        </w:tabs>
        <w:ind w:left="851"/>
        <w:rPr>
          <w:sz w:val="24"/>
          <w:szCs w:val="24"/>
        </w:rPr>
      </w:pPr>
      <w:r w:rsidRPr="00F506D2">
        <w:rPr>
          <w:sz w:val="24"/>
          <w:szCs w:val="24"/>
        </w:rPr>
        <w:lastRenderedPageBreak/>
        <w:t>1157 København K</w:t>
      </w:r>
      <w:r w:rsidRPr="00F506D2">
        <w:rPr>
          <w:sz w:val="24"/>
          <w:szCs w:val="24"/>
        </w:rPr>
        <w:br/>
      </w:r>
    </w:p>
    <w:p w14:paraId="4338D73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6A4795E" w14:textId="2C1B80E3" w:rsidR="009260DE" w:rsidRDefault="006E529E" w:rsidP="006E529E">
      <w:pPr>
        <w:tabs>
          <w:tab w:val="left" w:pos="851"/>
          <w:tab w:val="left" w:pos="1843"/>
        </w:tabs>
        <w:ind w:left="851"/>
        <w:rPr>
          <w:sz w:val="24"/>
          <w:szCs w:val="24"/>
        </w:rPr>
      </w:pPr>
      <w:r>
        <w:rPr>
          <w:sz w:val="24"/>
          <w:szCs w:val="24"/>
        </w:rPr>
        <w:t>3,75 mg:</w:t>
      </w:r>
      <w:r>
        <w:rPr>
          <w:sz w:val="24"/>
          <w:szCs w:val="24"/>
        </w:rPr>
        <w:tab/>
        <w:t>68135</w:t>
      </w:r>
    </w:p>
    <w:p w14:paraId="60E94400" w14:textId="06ED7FCB" w:rsidR="006E529E" w:rsidRDefault="006E529E" w:rsidP="006E529E">
      <w:pPr>
        <w:tabs>
          <w:tab w:val="left" w:pos="851"/>
          <w:tab w:val="left" w:pos="1843"/>
        </w:tabs>
        <w:ind w:left="851"/>
        <w:rPr>
          <w:sz w:val="24"/>
          <w:szCs w:val="24"/>
        </w:rPr>
      </w:pPr>
      <w:r>
        <w:rPr>
          <w:sz w:val="24"/>
          <w:szCs w:val="24"/>
        </w:rPr>
        <w:t>5 mg:</w:t>
      </w:r>
      <w:r>
        <w:rPr>
          <w:sz w:val="24"/>
          <w:szCs w:val="24"/>
        </w:rPr>
        <w:tab/>
        <w:t>68136</w:t>
      </w:r>
    </w:p>
    <w:p w14:paraId="29759C92" w14:textId="1655D165" w:rsidR="006E529E" w:rsidRPr="00C84483" w:rsidRDefault="006E529E" w:rsidP="006E529E">
      <w:pPr>
        <w:tabs>
          <w:tab w:val="left" w:pos="851"/>
          <w:tab w:val="left" w:pos="1843"/>
        </w:tabs>
        <w:ind w:left="851"/>
        <w:rPr>
          <w:sz w:val="24"/>
          <w:szCs w:val="24"/>
        </w:rPr>
      </w:pPr>
      <w:r>
        <w:rPr>
          <w:sz w:val="24"/>
          <w:szCs w:val="24"/>
        </w:rPr>
        <w:t>7,5 mg:</w:t>
      </w:r>
      <w:r>
        <w:rPr>
          <w:sz w:val="24"/>
          <w:szCs w:val="24"/>
        </w:rPr>
        <w:tab/>
        <w:t>68137</w:t>
      </w:r>
    </w:p>
    <w:p w14:paraId="1ED1140B" w14:textId="77777777" w:rsidR="009260DE" w:rsidRPr="00C84483" w:rsidRDefault="009260DE" w:rsidP="009260DE">
      <w:pPr>
        <w:tabs>
          <w:tab w:val="left" w:pos="851"/>
        </w:tabs>
        <w:ind w:left="851"/>
        <w:jc w:val="both"/>
        <w:rPr>
          <w:sz w:val="24"/>
          <w:szCs w:val="24"/>
        </w:rPr>
      </w:pPr>
    </w:p>
    <w:p w14:paraId="55FABE7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68C3BB" w14:textId="67086BD1" w:rsidR="009260DE" w:rsidRPr="00C84483" w:rsidRDefault="00196717" w:rsidP="009260DE">
      <w:pPr>
        <w:tabs>
          <w:tab w:val="left" w:pos="851"/>
        </w:tabs>
        <w:ind w:left="851"/>
        <w:rPr>
          <w:sz w:val="24"/>
          <w:szCs w:val="24"/>
        </w:rPr>
      </w:pPr>
      <w:r>
        <w:rPr>
          <w:sz w:val="24"/>
          <w:szCs w:val="24"/>
        </w:rPr>
        <w:t>13. september 2024</w:t>
      </w:r>
    </w:p>
    <w:p w14:paraId="412985C5" w14:textId="77777777" w:rsidR="009260DE" w:rsidRPr="00C84483" w:rsidRDefault="009260DE" w:rsidP="009260DE">
      <w:pPr>
        <w:tabs>
          <w:tab w:val="left" w:pos="851"/>
        </w:tabs>
        <w:ind w:left="851"/>
        <w:rPr>
          <w:sz w:val="24"/>
          <w:szCs w:val="24"/>
        </w:rPr>
      </w:pPr>
    </w:p>
    <w:p w14:paraId="70FDB02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F5CB7D7" w14:textId="08D912D1" w:rsidR="009260DE" w:rsidRPr="00C84483" w:rsidRDefault="006E529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6A8D" w14:textId="77777777" w:rsidR="006C6D5F" w:rsidRDefault="006C6D5F">
      <w:r>
        <w:separator/>
      </w:r>
    </w:p>
  </w:endnote>
  <w:endnote w:type="continuationSeparator" w:id="0">
    <w:p w14:paraId="07A838B1" w14:textId="77777777" w:rsidR="006C6D5F" w:rsidRDefault="006C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A7C8" w14:textId="77777777" w:rsidR="000259B9" w:rsidRDefault="000259B9">
    <w:pPr>
      <w:pStyle w:val="Sidefod"/>
      <w:pBdr>
        <w:bottom w:val="single" w:sz="6" w:space="1" w:color="auto"/>
      </w:pBdr>
    </w:pPr>
  </w:p>
  <w:p w14:paraId="07F27901" w14:textId="77777777" w:rsidR="000259B9" w:rsidRDefault="000259B9" w:rsidP="00C42586">
    <w:pPr>
      <w:pStyle w:val="Sidefod"/>
      <w:tabs>
        <w:tab w:val="clear" w:pos="4819"/>
        <w:tab w:val="left" w:pos="8505"/>
      </w:tabs>
      <w:rPr>
        <w:i/>
        <w:sz w:val="18"/>
        <w:szCs w:val="18"/>
      </w:rPr>
    </w:pPr>
  </w:p>
  <w:p w14:paraId="7C18CA91" w14:textId="00DCCE0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26454">
      <w:rPr>
        <w:i/>
        <w:noProof/>
        <w:sz w:val="18"/>
        <w:szCs w:val="18"/>
      </w:rPr>
      <w:t>Somnols, filmovertrukne tabletter 3,75 mg, 5 mg og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24BC" w14:textId="77777777" w:rsidR="006C6D5F" w:rsidRDefault="006C6D5F">
      <w:r>
        <w:separator/>
      </w:r>
    </w:p>
  </w:footnote>
  <w:footnote w:type="continuationSeparator" w:id="0">
    <w:p w14:paraId="372B0C5E" w14:textId="77777777" w:rsidR="006C6D5F" w:rsidRDefault="006C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631C"/>
    <w:multiLevelType w:val="hybridMultilevel"/>
    <w:tmpl w:val="F40035EA"/>
    <w:lvl w:ilvl="0" w:tplc="F53A7E0E">
      <w:start w:val="1"/>
      <w:numFmt w:val="bullet"/>
      <w:lvlText w:val=""/>
      <w:lvlJc w:val="left"/>
      <w:pPr>
        <w:ind w:left="720" w:hanging="360"/>
      </w:pPr>
      <w:rPr>
        <w:rFonts w:ascii="Symbol" w:hAnsi="Symbol" w:hint="default"/>
      </w:rPr>
    </w:lvl>
    <w:lvl w:ilvl="1" w:tplc="69041B78">
      <w:start w:val="1"/>
      <w:numFmt w:val="bullet"/>
      <w:lvlText w:val="o"/>
      <w:lvlJc w:val="left"/>
      <w:pPr>
        <w:ind w:left="1440" w:hanging="360"/>
      </w:pPr>
      <w:rPr>
        <w:rFonts w:ascii="Courier New" w:hAnsi="Courier New" w:cs="Courier New" w:hint="default"/>
      </w:rPr>
    </w:lvl>
    <w:lvl w:ilvl="2" w:tplc="184CA048">
      <w:start w:val="1"/>
      <w:numFmt w:val="bullet"/>
      <w:lvlText w:val=""/>
      <w:lvlJc w:val="left"/>
      <w:pPr>
        <w:ind w:left="2160" w:hanging="360"/>
      </w:pPr>
      <w:rPr>
        <w:rFonts w:ascii="Wingdings" w:hAnsi="Wingdings" w:hint="default"/>
      </w:rPr>
    </w:lvl>
    <w:lvl w:ilvl="3" w:tplc="62803172">
      <w:start w:val="1"/>
      <w:numFmt w:val="bullet"/>
      <w:lvlText w:val=""/>
      <w:lvlJc w:val="left"/>
      <w:pPr>
        <w:ind w:left="2880" w:hanging="360"/>
      </w:pPr>
      <w:rPr>
        <w:rFonts w:ascii="Symbol" w:hAnsi="Symbol" w:hint="default"/>
      </w:rPr>
    </w:lvl>
    <w:lvl w:ilvl="4" w:tplc="526A3B6E">
      <w:start w:val="1"/>
      <w:numFmt w:val="bullet"/>
      <w:lvlText w:val="o"/>
      <w:lvlJc w:val="left"/>
      <w:pPr>
        <w:ind w:left="3600" w:hanging="360"/>
      </w:pPr>
      <w:rPr>
        <w:rFonts w:ascii="Courier New" w:hAnsi="Courier New" w:cs="Courier New" w:hint="default"/>
      </w:rPr>
    </w:lvl>
    <w:lvl w:ilvl="5" w:tplc="6ECE7632">
      <w:start w:val="1"/>
      <w:numFmt w:val="bullet"/>
      <w:lvlText w:val=""/>
      <w:lvlJc w:val="left"/>
      <w:pPr>
        <w:ind w:left="4320" w:hanging="360"/>
      </w:pPr>
      <w:rPr>
        <w:rFonts w:ascii="Wingdings" w:hAnsi="Wingdings" w:hint="default"/>
      </w:rPr>
    </w:lvl>
    <w:lvl w:ilvl="6" w:tplc="F7923382">
      <w:start w:val="1"/>
      <w:numFmt w:val="bullet"/>
      <w:lvlText w:val=""/>
      <w:lvlJc w:val="left"/>
      <w:pPr>
        <w:ind w:left="5040" w:hanging="360"/>
      </w:pPr>
      <w:rPr>
        <w:rFonts w:ascii="Symbol" w:hAnsi="Symbol" w:hint="default"/>
      </w:rPr>
    </w:lvl>
    <w:lvl w:ilvl="7" w:tplc="6D5AA908">
      <w:start w:val="1"/>
      <w:numFmt w:val="bullet"/>
      <w:lvlText w:val="o"/>
      <w:lvlJc w:val="left"/>
      <w:pPr>
        <w:ind w:left="5760" w:hanging="360"/>
      </w:pPr>
      <w:rPr>
        <w:rFonts w:ascii="Courier New" w:hAnsi="Courier New" w:cs="Courier New" w:hint="default"/>
      </w:rPr>
    </w:lvl>
    <w:lvl w:ilvl="8" w:tplc="28F0C1E2">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D88193E"/>
    <w:multiLevelType w:val="hybridMultilevel"/>
    <w:tmpl w:val="458EEB94"/>
    <w:lvl w:ilvl="0" w:tplc="7EEA6D24">
      <w:numFmt w:val="bullet"/>
      <w:lvlText w:val="-"/>
      <w:lvlJc w:val="left"/>
      <w:pPr>
        <w:ind w:left="720" w:hanging="360"/>
      </w:pPr>
      <w:rPr>
        <w:rFonts w:ascii="Times New Roman" w:eastAsia="Times New Roman" w:hAnsi="Times New Roman" w:cs="Times New Roman" w:hint="default"/>
      </w:rPr>
    </w:lvl>
    <w:lvl w:ilvl="1" w:tplc="830866F4">
      <w:start w:val="1"/>
      <w:numFmt w:val="bullet"/>
      <w:lvlText w:val="o"/>
      <w:lvlJc w:val="left"/>
      <w:pPr>
        <w:ind w:left="1440" w:hanging="360"/>
      </w:pPr>
      <w:rPr>
        <w:rFonts w:ascii="Courier New" w:hAnsi="Courier New" w:cs="Courier New" w:hint="default"/>
      </w:rPr>
    </w:lvl>
    <w:lvl w:ilvl="2" w:tplc="0A8AD00E">
      <w:start w:val="1"/>
      <w:numFmt w:val="bullet"/>
      <w:lvlText w:val=""/>
      <w:lvlJc w:val="left"/>
      <w:pPr>
        <w:ind w:left="2160" w:hanging="360"/>
      </w:pPr>
      <w:rPr>
        <w:rFonts w:ascii="Wingdings" w:hAnsi="Wingdings" w:hint="default"/>
      </w:rPr>
    </w:lvl>
    <w:lvl w:ilvl="3" w:tplc="488CAA80">
      <w:start w:val="1"/>
      <w:numFmt w:val="bullet"/>
      <w:lvlText w:val=""/>
      <w:lvlJc w:val="left"/>
      <w:pPr>
        <w:ind w:left="2880" w:hanging="360"/>
      </w:pPr>
      <w:rPr>
        <w:rFonts w:ascii="Symbol" w:hAnsi="Symbol" w:hint="default"/>
      </w:rPr>
    </w:lvl>
    <w:lvl w:ilvl="4" w:tplc="9084C270">
      <w:start w:val="1"/>
      <w:numFmt w:val="bullet"/>
      <w:lvlText w:val="o"/>
      <w:lvlJc w:val="left"/>
      <w:pPr>
        <w:ind w:left="3600" w:hanging="360"/>
      </w:pPr>
      <w:rPr>
        <w:rFonts w:ascii="Courier New" w:hAnsi="Courier New" w:cs="Courier New" w:hint="default"/>
      </w:rPr>
    </w:lvl>
    <w:lvl w:ilvl="5" w:tplc="B640513A">
      <w:start w:val="1"/>
      <w:numFmt w:val="bullet"/>
      <w:lvlText w:val=""/>
      <w:lvlJc w:val="left"/>
      <w:pPr>
        <w:ind w:left="4320" w:hanging="360"/>
      </w:pPr>
      <w:rPr>
        <w:rFonts w:ascii="Wingdings" w:hAnsi="Wingdings" w:hint="default"/>
      </w:rPr>
    </w:lvl>
    <w:lvl w:ilvl="6" w:tplc="90D845EC">
      <w:start w:val="1"/>
      <w:numFmt w:val="bullet"/>
      <w:lvlText w:val=""/>
      <w:lvlJc w:val="left"/>
      <w:pPr>
        <w:ind w:left="5040" w:hanging="360"/>
      </w:pPr>
      <w:rPr>
        <w:rFonts w:ascii="Symbol" w:hAnsi="Symbol" w:hint="default"/>
      </w:rPr>
    </w:lvl>
    <w:lvl w:ilvl="7" w:tplc="EF1C8CEC">
      <w:start w:val="1"/>
      <w:numFmt w:val="bullet"/>
      <w:lvlText w:val="o"/>
      <w:lvlJc w:val="left"/>
      <w:pPr>
        <w:ind w:left="5760" w:hanging="360"/>
      </w:pPr>
      <w:rPr>
        <w:rFonts w:ascii="Courier New" w:hAnsi="Courier New" w:cs="Courier New" w:hint="default"/>
      </w:rPr>
    </w:lvl>
    <w:lvl w:ilvl="8" w:tplc="C5443646">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1D661E5"/>
    <w:multiLevelType w:val="hybridMultilevel"/>
    <w:tmpl w:val="F8AC931A"/>
    <w:lvl w:ilvl="0" w:tplc="C7E658B4">
      <w:start w:val="1"/>
      <w:numFmt w:val="bullet"/>
      <w:lvlText w:val="-"/>
      <w:lvlJc w:val="left"/>
      <w:pPr>
        <w:ind w:left="720" w:hanging="360"/>
      </w:pPr>
    </w:lvl>
    <w:lvl w:ilvl="1" w:tplc="67AA7D44">
      <w:start w:val="1"/>
      <w:numFmt w:val="bullet"/>
      <w:lvlText w:val="o"/>
      <w:lvlJc w:val="left"/>
      <w:pPr>
        <w:ind w:left="1440" w:hanging="360"/>
      </w:pPr>
      <w:rPr>
        <w:rFonts w:ascii="Courier New" w:hAnsi="Courier New" w:cs="Courier New" w:hint="default"/>
      </w:rPr>
    </w:lvl>
    <w:lvl w:ilvl="2" w:tplc="2BC0F3A4">
      <w:start w:val="1"/>
      <w:numFmt w:val="bullet"/>
      <w:lvlText w:val=""/>
      <w:lvlJc w:val="left"/>
      <w:pPr>
        <w:ind w:left="2160" w:hanging="360"/>
      </w:pPr>
      <w:rPr>
        <w:rFonts w:ascii="Wingdings" w:hAnsi="Wingdings" w:hint="default"/>
      </w:rPr>
    </w:lvl>
    <w:lvl w:ilvl="3" w:tplc="70B2BA5C">
      <w:start w:val="1"/>
      <w:numFmt w:val="bullet"/>
      <w:lvlText w:val=""/>
      <w:lvlJc w:val="left"/>
      <w:pPr>
        <w:ind w:left="2880" w:hanging="360"/>
      </w:pPr>
      <w:rPr>
        <w:rFonts w:ascii="Symbol" w:hAnsi="Symbol" w:hint="default"/>
      </w:rPr>
    </w:lvl>
    <w:lvl w:ilvl="4" w:tplc="D3E6B67E">
      <w:start w:val="1"/>
      <w:numFmt w:val="bullet"/>
      <w:lvlText w:val="o"/>
      <w:lvlJc w:val="left"/>
      <w:pPr>
        <w:ind w:left="3600" w:hanging="360"/>
      </w:pPr>
      <w:rPr>
        <w:rFonts w:ascii="Courier New" w:hAnsi="Courier New" w:cs="Courier New" w:hint="default"/>
      </w:rPr>
    </w:lvl>
    <w:lvl w:ilvl="5" w:tplc="A7780FF4">
      <w:start w:val="1"/>
      <w:numFmt w:val="bullet"/>
      <w:lvlText w:val=""/>
      <w:lvlJc w:val="left"/>
      <w:pPr>
        <w:ind w:left="4320" w:hanging="360"/>
      </w:pPr>
      <w:rPr>
        <w:rFonts w:ascii="Wingdings" w:hAnsi="Wingdings" w:hint="default"/>
      </w:rPr>
    </w:lvl>
    <w:lvl w:ilvl="6" w:tplc="55947CF8">
      <w:start w:val="1"/>
      <w:numFmt w:val="bullet"/>
      <w:lvlText w:val=""/>
      <w:lvlJc w:val="left"/>
      <w:pPr>
        <w:ind w:left="5040" w:hanging="360"/>
      </w:pPr>
      <w:rPr>
        <w:rFonts w:ascii="Symbol" w:hAnsi="Symbol" w:hint="default"/>
      </w:rPr>
    </w:lvl>
    <w:lvl w:ilvl="7" w:tplc="CC6E0D66">
      <w:start w:val="1"/>
      <w:numFmt w:val="bullet"/>
      <w:lvlText w:val="o"/>
      <w:lvlJc w:val="left"/>
      <w:pPr>
        <w:ind w:left="5760" w:hanging="360"/>
      </w:pPr>
      <w:rPr>
        <w:rFonts w:ascii="Courier New" w:hAnsi="Courier New" w:cs="Courier New" w:hint="default"/>
      </w:rPr>
    </w:lvl>
    <w:lvl w:ilvl="8" w:tplc="71E61466">
      <w:start w:val="1"/>
      <w:numFmt w:val="bullet"/>
      <w:lvlText w:val=""/>
      <w:lvlJc w:val="left"/>
      <w:pPr>
        <w:ind w:left="6480" w:hanging="360"/>
      </w:pPr>
      <w:rPr>
        <w:rFonts w:ascii="Wingdings" w:hAnsi="Wingdings" w:hint="default"/>
      </w:rPr>
    </w:lvl>
  </w:abstractNum>
  <w:abstractNum w:abstractNumId="8" w15:restartNumberingAfterBreak="0">
    <w:nsid w:val="77746840"/>
    <w:multiLevelType w:val="hybridMultilevel"/>
    <w:tmpl w:val="540230C2"/>
    <w:lvl w:ilvl="0" w:tplc="2370F03E">
      <w:numFmt w:val="bullet"/>
      <w:lvlText w:val=""/>
      <w:lvlJc w:val="left"/>
      <w:pPr>
        <w:ind w:left="606" w:hanging="127"/>
      </w:pPr>
      <w:rPr>
        <w:rFonts w:ascii="Symbol" w:eastAsia="Symbol" w:hAnsi="Symbol" w:cs="Symbol" w:hint="default"/>
        <w:w w:val="100"/>
        <w:sz w:val="20"/>
        <w:szCs w:val="20"/>
      </w:rPr>
    </w:lvl>
    <w:lvl w:ilvl="1" w:tplc="44002F30">
      <w:numFmt w:val="bullet"/>
      <w:lvlText w:val="-"/>
      <w:lvlJc w:val="left"/>
      <w:pPr>
        <w:ind w:left="847" w:hanging="127"/>
      </w:pPr>
      <w:rPr>
        <w:rFonts w:ascii="Times New Roman" w:eastAsia="Times New Roman" w:hAnsi="Times New Roman" w:cs="Times New Roman" w:hint="default"/>
        <w:w w:val="100"/>
        <w:sz w:val="20"/>
        <w:szCs w:val="20"/>
      </w:rPr>
    </w:lvl>
    <w:lvl w:ilvl="2" w:tplc="C7EAD6D0">
      <w:numFmt w:val="bullet"/>
      <w:lvlText w:val="•"/>
      <w:lvlJc w:val="left"/>
      <w:pPr>
        <w:ind w:left="1975" w:hanging="127"/>
      </w:pPr>
    </w:lvl>
    <w:lvl w:ilvl="3" w:tplc="8DB873CE">
      <w:numFmt w:val="bullet"/>
      <w:lvlText w:val="•"/>
      <w:lvlJc w:val="left"/>
      <w:pPr>
        <w:ind w:left="3110" w:hanging="127"/>
      </w:pPr>
    </w:lvl>
    <w:lvl w:ilvl="4" w:tplc="4200892C">
      <w:numFmt w:val="bullet"/>
      <w:lvlText w:val="•"/>
      <w:lvlJc w:val="left"/>
      <w:pPr>
        <w:ind w:left="4246" w:hanging="127"/>
      </w:pPr>
    </w:lvl>
    <w:lvl w:ilvl="5" w:tplc="F936353E">
      <w:numFmt w:val="bullet"/>
      <w:lvlText w:val="•"/>
      <w:lvlJc w:val="left"/>
      <w:pPr>
        <w:ind w:left="5381" w:hanging="127"/>
      </w:pPr>
    </w:lvl>
    <w:lvl w:ilvl="6" w:tplc="F762F05C">
      <w:numFmt w:val="bullet"/>
      <w:lvlText w:val="•"/>
      <w:lvlJc w:val="left"/>
      <w:pPr>
        <w:ind w:left="6517" w:hanging="127"/>
      </w:pPr>
    </w:lvl>
    <w:lvl w:ilvl="7" w:tplc="B58C6322">
      <w:numFmt w:val="bullet"/>
      <w:lvlText w:val="•"/>
      <w:lvlJc w:val="left"/>
      <w:pPr>
        <w:ind w:left="7652" w:hanging="127"/>
      </w:pPr>
    </w:lvl>
    <w:lvl w:ilvl="8" w:tplc="74D4813A">
      <w:numFmt w:val="bullet"/>
      <w:lvlText w:val="•"/>
      <w:lvlJc w:val="left"/>
      <w:pPr>
        <w:ind w:left="8788" w:hanging="12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5F"/>
    <w:rsid w:val="000259B9"/>
    <w:rsid w:val="00041491"/>
    <w:rsid w:val="00050D16"/>
    <w:rsid w:val="000730CA"/>
    <w:rsid w:val="00074F2A"/>
    <w:rsid w:val="000A1CA8"/>
    <w:rsid w:val="000A466B"/>
    <w:rsid w:val="000B058C"/>
    <w:rsid w:val="000D68B0"/>
    <w:rsid w:val="000E4EE6"/>
    <w:rsid w:val="001454E2"/>
    <w:rsid w:val="00196717"/>
    <w:rsid w:val="00206CE8"/>
    <w:rsid w:val="0021526C"/>
    <w:rsid w:val="00226454"/>
    <w:rsid w:val="00283A2B"/>
    <w:rsid w:val="002A4B25"/>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67A0"/>
    <w:rsid w:val="00637F5A"/>
    <w:rsid w:val="00641C65"/>
    <w:rsid w:val="006560B1"/>
    <w:rsid w:val="006756DD"/>
    <w:rsid w:val="00685A45"/>
    <w:rsid w:val="006C6D5F"/>
    <w:rsid w:val="006E529E"/>
    <w:rsid w:val="0071241E"/>
    <w:rsid w:val="00737275"/>
    <w:rsid w:val="00740EEC"/>
    <w:rsid w:val="00750E74"/>
    <w:rsid w:val="0078011A"/>
    <w:rsid w:val="00782AF4"/>
    <w:rsid w:val="00790EE7"/>
    <w:rsid w:val="007B6649"/>
    <w:rsid w:val="0082576E"/>
    <w:rsid w:val="0089346F"/>
    <w:rsid w:val="00907F75"/>
    <w:rsid w:val="009260DE"/>
    <w:rsid w:val="0093258A"/>
    <w:rsid w:val="00996271"/>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01A5"/>
    <w:rsid w:val="00EC0B9B"/>
    <w:rsid w:val="00ED5E9F"/>
    <w:rsid w:val="00F506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B2785"/>
  <w15:chartTrackingRefBased/>
  <w15:docId w15:val="{39EA2E93-7851-47AE-8FA8-DF11E0F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E6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452">
      <w:bodyDiv w:val="1"/>
      <w:marLeft w:val="0"/>
      <w:marRight w:val="0"/>
      <w:marTop w:val="0"/>
      <w:marBottom w:val="0"/>
      <w:divBdr>
        <w:top w:val="none" w:sz="0" w:space="0" w:color="auto"/>
        <w:left w:val="none" w:sz="0" w:space="0" w:color="auto"/>
        <w:bottom w:val="none" w:sz="0" w:space="0" w:color="auto"/>
        <w:right w:val="none" w:sz="0" w:space="0" w:color="auto"/>
      </w:divBdr>
    </w:div>
    <w:div w:id="121273187">
      <w:bodyDiv w:val="1"/>
      <w:marLeft w:val="0"/>
      <w:marRight w:val="0"/>
      <w:marTop w:val="0"/>
      <w:marBottom w:val="0"/>
      <w:divBdr>
        <w:top w:val="none" w:sz="0" w:space="0" w:color="auto"/>
        <w:left w:val="none" w:sz="0" w:space="0" w:color="auto"/>
        <w:bottom w:val="none" w:sz="0" w:space="0" w:color="auto"/>
        <w:right w:val="none" w:sz="0" w:space="0" w:color="auto"/>
      </w:divBdr>
    </w:div>
    <w:div w:id="1396603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892557">
      <w:bodyDiv w:val="1"/>
      <w:marLeft w:val="0"/>
      <w:marRight w:val="0"/>
      <w:marTop w:val="0"/>
      <w:marBottom w:val="0"/>
      <w:divBdr>
        <w:top w:val="none" w:sz="0" w:space="0" w:color="auto"/>
        <w:left w:val="none" w:sz="0" w:space="0" w:color="auto"/>
        <w:bottom w:val="none" w:sz="0" w:space="0" w:color="auto"/>
        <w:right w:val="none" w:sz="0" w:space="0" w:color="auto"/>
      </w:divBdr>
    </w:div>
    <w:div w:id="261383803">
      <w:bodyDiv w:val="1"/>
      <w:marLeft w:val="0"/>
      <w:marRight w:val="0"/>
      <w:marTop w:val="0"/>
      <w:marBottom w:val="0"/>
      <w:divBdr>
        <w:top w:val="none" w:sz="0" w:space="0" w:color="auto"/>
        <w:left w:val="none" w:sz="0" w:space="0" w:color="auto"/>
        <w:bottom w:val="none" w:sz="0" w:space="0" w:color="auto"/>
        <w:right w:val="none" w:sz="0" w:space="0" w:color="auto"/>
      </w:divBdr>
    </w:div>
    <w:div w:id="275866599">
      <w:bodyDiv w:val="1"/>
      <w:marLeft w:val="0"/>
      <w:marRight w:val="0"/>
      <w:marTop w:val="0"/>
      <w:marBottom w:val="0"/>
      <w:divBdr>
        <w:top w:val="none" w:sz="0" w:space="0" w:color="auto"/>
        <w:left w:val="none" w:sz="0" w:space="0" w:color="auto"/>
        <w:bottom w:val="none" w:sz="0" w:space="0" w:color="auto"/>
        <w:right w:val="none" w:sz="0" w:space="0" w:color="auto"/>
      </w:divBdr>
    </w:div>
    <w:div w:id="293147251">
      <w:bodyDiv w:val="1"/>
      <w:marLeft w:val="0"/>
      <w:marRight w:val="0"/>
      <w:marTop w:val="0"/>
      <w:marBottom w:val="0"/>
      <w:divBdr>
        <w:top w:val="none" w:sz="0" w:space="0" w:color="auto"/>
        <w:left w:val="none" w:sz="0" w:space="0" w:color="auto"/>
        <w:bottom w:val="none" w:sz="0" w:space="0" w:color="auto"/>
        <w:right w:val="none" w:sz="0" w:space="0" w:color="auto"/>
      </w:divBdr>
    </w:div>
    <w:div w:id="328021212">
      <w:bodyDiv w:val="1"/>
      <w:marLeft w:val="0"/>
      <w:marRight w:val="0"/>
      <w:marTop w:val="0"/>
      <w:marBottom w:val="0"/>
      <w:divBdr>
        <w:top w:val="none" w:sz="0" w:space="0" w:color="auto"/>
        <w:left w:val="none" w:sz="0" w:space="0" w:color="auto"/>
        <w:bottom w:val="none" w:sz="0" w:space="0" w:color="auto"/>
        <w:right w:val="none" w:sz="0" w:space="0" w:color="auto"/>
      </w:divBdr>
    </w:div>
    <w:div w:id="373651323">
      <w:bodyDiv w:val="1"/>
      <w:marLeft w:val="0"/>
      <w:marRight w:val="0"/>
      <w:marTop w:val="0"/>
      <w:marBottom w:val="0"/>
      <w:divBdr>
        <w:top w:val="none" w:sz="0" w:space="0" w:color="auto"/>
        <w:left w:val="none" w:sz="0" w:space="0" w:color="auto"/>
        <w:bottom w:val="none" w:sz="0" w:space="0" w:color="auto"/>
        <w:right w:val="none" w:sz="0" w:space="0" w:color="auto"/>
      </w:divBdr>
    </w:div>
    <w:div w:id="425082945">
      <w:bodyDiv w:val="1"/>
      <w:marLeft w:val="0"/>
      <w:marRight w:val="0"/>
      <w:marTop w:val="0"/>
      <w:marBottom w:val="0"/>
      <w:divBdr>
        <w:top w:val="none" w:sz="0" w:space="0" w:color="auto"/>
        <w:left w:val="none" w:sz="0" w:space="0" w:color="auto"/>
        <w:bottom w:val="none" w:sz="0" w:space="0" w:color="auto"/>
        <w:right w:val="none" w:sz="0" w:space="0" w:color="auto"/>
      </w:divBdr>
    </w:div>
    <w:div w:id="510729611">
      <w:bodyDiv w:val="1"/>
      <w:marLeft w:val="0"/>
      <w:marRight w:val="0"/>
      <w:marTop w:val="0"/>
      <w:marBottom w:val="0"/>
      <w:divBdr>
        <w:top w:val="none" w:sz="0" w:space="0" w:color="auto"/>
        <w:left w:val="none" w:sz="0" w:space="0" w:color="auto"/>
        <w:bottom w:val="none" w:sz="0" w:space="0" w:color="auto"/>
        <w:right w:val="none" w:sz="0" w:space="0" w:color="auto"/>
      </w:divBdr>
    </w:div>
    <w:div w:id="517819992">
      <w:bodyDiv w:val="1"/>
      <w:marLeft w:val="0"/>
      <w:marRight w:val="0"/>
      <w:marTop w:val="0"/>
      <w:marBottom w:val="0"/>
      <w:divBdr>
        <w:top w:val="none" w:sz="0" w:space="0" w:color="auto"/>
        <w:left w:val="none" w:sz="0" w:space="0" w:color="auto"/>
        <w:bottom w:val="none" w:sz="0" w:space="0" w:color="auto"/>
        <w:right w:val="none" w:sz="0" w:space="0" w:color="auto"/>
      </w:divBdr>
    </w:div>
    <w:div w:id="554004501">
      <w:bodyDiv w:val="1"/>
      <w:marLeft w:val="0"/>
      <w:marRight w:val="0"/>
      <w:marTop w:val="0"/>
      <w:marBottom w:val="0"/>
      <w:divBdr>
        <w:top w:val="none" w:sz="0" w:space="0" w:color="auto"/>
        <w:left w:val="none" w:sz="0" w:space="0" w:color="auto"/>
        <w:bottom w:val="none" w:sz="0" w:space="0" w:color="auto"/>
        <w:right w:val="none" w:sz="0" w:space="0" w:color="auto"/>
      </w:divBdr>
    </w:div>
    <w:div w:id="555705837">
      <w:bodyDiv w:val="1"/>
      <w:marLeft w:val="0"/>
      <w:marRight w:val="0"/>
      <w:marTop w:val="0"/>
      <w:marBottom w:val="0"/>
      <w:divBdr>
        <w:top w:val="none" w:sz="0" w:space="0" w:color="auto"/>
        <w:left w:val="none" w:sz="0" w:space="0" w:color="auto"/>
        <w:bottom w:val="none" w:sz="0" w:space="0" w:color="auto"/>
        <w:right w:val="none" w:sz="0" w:space="0" w:color="auto"/>
      </w:divBdr>
    </w:div>
    <w:div w:id="643395315">
      <w:bodyDiv w:val="1"/>
      <w:marLeft w:val="0"/>
      <w:marRight w:val="0"/>
      <w:marTop w:val="0"/>
      <w:marBottom w:val="0"/>
      <w:divBdr>
        <w:top w:val="none" w:sz="0" w:space="0" w:color="auto"/>
        <w:left w:val="none" w:sz="0" w:space="0" w:color="auto"/>
        <w:bottom w:val="none" w:sz="0" w:space="0" w:color="auto"/>
        <w:right w:val="none" w:sz="0" w:space="0" w:color="auto"/>
      </w:divBdr>
    </w:div>
    <w:div w:id="662195838">
      <w:bodyDiv w:val="1"/>
      <w:marLeft w:val="0"/>
      <w:marRight w:val="0"/>
      <w:marTop w:val="0"/>
      <w:marBottom w:val="0"/>
      <w:divBdr>
        <w:top w:val="none" w:sz="0" w:space="0" w:color="auto"/>
        <w:left w:val="none" w:sz="0" w:space="0" w:color="auto"/>
        <w:bottom w:val="none" w:sz="0" w:space="0" w:color="auto"/>
        <w:right w:val="none" w:sz="0" w:space="0" w:color="auto"/>
      </w:divBdr>
    </w:div>
    <w:div w:id="688487771">
      <w:bodyDiv w:val="1"/>
      <w:marLeft w:val="0"/>
      <w:marRight w:val="0"/>
      <w:marTop w:val="0"/>
      <w:marBottom w:val="0"/>
      <w:divBdr>
        <w:top w:val="none" w:sz="0" w:space="0" w:color="auto"/>
        <w:left w:val="none" w:sz="0" w:space="0" w:color="auto"/>
        <w:bottom w:val="none" w:sz="0" w:space="0" w:color="auto"/>
        <w:right w:val="none" w:sz="0" w:space="0" w:color="auto"/>
      </w:divBdr>
    </w:div>
    <w:div w:id="711460350">
      <w:bodyDiv w:val="1"/>
      <w:marLeft w:val="0"/>
      <w:marRight w:val="0"/>
      <w:marTop w:val="0"/>
      <w:marBottom w:val="0"/>
      <w:divBdr>
        <w:top w:val="none" w:sz="0" w:space="0" w:color="auto"/>
        <w:left w:val="none" w:sz="0" w:space="0" w:color="auto"/>
        <w:bottom w:val="none" w:sz="0" w:space="0" w:color="auto"/>
        <w:right w:val="none" w:sz="0" w:space="0" w:color="auto"/>
      </w:divBdr>
    </w:div>
    <w:div w:id="785150781">
      <w:bodyDiv w:val="1"/>
      <w:marLeft w:val="0"/>
      <w:marRight w:val="0"/>
      <w:marTop w:val="0"/>
      <w:marBottom w:val="0"/>
      <w:divBdr>
        <w:top w:val="none" w:sz="0" w:space="0" w:color="auto"/>
        <w:left w:val="none" w:sz="0" w:space="0" w:color="auto"/>
        <w:bottom w:val="none" w:sz="0" w:space="0" w:color="auto"/>
        <w:right w:val="none" w:sz="0" w:space="0" w:color="auto"/>
      </w:divBdr>
    </w:div>
    <w:div w:id="825246306">
      <w:bodyDiv w:val="1"/>
      <w:marLeft w:val="0"/>
      <w:marRight w:val="0"/>
      <w:marTop w:val="0"/>
      <w:marBottom w:val="0"/>
      <w:divBdr>
        <w:top w:val="none" w:sz="0" w:space="0" w:color="auto"/>
        <w:left w:val="none" w:sz="0" w:space="0" w:color="auto"/>
        <w:bottom w:val="none" w:sz="0" w:space="0" w:color="auto"/>
        <w:right w:val="none" w:sz="0" w:space="0" w:color="auto"/>
      </w:divBdr>
    </w:div>
    <w:div w:id="836576755">
      <w:bodyDiv w:val="1"/>
      <w:marLeft w:val="0"/>
      <w:marRight w:val="0"/>
      <w:marTop w:val="0"/>
      <w:marBottom w:val="0"/>
      <w:divBdr>
        <w:top w:val="none" w:sz="0" w:space="0" w:color="auto"/>
        <w:left w:val="none" w:sz="0" w:space="0" w:color="auto"/>
        <w:bottom w:val="none" w:sz="0" w:space="0" w:color="auto"/>
        <w:right w:val="none" w:sz="0" w:space="0" w:color="auto"/>
      </w:divBdr>
    </w:div>
    <w:div w:id="953444116">
      <w:bodyDiv w:val="1"/>
      <w:marLeft w:val="0"/>
      <w:marRight w:val="0"/>
      <w:marTop w:val="0"/>
      <w:marBottom w:val="0"/>
      <w:divBdr>
        <w:top w:val="none" w:sz="0" w:space="0" w:color="auto"/>
        <w:left w:val="none" w:sz="0" w:space="0" w:color="auto"/>
        <w:bottom w:val="none" w:sz="0" w:space="0" w:color="auto"/>
        <w:right w:val="none" w:sz="0" w:space="0" w:color="auto"/>
      </w:divBdr>
    </w:div>
    <w:div w:id="1120684063">
      <w:bodyDiv w:val="1"/>
      <w:marLeft w:val="0"/>
      <w:marRight w:val="0"/>
      <w:marTop w:val="0"/>
      <w:marBottom w:val="0"/>
      <w:divBdr>
        <w:top w:val="none" w:sz="0" w:space="0" w:color="auto"/>
        <w:left w:val="none" w:sz="0" w:space="0" w:color="auto"/>
        <w:bottom w:val="none" w:sz="0" w:space="0" w:color="auto"/>
        <w:right w:val="none" w:sz="0" w:space="0" w:color="auto"/>
      </w:divBdr>
    </w:div>
    <w:div w:id="1160535859">
      <w:bodyDiv w:val="1"/>
      <w:marLeft w:val="0"/>
      <w:marRight w:val="0"/>
      <w:marTop w:val="0"/>
      <w:marBottom w:val="0"/>
      <w:divBdr>
        <w:top w:val="none" w:sz="0" w:space="0" w:color="auto"/>
        <w:left w:val="none" w:sz="0" w:space="0" w:color="auto"/>
        <w:bottom w:val="none" w:sz="0" w:space="0" w:color="auto"/>
        <w:right w:val="none" w:sz="0" w:space="0" w:color="auto"/>
      </w:divBdr>
    </w:div>
    <w:div w:id="1427967354">
      <w:bodyDiv w:val="1"/>
      <w:marLeft w:val="0"/>
      <w:marRight w:val="0"/>
      <w:marTop w:val="0"/>
      <w:marBottom w:val="0"/>
      <w:divBdr>
        <w:top w:val="none" w:sz="0" w:space="0" w:color="auto"/>
        <w:left w:val="none" w:sz="0" w:space="0" w:color="auto"/>
        <w:bottom w:val="none" w:sz="0" w:space="0" w:color="auto"/>
        <w:right w:val="none" w:sz="0" w:space="0" w:color="auto"/>
      </w:divBdr>
    </w:div>
    <w:div w:id="1455783385">
      <w:bodyDiv w:val="1"/>
      <w:marLeft w:val="0"/>
      <w:marRight w:val="0"/>
      <w:marTop w:val="0"/>
      <w:marBottom w:val="0"/>
      <w:divBdr>
        <w:top w:val="none" w:sz="0" w:space="0" w:color="auto"/>
        <w:left w:val="none" w:sz="0" w:space="0" w:color="auto"/>
        <w:bottom w:val="none" w:sz="0" w:space="0" w:color="auto"/>
        <w:right w:val="none" w:sz="0" w:space="0" w:color="auto"/>
      </w:divBdr>
    </w:div>
    <w:div w:id="1467089253">
      <w:bodyDiv w:val="1"/>
      <w:marLeft w:val="0"/>
      <w:marRight w:val="0"/>
      <w:marTop w:val="0"/>
      <w:marBottom w:val="0"/>
      <w:divBdr>
        <w:top w:val="none" w:sz="0" w:space="0" w:color="auto"/>
        <w:left w:val="none" w:sz="0" w:space="0" w:color="auto"/>
        <w:bottom w:val="none" w:sz="0" w:space="0" w:color="auto"/>
        <w:right w:val="none" w:sz="0" w:space="0" w:color="auto"/>
      </w:divBdr>
    </w:div>
    <w:div w:id="1477913285">
      <w:bodyDiv w:val="1"/>
      <w:marLeft w:val="0"/>
      <w:marRight w:val="0"/>
      <w:marTop w:val="0"/>
      <w:marBottom w:val="0"/>
      <w:divBdr>
        <w:top w:val="none" w:sz="0" w:space="0" w:color="auto"/>
        <w:left w:val="none" w:sz="0" w:space="0" w:color="auto"/>
        <w:bottom w:val="none" w:sz="0" w:space="0" w:color="auto"/>
        <w:right w:val="none" w:sz="0" w:space="0" w:color="auto"/>
      </w:divBdr>
    </w:div>
    <w:div w:id="1482112840">
      <w:bodyDiv w:val="1"/>
      <w:marLeft w:val="0"/>
      <w:marRight w:val="0"/>
      <w:marTop w:val="0"/>
      <w:marBottom w:val="0"/>
      <w:divBdr>
        <w:top w:val="none" w:sz="0" w:space="0" w:color="auto"/>
        <w:left w:val="none" w:sz="0" w:space="0" w:color="auto"/>
        <w:bottom w:val="none" w:sz="0" w:space="0" w:color="auto"/>
        <w:right w:val="none" w:sz="0" w:space="0" w:color="auto"/>
      </w:divBdr>
    </w:div>
    <w:div w:id="1507860788">
      <w:bodyDiv w:val="1"/>
      <w:marLeft w:val="0"/>
      <w:marRight w:val="0"/>
      <w:marTop w:val="0"/>
      <w:marBottom w:val="0"/>
      <w:divBdr>
        <w:top w:val="none" w:sz="0" w:space="0" w:color="auto"/>
        <w:left w:val="none" w:sz="0" w:space="0" w:color="auto"/>
        <w:bottom w:val="none" w:sz="0" w:space="0" w:color="auto"/>
        <w:right w:val="none" w:sz="0" w:space="0" w:color="auto"/>
      </w:divBdr>
    </w:div>
    <w:div w:id="1612935271">
      <w:bodyDiv w:val="1"/>
      <w:marLeft w:val="0"/>
      <w:marRight w:val="0"/>
      <w:marTop w:val="0"/>
      <w:marBottom w:val="0"/>
      <w:divBdr>
        <w:top w:val="none" w:sz="0" w:space="0" w:color="auto"/>
        <w:left w:val="none" w:sz="0" w:space="0" w:color="auto"/>
        <w:bottom w:val="none" w:sz="0" w:space="0" w:color="auto"/>
        <w:right w:val="none" w:sz="0" w:space="0" w:color="auto"/>
      </w:divBdr>
    </w:div>
    <w:div w:id="1652365601">
      <w:bodyDiv w:val="1"/>
      <w:marLeft w:val="0"/>
      <w:marRight w:val="0"/>
      <w:marTop w:val="0"/>
      <w:marBottom w:val="0"/>
      <w:divBdr>
        <w:top w:val="none" w:sz="0" w:space="0" w:color="auto"/>
        <w:left w:val="none" w:sz="0" w:space="0" w:color="auto"/>
        <w:bottom w:val="none" w:sz="0" w:space="0" w:color="auto"/>
        <w:right w:val="none" w:sz="0" w:space="0" w:color="auto"/>
      </w:divBdr>
    </w:div>
    <w:div w:id="1652563597">
      <w:bodyDiv w:val="1"/>
      <w:marLeft w:val="0"/>
      <w:marRight w:val="0"/>
      <w:marTop w:val="0"/>
      <w:marBottom w:val="0"/>
      <w:divBdr>
        <w:top w:val="none" w:sz="0" w:space="0" w:color="auto"/>
        <w:left w:val="none" w:sz="0" w:space="0" w:color="auto"/>
        <w:bottom w:val="none" w:sz="0" w:space="0" w:color="auto"/>
        <w:right w:val="none" w:sz="0" w:space="0" w:color="auto"/>
      </w:divBdr>
    </w:div>
    <w:div w:id="1698968487">
      <w:bodyDiv w:val="1"/>
      <w:marLeft w:val="0"/>
      <w:marRight w:val="0"/>
      <w:marTop w:val="0"/>
      <w:marBottom w:val="0"/>
      <w:divBdr>
        <w:top w:val="none" w:sz="0" w:space="0" w:color="auto"/>
        <w:left w:val="none" w:sz="0" w:space="0" w:color="auto"/>
        <w:bottom w:val="none" w:sz="0" w:space="0" w:color="auto"/>
        <w:right w:val="none" w:sz="0" w:space="0" w:color="auto"/>
      </w:divBdr>
    </w:div>
    <w:div w:id="1764716121">
      <w:bodyDiv w:val="1"/>
      <w:marLeft w:val="0"/>
      <w:marRight w:val="0"/>
      <w:marTop w:val="0"/>
      <w:marBottom w:val="0"/>
      <w:divBdr>
        <w:top w:val="none" w:sz="0" w:space="0" w:color="auto"/>
        <w:left w:val="none" w:sz="0" w:space="0" w:color="auto"/>
        <w:bottom w:val="none" w:sz="0" w:space="0" w:color="auto"/>
        <w:right w:val="none" w:sz="0" w:space="0" w:color="auto"/>
      </w:divBdr>
    </w:div>
    <w:div w:id="1835798503">
      <w:bodyDiv w:val="1"/>
      <w:marLeft w:val="0"/>
      <w:marRight w:val="0"/>
      <w:marTop w:val="0"/>
      <w:marBottom w:val="0"/>
      <w:divBdr>
        <w:top w:val="none" w:sz="0" w:space="0" w:color="auto"/>
        <w:left w:val="none" w:sz="0" w:space="0" w:color="auto"/>
        <w:bottom w:val="none" w:sz="0" w:space="0" w:color="auto"/>
        <w:right w:val="none" w:sz="0" w:space="0" w:color="auto"/>
      </w:divBdr>
    </w:div>
    <w:div w:id="1859193981">
      <w:bodyDiv w:val="1"/>
      <w:marLeft w:val="0"/>
      <w:marRight w:val="0"/>
      <w:marTop w:val="0"/>
      <w:marBottom w:val="0"/>
      <w:divBdr>
        <w:top w:val="none" w:sz="0" w:space="0" w:color="auto"/>
        <w:left w:val="none" w:sz="0" w:space="0" w:color="auto"/>
        <w:bottom w:val="none" w:sz="0" w:space="0" w:color="auto"/>
        <w:right w:val="none" w:sz="0" w:space="0" w:color="auto"/>
      </w:divBdr>
    </w:div>
    <w:div w:id="1870020485">
      <w:bodyDiv w:val="1"/>
      <w:marLeft w:val="0"/>
      <w:marRight w:val="0"/>
      <w:marTop w:val="0"/>
      <w:marBottom w:val="0"/>
      <w:divBdr>
        <w:top w:val="none" w:sz="0" w:space="0" w:color="auto"/>
        <w:left w:val="none" w:sz="0" w:space="0" w:color="auto"/>
        <w:bottom w:val="none" w:sz="0" w:space="0" w:color="auto"/>
        <w:right w:val="none" w:sz="0" w:space="0" w:color="auto"/>
      </w:divBdr>
    </w:div>
    <w:div w:id="1974557302">
      <w:bodyDiv w:val="1"/>
      <w:marLeft w:val="0"/>
      <w:marRight w:val="0"/>
      <w:marTop w:val="0"/>
      <w:marBottom w:val="0"/>
      <w:divBdr>
        <w:top w:val="none" w:sz="0" w:space="0" w:color="auto"/>
        <w:left w:val="none" w:sz="0" w:space="0" w:color="auto"/>
        <w:bottom w:val="none" w:sz="0" w:space="0" w:color="auto"/>
        <w:right w:val="none" w:sz="0" w:space="0" w:color="auto"/>
      </w:divBdr>
    </w:div>
    <w:div w:id="1983389915">
      <w:bodyDiv w:val="1"/>
      <w:marLeft w:val="0"/>
      <w:marRight w:val="0"/>
      <w:marTop w:val="0"/>
      <w:marBottom w:val="0"/>
      <w:divBdr>
        <w:top w:val="none" w:sz="0" w:space="0" w:color="auto"/>
        <w:left w:val="none" w:sz="0" w:space="0" w:color="auto"/>
        <w:bottom w:val="none" w:sz="0" w:space="0" w:color="auto"/>
        <w:right w:val="none" w:sz="0" w:space="0" w:color="auto"/>
      </w:divBdr>
    </w:div>
    <w:div w:id="2020890531">
      <w:bodyDiv w:val="1"/>
      <w:marLeft w:val="0"/>
      <w:marRight w:val="0"/>
      <w:marTop w:val="0"/>
      <w:marBottom w:val="0"/>
      <w:divBdr>
        <w:top w:val="none" w:sz="0" w:space="0" w:color="auto"/>
        <w:left w:val="none" w:sz="0" w:space="0" w:color="auto"/>
        <w:bottom w:val="none" w:sz="0" w:space="0" w:color="auto"/>
        <w:right w:val="none" w:sz="0" w:space="0" w:color="auto"/>
      </w:divBdr>
    </w:div>
    <w:div w:id="2072652580">
      <w:bodyDiv w:val="1"/>
      <w:marLeft w:val="0"/>
      <w:marRight w:val="0"/>
      <w:marTop w:val="0"/>
      <w:marBottom w:val="0"/>
      <w:divBdr>
        <w:top w:val="none" w:sz="0" w:space="0" w:color="auto"/>
        <w:left w:val="none" w:sz="0" w:space="0" w:color="auto"/>
        <w:bottom w:val="none" w:sz="0" w:space="0" w:color="auto"/>
        <w:right w:val="none" w:sz="0" w:space="0" w:color="auto"/>
      </w:divBdr>
    </w:div>
    <w:div w:id="21433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30</TotalTime>
  <Pages>13</Pages>
  <Words>3461</Words>
  <Characters>22711</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2022073992 mt</dc:description>
  <cp:lastModifiedBy>Hanne Thy Iversen</cp:lastModifiedBy>
  <cp:revision>9</cp:revision>
  <cp:lastPrinted>2012-08-22T08:53:00Z</cp:lastPrinted>
  <dcterms:created xsi:type="dcterms:W3CDTF">2024-09-12T11:10:00Z</dcterms:created>
  <dcterms:modified xsi:type="dcterms:W3CDTF">2024-09-13T08:23:00Z</dcterms:modified>
</cp:coreProperties>
</file>