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18" w:rsidRPr="00C84483" w:rsidRDefault="003E2118" w:rsidP="003E2118">
      <w:pPr>
        <w:rPr>
          <w:sz w:val="24"/>
          <w:szCs w:val="24"/>
        </w:rPr>
      </w:pPr>
      <w:r>
        <w:rPr>
          <w:noProof/>
          <w:lang w:eastAsia="da-DK"/>
        </w:rPr>
        <w:drawing>
          <wp:inline distT="0" distB="0" distL="0" distR="0" wp14:anchorId="3BB44F28" wp14:editId="0F4D9796">
            <wp:extent cx="2430780" cy="685800"/>
            <wp:effectExtent l="0" t="0" r="7620" b="0"/>
            <wp:docPr id="8" name="Billede 1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C84483" w:rsidRDefault="003E2118" w:rsidP="003E2118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3E2118" w:rsidRPr="00C84483" w:rsidRDefault="003E2118" w:rsidP="003E2118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A77C7">
        <w:rPr>
          <w:szCs w:val="24"/>
        </w:rPr>
        <w:t>2. juli 2020</w:t>
      </w:r>
    </w:p>
    <w:p w:rsidR="003E2118" w:rsidRPr="00C84483" w:rsidRDefault="003E2118" w:rsidP="003E2118">
      <w:pPr>
        <w:pStyle w:val="Titel"/>
        <w:tabs>
          <w:tab w:val="left" w:pos="8222"/>
        </w:tabs>
        <w:jc w:val="left"/>
        <w:rPr>
          <w:b w:val="0"/>
          <w:szCs w:val="24"/>
        </w:rPr>
      </w:pPr>
      <w:bookmarkStart w:id="0" w:name="_GoBack"/>
      <w:bookmarkEnd w:id="0"/>
    </w:p>
    <w:p w:rsidR="003E2118" w:rsidRPr="00C84483" w:rsidRDefault="003E2118" w:rsidP="003E2118">
      <w:pPr>
        <w:pStyle w:val="Titel"/>
        <w:jc w:val="left"/>
        <w:rPr>
          <w:b w:val="0"/>
          <w:szCs w:val="24"/>
        </w:rPr>
      </w:pPr>
    </w:p>
    <w:p w:rsidR="003E2118" w:rsidRPr="00C84483" w:rsidRDefault="003E2118" w:rsidP="003E2118">
      <w:pPr>
        <w:pStyle w:val="Titel"/>
        <w:jc w:val="left"/>
        <w:rPr>
          <w:b w:val="0"/>
          <w:szCs w:val="24"/>
        </w:rPr>
      </w:pP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</w:p>
    <w:p w:rsidR="003E2118" w:rsidRPr="00C84483" w:rsidRDefault="003E2118" w:rsidP="003E2118">
      <w:pPr>
        <w:tabs>
          <w:tab w:val="left" w:pos="187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for</w:t>
      </w: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Soolantra</w:t>
      </w:r>
      <w:proofErr w:type="spellEnd"/>
      <w:r>
        <w:rPr>
          <w:b/>
          <w:sz w:val="24"/>
          <w:szCs w:val="24"/>
        </w:rPr>
        <w:t>, creme</w:t>
      </w:r>
    </w:p>
    <w:p w:rsidR="003E2118" w:rsidRPr="00C84483" w:rsidRDefault="003E2118" w:rsidP="003E2118">
      <w:pPr>
        <w:jc w:val="both"/>
        <w:rPr>
          <w:sz w:val="24"/>
          <w:szCs w:val="24"/>
        </w:rPr>
      </w:pPr>
    </w:p>
    <w:p w:rsidR="003E2118" w:rsidRPr="00D17426" w:rsidRDefault="003E2118" w:rsidP="003E2118">
      <w:pPr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0.</w:t>
      </w:r>
      <w:r w:rsidRPr="00D17426">
        <w:rPr>
          <w:b/>
          <w:sz w:val="24"/>
          <w:szCs w:val="24"/>
        </w:rPr>
        <w:tab/>
        <w:t>D.SP.NR.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29262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1.</w:t>
      </w:r>
      <w:r w:rsidRPr="00D17426">
        <w:rPr>
          <w:b/>
          <w:sz w:val="24"/>
          <w:szCs w:val="24"/>
        </w:rPr>
        <w:tab/>
        <w:t>LÆGEMIDLETS NAVN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2.</w:t>
      </w:r>
      <w:r w:rsidRPr="00D17426">
        <w:rPr>
          <w:b/>
          <w:sz w:val="24"/>
          <w:szCs w:val="24"/>
        </w:rPr>
        <w:tab/>
        <w:t>KVALITATIV OG KVANTITATIV SAMMENSÆTNING</w:t>
      </w:r>
    </w:p>
    <w:p w:rsidR="003E2118" w:rsidRPr="00D17426" w:rsidRDefault="003E2118" w:rsidP="003E2118">
      <w:pPr>
        <w:ind w:left="851" w:hanging="851"/>
        <w:rPr>
          <w:b/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Ét gram creme indeholder 10 mg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rPr>
          <w:sz w:val="24"/>
          <w:szCs w:val="24"/>
        </w:rPr>
      </w:pPr>
    </w:p>
    <w:p w:rsidR="003E2118" w:rsidRPr="00D17426" w:rsidRDefault="003E2118" w:rsidP="003E2118">
      <w:pPr>
        <w:ind w:left="851"/>
        <w:rPr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Hjælpestof(fer), som behandleren skal være opmærksom på: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Ét gram creme indeholder 35 mg </w:t>
      </w: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, 25 mg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 xml:space="preserve">, 2 mg </w:t>
      </w: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218), 1 mg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 og 20 mg propylenglycol.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Alle hjælpestoffer er anført under pkt. 6.1.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3.</w:t>
      </w:r>
      <w:r w:rsidRPr="00D17426">
        <w:rPr>
          <w:b/>
          <w:sz w:val="24"/>
          <w:szCs w:val="24"/>
        </w:rPr>
        <w:tab/>
        <w:t>LÆGEMIDDELFORM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Creme.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>Hvid til svagt gullig hydrofil creme.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</w:t>
      </w:r>
      <w:r w:rsidRPr="00D17426">
        <w:rPr>
          <w:b/>
          <w:sz w:val="24"/>
          <w:szCs w:val="24"/>
        </w:rPr>
        <w:tab/>
        <w:t>KLINISKE OPLYSNINGER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17426">
        <w:rPr>
          <w:b/>
          <w:sz w:val="24"/>
          <w:szCs w:val="24"/>
        </w:rPr>
        <w:t>4.1</w:t>
      </w:r>
      <w:r w:rsidRPr="00D17426">
        <w:rPr>
          <w:b/>
          <w:sz w:val="24"/>
          <w:szCs w:val="24"/>
        </w:rPr>
        <w:tab/>
        <w:t>Terapeutiske indikationer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er indiceret til topisk behandling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>) hos voksne patienter.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4.2</w:t>
      </w:r>
      <w:r w:rsidRPr="00D17426">
        <w:rPr>
          <w:b/>
          <w:sz w:val="24"/>
          <w:szCs w:val="24"/>
        </w:rPr>
        <w:tab/>
        <w:t>Dosering og indgivelsesmåde</w:t>
      </w:r>
    </w:p>
    <w:p w:rsidR="002C28E6" w:rsidRPr="00D17426" w:rsidRDefault="003E2118" w:rsidP="002C28E6">
      <w:pPr>
        <w:tabs>
          <w:tab w:val="left" w:pos="1304"/>
        </w:tabs>
        <w:ind w:left="851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="002C28E6" w:rsidRPr="00D17426">
        <w:rPr>
          <w:sz w:val="24"/>
          <w:szCs w:val="24"/>
          <w:u w:val="single"/>
        </w:rPr>
        <w:t>Dosering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Én påføring om dagen i op til 4 måneder.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skal påføres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hele behandlingsforløbet. Behandlingsforløbet kan gentages.</w:t>
      </w:r>
      <w:r>
        <w:rPr>
          <w:sz w:val="24"/>
          <w:szCs w:val="24"/>
        </w:rPr>
        <w:t xml:space="preserve"> Det kan bruges som monoterapi eller som en del af en kombinationsbehandling (se pkt. 5.1).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Behandlingen skal seponeres, hvis der ikke er nogen forbedring efter 3 måneder.</w:t>
      </w:r>
    </w:p>
    <w:p w:rsidR="002C28E6" w:rsidRPr="00D17426" w:rsidRDefault="002C28E6" w:rsidP="002C28E6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</w:p>
    <w:p w:rsidR="002C28E6" w:rsidRPr="00F95F0B" w:rsidRDefault="002C28E6" w:rsidP="002C28E6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  <w:u w:val="single"/>
        </w:rPr>
      </w:pPr>
      <w:r w:rsidRPr="00F95F0B">
        <w:rPr>
          <w:i/>
          <w:sz w:val="24"/>
          <w:szCs w:val="24"/>
        </w:rPr>
        <w:lastRenderedPageBreak/>
        <w:tab/>
      </w:r>
      <w:r w:rsidRPr="00F95F0B">
        <w:rPr>
          <w:i/>
          <w:sz w:val="24"/>
          <w:szCs w:val="24"/>
          <w:u w:val="single"/>
        </w:rPr>
        <w:t>Specielle populationer</w:t>
      </w:r>
    </w:p>
    <w:p w:rsidR="002C28E6" w:rsidRPr="00D17426" w:rsidRDefault="002C28E6" w:rsidP="002C28E6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nyrefunktion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leverfunktion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skal udvises forsigtighed i forbindelse med patienter med alvorligt svækket leverfunktion.</w:t>
      </w:r>
    </w:p>
    <w:p w:rsidR="002C28E6" w:rsidRPr="00D17426" w:rsidRDefault="002C28E6" w:rsidP="002C28E6">
      <w:pPr>
        <w:ind w:left="851"/>
        <w:rPr>
          <w:b/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Ældre patienter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 til den geriatriske population (se også pkt. 4.8).</w:t>
      </w:r>
    </w:p>
    <w:p w:rsidR="002C28E6" w:rsidRPr="00D17426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Pædiatrisk population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Soolantras</w:t>
      </w:r>
      <w:proofErr w:type="spellEnd"/>
      <w:r w:rsidRPr="00D17426">
        <w:rPr>
          <w:sz w:val="24"/>
          <w:szCs w:val="24"/>
        </w:rPr>
        <w:t xml:space="preserve"> sikkerhed og virkning hos børn og unge under 18 år er endnu ikke klarlagt. Der foreligger ingen data.</w:t>
      </w:r>
    </w:p>
    <w:p w:rsidR="002C28E6" w:rsidRPr="00D17426" w:rsidRDefault="002C28E6" w:rsidP="002C28E6">
      <w:pPr>
        <w:ind w:left="851"/>
        <w:rPr>
          <w:b/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  <w:u w:val="single"/>
        </w:rPr>
        <w:t xml:space="preserve">Administration 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Kun til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anvendelse.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en mængde af lægemidlet på størrelse med en ært på hvert af følgende fem områder i ansigtet: pande, hage, næse og hver kind. Lægemidlet skal smøres ud i et tyndt lag i hele ansigtet, idet øjne, læber og slimhinder undgås.</w:t>
      </w:r>
    </w:p>
    <w:p w:rsidR="002C28E6" w:rsidRPr="00D17426" w:rsidRDefault="002C28E6" w:rsidP="002C28E6">
      <w:pPr>
        <w:ind w:left="851"/>
        <w:rPr>
          <w:color w:val="000000"/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må kun påføres i ansigtet.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Hænderne skal vaskes efter påføring af lægemidlet.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Når lægemidlet er tørret, kan der påføres kosmetik.</w:t>
      </w:r>
    </w:p>
    <w:p w:rsidR="003E2118" w:rsidRPr="00D17426" w:rsidRDefault="003E2118" w:rsidP="002C28E6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4.3</w:t>
      </w:r>
      <w:r w:rsidRPr="00D17426">
        <w:rPr>
          <w:b/>
          <w:sz w:val="24"/>
          <w:szCs w:val="24"/>
        </w:rPr>
        <w:tab/>
        <w:t>Kontraindikationer</w:t>
      </w:r>
    </w:p>
    <w:p w:rsidR="003E2118" w:rsidRPr="00D17426" w:rsidRDefault="003E2118" w:rsidP="003E2118">
      <w:pPr>
        <w:ind w:left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>Overfølsomhed over for det aktive stof eller over for et eller flere af hjælpestofferne anført i pkt. 6.1.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4.4</w:t>
      </w:r>
      <w:r w:rsidRPr="00D17426">
        <w:rPr>
          <w:b/>
          <w:sz w:val="24"/>
          <w:szCs w:val="24"/>
        </w:rPr>
        <w:tab/>
        <w:t>Særlige advarsler og forsigtighedsregler vedrørende brugen</w:t>
      </w:r>
    </w:p>
    <w:p w:rsidR="003E2118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 w:rsidRPr="00120F2D">
        <w:rPr>
          <w:sz w:val="24"/>
          <w:szCs w:val="24"/>
        </w:rPr>
        <w:t xml:space="preserve">Patienterne kan opleve forbigående forværring af </w:t>
      </w:r>
      <w:proofErr w:type="spellStart"/>
      <w:r w:rsidRPr="00120F2D">
        <w:rPr>
          <w:sz w:val="24"/>
          <w:szCs w:val="24"/>
        </w:rPr>
        <w:t>rosacea</w:t>
      </w:r>
      <w:proofErr w:type="spellEnd"/>
      <w:r w:rsidRPr="00120F2D">
        <w:rPr>
          <w:sz w:val="24"/>
          <w:szCs w:val="24"/>
        </w:rPr>
        <w:t xml:space="preserve">, der normalt forsvinder inden for 1 uge, </w:t>
      </w:r>
      <w:r>
        <w:rPr>
          <w:sz w:val="24"/>
          <w:szCs w:val="24"/>
        </w:rPr>
        <w:t>under fortsat behandling</w:t>
      </w:r>
      <w:r w:rsidRPr="00120F2D">
        <w:rPr>
          <w:sz w:val="24"/>
          <w:szCs w:val="24"/>
        </w:rPr>
        <w:t xml:space="preserve">, som </w:t>
      </w:r>
      <w:r>
        <w:rPr>
          <w:sz w:val="24"/>
          <w:szCs w:val="24"/>
        </w:rPr>
        <w:t>forventelig</w:t>
      </w:r>
      <w:r w:rsidRPr="00120F2D">
        <w:rPr>
          <w:sz w:val="24"/>
          <w:szCs w:val="24"/>
        </w:rPr>
        <w:t xml:space="preserve"> følge af en reaktion på de døende </w:t>
      </w:r>
      <w:proofErr w:type="spellStart"/>
      <w:r w:rsidRPr="00120F2D">
        <w:rPr>
          <w:sz w:val="24"/>
          <w:szCs w:val="24"/>
        </w:rPr>
        <w:t>Demodex</w:t>
      </w:r>
      <w:proofErr w:type="spellEnd"/>
      <w:r w:rsidRPr="00120F2D">
        <w:rPr>
          <w:sz w:val="24"/>
          <w:szCs w:val="24"/>
        </w:rPr>
        <w:t>-mider.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20F2D">
        <w:rPr>
          <w:sz w:val="24"/>
          <w:szCs w:val="24"/>
        </w:rPr>
        <w:t xml:space="preserve">Behandlingen bør seponeres i tilfælde af alvorlig forværring </w:t>
      </w:r>
      <w:r>
        <w:rPr>
          <w:sz w:val="24"/>
          <w:szCs w:val="24"/>
        </w:rPr>
        <w:t>i form af</w:t>
      </w:r>
      <w:r w:rsidRPr="00120F2D">
        <w:rPr>
          <w:sz w:val="24"/>
          <w:szCs w:val="24"/>
        </w:rPr>
        <w:t xml:space="preserve"> en kraftig hudreaktion.</w:t>
      </w:r>
    </w:p>
    <w:p w:rsidR="003E2118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er ikke blevet undersøgt til patienter med nyre- eller leversvækkelse.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Lægemidlet indeholder: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>, der kan forårsage lokale hudreaktioner (</w:t>
      </w:r>
      <w:r>
        <w:rPr>
          <w:sz w:val="24"/>
          <w:szCs w:val="24"/>
        </w:rPr>
        <w:t>f.eks.</w:t>
      </w:r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),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 og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216), som kan forårsage allergiske reaktioner (eventuelt med forsinket indtræden)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r w:rsidRPr="00D17426">
        <w:rPr>
          <w:sz w:val="24"/>
          <w:szCs w:val="24"/>
        </w:rPr>
        <w:t>og propylenglycol, der kan forårsage hudirritation.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4.5</w:t>
      </w:r>
      <w:r w:rsidRPr="00D17426">
        <w:rPr>
          <w:b/>
          <w:sz w:val="24"/>
          <w:szCs w:val="24"/>
        </w:rPr>
        <w:tab/>
        <w:t>Interaktion med andre lægemidler og andre former for interaktion</w:t>
      </w:r>
    </w:p>
    <w:p w:rsidR="002C28E6" w:rsidRPr="00D17426" w:rsidRDefault="003E2118" w:rsidP="002C28E6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r w:rsidR="002C28E6" w:rsidRPr="00D17426">
        <w:rPr>
          <w:sz w:val="24"/>
          <w:szCs w:val="24"/>
        </w:rPr>
        <w:t>Der er ikke udført interaktionsstudier (se pkt. 5.2 vedrørende biotransformation).</w:t>
      </w:r>
    </w:p>
    <w:p w:rsidR="002C28E6" w:rsidRDefault="002C28E6" w:rsidP="002C28E6">
      <w:pPr>
        <w:ind w:left="851"/>
        <w:rPr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</w:t>
      </w:r>
      <w:r w:rsidRPr="00D17426">
        <w:rPr>
          <w:i/>
          <w:sz w:val="24"/>
          <w:szCs w:val="24"/>
        </w:rPr>
        <w:t xml:space="preserve">in </w:t>
      </w:r>
      <w:proofErr w:type="spellStart"/>
      <w:r w:rsidRPr="00D17426">
        <w:rPr>
          <w:i/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Der tilrådes derfor til forsigtighed, hvis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administreres samtidig med potente CYP3A4-hæmmere, da plasmaeksponeringen kan blive signifikant forhøjet.</w:t>
      </w:r>
    </w:p>
    <w:p w:rsidR="003E2118" w:rsidRPr="00D17426" w:rsidRDefault="003E2118" w:rsidP="002C28E6">
      <w:pPr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4.6</w:t>
      </w:r>
      <w:r w:rsidRPr="00D17426">
        <w:rPr>
          <w:b/>
          <w:sz w:val="24"/>
          <w:szCs w:val="24"/>
        </w:rPr>
        <w:tab/>
        <w:t>Graviditet og amning</w:t>
      </w: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Fertilitet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foreligger ingen data vedrørende effekten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den humane fertilitet.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Hos rotter havde behandling med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ingen virkning på parring eller fertilitet.</w:t>
      </w:r>
    </w:p>
    <w:p w:rsidR="003E2118" w:rsidRDefault="003E2118" w:rsidP="003E2118">
      <w:pPr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Graviditet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er ingen eller utilstrækkelige data fra topisk anvendelse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gravide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 af den orale reproduktionstoksicitet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</w:t>
      </w:r>
      <w:proofErr w:type="spellStart"/>
      <w:r w:rsidRPr="00D17426">
        <w:rPr>
          <w:sz w:val="24"/>
          <w:szCs w:val="24"/>
        </w:rPr>
        <w:t>teratogent</w:t>
      </w:r>
      <w:proofErr w:type="spellEnd"/>
      <w:r w:rsidRPr="00D17426">
        <w:rPr>
          <w:sz w:val="24"/>
          <w:szCs w:val="24"/>
        </w:rPr>
        <w:t xml:space="preserve"> hos rotter og kaniner (se pkt. 5.3). På grund af den lave systemiske eksponering efter topisk administration af produktet i den foreslåede dosering er der imidlertid kun lav sikkerhedsrisiko for det humane foster.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bør ikke anvendes under graviditeten.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Amning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human mælk i lave koncentrationer efter oral administration.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Udskillelsen i human mælk efter topisk administration er ikke blevet undersøgt.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 tilgængelige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/toksikologiske data fra dyreforsøg viser desuden,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mælk.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En risiko for det diende barn kan ikke udelukkes.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Det skal besluttes, om amning skal ophøre eller behandling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seponeres, idet der tages højde for fordelene ved amning for barnet i forhold til de terapeutiske fordele for moderen.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4.7</w:t>
      </w:r>
      <w:r w:rsidRPr="00D17426">
        <w:rPr>
          <w:b/>
          <w:sz w:val="24"/>
          <w:szCs w:val="24"/>
        </w:rPr>
        <w:tab/>
        <w:t>Virkninger på evnen til at føre motorkøretøj eller betjene maskiner</w:t>
      </w:r>
    </w:p>
    <w:p w:rsidR="003E2118" w:rsidRDefault="003E2118" w:rsidP="003E2118">
      <w:pPr>
        <w:tabs>
          <w:tab w:val="left" w:pos="1304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3E2118" w:rsidRPr="00D17426" w:rsidRDefault="003E2118" w:rsidP="003E2118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påvirker ikke eller kun i ubetydelig grad evnen til at føre motorkøretøj og betjene maskiner.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4.8</w:t>
      </w:r>
      <w:r w:rsidRPr="00D17426">
        <w:rPr>
          <w:b/>
          <w:sz w:val="24"/>
          <w:szCs w:val="24"/>
        </w:rPr>
        <w:tab/>
        <w:t>Bivirkninger</w:t>
      </w:r>
    </w:p>
    <w:p w:rsidR="003E2118" w:rsidRDefault="003E2118" w:rsidP="003E2118">
      <w:pPr>
        <w:ind w:left="851"/>
        <w:rPr>
          <w:noProof/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Resumé af sikkerhedsprofilen</w:t>
      </w:r>
    </w:p>
    <w:p w:rsidR="003E2118" w:rsidRDefault="003E2118" w:rsidP="003E21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hyppigst indberettede bivirkninger er en brændende følelse i huden, hudirritation, </w:t>
      </w:r>
      <w:proofErr w:type="spellStart"/>
      <w:r>
        <w:rPr>
          <w:sz w:val="24"/>
          <w:szCs w:val="24"/>
        </w:rPr>
        <w:t>pruritus</w:t>
      </w:r>
      <w:proofErr w:type="spellEnd"/>
      <w:r>
        <w:rPr>
          <w:sz w:val="24"/>
          <w:szCs w:val="24"/>
        </w:rPr>
        <w:t xml:space="preserve"> og tør hud, der alle er opstået hos maksimalt 1 % af de patienter, der er behandlet med lægemidlet i kliniske studier.</w:t>
      </w:r>
    </w:p>
    <w:p w:rsidR="003E2118" w:rsidRDefault="003E2118" w:rsidP="003E2118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De er typisk milde til moderate i styrke og svinder normalt i takt med den fortsatte behandling.</w:t>
      </w:r>
    </w:p>
    <w:p w:rsidR="003E2118" w:rsidRDefault="003E2118" w:rsidP="003E2118">
      <w:pPr>
        <w:ind w:left="851"/>
        <w:rPr>
          <w:sz w:val="24"/>
          <w:szCs w:val="24"/>
        </w:rPr>
      </w:pPr>
      <w:r>
        <w:rPr>
          <w:sz w:val="24"/>
          <w:szCs w:val="24"/>
        </w:rPr>
        <w:t>Der blev ikke observeret nogen betydningsfulde forskelle i sikkerhedsprofilen mellem patienter i alderen 18-65 år og patienter på ≥ 65 år.</w:t>
      </w:r>
    </w:p>
    <w:p w:rsidR="003E2118" w:rsidRDefault="003E2118" w:rsidP="003E2118">
      <w:pPr>
        <w:ind w:left="851"/>
        <w:rPr>
          <w:sz w:val="24"/>
          <w:szCs w:val="24"/>
        </w:rPr>
      </w:pPr>
    </w:p>
    <w:p w:rsidR="003E2118" w:rsidRDefault="003E2118" w:rsidP="003E2118">
      <w:pPr>
        <w:ind w:left="851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Tabelinddelt liste over bivirkninger</w:t>
      </w:r>
    </w:p>
    <w:p w:rsidR="003E2118" w:rsidRDefault="003E2118" w:rsidP="003E2118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Bivirkningerne er klassificeret efter systemorganklasse og hyppighed med anvendelse af følgende konvention: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meget almindelig (≥ 1/10), almindelig (≥ 1/100 til &lt;1/10), ikke almindelig (≥ 1/1.000 til &lt;1/100), sjælden (≥ 1/10.000 til &lt;1/1.000), meget sjælden (&lt;1/10.000), ikke kendt (kan ikke estimeres ud fra forhåndenværende data) og blev indberettet for </w:t>
      </w:r>
      <w:proofErr w:type="spellStart"/>
      <w:r>
        <w:rPr>
          <w:sz w:val="24"/>
          <w:szCs w:val="24"/>
        </w:rPr>
        <w:t>Soolantra</w:t>
      </w:r>
      <w:proofErr w:type="spellEnd"/>
      <w:r>
        <w:rPr>
          <w:sz w:val="24"/>
          <w:szCs w:val="24"/>
        </w:rPr>
        <w:t xml:space="preserve"> i kliniske studier (se Tabel 1).</w:t>
      </w:r>
    </w:p>
    <w:p w:rsidR="003E2118" w:rsidRDefault="003E2118" w:rsidP="003E21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3E2118" w:rsidRDefault="003E2118" w:rsidP="003E2118">
      <w:pPr>
        <w:ind w:left="851"/>
        <w:rPr>
          <w:noProof/>
          <w:sz w:val="24"/>
          <w:szCs w:val="24"/>
        </w:rPr>
      </w:pPr>
    </w:p>
    <w:p w:rsidR="003E2118" w:rsidRDefault="003E2118" w:rsidP="003E2118">
      <w:pPr>
        <w:ind w:left="851"/>
        <w:rPr>
          <w:noProof/>
          <w:sz w:val="24"/>
          <w:szCs w:val="24"/>
          <w:lang w:val="en-GB"/>
        </w:rPr>
      </w:pPr>
      <w:r>
        <w:rPr>
          <w:b/>
          <w:sz w:val="24"/>
          <w:szCs w:val="24"/>
        </w:rPr>
        <w:t>Tabel 1 – bivirkninger</w:t>
      </w: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124"/>
        <w:gridCol w:w="3858"/>
      </w:tblGrid>
      <w:tr w:rsidR="003E2118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Bivirkning</w:t>
            </w:r>
          </w:p>
        </w:tc>
      </w:tr>
      <w:tr w:rsidR="003E2118" w:rsidTr="003B4BCE">
        <w:trPr>
          <w:trHeight w:val="32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 og subkutane væv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Brændende følelse i huden</w:t>
            </w:r>
          </w:p>
        </w:tc>
      </w:tr>
      <w:tr w:rsidR="003E2118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Hudirritation, </w:t>
            </w:r>
            <w:proofErr w:type="spellStart"/>
            <w:r>
              <w:rPr>
                <w:sz w:val="24"/>
                <w:szCs w:val="24"/>
              </w:rPr>
              <w:t>pruritus</w:t>
            </w:r>
            <w:proofErr w:type="spellEnd"/>
            <w:r>
              <w:rPr>
                <w:sz w:val="24"/>
                <w:szCs w:val="24"/>
              </w:rPr>
              <w:t>, tør hud</w:t>
            </w:r>
          </w:p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Forværring af </w:t>
            </w:r>
            <w:proofErr w:type="spellStart"/>
            <w:r>
              <w:rPr>
                <w:sz w:val="24"/>
                <w:szCs w:val="24"/>
              </w:rPr>
              <w:t>rosacea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3E2118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Erytem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kontaktdermatitis</w:t>
            </w:r>
            <w:proofErr w:type="spellEnd"/>
            <w:r>
              <w:rPr>
                <w:sz w:val="24"/>
                <w:szCs w:val="24"/>
              </w:rPr>
              <w:t xml:space="preserve"> (allergisk eller lokalirriterende), hævelse i ansigtet</w:t>
            </w:r>
          </w:p>
        </w:tc>
      </w:tr>
      <w:tr w:rsidR="003E2118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Undersøgelser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Forhøjede </w:t>
            </w:r>
            <w:proofErr w:type="spellStart"/>
            <w:r>
              <w:rPr>
                <w:sz w:val="24"/>
                <w:szCs w:val="24"/>
              </w:rPr>
              <w:t>transaminaser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</w:tbl>
    <w:p w:rsidR="003E2118" w:rsidRDefault="003E2118" w:rsidP="003E2118">
      <w:pPr>
        <w:ind w:left="851"/>
        <w:rPr>
          <w:noProof/>
          <w:sz w:val="24"/>
          <w:szCs w:val="24"/>
        </w:rPr>
      </w:pPr>
    </w:p>
    <w:p w:rsidR="002C28E6" w:rsidRDefault="002C28E6" w:rsidP="002C28E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* Bivirkning indberettet fra data efter markedsføring</w:t>
      </w:r>
    </w:p>
    <w:p w:rsidR="002C28E6" w:rsidRDefault="002C28E6" w:rsidP="002C28E6">
      <w:pPr>
        <w:ind w:left="851"/>
        <w:rPr>
          <w:noProof/>
          <w:sz w:val="24"/>
          <w:szCs w:val="24"/>
        </w:rPr>
      </w:pPr>
    </w:p>
    <w:p w:rsidR="002C28E6" w:rsidRDefault="002C28E6" w:rsidP="002C28E6">
      <w:pPr>
        <w:keepNext/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Indberetning af formodede bivirkninger</w:t>
      </w:r>
    </w:p>
    <w:p w:rsidR="002C28E6" w:rsidRDefault="002C28E6" w:rsidP="002C28E6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2C28E6" w:rsidRDefault="002C28E6" w:rsidP="002C28E6">
      <w:pPr>
        <w:ind w:left="851"/>
        <w:rPr>
          <w:sz w:val="24"/>
          <w:szCs w:val="24"/>
        </w:rPr>
      </w:pPr>
    </w:p>
    <w:p w:rsidR="002C28E6" w:rsidRDefault="002C28E6" w:rsidP="002C28E6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2C28E6" w:rsidRDefault="002C28E6" w:rsidP="002C28E6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2C28E6" w:rsidRDefault="002C28E6" w:rsidP="002C28E6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2C28E6" w:rsidRPr="006A23CD" w:rsidRDefault="002C28E6" w:rsidP="002C28E6">
      <w:pPr>
        <w:ind w:left="851"/>
        <w:rPr>
          <w:sz w:val="24"/>
          <w:szCs w:val="24"/>
        </w:rPr>
      </w:pPr>
      <w:r w:rsidRPr="006A23CD">
        <w:rPr>
          <w:sz w:val="24"/>
          <w:szCs w:val="24"/>
        </w:rPr>
        <w:t xml:space="preserve">Websted: </w:t>
      </w:r>
      <w:hyperlink r:id="rId9" w:history="1">
        <w:r w:rsidRPr="006A23CD">
          <w:rPr>
            <w:rStyle w:val="Hyperlink"/>
            <w:sz w:val="24"/>
          </w:rPr>
          <w:t>www.meldenbivirkning.dk</w:t>
        </w:r>
      </w:hyperlink>
    </w:p>
    <w:p w:rsidR="003E2118" w:rsidRPr="00342F90" w:rsidRDefault="003E2118" w:rsidP="003E2118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4.9</w:t>
      </w:r>
      <w:r w:rsidRPr="00D17426">
        <w:rPr>
          <w:b/>
          <w:sz w:val="24"/>
          <w:szCs w:val="24"/>
        </w:rPr>
        <w:tab/>
        <w:t>Overdosering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Der findes ingen indberetninger af overdosering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Efter spild eller signifikant eksponering for ukendte mængder af veterinære formuleringer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hos mennesker, enten ved indtagelse, inhalation, injektion eller eksponering på legemsoverflader, er følgende bivirkninger hyppigst indberettet: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udslæt, ødem, hovedpine, svimmelhed, asteni, </w:t>
      </w:r>
      <w:proofErr w:type="spellStart"/>
      <w:r w:rsidRPr="00D17426">
        <w:rPr>
          <w:sz w:val="24"/>
          <w:szCs w:val="24"/>
        </w:rPr>
        <w:t>nausea</w:t>
      </w:r>
      <w:proofErr w:type="spellEnd"/>
      <w:r w:rsidRPr="00D17426">
        <w:rPr>
          <w:sz w:val="24"/>
          <w:szCs w:val="24"/>
        </w:rPr>
        <w:t xml:space="preserve">, opkastning og </w:t>
      </w:r>
      <w:proofErr w:type="spellStart"/>
      <w:r w:rsidRPr="00D17426">
        <w:rPr>
          <w:sz w:val="24"/>
          <w:szCs w:val="24"/>
        </w:rPr>
        <w:t>diaré</w:t>
      </w:r>
      <w:proofErr w:type="spellEnd"/>
      <w:r w:rsidRPr="00D17426">
        <w:rPr>
          <w:sz w:val="24"/>
          <w:szCs w:val="24"/>
        </w:rPr>
        <w:t>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Andre bivirkninger, der er blevet indberettet, omfatter: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krampeanfald, </w:t>
      </w:r>
      <w:proofErr w:type="spellStart"/>
      <w:r w:rsidRPr="00D17426">
        <w:rPr>
          <w:sz w:val="24"/>
          <w:szCs w:val="24"/>
        </w:rPr>
        <w:t>ataksi</w:t>
      </w:r>
      <w:proofErr w:type="spellEnd"/>
      <w:r w:rsidRPr="00D17426">
        <w:rPr>
          <w:sz w:val="24"/>
          <w:szCs w:val="24"/>
        </w:rPr>
        <w:t xml:space="preserve">, dyspnø, </w:t>
      </w:r>
      <w:proofErr w:type="spellStart"/>
      <w:r w:rsidRPr="00D17426">
        <w:rPr>
          <w:sz w:val="24"/>
          <w:szCs w:val="24"/>
        </w:rPr>
        <w:t>abdominalsmerter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paræstesi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urticaria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Hvis lægemidlet indtages ved et uheld, bør en eventuelt indiceret </w:t>
      </w:r>
      <w:proofErr w:type="spellStart"/>
      <w:r w:rsidRPr="00D17426">
        <w:rPr>
          <w:sz w:val="24"/>
          <w:szCs w:val="24"/>
        </w:rPr>
        <w:t>supportiv</w:t>
      </w:r>
      <w:proofErr w:type="spellEnd"/>
      <w:r w:rsidRPr="00D17426">
        <w:rPr>
          <w:sz w:val="24"/>
          <w:szCs w:val="24"/>
        </w:rPr>
        <w:t xml:space="preserve"> behandling omfatte parenterale væsker og elektrolytter, respiratorisk støtte (ilt og om nødvendigt mekanisk ventilation) samt </w:t>
      </w:r>
      <w:proofErr w:type="spellStart"/>
      <w:r w:rsidRPr="00D17426">
        <w:rPr>
          <w:sz w:val="24"/>
          <w:szCs w:val="24"/>
        </w:rPr>
        <w:t>pressorer</w:t>
      </w:r>
      <w:proofErr w:type="spellEnd"/>
      <w:r w:rsidRPr="00D17426">
        <w:rPr>
          <w:sz w:val="24"/>
          <w:szCs w:val="24"/>
        </w:rPr>
        <w:t>, hvis der forekommer klinisk signifikant hypotension.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Tvunget </w:t>
      </w:r>
      <w:proofErr w:type="spellStart"/>
      <w:r w:rsidRPr="00D17426">
        <w:rPr>
          <w:sz w:val="24"/>
          <w:szCs w:val="24"/>
        </w:rPr>
        <w:t>emesis</w:t>
      </w:r>
      <w:proofErr w:type="spellEnd"/>
      <w:r w:rsidRPr="00D17426">
        <w:rPr>
          <w:sz w:val="24"/>
          <w:szCs w:val="24"/>
        </w:rPr>
        <w:t xml:space="preserve"> og/eller gastrisk </w:t>
      </w:r>
      <w:proofErr w:type="spellStart"/>
      <w:r w:rsidRPr="00D17426">
        <w:rPr>
          <w:sz w:val="24"/>
          <w:szCs w:val="24"/>
        </w:rPr>
        <w:t>lavage</w:t>
      </w:r>
      <w:proofErr w:type="spellEnd"/>
      <w:r w:rsidRPr="00D17426">
        <w:rPr>
          <w:sz w:val="24"/>
          <w:szCs w:val="24"/>
        </w:rPr>
        <w:t xml:space="preserve"> snarest muligt, efterfulgt af afføringsmidler og andre rutinemæssige foranstaltninger mod forgiftning, kan være indiceret, hvis der er behov for at forebygge absorption af den indtagne creme.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4.10</w:t>
      </w:r>
      <w:r w:rsidRPr="00D17426">
        <w:rPr>
          <w:b/>
          <w:sz w:val="24"/>
          <w:szCs w:val="24"/>
        </w:rPr>
        <w:tab/>
        <w:t>Udlevering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B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</w:t>
      </w:r>
      <w:r w:rsidRPr="00D17426">
        <w:rPr>
          <w:b/>
          <w:sz w:val="24"/>
          <w:szCs w:val="24"/>
        </w:rPr>
        <w:tab/>
        <w:t>FARMAKOLOGISKE EGENSKABER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5.0</w:t>
      </w:r>
      <w:r w:rsidRPr="00D17426">
        <w:rPr>
          <w:b/>
          <w:sz w:val="24"/>
          <w:szCs w:val="24"/>
        </w:rPr>
        <w:tab/>
        <w:t>Terapeutisk klassifikation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ATC-kode: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D11AX22</w:t>
      </w:r>
      <w:r>
        <w:rPr>
          <w:noProof/>
          <w:sz w:val="24"/>
          <w:szCs w:val="24"/>
          <w:lang w:eastAsia="da-DK"/>
        </w:rPr>
        <w:t>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Andre dermatologiske præparater, andre dermatologiske midler</w:t>
      </w:r>
      <w:r>
        <w:rPr>
          <w:sz w:val="24"/>
          <w:szCs w:val="24"/>
        </w:rPr>
        <w:t>.</w:t>
      </w:r>
    </w:p>
    <w:p w:rsidR="003E2118" w:rsidRDefault="003E2118" w:rsidP="003E21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E2118" w:rsidRPr="00D17426" w:rsidRDefault="003E2118" w:rsidP="003E2118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lastRenderedPageBreak/>
        <w:t>5.1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Farmakodynamiske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Virkningsmekanisme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tilhører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>-klassen.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 xml:space="preserve"> har antiinflammatoriske virkninger ved at hæmme den </w:t>
      </w:r>
      <w:proofErr w:type="spellStart"/>
      <w:r w:rsidRPr="00D17426">
        <w:rPr>
          <w:sz w:val="24"/>
          <w:szCs w:val="24"/>
        </w:rPr>
        <w:t>lipopolysaccharid</w:t>
      </w:r>
      <w:proofErr w:type="spellEnd"/>
      <w:r w:rsidRPr="00D17426">
        <w:rPr>
          <w:sz w:val="24"/>
          <w:szCs w:val="24"/>
        </w:rPr>
        <w:t>-inducerede produktion af inflammatoriske cytokiner.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antiinflammatoriske egenskaber er blevet observeret i dyremodeller af hudinflammation.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forårsager desuden parasitdød, primært ved at binde selektivt og med høj affinitet til glutamat-</w:t>
      </w:r>
      <w:proofErr w:type="spellStart"/>
      <w:r w:rsidRPr="00D17426">
        <w:rPr>
          <w:sz w:val="24"/>
          <w:szCs w:val="24"/>
        </w:rPr>
        <w:t>gatede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chloridkanaler</w:t>
      </w:r>
      <w:proofErr w:type="spellEnd"/>
      <w:r w:rsidRPr="00D17426">
        <w:rPr>
          <w:sz w:val="24"/>
          <w:szCs w:val="24"/>
        </w:rPr>
        <w:t>, der forekommer i hvirvelløse dyrs nerve- og muskelceller.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Virkningsmekanismen bag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i behandlingen af de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kendes ikke, men kan være forbundet med antiinflammatoriske effekter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og med </w:t>
      </w:r>
      <w:proofErr w:type="spellStart"/>
      <w:r w:rsidRPr="00D17426">
        <w:rPr>
          <w:sz w:val="24"/>
          <w:szCs w:val="24"/>
        </w:rPr>
        <w:t>Demodex</w:t>
      </w:r>
      <w:proofErr w:type="spellEnd"/>
      <w:r w:rsidRPr="00D17426">
        <w:rPr>
          <w:sz w:val="24"/>
          <w:szCs w:val="24"/>
        </w:rPr>
        <w:t>-midernes død, som ifølge rapporter er en faktor ved inflammation af huden.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keepNext/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Klinisk virkning og sikkerhed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ved sengetid blev undersøgt i behandlingen af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i to randomiserede, dobbeltblinde, vehikelkontrollerede kliniske studier, der havde identisk design.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Studierne blev gennemført på 1.371 patienter i alderen 18 år og opefter, der blev behandlet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med enten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eller vehiklet.</w:t>
      </w:r>
      <w:r w:rsidRPr="00D17426">
        <w:rPr>
          <w:noProof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Samlet set var 96 % af patienterne europide, og 67 % var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Med anvendelse af 5-punktsskalaen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fik 79 % af patienterne scoren moderat (IGA=3), og 21 % fik scoren svær (IGA= 4) ved baseline.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De ekstra primære effekt-endemål i begge kliniske studier var succesrate baseret på IGA-resultat (procentdel af patienter med “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 xml:space="preserve">” og “næsten 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>” efter studiets uge 12) og absolut ændring i forhold til baseline i antal inflammatoriske læsioner.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IGA-skalaen er baseret på følgende definitioner: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D17426">
        <w:rPr>
          <w:b/>
          <w:color w:val="000000"/>
          <w:sz w:val="24"/>
          <w:szCs w:val="24"/>
        </w:rPr>
        <w:t xml:space="preserve">Tabel 2: </w:t>
      </w:r>
      <w:proofErr w:type="spellStart"/>
      <w:r w:rsidRPr="00D17426">
        <w:rPr>
          <w:b/>
          <w:color w:val="000000"/>
          <w:sz w:val="24"/>
          <w:szCs w:val="24"/>
        </w:rPr>
        <w:t>Investigator</w:t>
      </w:r>
      <w:proofErr w:type="spellEnd"/>
      <w:r w:rsidRPr="00D17426">
        <w:rPr>
          <w:b/>
          <w:color w:val="000000"/>
          <w:sz w:val="24"/>
          <w:szCs w:val="24"/>
        </w:rPr>
        <w:t xml:space="preserve"> Global </w:t>
      </w:r>
      <w:proofErr w:type="spellStart"/>
      <w:r w:rsidRPr="00D17426">
        <w:rPr>
          <w:b/>
          <w:color w:val="000000"/>
          <w:sz w:val="24"/>
          <w:szCs w:val="24"/>
        </w:rPr>
        <w:t>Assessment</w:t>
      </w:r>
      <w:proofErr w:type="spellEnd"/>
      <w:r w:rsidRPr="00D17426">
        <w:rPr>
          <w:b/>
          <w:color w:val="000000"/>
          <w:sz w:val="24"/>
          <w:szCs w:val="24"/>
        </w:rPr>
        <w:t>-skala (IGA-skalaen)</w:t>
      </w:r>
    </w:p>
    <w:p w:rsidR="003E2118" w:rsidRPr="00D17426" w:rsidRDefault="003E2118" w:rsidP="003E2118">
      <w:pPr>
        <w:tabs>
          <w:tab w:val="left" w:pos="36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38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941"/>
        <w:gridCol w:w="5680"/>
      </w:tblGrid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Grad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Klinisk beskrivelse</w:t>
            </w:r>
          </w:p>
        </w:tc>
      </w:tr>
      <w:tr w:rsidR="003E2118" w:rsidRPr="00D17426" w:rsidTr="003B4BCE">
        <w:trPr>
          <w:trHeight w:val="40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0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Ingen inflammatoriske læsioner, ingen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Meget 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meget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Mild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Moderat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Flere små 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moderat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Svær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Adskillige små og/eller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svær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</w:tbl>
    <w:p w:rsidR="003E2118" w:rsidRPr="00D17426" w:rsidRDefault="003E2118" w:rsidP="003E2118">
      <w:pPr>
        <w:widowControl w:val="0"/>
        <w:tabs>
          <w:tab w:val="left" w:pos="540"/>
        </w:tabs>
        <w:autoSpaceDE w:val="0"/>
        <w:autoSpaceDN w:val="0"/>
        <w:adjustRightInd w:val="0"/>
        <w:spacing w:line="288" w:lineRule="auto"/>
        <w:ind w:left="851" w:hanging="851"/>
        <w:textAlignment w:val="baseline"/>
        <w:rPr>
          <w:color w:val="000000"/>
          <w:w w:val="96"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 xml:space="preserve">Resultaterne fra begge kliniske studier viste, at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vehikelcremen for så vidt angår succesrate baseret på IGA og absolut ændring i antal inflammatoriske læsioner (p&lt;0,001, se tabel 3 og figur 1, figur 2, figur 3 og figur 4).</w:t>
      </w:r>
      <w:r w:rsidRPr="00D17426">
        <w:rPr>
          <w:noProof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540"/>
        </w:tabs>
        <w:spacing w:line="240" w:lineRule="exact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spacing w:line="240" w:lineRule="exact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Følgende tabel og figurer viser effektresultaterne fra begge studier.</w:t>
      </w:r>
    </w:p>
    <w:p w:rsidR="003E2118" w:rsidRDefault="003E2118" w:rsidP="003E21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3E2118" w:rsidRPr="00D17426" w:rsidRDefault="003E2118" w:rsidP="003E2118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  <w:r w:rsidRPr="00D17426">
        <w:rPr>
          <w:b/>
          <w:color w:val="000000"/>
          <w:sz w:val="24"/>
          <w:szCs w:val="24"/>
        </w:rPr>
        <w:t xml:space="preserve">Tabel 3: </w:t>
      </w:r>
      <w:r w:rsidRPr="00D17426">
        <w:rPr>
          <w:rStyle w:val="SynopsisHeadingCharCharCharCharCharCharCharCharCharCharCharCharCharCharCharCharCharCharChar"/>
          <w:color w:val="000000"/>
          <w:szCs w:val="24"/>
        </w:rPr>
        <w:t>Effektresultater</w:t>
      </w:r>
      <w:r w:rsidRPr="00D17426">
        <w:rPr>
          <w:b/>
          <w:color w:val="000000"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54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60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530"/>
        <w:gridCol w:w="1358"/>
        <w:gridCol w:w="1530"/>
        <w:gridCol w:w="1269"/>
      </w:tblGrid>
      <w:tr w:rsidR="003E2118" w:rsidRPr="00D17426" w:rsidTr="003B4BCE"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1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2</w:t>
            </w:r>
          </w:p>
        </w:tc>
      </w:tr>
      <w:tr w:rsidR="003E2118" w:rsidRPr="00D17426" w:rsidTr="003B4BCE"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(N=451)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(N=232)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(N=459)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(N=229)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Investigator</w:t>
            </w:r>
            <w:proofErr w:type="spellEnd"/>
            <w:r w:rsidRPr="00D17426">
              <w:rPr>
                <w:b/>
                <w:sz w:val="24"/>
                <w:szCs w:val="24"/>
              </w:rPr>
              <w:t xml:space="preserve"> Global </w:t>
            </w:r>
            <w:proofErr w:type="spellStart"/>
            <w:r w:rsidRPr="00D17426">
              <w:rPr>
                <w:b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Antal (%) patienter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eller 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på IGA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173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(38,4)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27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184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(40,1)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43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(18,8)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Inflammatoriske læsioner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ved baseline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31,0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30,5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33,3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32,2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10,6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11,0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18,8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sv-SE"/>
              </w:rPr>
            </w:pPr>
            <w:r w:rsidRPr="00D17426">
              <w:rPr>
                <w:sz w:val="24"/>
                <w:szCs w:val="24"/>
              </w:rPr>
              <w:t>Gennemsnitlig absolut ændring (% ændring) i antal inflammatoriske læsioner fra baseline indtil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-20,5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(-64,9)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-12,0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-22,2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(-65,7)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-13,4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(-43,4)</w:t>
            </w:r>
          </w:p>
        </w:tc>
      </w:tr>
    </w:tbl>
    <w:p w:rsidR="003E2118" w:rsidRPr="006E6557" w:rsidRDefault="003E2118" w:rsidP="003E2118">
      <w:pPr>
        <w:tabs>
          <w:tab w:val="left" w:pos="1304"/>
        </w:tabs>
        <w:suppressAutoHyphens/>
        <w:spacing w:line="240" w:lineRule="exact"/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keepNext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 xml:space="preserve">Figur 1 og 2: </w:t>
      </w:r>
      <w:r w:rsidRPr="00D17426">
        <w:rPr>
          <w:b/>
          <w:noProof/>
          <w:sz w:val="24"/>
          <w:szCs w:val="24"/>
        </w:rPr>
        <w:t>IGA-succesrater over tid (i uger)</w:t>
      </w:r>
    </w:p>
    <w:p w:rsidR="003E2118" w:rsidRPr="00D17426" w:rsidRDefault="003E2118" w:rsidP="003E2118">
      <w:pPr>
        <w:keepNext/>
        <w:rPr>
          <w:color w:val="000000"/>
          <w:sz w:val="24"/>
          <w:szCs w:val="24"/>
        </w:rPr>
      </w:pPr>
    </w:p>
    <w:p w:rsidR="003E2118" w:rsidRPr="00D17426" w:rsidRDefault="003E2118" w:rsidP="003E2118">
      <w:pPr>
        <w:keepNext/>
        <w:ind w:firstLine="1304"/>
        <w:rPr>
          <w:color w:val="000000"/>
          <w:sz w:val="24"/>
          <w:szCs w:val="24"/>
          <w:lang w:val="en-GB"/>
        </w:rPr>
      </w:pPr>
      <w:r w:rsidRPr="00D17426">
        <w:rPr>
          <w:noProof/>
          <w:color w:val="000000"/>
          <w:sz w:val="24"/>
          <w:szCs w:val="24"/>
        </w:rPr>
        <w:t>Studie 1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2EBD181B" wp14:editId="275289A5">
            <wp:extent cx="2796540" cy="16154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24773D82" wp14:editId="0D7F7168">
            <wp:extent cx="2743200" cy="16306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b/>
          <w:color w:val="000000"/>
          <w:sz w:val="24"/>
          <w:szCs w:val="24"/>
        </w:rPr>
      </w:pPr>
      <w:r w:rsidRPr="00D17426">
        <w:rPr>
          <w:b/>
          <w:noProof/>
          <w:sz w:val="24"/>
          <w:szCs w:val="24"/>
        </w:rPr>
        <w:t>Figur 3 og 4: Gennemsnitlig absolut ændring i antal i</w:t>
      </w:r>
      <w:r w:rsidRPr="00D17426">
        <w:rPr>
          <w:b/>
          <w:noProof/>
          <w:color w:val="000000"/>
          <w:sz w:val="24"/>
          <w:szCs w:val="24"/>
        </w:rPr>
        <w:t>nflammatoriske læsioner fra baseline over tid (i uger)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color w:val="000000"/>
          <w:sz w:val="24"/>
          <w:szCs w:val="24"/>
          <w:lang w:val="en-GB"/>
        </w:rPr>
      </w:pP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1</w:t>
      </w:r>
      <w:r w:rsidRPr="00D17426">
        <w:rPr>
          <w:color w:val="000000"/>
          <w:sz w:val="24"/>
          <w:szCs w:val="24"/>
        </w:rPr>
        <w:t xml:space="preserve"> 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6D2E59B4" wp14:editId="26342DB4">
            <wp:extent cx="2804160" cy="16230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3ACA07AA" wp14:editId="7394E437">
            <wp:extent cx="2712720" cy="1630680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spacing w:line="240" w:lineRule="exact"/>
        <w:ind w:left="851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vehikelcremen i de ekstra primære effekt-endemål med en tid indtil indtræden af en effekt på 4 uger efter behandlingsstart (p&lt;0,05).</w:t>
      </w:r>
    </w:p>
    <w:p w:rsidR="003E2118" w:rsidRPr="00D17426" w:rsidRDefault="003E2118" w:rsidP="003E2118">
      <w:pPr>
        <w:spacing w:line="240" w:lineRule="exact"/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  <w:lang w:val="sv-SE"/>
        </w:rPr>
      </w:pPr>
      <w:r w:rsidRPr="00D17426">
        <w:rPr>
          <w:sz w:val="24"/>
          <w:szCs w:val="24"/>
        </w:rPr>
        <w:lastRenderedPageBreak/>
        <w:t xml:space="preserve">IGA blev vurderet under en 40-ugers udvidelse af de to kliniske studier, og procentdelene af patienter, der blev behandlet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>, og som opnåede en IGA-score på 0 eller 1, fortsatte med at stige indtil uge 52. Succesraten (IGA = 0 eller 1) i uge 52 var henholdsvis 71 % og 76 % i studie 1 og 2.</w:t>
      </w: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Lægemidlets effekt og sikkerhed i behandlingen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 blev desuden evalueret i et randomiseret, </w:t>
      </w:r>
      <w:proofErr w:type="spellStart"/>
      <w:r w:rsidRPr="00D17426">
        <w:rPr>
          <w:sz w:val="24"/>
          <w:szCs w:val="24"/>
        </w:rPr>
        <w:t>investigatorblindet</w:t>
      </w:r>
      <w:proofErr w:type="spellEnd"/>
      <w:r w:rsidRPr="00D17426">
        <w:rPr>
          <w:sz w:val="24"/>
          <w:szCs w:val="24"/>
        </w:rPr>
        <w:t xml:space="preserve">, aktiv-kontrolleret klinisk studie. Studiet blev gennemført på 962 patienter i alderen 18 år og opefter, der blev behandlet i 16 uger med enten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eller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 creme to gange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>. I dette studie var 99,7 % af patienterne europide, og 65,2 % var kvinder. På IGA-skalaen scorede 83,3 % af patienterne moderat (IGA=3), og 16,7 % scorede svær (IGA=4) ved baseline (se figur 5).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Resultaterne af studiet viste, at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 creme i det ekstra primære effekt-endemål (gennemsnitlig procentvis ændring i antal inflammatoriske læsioner) med en reduktion på 83,0 % og 73,7 % i forhold til baseline efter 16 ugers behandling i henholdsvis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- og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-gruppen (p&lt;0,001). </w:t>
      </w:r>
      <w:proofErr w:type="spellStart"/>
      <w:r w:rsidRPr="00D17426">
        <w:rPr>
          <w:sz w:val="24"/>
          <w:szCs w:val="24"/>
        </w:rPr>
        <w:t>Soolantras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uge 16 blev bekræftet med succesraten baseret på IGA og absolut ændring i antal inflammatoriske læsioner (sekundære endemål (p&lt;0,001).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Figur 5:</w:t>
      </w: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Gennemsnitlig procentvis ændring over tid (i uger)</w:t>
      </w:r>
    </w:p>
    <w:p w:rsidR="003E2118" w:rsidRPr="00D17426" w:rsidRDefault="003E2118" w:rsidP="003E2118">
      <w:pPr>
        <w:tabs>
          <w:tab w:val="left" w:pos="1304"/>
        </w:tabs>
        <w:ind w:left="851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3203FB8E" wp14:editId="5DD64DE0">
            <wp:extent cx="3337560" cy="192786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ind w:left="851"/>
        <w:rPr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Cirka 300 patienter i alderen 65 år og ældre blev behandlet med lægemidlet på tværs af alle kliniske studier.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blev ikke observeret nogen betydningsfulde forskelle i effekt- og sikkerhedsprofilen mellem de ældre patienter og patienter i alderen 18-65 år.</w:t>
      </w:r>
      <w:r w:rsidRPr="00D17426">
        <w:rPr>
          <w:noProof/>
          <w:sz w:val="24"/>
          <w:szCs w:val="24"/>
        </w:rPr>
        <w:t xml:space="preserve"> </w:t>
      </w:r>
    </w:p>
    <w:p w:rsidR="002C28E6" w:rsidRPr="00D17426" w:rsidRDefault="002C28E6" w:rsidP="002C28E6">
      <w:pPr>
        <w:ind w:left="851"/>
        <w:rPr>
          <w:noProof/>
          <w:sz w:val="24"/>
          <w:szCs w:val="24"/>
        </w:rPr>
      </w:pPr>
    </w:p>
    <w:p w:rsidR="002C28E6" w:rsidRPr="00F95F0B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Sikkerhedsprofilen, som beskrevet i punkt 4.8, forblev stabil under betingelser med langtidsanvendelse, hvilket blev observeret i forbindelse med langtidsbehandlinger med en varighed på op til 1 år.</w:t>
      </w:r>
    </w:p>
    <w:p w:rsidR="002C28E6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231B49" w:rsidRDefault="002C28E6" w:rsidP="002C28E6">
      <w:pPr>
        <w:pStyle w:val="Kommentartekst"/>
        <w:ind w:left="851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 xml:space="preserve">Behandling med </w:t>
      </w:r>
      <w:proofErr w:type="spellStart"/>
      <w:r w:rsidRPr="00231B49">
        <w:rPr>
          <w:sz w:val="24"/>
          <w:szCs w:val="22"/>
          <w:u w:val="single"/>
        </w:rPr>
        <w:t>ivermectin</w:t>
      </w:r>
      <w:proofErr w:type="spellEnd"/>
      <w:r w:rsidRPr="00231B49">
        <w:rPr>
          <w:sz w:val="24"/>
          <w:szCs w:val="22"/>
          <w:u w:val="single"/>
        </w:rPr>
        <w:t xml:space="preserve"> plus 40 mg </w:t>
      </w:r>
      <w:proofErr w:type="spellStart"/>
      <w:r w:rsidRPr="00231B49">
        <w:rPr>
          <w:sz w:val="24"/>
          <w:szCs w:val="22"/>
          <w:u w:val="single"/>
        </w:rPr>
        <w:t>doxycyclin</w:t>
      </w:r>
      <w:proofErr w:type="spellEnd"/>
      <w:r>
        <w:rPr>
          <w:sz w:val="24"/>
          <w:szCs w:val="22"/>
          <w:u w:val="single"/>
        </w:rPr>
        <w:t xml:space="preserve"> kapsler med modificeret udløsning</w:t>
      </w:r>
    </w:p>
    <w:p w:rsidR="002C28E6" w:rsidRPr="000565C0" w:rsidRDefault="002C28E6" w:rsidP="002C28E6">
      <w:pPr>
        <w:ind w:left="851"/>
        <w:rPr>
          <w:sz w:val="24"/>
          <w:szCs w:val="24"/>
        </w:rPr>
      </w:pPr>
    </w:p>
    <w:p w:rsidR="002C28E6" w:rsidRPr="000565C0" w:rsidRDefault="002C28E6" w:rsidP="002C28E6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t xml:space="preserve">I ANSWER-studiet evaluerede man den relative effekt af </w:t>
      </w:r>
      <w:proofErr w:type="spellStart"/>
      <w:r w:rsidRPr="000565C0">
        <w:rPr>
          <w:sz w:val="24"/>
          <w:szCs w:val="24"/>
        </w:rPr>
        <w:t>Soolantra</w:t>
      </w:r>
      <w:proofErr w:type="spellEnd"/>
      <w:r w:rsidRPr="000565C0">
        <w:rPr>
          <w:sz w:val="24"/>
          <w:szCs w:val="24"/>
        </w:rPr>
        <w:t xml:space="preserve"> (IVM) i kombination med </w:t>
      </w:r>
      <w:proofErr w:type="spellStart"/>
      <w:r w:rsidRPr="000565C0">
        <w:rPr>
          <w:sz w:val="24"/>
          <w:szCs w:val="24"/>
        </w:rPr>
        <w:t>doxycyclin</w:t>
      </w:r>
      <w:proofErr w:type="spellEnd"/>
      <w:r w:rsidRPr="000565C0">
        <w:rPr>
          <w:sz w:val="24"/>
          <w:szCs w:val="24"/>
        </w:rPr>
        <w:t xml:space="preserve"> 40 mg kapsler med modificeret udløsning (DMR) vs. IVM plus placebo for DMR (PBO) i behandlingen af svær </w:t>
      </w:r>
      <w:proofErr w:type="spellStart"/>
      <w:r w:rsidRPr="000565C0">
        <w:rPr>
          <w:sz w:val="24"/>
          <w:szCs w:val="24"/>
        </w:rPr>
        <w:t>rosacea</w:t>
      </w:r>
      <w:proofErr w:type="spellEnd"/>
      <w:r w:rsidRPr="000565C0">
        <w:rPr>
          <w:sz w:val="24"/>
          <w:szCs w:val="24"/>
        </w:rPr>
        <w:t xml:space="preserve">. Det var et 12-ugers, randomiseret, </w:t>
      </w:r>
      <w:proofErr w:type="spellStart"/>
      <w:r w:rsidRPr="000565C0">
        <w:rPr>
          <w:sz w:val="24"/>
          <w:szCs w:val="24"/>
        </w:rPr>
        <w:t>investigatorblindet</w:t>
      </w:r>
      <w:proofErr w:type="spellEnd"/>
      <w:r w:rsidRPr="000565C0">
        <w:rPr>
          <w:sz w:val="24"/>
          <w:szCs w:val="24"/>
        </w:rPr>
        <w:t>, kontrolleret parallelgruppestudie med 273 mandlige og kvindelige deltagere i alderen ≥18 år med 20-70 inflammatoriske læsioner (</w:t>
      </w:r>
      <w:proofErr w:type="spellStart"/>
      <w:r w:rsidRPr="000565C0">
        <w:rPr>
          <w:sz w:val="24"/>
          <w:szCs w:val="24"/>
        </w:rPr>
        <w:t>papler</w:t>
      </w:r>
      <w:proofErr w:type="spellEnd"/>
      <w:r w:rsidRPr="000565C0">
        <w:rPr>
          <w:sz w:val="24"/>
          <w:szCs w:val="24"/>
        </w:rPr>
        <w:t xml:space="preserve"> og pustler) i ansigtet og en score på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</w:t>
      </w:r>
      <w:r>
        <w:rPr>
          <w:sz w:val="24"/>
          <w:szCs w:val="24"/>
        </w:rPr>
        <w:t>ved b</w:t>
      </w:r>
      <w:r w:rsidRPr="000565C0">
        <w:rPr>
          <w:sz w:val="24"/>
          <w:szCs w:val="24"/>
        </w:rPr>
        <w:t xml:space="preserve">aseline på 4. </w:t>
      </w:r>
    </w:p>
    <w:p w:rsidR="002C28E6" w:rsidRPr="000565C0" w:rsidRDefault="002C28E6" w:rsidP="002C28E6">
      <w:pPr>
        <w:ind w:left="851"/>
        <w:rPr>
          <w:sz w:val="24"/>
          <w:szCs w:val="24"/>
        </w:rPr>
      </w:pPr>
    </w:p>
    <w:p w:rsidR="002C28E6" w:rsidRPr="000565C0" w:rsidRDefault="002C28E6" w:rsidP="002C28E6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lastRenderedPageBreak/>
        <w:t xml:space="preserve">Det primære effekt-endemål var den procentvise ændring i forhold til baseline i antal inflammatoriske læsioner ved uge 12. Der blev observeret en signifikant større procentvis reduktion af antal inflammatoriske læsioner med IVM + DMR sammenlignet med IVM + PBO (gennemsnit ±standarddeviation: -80,29 ± 21,65 % vs. </w:t>
      </w:r>
      <w:r>
        <w:rPr>
          <w:sz w:val="24"/>
          <w:szCs w:val="24"/>
        </w:rPr>
        <w:t>-</w:t>
      </w:r>
      <w:r w:rsidRPr="000565C0">
        <w:rPr>
          <w:sz w:val="24"/>
          <w:szCs w:val="24"/>
        </w:rPr>
        <w:t>73,56 ± 30,52 %; p=0,032).</w:t>
      </w:r>
    </w:p>
    <w:p w:rsidR="002C28E6" w:rsidRPr="00F95F0B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D17426" w:rsidRDefault="002C28E6" w:rsidP="002C28E6">
      <w:pPr>
        <w:ind w:left="851"/>
        <w:rPr>
          <w:b/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Pædiatrisk population</w:t>
      </w:r>
      <w:r w:rsidRPr="00D17426">
        <w:rPr>
          <w:sz w:val="24"/>
          <w:szCs w:val="24"/>
        </w:rPr>
        <w:t xml:space="preserve"> 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i alle undergrupper af den pædiatriske population med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(se pkt. 4.2 for oplysninger om pædiatrisk anvendelse).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5.2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Farmakokinetiske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Absorption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Absorptionen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fra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 blev undersøgt i et kliniske studie med voksne patienter med svær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under betingelser med maksimal anvendelse.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(efter 2 ugers behandling) forekom de højeste gennemsnitlige (± standardafvigelse) plasmakoncentrationer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inden for 10 ±8 timer efter dosering (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>: 2,1 ±1,0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/ml; interval: 0,7 - 4,0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/ml), og højeste gennemsnitlige (± standardafvigelse) 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 var 36 ±16 ng.hr/ml (interval: 14 - 75 ng.hr/ml).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nåede et fast niveau efter to ugers behandling (betingelser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). I længerevarende behandlingsperioder i fase 3-studierne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omtrent de samme som dem, der observeres efter to ugers behandling. Ved 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(AUC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: 36 ±16 ng.hr/ml) lavere end dem, der blev opnået efter en enkelt oral dosis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6 mg til raske frivillige (AUC</w:t>
      </w:r>
      <w:r w:rsidRPr="00D17426">
        <w:rPr>
          <w:sz w:val="24"/>
          <w:szCs w:val="24"/>
          <w:vertAlign w:val="subscript"/>
        </w:rPr>
        <w:t>0- 24hr</w:t>
      </w:r>
      <w:r w:rsidRPr="00D17426">
        <w:rPr>
          <w:sz w:val="24"/>
          <w:szCs w:val="24"/>
        </w:rPr>
        <w:t>: 134 ±66 ng.hr/ml).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Fordeling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Et studie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viste,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mere end 99 % bundet til plasmaproteiner og binder fortrinsvis til humant serumalbumin. Der blev ikke observeret nogen signifikant binding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</w:t>
      </w:r>
      <w:proofErr w:type="spellStart"/>
      <w:r w:rsidRPr="00D17426">
        <w:rPr>
          <w:sz w:val="24"/>
          <w:szCs w:val="24"/>
        </w:rPr>
        <w:t>erythrocytter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Biotransformation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, hvor der blev brugt humane </w:t>
      </w:r>
      <w:proofErr w:type="spellStart"/>
      <w:r w:rsidRPr="00D17426">
        <w:rPr>
          <w:sz w:val="24"/>
          <w:szCs w:val="24"/>
        </w:rPr>
        <w:t>levermikrosomer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rekombinante</w:t>
      </w:r>
      <w:proofErr w:type="spellEnd"/>
      <w:r w:rsidRPr="00D17426">
        <w:rPr>
          <w:sz w:val="24"/>
          <w:szCs w:val="24"/>
        </w:rPr>
        <w:t xml:space="preserve"> CYP450-enzymer,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 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viser,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ikke hæmmer CYP450-isoenzymerne1A2, 2A6, 2B6, 2C8, 2C9, 2C19, 2D6, 3A4, 4A11 eller 2E1.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inducerer ikke ekspression af CYP450-enzymer (1A2, 2B6, 2C9 eller 3A4) i dyrkede humane </w:t>
      </w:r>
      <w:proofErr w:type="spellStart"/>
      <w:r w:rsidRPr="00D17426">
        <w:rPr>
          <w:sz w:val="24"/>
          <w:szCs w:val="24"/>
        </w:rPr>
        <w:t>hepatocytter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To hovedmetabolitter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blev identificeret i et klinisk, </w:t>
      </w:r>
      <w:proofErr w:type="spellStart"/>
      <w:r w:rsidRPr="00D17426">
        <w:rPr>
          <w:sz w:val="24"/>
          <w:szCs w:val="24"/>
        </w:rPr>
        <w:t>farmakokinetisk</w:t>
      </w:r>
      <w:proofErr w:type="spellEnd"/>
      <w:r w:rsidRPr="00D17426">
        <w:rPr>
          <w:sz w:val="24"/>
          <w:szCs w:val="24"/>
        </w:rPr>
        <w:t xml:space="preserve"> studie med maksimal anvendelse og undersøgt i kliniske fase 2-studier (3’’-O-demethyl-ivermectin og 4a-hydroxy-ivermectin). Svarende til moderstoffet nåede metabolitterne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efter 2 ugers behandling uden tegn på akkumulering i op til 12 uger. Desuden var metabolitternes systemiske eksponeringer (estimeret med 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 xml:space="preserve"> og AUC), der blev opnået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, meget lavere end dem, der observeres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Elimination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Den terminale halveringstid var gennemsnitligt 6 dage (gennemsnit: 145 timer, interval 92-238 timer) hos patienter, der fik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lægemidlet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28 dage i det kliniske,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 studie med maksimal anvendelse. Eliminationen er absorptionsafhængig efter topisk behandling med </w:t>
      </w:r>
      <w:proofErr w:type="spellStart"/>
      <w:r w:rsidRPr="00D17426">
        <w:rPr>
          <w:sz w:val="24"/>
          <w:szCs w:val="24"/>
        </w:rPr>
        <w:t>Soolantra</w:t>
      </w:r>
      <w:proofErr w:type="spellEnd"/>
      <w:r w:rsidRPr="00D17426">
        <w:rPr>
          <w:sz w:val="24"/>
          <w:szCs w:val="24"/>
        </w:rPr>
        <w:t xml:space="preserve">. Farmakokinetikken for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blevet undersøgt på patienter med </w:t>
      </w:r>
      <w:proofErr w:type="gramStart"/>
      <w:r w:rsidRPr="00D17426">
        <w:rPr>
          <w:sz w:val="24"/>
          <w:szCs w:val="24"/>
        </w:rPr>
        <w:t>svække</w:t>
      </w:r>
      <w:proofErr w:type="gramEnd"/>
      <w:r w:rsidRPr="00D17426">
        <w:rPr>
          <w:sz w:val="24"/>
          <w:szCs w:val="24"/>
        </w:rPr>
        <w:t xml:space="preserve"> nyre- og leverfunktion.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lastRenderedPageBreak/>
        <w:t>5.3</w:t>
      </w:r>
      <w:r w:rsidRPr="00D17426">
        <w:rPr>
          <w:b/>
          <w:sz w:val="24"/>
          <w:szCs w:val="24"/>
        </w:rPr>
        <w:tab/>
        <w:t>Prækliniske sikkerhedsdata</w:t>
      </w:r>
    </w:p>
    <w:p w:rsidR="003E2118" w:rsidRPr="00D17426" w:rsidRDefault="003E2118" w:rsidP="003E2118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 xml:space="preserve">Studier på op til 9 måneder af toksiciteten efter gentagne doser med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minigrise har ikke vist nogen toksiske virkninger eller lokal toksicitet ved systemiske eksponeringsniveauer, der er sammenlignelige med den kliniske eksponering. 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genotoksisk i et batteri af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- og in </w:t>
      </w:r>
      <w:proofErr w:type="spellStart"/>
      <w:r w:rsidRPr="00D17426">
        <w:rPr>
          <w:sz w:val="24"/>
          <w:szCs w:val="24"/>
        </w:rPr>
        <w:t>vivo</w:t>
      </w:r>
      <w:proofErr w:type="spellEnd"/>
      <w:r w:rsidRPr="00D17426">
        <w:rPr>
          <w:sz w:val="24"/>
          <w:szCs w:val="24"/>
        </w:rPr>
        <w:t xml:space="preserve">-test. Et 2-årigt studie af </w:t>
      </w:r>
      <w:proofErr w:type="spellStart"/>
      <w:r w:rsidRPr="00D17426">
        <w:rPr>
          <w:sz w:val="24"/>
          <w:szCs w:val="24"/>
        </w:rPr>
        <w:t>karcinogeniciteten</w:t>
      </w:r>
      <w:proofErr w:type="spellEnd"/>
      <w:r w:rsidRPr="00D17426">
        <w:rPr>
          <w:sz w:val="24"/>
          <w:szCs w:val="24"/>
        </w:rPr>
        <w:t xml:space="preserve"> efter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mus viste ingen forhøjet forekomst af tumorer.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af reproduktionstoksiciteten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viste </w:t>
      </w:r>
      <w:proofErr w:type="spellStart"/>
      <w:r w:rsidRPr="00D17426">
        <w:rPr>
          <w:sz w:val="24"/>
          <w:szCs w:val="24"/>
        </w:rPr>
        <w:t>teratogene</w:t>
      </w:r>
      <w:proofErr w:type="spellEnd"/>
      <w:r w:rsidRPr="00D17426">
        <w:rPr>
          <w:sz w:val="24"/>
          <w:szCs w:val="24"/>
        </w:rPr>
        <w:t xml:space="preserve"> virkninger på rotter (ganespaltedannelse) og kaniner (</w:t>
      </w:r>
      <w:proofErr w:type="spellStart"/>
      <w:r w:rsidRPr="00D17426">
        <w:rPr>
          <w:sz w:val="24"/>
          <w:szCs w:val="24"/>
        </w:rPr>
        <w:t>karpale</w:t>
      </w:r>
      <w:proofErr w:type="spellEnd"/>
      <w:r w:rsidRPr="00D17426">
        <w:rPr>
          <w:sz w:val="24"/>
          <w:szCs w:val="24"/>
        </w:rPr>
        <w:t xml:space="preserve"> bøjninger) ved høje doser (eksponeringsmargen til NOAEL mindst 70 gange større sammenlignet med den kliniske eksponering).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Den neonatale toksicitet i orale rottestudier var ikke forbundet med eksponering in </w:t>
      </w:r>
      <w:proofErr w:type="spellStart"/>
      <w:r w:rsidRPr="00D17426">
        <w:rPr>
          <w:sz w:val="24"/>
          <w:szCs w:val="24"/>
        </w:rPr>
        <w:t>utero</w:t>
      </w:r>
      <w:proofErr w:type="spellEnd"/>
      <w:r w:rsidRPr="00D17426">
        <w:rPr>
          <w:sz w:val="24"/>
          <w:szCs w:val="24"/>
        </w:rPr>
        <w:t xml:space="preserve">, men med </w:t>
      </w:r>
      <w:proofErr w:type="spellStart"/>
      <w:r w:rsidRPr="00D17426">
        <w:rPr>
          <w:sz w:val="24"/>
          <w:szCs w:val="24"/>
        </w:rPr>
        <w:t>postnatal</w:t>
      </w:r>
      <w:proofErr w:type="spellEnd"/>
      <w:r w:rsidRPr="00D17426">
        <w:rPr>
          <w:sz w:val="24"/>
          <w:szCs w:val="24"/>
        </w:rPr>
        <w:t xml:space="preserve"> eksponering via modermælken, hvilket medførte høje niveauer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 afkommets hjerne og plasma.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På marsvin viser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tegn på at forårsage irritation, sensibilisering og fotosensibilisering af hud, men er ikke fototoksisk.</w:t>
      </w:r>
    </w:p>
    <w:p w:rsidR="003E2118" w:rsidRDefault="003E2118" w:rsidP="003E2118">
      <w:pPr>
        <w:ind w:left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Miljørisikovurdering</w:t>
      </w: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meget toksisk for hvirvelløse dyr, og der er påvist en risiko for det </w:t>
      </w:r>
      <w:proofErr w:type="spellStart"/>
      <w:r w:rsidRPr="00D17426">
        <w:rPr>
          <w:sz w:val="24"/>
          <w:szCs w:val="24"/>
        </w:rPr>
        <w:t>akvatiske</w:t>
      </w:r>
      <w:proofErr w:type="spellEnd"/>
      <w:r w:rsidRPr="00D17426">
        <w:rPr>
          <w:sz w:val="24"/>
          <w:szCs w:val="24"/>
        </w:rPr>
        <w:t xml:space="preserve"> sediment og det terrestriske kammer.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skal udvises forsigtighed for at undgå forurening af miljøet – især i vandmiljøer.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</w:t>
      </w:r>
      <w:r w:rsidRPr="00D17426">
        <w:rPr>
          <w:b/>
          <w:sz w:val="24"/>
          <w:szCs w:val="24"/>
        </w:rPr>
        <w:tab/>
        <w:t>FARMACEUTISKE OPLYSNINGER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6.1</w:t>
      </w:r>
      <w:r w:rsidRPr="00D17426">
        <w:rPr>
          <w:b/>
          <w:sz w:val="24"/>
          <w:szCs w:val="24"/>
        </w:rPr>
        <w:tab/>
        <w:t>Hjælpestoffer</w:t>
      </w:r>
    </w:p>
    <w:p w:rsidR="003E2118" w:rsidRPr="00D17426" w:rsidRDefault="003E2118" w:rsidP="003E2118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>Glycerol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Isopropylpalmitat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Carbomer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Dimeticon</w:t>
      </w:r>
      <w:proofErr w:type="spellEnd"/>
      <w:r w:rsidRPr="00D17426">
        <w:rPr>
          <w:sz w:val="24"/>
          <w:szCs w:val="24"/>
          <w:lang w:val="en-US"/>
        </w:rPr>
        <w:t> 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Dinatriumedetat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Citronsyremonohydrat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Cetanol</w:t>
      </w:r>
      <w:proofErr w:type="spellEnd"/>
      <w:r w:rsidRPr="00D17426">
        <w:rPr>
          <w:sz w:val="24"/>
          <w:szCs w:val="24"/>
          <w:lang w:val="en-US"/>
        </w:rPr>
        <w:t xml:space="preserve"> 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Stearylalkohol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Macrogolcetostearylether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Sorbitanstearat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Methyl-p-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218)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Propyl-p-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216)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Phenoxyethanol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Propylenglycol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Oleylalkohol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Natriumhydroxid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Renset vand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6.2</w:t>
      </w:r>
      <w:r w:rsidRPr="00D17426">
        <w:rPr>
          <w:b/>
          <w:sz w:val="24"/>
          <w:szCs w:val="24"/>
        </w:rPr>
        <w:tab/>
        <w:t>Uforligeligheder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Ikke relevant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6.3</w:t>
      </w:r>
      <w:r w:rsidRPr="00D17426">
        <w:rPr>
          <w:b/>
          <w:sz w:val="24"/>
          <w:szCs w:val="24"/>
        </w:rPr>
        <w:tab/>
        <w:t>Opbevaringstid</w:t>
      </w:r>
    </w:p>
    <w:p w:rsidR="003E2118" w:rsidRPr="00D17426" w:rsidRDefault="003E2118" w:rsidP="003E2118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2 år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Efter anbrud: anvendes inden for </w:t>
      </w:r>
      <w:r>
        <w:rPr>
          <w:sz w:val="24"/>
          <w:szCs w:val="24"/>
        </w:rPr>
        <w:t>6 måneder</w:t>
      </w:r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6.4</w:t>
      </w:r>
      <w:r w:rsidRPr="00D17426">
        <w:rPr>
          <w:b/>
          <w:sz w:val="24"/>
          <w:szCs w:val="24"/>
        </w:rPr>
        <w:tab/>
        <w:t>Særlige opbevaringsforhold</w:t>
      </w:r>
    </w:p>
    <w:p w:rsidR="003E2118" w:rsidRPr="00D17426" w:rsidRDefault="003E2118" w:rsidP="003E2118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Dette lægemiddel kræver ingen særlige forholdsregler vedrørende opbevaringen.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6.5</w:t>
      </w:r>
      <w:r w:rsidRPr="00D17426">
        <w:rPr>
          <w:b/>
          <w:sz w:val="24"/>
          <w:szCs w:val="24"/>
        </w:rPr>
        <w:tab/>
        <w:t>Emballagetyper og pakningsstørrelser</w:t>
      </w:r>
    </w:p>
    <w:p w:rsidR="003E2118" w:rsidRDefault="003E2118" w:rsidP="003E2118">
      <w:pPr>
        <w:ind w:left="851"/>
        <w:rPr>
          <w:sz w:val="24"/>
          <w:szCs w:val="24"/>
        </w:rPr>
      </w:pPr>
      <w:r w:rsidRPr="0027090E">
        <w:rPr>
          <w:sz w:val="24"/>
          <w:szCs w:val="24"/>
        </w:rPr>
        <w:t xml:space="preserve">Hvide plasttuber lamineret af </w:t>
      </w:r>
      <w:proofErr w:type="spellStart"/>
      <w:r w:rsidRPr="0027090E">
        <w:rPr>
          <w:sz w:val="24"/>
          <w:szCs w:val="24"/>
        </w:rPr>
        <w:t>polyethylen</w:t>
      </w:r>
      <w:proofErr w:type="spellEnd"/>
      <w:r w:rsidRPr="0027090E">
        <w:rPr>
          <w:sz w:val="24"/>
          <w:szCs w:val="24"/>
        </w:rPr>
        <w:t xml:space="preserve"> (PE)/aluminium (Al)/</w:t>
      </w:r>
      <w:proofErr w:type="spellStart"/>
      <w:r w:rsidRPr="0027090E">
        <w:rPr>
          <w:sz w:val="24"/>
          <w:szCs w:val="24"/>
        </w:rPr>
        <w:t>polyethylen</w:t>
      </w:r>
      <w:proofErr w:type="spellEnd"/>
      <w:r w:rsidRPr="0027090E">
        <w:rPr>
          <w:sz w:val="24"/>
          <w:szCs w:val="24"/>
        </w:rPr>
        <w:t xml:space="preserve"> (PE) med</w:t>
      </w:r>
      <w:r>
        <w:rPr>
          <w:sz w:val="24"/>
          <w:szCs w:val="24"/>
        </w:rPr>
        <w:t>:</w:t>
      </w:r>
    </w:p>
    <w:p w:rsidR="003E2118" w:rsidRPr="0027090E" w:rsidRDefault="003E2118" w:rsidP="003E2118">
      <w:pPr>
        <w:numPr>
          <w:ilvl w:val="0"/>
          <w:numId w:val="7"/>
        </w:numPr>
        <w:ind w:left="1276" w:hanging="425"/>
        <w:rPr>
          <w:noProof/>
          <w:sz w:val="24"/>
          <w:szCs w:val="24"/>
        </w:rPr>
      </w:pPr>
      <w:r>
        <w:rPr>
          <w:sz w:val="24"/>
          <w:szCs w:val="24"/>
        </w:rPr>
        <w:t>E</w:t>
      </w:r>
      <w:r w:rsidRPr="0027090E">
        <w:rPr>
          <w:sz w:val="24"/>
          <w:szCs w:val="24"/>
        </w:rPr>
        <w:t>n hvid HDPE-ende og en børnesikret lukning af polypropylen (PP) til</w:t>
      </w:r>
      <w:r w:rsidRPr="0027090E">
        <w:rPr>
          <w:noProof/>
          <w:sz w:val="24"/>
          <w:szCs w:val="24"/>
        </w:rPr>
        <w:t xml:space="preserve"> </w:t>
      </w:r>
      <w:r w:rsidRPr="0027090E">
        <w:rPr>
          <w:sz w:val="24"/>
          <w:szCs w:val="24"/>
        </w:rPr>
        <w:t>tuber med 15 g, 30 g, 45 g eller 60 g</w:t>
      </w:r>
    </w:p>
    <w:p w:rsidR="003E2118" w:rsidRPr="0027090E" w:rsidRDefault="003E2118" w:rsidP="003E2118">
      <w:pPr>
        <w:numPr>
          <w:ilvl w:val="0"/>
          <w:numId w:val="7"/>
        </w:numPr>
        <w:ind w:left="1276" w:hanging="425"/>
        <w:rPr>
          <w:noProof/>
          <w:sz w:val="24"/>
          <w:szCs w:val="24"/>
        </w:rPr>
      </w:pPr>
      <w:r w:rsidRPr="0027090E">
        <w:rPr>
          <w:sz w:val="24"/>
          <w:szCs w:val="24"/>
        </w:rPr>
        <w:t>En hvid hætte af polypropylen (PP) til tuber med 2 g (uden børnesikret lukning)</w:t>
      </w:r>
    </w:p>
    <w:p w:rsidR="003E2118" w:rsidRPr="0027090E" w:rsidRDefault="003E2118" w:rsidP="003E2118">
      <w:pPr>
        <w:ind w:left="851"/>
        <w:rPr>
          <w:sz w:val="24"/>
          <w:szCs w:val="24"/>
        </w:rPr>
      </w:pPr>
    </w:p>
    <w:p w:rsidR="003E2118" w:rsidRPr="0027090E" w:rsidRDefault="003E2118" w:rsidP="003E2118">
      <w:pPr>
        <w:ind w:left="851"/>
        <w:rPr>
          <w:noProof/>
          <w:sz w:val="24"/>
          <w:szCs w:val="24"/>
        </w:rPr>
      </w:pPr>
      <w:r w:rsidRPr="0027090E">
        <w:rPr>
          <w:sz w:val="24"/>
          <w:szCs w:val="24"/>
        </w:rPr>
        <w:t>Pakningsstørrelser:</w:t>
      </w:r>
      <w:r w:rsidRPr="0027090E">
        <w:rPr>
          <w:noProof/>
          <w:sz w:val="24"/>
          <w:szCs w:val="24"/>
        </w:rPr>
        <w:t xml:space="preserve"> </w:t>
      </w:r>
      <w:r w:rsidRPr="0027090E">
        <w:rPr>
          <w:sz w:val="24"/>
          <w:szCs w:val="24"/>
        </w:rPr>
        <w:t>1 tube med 2 g, 15 g, 30 g, 45 g eller 60 g.</w:t>
      </w:r>
      <w:r w:rsidRPr="0027090E">
        <w:rPr>
          <w:noProof/>
          <w:sz w:val="24"/>
          <w:szCs w:val="24"/>
        </w:rPr>
        <w:t xml:space="preserve"> </w:t>
      </w:r>
    </w:p>
    <w:p w:rsidR="003E2118" w:rsidRPr="0027090E" w:rsidRDefault="003E2118" w:rsidP="003E2118">
      <w:pPr>
        <w:ind w:left="851"/>
        <w:rPr>
          <w:noProof/>
          <w:sz w:val="24"/>
          <w:szCs w:val="24"/>
        </w:rPr>
      </w:pPr>
      <w:r w:rsidRPr="0027090E">
        <w:rPr>
          <w:sz w:val="24"/>
          <w:szCs w:val="24"/>
        </w:rPr>
        <w:t>Ikke alle pakningsstørrelser er nødvendigvis markedsført.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6.6</w:t>
      </w:r>
      <w:r w:rsidRPr="00D17426">
        <w:rPr>
          <w:b/>
          <w:sz w:val="24"/>
          <w:szCs w:val="24"/>
        </w:rPr>
        <w:tab/>
        <w:t>Regler for destruktion og anden håndtering</w:t>
      </w:r>
    </w:p>
    <w:p w:rsidR="003E2118" w:rsidRPr="00D17426" w:rsidRDefault="003E2118" w:rsidP="003E2118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Der skal træffes forebyggende foranstaltninger for at forhindre eller mindske forurening – især i vandmiljøer.</w:t>
      </w:r>
    </w:p>
    <w:p w:rsidR="003E2118" w:rsidRPr="00D17426" w:rsidRDefault="003E2118" w:rsidP="003E2118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Ikke anvendt lægemiddel samt affald heraf skal bortskaffes i henhold til lokale retningslinjer.</w:t>
      </w:r>
    </w:p>
    <w:p w:rsidR="003E2118" w:rsidRPr="00D17426" w:rsidRDefault="003E2118" w:rsidP="003E211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7.</w:t>
      </w:r>
      <w:r w:rsidRPr="00D17426">
        <w:rPr>
          <w:b/>
          <w:sz w:val="24"/>
          <w:szCs w:val="24"/>
        </w:rPr>
        <w:tab/>
        <w:t>INDEHAVER AF MARKEDSFØRINGSTILLADELSEN</w:t>
      </w:r>
    </w:p>
    <w:p w:rsidR="003E2118" w:rsidRPr="00D17426" w:rsidRDefault="003E2118" w:rsidP="003E2118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Galderma</w:t>
      </w:r>
      <w:proofErr w:type="spellEnd"/>
      <w:r w:rsidRPr="00D17426">
        <w:rPr>
          <w:sz w:val="24"/>
          <w:szCs w:val="24"/>
        </w:rPr>
        <w:t xml:space="preserve"> Nordic AB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Seminariegatan</w:t>
      </w:r>
      <w:proofErr w:type="spellEnd"/>
      <w:r w:rsidRPr="00D17426">
        <w:rPr>
          <w:sz w:val="24"/>
          <w:szCs w:val="24"/>
        </w:rPr>
        <w:t xml:space="preserve"> 21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SE-752 28 Uppsala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>Sverige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8.</w:t>
      </w:r>
      <w:r w:rsidRPr="00D17426">
        <w:rPr>
          <w:b/>
          <w:sz w:val="24"/>
          <w:szCs w:val="24"/>
        </w:rPr>
        <w:tab/>
        <w:t>MARKEDSFØRINGSTILLADELSESNUMMER (NUMRE)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54123</w:t>
      </w:r>
    </w:p>
    <w:p w:rsidR="003E2118" w:rsidRPr="00D17426" w:rsidRDefault="003E2118" w:rsidP="003E211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9.</w:t>
      </w:r>
      <w:r w:rsidRPr="00D17426">
        <w:rPr>
          <w:b/>
          <w:sz w:val="24"/>
          <w:szCs w:val="24"/>
        </w:rPr>
        <w:tab/>
        <w:t>DATO FOR FØRSTE MARKEDSFØRINGSTILLADELSE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22</w:t>
      </w:r>
      <w:r w:rsidRPr="00D17426">
        <w:rPr>
          <w:sz w:val="24"/>
          <w:szCs w:val="24"/>
        </w:rPr>
        <w:t>. april 2015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10.</w:t>
      </w:r>
      <w:r w:rsidRPr="00D17426">
        <w:rPr>
          <w:b/>
          <w:sz w:val="24"/>
          <w:szCs w:val="24"/>
        </w:rPr>
        <w:tab/>
        <w:t>DATO FOR ÆNDRING AF TEKSTEN</w:t>
      </w:r>
    </w:p>
    <w:p w:rsidR="003E2118" w:rsidRPr="005159DA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5159DA">
        <w:rPr>
          <w:sz w:val="24"/>
          <w:szCs w:val="24"/>
        </w:rPr>
        <w:tab/>
      </w:r>
      <w:r w:rsidR="000A77C7">
        <w:rPr>
          <w:sz w:val="24"/>
          <w:szCs w:val="24"/>
        </w:rPr>
        <w:t>2. juli 2020</w:t>
      </w:r>
    </w:p>
    <w:p w:rsidR="003E2118" w:rsidRPr="00F84B38" w:rsidRDefault="003E2118" w:rsidP="003E2118"/>
    <w:p w:rsidR="003E2118" w:rsidRPr="005E6804" w:rsidRDefault="003E2118" w:rsidP="003E2118"/>
    <w:p w:rsidR="009260DE" w:rsidRPr="003E2118" w:rsidRDefault="009260DE" w:rsidP="003E2118"/>
    <w:sectPr w:rsidR="009260DE" w:rsidRPr="003E2118" w:rsidSect="000259B9">
      <w:footerReference w:type="default" r:id="rId15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18" w:rsidRDefault="003E2118">
      <w:r>
        <w:separator/>
      </w:r>
    </w:p>
  </w:endnote>
  <w:endnote w:type="continuationSeparator" w:id="0">
    <w:p w:rsidR="003E2118" w:rsidRDefault="003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E2118">
      <w:rPr>
        <w:i/>
        <w:noProof/>
        <w:sz w:val="18"/>
        <w:szCs w:val="18"/>
      </w:rPr>
      <w:t>Dokument4924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18" w:rsidRDefault="003E2118">
      <w:r>
        <w:separator/>
      </w:r>
    </w:p>
  </w:footnote>
  <w:footnote w:type="continuationSeparator" w:id="0">
    <w:p w:rsidR="003E2118" w:rsidRDefault="003E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867"/>
    <w:multiLevelType w:val="hybridMultilevel"/>
    <w:tmpl w:val="139EE1C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28A6E24"/>
    <w:multiLevelType w:val="hybridMultilevel"/>
    <w:tmpl w:val="CFF0CDA0"/>
    <w:lvl w:ilvl="0" w:tplc="4EC66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18"/>
    <w:rsid w:val="000259B9"/>
    <w:rsid w:val="00041491"/>
    <w:rsid w:val="00050D16"/>
    <w:rsid w:val="00074F2A"/>
    <w:rsid w:val="000A1CA8"/>
    <w:rsid w:val="000A466B"/>
    <w:rsid w:val="000A77C7"/>
    <w:rsid w:val="000B058C"/>
    <w:rsid w:val="000E4EE6"/>
    <w:rsid w:val="000F0716"/>
    <w:rsid w:val="001454E2"/>
    <w:rsid w:val="00206CE8"/>
    <w:rsid w:val="0021526C"/>
    <w:rsid w:val="00283A2B"/>
    <w:rsid w:val="002B30AD"/>
    <w:rsid w:val="002C28E6"/>
    <w:rsid w:val="002C2C01"/>
    <w:rsid w:val="00342F90"/>
    <w:rsid w:val="003A29AE"/>
    <w:rsid w:val="003A32D7"/>
    <w:rsid w:val="003B4074"/>
    <w:rsid w:val="003C33EA"/>
    <w:rsid w:val="003C769A"/>
    <w:rsid w:val="003E2118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C1BD5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9E12F8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1F01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E64B8-A6BA-4098-A453-607B9CE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3E2118"/>
    <w:rPr>
      <w:color w:val="0000FF"/>
      <w:u w:val="single"/>
    </w:rPr>
  </w:style>
  <w:style w:type="character" w:customStyle="1" w:styleId="SynopsisHeadingCharCharCharCharCharCharCharCharCharCharCharCharCharCharCharCharCharCharChar">
    <w:name w:val="Synopsis Heading Char Char Char Char Char Char Char Char Char Char Char Char Char Char Char Char Char Char Char"/>
    <w:uiPriority w:val="99"/>
    <w:rsid w:val="003E2118"/>
    <w:rPr>
      <w:b/>
      <w:bCs w:val="0"/>
      <w:caps/>
      <w:kern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10</Pages>
  <Words>2708</Words>
  <Characters>17114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2019062202 - pkt. 4.2, 4.5, 4.8, 5.1</dc:description>
  <cp:lastModifiedBy>Line Aaboe Würtz</cp:lastModifiedBy>
  <cp:revision>7</cp:revision>
  <cp:lastPrinted>2012-08-22T08:53:00Z</cp:lastPrinted>
  <dcterms:created xsi:type="dcterms:W3CDTF">2020-06-30T16:14:00Z</dcterms:created>
  <dcterms:modified xsi:type="dcterms:W3CDTF">2020-06-30T16:19:00Z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