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8C23B" w14:textId="77777777" w:rsidR="004A3BF4" w:rsidRPr="00053B19" w:rsidRDefault="00056601" w:rsidP="004A3BF4">
      <w:pPr>
        <w:rPr>
          <w:sz w:val="24"/>
          <w:szCs w:val="24"/>
          <w:lang w:val="en-GB"/>
        </w:rPr>
      </w:pPr>
      <w:r w:rsidRPr="00053B19">
        <w:rPr>
          <w:noProof/>
          <w:sz w:val="24"/>
          <w:szCs w:val="24"/>
          <w:lang w:val="en-GB"/>
        </w:rPr>
        <w:drawing>
          <wp:inline distT="0" distB="0" distL="0" distR="0" wp14:anchorId="0AAF4AA8" wp14:editId="01CFC62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6F03888" w14:textId="77777777" w:rsidR="006B3847" w:rsidRPr="00053B19" w:rsidRDefault="006B3847" w:rsidP="006B3847">
      <w:pPr>
        <w:rPr>
          <w:sz w:val="24"/>
          <w:szCs w:val="24"/>
          <w:lang w:val="en-GB"/>
        </w:rPr>
      </w:pPr>
    </w:p>
    <w:p w14:paraId="28B5B736" w14:textId="5C824A23" w:rsidR="006B3847" w:rsidRPr="00B01393" w:rsidRDefault="006B3847" w:rsidP="006B3847">
      <w:pPr>
        <w:tabs>
          <w:tab w:val="right" w:pos="9356"/>
        </w:tabs>
        <w:rPr>
          <w:b/>
          <w:sz w:val="24"/>
          <w:szCs w:val="24"/>
        </w:rPr>
      </w:pPr>
      <w:r w:rsidRPr="00B01393">
        <w:rPr>
          <w:b/>
          <w:sz w:val="24"/>
          <w:szCs w:val="24"/>
        </w:rPr>
        <w:tab/>
      </w:r>
      <w:r w:rsidR="00366A21" w:rsidRPr="00B01393">
        <w:rPr>
          <w:b/>
          <w:sz w:val="24"/>
          <w:szCs w:val="24"/>
        </w:rPr>
        <w:t xml:space="preserve">2 </w:t>
      </w:r>
      <w:r w:rsidR="00047B10">
        <w:rPr>
          <w:b/>
          <w:sz w:val="24"/>
          <w:szCs w:val="24"/>
        </w:rPr>
        <w:t>december</w:t>
      </w:r>
      <w:r w:rsidR="00366A21" w:rsidRPr="00B01393">
        <w:rPr>
          <w:b/>
          <w:sz w:val="24"/>
          <w:szCs w:val="24"/>
        </w:rPr>
        <w:t xml:space="preserve"> 2024</w:t>
      </w:r>
    </w:p>
    <w:p w14:paraId="5E426B7B" w14:textId="77777777" w:rsidR="006B3847" w:rsidRPr="00B01393" w:rsidRDefault="006B3847" w:rsidP="006B3847">
      <w:pPr>
        <w:rPr>
          <w:sz w:val="24"/>
          <w:szCs w:val="24"/>
        </w:rPr>
      </w:pPr>
    </w:p>
    <w:p w14:paraId="352237DC" w14:textId="77777777" w:rsidR="007C5D2A" w:rsidRPr="00B01393" w:rsidRDefault="007C5D2A" w:rsidP="007C5D2A">
      <w:pPr>
        <w:rPr>
          <w:sz w:val="24"/>
          <w:szCs w:val="24"/>
        </w:rPr>
      </w:pPr>
    </w:p>
    <w:p w14:paraId="7CC5B528" w14:textId="77777777" w:rsidR="007C5D2A" w:rsidRPr="00B01393" w:rsidRDefault="007C5D2A" w:rsidP="007C5D2A">
      <w:pPr>
        <w:rPr>
          <w:sz w:val="24"/>
          <w:szCs w:val="24"/>
        </w:rPr>
      </w:pPr>
    </w:p>
    <w:p w14:paraId="47C3AF40" w14:textId="77777777" w:rsidR="007C5D2A" w:rsidRPr="00053B19" w:rsidRDefault="007C5D2A" w:rsidP="007C5D2A">
      <w:pPr>
        <w:jc w:val="center"/>
        <w:rPr>
          <w:b/>
          <w:sz w:val="24"/>
          <w:szCs w:val="24"/>
          <w:lang w:val="en-GB"/>
        </w:rPr>
      </w:pPr>
      <w:bookmarkStart w:id="0" w:name="_Hlk49158549"/>
      <w:r w:rsidRPr="00053B19">
        <w:rPr>
          <w:b/>
          <w:sz w:val="24"/>
          <w:szCs w:val="24"/>
          <w:lang w:val="en-GB"/>
        </w:rPr>
        <w:t>SUMMARY OF PRODUCT CHARACTERISTICS</w:t>
      </w:r>
    </w:p>
    <w:bookmarkEnd w:id="0"/>
    <w:p w14:paraId="3926FD7F" w14:textId="77777777" w:rsidR="007C5D2A" w:rsidRPr="00053B19" w:rsidRDefault="007C5D2A" w:rsidP="007C5D2A">
      <w:pPr>
        <w:jc w:val="center"/>
        <w:rPr>
          <w:sz w:val="24"/>
          <w:szCs w:val="24"/>
          <w:lang w:val="en-GB"/>
        </w:rPr>
      </w:pPr>
    </w:p>
    <w:p w14:paraId="27D7C369" w14:textId="77777777" w:rsidR="007C5D2A" w:rsidRPr="00053B19" w:rsidRDefault="007C5D2A" w:rsidP="007C5D2A">
      <w:pPr>
        <w:jc w:val="center"/>
        <w:rPr>
          <w:b/>
          <w:sz w:val="24"/>
          <w:szCs w:val="24"/>
          <w:lang w:val="en-GB"/>
        </w:rPr>
      </w:pPr>
      <w:r w:rsidRPr="00053B19">
        <w:rPr>
          <w:b/>
          <w:sz w:val="24"/>
          <w:szCs w:val="24"/>
          <w:lang w:val="en-GB"/>
        </w:rPr>
        <w:t>for</w:t>
      </w:r>
    </w:p>
    <w:p w14:paraId="1B70578E" w14:textId="77777777" w:rsidR="007C5D2A" w:rsidRPr="00053B19" w:rsidRDefault="007C5D2A" w:rsidP="007C5D2A">
      <w:pPr>
        <w:jc w:val="center"/>
        <w:rPr>
          <w:sz w:val="24"/>
          <w:szCs w:val="24"/>
          <w:lang w:val="en-GB"/>
        </w:rPr>
      </w:pPr>
    </w:p>
    <w:p w14:paraId="3FDBB635" w14:textId="03CA5201" w:rsidR="007C5D2A" w:rsidRPr="00053B19" w:rsidRDefault="00191AEF" w:rsidP="007C5D2A">
      <w:pPr>
        <w:jc w:val="center"/>
        <w:rPr>
          <w:b/>
          <w:sz w:val="24"/>
          <w:szCs w:val="24"/>
          <w:lang w:val="en-GB"/>
        </w:rPr>
      </w:pPr>
      <w:r w:rsidRPr="00053B19">
        <w:rPr>
          <w:b/>
          <w:sz w:val="24"/>
          <w:szCs w:val="24"/>
          <w:lang w:val="en-GB"/>
        </w:rPr>
        <w:t>Sorafenib "Sandoz", film-coated tablets</w:t>
      </w:r>
      <w:r w:rsidR="00882FA6">
        <w:rPr>
          <w:b/>
          <w:sz w:val="24"/>
          <w:szCs w:val="24"/>
          <w:lang w:val="en-GB"/>
        </w:rPr>
        <w:t xml:space="preserve"> 400 mg</w:t>
      </w:r>
    </w:p>
    <w:p w14:paraId="6AE9DE00" w14:textId="77777777" w:rsidR="007C5D2A" w:rsidRPr="00053B19" w:rsidRDefault="007C5D2A" w:rsidP="007C5D2A">
      <w:pPr>
        <w:jc w:val="both"/>
        <w:rPr>
          <w:sz w:val="24"/>
          <w:szCs w:val="24"/>
          <w:lang w:val="en-GB"/>
        </w:rPr>
      </w:pPr>
    </w:p>
    <w:p w14:paraId="28F6A288" w14:textId="77777777" w:rsidR="0042292D" w:rsidRPr="00053B19" w:rsidRDefault="0042292D" w:rsidP="007C5D2A">
      <w:pPr>
        <w:jc w:val="both"/>
        <w:rPr>
          <w:sz w:val="24"/>
          <w:szCs w:val="24"/>
          <w:lang w:val="en-GB"/>
        </w:rPr>
      </w:pPr>
    </w:p>
    <w:p w14:paraId="18C6110D" w14:textId="77777777" w:rsidR="008F2F8C" w:rsidRPr="00053B19" w:rsidRDefault="008F2F8C" w:rsidP="008F2F8C">
      <w:pPr>
        <w:tabs>
          <w:tab w:val="left" w:pos="8222"/>
        </w:tabs>
        <w:ind w:left="851" w:hanging="851"/>
        <w:rPr>
          <w:b/>
          <w:sz w:val="24"/>
          <w:szCs w:val="24"/>
          <w:lang w:val="en-GB"/>
        </w:rPr>
      </w:pPr>
      <w:r w:rsidRPr="00053B19">
        <w:rPr>
          <w:b/>
          <w:sz w:val="24"/>
          <w:szCs w:val="24"/>
          <w:lang w:val="en-GB"/>
        </w:rPr>
        <w:t>0.</w:t>
      </w:r>
      <w:r w:rsidRPr="00053B19">
        <w:rPr>
          <w:b/>
          <w:sz w:val="24"/>
          <w:szCs w:val="24"/>
          <w:lang w:val="en-GB"/>
        </w:rPr>
        <w:tab/>
      </w:r>
      <w:proofErr w:type="gramStart"/>
      <w:r w:rsidRPr="00053B19">
        <w:rPr>
          <w:b/>
          <w:sz w:val="24"/>
          <w:szCs w:val="24"/>
          <w:lang w:val="en-GB"/>
        </w:rPr>
        <w:t>D.SP.NO</w:t>
      </w:r>
      <w:proofErr w:type="gramEnd"/>
      <w:r w:rsidRPr="00053B19">
        <w:rPr>
          <w:b/>
          <w:sz w:val="24"/>
          <w:szCs w:val="24"/>
          <w:lang w:val="en-GB"/>
        </w:rPr>
        <w:t>.</w:t>
      </w:r>
    </w:p>
    <w:p w14:paraId="0188EACE" w14:textId="1BD597E4" w:rsidR="008F2F8C" w:rsidRPr="00053B19" w:rsidRDefault="00191AEF" w:rsidP="008F2F8C">
      <w:pPr>
        <w:tabs>
          <w:tab w:val="left" w:pos="8222"/>
        </w:tabs>
        <w:ind w:left="851"/>
        <w:rPr>
          <w:sz w:val="24"/>
          <w:szCs w:val="24"/>
          <w:lang w:val="en-GB"/>
        </w:rPr>
      </w:pPr>
      <w:r w:rsidRPr="00053B19">
        <w:rPr>
          <w:sz w:val="24"/>
          <w:szCs w:val="24"/>
          <w:lang w:val="en-GB"/>
        </w:rPr>
        <w:t>3</w:t>
      </w:r>
      <w:r w:rsidR="00284305">
        <w:rPr>
          <w:sz w:val="24"/>
          <w:szCs w:val="24"/>
          <w:lang w:val="en-GB"/>
        </w:rPr>
        <w:t>1635</w:t>
      </w:r>
    </w:p>
    <w:p w14:paraId="7CA49475" w14:textId="77777777" w:rsidR="007C5D2A" w:rsidRPr="00053B19" w:rsidRDefault="007C5D2A" w:rsidP="007C5D2A">
      <w:pPr>
        <w:tabs>
          <w:tab w:val="left" w:pos="851"/>
        </w:tabs>
        <w:jc w:val="both"/>
        <w:rPr>
          <w:sz w:val="24"/>
          <w:szCs w:val="24"/>
          <w:lang w:val="en-GB"/>
        </w:rPr>
      </w:pPr>
    </w:p>
    <w:p w14:paraId="50E0527A" w14:textId="77777777" w:rsidR="007C5D2A" w:rsidRPr="00053B19" w:rsidRDefault="009925C9" w:rsidP="007C5D2A">
      <w:pPr>
        <w:tabs>
          <w:tab w:val="left" w:pos="851"/>
        </w:tabs>
        <w:ind w:left="851" w:hanging="851"/>
        <w:rPr>
          <w:sz w:val="24"/>
          <w:szCs w:val="24"/>
          <w:lang w:val="en-GB"/>
        </w:rPr>
      </w:pPr>
      <w:r w:rsidRPr="00053B19">
        <w:rPr>
          <w:b/>
          <w:sz w:val="24"/>
          <w:szCs w:val="24"/>
          <w:lang w:val="en-GB"/>
        </w:rPr>
        <w:t>1.</w:t>
      </w:r>
      <w:r w:rsidR="007C5D2A" w:rsidRPr="00053B19">
        <w:rPr>
          <w:b/>
          <w:sz w:val="24"/>
          <w:szCs w:val="24"/>
          <w:lang w:val="en-GB"/>
        </w:rPr>
        <w:tab/>
        <w:t>NAME OF THE MEDICINAL PRODUCT</w:t>
      </w:r>
    </w:p>
    <w:p w14:paraId="48C8EF02" w14:textId="2826049F" w:rsidR="007C5D2A" w:rsidRPr="00053B19" w:rsidRDefault="00191AEF" w:rsidP="004A3BF4">
      <w:pPr>
        <w:tabs>
          <w:tab w:val="left" w:pos="851"/>
        </w:tabs>
        <w:ind w:left="851"/>
        <w:rPr>
          <w:sz w:val="24"/>
          <w:szCs w:val="24"/>
          <w:lang w:val="en-GB"/>
        </w:rPr>
      </w:pPr>
      <w:r w:rsidRPr="00053B19">
        <w:rPr>
          <w:sz w:val="24"/>
          <w:szCs w:val="24"/>
          <w:lang w:val="en-GB"/>
        </w:rPr>
        <w:t>Sorafenib "Sandoz"</w:t>
      </w:r>
    </w:p>
    <w:p w14:paraId="5F85EDA6" w14:textId="77777777" w:rsidR="007C5D2A" w:rsidRPr="00053B19" w:rsidRDefault="007C5D2A" w:rsidP="004A3BF4">
      <w:pPr>
        <w:tabs>
          <w:tab w:val="left" w:pos="851"/>
        </w:tabs>
        <w:ind w:left="851"/>
        <w:rPr>
          <w:sz w:val="24"/>
          <w:szCs w:val="24"/>
          <w:lang w:val="en-GB"/>
        </w:rPr>
      </w:pPr>
    </w:p>
    <w:p w14:paraId="2FFAF5E9" w14:textId="77777777" w:rsidR="007C5D2A" w:rsidRPr="00053B19" w:rsidRDefault="009925C9" w:rsidP="007C5D2A">
      <w:pPr>
        <w:ind w:left="851" w:hanging="851"/>
        <w:rPr>
          <w:b/>
          <w:sz w:val="24"/>
          <w:szCs w:val="24"/>
          <w:lang w:val="en-GB"/>
        </w:rPr>
      </w:pPr>
      <w:r w:rsidRPr="00053B19">
        <w:rPr>
          <w:b/>
          <w:sz w:val="24"/>
          <w:szCs w:val="24"/>
          <w:lang w:val="en-GB"/>
        </w:rPr>
        <w:t>2.</w:t>
      </w:r>
      <w:r w:rsidR="007C5D2A" w:rsidRPr="00053B19">
        <w:rPr>
          <w:b/>
          <w:sz w:val="24"/>
          <w:szCs w:val="24"/>
          <w:lang w:val="en-GB"/>
        </w:rPr>
        <w:tab/>
        <w:t>QUALITATIVE AND QUANTITATIVE COMPOSITION</w:t>
      </w:r>
    </w:p>
    <w:p w14:paraId="5C5FAC42" w14:textId="77777777" w:rsidR="00191AEF" w:rsidRPr="00053B19" w:rsidRDefault="00191AEF" w:rsidP="00E76924">
      <w:pPr>
        <w:ind w:left="851"/>
        <w:rPr>
          <w:sz w:val="24"/>
          <w:szCs w:val="24"/>
          <w:lang w:val="en-GB"/>
        </w:rPr>
      </w:pPr>
      <w:r w:rsidRPr="00053B19">
        <w:rPr>
          <w:sz w:val="24"/>
          <w:szCs w:val="24"/>
          <w:lang w:val="en-GB"/>
        </w:rPr>
        <w:t xml:space="preserve">Each film-coated tablet contains 400 mg of sorafenib (as </w:t>
      </w:r>
      <w:proofErr w:type="spellStart"/>
      <w:r w:rsidRPr="00053B19">
        <w:rPr>
          <w:sz w:val="24"/>
          <w:szCs w:val="24"/>
          <w:lang w:val="en-GB"/>
        </w:rPr>
        <w:t>tosylate</w:t>
      </w:r>
      <w:proofErr w:type="spellEnd"/>
      <w:r w:rsidRPr="00053B19">
        <w:rPr>
          <w:sz w:val="24"/>
          <w:szCs w:val="24"/>
          <w:lang w:val="en-GB"/>
        </w:rPr>
        <w:t>).</w:t>
      </w:r>
    </w:p>
    <w:p w14:paraId="5D605277" w14:textId="77777777" w:rsidR="00191AEF" w:rsidRPr="00053B19" w:rsidRDefault="00191AEF" w:rsidP="00E76924">
      <w:pPr>
        <w:ind w:left="851"/>
        <w:rPr>
          <w:sz w:val="24"/>
          <w:szCs w:val="24"/>
          <w:lang w:val="en-GB"/>
        </w:rPr>
      </w:pPr>
    </w:p>
    <w:p w14:paraId="53488E0C" w14:textId="77777777" w:rsidR="00191AEF" w:rsidRPr="00053B19" w:rsidRDefault="00191AEF" w:rsidP="00E76924">
      <w:pPr>
        <w:ind w:left="851"/>
        <w:rPr>
          <w:sz w:val="24"/>
          <w:szCs w:val="24"/>
          <w:lang w:val="en-GB"/>
        </w:rPr>
      </w:pPr>
      <w:r w:rsidRPr="00053B19">
        <w:rPr>
          <w:sz w:val="24"/>
          <w:szCs w:val="24"/>
          <w:lang w:val="en-GB"/>
        </w:rPr>
        <w:t>For the full list of excipients, see section 6.1.</w:t>
      </w:r>
    </w:p>
    <w:p w14:paraId="50E19331" w14:textId="77777777" w:rsidR="007C5D2A" w:rsidRPr="00053B19" w:rsidRDefault="007C5D2A" w:rsidP="004A3BF4">
      <w:pPr>
        <w:tabs>
          <w:tab w:val="left" w:pos="851"/>
        </w:tabs>
        <w:ind w:left="851"/>
        <w:rPr>
          <w:sz w:val="24"/>
          <w:szCs w:val="24"/>
          <w:lang w:val="en-GB"/>
        </w:rPr>
      </w:pPr>
    </w:p>
    <w:p w14:paraId="78D8A167" w14:textId="77777777" w:rsidR="007C5D2A" w:rsidRPr="00053B19" w:rsidRDefault="007C5D2A" w:rsidP="007C5D2A">
      <w:pPr>
        <w:tabs>
          <w:tab w:val="left" w:pos="851"/>
        </w:tabs>
        <w:ind w:left="851" w:hanging="851"/>
        <w:rPr>
          <w:b/>
          <w:sz w:val="24"/>
          <w:szCs w:val="24"/>
          <w:lang w:val="en-GB"/>
        </w:rPr>
      </w:pPr>
      <w:r w:rsidRPr="00053B19">
        <w:rPr>
          <w:b/>
          <w:sz w:val="24"/>
          <w:szCs w:val="24"/>
          <w:lang w:val="en-GB"/>
        </w:rPr>
        <w:t>3.</w:t>
      </w:r>
      <w:r w:rsidRPr="00053B19">
        <w:rPr>
          <w:b/>
          <w:sz w:val="24"/>
          <w:szCs w:val="24"/>
          <w:lang w:val="en-GB"/>
        </w:rPr>
        <w:tab/>
        <w:t>PHARMACEUTICAL FORM</w:t>
      </w:r>
    </w:p>
    <w:p w14:paraId="051F3CD6" w14:textId="30CBEE83" w:rsidR="00191AEF" w:rsidRPr="00053B19" w:rsidRDefault="00191AEF" w:rsidP="00E76924">
      <w:pPr>
        <w:ind w:left="851"/>
        <w:rPr>
          <w:sz w:val="24"/>
          <w:szCs w:val="24"/>
          <w:lang w:val="en-GB"/>
        </w:rPr>
      </w:pPr>
      <w:r w:rsidRPr="00053B19">
        <w:rPr>
          <w:sz w:val="24"/>
          <w:szCs w:val="24"/>
          <w:lang w:val="en-GB"/>
        </w:rPr>
        <w:t>Film-coated tablet</w:t>
      </w:r>
      <w:r w:rsidR="00E76924" w:rsidRPr="00053B19">
        <w:rPr>
          <w:sz w:val="24"/>
          <w:szCs w:val="24"/>
          <w:lang w:val="en-GB"/>
        </w:rPr>
        <w:t>s</w:t>
      </w:r>
      <w:r w:rsidRPr="00053B19">
        <w:rPr>
          <w:sz w:val="24"/>
          <w:szCs w:val="24"/>
          <w:lang w:val="en-GB"/>
        </w:rPr>
        <w:t xml:space="preserve"> (tablet</w:t>
      </w:r>
      <w:r w:rsidR="00E76924" w:rsidRPr="00053B19">
        <w:rPr>
          <w:sz w:val="24"/>
          <w:szCs w:val="24"/>
          <w:lang w:val="en-GB"/>
        </w:rPr>
        <w:t>s</w:t>
      </w:r>
      <w:r w:rsidRPr="00053B19">
        <w:rPr>
          <w:sz w:val="24"/>
          <w:szCs w:val="24"/>
          <w:lang w:val="en-GB"/>
        </w:rPr>
        <w:t>)</w:t>
      </w:r>
    </w:p>
    <w:p w14:paraId="1A6D82AF" w14:textId="77777777" w:rsidR="00191AEF" w:rsidRPr="00053B19" w:rsidRDefault="00191AEF" w:rsidP="00E76924">
      <w:pPr>
        <w:ind w:left="851"/>
        <w:rPr>
          <w:sz w:val="24"/>
          <w:szCs w:val="24"/>
          <w:lang w:val="en-GB"/>
        </w:rPr>
      </w:pPr>
    </w:p>
    <w:p w14:paraId="763B3C1A" w14:textId="77777777" w:rsidR="00191AEF" w:rsidRPr="00053B19" w:rsidRDefault="00191AEF" w:rsidP="00E76924">
      <w:pPr>
        <w:ind w:left="851"/>
        <w:rPr>
          <w:sz w:val="24"/>
          <w:szCs w:val="24"/>
          <w:lang w:val="en-GB"/>
        </w:rPr>
      </w:pPr>
      <w:r w:rsidRPr="00053B19">
        <w:rPr>
          <w:sz w:val="24"/>
          <w:szCs w:val="24"/>
          <w:lang w:val="en-GB"/>
        </w:rPr>
        <w:t>White – off white, oval shaped, film-coated tablets, with break line on one side and plain on the other side with dimensions 20.1 mm x 10.1 mm ± 5%.</w:t>
      </w:r>
    </w:p>
    <w:p w14:paraId="597DAB0D" w14:textId="77777777" w:rsidR="00191AEF" w:rsidRPr="00053B19" w:rsidRDefault="00191AEF" w:rsidP="00E76924">
      <w:pPr>
        <w:ind w:left="851"/>
        <w:rPr>
          <w:sz w:val="24"/>
          <w:szCs w:val="24"/>
          <w:lang w:val="en-GB"/>
        </w:rPr>
      </w:pPr>
    </w:p>
    <w:p w14:paraId="45180A6F" w14:textId="77777777" w:rsidR="00191AEF" w:rsidRPr="00053B19" w:rsidRDefault="00191AEF" w:rsidP="00E76924">
      <w:pPr>
        <w:ind w:left="851"/>
        <w:rPr>
          <w:sz w:val="24"/>
          <w:szCs w:val="24"/>
          <w:lang w:val="en-GB"/>
        </w:rPr>
      </w:pPr>
      <w:r w:rsidRPr="00053B19">
        <w:rPr>
          <w:sz w:val="24"/>
          <w:szCs w:val="24"/>
          <w:lang w:val="en-GB"/>
        </w:rPr>
        <w:t>The score line is only to facilitate breaking for ease of swallowing and not to divide into equal doses.</w:t>
      </w:r>
    </w:p>
    <w:p w14:paraId="1D1FDEED" w14:textId="77777777" w:rsidR="007C5D2A" w:rsidRPr="00053B19" w:rsidRDefault="007C5D2A" w:rsidP="004A3BF4">
      <w:pPr>
        <w:tabs>
          <w:tab w:val="left" w:pos="851"/>
        </w:tabs>
        <w:ind w:left="851"/>
        <w:rPr>
          <w:sz w:val="24"/>
          <w:szCs w:val="24"/>
          <w:lang w:val="en-GB"/>
        </w:rPr>
      </w:pPr>
    </w:p>
    <w:p w14:paraId="6AB7DE65" w14:textId="77777777" w:rsidR="007C5D2A" w:rsidRPr="00053B19" w:rsidRDefault="007C5D2A" w:rsidP="004A3BF4">
      <w:pPr>
        <w:tabs>
          <w:tab w:val="left" w:pos="851"/>
        </w:tabs>
        <w:ind w:left="851"/>
        <w:rPr>
          <w:sz w:val="24"/>
          <w:szCs w:val="24"/>
          <w:lang w:val="en-GB"/>
        </w:rPr>
      </w:pPr>
    </w:p>
    <w:p w14:paraId="2ADBC0A7" w14:textId="77777777" w:rsidR="007C5D2A" w:rsidRPr="00053B19" w:rsidRDefault="007C5D2A" w:rsidP="007C5D2A">
      <w:pPr>
        <w:ind w:left="851" w:hanging="851"/>
        <w:rPr>
          <w:b/>
          <w:sz w:val="24"/>
          <w:szCs w:val="24"/>
          <w:lang w:val="en-GB"/>
        </w:rPr>
      </w:pPr>
      <w:r w:rsidRPr="00053B19">
        <w:rPr>
          <w:b/>
          <w:sz w:val="24"/>
          <w:szCs w:val="24"/>
          <w:lang w:val="en-GB"/>
        </w:rPr>
        <w:t>4.</w:t>
      </w:r>
      <w:r w:rsidRPr="00053B19">
        <w:rPr>
          <w:b/>
          <w:sz w:val="24"/>
          <w:szCs w:val="24"/>
          <w:lang w:val="en-GB"/>
        </w:rPr>
        <w:tab/>
        <w:t>CLINICAL PARTICULARS</w:t>
      </w:r>
    </w:p>
    <w:p w14:paraId="4B7A9917" w14:textId="77777777" w:rsidR="007C5D2A" w:rsidRPr="00053B19" w:rsidRDefault="007C5D2A" w:rsidP="004A3BF4">
      <w:pPr>
        <w:tabs>
          <w:tab w:val="left" w:pos="851"/>
        </w:tabs>
        <w:ind w:left="851"/>
        <w:rPr>
          <w:sz w:val="24"/>
          <w:szCs w:val="24"/>
          <w:lang w:val="en-GB"/>
        </w:rPr>
      </w:pPr>
    </w:p>
    <w:p w14:paraId="394FD9B4" w14:textId="77777777" w:rsidR="007C5D2A" w:rsidRPr="00053B19" w:rsidRDefault="007C5D2A" w:rsidP="007C5D2A">
      <w:pPr>
        <w:ind w:left="851" w:hanging="851"/>
        <w:rPr>
          <w:b/>
          <w:sz w:val="24"/>
          <w:szCs w:val="24"/>
          <w:u w:val="single"/>
          <w:lang w:val="en-GB"/>
        </w:rPr>
      </w:pPr>
      <w:r w:rsidRPr="00053B19">
        <w:rPr>
          <w:b/>
          <w:sz w:val="24"/>
          <w:szCs w:val="24"/>
          <w:lang w:val="en-GB"/>
        </w:rPr>
        <w:t>4.1</w:t>
      </w:r>
      <w:r w:rsidRPr="00053B19">
        <w:rPr>
          <w:b/>
          <w:sz w:val="24"/>
          <w:szCs w:val="24"/>
          <w:lang w:val="en-GB"/>
        </w:rPr>
        <w:tab/>
        <w:t>Therapeutic indications</w:t>
      </w:r>
    </w:p>
    <w:p w14:paraId="39DD30AD" w14:textId="77777777" w:rsidR="00E76924" w:rsidRPr="00053B19" w:rsidRDefault="00E76924" w:rsidP="00E76924">
      <w:pPr>
        <w:ind w:left="851"/>
        <w:rPr>
          <w:sz w:val="24"/>
          <w:szCs w:val="24"/>
          <w:lang w:val="en-GB"/>
        </w:rPr>
      </w:pPr>
    </w:p>
    <w:p w14:paraId="329A11AC" w14:textId="1A89F733" w:rsidR="00191AEF" w:rsidRPr="00053B19" w:rsidRDefault="00191AEF" w:rsidP="00E76924">
      <w:pPr>
        <w:ind w:left="851"/>
        <w:rPr>
          <w:sz w:val="24"/>
          <w:szCs w:val="24"/>
          <w:u w:val="single"/>
          <w:lang w:val="en-GB"/>
        </w:rPr>
      </w:pPr>
      <w:r w:rsidRPr="00053B19">
        <w:rPr>
          <w:sz w:val="24"/>
          <w:szCs w:val="24"/>
          <w:u w:val="single"/>
          <w:lang w:val="en-GB"/>
        </w:rPr>
        <w:t>Hepatocellular carcinoma</w:t>
      </w:r>
    </w:p>
    <w:p w14:paraId="5BA4BD70" w14:textId="77777777" w:rsidR="00191AEF" w:rsidRPr="00053B19" w:rsidRDefault="00191AEF" w:rsidP="00E76924">
      <w:pPr>
        <w:ind w:left="851"/>
        <w:rPr>
          <w:sz w:val="24"/>
          <w:szCs w:val="24"/>
          <w:lang w:val="en-GB"/>
        </w:rPr>
      </w:pPr>
    </w:p>
    <w:p w14:paraId="5A04563D" w14:textId="17F001FB" w:rsidR="00191AEF" w:rsidRPr="00053B19" w:rsidRDefault="00D8140A" w:rsidP="00E76924">
      <w:pPr>
        <w:ind w:left="851"/>
        <w:rPr>
          <w:sz w:val="24"/>
          <w:szCs w:val="24"/>
          <w:lang w:val="en-GB"/>
        </w:rPr>
      </w:pPr>
      <w:r>
        <w:rPr>
          <w:sz w:val="24"/>
          <w:szCs w:val="24"/>
          <w:lang w:val="en-GB"/>
        </w:rPr>
        <w:t>Sorafenib "Sandoz"</w:t>
      </w:r>
      <w:r w:rsidR="00191AEF" w:rsidRPr="00053B19">
        <w:rPr>
          <w:sz w:val="24"/>
          <w:szCs w:val="24"/>
          <w:lang w:val="en-GB"/>
        </w:rPr>
        <w:t xml:space="preserve"> is indicated for the treatment of hepatocellular carcinoma (see section 5.1).</w:t>
      </w:r>
    </w:p>
    <w:p w14:paraId="736D5938" w14:textId="77777777" w:rsidR="00191AEF" w:rsidRPr="00053B19" w:rsidRDefault="00191AEF" w:rsidP="00E76924">
      <w:pPr>
        <w:ind w:left="851"/>
        <w:rPr>
          <w:sz w:val="24"/>
          <w:szCs w:val="24"/>
          <w:lang w:val="en-GB"/>
        </w:rPr>
      </w:pPr>
    </w:p>
    <w:p w14:paraId="4504AB3C" w14:textId="77777777" w:rsidR="00191AEF" w:rsidRPr="00053B19" w:rsidRDefault="00191AEF" w:rsidP="00E76924">
      <w:pPr>
        <w:ind w:left="851"/>
        <w:rPr>
          <w:sz w:val="24"/>
          <w:szCs w:val="24"/>
          <w:u w:val="single"/>
          <w:lang w:val="en-GB"/>
        </w:rPr>
      </w:pPr>
      <w:r w:rsidRPr="00053B19">
        <w:rPr>
          <w:sz w:val="24"/>
          <w:szCs w:val="24"/>
          <w:u w:val="single"/>
          <w:lang w:val="en-GB"/>
        </w:rPr>
        <w:t>Renal cell carcinoma</w:t>
      </w:r>
    </w:p>
    <w:p w14:paraId="5F29FA3B" w14:textId="77777777" w:rsidR="00191AEF" w:rsidRPr="00053B19" w:rsidRDefault="00191AEF" w:rsidP="00E76924">
      <w:pPr>
        <w:ind w:left="851"/>
        <w:rPr>
          <w:sz w:val="24"/>
          <w:szCs w:val="24"/>
          <w:lang w:val="en-GB"/>
        </w:rPr>
      </w:pPr>
    </w:p>
    <w:p w14:paraId="687196AD" w14:textId="33075533" w:rsidR="00191AEF" w:rsidRPr="00053B19" w:rsidRDefault="00D8140A" w:rsidP="00E76924">
      <w:pPr>
        <w:ind w:left="851"/>
        <w:rPr>
          <w:sz w:val="24"/>
          <w:szCs w:val="24"/>
          <w:lang w:val="en-GB"/>
        </w:rPr>
      </w:pPr>
      <w:r>
        <w:rPr>
          <w:sz w:val="24"/>
          <w:szCs w:val="24"/>
          <w:lang w:val="en-GB"/>
        </w:rPr>
        <w:t>Sorafenib "Sandoz"</w:t>
      </w:r>
      <w:r w:rsidR="00191AEF" w:rsidRPr="00053B19">
        <w:rPr>
          <w:sz w:val="24"/>
          <w:szCs w:val="24"/>
          <w:lang w:val="en-GB"/>
        </w:rPr>
        <w:t xml:space="preserve"> is indicated for the treatment of patients with advanced renal cell carcinoma who have failed prior interferon-alpha or interleukin-2 based therapy or are considered unsuitable for such therapy.</w:t>
      </w:r>
    </w:p>
    <w:p w14:paraId="399AEA11" w14:textId="77777777" w:rsidR="007C5D2A" w:rsidRPr="00053B19" w:rsidRDefault="007C5D2A" w:rsidP="00A85D26">
      <w:pPr>
        <w:tabs>
          <w:tab w:val="left" w:pos="851"/>
        </w:tabs>
        <w:ind w:left="851"/>
        <w:rPr>
          <w:sz w:val="24"/>
          <w:szCs w:val="24"/>
          <w:lang w:val="en-GB"/>
        </w:rPr>
      </w:pPr>
    </w:p>
    <w:p w14:paraId="07125D4E" w14:textId="77777777" w:rsidR="007C5D2A" w:rsidRPr="00053B19" w:rsidRDefault="009925C9" w:rsidP="007C5D2A">
      <w:pPr>
        <w:tabs>
          <w:tab w:val="left" w:pos="851"/>
        </w:tabs>
        <w:ind w:left="851" w:hanging="851"/>
        <w:rPr>
          <w:sz w:val="24"/>
          <w:szCs w:val="24"/>
          <w:lang w:val="en-GB"/>
        </w:rPr>
      </w:pPr>
      <w:r w:rsidRPr="00053B19">
        <w:rPr>
          <w:b/>
          <w:sz w:val="24"/>
          <w:szCs w:val="24"/>
          <w:lang w:val="en-GB"/>
        </w:rPr>
        <w:t>4.2</w:t>
      </w:r>
      <w:r w:rsidR="007C5D2A" w:rsidRPr="00053B19">
        <w:rPr>
          <w:b/>
          <w:sz w:val="24"/>
          <w:szCs w:val="24"/>
          <w:lang w:val="en-GB"/>
        </w:rPr>
        <w:tab/>
        <w:t>Posology and method of administration</w:t>
      </w:r>
    </w:p>
    <w:p w14:paraId="6323739A" w14:textId="620867B7" w:rsidR="00191AEF" w:rsidRPr="00053B19" w:rsidRDefault="00D8140A" w:rsidP="00E76924">
      <w:pPr>
        <w:ind w:left="851"/>
        <w:rPr>
          <w:sz w:val="24"/>
          <w:szCs w:val="24"/>
          <w:lang w:val="en-GB"/>
        </w:rPr>
      </w:pPr>
      <w:r>
        <w:rPr>
          <w:sz w:val="24"/>
          <w:szCs w:val="24"/>
          <w:lang w:val="en-GB"/>
        </w:rPr>
        <w:t>Sorafenib "Sandoz"</w:t>
      </w:r>
      <w:r w:rsidR="00191AEF" w:rsidRPr="00053B19">
        <w:rPr>
          <w:sz w:val="24"/>
          <w:szCs w:val="24"/>
          <w:lang w:val="en-GB"/>
        </w:rPr>
        <w:t xml:space="preserve"> treatment should be supervised by a physician experienced in the use of anticancer therapies.</w:t>
      </w:r>
    </w:p>
    <w:p w14:paraId="6216BF6C" w14:textId="77777777" w:rsidR="00191AEF" w:rsidRPr="00053B19" w:rsidRDefault="00191AEF" w:rsidP="00E76924">
      <w:pPr>
        <w:ind w:left="851"/>
        <w:rPr>
          <w:sz w:val="24"/>
          <w:szCs w:val="24"/>
          <w:lang w:val="en-GB"/>
        </w:rPr>
      </w:pPr>
    </w:p>
    <w:p w14:paraId="1DBA8254" w14:textId="77777777" w:rsidR="00191AEF" w:rsidRPr="00053B19" w:rsidRDefault="00191AEF" w:rsidP="00E76924">
      <w:pPr>
        <w:ind w:left="851"/>
        <w:rPr>
          <w:sz w:val="24"/>
          <w:szCs w:val="24"/>
          <w:u w:val="single" w:color="000000"/>
          <w:lang w:val="en-GB"/>
        </w:rPr>
      </w:pPr>
      <w:r w:rsidRPr="00053B19">
        <w:rPr>
          <w:sz w:val="24"/>
          <w:szCs w:val="24"/>
          <w:u w:val="single" w:color="000000"/>
          <w:lang w:val="en-GB"/>
        </w:rPr>
        <w:t>Posology</w:t>
      </w:r>
    </w:p>
    <w:p w14:paraId="1726A02B" w14:textId="77777777" w:rsidR="00191AEF" w:rsidRPr="00053B19" w:rsidRDefault="00191AEF" w:rsidP="00E76924">
      <w:pPr>
        <w:ind w:left="851"/>
        <w:rPr>
          <w:sz w:val="24"/>
          <w:szCs w:val="24"/>
          <w:lang w:val="en-GB"/>
        </w:rPr>
      </w:pPr>
    </w:p>
    <w:p w14:paraId="3FDB4852" w14:textId="7B1E0D4D" w:rsidR="00191AEF" w:rsidRPr="00053B19" w:rsidRDefault="00191AEF" w:rsidP="00E76924">
      <w:pPr>
        <w:ind w:left="851"/>
        <w:rPr>
          <w:sz w:val="24"/>
          <w:szCs w:val="24"/>
          <w:lang w:val="en-GB"/>
        </w:rPr>
      </w:pPr>
      <w:r w:rsidRPr="00053B19">
        <w:rPr>
          <w:sz w:val="24"/>
          <w:szCs w:val="24"/>
          <w:lang w:val="en-GB"/>
        </w:rPr>
        <w:t xml:space="preserve">The recommended dose of </w:t>
      </w:r>
      <w:r w:rsidR="00D8140A">
        <w:rPr>
          <w:sz w:val="24"/>
          <w:szCs w:val="24"/>
          <w:lang w:val="en-GB"/>
        </w:rPr>
        <w:t>Sorafenib "Sandoz"</w:t>
      </w:r>
      <w:r w:rsidRPr="00053B19">
        <w:rPr>
          <w:sz w:val="24"/>
          <w:szCs w:val="24"/>
          <w:lang w:val="en-GB"/>
        </w:rPr>
        <w:t xml:space="preserve"> in adults is 400 mg sorafenib (one tablet of 400 mg) twice daily (equivalent to a total daily dose of 800 mg).</w:t>
      </w:r>
    </w:p>
    <w:p w14:paraId="5A723C31" w14:textId="77777777" w:rsidR="00191AEF" w:rsidRPr="00053B19" w:rsidRDefault="00191AEF" w:rsidP="00E76924">
      <w:pPr>
        <w:ind w:left="851"/>
        <w:rPr>
          <w:sz w:val="24"/>
          <w:szCs w:val="24"/>
          <w:lang w:val="en-GB"/>
        </w:rPr>
      </w:pPr>
    </w:p>
    <w:p w14:paraId="6B7C0BCD" w14:textId="77777777" w:rsidR="00191AEF" w:rsidRPr="00053B19" w:rsidRDefault="00191AEF" w:rsidP="00E76924">
      <w:pPr>
        <w:ind w:left="851"/>
        <w:rPr>
          <w:sz w:val="24"/>
          <w:szCs w:val="24"/>
          <w:lang w:val="en-GB"/>
        </w:rPr>
      </w:pPr>
      <w:r w:rsidRPr="00053B19">
        <w:rPr>
          <w:sz w:val="24"/>
          <w:szCs w:val="24"/>
          <w:lang w:val="en-GB"/>
        </w:rPr>
        <w:t>Treatment should continue as long as clinical benefit is observed or until unacceptable toxicity occurs.</w:t>
      </w:r>
    </w:p>
    <w:p w14:paraId="10DD95D0" w14:textId="77777777" w:rsidR="00191AEF" w:rsidRPr="00053B19" w:rsidRDefault="00191AEF" w:rsidP="00E76924">
      <w:pPr>
        <w:ind w:left="851"/>
        <w:rPr>
          <w:sz w:val="24"/>
          <w:szCs w:val="24"/>
          <w:lang w:val="en-GB"/>
        </w:rPr>
      </w:pPr>
    </w:p>
    <w:p w14:paraId="1FC8F40D" w14:textId="77777777" w:rsidR="00191AEF" w:rsidRPr="00053B19" w:rsidRDefault="00191AEF" w:rsidP="00E76924">
      <w:pPr>
        <w:ind w:left="851"/>
        <w:rPr>
          <w:sz w:val="24"/>
          <w:szCs w:val="24"/>
          <w:u w:val="single" w:color="000000"/>
          <w:lang w:val="en-GB"/>
        </w:rPr>
      </w:pPr>
      <w:r w:rsidRPr="00053B19">
        <w:rPr>
          <w:sz w:val="24"/>
          <w:szCs w:val="24"/>
          <w:u w:val="single" w:color="000000"/>
          <w:lang w:val="en-GB"/>
        </w:rPr>
        <w:t>Posology adjustments</w:t>
      </w:r>
    </w:p>
    <w:p w14:paraId="7B4765FE" w14:textId="77777777" w:rsidR="00191AEF" w:rsidRPr="00053B19" w:rsidRDefault="00191AEF" w:rsidP="00E76924">
      <w:pPr>
        <w:ind w:left="851"/>
        <w:rPr>
          <w:sz w:val="24"/>
          <w:szCs w:val="24"/>
          <w:u w:val="single" w:color="000000"/>
          <w:lang w:val="en-GB"/>
        </w:rPr>
      </w:pPr>
    </w:p>
    <w:p w14:paraId="7D20C837" w14:textId="77777777" w:rsidR="00191AEF" w:rsidRPr="00053B19" w:rsidRDefault="00191AEF" w:rsidP="00E76924">
      <w:pPr>
        <w:ind w:left="851"/>
        <w:rPr>
          <w:sz w:val="24"/>
          <w:szCs w:val="24"/>
          <w:lang w:val="en-GB"/>
        </w:rPr>
      </w:pPr>
      <w:r w:rsidRPr="00053B19">
        <w:rPr>
          <w:sz w:val="24"/>
          <w:szCs w:val="24"/>
          <w:lang w:val="en-GB"/>
        </w:rPr>
        <w:t>Management of suspected adverse drug reactions may require temporary interruption or dose reduction of sorafenib therapy.</w:t>
      </w:r>
    </w:p>
    <w:p w14:paraId="6DADEB6D" w14:textId="77777777" w:rsidR="00191AEF" w:rsidRPr="00053B19" w:rsidRDefault="00191AEF" w:rsidP="00E76924">
      <w:pPr>
        <w:ind w:left="851"/>
        <w:rPr>
          <w:sz w:val="24"/>
          <w:szCs w:val="24"/>
          <w:lang w:val="en-GB"/>
        </w:rPr>
      </w:pPr>
    </w:p>
    <w:p w14:paraId="442DA1C5" w14:textId="21638CDC" w:rsidR="00191AEF" w:rsidRPr="00053B19" w:rsidRDefault="00191AEF" w:rsidP="00E76924">
      <w:pPr>
        <w:ind w:left="851"/>
        <w:rPr>
          <w:sz w:val="24"/>
          <w:szCs w:val="24"/>
          <w:lang w:val="en-GB"/>
        </w:rPr>
      </w:pPr>
      <w:r w:rsidRPr="00053B19">
        <w:rPr>
          <w:sz w:val="24"/>
          <w:szCs w:val="24"/>
          <w:lang w:val="en-GB"/>
        </w:rPr>
        <w:t xml:space="preserve">When dose reduction is necessary during the treatment of hepatocellular carcinoma (HCC) and advanced renal cell carcinoma (RCC), the </w:t>
      </w:r>
      <w:r w:rsidR="00D8140A">
        <w:rPr>
          <w:sz w:val="24"/>
          <w:szCs w:val="24"/>
          <w:lang w:val="en-GB"/>
        </w:rPr>
        <w:t>Sorafenib "Sandoz"</w:t>
      </w:r>
      <w:r w:rsidRPr="00053B19">
        <w:rPr>
          <w:sz w:val="24"/>
          <w:szCs w:val="24"/>
          <w:lang w:val="en-GB"/>
        </w:rPr>
        <w:t xml:space="preserve"> dose should be reduced to 400 mg sorafenib once daily (see section 4.4).</w:t>
      </w:r>
    </w:p>
    <w:p w14:paraId="25A3CF12" w14:textId="77777777" w:rsidR="00191AEF" w:rsidRPr="00053B19" w:rsidRDefault="00191AEF" w:rsidP="00E76924">
      <w:pPr>
        <w:ind w:left="851"/>
        <w:rPr>
          <w:sz w:val="24"/>
          <w:szCs w:val="24"/>
          <w:lang w:val="en-GB"/>
        </w:rPr>
      </w:pPr>
    </w:p>
    <w:p w14:paraId="184BAA7A" w14:textId="77777777" w:rsidR="00191AEF" w:rsidRPr="00053B19" w:rsidRDefault="00191AEF" w:rsidP="00E76924">
      <w:pPr>
        <w:ind w:left="851"/>
        <w:rPr>
          <w:i/>
          <w:sz w:val="24"/>
          <w:szCs w:val="24"/>
          <w:lang w:val="en-GB"/>
        </w:rPr>
      </w:pPr>
      <w:r w:rsidRPr="00053B19">
        <w:rPr>
          <w:i/>
          <w:sz w:val="24"/>
          <w:szCs w:val="24"/>
          <w:lang w:val="en-GB"/>
        </w:rPr>
        <w:t>Paediatric population</w:t>
      </w:r>
    </w:p>
    <w:p w14:paraId="29D7C1FE" w14:textId="6EB0A229" w:rsidR="00191AEF" w:rsidRPr="00053B19" w:rsidRDefault="00191AEF" w:rsidP="00E76924">
      <w:pPr>
        <w:ind w:left="851"/>
        <w:rPr>
          <w:sz w:val="24"/>
          <w:szCs w:val="24"/>
          <w:lang w:val="en-GB"/>
        </w:rPr>
      </w:pPr>
      <w:r w:rsidRPr="00053B19">
        <w:rPr>
          <w:sz w:val="24"/>
          <w:szCs w:val="24"/>
          <w:lang w:val="en-GB"/>
        </w:rPr>
        <w:t xml:space="preserve">The safety and efficacy of </w:t>
      </w:r>
      <w:r w:rsidR="00D8140A">
        <w:rPr>
          <w:sz w:val="24"/>
          <w:szCs w:val="24"/>
          <w:lang w:val="en-GB"/>
        </w:rPr>
        <w:t>Sorafenib "Sandoz"</w:t>
      </w:r>
      <w:r w:rsidRPr="00053B19">
        <w:rPr>
          <w:sz w:val="24"/>
          <w:szCs w:val="24"/>
          <w:lang w:val="en-GB"/>
        </w:rPr>
        <w:t xml:space="preserve"> in children and adolescents aged &lt; 18 years have not yet been established. No data are available.</w:t>
      </w:r>
    </w:p>
    <w:p w14:paraId="553A058A" w14:textId="77777777" w:rsidR="00191AEF" w:rsidRPr="00053B19" w:rsidRDefault="00191AEF" w:rsidP="00E76924">
      <w:pPr>
        <w:ind w:left="851"/>
        <w:rPr>
          <w:sz w:val="24"/>
          <w:szCs w:val="24"/>
          <w:lang w:val="en-GB"/>
        </w:rPr>
      </w:pPr>
    </w:p>
    <w:p w14:paraId="2DF357ED" w14:textId="77777777" w:rsidR="00191AEF" w:rsidRPr="00053B19" w:rsidRDefault="00191AEF" w:rsidP="00E76924">
      <w:pPr>
        <w:ind w:left="851"/>
        <w:rPr>
          <w:i/>
          <w:sz w:val="24"/>
          <w:szCs w:val="24"/>
          <w:lang w:val="en-GB"/>
        </w:rPr>
      </w:pPr>
      <w:r w:rsidRPr="00053B19">
        <w:rPr>
          <w:i/>
          <w:sz w:val="24"/>
          <w:szCs w:val="24"/>
          <w:lang w:val="en-GB"/>
        </w:rPr>
        <w:t>Elderly population</w:t>
      </w:r>
    </w:p>
    <w:p w14:paraId="6B80DBF0" w14:textId="77777777" w:rsidR="00191AEF" w:rsidRPr="00053B19" w:rsidRDefault="00191AEF" w:rsidP="00E76924">
      <w:pPr>
        <w:ind w:left="851"/>
        <w:rPr>
          <w:sz w:val="24"/>
          <w:szCs w:val="24"/>
          <w:lang w:val="en-GB"/>
        </w:rPr>
      </w:pPr>
      <w:r w:rsidRPr="00053B19">
        <w:rPr>
          <w:sz w:val="24"/>
          <w:szCs w:val="24"/>
          <w:lang w:val="en-GB"/>
        </w:rPr>
        <w:t>No dose adjustment is required in the elderly (patients above 65 years of age).</w:t>
      </w:r>
    </w:p>
    <w:p w14:paraId="498272E8" w14:textId="77777777" w:rsidR="00191AEF" w:rsidRPr="00053B19" w:rsidRDefault="00191AEF" w:rsidP="00E76924">
      <w:pPr>
        <w:ind w:left="851"/>
        <w:rPr>
          <w:sz w:val="24"/>
          <w:szCs w:val="24"/>
          <w:lang w:val="en-GB"/>
        </w:rPr>
      </w:pPr>
    </w:p>
    <w:p w14:paraId="2C7F1DB3" w14:textId="77777777" w:rsidR="00191AEF" w:rsidRPr="00053B19" w:rsidRDefault="00191AEF" w:rsidP="00E76924">
      <w:pPr>
        <w:ind w:left="851"/>
        <w:rPr>
          <w:i/>
          <w:sz w:val="24"/>
          <w:szCs w:val="24"/>
          <w:lang w:val="en-GB"/>
        </w:rPr>
      </w:pPr>
      <w:r w:rsidRPr="00053B19">
        <w:rPr>
          <w:i/>
          <w:sz w:val="24"/>
          <w:szCs w:val="24"/>
          <w:lang w:val="en-GB"/>
        </w:rPr>
        <w:t>Renal impairment</w:t>
      </w:r>
    </w:p>
    <w:p w14:paraId="23A339B1" w14:textId="77777777" w:rsidR="00191AEF" w:rsidRPr="00053B19" w:rsidRDefault="00191AEF" w:rsidP="00E76924">
      <w:pPr>
        <w:ind w:left="851"/>
        <w:rPr>
          <w:sz w:val="24"/>
          <w:szCs w:val="24"/>
          <w:lang w:val="en-GB"/>
        </w:rPr>
      </w:pPr>
      <w:r w:rsidRPr="00053B19">
        <w:rPr>
          <w:sz w:val="24"/>
          <w:szCs w:val="24"/>
          <w:lang w:val="en-GB"/>
        </w:rPr>
        <w:t>No dose adjustment is required in patients with mild, moderate or severe renal impairment. No data is available in patients requiring dialysis (see section 5.2).</w:t>
      </w:r>
    </w:p>
    <w:p w14:paraId="47E8F0B9" w14:textId="77777777" w:rsidR="00191AEF" w:rsidRPr="00053B19" w:rsidRDefault="00191AEF" w:rsidP="00E76924">
      <w:pPr>
        <w:ind w:left="851"/>
        <w:rPr>
          <w:sz w:val="24"/>
          <w:szCs w:val="24"/>
          <w:lang w:val="en-GB"/>
        </w:rPr>
      </w:pPr>
    </w:p>
    <w:p w14:paraId="4E67D69A" w14:textId="77777777" w:rsidR="00191AEF" w:rsidRPr="00053B19" w:rsidRDefault="00191AEF" w:rsidP="00E76924">
      <w:pPr>
        <w:ind w:left="851"/>
        <w:rPr>
          <w:sz w:val="24"/>
          <w:szCs w:val="24"/>
          <w:lang w:val="en-GB"/>
        </w:rPr>
      </w:pPr>
      <w:r w:rsidRPr="00053B19">
        <w:rPr>
          <w:sz w:val="24"/>
          <w:szCs w:val="24"/>
          <w:lang w:val="en-GB"/>
        </w:rPr>
        <w:t>Monitoring of fluid balance and electrolytes in patients at risk of renal dysfunction is advised.</w:t>
      </w:r>
    </w:p>
    <w:p w14:paraId="00A0B348" w14:textId="77777777" w:rsidR="00191AEF" w:rsidRPr="00053B19" w:rsidRDefault="00191AEF" w:rsidP="00E76924">
      <w:pPr>
        <w:ind w:left="851"/>
        <w:rPr>
          <w:sz w:val="24"/>
          <w:szCs w:val="24"/>
          <w:lang w:val="en-GB"/>
        </w:rPr>
      </w:pPr>
    </w:p>
    <w:p w14:paraId="300A82C3" w14:textId="77777777" w:rsidR="00191AEF" w:rsidRPr="00053B19" w:rsidRDefault="00191AEF" w:rsidP="00E76924">
      <w:pPr>
        <w:ind w:left="851"/>
        <w:rPr>
          <w:i/>
          <w:sz w:val="24"/>
          <w:szCs w:val="24"/>
          <w:lang w:val="en-GB"/>
        </w:rPr>
      </w:pPr>
      <w:r w:rsidRPr="00053B19">
        <w:rPr>
          <w:i/>
          <w:sz w:val="24"/>
          <w:szCs w:val="24"/>
          <w:lang w:val="en-GB"/>
        </w:rPr>
        <w:t>Hepatic impairment</w:t>
      </w:r>
    </w:p>
    <w:p w14:paraId="1E472FC3" w14:textId="77777777" w:rsidR="00191AEF" w:rsidRPr="00053B19" w:rsidRDefault="00191AEF" w:rsidP="00E76924">
      <w:pPr>
        <w:ind w:left="851"/>
        <w:rPr>
          <w:sz w:val="24"/>
          <w:szCs w:val="24"/>
          <w:lang w:val="en-GB"/>
        </w:rPr>
      </w:pPr>
      <w:r w:rsidRPr="00053B19">
        <w:rPr>
          <w:sz w:val="24"/>
          <w:szCs w:val="24"/>
          <w:lang w:val="en-GB"/>
        </w:rPr>
        <w:t>No dose adjustment is required in patients with Child Pugh A or B (mild to moderate) hepatic impairment. No data is available on patients with Child Pugh C (severe) hepatic impairment (see sections 4.4 and 5.2).</w:t>
      </w:r>
    </w:p>
    <w:p w14:paraId="2BFFFE4E" w14:textId="77777777" w:rsidR="00191AEF" w:rsidRPr="00053B19" w:rsidRDefault="00191AEF" w:rsidP="00E76924">
      <w:pPr>
        <w:ind w:left="851"/>
        <w:rPr>
          <w:sz w:val="24"/>
          <w:szCs w:val="24"/>
          <w:lang w:val="en-GB"/>
        </w:rPr>
      </w:pPr>
    </w:p>
    <w:p w14:paraId="16CBC9D9" w14:textId="77777777" w:rsidR="00191AEF" w:rsidRPr="00053B19" w:rsidRDefault="00191AEF" w:rsidP="00E76924">
      <w:pPr>
        <w:ind w:left="851"/>
        <w:rPr>
          <w:sz w:val="24"/>
          <w:szCs w:val="24"/>
          <w:u w:val="single"/>
          <w:lang w:val="en-GB"/>
        </w:rPr>
      </w:pPr>
      <w:r w:rsidRPr="00053B19">
        <w:rPr>
          <w:sz w:val="24"/>
          <w:szCs w:val="24"/>
          <w:u w:val="single"/>
          <w:lang w:val="en-GB"/>
        </w:rPr>
        <w:t>Method of administration</w:t>
      </w:r>
    </w:p>
    <w:p w14:paraId="230B3AF3" w14:textId="77777777" w:rsidR="00191AEF" w:rsidRPr="00053B19" w:rsidRDefault="00191AEF" w:rsidP="00E76924">
      <w:pPr>
        <w:ind w:left="851"/>
        <w:rPr>
          <w:sz w:val="24"/>
          <w:szCs w:val="24"/>
          <w:lang w:val="en-GB"/>
        </w:rPr>
      </w:pPr>
    </w:p>
    <w:p w14:paraId="00E14573" w14:textId="77777777" w:rsidR="00191AEF" w:rsidRPr="00053B19" w:rsidRDefault="00191AEF" w:rsidP="00E76924">
      <w:pPr>
        <w:ind w:left="851"/>
        <w:rPr>
          <w:sz w:val="24"/>
          <w:szCs w:val="24"/>
          <w:lang w:val="en-GB"/>
        </w:rPr>
      </w:pPr>
      <w:r w:rsidRPr="00053B19">
        <w:rPr>
          <w:sz w:val="24"/>
          <w:szCs w:val="24"/>
          <w:lang w:val="en-GB"/>
        </w:rPr>
        <w:t>For oral use.</w:t>
      </w:r>
    </w:p>
    <w:p w14:paraId="5D31FB58" w14:textId="77777777" w:rsidR="00191AEF" w:rsidRPr="00053B19" w:rsidRDefault="00191AEF" w:rsidP="00E76924">
      <w:pPr>
        <w:ind w:left="851"/>
        <w:rPr>
          <w:sz w:val="24"/>
          <w:szCs w:val="24"/>
          <w:lang w:val="en-GB"/>
        </w:rPr>
      </w:pPr>
      <w:r w:rsidRPr="00053B19">
        <w:rPr>
          <w:sz w:val="24"/>
          <w:szCs w:val="24"/>
          <w:lang w:val="en-GB"/>
        </w:rPr>
        <w:t>It is recommended that sorafenib should be administered without food or with a low or moderate fat meal. If the patient intends to have a high-fat meal, sorafenib tablets should be taken at least 1 hour before or 2 hours after the meal. The tablets should be swallowed with a glass of water.</w:t>
      </w:r>
    </w:p>
    <w:p w14:paraId="0FBA05A7" w14:textId="77777777" w:rsidR="007C5D2A" w:rsidRPr="00053B19" w:rsidRDefault="007C5D2A" w:rsidP="00A85D26">
      <w:pPr>
        <w:tabs>
          <w:tab w:val="left" w:pos="851"/>
        </w:tabs>
        <w:ind w:left="851"/>
        <w:rPr>
          <w:sz w:val="24"/>
          <w:szCs w:val="24"/>
          <w:lang w:val="en-GB"/>
        </w:rPr>
      </w:pPr>
    </w:p>
    <w:p w14:paraId="6E7796AE" w14:textId="77777777" w:rsidR="007C5D2A" w:rsidRPr="00053B19" w:rsidRDefault="007C5D2A" w:rsidP="007C5D2A">
      <w:pPr>
        <w:tabs>
          <w:tab w:val="left" w:pos="851"/>
        </w:tabs>
        <w:ind w:left="851" w:hanging="851"/>
        <w:rPr>
          <w:b/>
          <w:sz w:val="24"/>
          <w:szCs w:val="24"/>
          <w:lang w:val="en-GB"/>
        </w:rPr>
      </w:pPr>
      <w:r w:rsidRPr="00053B19">
        <w:rPr>
          <w:b/>
          <w:sz w:val="24"/>
          <w:szCs w:val="24"/>
          <w:lang w:val="en-GB"/>
        </w:rPr>
        <w:t>4.3</w:t>
      </w:r>
      <w:r w:rsidRPr="00053B19">
        <w:rPr>
          <w:b/>
          <w:sz w:val="24"/>
          <w:szCs w:val="24"/>
          <w:lang w:val="en-GB"/>
        </w:rPr>
        <w:tab/>
        <w:t>Contraindications</w:t>
      </w:r>
    </w:p>
    <w:p w14:paraId="44EBA98D" w14:textId="77777777" w:rsidR="00191AEF" w:rsidRPr="00053B19" w:rsidRDefault="00191AEF" w:rsidP="00E76924">
      <w:pPr>
        <w:ind w:left="851"/>
        <w:rPr>
          <w:sz w:val="24"/>
          <w:szCs w:val="24"/>
          <w:lang w:val="en-GB"/>
        </w:rPr>
      </w:pPr>
      <w:r w:rsidRPr="00053B19">
        <w:rPr>
          <w:sz w:val="24"/>
          <w:szCs w:val="24"/>
          <w:lang w:val="en-GB"/>
        </w:rPr>
        <w:t>Hypersensitivity to the active substance or to any of the excipients listed in section 6.1.</w:t>
      </w:r>
    </w:p>
    <w:p w14:paraId="3361D116" w14:textId="77777777" w:rsidR="007C5D2A" w:rsidRPr="00053B19" w:rsidRDefault="007C5D2A" w:rsidP="003E0341">
      <w:pPr>
        <w:tabs>
          <w:tab w:val="left" w:pos="851"/>
        </w:tabs>
        <w:ind w:left="851"/>
        <w:rPr>
          <w:sz w:val="24"/>
          <w:szCs w:val="24"/>
          <w:lang w:val="en-GB"/>
        </w:rPr>
      </w:pPr>
    </w:p>
    <w:p w14:paraId="4A9F1AA0" w14:textId="77777777" w:rsidR="007C5D2A" w:rsidRPr="00053B19" w:rsidRDefault="007C5D2A" w:rsidP="007C5D2A">
      <w:pPr>
        <w:tabs>
          <w:tab w:val="left" w:pos="851"/>
        </w:tabs>
        <w:rPr>
          <w:b/>
          <w:sz w:val="24"/>
          <w:szCs w:val="24"/>
          <w:lang w:val="en-GB"/>
        </w:rPr>
      </w:pPr>
      <w:r w:rsidRPr="00053B19">
        <w:rPr>
          <w:b/>
          <w:sz w:val="24"/>
          <w:szCs w:val="24"/>
          <w:lang w:val="en-GB"/>
        </w:rPr>
        <w:t>4.4</w:t>
      </w:r>
      <w:r w:rsidRPr="00053B19">
        <w:rPr>
          <w:b/>
          <w:sz w:val="24"/>
          <w:szCs w:val="24"/>
          <w:lang w:val="en-GB"/>
        </w:rPr>
        <w:tab/>
        <w:t>Special warnings and precautions for use</w:t>
      </w:r>
    </w:p>
    <w:p w14:paraId="431B025D" w14:textId="77777777" w:rsidR="00E76924" w:rsidRPr="00053B19" w:rsidRDefault="00E76924" w:rsidP="00E76924">
      <w:pPr>
        <w:ind w:left="851"/>
        <w:rPr>
          <w:sz w:val="24"/>
          <w:szCs w:val="24"/>
          <w:u w:color="000000"/>
          <w:lang w:val="en-GB"/>
        </w:rPr>
      </w:pPr>
    </w:p>
    <w:p w14:paraId="6C5E4B49" w14:textId="75A12BD2" w:rsidR="00191AEF" w:rsidRPr="00053B19" w:rsidRDefault="00191AEF" w:rsidP="00E76924">
      <w:pPr>
        <w:ind w:left="851"/>
        <w:rPr>
          <w:sz w:val="24"/>
          <w:szCs w:val="24"/>
          <w:u w:val="single"/>
          <w:lang w:val="en-GB"/>
        </w:rPr>
      </w:pPr>
      <w:r w:rsidRPr="00053B19">
        <w:rPr>
          <w:sz w:val="24"/>
          <w:szCs w:val="24"/>
          <w:u w:val="single"/>
          <w:lang w:val="en-GB"/>
        </w:rPr>
        <w:t>Dermatological toxicities</w:t>
      </w:r>
    </w:p>
    <w:p w14:paraId="142E0801" w14:textId="77777777" w:rsidR="00385F6E" w:rsidRPr="00053B19" w:rsidRDefault="00385F6E" w:rsidP="00E76924">
      <w:pPr>
        <w:ind w:left="851"/>
        <w:rPr>
          <w:sz w:val="24"/>
          <w:szCs w:val="24"/>
          <w:lang w:val="en-GB"/>
        </w:rPr>
      </w:pPr>
    </w:p>
    <w:p w14:paraId="23EC171E" w14:textId="4F734515" w:rsidR="00191AEF" w:rsidRPr="00053B19" w:rsidRDefault="00191AEF" w:rsidP="00E76924">
      <w:pPr>
        <w:ind w:left="851"/>
        <w:rPr>
          <w:sz w:val="24"/>
          <w:szCs w:val="24"/>
          <w:lang w:val="en-GB"/>
        </w:rPr>
      </w:pPr>
      <w:r w:rsidRPr="00053B19">
        <w:rPr>
          <w:sz w:val="24"/>
          <w:szCs w:val="24"/>
          <w:lang w:val="en-GB"/>
        </w:rPr>
        <w:t xml:space="preserve">Hand foot skin reaction (palmar-plantar </w:t>
      </w:r>
      <w:proofErr w:type="spellStart"/>
      <w:r w:rsidRPr="00053B19">
        <w:rPr>
          <w:sz w:val="24"/>
          <w:szCs w:val="24"/>
          <w:lang w:val="en-GB"/>
        </w:rPr>
        <w:t>erythrodysaesthesia</w:t>
      </w:r>
      <w:proofErr w:type="spellEnd"/>
      <w:r w:rsidRPr="00053B19">
        <w:rPr>
          <w:sz w:val="24"/>
          <w:szCs w:val="24"/>
          <w:lang w:val="en-GB"/>
        </w:rPr>
        <w:t>) and rash represent the most common adverse drug reactions with sorafenib. Rash and hand foot skin reaction are usually CTC (Common Toxicity Criteria) Grade 1 and 2 and generally appear during the first six weeks of treatment with sorafenib. Management of dermatological toxicities may include topical therapies for symptomatic relief, temporary treatment interruption and/or dose modification of sorafenib, or in severe or persistent cases, permanent discontinuation of sorafenib (see section 4.8).</w:t>
      </w:r>
    </w:p>
    <w:p w14:paraId="333FA667" w14:textId="77777777" w:rsidR="00191AEF" w:rsidRPr="00053B19" w:rsidRDefault="00191AEF" w:rsidP="00E76924">
      <w:pPr>
        <w:ind w:left="851"/>
        <w:rPr>
          <w:sz w:val="24"/>
          <w:szCs w:val="24"/>
          <w:lang w:val="en-GB"/>
        </w:rPr>
      </w:pPr>
    </w:p>
    <w:p w14:paraId="2BDF825B" w14:textId="77777777" w:rsidR="00191AEF" w:rsidRPr="00053B19" w:rsidRDefault="00191AEF" w:rsidP="00E76924">
      <w:pPr>
        <w:ind w:left="851"/>
        <w:rPr>
          <w:sz w:val="24"/>
          <w:szCs w:val="24"/>
          <w:u w:val="single"/>
          <w:lang w:val="en-GB"/>
        </w:rPr>
      </w:pPr>
      <w:r w:rsidRPr="00053B19">
        <w:rPr>
          <w:sz w:val="24"/>
          <w:szCs w:val="24"/>
          <w:u w:val="single"/>
          <w:lang w:val="en-GB"/>
        </w:rPr>
        <w:t>Hypertension</w:t>
      </w:r>
    </w:p>
    <w:p w14:paraId="249B5573" w14:textId="77777777" w:rsidR="00385F6E" w:rsidRPr="00053B19" w:rsidRDefault="00385F6E" w:rsidP="00E76924">
      <w:pPr>
        <w:ind w:left="851"/>
        <w:rPr>
          <w:sz w:val="24"/>
          <w:szCs w:val="24"/>
          <w:lang w:val="en-GB"/>
        </w:rPr>
      </w:pPr>
    </w:p>
    <w:p w14:paraId="508EA233" w14:textId="44F5CBE1" w:rsidR="00191AEF" w:rsidRPr="00053B19" w:rsidRDefault="00191AEF" w:rsidP="00E76924">
      <w:pPr>
        <w:ind w:left="851"/>
        <w:rPr>
          <w:sz w:val="24"/>
          <w:szCs w:val="24"/>
          <w:lang w:val="en-GB"/>
        </w:rPr>
      </w:pPr>
      <w:r w:rsidRPr="00053B19">
        <w:rPr>
          <w:sz w:val="24"/>
          <w:szCs w:val="24"/>
          <w:lang w:val="en-GB"/>
        </w:rPr>
        <w:t>An increased incidence of arterial hypertension was observed in sorafenib-treated patients. Hypertension was usually mild to moderate, occurred early in the course of treatment, and was amenable to management with standard antihypertensive therapy. Blood pressure should be monitored regularly and treated, if required, in accordance with standard medical practice. In cases of severe or persistent hypertension, or hypertensive crisis despite institution of antihypertensive therapy, permanent discontinuation of sorafenib should be considered (see section 4.8).</w:t>
      </w:r>
    </w:p>
    <w:p w14:paraId="0AF15752" w14:textId="77777777" w:rsidR="00191AEF" w:rsidRPr="00053B19" w:rsidRDefault="00191AEF" w:rsidP="00E76924">
      <w:pPr>
        <w:ind w:left="851"/>
        <w:rPr>
          <w:sz w:val="24"/>
          <w:szCs w:val="24"/>
          <w:lang w:val="en-GB"/>
        </w:rPr>
      </w:pPr>
    </w:p>
    <w:p w14:paraId="67AFA1A1" w14:textId="77777777" w:rsidR="00191AEF" w:rsidRPr="00053B19" w:rsidRDefault="00191AEF" w:rsidP="00E76924">
      <w:pPr>
        <w:ind w:left="851"/>
        <w:rPr>
          <w:sz w:val="24"/>
          <w:szCs w:val="24"/>
          <w:u w:val="single"/>
          <w:lang w:val="en-GB"/>
        </w:rPr>
      </w:pPr>
      <w:r w:rsidRPr="00053B19">
        <w:rPr>
          <w:sz w:val="24"/>
          <w:szCs w:val="24"/>
          <w:u w:val="single"/>
          <w:lang w:val="en-GB"/>
        </w:rPr>
        <w:t xml:space="preserve">Tumour lysis syndrome (TLS) </w:t>
      </w:r>
    </w:p>
    <w:p w14:paraId="4090F7F8" w14:textId="77777777" w:rsidR="00385F6E" w:rsidRPr="00053B19" w:rsidRDefault="00385F6E" w:rsidP="00E76924">
      <w:pPr>
        <w:ind w:left="851"/>
        <w:rPr>
          <w:sz w:val="24"/>
          <w:szCs w:val="24"/>
          <w:lang w:val="en-GB"/>
        </w:rPr>
      </w:pPr>
    </w:p>
    <w:p w14:paraId="57D88A35" w14:textId="7629E707" w:rsidR="00191AEF" w:rsidRPr="00053B19" w:rsidRDefault="00191AEF" w:rsidP="00E76924">
      <w:pPr>
        <w:ind w:left="851"/>
        <w:rPr>
          <w:sz w:val="24"/>
          <w:szCs w:val="24"/>
          <w:lang w:val="en-GB"/>
        </w:rPr>
      </w:pPr>
      <w:r w:rsidRPr="00053B19">
        <w:rPr>
          <w:sz w:val="24"/>
          <w:szCs w:val="24"/>
          <w:lang w:val="en-GB"/>
        </w:rPr>
        <w:t xml:space="preserve">Cases of TLS, some fatal, have been reported in </w:t>
      </w:r>
      <w:proofErr w:type="spellStart"/>
      <w:r w:rsidRPr="00053B19">
        <w:rPr>
          <w:sz w:val="24"/>
          <w:szCs w:val="24"/>
          <w:lang w:val="en-GB"/>
        </w:rPr>
        <w:t>postmarketing</w:t>
      </w:r>
      <w:proofErr w:type="spellEnd"/>
      <w:r w:rsidRPr="00053B19">
        <w:rPr>
          <w:sz w:val="24"/>
          <w:szCs w:val="24"/>
          <w:lang w:val="en-GB"/>
        </w:rPr>
        <w:t xml:space="preserve"> surveillance in patients treated with sorafenib. Risk factors for TLS include high tumour burden, pre-existing chronic renal insufficiency, oliguria, dehydration, hypotension, and acidic urine. These patients should be monitored closely and treated promptly as clinically indicated, and prophylactic hydration should be considered.</w:t>
      </w:r>
    </w:p>
    <w:p w14:paraId="293B0299" w14:textId="77777777" w:rsidR="00191AEF" w:rsidRPr="00053B19" w:rsidRDefault="00191AEF" w:rsidP="00E76924">
      <w:pPr>
        <w:ind w:left="851"/>
        <w:rPr>
          <w:sz w:val="24"/>
          <w:szCs w:val="24"/>
          <w:lang w:val="en-GB"/>
        </w:rPr>
      </w:pPr>
    </w:p>
    <w:p w14:paraId="57DF7E46" w14:textId="77777777" w:rsidR="00191AEF" w:rsidRPr="00053B19" w:rsidRDefault="00191AEF" w:rsidP="00E76924">
      <w:pPr>
        <w:ind w:left="851"/>
        <w:rPr>
          <w:sz w:val="24"/>
          <w:szCs w:val="24"/>
          <w:u w:val="single"/>
          <w:lang w:val="en-GB"/>
        </w:rPr>
      </w:pPr>
      <w:r w:rsidRPr="00053B19">
        <w:rPr>
          <w:sz w:val="24"/>
          <w:szCs w:val="24"/>
          <w:u w:val="single"/>
          <w:lang w:val="en-GB"/>
        </w:rPr>
        <w:t>Aneurysms and artery dissections</w:t>
      </w:r>
    </w:p>
    <w:p w14:paraId="6BE91240" w14:textId="77777777" w:rsidR="00385F6E" w:rsidRPr="00053B19" w:rsidRDefault="00385F6E" w:rsidP="00E76924">
      <w:pPr>
        <w:ind w:left="851"/>
        <w:rPr>
          <w:sz w:val="24"/>
          <w:szCs w:val="24"/>
          <w:lang w:val="en-GB"/>
        </w:rPr>
      </w:pPr>
    </w:p>
    <w:p w14:paraId="33FC2357" w14:textId="1485CBD3" w:rsidR="00191AEF" w:rsidRPr="00053B19" w:rsidRDefault="00191AEF" w:rsidP="00E76924">
      <w:pPr>
        <w:ind w:left="851"/>
        <w:rPr>
          <w:sz w:val="24"/>
          <w:szCs w:val="24"/>
          <w:lang w:val="en-GB"/>
        </w:rPr>
      </w:pPr>
      <w:r w:rsidRPr="00053B19">
        <w:rPr>
          <w:sz w:val="24"/>
          <w:szCs w:val="24"/>
          <w:lang w:val="en-GB"/>
        </w:rPr>
        <w:t>The use of VEGF pathway inhibitors in patients with or without hypertension may promote the formation of aneurysms and/or artery dissections. Before initiating sorafenib, this risk should be carefully considered in patients with risk factors such as hypertension or history of aneurysm.</w:t>
      </w:r>
    </w:p>
    <w:p w14:paraId="6AE48743" w14:textId="77777777" w:rsidR="00191AEF" w:rsidRPr="00053B19" w:rsidRDefault="00191AEF" w:rsidP="00E76924">
      <w:pPr>
        <w:ind w:left="851"/>
        <w:rPr>
          <w:sz w:val="24"/>
          <w:szCs w:val="24"/>
          <w:lang w:val="en-GB"/>
        </w:rPr>
      </w:pPr>
    </w:p>
    <w:p w14:paraId="5C25FA31" w14:textId="77777777" w:rsidR="00191AEF" w:rsidRPr="00053B19" w:rsidRDefault="00191AEF" w:rsidP="00E76924">
      <w:pPr>
        <w:ind w:left="851"/>
        <w:rPr>
          <w:sz w:val="24"/>
          <w:szCs w:val="24"/>
          <w:u w:val="single"/>
          <w:lang w:val="en-GB"/>
        </w:rPr>
      </w:pPr>
      <w:r w:rsidRPr="00053B19">
        <w:rPr>
          <w:sz w:val="24"/>
          <w:szCs w:val="24"/>
          <w:u w:val="single"/>
          <w:lang w:val="en-GB"/>
        </w:rPr>
        <w:t>Hypoglycaemia</w:t>
      </w:r>
    </w:p>
    <w:p w14:paraId="04379139" w14:textId="77777777" w:rsidR="00385F6E" w:rsidRPr="00053B19" w:rsidRDefault="00385F6E" w:rsidP="00E76924">
      <w:pPr>
        <w:ind w:left="851"/>
        <w:rPr>
          <w:sz w:val="24"/>
          <w:szCs w:val="24"/>
          <w:lang w:val="en-GB"/>
        </w:rPr>
      </w:pPr>
    </w:p>
    <w:p w14:paraId="5CF8DBA9" w14:textId="676E0EB8" w:rsidR="00191AEF" w:rsidRPr="00053B19" w:rsidRDefault="00191AEF" w:rsidP="00E76924">
      <w:pPr>
        <w:ind w:left="851"/>
        <w:rPr>
          <w:sz w:val="24"/>
          <w:szCs w:val="24"/>
          <w:lang w:val="en-GB"/>
        </w:rPr>
      </w:pPr>
      <w:r w:rsidRPr="00053B19">
        <w:rPr>
          <w:sz w:val="24"/>
          <w:szCs w:val="24"/>
          <w:lang w:val="en-GB"/>
        </w:rPr>
        <w:t>Decreases in blood glucose, in some cases clinically symptomatic and requiring hospitalization due to loss of consciousness, have been reported during sorafenib treatment. In case of symptomatic hypoglycaemia, sorafenib should be temporarily interrupted. Blood glucose levels in diabetic patients should be checked regularly in order to assess if anti-diabetic medicinal product's dosage needs to be adjusted.</w:t>
      </w:r>
    </w:p>
    <w:p w14:paraId="520FB916" w14:textId="77777777" w:rsidR="00191AEF" w:rsidRPr="00053B19" w:rsidRDefault="00191AEF" w:rsidP="00E76924">
      <w:pPr>
        <w:ind w:left="851"/>
        <w:rPr>
          <w:sz w:val="24"/>
          <w:szCs w:val="24"/>
          <w:lang w:val="en-GB"/>
        </w:rPr>
      </w:pPr>
    </w:p>
    <w:p w14:paraId="403C60E7" w14:textId="77777777" w:rsidR="00191AEF" w:rsidRPr="00053B19" w:rsidRDefault="00191AEF" w:rsidP="00E76924">
      <w:pPr>
        <w:ind w:left="851"/>
        <w:rPr>
          <w:sz w:val="24"/>
          <w:szCs w:val="24"/>
          <w:u w:val="single"/>
          <w:lang w:val="en-GB"/>
        </w:rPr>
      </w:pPr>
      <w:r w:rsidRPr="00053B19">
        <w:rPr>
          <w:sz w:val="24"/>
          <w:szCs w:val="24"/>
          <w:u w:val="single"/>
          <w:lang w:val="en-GB"/>
        </w:rPr>
        <w:t>Haemorrhage</w:t>
      </w:r>
    </w:p>
    <w:p w14:paraId="1DD29A11" w14:textId="77777777" w:rsidR="00385F6E" w:rsidRPr="00053B19" w:rsidRDefault="00385F6E" w:rsidP="00E76924">
      <w:pPr>
        <w:ind w:left="851"/>
        <w:rPr>
          <w:sz w:val="24"/>
          <w:szCs w:val="24"/>
          <w:lang w:val="en-GB"/>
        </w:rPr>
      </w:pPr>
    </w:p>
    <w:p w14:paraId="2679A042" w14:textId="62CAEC28" w:rsidR="00191AEF" w:rsidRPr="00053B19" w:rsidRDefault="00191AEF" w:rsidP="00E76924">
      <w:pPr>
        <w:ind w:left="851"/>
        <w:rPr>
          <w:sz w:val="24"/>
          <w:szCs w:val="24"/>
          <w:lang w:val="en-GB"/>
        </w:rPr>
      </w:pPr>
      <w:r w:rsidRPr="00053B19">
        <w:rPr>
          <w:sz w:val="24"/>
          <w:szCs w:val="24"/>
          <w:lang w:val="en-GB"/>
        </w:rPr>
        <w:t>An increased risk of bleeding may occur following sorafenib administration. If any bleeding event necessitates medical intervention it is recommended that permanent discontinuation of sorafenib should be considered (see section 4.8).</w:t>
      </w:r>
    </w:p>
    <w:p w14:paraId="2305CA30" w14:textId="77777777" w:rsidR="00191AEF" w:rsidRPr="00053B19" w:rsidRDefault="00191AEF" w:rsidP="00E76924">
      <w:pPr>
        <w:ind w:left="851"/>
        <w:rPr>
          <w:sz w:val="24"/>
          <w:szCs w:val="24"/>
          <w:lang w:val="en-GB"/>
        </w:rPr>
      </w:pPr>
    </w:p>
    <w:p w14:paraId="302A4E7B" w14:textId="77777777" w:rsidR="00191AEF" w:rsidRPr="00053B19" w:rsidRDefault="00191AEF" w:rsidP="00E76924">
      <w:pPr>
        <w:ind w:left="851"/>
        <w:rPr>
          <w:sz w:val="24"/>
          <w:szCs w:val="24"/>
          <w:u w:val="single"/>
          <w:lang w:val="en-GB"/>
        </w:rPr>
      </w:pPr>
      <w:r w:rsidRPr="00053B19">
        <w:rPr>
          <w:sz w:val="24"/>
          <w:szCs w:val="24"/>
          <w:u w:val="single"/>
          <w:lang w:val="en-GB"/>
        </w:rPr>
        <w:t>Cardiac ischaemia and/or infarction</w:t>
      </w:r>
    </w:p>
    <w:p w14:paraId="027D9E28" w14:textId="77777777" w:rsidR="00385F6E" w:rsidRPr="00053B19" w:rsidRDefault="00385F6E" w:rsidP="00E76924">
      <w:pPr>
        <w:ind w:left="851"/>
        <w:rPr>
          <w:sz w:val="24"/>
          <w:szCs w:val="24"/>
          <w:lang w:val="en-GB"/>
        </w:rPr>
      </w:pPr>
    </w:p>
    <w:p w14:paraId="59BEC38E" w14:textId="336D485B" w:rsidR="00191AEF" w:rsidRPr="00053B19" w:rsidRDefault="00191AEF" w:rsidP="00E76924">
      <w:pPr>
        <w:ind w:left="851"/>
        <w:rPr>
          <w:sz w:val="24"/>
          <w:szCs w:val="24"/>
          <w:lang w:val="en-GB"/>
        </w:rPr>
      </w:pPr>
      <w:r w:rsidRPr="00053B19">
        <w:rPr>
          <w:sz w:val="24"/>
          <w:szCs w:val="24"/>
          <w:lang w:val="en-GB"/>
        </w:rPr>
        <w:t xml:space="preserve">In a randomised, placebo-controlled, double-blind study (study 1, see section 5.1) the incidence of treatment-emergent cardiac ischaemia/infarction events was higher in the sorafenib group (4.9 %) compared with the placebo group (0.4 %). In study 3 (see section 5.1) the incidence of treatment- emergent cardiac ischaemia/infarction events </w:t>
      </w:r>
      <w:proofErr w:type="gramStart"/>
      <w:r w:rsidRPr="00053B19">
        <w:rPr>
          <w:sz w:val="24"/>
          <w:szCs w:val="24"/>
          <w:lang w:val="en-GB"/>
        </w:rPr>
        <w:t>was</w:t>
      </w:r>
      <w:proofErr w:type="gramEnd"/>
      <w:r w:rsidRPr="00053B19">
        <w:rPr>
          <w:sz w:val="24"/>
          <w:szCs w:val="24"/>
          <w:lang w:val="en-GB"/>
        </w:rPr>
        <w:t xml:space="preserve"> 2.7 % in sorafenib patients compared with 1.3 % in the placebo group. Patients with unstable coronary artery disease or recent myocardial infarction were excluded from these studies. Temporary or permanent discontinuation of sorafenib should be considered in patients who develop cardiac ischaemia and/or infarction (see section 4.8).</w:t>
      </w:r>
    </w:p>
    <w:p w14:paraId="066112A7" w14:textId="77777777" w:rsidR="00191AEF" w:rsidRPr="00053B19" w:rsidRDefault="00191AEF" w:rsidP="00E76924">
      <w:pPr>
        <w:ind w:left="851"/>
        <w:rPr>
          <w:sz w:val="24"/>
          <w:szCs w:val="24"/>
          <w:lang w:val="en-GB"/>
        </w:rPr>
      </w:pPr>
    </w:p>
    <w:p w14:paraId="55155201" w14:textId="77777777" w:rsidR="00191AEF" w:rsidRPr="00053B19" w:rsidRDefault="00191AEF" w:rsidP="00E76924">
      <w:pPr>
        <w:ind w:left="851"/>
        <w:rPr>
          <w:sz w:val="24"/>
          <w:szCs w:val="24"/>
          <w:u w:val="single"/>
          <w:lang w:val="en-GB"/>
        </w:rPr>
      </w:pPr>
      <w:r w:rsidRPr="00053B19">
        <w:rPr>
          <w:sz w:val="24"/>
          <w:szCs w:val="24"/>
          <w:u w:val="single"/>
          <w:lang w:val="en-GB"/>
        </w:rPr>
        <w:t>QT interval prolongation</w:t>
      </w:r>
    </w:p>
    <w:p w14:paraId="4E11994D" w14:textId="77777777" w:rsidR="00385F6E" w:rsidRPr="00053B19" w:rsidRDefault="00385F6E" w:rsidP="00E76924">
      <w:pPr>
        <w:ind w:left="851"/>
        <w:rPr>
          <w:sz w:val="24"/>
          <w:szCs w:val="24"/>
          <w:lang w:val="en-GB"/>
        </w:rPr>
      </w:pPr>
    </w:p>
    <w:p w14:paraId="1853E4B3" w14:textId="282928DE" w:rsidR="00191AEF" w:rsidRPr="00053B19" w:rsidRDefault="00191AEF" w:rsidP="00E76924">
      <w:pPr>
        <w:ind w:left="851"/>
        <w:rPr>
          <w:sz w:val="24"/>
          <w:szCs w:val="24"/>
          <w:lang w:val="en-GB"/>
        </w:rPr>
      </w:pPr>
      <w:r w:rsidRPr="00053B19">
        <w:rPr>
          <w:sz w:val="24"/>
          <w:szCs w:val="24"/>
          <w:lang w:val="en-GB"/>
        </w:rPr>
        <w:t>Sorafenib has been shown to prolong the QT/QTc interval (see section 5.1), which may lead to an increased risk for ventricular arrhythmias. Use sorafenib with caution in patients who have, or may develop prolongation of QTc, such as patients with a congenital long QT syndrome, patients treated with a high cumulative dose of anthracycline therapy, patients taking certain anti-arrhythmic medicines or other medicinal products that lead to QT prolongation, and those with electrolyte disturbances such as hypokalaemia, hypocalcaemia, or hypomagnesaemia. When using sorafenib in these patients, periodic monitoring with on-treatment electrocardiograms and electrolytes (magnesium, potassium, calcium) should be considered.</w:t>
      </w:r>
    </w:p>
    <w:p w14:paraId="65796DD5" w14:textId="77777777" w:rsidR="00191AEF" w:rsidRPr="00053B19" w:rsidRDefault="00191AEF" w:rsidP="00E76924">
      <w:pPr>
        <w:ind w:left="851"/>
        <w:rPr>
          <w:sz w:val="24"/>
          <w:szCs w:val="24"/>
          <w:lang w:val="en-GB"/>
        </w:rPr>
      </w:pPr>
    </w:p>
    <w:p w14:paraId="7E77772A" w14:textId="77777777" w:rsidR="00191AEF" w:rsidRPr="00053B19" w:rsidRDefault="00191AEF" w:rsidP="00E76924">
      <w:pPr>
        <w:ind w:left="851"/>
        <w:rPr>
          <w:sz w:val="24"/>
          <w:szCs w:val="24"/>
          <w:u w:val="single"/>
          <w:lang w:val="en-GB"/>
        </w:rPr>
      </w:pPr>
      <w:r w:rsidRPr="00053B19">
        <w:rPr>
          <w:sz w:val="24"/>
          <w:szCs w:val="24"/>
          <w:u w:val="single"/>
          <w:lang w:val="en-GB"/>
        </w:rPr>
        <w:t>Gastrointestinal perforation</w:t>
      </w:r>
    </w:p>
    <w:p w14:paraId="04E73990" w14:textId="77777777" w:rsidR="00385F6E" w:rsidRPr="00053B19" w:rsidRDefault="00385F6E" w:rsidP="00E76924">
      <w:pPr>
        <w:ind w:left="851"/>
        <w:rPr>
          <w:sz w:val="24"/>
          <w:szCs w:val="24"/>
          <w:lang w:val="en-GB"/>
        </w:rPr>
      </w:pPr>
    </w:p>
    <w:p w14:paraId="177C9C83" w14:textId="143308D9" w:rsidR="00191AEF" w:rsidRPr="00053B19" w:rsidRDefault="00191AEF" w:rsidP="00E76924">
      <w:pPr>
        <w:ind w:left="851"/>
        <w:rPr>
          <w:sz w:val="24"/>
          <w:szCs w:val="24"/>
          <w:lang w:val="en-GB"/>
        </w:rPr>
      </w:pPr>
      <w:r w:rsidRPr="00053B19">
        <w:rPr>
          <w:sz w:val="24"/>
          <w:szCs w:val="24"/>
          <w:lang w:val="en-GB"/>
        </w:rPr>
        <w:t xml:space="preserve">Gastrointestinal perforation is an uncommon event and has been reported in less than 1% of patients taking sorafenib. In some </w:t>
      </w:r>
      <w:proofErr w:type="gramStart"/>
      <w:r w:rsidRPr="00053B19">
        <w:rPr>
          <w:sz w:val="24"/>
          <w:szCs w:val="24"/>
          <w:lang w:val="en-GB"/>
        </w:rPr>
        <w:t>cases</w:t>
      </w:r>
      <w:proofErr w:type="gramEnd"/>
      <w:r w:rsidRPr="00053B19">
        <w:rPr>
          <w:sz w:val="24"/>
          <w:szCs w:val="24"/>
          <w:lang w:val="en-GB"/>
        </w:rPr>
        <w:t xml:space="preserve"> this was not associated with apparent intra-abdominal tumour.</w:t>
      </w:r>
    </w:p>
    <w:p w14:paraId="228D0617" w14:textId="77777777" w:rsidR="00191AEF" w:rsidRPr="00053B19" w:rsidRDefault="00191AEF" w:rsidP="00E76924">
      <w:pPr>
        <w:ind w:left="851"/>
        <w:rPr>
          <w:sz w:val="24"/>
          <w:szCs w:val="24"/>
          <w:lang w:val="en-GB"/>
        </w:rPr>
      </w:pPr>
      <w:r w:rsidRPr="00053B19">
        <w:rPr>
          <w:sz w:val="24"/>
          <w:szCs w:val="24"/>
          <w:lang w:val="en-GB"/>
        </w:rPr>
        <w:t>Sorafenib therapy should be discontinued (see section 4.8).</w:t>
      </w:r>
    </w:p>
    <w:p w14:paraId="172F5230" w14:textId="77777777" w:rsidR="00191AEF" w:rsidRPr="00053B19" w:rsidRDefault="00191AEF" w:rsidP="00E76924">
      <w:pPr>
        <w:ind w:left="851"/>
        <w:rPr>
          <w:sz w:val="24"/>
          <w:szCs w:val="24"/>
          <w:lang w:val="en-GB"/>
        </w:rPr>
      </w:pPr>
    </w:p>
    <w:p w14:paraId="0D70A6E6" w14:textId="77777777" w:rsidR="00191AEF" w:rsidRPr="00053B19" w:rsidRDefault="00191AEF" w:rsidP="00E76924">
      <w:pPr>
        <w:ind w:left="851"/>
        <w:rPr>
          <w:sz w:val="24"/>
          <w:szCs w:val="24"/>
          <w:u w:val="single"/>
          <w:lang w:val="en-GB"/>
        </w:rPr>
      </w:pPr>
      <w:r w:rsidRPr="00053B19">
        <w:rPr>
          <w:sz w:val="24"/>
          <w:szCs w:val="24"/>
          <w:u w:val="single"/>
          <w:lang w:val="en-GB"/>
        </w:rPr>
        <w:t>Hepatic impairment</w:t>
      </w:r>
    </w:p>
    <w:p w14:paraId="22C9A30F" w14:textId="77777777" w:rsidR="00385F6E" w:rsidRPr="00053B19" w:rsidRDefault="00385F6E" w:rsidP="00E76924">
      <w:pPr>
        <w:ind w:left="851"/>
        <w:rPr>
          <w:sz w:val="24"/>
          <w:szCs w:val="24"/>
          <w:lang w:val="en-GB"/>
        </w:rPr>
      </w:pPr>
    </w:p>
    <w:p w14:paraId="0F98624D" w14:textId="3597FCCA" w:rsidR="00191AEF" w:rsidRPr="00053B19" w:rsidRDefault="00191AEF" w:rsidP="00E76924">
      <w:pPr>
        <w:ind w:left="851"/>
        <w:rPr>
          <w:sz w:val="24"/>
          <w:szCs w:val="24"/>
          <w:lang w:val="en-GB"/>
        </w:rPr>
      </w:pPr>
      <w:r w:rsidRPr="00053B19">
        <w:rPr>
          <w:sz w:val="24"/>
          <w:szCs w:val="24"/>
          <w:lang w:val="en-GB"/>
        </w:rPr>
        <w:t>No data is available on patients with Child Pugh C (severe) hepatic impairment. Since sorafenib is mainly eliminated via the hepatic route exposure might be increased in patients with severe hepatic impairment (see sections 4.2 and 5.2).</w:t>
      </w:r>
    </w:p>
    <w:p w14:paraId="63FFF079" w14:textId="77777777" w:rsidR="00191AEF" w:rsidRPr="00053B19" w:rsidRDefault="00191AEF" w:rsidP="00E76924">
      <w:pPr>
        <w:ind w:left="851"/>
        <w:rPr>
          <w:sz w:val="24"/>
          <w:szCs w:val="24"/>
          <w:lang w:val="en-GB"/>
        </w:rPr>
      </w:pPr>
    </w:p>
    <w:p w14:paraId="6CB93D40" w14:textId="77777777" w:rsidR="00191AEF" w:rsidRPr="00053B19" w:rsidRDefault="00191AEF" w:rsidP="00E76924">
      <w:pPr>
        <w:ind w:left="851"/>
        <w:rPr>
          <w:sz w:val="24"/>
          <w:szCs w:val="24"/>
          <w:u w:val="single"/>
          <w:lang w:val="en-GB"/>
        </w:rPr>
      </w:pPr>
      <w:r w:rsidRPr="00053B19">
        <w:rPr>
          <w:sz w:val="24"/>
          <w:szCs w:val="24"/>
          <w:u w:val="single"/>
          <w:lang w:val="en-GB"/>
        </w:rPr>
        <w:t>Warfarin co-administration</w:t>
      </w:r>
    </w:p>
    <w:p w14:paraId="7220FB8B" w14:textId="77777777" w:rsidR="00385F6E" w:rsidRPr="00053B19" w:rsidRDefault="00385F6E" w:rsidP="00E76924">
      <w:pPr>
        <w:ind w:left="851"/>
        <w:rPr>
          <w:sz w:val="24"/>
          <w:szCs w:val="24"/>
          <w:lang w:val="en-GB"/>
        </w:rPr>
      </w:pPr>
    </w:p>
    <w:p w14:paraId="6FD7ECA4" w14:textId="2C81297A" w:rsidR="00191AEF" w:rsidRPr="00053B19" w:rsidRDefault="00191AEF" w:rsidP="00E76924">
      <w:pPr>
        <w:ind w:left="851"/>
        <w:rPr>
          <w:sz w:val="24"/>
          <w:szCs w:val="24"/>
          <w:lang w:val="en-GB"/>
        </w:rPr>
      </w:pPr>
      <w:r w:rsidRPr="00053B19">
        <w:rPr>
          <w:sz w:val="24"/>
          <w:szCs w:val="24"/>
          <w:lang w:val="en-GB"/>
        </w:rPr>
        <w:t xml:space="preserve">Infrequent bleeding events or elevations in the International Normalised Ratio (INR) have been reported in some patients taking warfarin while on sorafenib therapy. Patients taking concomitant warfarin or </w:t>
      </w:r>
      <w:proofErr w:type="spellStart"/>
      <w:r w:rsidRPr="00053B19">
        <w:rPr>
          <w:sz w:val="24"/>
          <w:szCs w:val="24"/>
          <w:lang w:val="en-GB"/>
        </w:rPr>
        <w:t>phenprocoumon</w:t>
      </w:r>
      <w:proofErr w:type="spellEnd"/>
      <w:r w:rsidRPr="00053B19">
        <w:rPr>
          <w:sz w:val="24"/>
          <w:szCs w:val="24"/>
          <w:lang w:val="en-GB"/>
        </w:rPr>
        <w:t xml:space="preserve"> should be monitored regularly for changes in prothrombin time, INR or clinical bleeding episodes (see sections 4.5 and 4.8).</w:t>
      </w:r>
    </w:p>
    <w:p w14:paraId="499E55B3" w14:textId="77777777" w:rsidR="00191AEF" w:rsidRPr="00053B19" w:rsidRDefault="00191AEF" w:rsidP="00E76924">
      <w:pPr>
        <w:ind w:left="851"/>
        <w:rPr>
          <w:sz w:val="24"/>
          <w:szCs w:val="24"/>
          <w:lang w:val="en-GB"/>
        </w:rPr>
      </w:pPr>
    </w:p>
    <w:p w14:paraId="5A4A9343" w14:textId="77777777" w:rsidR="00191AEF" w:rsidRPr="00053B19" w:rsidRDefault="00191AEF" w:rsidP="00E76924">
      <w:pPr>
        <w:ind w:left="851"/>
        <w:rPr>
          <w:sz w:val="24"/>
          <w:szCs w:val="24"/>
          <w:u w:val="single"/>
          <w:lang w:val="en-GB"/>
        </w:rPr>
      </w:pPr>
      <w:r w:rsidRPr="00053B19">
        <w:rPr>
          <w:sz w:val="24"/>
          <w:szCs w:val="24"/>
          <w:u w:val="single"/>
          <w:lang w:val="en-GB"/>
        </w:rPr>
        <w:t>Wound healing complications</w:t>
      </w:r>
    </w:p>
    <w:p w14:paraId="34015417" w14:textId="77777777" w:rsidR="00385F6E" w:rsidRPr="00053B19" w:rsidRDefault="00385F6E" w:rsidP="00E76924">
      <w:pPr>
        <w:ind w:left="851"/>
        <w:rPr>
          <w:sz w:val="24"/>
          <w:szCs w:val="24"/>
          <w:lang w:val="en-GB"/>
        </w:rPr>
      </w:pPr>
    </w:p>
    <w:p w14:paraId="778A9E4E" w14:textId="765EF59C" w:rsidR="00191AEF" w:rsidRPr="00053B19" w:rsidRDefault="00191AEF" w:rsidP="00E76924">
      <w:pPr>
        <w:ind w:left="851"/>
        <w:rPr>
          <w:sz w:val="24"/>
          <w:szCs w:val="24"/>
          <w:lang w:val="en-GB"/>
        </w:rPr>
      </w:pPr>
      <w:r w:rsidRPr="00053B19">
        <w:rPr>
          <w:sz w:val="24"/>
          <w:szCs w:val="24"/>
          <w:lang w:val="en-GB"/>
        </w:rPr>
        <w:t xml:space="preserve">No formal studies of the effect of sorafenib on wound healing have been conducted. Temporary interruption of sorafenib therapy is recommended for precautionary reasons in patients undergoing major surgical procedures. There is limited clinical experience regarding the timing of </w:t>
      </w:r>
      <w:proofErr w:type="spellStart"/>
      <w:r w:rsidRPr="00053B19">
        <w:rPr>
          <w:sz w:val="24"/>
          <w:szCs w:val="24"/>
          <w:lang w:val="en-GB"/>
        </w:rPr>
        <w:t>reinitiation</w:t>
      </w:r>
      <w:proofErr w:type="spellEnd"/>
      <w:r w:rsidRPr="00053B19">
        <w:rPr>
          <w:sz w:val="24"/>
          <w:szCs w:val="24"/>
          <w:lang w:val="en-GB"/>
        </w:rPr>
        <w:t xml:space="preserve"> of therapy following major surgical intervention. Therefore, the </w:t>
      </w:r>
      <w:r w:rsidRPr="00053B19">
        <w:rPr>
          <w:sz w:val="24"/>
          <w:szCs w:val="24"/>
          <w:lang w:val="en-GB"/>
        </w:rPr>
        <w:lastRenderedPageBreak/>
        <w:t>decision to resume sorafenib therapy following a major surgical intervention should be based on clinical judgement of adequate wound healing.</w:t>
      </w:r>
    </w:p>
    <w:p w14:paraId="1BE7FF9D" w14:textId="77777777" w:rsidR="00191AEF" w:rsidRPr="00053B19" w:rsidRDefault="00191AEF" w:rsidP="00E76924">
      <w:pPr>
        <w:ind w:left="851"/>
        <w:rPr>
          <w:sz w:val="24"/>
          <w:szCs w:val="24"/>
          <w:lang w:val="en-GB"/>
        </w:rPr>
      </w:pPr>
    </w:p>
    <w:p w14:paraId="2E45E574" w14:textId="77777777" w:rsidR="00191AEF" w:rsidRPr="00053B19" w:rsidRDefault="00191AEF" w:rsidP="00E76924">
      <w:pPr>
        <w:ind w:left="851"/>
        <w:rPr>
          <w:sz w:val="24"/>
          <w:szCs w:val="24"/>
          <w:u w:val="single"/>
          <w:lang w:val="en-GB"/>
        </w:rPr>
      </w:pPr>
      <w:r w:rsidRPr="00053B19">
        <w:rPr>
          <w:sz w:val="24"/>
          <w:szCs w:val="24"/>
          <w:u w:val="single"/>
          <w:lang w:val="en-GB"/>
        </w:rPr>
        <w:t>Elderly population</w:t>
      </w:r>
    </w:p>
    <w:p w14:paraId="53B389BD" w14:textId="77777777" w:rsidR="00385F6E" w:rsidRPr="00053B19" w:rsidRDefault="00385F6E" w:rsidP="00E76924">
      <w:pPr>
        <w:ind w:left="851"/>
        <w:rPr>
          <w:sz w:val="24"/>
          <w:szCs w:val="24"/>
          <w:lang w:val="en-GB"/>
        </w:rPr>
      </w:pPr>
    </w:p>
    <w:p w14:paraId="3C1E0824" w14:textId="3203B7EB" w:rsidR="00191AEF" w:rsidRPr="00053B19" w:rsidRDefault="00191AEF" w:rsidP="00E76924">
      <w:pPr>
        <w:ind w:left="851"/>
        <w:rPr>
          <w:sz w:val="24"/>
          <w:szCs w:val="24"/>
          <w:lang w:val="en-GB"/>
        </w:rPr>
      </w:pPr>
      <w:r w:rsidRPr="00053B19">
        <w:rPr>
          <w:sz w:val="24"/>
          <w:szCs w:val="24"/>
          <w:lang w:val="en-GB"/>
        </w:rPr>
        <w:t xml:space="preserve">Cases of renal failure have been reported. Monitoring of renal function should be considered. </w:t>
      </w:r>
    </w:p>
    <w:p w14:paraId="672B1CA6" w14:textId="77777777" w:rsidR="00191AEF" w:rsidRPr="00053B19" w:rsidRDefault="00191AEF" w:rsidP="00E76924">
      <w:pPr>
        <w:ind w:left="851"/>
        <w:rPr>
          <w:sz w:val="24"/>
          <w:szCs w:val="24"/>
          <w:lang w:val="en-GB"/>
        </w:rPr>
      </w:pPr>
    </w:p>
    <w:p w14:paraId="7BF708C2" w14:textId="77777777" w:rsidR="00191AEF" w:rsidRPr="00053B19" w:rsidRDefault="00191AEF" w:rsidP="00E76924">
      <w:pPr>
        <w:ind w:left="851"/>
        <w:rPr>
          <w:sz w:val="24"/>
          <w:szCs w:val="24"/>
          <w:u w:val="single"/>
          <w:lang w:val="en-GB"/>
        </w:rPr>
      </w:pPr>
      <w:r w:rsidRPr="00053B19">
        <w:rPr>
          <w:sz w:val="24"/>
          <w:szCs w:val="24"/>
          <w:u w:val="single"/>
          <w:lang w:val="en-GB"/>
        </w:rPr>
        <w:t>Drug-drug interactions</w:t>
      </w:r>
    </w:p>
    <w:p w14:paraId="0F87DAE2" w14:textId="77777777" w:rsidR="00385F6E" w:rsidRPr="00053B19" w:rsidRDefault="00385F6E" w:rsidP="00E76924">
      <w:pPr>
        <w:ind w:left="851"/>
        <w:rPr>
          <w:sz w:val="24"/>
          <w:szCs w:val="24"/>
          <w:lang w:val="en-GB"/>
        </w:rPr>
      </w:pPr>
    </w:p>
    <w:p w14:paraId="6446AA69" w14:textId="29B7E98F" w:rsidR="00191AEF" w:rsidRPr="00053B19" w:rsidRDefault="00191AEF" w:rsidP="00E76924">
      <w:pPr>
        <w:ind w:left="851"/>
        <w:rPr>
          <w:sz w:val="24"/>
          <w:szCs w:val="24"/>
          <w:lang w:val="en-GB"/>
        </w:rPr>
      </w:pPr>
      <w:r w:rsidRPr="00053B19">
        <w:rPr>
          <w:sz w:val="24"/>
          <w:szCs w:val="24"/>
          <w:lang w:val="en-GB"/>
        </w:rPr>
        <w:t>Caution is recommended when administering sorafenib with compounds that are metabolised/eliminated predominantly by the UGT1A1 (e.g. irinotecan) or UGT1A9 pathways (see section 4.5).</w:t>
      </w:r>
    </w:p>
    <w:p w14:paraId="06046001" w14:textId="77777777" w:rsidR="00191AEF" w:rsidRPr="00053B19" w:rsidRDefault="00191AEF" w:rsidP="00E76924">
      <w:pPr>
        <w:ind w:left="851"/>
        <w:rPr>
          <w:sz w:val="24"/>
          <w:szCs w:val="24"/>
          <w:lang w:val="en-GB"/>
        </w:rPr>
      </w:pPr>
    </w:p>
    <w:p w14:paraId="70E3C261" w14:textId="77777777" w:rsidR="00191AEF" w:rsidRPr="00053B19" w:rsidRDefault="00191AEF" w:rsidP="00E76924">
      <w:pPr>
        <w:ind w:left="851"/>
        <w:rPr>
          <w:sz w:val="24"/>
          <w:szCs w:val="24"/>
          <w:lang w:val="en-GB"/>
        </w:rPr>
      </w:pPr>
      <w:r w:rsidRPr="00053B19">
        <w:rPr>
          <w:sz w:val="24"/>
          <w:szCs w:val="24"/>
          <w:lang w:val="en-GB"/>
        </w:rPr>
        <w:t>Caution is recommended when sorafenib is co-administered with docetaxel (see section 4.5).</w:t>
      </w:r>
    </w:p>
    <w:p w14:paraId="6CA4F008" w14:textId="77777777" w:rsidR="00191AEF" w:rsidRPr="00053B19" w:rsidRDefault="00191AEF" w:rsidP="00E76924">
      <w:pPr>
        <w:ind w:left="851"/>
        <w:rPr>
          <w:sz w:val="24"/>
          <w:szCs w:val="24"/>
          <w:lang w:val="en-GB"/>
        </w:rPr>
      </w:pPr>
    </w:p>
    <w:p w14:paraId="0E995939" w14:textId="77777777" w:rsidR="00191AEF" w:rsidRPr="00053B19" w:rsidRDefault="00191AEF" w:rsidP="00E76924">
      <w:pPr>
        <w:ind w:left="851"/>
        <w:rPr>
          <w:sz w:val="24"/>
          <w:szCs w:val="24"/>
          <w:lang w:val="en-GB"/>
        </w:rPr>
      </w:pPr>
      <w:r w:rsidRPr="00053B19">
        <w:rPr>
          <w:sz w:val="24"/>
          <w:szCs w:val="24"/>
          <w:lang w:val="en-GB"/>
        </w:rPr>
        <w:t>Co-administration of neomycin or other antibiotics that cause major ecological disturbances of the gastrointestinal microflora may lead to a decrease in sorafenib bioavailability (see section 4.5). The risk of reduced plasma concentrations of sorafenib should be considered before starting a treatment course with antibiotics.</w:t>
      </w:r>
    </w:p>
    <w:p w14:paraId="2C008BFE" w14:textId="77777777" w:rsidR="00191AEF" w:rsidRPr="00053B19" w:rsidRDefault="00191AEF" w:rsidP="00E76924">
      <w:pPr>
        <w:ind w:left="851"/>
        <w:rPr>
          <w:sz w:val="24"/>
          <w:szCs w:val="24"/>
          <w:lang w:val="en-GB"/>
        </w:rPr>
      </w:pPr>
    </w:p>
    <w:p w14:paraId="2C07502A" w14:textId="77777777" w:rsidR="00191AEF" w:rsidRPr="00053B19" w:rsidRDefault="00191AEF" w:rsidP="00E76924">
      <w:pPr>
        <w:ind w:left="851"/>
        <w:rPr>
          <w:sz w:val="24"/>
          <w:szCs w:val="24"/>
          <w:lang w:val="en-GB"/>
        </w:rPr>
      </w:pPr>
      <w:r w:rsidRPr="00053B19">
        <w:rPr>
          <w:sz w:val="24"/>
          <w:szCs w:val="24"/>
          <w:lang w:val="en-GB"/>
        </w:rPr>
        <w:t xml:space="preserve">Higher mortality has been reported in patients with squamous cell carcinoma of the lung treated with sorafenib in combination with platinum-based chemotherapies. In two randomised trials investigating patients with Non-Small Cell Lung Cancer in the subgroup of patients with squamous cell carcinoma treated with sorafenib as add-on to paclitaxel/carboplatin, the HR for overall survival was found to be 1.81 (95% CI 1.19; 2.74) and as add-on to gemcitabine/cisplatin 1.22 (95% CI 0.82; 1.80). No single cause of death dominated, but higher incidence of respiratory failure, </w:t>
      </w:r>
      <w:proofErr w:type="spellStart"/>
      <w:r w:rsidRPr="00053B19">
        <w:rPr>
          <w:sz w:val="24"/>
          <w:szCs w:val="24"/>
          <w:lang w:val="en-GB"/>
        </w:rPr>
        <w:t>hemorrhages</w:t>
      </w:r>
      <w:proofErr w:type="spellEnd"/>
      <w:r w:rsidRPr="00053B19">
        <w:rPr>
          <w:sz w:val="24"/>
          <w:szCs w:val="24"/>
          <w:lang w:val="en-GB"/>
        </w:rPr>
        <w:t xml:space="preserve"> and infectious adverse events were observed in patients treated with sorafenib as add-on to platinum-based chemotherapies.</w:t>
      </w:r>
    </w:p>
    <w:p w14:paraId="2F9B1A46" w14:textId="77777777" w:rsidR="00191AEF" w:rsidRPr="00053B19" w:rsidRDefault="00191AEF" w:rsidP="00E76924">
      <w:pPr>
        <w:ind w:left="851"/>
        <w:rPr>
          <w:sz w:val="24"/>
          <w:szCs w:val="24"/>
          <w:lang w:val="en-GB"/>
        </w:rPr>
      </w:pPr>
    </w:p>
    <w:p w14:paraId="6C4BC00D" w14:textId="77777777" w:rsidR="00191AEF" w:rsidRPr="00053B19" w:rsidRDefault="00191AEF" w:rsidP="00E76924">
      <w:pPr>
        <w:ind w:left="851"/>
        <w:rPr>
          <w:sz w:val="24"/>
          <w:szCs w:val="24"/>
          <w:u w:val="single"/>
          <w:lang w:val="en-GB"/>
        </w:rPr>
      </w:pPr>
      <w:r w:rsidRPr="00053B19">
        <w:rPr>
          <w:sz w:val="24"/>
          <w:szCs w:val="24"/>
          <w:u w:val="single"/>
          <w:lang w:val="en-GB"/>
        </w:rPr>
        <w:t>Disease specific warnings</w:t>
      </w:r>
    </w:p>
    <w:p w14:paraId="31139DA6" w14:textId="77777777" w:rsidR="00191AEF" w:rsidRPr="00053B19" w:rsidRDefault="00191AEF" w:rsidP="00E76924">
      <w:pPr>
        <w:ind w:left="851"/>
        <w:rPr>
          <w:sz w:val="24"/>
          <w:szCs w:val="24"/>
          <w:lang w:val="en-GB"/>
        </w:rPr>
      </w:pPr>
    </w:p>
    <w:p w14:paraId="5893A492" w14:textId="77777777" w:rsidR="00191AEF" w:rsidRPr="00053B19" w:rsidRDefault="00191AEF" w:rsidP="00E76924">
      <w:pPr>
        <w:ind w:left="851"/>
        <w:rPr>
          <w:i/>
          <w:sz w:val="24"/>
          <w:szCs w:val="24"/>
          <w:u w:val="single"/>
          <w:lang w:val="en-GB"/>
        </w:rPr>
      </w:pPr>
      <w:r w:rsidRPr="00053B19">
        <w:rPr>
          <w:i/>
          <w:sz w:val="24"/>
          <w:szCs w:val="24"/>
          <w:u w:val="single"/>
          <w:lang w:val="en-GB"/>
        </w:rPr>
        <w:t>Renal cell carcinoma</w:t>
      </w:r>
    </w:p>
    <w:p w14:paraId="331D68E1" w14:textId="77777777" w:rsidR="00191AEF" w:rsidRPr="00053B19" w:rsidRDefault="00191AEF" w:rsidP="00E76924">
      <w:pPr>
        <w:ind w:left="851"/>
        <w:rPr>
          <w:sz w:val="24"/>
          <w:szCs w:val="24"/>
          <w:lang w:val="en-GB"/>
        </w:rPr>
      </w:pPr>
    </w:p>
    <w:p w14:paraId="0A4D528A" w14:textId="77777777" w:rsidR="00191AEF" w:rsidRPr="00053B19" w:rsidRDefault="00191AEF" w:rsidP="00E76924">
      <w:pPr>
        <w:ind w:left="851"/>
        <w:rPr>
          <w:sz w:val="24"/>
          <w:szCs w:val="24"/>
          <w:lang w:val="en-GB"/>
        </w:rPr>
      </w:pPr>
      <w:r w:rsidRPr="00053B19">
        <w:rPr>
          <w:sz w:val="24"/>
          <w:szCs w:val="24"/>
          <w:lang w:val="en-GB"/>
        </w:rPr>
        <w:t xml:space="preserve">High Risk Patients, according to MSKCC (Memorial Sloan Kettering Cancer </w:t>
      </w:r>
      <w:proofErr w:type="spellStart"/>
      <w:r w:rsidRPr="00053B19">
        <w:rPr>
          <w:sz w:val="24"/>
          <w:szCs w:val="24"/>
          <w:lang w:val="en-GB"/>
        </w:rPr>
        <w:t>Center</w:t>
      </w:r>
      <w:proofErr w:type="spellEnd"/>
      <w:r w:rsidRPr="00053B19">
        <w:rPr>
          <w:sz w:val="24"/>
          <w:szCs w:val="24"/>
          <w:lang w:val="en-GB"/>
        </w:rPr>
        <w:t>) prognostic group, were not included in the phase III clinical study in renal cell carcinoma (see study 1 in section 5.1), and benefit-risk in these patients has not been evaluated.</w:t>
      </w:r>
    </w:p>
    <w:p w14:paraId="53642098" w14:textId="77777777" w:rsidR="00191AEF" w:rsidRPr="00053B19" w:rsidRDefault="00191AEF" w:rsidP="00E76924">
      <w:pPr>
        <w:ind w:left="851"/>
        <w:rPr>
          <w:sz w:val="24"/>
          <w:szCs w:val="24"/>
          <w:lang w:val="en-GB"/>
        </w:rPr>
      </w:pPr>
    </w:p>
    <w:p w14:paraId="4343445B" w14:textId="77777777" w:rsidR="00191AEF" w:rsidRPr="00053B19" w:rsidRDefault="00191AEF" w:rsidP="00E76924">
      <w:pPr>
        <w:ind w:left="851"/>
        <w:rPr>
          <w:sz w:val="24"/>
          <w:szCs w:val="24"/>
          <w:u w:val="single"/>
          <w:lang w:val="en-GB"/>
        </w:rPr>
      </w:pPr>
      <w:r w:rsidRPr="00053B19">
        <w:rPr>
          <w:sz w:val="24"/>
          <w:szCs w:val="24"/>
          <w:u w:val="single"/>
          <w:lang w:val="en-GB"/>
        </w:rPr>
        <w:t>Information about excipients</w:t>
      </w:r>
    </w:p>
    <w:p w14:paraId="0A57BD9C" w14:textId="77777777" w:rsidR="00385F6E" w:rsidRPr="00053B19" w:rsidRDefault="00385F6E" w:rsidP="00E76924">
      <w:pPr>
        <w:ind w:left="851"/>
        <w:rPr>
          <w:sz w:val="24"/>
          <w:szCs w:val="24"/>
          <w:lang w:val="en-GB"/>
        </w:rPr>
      </w:pPr>
    </w:p>
    <w:p w14:paraId="15F5E7D8" w14:textId="69E4D1F6" w:rsidR="00191AEF" w:rsidRPr="00053B19" w:rsidRDefault="00191AEF" w:rsidP="00E76924">
      <w:pPr>
        <w:ind w:left="851"/>
        <w:rPr>
          <w:sz w:val="24"/>
          <w:szCs w:val="24"/>
          <w:lang w:val="en-GB"/>
        </w:rPr>
      </w:pPr>
      <w:r w:rsidRPr="00053B19">
        <w:rPr>
          <w:sz w:val="24"/>
          <w:szCs w:val="24"/>
          <w:lang w:val="en-GB"/>
        </w:rPr>
        <w:t xml:space="preserve">This medicine contains less than 1 mmol sodium (23 mg) per dose, that is to say essentially </w:t>
      </w:r>
      <w:r w:rsidR="00E76924" w:rsidRPr="00053B19">
        <w:rPr>
          <w:sz w:val="24"/>
          <w:szCs w:val="24"/>
          <w:lang w:val="en-GB"/>
        </w:rPr>
        <w:t>"</w:t>
      </w:r>
      <w:r w:rsidRPr="00053B19">
        <w:rPr>
          <w:sz w:val="24"/>
          <w:szCs w:val="24"/>
          <w:lang w:val="en-GB"/>
        </w:rPr>
        <w:t>sodium-free</w:t>
      </w:r>
      <w:r w:rsidR="00E76924" w:rsidRPr="00053B19">
        <w:rPr>
          <w:sz w:val="24"/>
          <w:szCs w:val="24"/>
          <w:lang w:val="en-GB"/>
        </w:rPr>
        <w:t>"</w:t>
      </w:r>
      <w:r w:rsidRPr="00053B19">
        <w:rPr>
          <w:sz w:val="24"/>
          <w:szCs w:val="24"/>
          <w:lang w:val="en-GB"/>
        </w:rPr>
        <w:t>.</w:t>
      </w:r>
    </w:p>
    <w:p w14:paraId="60279BBD" w14:textId="77777777" w:rsidR="007C5D2A" w:rsidRPr="00053B19" w:rsidRDefault="007C5D2A" w:rsidP="003E0341">
      <w:pPr>
        <w:tabs>
          <w:tab w:val="left" w:pos="851"/>
        </w:tabs>
        <w:ind w:left="851"/>
        <w:rPr>
          <w:sz w:val="24"/>
          <w:szCs w:val="24"/>
          <w:lang w:val="en-GB"/>
        </w:rPr>
      </w:pPr>
    </w:p>
    <w:p w14:paraId="6A8E96D9" w14:textId="77777777" w:rsidR="007C5D2A" w:rsidRPr="00053B19" w:rsidRDefault="007C5D2A" w:rsidP="007C5D2A">
      <w:pPr>
        <w:ind w:left="851" w:hanging="851"/>
        <w:rPr>
          <w:b/>
          <w:sz w:val="24"/>
          <w:szCs w:val="24"/>
          <w:lang w:val="en-GB"/>
        </w:rPr>
      </w:pPr>
      <w:r w:rsidRPr="00053B19">
        <w:rPr>
          <w:b/>
          <w:sz w:val="24"/>
          <w:szCs w:val="24"/>
          <w:lang w:val="en-GB"/>
        </w:rPr>
        <w:t>4.5</w:t>
      </w:r>
      <w:r w:rsidRPr="00053B19">
        <w:rPr>
          <w:b/>
          <w:sz w:val="24"/>
          <w:szCs w:val="24"/>
          <w:lang w:val="en-GB"/>
        </w:rPr>
        <w:tab/>
        <w:t>Interaction with other medicinal products and other forms of interaction</w:t>
      </w:r>
    </w:p>
    <w:p w14:paraId="3CA8D46C" w14:textId="77777777" w:rsidR="00385F6E" w:rsidRPr="00053B19" w:rsidRDefault="00385F6E" w:rsidP="00E76924">
      <w:pPr>
        <w:ind w:left="851"/>
        <w:rPr>
          <w:sz w:val="24"/>
          <w:szCs w:val="24"/>
          <w:lang w:val="en-GB"/>
        </w:rPr>
      </w:pPr>
    </w:p>
    <w:p w14:paraId="17ACE487" w14:textId="6311CB15" w:rsidR="00191AEF" w:rsidRPr="00053B19" w:rsidRDefault="00191AEF" w:rsidP="00E76924">
      <w:pPr>
        <w:ind w:left="851"/>
        <w:rPr>
          <w:sz w:val="24"/>
          <w:szCs w:val="24"/>
          <w:u w:val="single"/>
          <w:lang w:val="en-GB"/>
        </w:rPr>
      </w:pPr>
      <w:r w:rsidRPr="00053B19">
        <w:rPr>
          <w:sz w:val="24"/>
          <w:szCs w:val="24"/>
          <w:u w:val="single"/>
          <w:lang w:val="en-GB"/>
        </w:rPr>
        <w:t>Inducers of metabolic enzymes</w:t>
      </w:r>
    </w:p>
    <w:p w14:paraId="5EC7DC25" w14:textId="77777777" w:rsidR="00191AEF" w:rsidRPr="00053B19" w:rsidRDefault="00191AEF" w:rsidP="00E76924">
      <w:pPr>
        <w:ind w:left="851"/>
        <w:rPr>
          <w:sz w:val="24"/>
          <w:szCs w:val="24"/>
          <w:lang w:val="en-GB"/>
        </w:rPr>
      </w:pPr>
    </w:p>
    <w:p w14:paraId="345564C3" w14:textId="77777777" w:rsidR="00191AEF" w:rsidRPr="00053B19" w:rsidRDefault="00191AEF" w:rsidP="00E76924">
      <w:pPr>
        <w:ind w:left="851"/>
        <w:rPr>
          <w:sz w:val="24"/>
          <w:szCs w:val="24"/>
          <w:lang w:val="en-GB"/>
        </w:rPr>
      </w:pPr>
      <w:r w:rsidRPr="00053B19">
        <w:rPr>
          <w:sz w:val="24"/>
          <w:szCs w:val="24"/>
          <w:lang w:val="en-GB"/>
        </w:rPr>
        <w:t xml:space="preserve">Administration of rifampicin for 5 days before administration of a single dose of sorafenib resulted in an average 37 % reduction of sorafenib AUC. Other inducers of CYP3A4 activity and/or glucuronidation (e.g. Hypericum </w:t>
      </w:r>
      <w:proofErr w:type="spellStart"/>
      <w:r w:rsidRPr="00053B19">
        <w:rPr>
          <w:sz w:val="24"/>
          <w:szCs w:val="24"/>
          <w:lang w:val="en-GB"/>
        </w:rPr>
        <w:t>perforatum</w:t>
      </w:r>
      <w:proofErr w:type="spellEnd"/>
      <w:r w:rsidRPr="00053B19">
        <w:rPr>
          <w:sz w:val="24"/>
          <w:szCs w:val="24"/>
          <w:lang w:val="en-GB"/>
        </w:rPr>
        <w:t xml:space="preserve"> also known as St. John’s wort, </w:t>
      </w:r>
      <w:r w:rsidRPr="00053B19">
        <w:rPr>
          <w:sz w:val="24"/>
          <w:szCs w:val="24"/>
          <w:lang w:val="en-GB"/>
        </w:rPr>
        <w:lastRenderedPageBreak/>
        <w:t>phenytoin, carbamazepine, phenobarbital, and dexamethasone) may also increase metabolism of sorafenib and thus decrease sorafenib concentrations.</w:t>
      </w:r>
    </w:p>
    <w:p w14:paraId="4B076734" w14:textId="77777777" w:rsidR="00191AEF" w:rsidRPr="00053B19" w:rsidRDefault="00191AEF" w:rsidP="00E76924">
      <w:pPr>
        <w:ind w:left="851"/>
        <w:rPr>
          <w:sz w:val="24"/>
          <w:szCs w:val="24"/>
          <w:lang w:val="en-GB"/>
        </w:rPr>
      </w:pPr>
    </w:p>
    <w:p w14:paraId="760F11F9" w14:textId="77777777" w:rsidR="00191AEF" w:rsidRPr="00053B19" w:rsidRDefault="00191AEF" w:rsidP="00E76924">
      <w:pPr>
        <w:ind w:left="851"/>
        <w:rPr>
          <w:sz w:val="24"/>
          <w:szCs w:val="24"/>
          <w:u w:val="single"/>
          <w:lang w:val="en-GB"/>
        </w:rPr>
      </w:pPr>
      <w:r w:rsidRPr="00053B19">
        <w:rPr>
          <w:sz w:val="24"/>
          <w:szCs w:val="24"/>
          <w:u w:val="single"/>
          <w:lang w:val="en-GB"/>
        </w:rPr>
        <w:t>CYP3A4 inhibitors</w:t>
      </w:r>
    </w:p>
    <w:p w14:paraId="3B3186BA" w14:textId="77777777" w:rsidR="00191AEF" w:rsidRPr="00053B19" w:rsidRDefault="00191AEF" w:rsidP="00E76924">
      <w:pPr>
        <w:ind w:left="851"/>
        <w:rPr>
          <w:sz w:val="24"/>
          <w:szCs w:val="24"/>
          <w:lang w:val="en-GB"/>
        </w:rPr>
      </w:pPr>
    </w:p>
    <w:p w14:paraId="760A5E6A" w14:textId="77777777" w:rsidR="00191AEF" w:rsidRPr="00053B19" w:rsidRDefault="00191AEF" w:rsidP="00E76924">
      <w:pPr>
        <w:ind w:left="851"/>
        <w:rPr>
          <w:sz w:val="24"/>
          <w:szCs w:val="24"/>
          <w:lang w:val="en-GB"/>
        </w:rPr>
      </w:pPr>
      <w:r w:rsidRPr="00053B19">
        <w:rPr>
          <w:sz w:val="24"/>
          <w:szCs w:val="24"/>
          <w:lang w:val="en-GB"/>
        </w:rPr>
        <w:t>Ketoconazole, a potent inhibitor of CYP3A4, administered once daily for 7 days to healthy male volunteers did not alter the mean AUC of a single 50 mg dose of sorafenib. These data suggest that clinical pharmacokinetic interactions of sorafenib with CYP3A4 inhibitors are unlikely.</w:t>
      </w:r>
    </w:p>
    <w:p w14:paraId="06D50857" w14:textId="77777777" w:rsidR="00191AEF" w:rsidRPr="00053B19" w:rsidRDefault="00191AEF" w:rsidP="00E76924">
      <w:pPr>
        <w:ind w:left="851"/>
        <w:rPr>
          <w:sz w:val="24"/>
          <w:szCs w:val="24"/>
          <w:lang w:val="en-GB"/>
        </w:rPr>
      </w:pPr>
    </w:p>
    <w:p w14:paraId="35ADA096" w14:textId="77777777" w:rsidR="00191AEF" w:rsidRPr="00053B19" w:rsidRDefault="00191AEF" w:rsidP="00E76924">
      <w:pPr>
        <w:ind w:left="851"/>
        <w:rPr>
          <w:sz w:val="24"/>
          <w:szCs w:val="24"/>
          <w:u w:val="single"/>
          <w:lang w:val="en-GB"/>
        </w:rPr>
      </w:pPr>
      <w:r w:rsidRPr="00053B19">
        <w:rPr>
          <w:sz w:val="24"/>
          <w:szCs w:val="24"/>
          <w:u w:val="single"/>
          <w:lang w:val="en-GB"/>
        </w:rPr>
        <w:t>CYP2B6, CYP2C8 and CYP2C9 substrates</w:t>
      </w:r>
    </w:p>
    <w:p w14:paraId="60F6700F" w14:textId="77777777" w:rsidR="00191AEF" w:rsidRPr="00053B19" w:rsidRDefault="00191AEF" w:rsidP="00E76924">
      <w:pPr>
        <w:ind w:left="851"/>
        <w:rPr>
          <w:sz w:val="24"/>
          <w:szCs w:val="24"/>
          <w:lang w:val="en-GB"/>
        </w:rPr>
      </w:pPr>
    </w:p>
    <w:p w14:paraId="6935D9EC" w14:textId="77777777" w:rsidR="00191AEF" w:rsidRPr="00053B19" w:rsidRDefault="00191AEF" w:rsidP="00E76924">
      <w:pPr>
        <w:ind w:left="851"/>
        <w:rPr>
          <w:sz w:val="24"/>
          <w:szCs w:val="24"/>
          <w:lang w:val="en-GB"/>
        </w:rPr>
      </w:pPr>
      <w:r w:rsidRPr="00053B19">
        <w:rPr>
          <w:sz w:val="24"/>
          <w:szCs w:val="24"/>
          <w:lang w:val="en-GB"/>
        </w:rPr>
        <w:t xml:space="preserve">Sorafenib inhibited CYP2B6, CYP2C8 and CYP2C9 </w:t>
      </w:r>
      <w:r w:rsidRPr="00053B19">
        <w:rPr>
          <w:i/>
          <w:sz w:val="24"/>
          <w:szCs w:val="24"/>
          <w:lang w:val="en-GB"/>
        </w:rPr>
        <w:t>in vitro</w:t>
      </w:r>
      <w:r w:rsidRPr="00053B19">
        <w:rPr>
          <w:sz w:val="24"/>
          <w:szCs w:val="24"/>
          <w:lang w:val="en-GB"/>
        </w:rPr>
        <w:t xml:space="preserve"> with similar potency. However, in clinical pharmacokinetic studies, concomitant administration of sorafenib 400 mg twice daily with cyclophosphamide, a CYP2B6 substrate, or paclitaxel, a CYP2C8 substrate, did not result in a clinically meaningful inhibition. These data suggest that sorafenib at the recommended dose of 400 mg twice daily may not be an </w:t>
      </w:r>
      <w:r w:rsidRPr="00053B19">
        <w:rPr>
          <w:i/>
          <w:sz w:val="24"/>
          <w:szCs w:val="24"/>
          <w:lang w:val="en-GB"/>
        </w:rPr>
        <w:t>in vivo</w:t>
      </w:r>
      <w:r w:rsidRPr="00053B19">
        <w:rPr>
          <w:sz w:val="24"/>
          <w:szCs w:val="24"/>
          <w:lang w:val="en-GB"/>
        </w:rPr>
        <w:t xml:space="preserve"> inhibitor of CYP2B6 or CYP2C8.</w:t>
      </w:r>
    </w:p>
    <w:p w14:paraId="51F610D8" w14:textId="77777777" w:rsidR="00191AEF" w:rsidRPr="00053B19" w:rsidRDefault="00191AEF" w:rsidP="00E76924">
      <w:pPr>
        <w:ind w:left="851"/>
        <w:rPr>
          <w:sz w:val="24"/>
          <w:szCs w:val="24"/>
          <w:lang w:val="en-GB"/>
        </w:rPr>
      </w:pPr>
      <w:r w:rsidRPr="00053B19">
        <w:rPr>
          <w:sz w:val="24"/>
          <w:szCs w:val="24"/>
          <w:lang w:val="en-GB"/>
        </w:rPr>
        <w:t xml:space="preserve">Additionally, concomitant treatment with sorafenib and warfarin, a CYP2C9 substrate, did not result in changes in mean PT-INR compared to placebo. Thus, also the risk for a clinically relevant </w:t>
      </w:r>
      <w:r w:rsidRPr="00053B19">
        <w:rPr>
          <w:i/>
          <w:sz w:val="24"/>
          <w:szCs w:val="24"/>
          <w:lang w:val="en-GB"/>
        </w:rPr>
        <w:t>in vivo</w:t>
      </w:r>
      <w:r w:rsidRPr="00053B19">
        <w:rPr>
          <w:sz w:val="24"/>
          <w:szCs w:val="24"/>
          <w:lang w:val="en-GB"/>
        </w:rPr>
        <w:t xml:space="preserve"> inhibition of CYP2C9 by sorafenib may be expected to be low. However, patients taking warfarin or </w:t>
      </w:r>
      <w:proofErr w:type="spellStart"/>
      <w:r w:rsidRPr="00053B19">
        <w:rPr>
          <w:sz w:val="24"/>
          <w:szCs w:val="24"/>
          <w:lang w:val="en-GB"/>
        </w:rPr>
        <w:t>phenprocoumon</w:t>
      </w:r>
      <w:proofErr w:type="spellEnd"/>
      <w:r w:rsidRPr="00053B19">
        <w:rPr>
          <w:sz w:val="24"/>
          <w:szCs w:val="24"/>
          <w:lang w:val="en-GB"/>
        </w:rPr>
        <w:t xml:space="preserve"> should have their INR checked regularly (see section 4.4).</w:t>
      </w:r>
    </w:p>
    <w:p w14:paraId="67F10DB3" w14:textId="77777777" w:rsidR="00191AEF" w:rsidRPr="00053B19" w:rsidRDefault="00191AEF" w:rsidP="00E76924">
      <w:pPr>
        <w:ind w:left="851"/>
        <w:rPr>
          <w:sz w:val="24"/>
          <w:szCs w:val="24"/>
          <w:lang w:val="en-GB"/>
        </w:rPr>
      </w:pPr>
    </w:p>
    <w:p w14:paraId="25A78710" w14:textId="77777777" w:rsidR="00191AEF" w:rsidRPr="00053B19" w:rsidRDefault="00191AEF" w:rsidP="00E76924">
      <w:pPr>
        <w:ind w:left="851"/>
        <w:rPr>
          <w:sz w:val="24"/>
          <w:szCs w:val="24"/>
          <w:u w:val="single"/>
          <w:lang w:val="en-GB"/>
        </w:rPr>
      </w:pPr>
      <w:r w:rsidRPr="00053B19">
        <w:rPr>
          <w:sz w:val="24"/>
          <w:szCs w:val="24"/>
          <w:u w:val="single"/>
          <w:lang w:val="en-GB"/>
        </w:rPr>
        <w:t>CYP3A4, CYP2D6 and CYP2C19 substrates</w:t>
      </w:r>
    </w:p>
    <w:p w14:paraId="26F52E08" w14:textId="77777777" w:rsidR="00191AEF" w:rsidRPr="00053B19" w:rsidRDefault="00191AEF" w:rsidP="00E76924">
      <w:pPr>
        <w:ind w:left="851"/>
        <w:rPr>
          <w:sz w:val="24"/>
          <w:szCs w:val="24"/>
          <w:lang w:val="en-GB"/>
        </w:rPr>
      </w:pPr>
    </w:p>
    <w:p w14:paraId="26F3ABBF" w14:textId="77777777" w:rsidR="00191AEF" w:rsidRPr="00053B19" w:rsidRDefault="00191AEF" w:rsidP="00E76924">
      <w:pPr>
        <w:ind w:left="851"/>
        <w:rPr>
          <w:sz w:val="24"/>
          <w:szCs w:val="24"/>
          <w:lang w:val="en-GB"/>
        </w:rPr>
      </w:pPr>
      <w:r w:rsidRPr="00053B19">
        <w:rPr>
          <w:sz w:val="24"/>
          <w:szCs w:val="24"/>
          <w:lang w:val="en-GB"/>
        </w:rPr>
        <w:t>Concomitant administration of sorafenib and midazolam, dextromethorphan or omeprazole, which are substrates for cytochromes CYP3A4, CYP2D6 and CYP2C19 respectively, did not alter the exposure of these agents. This indicates that sorafenib is neither an inhibitor nor an inducer of these cytochrome P450 isoenzymes. Therefore, clinical pharmacokinetic interactions of sorafenib with substrates of these enzymes are unlikely.</w:t>
      </w:r>
    </w:p>
    <w:p w14:paraId="6D1072C2" w14:textId="77777777" w:rsidR="00191AEF" w:rsidRPr="00053B19" w:rsidRDefault="00191AEF" w:rsidP="00E76924">
      <w:pPr>
        <w:ind w:left="851"/>
        <w:rPr>
          <w:sz w:val="24"/>
          <w:szCs w:val="24"/>
          <w:lang w:val="en-GB"/>
        </w:rPr>
      </w:pPr>
    </w:p>
    <w:p w14:paraId="2B0F7B68" w14:textId="77777777" w:rsidR="00191AEF" w:rsidRPr="00053B19" w:rsidRDefault="00191AEF" w:rsidP="00E76924">
      <w:pPr>
        <w:ind w:left="851"/>
        <w:rPr>
          <w:sz w:val="24"/>
          <w:szCs w:val="24"/>
          <w:u w:val="single"/>
          <w:lang w:val="en-GB"/>
        </w:rPr>
      </w:pPr>
      <w:r w:rsidRPr="00053B19">
        <w:rPr>
          <w:sz w:val="24"/>
          <w:szCs w:val="24"/>
          <w:u w:val="single"/>
          <w:lang w:val="en-GB"/>
        </w:rPr>
        <w:t>UGT1A1 and UGT1A9 substrates</w:t>
      </w:r>
    </w:p>
    <w:p w14:paraId="0BFE133C" w14:textId="77777777" w:rsidR="00191AEF" w:rsidRPr="00053B19" w:rsidRDefault="00191AEF" w:rsidP="00E76924">
      <w:pPr>
        <w:ind w:left="851"/>
        <w:rPr>
          <w:sz w:val="24"/>
          <w:szCs w:val="24"/>
          <w:lang w:val="en-GB"/>
        </w:rPr>
      </w:pPr>
    </w:p>
    <w:p w14:paraId="2D349F18" w14:textId="77777777" w:rsidR="00191AEF" w:rsidRPr="00053B19" w:rsidRDefault="00191AEF" w:rsidP="00E76924">
      <w:pPr>
        <w:ind w:left="851"/>
        <w:rPr>
          <w:sz w:val="24"/>
          <w:szCs w:val="24"/>
          <w:lang w:val="en-GB"/>
        </w:rPr>
      </w:pPr>
      <w:r w:rsidRPr="00053B19">
        <w:rPr>
          <w:i/>
          <w:sz w:val="24"/>
          <w:szCs w:val="24"/>
          <w:lang w:val="en-GB"/>
        </w:rPr>
        <w:t>In vitro</w:t>
      </w:r>
      <w:r w:rsidRPr="00053B19">
        <w:rPr>
          <w:sz w:val="24"/>
          <w:szCs w:val="24"/>
          <w:lang w:val="en-GB"/>
        </w:rPr>
        <w:t>, sorafenib inhibited glucuronidation via UGT1A1 and UGT1A9. The clinical relevance of this finding is unknown (see below and section 4.4).</w:t>
      </w:r>
    </w:p>
    <w:p w14:paraId="56C81B55" w14:textId="77777777" w:rsidR="00191AEF" w:rsidRPr="00053B19" w:rsidRDefault="00191AEF" w:rsidP="00E76924">
      <w:pPr>
        <w:ind w:left="851"/>
        <w:rPr>
          <w:sz w:val="24"/>
          <w:szCs w:val="24"/>
          <w:lang w:val="en-GB"/>
        </w:rPr>
      </w:pPr>
    </w:p>
    <w:p w14:paraId="55CD6DE2" w14:textId="77777777" w:rsidR="00191AEF" w:rsidRPr="00053B19" w:rsidRDefault="00191AEF" w:rsidP="00E76924">
      <w:pPr>
        <w:ind w:left="851"/>
        <w:rPr>
          <w:sz w:val="24"/>
          <w:szCs w:val="24"/>
          <w:u w:val="single"/>
          <w:lang w:val="en-GB"/>
        </w:rPr>
      </w:pPr>
      <w:r w:rsidRPr="00053B19">
        <w:rPr>
          <w:i/>
          <w:sz w:val="24"/>
          <w:szCs w:val="24"/>
          <w:u w:val="single"/>
          <w:lang w:val="en-GB"/>
        </w:rPr>
        <w:t>In vitro</w:t>
      </w:r>
      <w:r w:rsidRPr="00053B19">
        <w:rPr>
          <w:sz w:val="24"/>
          <w:szCs w:val="24"/>
          <w:u w:val="single"/>
          <w:lang w:val="en-GB"/>
        </w:rPr>
        <w:t xml:space="preserve"> studies of CYP enzyme induction</w:t>
      </w:r>
    </w:p>
    <w:p w14:paraId="44FD676B" w14:textId="77777777" w:rsidR="00191AEF" w:rsidRPr="00053B19" w:rsidRDefault="00191AEF" w:rsidP="00E76924">
      <w:pPr>
        <w:ind w:left="851"/>
        <w:rPr>
          <w:sz w:val="24"/>
          <w:szCs w:val="24"/>
          <w:lang w:val="en-GB"/>
        </w:rPr>
      </w:pPr>
    </w:p>
    <w:p w14:paraId="4875586D" w14:textId="77777777" w:rsidR="00191AEF" w:rsidRPr="00053B19" w:rsidRDefault="00191AEF" w:rsidP="00E76924">
      <w:pPr>
        <w:ind w:left="851"/>
        <w:rPr>
          <w:sz w:val="24"/>
          <w:szCs w:val="24"/>
          <w:lang w:val="en-GB"/>
        </w:rPr>
      </w:pPr>
      <w:r w:rsidRPr="00053B19">
        <w:rPr>
          <w:sz w:val="24"/>
          <w:szCs w:val="24"/>
          <w:lang w:val="en-GB"/>
        </w:rPr>
        <w:t>CYP1A2 and CYP3A4 activities were not altered after treatment of cultured human hepatocytes with sorafenib, indicating that sorafenib is unlikely to be an inducer of CYP1A2 and CYP3A4.</w:t>
      </w:r>
    </w:p>
    <w:p w14:paraId="58CE1E4B" w14:textId="77777777" w:rsidR="00191AEF" w:rsidRPr="00053B19" w:rsidRDefault="00191AEF" w:rsidP="00E76924">
      <w:pPr>
        <w:ind w:left="851"/>
        <w:rPr>
          <w:sz w:val="24"/>
          <w:szCs w:val="24"/>
          <w:lang w:val="en-GB"/>
        </w:rPr>
      </w:pPr>
    </w:p>
    <w:p w14:paraId="766D1522" w14:textId="77777777" w:rsidR="00191AEF" w:rsidRPr="00053B19" w:rsidRDefault="00191AEF" w:rsidP="00E76924">
      <w:pPr>
        <w:ind w:left="851"/>
        <w:rPr>
          <w:sz w:val="24"/>
          <w:szCs w:val="24"/>
          <w:u w:val="single"/>
          <w:lang w:val="en-GB"/>
        </w:rPr>
      </w:pPr>
      <w:r w:rsidRPr="00053B19">
        <w:rPr>
          <w:sz w:val="24"/>
          <w:szCs w:val="24"/>
          <w:u w:val="single"/>
          <w:lang w:val="en-GB"/>
        </w:rPr>
        <w:t>P-</w:t>
      </w:r>
      <w:proofErr w:type="spellStart"/>
      <w:r w:rsidRPr="00053B19">
        <w:rPr>
          <w:sz w:val="24"/>
          <w:szCs w:val="24"/>
          <w:u w:val="single"/>
          <w:lang w:val="en-GB"/>
        </w:rPr>
        <w:t>gp</w:t>
      </w:r>
      <w:proofErr w:type="spellEnd"/>
      <w:r w:rsidRPr="00053B19">
        <w:rPr>
          <w:sz w:val="24"/>
          <w:szCs w:val="24"/>
          <w:u w:val="single"/>
          <w:lang w:val="en-GB"/>
        </w:rPr>
        <w:t>-substrates</w:t>
      </w:r>
    </w:p>
    <w:p w14:paraId="51D0BD26" w14:textId="77777777" w:rsidR="00191AEF" w:rsidRPr="00053B19" w:rsidRDefault="00191AEF" w:rsidP="00E76924">
      <w:pPr>
        <w:ind w:left="851"/>
        <w:rPr>
          <w:sz w:val="24"/>
          <w:szCs w:val="24"/>
          <w:lang w:val="en-GB"/>
        </w:rPr>
      </w:pPr>
    </w:p>
    <w:p w14:paraId="4FF54820" w14:textId="77777777" w:rsidR="00191AEF" w:rsidRPr="00053B19" w:rsidRDefault="00191AEF" w:rsidP="00E76924">
      <w:pPr>
        <w:ind w:left="851"/>
        <w:rPr>
          <w:sz w:val="24"/>
          <w:szCs w:val="24"/>
          <w:lang w:val="en-GB"/>
        </w:rPr>
      </w:pPr>
      <w:r w:rsidRPr="00053B19">
        <w:rPr>
          <w:i/>
          <w:sz w:val="24"/>
          <w:szCs w:val="24"/>
          <w:lang w:val="en-GB"/>
        </w:rPr>
        <w:t>In vitro</w:t>
      </w:r>
      <w:r w:rsidRPr="00053B19">
        <w:rPr>
          <w:sz w:val="24"/>
          <w:szCs w:val="24"/>
          <w:lang w:val="en-GB"/>
        </w:rPr>
        <w:t>, sorafenib has been shown to inhibit the transport protein p-glycoprotein (P-</w:t>
      </w:r>
      <w:proofErr w:type="spellStart"/>
      <w:r w:rsidRPr="00053B19">
        <w:rPr>
          <w:sz w:val="24"/>
          <w:szCs w:val="24"/>
          <w:lang w:val="en-GB"/>
        </w:rPr>
        <w:t>gp</w:t>
      </w:r>
      <w:proofErr w:type="spellEnd"/>
      <w:r w:rsidRPr="00053B19">
        <w:rPr>
          <w:sz w:val="24"/>
          <w:szCs w:val="24"/>
          <w:lang w:val="en-GB"/>
        </w:rPr>
        <w:t>). Increased plasma concentrations of P-</w:t>
      </w:r>
      <w:proofErr w:type="spellStart"/>
      <w:r w:rsidRPr="00053B19">
        <w:rPr>
          <w:sz w:val="24"/>
          <w:szCs w:val="24"/>
          <w:lang w:val="en-GB"/>
        </w:rPr>
        <w:t>gp</w:t>
      </w:r>
      <w:proofErr w:type="spellEnd"/>
      <w:r w:rsidRPr="00053B19">
        <w:rPr>
          <w:sz w:val="24"/>
          <w:szCs w:val="24"/>
          <w:lang w:val="en-GB"/>
        </w:rPr>
        <w:t xml:space="preserve"> substrates such as digoxin cannot be excluded with concomitant treatment with sorafenib.</w:t>
      </w:r>
    </w:p>
    <w:p w14:paraId="0FDCCDFE" w14:textId="0949E9E6" w:rsidR="00D8140A" w:rsidRDefault="00D8140A">
      <w:pPr>
        <w:rPr>
          <w:sz w:val="24"/>
          <w:szCs w:val="24"/>
          <w:lang w:val="en-GB"/>
        </w:rPr>
      </w:pPr>
      <w:r>
        <w:rPr>
          <w:sz w:val="24"/>
          <w:szCs w:val="24"/>
          <w:lang w:val="en-GB"/>
        </w:rPr>
        <w:br w:type="page"/>
      </w:r>
    </w:p>
    <w:p w14:paraId="739ECF6E" w14:textId="77777777" w:rsidR="00191AEF" w:rsidRPr="00053B19" w:rsidRDefault="00191AEF" w:rsidP="00E76924">
      <w:pPr>
        <w:ind w:left="851"/>
        <w:rPr>
          <w:sz w:val="24"/>
          <w:szCs w:val="24"/>
          <w:lang w:val="en-GB"/>
        </w:rPr>
      </w:pPr>
    </w:p>
    <w:p w14:paraId="24D73F00" w14:textId="77777777" w:rsidR="00191AEF" w:rsidRPr="00053B19" w:rsidRDefault="00191AEF" w:rsidP="00E76924">
      <w:pPr>
        <w:ind w:left="851"/>
        <w:rPr>
          <w:sz w:val="24"/>
          <w:szCs w:val="24"/>
          <w:u w:val="single"/>
          <w:lang w:val="en-GB"/>
        </w:rPr>
      </w:pPr>
      <w:r w:rsidRPr="00053B19">
        <w:rPr>
          <w:sz w:val="24"/>
          <w:szCs w:val="24"/>
          <w:u w:val="single"/>
          <w:lang w:val="en-GB"/>
        </w:rPr>
        <w:t>Combination with other anti-neoplastic agents</w:t>
      </w:r>
    </w:p>
    <w:p w14:paraId="70989F8A" w14:textId="77777777" w:rsidR="00191AEF" w:rsidRPr="00053B19" w:rsidRDefault="00191AEF" w:rsidP="00E76924">
      <w:pPr>
        <w:ind w:left="851"/>
        <w:rPr>
          <w:sz w:val="24"/>
          <w:szCs w:val="24"/>
          <w:lang w:val="en-GB"/>
        </w:rPr>
      </w:pPr>
    </w:p>
    <w:p w14:paraId="2A2D6858" w14:textId="77777777" w:rsidR="00191AEF" w:rsidRPr="00053B19" w:rsidRDefault="00191AEF" w:rsidP="00E76924">
      <w:pPr>
        <w:ind w:left="851"/>
        <w:rPr>
          <w:sz w:val="24"/>
          <w:szCs w:val="24"/>
          <w:lang w:val="en-GB"/>
        </w:rPr>
      </w:pPr>
      <w:r w:rsidRPr="00053B19">
        <w:rPr>
          <w:sz w:val="24"/>
          <w:szCs w:val="24"/>
          <w:lang w:val="en-GB"/>
        </w:rPr>
        <w:t>In clinical studies sorafenib has been administered with a variety of other anti-neoplastic agents at their commonly used dosing regimens including gemcitabine, cisplatin, oxaliplatin, paclitaxel, carboplatin, capecitabine, doxorubicin, irinotecan, docetaxel and cyclophosphamide. Sorafenib had no clinically relevant effect on the pharmacokinetics of gemcitabine, cisplatin, carboplatin, oxaliplatin or cyclophosphamide.</w:t>
      </w:r>
    </w:p>
    <w:p w14:paraId="2B08D182" w14:textId="77777777" w:rsidR="00191AEF" w:rsidRPr="00053B19" w:rsidRDefault="00191AEF" w:rsidP="00E76924">
      <w:pPr>
        <w:ind w:left="851"/>
        <w:rPr>
          <w:sz w:val="24"/>
          <w:szCs w:val="24"/>
          <w:lang w:val="en-GB"/>
        </w:rPr>
      </w:pPr>
    </w:p>
    <w:p w14:paraId="0C5A4464" w14:textId="77777777" w:rsidR="00191AEF" w:rsidRPr="00053B19" w:rsidRDefault="00191AEF" w:rsidP="00E76924">
      <w:pPr>
        <w:ind w:left="851"/>
        <w:rPr>
          <w:sz w:val="24"/>
          <w:szCs w:val="24"/>
          <w:u w:val="single"/>
          <w:lang w:val="en-GB"/>
        </w:rPr>
      </w:pPr>
      <w:r w:rsidRPr="00053B19">
        <w:rPr>
          <w:sz w:val="24"/>
          <w:szCs w:val="24"/>
          <w:u w:val="single"/>
          <w:lang w:val="en-GB"/>
        </w:rPr>
        <w:t>Paclitaxel/carboplatin</w:t>
      </w:r>
    </w:p>
    <w:p w14:paraId="7DFE73D6" w14:textId="77777777" w:rsidR="00191AEF" w:rsidRPr="00053B19" w:rsidRDefault="00191AEF" w:rsidP="00E76924">
      <w:pPr>
        <w:ind w:left="851"/>
        <w:rPr>
          <w:sz w:val="24"/>
          <w:szCs w:val="24"/>
          <w:lang w:val="en-GB"/>
        </w:rPr>
      </w:pPr>
    </w:p>
    <w:p w14:paraId="25AECBD5" w14:textId="77777777" w:rsidR="00191AEF" w:rsidRPr="00053B19" w:rsidRDefault="00191AEF" w:rsidP="00385F6E">
      <w:pPr>
        <w:pStyle w:val="Listeafsnit"/>
        <w:numPr>
          <w:ilvl w:val="0"/>
          <w:numId w:val="7"/>
        </w:numPr>
        <w:ind w:left="1276" w:hanging="425"/>
      </w:pPr>
      <w:r w:rsidRPr="00053B19">
        <w:t>Administration of paclitaxel (225 mg/m</w:t>
      </w:r>
      <w:r w:rsidRPr="00053B19">
        <w:rPr>
          <w:vertAlign w:val="superscript"/>
        </w:rPr>
        <w:t>2</w:t>
      </w:r>
      <w:r w:rsidRPr="00053B19">
        <w:t>) and carboplatin (AUC = 6) with sorafenib (≤ 400 mg twice daily), administered with a 3-day break in sorafenib dosing (two days prior to and on the day of paclitaxel/carboplatin administration), resulted in no significant effect on the pharmacokinetics of paclitaxel.</w:t>
      </w:r>
    </w:p>
    <w:p w14:paraId="3DCE8438" w14:textId="77777777" w:rsidR="00191AEF" w:rsidRPr="00053B19" w:rsidRDefault="00191AEF" w:rsidP="00385F6E">
      <w:pPr>
        <w:ind w:left="1276" w:hanging="425"/>
        <w:rPr>
          <w:sz w:val="24"/>
          <w:szCs w:val="24"/>
          <w:lang w:val="en-GB"/>
        </w:rPr>
      </w:pPr>
    </w:p>
    <w:p w14:paraId="36B32A04" w14:textId="77777777" w:rsidR="00191AEF" w:rsidRPr="00053B19" w:rsidRDefault="00191AEF" w:rsidP="00385F6E">
      <w:pPr>
        <w:pStyle w:val="Listeafsnit"/>
        <w:numPr>
          <w:ilvl w:val="0"/>
          <w:numId w:val="7"/>
        </w:numPr>
        <w:ind w:left="1276" w:hanging="425"/>
      </w:pPr>
      <w:r w:rsidRPr="00053B19">
        <w:t>Co-administration of paclitaxel (225 mg/m</w:t>
      </w:r>
      <w:r w:rsidRPr="00053B19">
        <w:rPr>
          <w:vertAlign w:val="superscript"/>
        </w:rPr>
        <w:t>2</w:t>
      </w:r>
      <w:r w:rsidRPr="00053B19">
        <w:t>, once every 3 weeks) and carboplatin (AUC=6) with sorafenib (400 mg twice daily, without a break in sorafenib dosing) resulted in a 47% increase in sorafenib exposure, a 29% increase in paclitaxel exposure and a 50% increase in 6- OH paclitaxel exposure. The pharmacokinetics of carboplatin were unaffected.</w:t>
      </w:r>
    </w:p>
    <w:p w14:paraId="125FB4D8" w14:textId="77777777" w:rsidR="00191AEF" w:rsidRPr="00053B19" w:rsidRDefault="00191AEF" w:rsidP="00E76924">
      <w:pPr>
        <w:ind w:left="851"/>
        <w:rPr>
          <w:sz w:val="24"/>
          <w:szCs w:val="24"/>
          <w:lang w:val="en-GB"/>
        </w:rPr>
      </w:pPr>
    </w:p>
    <w:p w14:paraId="7CA990B1" w14:textId="77777777" w:rsidR="00191AEF" w:rsidRPr="00053B19" w:rsidRDefault="00191AEF" w:rsidP="00E76924">
      <w:pPr>
        <w:ind w:left="851"/>
        <w:rPr>
          <w:sz w:val="24"/>
          <w:szCs w:val="24"/>
          <w:lang w:val="en-GB"/>
        </w:rPr>
      </w:pPr>
      <w:r w:rsidRPr="00053B19">
        <w:rPr>
          <w:sz w:val="24"/>
          <w:szCs w:val="24"/>
          <w:lang w:val="en-GB"/>
        </w:rPr>
        <w:t>These data indicate no need for dose adjustments when paclitaxel and carboplatin are co-administered with sorafenib with a 3-day break in sorafenib dosing (two days prior to and on the day of paclitaxel/carboplatin administration). The clinical significance of the increases in sorafenib and paclitaxel exposure, upon co-administration of sorafenib without a break in dosing, is unknown.</w:t>
      </w:r>
    </w:p>
    <w:p w14:paraId="1020C86B" w14:textId="77777777" w:rsidR="00191AEF" w:rsidRPr="00053B19" w:rsidRDefault="00191AEF" w:rsidP="00E76924">
      <w:pPr>
        <w:ind w:left="851"/>
        <w:rPr>
          <w:sz w:val="24"/>
          <w:szCs w:val="24"/>
          <w:lang w:val="en-GB"/>
        </w:rPr>
      </w:pPr>
    </w:p>
    <w:p w14:paraId="54B57CEC" w14:textId="77777777" w:rsidR="00191AEF" w:rsidRPr="00053B19" w:rsidRDefault="00191AEF" w:rsidP="00E76924">
      <w:pPr>
        <w:ind w:left="851"/>
        <w:rPr>
          <w:sz w:val="24"/>
          <w:szCs w:val="24"/>
          <w:u w:val="single"/>
          <w:lang w:val="en-GB"/>
        </w:rPr>
      </w:pPr>
      <w:r w:rsidRPr="00053B19">
        <w:rPr>
          <w:sz w:val="24"/>
          <w:szCs w:val="24"/>
          <w:u w:val="single"/>
          <w:lang w:val="en-GB"/>
        </w:rPr>
        <w:t>Capecitabine</w:t>
      </w:r>
    </w:p>
    <w:p w14:paraId="51865196" w14:textId="77777777" w:rsidR="00191AEF" w:rsidRPr="00053B19" w:rsidRDefault="00191AEF" w:rsidP="00E76924">
      <w:pPr>
        <w:ind w:left="851"/>
        <w:rPr>
          <w:sz w:val="24"/>
          <w:szCs w:val="24"/>
          <w:lang w:val="en-GB"/>
        </w:rPr>
      </w:pPr>
    </w:p>
    <w:p w14:paraId="28F4B7E4" w14:textId="77777777" w:rsidR="00191AEF" w:rsidRPr="00053B19" w:rsidRDefault="00191AEF" w:rsidP="00E76924">
      <w:pPr>
        <w:ind w:left="851"/>
        <w:rPr>
          <w:sz w:val="24"/>
          <w:szCs w:val="24"/>
          <w:lang w:val="en-GB"/>
        </w:rPr>
      </w:pPr>
      <w:r w:rsidRPr="00053B19">
        <w:rPr>
          <w:sz w:val="24"/>
          <w:szCs w:val="24"/>
          <w:lang w:val="en-GB"/>
        </w:rPr>
        <w:t>Co-administration of capecitabine (750-1050 mg/m</w:t>
      </w:r>
      <w:r w:rsidRPr="00053B19">
        <w:rPr>
          <w:sz w:val="24"/>
          <w:szCs w:val="24"/>
          <w:vertAlign w:val="superscript"/>
          <w:lang w:val="en-GB"/>
        </w:rPr>
        <w:t>2</w:t>
      </w:r>
      <w:r w:rsidRPr="00053B19">
        <w:rPr>
          <w:sz w:val="24"/>
          <w:szCs w:val="24"/>
          <w:lang w:val="en-GB"/>
        </w:rPr>
        <w:t xml:space="preserve"> twice daily, Days 1-14 every 21 days) and sorafenib (200 or 400 mg twice daily, continuous uninterrupted administration) resulted in no significant change in sorafenib exposure, but a 15-50% increase in capecitabine exposure and a 0-52% increase in 5-FU exposure. The clinical significance of these small to modest increases in capecitabine and 5-FU exposure when co-administered with sorafenib is unknown.</w:t>
      </w:r>
    </w:p>
    <w:p w14:paraId="4F3F7BD8" w14:textId="77777777" w:rsidR="00191AEF" w:rsidRPr="00053B19" w:rsidRDefault="00191AEF" w:rsidP="00E76924">
      <w:pPr>
        <w:ind w:left="851"/>
        <w:rPr>
          <w:sz w:val="24"/>
          <w:szCs w:val="24"/>
          <w:lang w:val="en-GB"/>
        </w:rPr>
      </w:pPr>
    </w:p>
    <w:p w14:paraId="517EFB63" w14:textId="77777777" w:rsidR="00191AEF" w:rsidRPr="00053B19" w:rsidRDefault="00191AEF" w:rsidP="00E76924">
      <w:pPr>
        <w:ind w:left="851"/>
        <w:rPr>
          <w:sz w:val="24"/>
          <w:szCs w:val="24"/>
          <w:u w:val="single"/>
          <w:lang w:val="en-GB"/>
        </w:rPr>
      </w:pPr>
      <w:r w:rsidRPr="00053B19">
        <w:rPr>
          <w:sz w:val="24"/>
          <w:szCs w:val="24"/>
          <w:u w:val="single"/>
          <w:lang w:val="en-GB"/>
        </w:rPr>
        <w:t>Doxorubicin/Irinotecan</w:t>
      </w:r>
    </w:p>
    <w:p w14:paraId="0F7EF0B7" w14:textId="77777777" w:rsidR="00191AEF" w:rsidRPr="00053B19" w:rsidRDefault="00191AEF" w:rsidP="00E76924">
      <w:pPr>
        <w:ind w:left="851"/>
        <w:rPr>
          <w:sz w:val="24"/>
          <w:szCs w:val="24"/>
          <w:lang w:val="en-GB"/>
        </w:rPr>
      </w:pPr>
    </w:p>
    <w:p w14:paraId="13E5579A" w14:textId="77777777" w:rsidR="00191AEF" w:rsidRPr="00053B19" w:rsidRDefault="00191AEF" w:rsidP="00E76924">
      <w:pPr>
        <w:ind w:left="851"/>
        <w:rPr>
          <w:sz w:val="24"/>
          <w:szCs w:val="24"/>
          <w:lang w:val="en-GB"/>
        </w:rPr>
      </w:pPr>
      <w:r w:rsidRPr="00053B19">
        <w:rPr>
          <w:sz w:val="24"/>
          <w:szCs w:val="24"/>
          <w:lang w:val="en-GB"/>
        </w:rPr>
        <w:t>Concomitant treatment with sorafenib resulted in a 21 % increase in the AUC of doxorubicin. When administered with irinotecan, whose active metabolite SN-38 is further metabolised by the UGT1A1 pathway, there was a 67 - 120 % increase in the AUC of SN-38 and a 26 - 42 % increase in the AUC of irinotecan. The clinical significance of these findings is unknown (see section 4.4).</w:t>
      </w:r>
    </w:p>
    <w:p w14:paraId="605E6E7C" w14:textId="77777777" w:rsidR="00191AEF" w:rsidRPr="00053B19" w:rsidRDefault="00191AEF" w:rsidP="00E76924">
      <w:pPr>
        <w:ind w:left="851"/>
        <w:rPr>
          <w:sz w:val="24"/>
          <w:szCs w:val="24"/>
          <w:lang w:val="en-GB"/>
        </w:rPr>
      </w:pPr>
    </w:p>
    <w:p w14:paraId="21C16616" w14:textId="77777777" w:rsidR="00191AEF" w:rsidRPr="00053B19" w:rsidRDefault="00191AEF" w:rsidP="00E76924">
      <w:pPr>
        <w:ind w:left="851"/>
        <w:rPr>
          <w:sz w:val="24"/>
          <w:szCs w:val="24"/>
          <w:u w:val="single"/>
          <w:lang w:val="en-GB"/>
        </w:rPr>
      </w:pPr>
      <w:r w:rsidRPr="00053B19">
        <w:rPr>
          <w:sz w:val="24"/>
          <w:szCs w:val="24"/>
          <w:u w:val="single"/>
          <w:lang w:val="en-GB"/>
        </w:rPr>
        <w:t>Docetaxel</w:t>
      </w:r>
    </w:p>
    <w:p w14:paraId="13762812" w14:textId="77777777" w:rsidR="00191AEF" w:rsidRPr="00053B19" w:rsidRDefault="00191AEF" w:rsidP="00E76924">
      <w:pPr>
        <w:ind w:left="851"/>
        <w:rPr>
          <w:sz w:val="24"/>
          <w:szCs w:val="24"/>
          <w:lang w:val="en-GB"/>
        </w:rPr>
      </w:pPr>
    </w:p>
    <w:p w14:paraId="36EBF85B" w14:textId="77777777" w:rsidR="00191AEF" w:rsidRPr="00053B19" w:rsidRDefault="00191AEF" w:rsidP="00E76924">
      <w:pPr>
        <w:ind w:left="851"/>
        <w:rPr>
          <w:sz w:val="24"/>
          <w:szCs w:val="24"/>
          <w:lang w:val="en-GB"/>
        </w:rPr>
      </w:pPr>
      <w:r w:rsidRPr="00053B19">
        <w:rPr>
          <w:sz w:val="24"/>
          <w:szCs w:val="24"/>
          <w:lang w:val="en-GB"/>
        </w:rPr>
        <w:t>Docetaxel (75 or 100 mg/m</w:t>
      </w:r>
      <w:r w:rsidRPr="00053B19">
        <w:rPr>
          <w:sz w:val="24"/>
          <w:szCs w:val="24"/>
          <w:vertAlign w:val="superscript"/>
          <w:lang w:val="en-GB"/>
        </w:rPr>
        <w:t>2</w:t>
      </w:r>
      <w:r w:rsidRPr="00053B19">
        <w:rPr>
          <w:sz w:val="24"/>
          <w:szCs w:val="24"/>
          <w:lang w:val="en-GB"/>
        </w:rPr>
        <w:t xml:space="preserve"> administered once every 21 days) when co-administered with sorafenib (200 mg twice daily or 400 mg twice daily administered on Days 2 through 19 of a 21-day cycle with a 3-day break in dosing around administration of docetaxel) resulted in </w:t>
      </w:r>
      <w:r w:rsidRPr="00053B19">
        <w:rPr>
          <w:sz w:val="24"/>
          <w:szCs w:val="24"/>
          <w:lang w:val="en-GB"/>
        </w:rPr>
        <w:lastRenderedPageBreak/>
        <w:t xml:space="preserve">a 36-80 % increase in docetaxel AUC and a 16-32 % increase in docetaxel </w:t>
      </w:r>
      <w:proofErr w:type="spellStart"/>
      <w:r w:rsidRPr="00053B19">
        <w:rPr>
          <w:sz w:val="24"/>
          <w:szCs w:val="24"/>
          <w:lang w:val="en-GB"/>
        </w:rPr>
        <w:t>C</w:t>
      </w:r>
      <w:r w:rsidRPr="00053B19">
        <w:rPr>
          <w:sz w:val="24"/>
          <w:szCs w:val="24"/>
          <w:vertAlign w:val="subscript"/>
          <w:lang w:val="en-GB"/>
        </w:rPr>
        <w:t>max</w:t>
      </w:r>
      <w:proofErr w:type="spellEnd"/>
      <w:r w:rsidRPr="00053B19">
        <w:rPr>
          <w:sz w:val="24"/>
          <w:szCs w:val="24"/>
          <w:lang w:val="en-GB"/>
        </w:rPr>
        <w:t>. Caution is recommended when sorafenib is co-administered with docetaxel (see section 4.4).</w:t>
      </w:r>
    </w:p>
    <w:p w14:paraId="15A38F48" w14:textId="77777777" w:rsidR="00191AEF" w:rsidRPr="00053B19" w:rsidRDefault="00191AEF" w:rsidP="00E76924">
      <w:pPr>
        <w:ind w:left="851"/>
        <w:rPr>
          <w:sz w:val="24"/>
          <w:szCs w:val="24"/>
          <w:lang w:val="en-GB"/>
        </w:rPr>
      </w:pPr>
    </w:p>
    <w:p w14:paraId="3EBC76ED" w14:textId="77777777" w:rsidR="00191AEF" w:rsidRPr="00053B19" w:rsidRDefault="00191AEF" w:rsidP="00E76924">
      <w:pPr>
        <w:ind w:left="851"/>
        <w:rPr>
          <w:sz w:val="24"/>
          <w:szCs w:val="24"/>
          <w:u w:val="single"/>
          <w:lang w:val="en-GB"/>
        </w:rPr>
      </w:pPr>
      <w:r w:rsidRPr="00053B19">
        <w:rPr>
          <w:sz w:val="24"/>
          <w:szCs w:val="24"/>
          <w:u w:val="single"/>
          <w:lang w:val="en-GB"/>
        </w:rPr>
        <w:t>Combination with other agents</w:t>
      </w:r>
    </w:p>
    <w:p w14:paraId="5F2B3DA9" w14:textId="77777777" w:rsidR="00191AEF" w:rsidRPr="00053B19" w:rsidRDefault="00191AEF" w:rsidP="00E76924">
      <w:pPr>
        <w:ind w:left="851"/>
        <w:rPr>
          <w:sz w:val="24"/>
          <w:szCs w:val="24"/>
          <w:lang w:val="en-GB"/>
        </w:rPr>
      </w:pPr>
    </w:p>
    <w:p w14:paraId="18E954E3" w14:textId="77777777" w:rsidR="00191AEF" w:rsidRPr="00053B19" w:rsidRDefault="00191AEF" w:rsidP="00E76924">
      <w:pPr>
        <w:ind w:left="851"/>
        <w:rPr>
          <w:i/>
          <w:sz w:val="24"/>
          <w:szCs w:val="24"/>
          <w:lang w:val="en-GB"/>
        </w:rPr>
      </w:pPr>
      <w:r w:rsidRPr="00053B19">
        <w:rPr>
          <w:i/>
          <w:sz w:val="24"/>
          <w:szCs w:val="24"/>
          <w:lang w:val="en-GB"/>
        </w:rPr>
        <w:t>Neomycin</w:t>
      </w:r>
    </w:p>
    <w:p w14:paraId="4A6A4FCC" w14:textId="77777777" w:rsidR="00191AEF" w:rsidRPr="00053B19" w:rsidRDefault="00191AEF" w:rsidP="00E76924">
      <w:pPr>
        <w:ind w:left="851"/>
        <w:rPr>
          <w:sz w:val="24"/>
          <w:szCs w:val="24"/>
          <w:lang w:val="en-GB"/>
        </w:rPr>
      </w:pPr>
      <w:r w:rsidRPr="00053B19">
        <w:rPr>
          <w:sz w:val="24"/>
          <w:szCs w:val="24"/>
          <w:lang w:val="en-GB"/>
        </w:rPr>
        <w:t>Co-administration of neomycin, a non-systemic antimicrobial agent used to eradicate gastrointestinal flora, interferes with the enterohepatic recycling of sorafenib (see section 5.2, Metabolism and Elimination), resulting in decreased sorafenib exposure. In healthy volunteers treated with a 5-day regimen of neomycin the average exposure to sorafenib decreased by 54%. Effects of other antibiotics have not been studied, but will likely depend on their ability to interfere with microorganisms with glucuronidase activity.</w:t>
      </w:r>
    </w:p>
    <w:p w14:paraId="0FC5FE78" w14:textId="77777777" w:rsidR="007C5D2A" w:rsidRPr="00053B19" w:rsidRDefault="007C5D2A" w:rsidP="003E0341">
      <w:pPr>
        <w:tabs>
          <w:tab w:val="left" w:pos="851"/>
        </w:tabs>
        <w:ind w:left="851"/>
        <w:rPr>
          <w:sz w:val="24"/>
          <w:szCs w:val="24"/>
          <w:lang w:val="en-GB"/>
        </w:rPr>
      </w:pPr>
    </w:p>
    <w:p w14:paraId="39BFFF43" w14:textId="77777777" w:rsidR="007C5D2A" w:rsidRPr="00053B19" w:rsidRDefault="007C5D2A" w:rsidP="007C5D2A">
      <w:pPr>
        <w:tabs>
          <w:tab w:val="left" w:pos="851"/>
        </w:tabs>
        <w:ind w:left="851" w:hanging="851"/>
        <w:rPr>
          <w:b/>
          <w:sz w:val="24"/>
          <w:szCs w:val="24"/>
          <w:lang w:val="en-GB"/>
        </w:rPr>
      </w:pPr>
      <w:r w:rsidRPr="00053B19">
        <w:rPr>
          <w:b/>
          <w:sz w:val="24"/>
          <w:szCs w:val="24"/>
          <w:lang w:val="en-GB"/>
        </w:rPr>
        <w:t>4.6</w:t>
      </w:r>
      <w:r w:rsidRPr="00053B19">
        <w:rPr>
          <w:b/>
          <w:sz w:val="24"/>
          <w:szCs w:val="24"/>
          <w:lang w:val="en-GB"/>
        </w:rPr>
        <w:tab/>
      </w:r>
      <w:r w:rsidR="004860D3" w:rsidRPr="00053B19">
        <w:rPr>
          <w:b/>
          <w:sz w:val="24"/>
          <w:szCs w:val="24"/>
          <w:lang w:val="en-GB"/>
        </w:rPr>
        <w:t>Fertility, p</w:t>
      </w:r>
      <w:r w:rsidRPr="00053B19">
        <w:rPr>
          <w:b/>
          <w:sz w:val="24"/>
          <w:szCs w:val="24"/>
          <w:lang w:val="en-GB"/>
        </w:rPr>
        <w:t>regnancy and lactation</w:t>
      </w:r>
    </w:p>
    <w:p w14:paraId="79429A00" w14:textId="77777777" w:rsidR="00634FBE" w:rsidRPr="00053B19" w:rsidRDefault="00634FBE" w:rsidP="00E76924">
      <w:pPr>
        <w:ind w:left="851"/>
        <w:rPr>
          <w:sz w:val="24"/>
          <w:szCs w:val="24"/>
          <w:lang w:val="en-GB"/>
        </w:rPr>
      </w:pPr>
    </w:p>
    <w:p w14:paraId="5D1E28D5" w14:textId="6FE68328" w:rsidR="00191AEF" w:rsidRPr="00053B19" w:rsidRDefault="00191AEF" w:rsidP="00E76924">
      <w:pPr>
        <w:ind w:left="851"/>
        <w:rPr>
          <w:sz w:val="24"/>
          <w:szCs w:val="24"/>
          <w:u w:val="single"/>
          <w:lang w:val="en-GB"/>
        </w:rPr>
      </w:pPr>
      <w:r w:rsidRPr="00053B19">
        <w:rPr>
          <w:sz w:val="24"/>
          <w:szCs w:val="24"/>
          <w:u w:val="single"/>
          <w:lang w:val="en-GB"/>
        </w:rPr>
        <w:t>Pregnancy</w:t>
      </w:r>
    </w:p>
    <w:p w14:paraId="6911541C" w14:textId="77777777" w:rsidR="00191AEF" w:rsidRPr="00053B19" w:rsidRDefault="00191AEF" w:rsidP="00E76924">
      <w:pPr>
        <w:ind w:left="851"/>
        <w:rPr>
          <w:sz w:val="24"/>
          <w:szCs w:val="24"/>
          <w:lang w:val="en-GB"/>
        </w:rPr>
      </w:pPr>
    </w:p>
    <w:p w14:paraId="58D4A31E" w14:textId="77777777" w:rsidR="00191AEF" w:rsidRPr="00053B19" w:rsidRDefault="00191AEF" w:rsidP="00E76924">
      <w:pPr>
        <w:ind w:left="851"/>
        <w:rPr>
          <w:sz w:val="24"/>
          <w:szCs w:val="24"/>
          <w:lang w:val="en-GB"/>
        </w:rPr>
      </w:pPr>
      <w:r w:rsidRPr="00053B19">
        <w:rPr>
          <w:sz w:val="24"/>
          <w:szCs w:val="24"/>
          <w:lang w:val="en-GB"/>
        </w:rPr>
        <w:t>There are no data on the use of sorafenib in pregnant women. Studies in animals have shown reproductive toxicity including malformations (see section 5.3). In rats, sorafenib and its metabolites were demonstrated to cross the placenta and sorafenib is anticipated to cause harmful effects on the foetus. Sorafenib should not be used during pregnancy unless clearly necessary, after careful consideration of the needs of the mother and the risk to the foetus.</w:t>
      </w:r>
    </w:p>
    <w:p w14:paraId="708293C8" w14:textId="77777777" w:rsidR="00191AEF" w:rsidRPr="00053B19" w:rsidRDefault="00191AEF" w:rsidP="00E76924">
      <w:pPr>
        <w:ind w:left="851"/>
        <w:rPr>
          <w:sz w:val="24"/>
          <w:szCs w:val="24"/>
          <w:lang w:val="en-GB"/>
        </w:rPr>
      </w:pPr>
      <w:r w:rsidRPr="00053B19">
        <w:rPr>
          <w:sz w:val="24"/>
          <w:szCs w:val="24"/>
          <w:lang w:val="en-GB"/>
        </w:rPr>
        <w:t>Women of childbearing potential must use effective contraception during treatment.</w:t>
      </w:r>
    </w:p>
    <w:p w14:paraId="5C6C5059" w14:textId="77777777" w:rsidR="00191AEF" w:rsidRPr="00053B19" w:rsidRDefault="00191AEF" w:rsidP="00E76924">
      <w:pPr>
        <w:ind w:left="851"/>
        <w:rPr>
          <w:sz w:val="24"/>
          <w:szCs w:val="24"/>
          <w:lang w:val="en-GB"/>
        </w:rPr>
      </w:pPr>
    </w:p>
    <w:p w14:paraId="4253475D" w14:textId="77777777" w:rsidR="00191AEF" w:rsidRPr="00053B19" w:rsidRDefault="00191AEF" w:rsidP="00E76924">
      <w:pPr>
        <w:ind w:left="851"/>
        <w:rPr>
          <w:sz w:val="24"/>
          <w:szCs w:val="24"/>
          <w:u w:val="single"/>
          <w:lang w:val="en-GB"/>
        </w:rPr>
      </w:pPr>
      <w:r w:rsidRPr="00053B19">
        <w:rPr>
          <w:sz w:val="24"/>
          <w:szCs w:val="24"/>
          <w:u w:val="single"/>
          <w:lang w:val="en-GB"/>
        </w:rPr>
        <w:t>Lactation</w:t>
      </w:r>
    </w:p>
    <w:p w14:paraId="0FE59D3F" w14:textId="77777777" w:rsidR="00191AEF" w:rsidRPr="00053B19" w:rsidRDefault="00191AEF" w:rsidP="00E76924">
      <w:pPr>
        <w:ind w:left="851"/>
        <w:rPr>
          <w:sz w:val="24"/>
          <w:szCs w:val="24"/>
          <w:lang w:val="en-GB"/>
        </w:rPr>
      </w:pPr>
    </w:p>
    <w:p w14:paraId="76CE20EC" w14:textId="77777777" w:rsidR="00191AEF" w:rsidRPr="00053B19" w:rsidRDefault="00191AEF" w:rsidP="00E76924">
      <w:pPr>
        <w:ind w:left="851"/>
        <w:rPr>
          <w:sz w:val="24"/>
          <w:szCs w:val="24"/>
          <w:lang w:val="en-GB"/>
        </w:rPr>
      </w:pPr>
      <w:r w:rsidRPr="00053B19">
        <w:rPr>
          <w:sz w:val="24"/>
          <w:szCs w:val="24"/>
          <w:lang w:val="en-GB"/>
        </w:rPr>
        <w:t>It is not known whether sorafenib is excreted in human milk. In animals, sorafenib and/or its metabolites were excreted in milk. Because sorafenib could harm infant growth and development (see section 5.3), women must not breast-feed during sorafenib treatment.</w:t>
      </w:r>
    </w:p>
    <w:p w14:paraId="5CD1EFEC" w14:textId="77777777" w:rsidR="00191AEF" w:rsidRPr="00053B19" w:rsidRDefault="00191AEF" w:rsidP="00E76924">
      <w:pPr>
        <w:ind w:left="851"/>
        <w:rPr>
          <w:sz w:val="24"/>
          <w:szCs w:val="24"/>
          <w:lang w:val="en-GB"/>
        </w:rPr>
      </w:pPr>
    </w:p>
    <w:p w14:paraId="7CEE2A0A" w14:textId="77777777" w:rsidR="00191AEF" w:rsidRPr="00053B19" w:rsidRDefault="00191AEF" w:rsidP="00E76924">
      <w:pPr>
        <w:ind w:left="851"/>
        <w:rPr>
          <w:sz w:val="24"/>
          <w:szCs w:val="24"/>
          <w:u w:val="single"/>
          <w:lang w:val="en-GB"/>
        </w:rPr>
      </w:pPr>
      <w:r w:rsidRPr="00053B19">
        <w:rPr>
          <w:sz w:val="24"/>
          <w:szCs w:val="24"/>
          <w:u w:val="single"/>
          <w:lang w:val="en-GB"/>
        </w:rPr>
        <w:t>Fertility</w:t>
      </w:r>
    </w:p>
    <w:p w14:paraId="57CFC4C2" w14:textId="77777777" w:rsidR="00191AEF" w:rsidRPr="00053B19" w:rsidRDefault="00191AEF" w:rsidP="00E76924">
      <w:pPr>
        <w:ind w:left="851"/>
        <w:rPr>
          <w:sz w:val="24"/>
          <w:szCs w:val="24"/>
          <w:lang w:val="en-GB"/>
        </w:rPr>
      </w:pPr>
    </w:p>
    <w:p w14:paraId="58BC1B85" w14:textId="77777777" w:rsidR="00191AEF" w:rsidRPr="00053B19" w:rsidRDefault="00191AEF" w:rsidP="00E76924">
      <w:pPr>
        <w:ind w:left="851"/>
        <w:rPr>
          <w:sz w:val="24"/>
          <w:szCs w:val="24"/>
          <w:lang w:val="en-GB"/>
        </w:rPr>
      </w:pPr>
      <w:r w:rsidRPr="00053B19">
        <w:rPr>
          <w:sz w:val="24"/>
          <w:szCs w:val="24"/>
          <w:lang w:val="en-GB"/>
        </w:rPr>
        <w:t>Results from animal studies further indicate that sorafenib can impair male and female fertility (see section 5.3).</w:t>
      </w:r>
    </w:p>
    <w:p w14:paraId="2D508323" w14:textId="77777777" w:rsidR="007C5D2A" w:rsidRPr="00053B19" w:rsidRDefault="007C5D2A" w:rsidP="003E0341">
      <w:pPr>
        <w:tabs>
          <w:tab w:val="left" w:pos="851"/>
        </w:tabs>
        <w:ind w:left="851"/>
        <w:rPr>
          <w:sz w:val="24"/>
          <w:szCs w:val="24"/>
          <w:lang w:val="en-GB"/>
        </w:rPr>
      </w:pPr>
    </w:p>
    <w:p w14:paraId="04C3B088" w14:textId="77777777" w:rsidR="007C5D2A" w:rsidRPr="00053B19" w:rsidRDefault="007C5D2A" w:rsidP="007C5D2A">
      <w:pPr>
        <w:tabs>
          <w:tab w:val="left" w:pos="851"/>
        </w:tabs>
        <w:ind w:left="851" w:hanging="851"/>
        <w:rPr>
          <w:b/>
          <w:sz w:val="24"/>
          <w:szCs w:val="24"/>
          <w:lang w:val="en-GB"/>
        </w:rPr>
      </w:pPr>
      <w:r w:rsidRPr="00053B19">
        <w:rPr>
          <w:b/>
          <w:sz w:val="24"/>
          <w:szCs w:val="24"/>
          <w:lang w:val="en-GB"/>
        </w:rPr>
        <w:t>4.7</w:t>
      </w:r>
      <w:r w:rsidRPr="00053B19">
        <w:rPr>
          <w:b/>
          <w:sz w:val="24"/>
          <w:szCs w:val="24"/>
          <w:lang w:val="en-GB"/>
        </w:rPr>
        <w:tab/>
        <w:t>Effects on ability to drive and use machines</w:t>
      </w:r>
    </w:p>
    <w:p w14:paraId="4C7AAAB0" w14:textId="77777777" w:rsidR="00053B19" w:rsidRPr="00053B19" w:rsidRDefault="00053B19" w:rsidP="00E76924">
      <w:pPr>
        <w:ind w:left="851"/>
        <w:rPr>
          <w:sz w:val="24"/>
          <w:szCs w:val="24"/>
          <w:lang w:val="en-GB"/>
        </w:rPr>
      </w:pPr>
      <w:r w:rsidRPr="00053B19">
        <w:rPr>
          <w:sz w:val="24"/>
          <w:szCs w:val="24"/>
          <w:lang w:val="en-GB"/>
        </w:rPr>
        <w:t>No traffic warning.</w:t>
      </w:r>
    </w:p>
    <w:p w14:paraId="1EBB2ED1" w14:textId="061AC816" w:rsidR="00191AEF" w:rsidRPr="00053B19" w:rsidRDefault="00191AEF" w:rsidP="00E76924">
      <w:pPr>
        <w:ind w:left="851"/>
        <w:rPr>
          <w:sz w:val="24"/>
          <w:szCs w:val="24"/>
          <w:lang w:val="en-GB"/>
        </w:rPr>
      </w:pPr>
      <w:r w:rsidRPr="00053B19">
        <w:rPr>
          <w:sz w:val="24"/>
          <w:szCs w:val="24"/>
          <w:lang w:val="en-GB"/>
        </w:rPr>
        <w:t>No studies on the effects on the ability to drive and use machines have been performed. There is no evidence that sorafenib affects the ability to drive or to operate machinery.</w:t>
      </w:r>
    </w:p>
    <w:p w14:paraId="669A99F1" w14:textId="77777777" w:rsidR="007C5D2A" w:rsidRPr="00053B19" w:rsidRDefault="007C5D2A" w:rsidP="003E0341">
      <w:pPr>
        <w:tabs>
          <w:tab w:val="left" w:pos="851"/>
        </w:tabs>
        <w:ind w:left="851"/>
        <w:rPr>
          <w:sz w:val="24"/>
          <w:szCs w:val="24"/>
          <w:lang w:val="en-GB"/>
        </w:rPr>
      </w:pPr>
    </w:p>
    <w:p w14:paraId="5410AC02" w14:textId="77777777" w:rsidR="007C5D2A" w:rsidRPr="00053B19" w:rsidRDefault="007C5D2A" w:rsidP="007C5D2A">
      <w:pPr>
        <w:tabs>
          <w:tab w:val="left" w:pos="851"/>
        </w:tabs>
        <w:ind w:left="851" w:hanging="851"/>
        <w:rPr>
          <w:b/>
          <w:sz w:val="24"/>
          <w:szCs w:val="24"/>
          <w:lang w:val="en-GB"/>
        </w:rPr>
      </w:pPr>
      <w:r w:rsidRPr="00053B19">
        <w:rPr>
          <w:b/>
          <w:sz w:val="24"/>
          <w:szCs w:val="24"/>
          <w:lang w:val="en-GB"/>
        </w:rPr>
        <w:t>4.8</w:t>
      </w:r>
      <w:r w:rsidRPr="00053B19">
        <w:rPr>
          <w:b/>
          <w:sz w:val="24"/>
          <w:szCs w:val="24"/>
          <w:lang w:val="en-GB"/>
        </w:rPr>
        <w:tab/>
        <w:t>Undesirable effects</w:t>
      </w:r>
    </w:p>
    <w:p w14:paraId="01C1E6A3" w14:textId="77777777" w:rsidR="00191AEF" w:rsidRPr="00053B19" w:rsidRDefault="00191AEF" w:rsidP="00E76924">
      <w:pPr>
        <w:ind w:left="851"/>
        <w:rPr>
          <w:sz w:val="24"/>
          <w:szCs w:val="24"/>
          <w:lang w:val="en-GB"/>
        </w:rPr>
      </w:pPr>
      <w:r w:rsidRPr="00053B19">
        <w:rPr>
          <w:sz w:val="24"/>
          <w:szCs w:val="24"/>
          <w:lang w:val="en-GB"/>
        </w:rPr>
        <w:t>The most important serious adverse reactions were myocardial infarction/ischaemia, gastrointestinal perforation, drug induced hepatitis, haemorrhage, and hypertension/hypertensive crisis.</w:t>
      </w:r>
    </w:p>
    <w:p w14:paraId="06B9A2C8" w14:textId="77777777" w:rsidR="00191AEF" w:rsidRPr="00053B19" w:rsidRDefault="00191AEF" w:rsidP="00E76924">
      <w:pPr>
        <w:ind w:left="851"/>
        <w:rPr>
          <w:sz w:val="24"/>
          <w:szCs w:val="24"/>
          <w:lang w:val="en-GB"/>
        </w:rPr>
      </w:pPr>
    </w:p>
    <w:p w14:paraId="1AA6828A" w14:textId="77777777" w:rsidR="00191AEF" w:rsidRPr="00053B19" w:rsidRDefault="00191AEF" w:rsidP="00E76924">
      <w:pPr>
        <w:ind w:left="851"/>
        <w:rPr>
          <w:sz w:val="24"/>
          <w:szCs w:val="24"/>
          <w:lang w:val="en-GB"/>
        </w:rPr>
      </w:pPr>
      <w:r w:rsidRPr="00053B19">
        <w:rPr>
          <w:sz w:val="24"/>
          <w:szCs w:val="24"/>
          <w:lang w:val="en-GB"/>
        </w:rPr>
        <w:t xml:space="preserve">The most common adverse reactions were diarrhoea, fatigue, alopecia, infection, hand foot skin reaction (corresponds to palmar plantar </w:t>
      </w:r>
      <w:proofErr w:type="spellStart"/>
      <w:r w:rsidRPr="00053B19">
        <w:rPr>
          <w:sz w:val="24"/>
          <w:szCs w:val="24"/>
          <w:lang w:val="en-GB"/>
        </w:rPr>
        <w:t>erythrodysaesthesia</w:t>
      </w:r>
      <w:proofErr w:type="spellEnd"/>
      <w:r w:rsidRPr="00053B19">
        <w:rPr>
          <w:sz w:val="24"/>
          <w:szCs w:val="24"/>
          <w:lang w:val="en-GB"/>
        </w:rPr>
        <w:t xml:space="preserve"> syndrome in MedDRA) and rash.</w:t>
      </w:r>
    </w:p>
    <w:p w14:paraId="00EAB53B" w14:textId="77777777" w:rsidR="00191AEF" w:rsidRPr="00053B19" w:rsidRDefault="00191AEF" w:rsidP="00E76924">
      <w:pPr>
        <w:ind w:left="851"/>
        <w:rPr>
          <w:sz w:val="24"/>
          <w:szCs w:val="24"/>
          <w:lang w:val="en-GB"/>
        </w:rPr>
      </w:pPr>
    </w:p>
    <w:p w14:paraId="47373924" w14:textId="77777777" w:rsidR="00191AEF" w:rsidRPr="00053B19" w:rsidRDefault="00191AEF" w:rsidP="00E76924">
      <w:pPr>
        <w:ind w:left="851"/>
        <w:rPr>
          <w:sz w:val="24"/>
          <w:szCs w:val="24"/>
          <w:lang w:val="en-GB"/>
        </w:rPr>
      </w:pPr>
      <w:r w:rsidRPr="00053B19">
        <w:rPr>
          <w:sz w:val="24"/>
          <w:szCs w:val="24"/>
          <w:lang w:val="en-GB"/>
        </w:rPr>
        <w:lastRenderedPageBreak/>
        <w:t>Adverse reactions reported in multiple clinical trials or through post-marketing use are listed below in table 1, by system organ class (in MedDRA) and frequency. Frequencies are defined as: very common (≥1/10), common (≥1/100 to &lt;1/10), uncommon (≥1/1,000 to &lt;1/100), rare (≥1/10,000 to &lt;1/1,000), not known (cannot be estimated from the available data).</w:t>
      </w:r>
    </w:p>
    <w:p w14:paraId="2C97EBB7" w14:textId="77777777" w:rsidR="00191AEF" w:rsidRPr="00053B19" w:rsidRDefault="00191AEF" w:rsidP="00E76924">
      <w:pPr>
        <w:ind w:left="851"/>
        <w:rPr>
          <w:sz w:val="24"/>
          <w:szCs w:val="24"/>
          <w:lang w:val="en-GB"/>
        </w:rPr>
      </w:pPr>
    </w:p>
    <w:p w14:paraId="5B3A99B4" w14:textId="77777777" w:rsidR="00191AEF" w:rsidRPr="00053B19" w:rsidRDefault="00191AEF" w:rsidP="00E76924">
      <w:pPr>
        <w:ind w:left="851"/>
        <w:rPr>
          <w:sz w:val="24"/>
          <w:szCs w:val="24"/>
          <w:lang w:val="en-GB"/>
        </w:rPr>
      </w:pPr>
      <w:r w:rsidRPr="00053B19">
        <w:rPr>
          <w:sz w:val="24"/>
          <w:szCs w:val="24"/>
          <w:lang w:val="en-GB"/>
        </w:rPr>
        <w:t>Within each frequency grouping, undesirable effects are presented in order of decreasing seriousness.</w:t>
      </w:r>
    </w:p>
    <w:p w14:paraId="72278081" w14:textId="77777777" w:rsidR="00191AEF" w:rsidRPr="00053B19" w:rsidRDefault="00191AEF" w:rsidP="00E76924">
      <w:pPr>
        <w:ind w:left="851"/>
        <w:rPr>
          <w:sz w:val="24"/>
          <w:szCs w:val="24"/>
          <w:lang w:val="en-GB"/>
        </w:rPr>
      </w:pPr>
    </w:p>
    <w:p w14:paraId="7079C734" w14:textId="77777777" w:rsidR="00191AEF" w:rsidRPr="00053B19" w:rsidRDefault="00191AEF" w:rsidP="00E76924">
      <w:pPr>
        <w:ind w:left="851"/>
        <w:rPr>
          <w:b/>
          <w:sz w:val="24"/>
          <w:szCs w:val="24"/>
          <w:lang w:val="en-GB"/>
        </w:rPr>
      </w:pPr>
      <w:r w:rsidRPr="00053B19">
        <w:rPr>
          <w:b/>
          <w:sz w:val="24"/>
          <w:szCs w:val="24"/>
          <w:lang w:val="en-GB"/>
        </w:rPr>
        <w:t>Table 1: All adverse reactions reported in patients in multiple clinical trials or through post- marketing use</w:t>
      </w:r>
    </w:p>
    <w:p w14:paraId="0ADBF6ED" w14:textId="77777777" w:rsidR="00191AEF" w:rsidRPr="00053B19" w:rsidRDefault="00191AEF" w:rsidP="00191AEF">
      <w:pPr>
        <w:jc w:val="both"/>
        <w:rPr>
          <w:sz w:val="24"/>
          <w:szCs w:val="24"/>
          <w:lang w:val="en-GB"/>
        </w:rPr>
      </w:pPr>
    </w:p>
    <w:tbl>
      <w:tblPr>
        <w:tblStyle w:val="Tabel-Gitter"/>
        <w:tblW w:w="5000" w:type="pct"/>
        <w:tblInd w:w="0" w:type="dxa"/>
        <w:tblLook w:val="04A0" w:firstRow="1" w:lastRow="0" w:firstColumn="1" w:lastColumn="0" w:noHBand="0" w:noVBand="1"/>
      </w:tblPr>
      <w:tblGrid>
        <w:gridCol w:w="1449"/>
        <w:gridCol w:w="1533"/>
        <w:gridCol w:w="1789"/>
        <w:gridCol w:w="1619"/>
        <w:gridCol w:w="1619"/>
        <w:gridCol w:w="1619"/>
      </w:tblGrid>
      <w:tr w:rsidR="00191AEF" w:rsidRPr="00053B19" w14:paraId="0E6B2585"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9C9E44" w14:textId="77777777" w:rsidR="00191AEF" w:rsidRPr="00053B19" w:rsidRDefault="00191AEF" w:rsidP="00053B19">
            <w:pPr>
              <w:rPr>
                <w:sz w:val="22"/>
                <w:szCs w:val="22"/>
                <w:lang w:val="en-GB"/>
              </w:rPr>
            </w:pPr>
            <w:r w:rsidRPr="00053B19">
              <w:rPr>
                <w:sz w:val="22"/>
                <w:szCs w:val="22"/>
                <w:lang w:val="en-GB"/>
              </w:rPr>
              <w:t>System organ class</w:t>
            </w:r>
          </w:p>
        </w:tc>
        <w:tc>
          <w:tcPr>
            <w:tcW w:w="796" w:type="pct"/>
            <w:tcBorders>
              <w:top w:val="single" w:sz="4" w:space="0" w:color="auto"/>
              <w:left w:val="single" w:sz="4" w:space="0" w:color="auto"/>
              <w:bottom w:val="single" w:sz="4" w:space="0" w:color="auto"/>
              <w:right w:val="single" w:sz="4" w:space="0" w:color="auto"/>
            </w:tcBorders>
            <w:hideMark/>
          </w:tcPr>
          <w:p w14:paraId="1A706B13" w14:textId="77777777" w:rsidR="00191AEF" w:rsidRPr="00053B19" w:rsidRDefault="00191AEF" w:rsidP="00053B19">
            <w:pPr>
              <w:rPr>
                <w:sz w:val="22"/>
                <w:szCs w:val="22"/>
                <w:lang w:val="en-GB"/>
              </w:rPr>
            </w:pPr>
            <w:r w:rsidRPr="00053B19">
              <w:rPr>
                <w:sz w:val="22"/>
                <w:szCs w:val="22"/>
                <w:lang w:val="en-GB"/>
              </w:rPr>
              <w:t>Very common</w:t>
            </w:r>
          </w:p>
        </w:tc>
        <w:tc>
          <w:tcPr>
            <w:tcW w:w="929" w:type="pct"/>
            <w:tcBorders>
              <w:top w:val="single" w:sz="4" w:space="0" w:color="auto"/>
              <w:left w:val="single" w:sz="4" w:space="0" w:color="auto"/>
              <w:bottom w:val="single" w:sz="4" w:space="0" w:color="auto"/>
              <w:right w:val="single" w:sz="4" w:space="0" w:color="auto"/>
            </w:tcBorders>
            <w:hideMark/>
          </w:tcPr>
          <w:p w14:paraId="65C87F9B" w14:textId="77777777" w:rsidR="00191AEF" w:rsidRPr="00053B19" w:rsidRDefault="00191AEF" w:rsidP="00053B19">
            <w:pPr>
              <w:rPr>
                <w:sz w:val="22"/>
                <w:szCs w:val="22"/>
                <w:lang w:val="en-GB"/>
              </w:rPr>
            </w:pPr>
            <w:r w:rsidRPr="00053B19">
              <w:rPr>
                <w:sz w:val="22"/>
                <w:szCs w:val="22"/>
                <w:lang w:val="en-GB"/>
              </w:rPr>
              <w:t>Common</w:t>
            </w:r>
          </w:p>
        </w:tc>
        <w:tc>
          <w:tcPr>
            <w:tcW w:w="841" w:type="pct"/>
            <w:tcBorders>
              <w:top w:val="single" w:sz="4" w:space="0" w:color="auto"/>
              <w:left w:val="single" w:sz="4" w:space="0" w:color="auto"/>
              <w:bottom w:val="single" w:sz="4" w:space="0" w:color="auto"/>
              <w:right w:val="single" w:sz="4" w:space="0" w:color="auto"/>
            </w:tcBorders>
            <w:hideMark/>
          </w:tcPr>
          <w:p w14:paraId="57D456FE" w14:textId="77777777" w:rsidR="00191AEF" w:rsidRPr="00053B19" w:rsidRDefault="00191AEF" w:rsidP="00053B19">
            <w:pPr>
              <w:rPr>
                <w:sz w:val="22"/>
                <w:szCs w:val="22"/>
                <w:lang w:val="en-GB"/>
              </w:rPr>
            </w:pPr>
            <w:r w:rsidRPr="00053B19">
              <w:rPr>
                <w:sz w:val="22"/>
                <w:szCs w:val="22"/>
                <w:lang w:val="en-GB"/>
              </w:rPr>
              <w:t>Uncommon</w:t>
            </w:r>
          </w:p>
        </w:tc>
        <w:tc>
          <w:tcPr>
            <w:tcW w:w="841" w:type="pct"/>
            <w:tcBorders>
              <w:top w:val="single" w:sz="4" w:space="0" w:color="auto"/>
              <w:left w:val="single" w:sz="4" w:space="0" w:color="auto"/>
              <w:bottom w:val="single" w:sz="4" w:space="0" w:color="auto"/>
              <w:right w:val="single" w:sz="4" w:space="0" w:color="auto"/>
            </w:tcBorders>
            <w:hideMark/>
          </w:tcPr>
          <w:p w14:paraId="081A2784" w14:textId="77777777" w:rsidR="00191AEF" w:rsidRPr="00053B19" w:rsidRDefault="00191AEF" w:rsidP="00053B19">
            <w:pPr>
              <w:rPr>
                <w:sz w:val="22"/>
                <w:szCs w:val="22"/>
                <w:lang w:val="en-GB"/>
              </w:rPr>
            </w:pPr>
            <w:r w:rsidRPr="00053B19">
              <w:rPr>
                <w:sz w:val="22"/>
                <w:szCs w:val="22"/>
                <w:lang w:val="en-GB"/>
              </w:rPr>
              <w:t>Rare</w:t>
            </w:r>
          </w:p>
        </w:tc>
        <w:tc>
          <w:tcPr>
            <w:tcW w:w="841" w:type="pct"/>
            <w:tcBorders>
              <w:top w:val="single" w:sz="4" w:space="0" w:color="auto"/>
              <w:left w:val="single" w:sz="4" w:space="0" w:color="auto"/>
              <w:bottom w:val="single" w:sz="4" w:space="0" w:color="auto"/>
              <w:right w:val="single" w:sz="4" w:space="0" w:color="auto"/>
            </w:tcBorders>
            <w:hideMark/>
          </w:tcPr>
          <w:p w14:paraId="6E6AB33D" w14:textId="77777777" w:rsidR="00191AEF" w:rsidRPr="00053B19" w:rsidRDefault="00191AEF" w:rsidP="00053B19">
            <w:pPr>
              <w:rPr>
                <w:sz w:val="22"/>
                <w:szCs w:val="22"/>
                <w:lang w:val="en-GB"/>
              </w:rPr>
            </w:pPr>
            <w:r w:rsidRPr="00053B19">
              <w:rPr>
                <w:sz w:val="22"/>
                <w:szCs w:val="22"/>
                <w:lang w:val="en-GB"/>
              </w:rPr>
              <w:t>Not known</w:t>
            </w:r>
          </w:p>
        </w:tc>
      </w:tr>
      <w:tr w:rsidR="00191AEF" w:rsidRPr="00053B19" w14:paraId="4AEA7F30" w14:textId="77777777" w:rsidTr="00053B19">
        <w:trPr>
          <w:trHeight w:val="332"/>
        </w:trPr>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8B2A9F" w14:textId="77777777" w:rsidR="00191AEF" w:rsidRPr="00053B19" w:rsidRDefault="00191AEF" w:rsidP="00053B19">
            <w:pPr>
              <w:rPr>
                <w:sz w:val="22"/>
                <w:szCs w:val="22"/>
                <w:lang w:val="en-GB"/>
              </w:rPr>
            </w:pPr>
            <w:r w:rsidRPr="00053B19">
              <w:rPr>
                <w:sz w:val="22"/>
                <w:szCs w:val="22"/>
                <w:lang w:val="en-GB"/>
              </w:rPr>
              <w:t>Infections and infestations</w:t>
            </w:r>
          </w:p>
        </w:tc>
        <w:tc>
          <w:tcPr>
            <w:tcW w:w="796" w:type="pct"/>
            <w:tcBorders>
              <w:top w:val="single" w:sz="4" w:space="0" w:color="auto"/>
              <w:left w:val="single" w:sz="4" w:space="0" w:color="auto"/>
              <w:bottom w:val="single" w:sz="4" w:space="0" w:color="auto"/>
              <w:right w:val="single" w:sz="4" w:space="0" w:color="auto"/>
            </w:tcBorders>
            <w:hideMark/>
          </w:tcPr>
          <w:p w14:paraId="58EEDE4B" w14:textId="77777777" w:rsidR="00191AEF" w:rsidRPr="00053B19" w:rsidRDefault="00191AEF" w:rsidP="00053B19">
            <w:pPr>
              <w:rPr>
                <w:sz w:val="22"/>
                <w:szCs w:val="22"/>
                <w:lang w:val="en-GB"/>
              </w:rPr>
            </w:pPr>
            <w:r w:rsidRPr="00053B19">
              <w:rPr>
                <w:sz w:val="22"/>
                <w:szCs w:val="22"/>
                <w:lang w:val="en-GB"/>
              </w:rPr>
              <w:t>infection</w:t>
            </w:r>
          </w:p>
        </w:tc>
        <w:tc>
          <w:tcPr>
            <w:tcW w:w="929" w:type="pct"/>
            <w:tcBorders>
              <w:top w:val="single" w:sz="4" w:space="0" w:color="auto"/>
              <w:left w:val="single" w:sz="4" w:space="0" w:color="auto"/>
              <w:bottom w:val="single" w:sz="4" w:space="0" w:color="auto"/>
              <w:right w:val="single" w:sz="4" w:space="0" w:color="auto"/>
            </w:tcBorders>
            <w:hideMark/>
          </w:tcPr>
          <w:p w14:paraId="5ED2B67D" w14:textId="77777777" w:rsidR="00191AEF" w:rsidRPr="00053B19" w:rsidRDefault="00191AEF" w:rsidP="00053B19">
            <w:pPr>
              <w:rPr>
                <w:sz w:val="22"/>
                <w:szCs w:val="22"/>
                <w:lang w:val="en-GB"/>
              </w:rPr>
            </w:pPr>
            <w:r w:rsidRPr="00053B19">
              <w:rPr>
                <w:sz w:val="22"/>
                <w:szCs w:val="22"/>
                <w:lang w:val="en-GB"/>
              </w:rPr>
              <w:t>folliculitis</w:t>
            </w:r>
          </w:p>
        </w:tc>
        <w:tc>
          <w:tcPr>
            <w:tcW w:w="841" w:type="pct"/>
            <w:tcBorders>
              <w:top w:val="single" w:sz="4" w:space="0" w:color="auto"/>
              <w:left w:val="single" w:sz="4" w:space="0" w:color="auto"/>
              <w:bottom w:val="single" w:sz="4" w:space="0" w:color="auto"/>
              <w:right w:val="single" w:sz="4" w:space="0" w:color="auto"/>
            </w:tcBorders>
          </w:tcPr>
          <w:p w14:paraId="54AFD20B"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7819DAC4"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12EA8B31" w14:textId="77777777" w:rsidR="00191AEF" w:rsidRPr="00053B19" w:rsidRDefault="00191AEF" w:rsidP="00053B19">
            <w:pPr>
              <w:rPr>
                <w:sz w:val="22"/>
                <w:szCs w:val="22"/>
                <w:lang w:val="en-GB"/>
              </w:rPr>
            </w:pPr>
          </w:p>
        </w:tc>
      </w:tr>
      <w:tr w:rsidR="00191AEF" w:rsidRPr="00053B19" w14:paraId="31F634F5"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E2A9B" w14:textId="77777777" w:rsidR="00191AEF" w:rsidRPr="00053B19" w:rsidRDefault="00191AEF" w:rsidP="00053B19">
            <w:pPr>
              <w:rPr>
                <w:sz w:val="22"/>
                <w:szCs w:val="22"/>
                <w:lang w:val="en-GB"/>
              </w:rPr>
            </w:pPr>
            <w:r w:rsidRPr="00053B19">
              <w:rPr>
                <w:sz w:val="22"/>
                <w:szCs w:val="22"/>
                <w:lang w:val="en-GB"/>
              </w:rPr>
              <w:t>Blood and lymphatic system disorders</w:t>
            </w:r>
          </w:p>
        </w:tc>
        <w:tc>
          <w:tcPr>
            <w:tcW w:w="796" w:type="pct"/>
            <w:tcBorders>
              <w:top w:val="single" w:sz="4" w:space="0" w:color="auto"/>
              <w:left w:val="single" w:sz="4" w:space="0" w:color="auto"/>
              <w:bottom w:val="single" w:sz="4" w:space="0" w:color="auto"/>
              <w:right w:val="single" w:sz="4" w:space="0" w:color="auto"/>
            </w:tcBorders>
            <w:hideMark/>
          </w:tcPr>
          <w:p w14:paraId="1D5551CE" w14:textId="77777777" w:rsidR="00191AEF" w:rsidRPr="00053B19" w:rsidRDefault="00191AEF" w:rsidP="00053B19">
            <w:pPr>
              <w:rPr>
                <w:sz w:val="22"/>
                <w:szCs w:val="22"/>
                <w:lang w:val="en-GB"/>
              </w:rPr>
            </w:pPr>
            <w:r w:rsidRPr="00053B19">
              <w:rPr>
                <w:sz w:val="22"/>
                <w:szCs w:val="22"/>
                <w:lang w:val="en-GB"/>
              </w:rPr>
              <w:t>lymphopenia</w:t>
            </w:r>
          </w:p>
        </w:tc>
        <w:tc>
          <w:tcPr>
            <w:tcW w:w="929" w:type="pct"/>
            <w:tcBorders>
              <w:top w:val="single" w:sz="4" w:space="0" w:color="auto"/>
              <w:left w:val="single" w:sz="4" w:space="0" w:color="auto"/>
              <w:bottom w:val="single" w:sz="4" w:space="0" w:color="auto"/>
              <w:right w:val="single" w:sz="4" w:space="0" w:color="auto"/>
            </w:tcBorders>
            <w:hideMark/>
          </w:tcPr>
          <w:p w14:paraId="6D3008FA" w14:textId="77777777" w:rsidR="00191AEF" w:rsidRPr="00053B19" w:rsidRDefault="00191AEF" w:rsidP="00053B19">
            <w:pPr>
              <w:rPr>
                <w:sz w:val="22"/>
                <w:szCs w:val="22"/>
                <w:lang w:val="en-GB"/>
              </w:rPr>
            </w:pPr>
            <w:proofErr w:type="spellStart"/>
            <w:r w:rsidRPr="00053B19">
              <w:rPr>
                <w:sz w:val="22"/>
                <w:szCs w:val="22"/>
                <w:lang w:val="en-GB"/>
              </w:rPr>
              <w:t>leucopenia</w:t>
            </w:r>
            <w:proofErr w:type="spellEnd"/>
            <w:r w:rsidRPr="00053B19">
              <w:rPr>
                <w:sz w:val="22"/>
                <w:szCs w:val="22"/>
                <w:lang w:val="en-GB"/>
              </w:rPr>
              <w:t xml:space="preserve"> </w:t>
            </w:r>
          </w:p>
          <w:p w14:paraId="66D5410D" w14:textId="77777777" w:rsidR="00191AEF" w:rsidRPr="00053B19" w:rsidRDefault="00191AEF" w:rsidP="00053B19">
            <w:pPr>
              <w:rPr>
                <w:sz w:val="22"/>
                <w:szCs w:val="22"/>
                <w:lang w:val="en-GB"/>
              </w:rPr>
            </w:pPr>
            <w:r w:rsidRPr="00053B19">
              <w:rPr>
                <w:sz w:val="22"/>
                <w:szCs w:val="22"/>
                <w:lang w:val="en-GB"/>
              </w:rPr>
              <w:t xml:space="preserve">neutropenia </w:t>
            </w:r>
          </w:p>
          <w:p w14:paraId="1E2D6EA9" w14:textId="77777777" w:rsidR="00191AEF" w:rsidRPr="00053B19" w:rsidRDefault="00191AEF" w:rsidP="00053B19">
            <w:pPr>
              <w:rPr>
                <w:sz w:val="22"/>
                <w:szCs w:val="22"/>
                <w:lang w:val="en-GB"/>
              </w:rPr>
            </w:pPr>
            <w:r w:rsidRPr="00053B19">
              <w:rPr>
                <w:sz w:val="22"/>
                <w:szCs w:val="22"/>
                <w:lang w:val="en-GB"/>
              </w:rPr>
              <w:t>anaemia</w:t>
            </w:r>
          </w:p>
          <w:p w14:paraId="4FFB0231" w14:textId="0952DDD1" w:rsidR="00191AEF" w:rsidRPr="00053B19" w:rsidRDefault="00191AEF" w:rsidP="00053B19">
            <w:pPr>
              <w:rPr>
                <w:sz w:val="22"/>
                <w:szCs w:val="22"/>
                <w:lang w:val="en-GB"/>
              </w:rPr>
            </w:pPr>
            <w:r w:rsidRPr="00053B19">
              <w:rPr>
                <w:sz w:val="22"/>
                <w:szCs w:val="22"/>
                <w:lang w:val="en-GB"/>
              </w:rPr>
              <w:t>thrombocyto</w:t>
            </w:r>
            <w:r w:rsidR="00053B19" w:rsidRPr="00053B19">
              <w:rPr>
                <w:sz w:val="22"/>
                <w:szCs w:val="22"/>
                <w:lang w:val="en-GB"/>
              </w:rPr>
              <w:softHyphen/>
            </w:r>
            <w:r w:rsidRPr="00053B19">
              <w:rPr>
                <w:sz w:val="22"/>
                <w:szCs w:val="22"/>
                <w:lang w:val="en-GB"/>
              </w:rPr>
              <w:t>penia</w:t>
            </w:r>
          </w:p>
        </w:tc>
        <w:tc>
          <w:tcPr>
            <w:tcW w:w="841" w:type="pct"/>
            <w:tcBorders>
              <w:top w:val="single" w:sz="4" w:space="0" w:color="auto"/>
              <w:left w:val="single" w:sz="4" w:space="0" w:color="auto"/>
              <w:bottom w:val="single" w:sz="4" w:space="0" w:color="auto"/>
              <w:right w:val="single" w:sz="4" w:space="0" w:color="auto"/>
            </w:tcBorders>
          </w:tcPr>
          <w:p w14:paraId="6B8FDF80"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097E1934"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4599A25A" w14:textId="77777777" w:rsidR="00191AEF" w:rsidRPr="00053B19" w:rsidRDefault="00191AEF" w:rsidP="00053B19">
            <w:pPr>
              <w:rPr>
                <w:sz w:val="22"/>
                <w:szCs w:val="22"/>
                <w:lang w:val="en-GB"/>
              </w:rPr>
            </w:pPr>
          </w:p>
        </w:tc>
      </w:tr>
      <w:tr w:rsidR="00191AEF" w:rsidRPr="00053B19" w14:paraId="26DCD8A9"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A61D0" w14:textId="77777777" w:rsidR="00191AEF" w:rsidRPr="00053B19" w:rsidRDefault="00191AEF" w:rsidP="00053B19">
            <w:pPr>
              <w:rPr>
                <w:sz w:val="22"/>
                <w:szCs w:val="22"/>
                <w:lang w:val="en-GB"/>
              </w:rPr>
            </w:pPr>
            <w:r w:rsidRPr="00053B19">
              <w:rPr>
                <w:sz w:val="22"/>
                <w:szCs w:val="22"/>
                <w:lang w:val="en-GB"/>
              </w:rPr>
              <w:t>Immune system disorders</w:t>
            </w:r>
          </w:p>
        </w:tc>
        <w:tc>
          <w:tcPr>
            <w:tcW w:w="796" w:type="pct"/>
            <w:tcBorders>
              <w:top w:val="single" w:sz="4" w:space="0" w:color="auto"/>
              <w:left w:val="single" w:sz="4" w:space="0" w:color="auto"/>
              <w:bottom w:val="single" w:sz="4" w:space="0" w:color="auto"/>
              <w:right w:val="single" w:sz="4" w:space="0" w:color="auto"/>
            </w:tcBorders>
          </w:tcPr>
          <w:p w14:paraId="1F6734FE" w14:textId="77777777" w:rsidR="00191AEF" w:rsidRPr="00053B19" w:rsidRDefault="00191AEF" w:rsidP="00053B19">
            <w:pPr>
              <w:rPr>
                <w:sz w:val="22"/>
                <w:szCs w:val="22"/>
                <w:lang w:val="en-GB"/>
              </w:rPr>
            </w:pPr>
          </w:p>
        </w:tc>
        <w:tc>
          <w:tcPr>
            <w:tcW w:w="929" w:type="pct"/>
            <w:tcBorders>
              <w:top w:val="single" w:sz="4" w:space="0" w:color="auto"/>
              <w:left w:val="single" w:sz="4" w:space="0" w:color="auto"/>
              <w:bottom w:val="single" w:sz="4" w:space="0" w:color="auto"/>
              <w:right w:val="single" w:sz="4" w:space="0" w:color="auto"/>
            </w:tcBorders>
          </w:tcPr>
          <w:p w14:paraId="5568B23D"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hideMark/>
          </w:tcPr>
          <w:p w14:paraId="2C8AB051" w14:textId="77777777" w:rsidR="00191AEF" w:rsidRPr="00053B19" w:rsidRDefault="00191AEF" w:rsidP="00053B19">
            <w:pPr>
              <w:rPr>
                <w:sz w:val="22"/>
                <w:szCs w:val="22"/>
                <w:lang w:val="en-GB"/>
              </w:rPr>
            </w:pPr>
            <w:r w:rsidRPr="00053B19">
              <w:rPr>
                <w:sz w:val="22"/>
                <w:szCs w:val="22"/>
                <w:lang w:val="en-GB"/>
              </w:rPr>
              <w:t>hypersensitivity reactions (including skin reactions and urticaria)</w:t>
            </w:r>
          </w:p>
          <w:p w14:paraId="5F9AEB51" w14:textId="77777777" w:rsidR="00191AEF" w:rsidRPr="00053B19" w:rsidRDefault="00191AEF" w:rsidP="00053B19">
            <w:pPr>
              <w:rPr>
                <w:sz w:val="22"/>
                <w:szCs w:val="22"/>
                <w:lang w:val="en-GB"/>
              </w:rPr>
            </w:pPr>
            <w:r w:rsidRPr="00053B19">
              <w:rPr>
                <w:sz w:val="22"/>
                <w:szCs w:val="22"/>
                <w:lang w:val="en-GB"/>
              </w:rPr>
              <w:t>anaphylactic reaction</w:t>
            </w:r>
          </w:p>
        </w:tc>
        <w:tc>
          <w:tcPr>
            <w:tcW w:w="841" w:type="pct"/>
            <w:tcBorders>
              <w:top w:val="single" w:sz="4" w:space="0" w:color="auto"/>
              <w:left w:val="single" w:sz="4" w:space="0" w:color="auto"/>
              <w:bottom w:val="single" w:sz="4" w:space="0" w:color="auto"/>
              <w:right w:val="single" w:sz="4" w:space="0" w:color="auto"/>
            </w:tcBorders>
            <w:hideMark/>
          </w:tcPr>
          <w:p w14:paraId="55425EBD" w14:textId="77777777" w:rsidR="00191AEF" w:rsidRPr="00053B19" w:rsidRDefault="00191AEF" w:rsidP="00053B19">
            <w:pPr>
              <w:rPr>
                <w:sz w:val="22"/>
                <w:szCs w:val="22"/>
                <w:lang w:val="en-GB"/>
              </w:rPr>
            </w:pPr>
            <w:r w:rsidRPr="00053B19">
              <w:rPr>
                <w:sz w:val="22"/>
                <w:szCs w:val="22"/>
                <w:lang w:val="en-GB"/>
              </w:rPr>
              <w:t>angioedema</w:t>
            </w:r>
          </w:p>
        </w:tc>
        <w:tc>
          <w:tcPr>
            <w:tcW w:w="841" w:type="pct"/>
            <w:tcBorders>
              <w:top w:val="single" w:sz="4" w:space="0" w:color="auto"/>
              <w:left w:val="single" w:sz="4" w:space="0" w:color="auto"/>
              <w:bottom w:val="single" w:sz="4" w:space="0" w:color="auto"/>
              <w:right w:val="single" w:sz="4" w:space="0" w:color="auto"/>
            </w:tcBorders>
          </w:tcPr>
          <w:p w14:paraId="6E394A1B" w14:textId="77777777" w:rsidR="00191AEF" w:rsidRPr="00053B19" w:rsidRDefault="00191AEF" w:rsidP="00053B19">
            <w:pPr>
              <w:rPr>
                <w:sz w:val="22"/>
                <w:szCs w:val="22"/>
                <w:lang w:val="en-GB"/>
              </w:rPr>
            </w:pPr>
          </w:p>
        </w:tc>
      </w:tr>
      <w:tr w:rsidR="00191AEF" w:rsidRPr="00053B19" w14:paraId="12548CE7"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707FC6" w14:textId="77777777" w:rsidR="00191AEF" w:rsidRPr="00053B19" w:rsidRDefault="00191AEF" w:rsidP="00053B19">
            <w:pPr>
              <w:rPr>
                <w:sz w:val="22"/>
                <w:szCs w:val="22"/>
                <w:lang w:val="en-GB"/>
              </w:rPr>
            </w:pPr>
            <w:r w:rsidRPr="00053B19">
              <w:rPr>
                <w:sz w:val="22"/>
                <w:szCs w:val="22"/>
                <w:lang w:val="en-GB"/>
              </w:rPr>
              <w:t>Endocrine disorders</w:t>
            </w:r>
          </w:p>
        </w:tc>
        <w:tc>
          <w:tcPr>
            <w:tcW w:w="796" w:type="pct"/>
            <w:tcBorders>
              <w:top w:val="single" w:sz="4" w:space="0" w:color="auto"/>
              <w:left w:val="single" w:sz="4" w:space="0" w:color="auto"/>
              <w:bottom w:val="single" w:sz="4" w:space="0" w:color="auto"/>
              <w:right w:val="single" w:sz="4" w:space="0" w:color="auto"/>
            </w:tcBorders>
          </w:tcPr>
          <w:p w14:paraId="53E28121" w14:textId="77777777" w:rsidR="00191AEF" w:rsidRPr="00053B19" w:rsidRDefault="00191AEF" w:rsidP="00053B19">
            <w:pPr>
              <w:rPr>
                <w:sz w:val="22"/>
                <w:szCs w:val="22"/>
                <w:lang w:val="en-GB"/>
              </w:rPr>
            </w:pPr>
          </w:p>
        </w:tc>
        <w:tc>
          <w:tcPr>
            <w:tcW w:w="929" w:type="pct"/>
            <w:tcBorders>
              <w:top w:val="single" w:sz="4" w:space="0" w:color="auto"/>
              <w:left w:val="single" w:sz="4" w:space="0" w:color="auto"/>
              <w:bottom w:val="single" w:sz="4" w:space="0" w:color="auto"/>
              <w:right w:val="single" w:sz="4" w:space="0" w:color="auto"/>
            </w:tcBorders>
            <w:hideMark/>
          </w:tcPr>
          <w:p w14:paraId="3380C3A7" w14:textId="77777777" w:rsidR="00191AEF" w:rsidRPr="00053B19" w:rsidRDefault="00191AEF" w:rsidP="00053B19">
            <w:pPr>
              <w:rPr>
                <w:sz w:val="22"/>
                <w:szCs w:val="22"/>
                <w:lang w:val="en-GB"/>
              </w:rPr>
            </w:pPr>
            <w:r w:rsidRPr="00053B19">
              <w:rPr>
                <w:sz w:val="22"/>
                <w:szCs w:val="22"/>
                <w:lang w:val="en-GB"/>
              </w:rPr>
              <w:t>hypothyroidism</w:t>
            </w:r>
          </w:p>
        </w:tc>
        <w:tc>
          <w:tcPr>
            <w:tcW w:w="841" w:type="pct"/>
            <w:tcBorders>
              <w:top w:val="single" w:sz="4" w:space="0" w:color="auto"/>
              <w:left w:val="single" w:sz="4" w:space="0" w:color="auto"/>
              <w:bottom w:val="single" w:sz="4" w:space="0" w:color="auto"/>
              <w:right w:val="single" w:sz="4" w:space="0" w:color="auto"/>
            </w:tcBorders>
            <w:hideMark/>
          </w:tcPr>
          <w:p w14:paraId="6DDEBBDA" w14:textId="77777777" w:rsidR="00191AEF" w:rsidRPr="00053B19" w:rsidRDefault="00191AEF" w:rsidP="00053B19">
            <w:pPr>
              <w:rPr>
                <w:sz w:val="22"/>
                <w:szCs w:val="22"/>
                <w:lang w:val="en-GB"/>
              </w:rPr>
            </w:pPr>
            <w:r w:rsidRPr="00053B19">
              <w:rPr>
                <w:sz w:val="22"/>
                <w:szCs w:val="22"/>
                <w:lang w:val="en-GB"/>
              </w:rPr>
              <w:t>hyperthyroidism</w:t>
            </w:r>
          </w:p>
        </w:tc>
        <w:tc>
          <w:tcPr>
            <w:tcW w:w="841" w:type="pct"/>
            <w:tcBorders>
              <w:top w:val="single" w:sz="4" w:space="0" w:color="auto"/>
              <w:left w:val="single" w:sz="4" w:space="0" w:color="auto"/>
              <w:bottom w:val="single" w:sz="4" w:space="0" w:color="auto"/>
              <w:right w:val="single" w:sz="4" w:space="0" w:color="auto"/>
            </w:tcBorders>
          </w:tcPr>
          <w:p w14:paraId="14D98067"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771F9999" w14:textId="77777777" w:rsidR="00191AEF" w:rsidRPr="00053B19" w:rsidRDefault="00191AEF" w:rsidP="00053B19">
            <w:pPr>
              <w:rPr>
                <w:sz w:val="22"/>
                <w:szCs w:val="22"/>
                <w:lang w:val="en-GB"/>
              </w:rPr>
            </w:pPr>
          </w:p>
        </w:tc>
      </w:tr>
      <w:tr w:rsidR="00191AEF" w:rsidRPr="00053B19" w14:paraId="703A74B5" w14:textId="77777777" w:rsidTr="00053B19">
        <w:trPr>
          <w:trHeight w:val="278"/>
        </w:trPr>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AE3962" w14:textId="77777777" w:rsidR="00191AEF" w:rsidRPr="00053B19" w:rsidRDefault="00191AEF" w:rsidP="00053B19">
            <w:pPr>
              <w:rPr>
                <w:sz w:val="22"/>
                <w:szCs w:val="22"/>
                <w:lang w:val="en-GB"/>
              </w:rPr>
            </w:pPr>
            <w:r w:rsidRPr="00053B19">
              <w:rPr>
                <w:sz w:val="22"/>
                <w:szCs w:val="22"/>
                <w:lang w:val="en-GB"/>
              </w:rPr>
              <w:t>Metabolism and nutrition disorders</w:t>
            </w:r>
          </w:p>
        </w:tc>
        <w:tc>
          <w:tcPr>
            <w:tcW w:w="796" w:type="pct"/>
            <w:tcBorders>
              <w:top w:val="single" w:sz="4" w:space="0" w:color="auto"/>
              <w:left w:val="single" w:sz="4" w:space="0" w:color="auto"/>
              <w:bottom w:val="single" w:sz="4" w:space="0" w:color="auto"/>
              <w:right w:val="single" w:sz="4" w:space="0" w:color="auto"/>
            </w:tcBorders>
            <w:hideMark/>
          </w:tcPr>
          <w:p w14:paraId="46DC38AC" w14:textId="77777777" w:rsidR="00191AEF" w:rsidRPr="00053B19" w:rsidRDefault="00191AEF" w:rsidP="00053B19">
            <w:pPr>
              <w:rPr>
                <w:sz w:val="22"/>
                <w:szCs w:val="22"/>
                <w:lang w:val="en-GB"/>
              </w:rPr>
            </w:pPr>
            <w:r w:rsidRPr="00053B19">
              <w:rPr>
                <w:sz w:val="22"/>
                <w:szCs w:val="22"/>
                <w:lang w:val="en-GB"/>
              </w:rPr>
              <w:t>anorexia</w:t>
            </w:r>
          </w:p>
          <w:p w14:paraId="0976F0AF" w14:textId="2E88959D" w:rsidR="00191AEF" w:rsidRPr="00053B19" w:rsidRDefault="00191AEF" w:rsidP="00053B19">
            <w:pPr>
              <w:rPr>
                <w:sz w:val="22"/>
                <w:szCs w:val="22"/>
                <w:lang w:val="en-GB"/>
              </w:rPr>
            </w:pPr>
            <w:r w:rsidRPr="00053B19">
              <w:rPr>
                <w:sz w:val="22"/>
                <w:szCs w:val="22"/>
                <w:lang w:val="en-GB"/>
              </w:rPr>
              <w:t>hypo-</w:t>
            </w:r>
            <w:proofErr w:type="spellStart"/>
            <w:r w:rsidRPr="00053B19">
              <w:rPr>
                <w:sz w:val="22"/>
                <w:szCs w:val="22"/>
                <w:lang w:val="en-GB"/>
              </w:rPr>
              <w:t>phosphataemia</w:t>
            </w:r>
            <w:proofErr w:type="spellEnd"/>
          </w:p>
        </w:tc>
        <w:tc>
          <w:tcPr>
            <w:tcW w:w="929" w:type="pct"/>
            <w:tcBorders>
              <w:top w:val="single" w:sz="4" w:space="0" w:color="auto"/>
              <w:left w:val="single" w:sz="4" w:space="0" w:color="auto"/>
              <w:bottom w:val="single" w:sz="4" w:space="0" w:color="auto"/>
              <w:right w:val="single" w:sz="4" w:space="0" w:color="auto"/>
            </w:tcBorders>
            <w:hideMark/>
          </w:tcPr>
          <w:p w14:paraId="32FC2704" w14:textId="77777777" w:rsidR="00191AEF" w:rsidRPr="00053B19" w:rsidRDefault="00191AEF" w:rsidP="00053B19">
            <w:pPr>
              <w:rPr>
                <w:sz w:val="22"/>
                <w:szCs w:val="22"/>
                <w:lang w:val="en-GB"/>
              </w:rPr>
            </w:pPr>
            <w:r w:rsidRPr="00053B19">
              <w:rPr>
                <w:sz w:val="22"/>
                <w:szCs w:val="22"/>
                <w:lang w:val="en-GB"/>
              </w:rPr>
              <w:t>hypocalcaemia</w:t>
            </w:r>
          </w:p>
          <w:p w14:paraId="0E719C33" w14:textId="77777777" w:rsidR="00191AEF" w:rsidRPr="00053B19" w:rsidRDefault="00191AEF" w:rsidP="00053B19">
            <w:pPr>
              <w:rPr>
                <w:sz w:val="22"/>
                <w:szCs w:val="22"/>
                <w:lang w:val="en-GB"/>
              </w:rPr>
            </w:pPr>
            <w:r w:rsidRPr="00053B19">
              <w:rPr>
                <w:sz w:val="22"/>
                <w:szCs w:val="22"/>
                <w:lang w:val="en-GB"/>
              </w:rPr>
              <w:t>hypokalaemia</w:t>
            </w:r>
          </w:p>
          <w:p w14:paraId="3781F88A" w14:textId="77777777" w:rsidR="00191AEF" w:rsidRPr="00053B19" w:rsidRDefault="00191AEF" w:rsidP="00053B19">
            <w:pPr>
              <w:rPr>
                <w:sz w:val="22"/>
                <w:szCs w:val="22"/>
                <w:lang w:val="en-GB"/>
              </w:rPr>
            </w:pPr>
            <w:r w:rsidRPr="00053B19">
              <w:rPr>
                <w:sz w:val="22"/>
                <w:szCs w:val="22"/>
                <w:lang w:val="en-GB"/>
              </w:rPr>
              <w:t>hyponatraemia</w:t>
            </w:r>
          </w:p>
          <w:p w14:paraId="10289FD3" w14:textId="77777777" w:rsidR="00191AEF" w:rsidRPr="00053B19" w:rsidRDefault="00191AEF" w:rsidP="00053B19">
            <w:pPr>
              <w:rPr>
                <w:sz w:val="22"/>
                <w:szCs w:val="22"/>
                <w:lang w:val="en-GB"/>
              </w:rPr>
            </w:pPr>
            <w:r w:rsidRPr="00053B19">
              <w:rPr>
                <w:sz w:val="22"/>
                <w:szCs w:val="22"/>
                <w:lang w:val="en-GB"/>
              </w:rPr>
              <w:t>hypoglycaemia</w:t>
            </w:r>
          </w:p>
        </w:tc>
        <w:tc>
          <w:tcPr>
            <w:tcW w:w="841" w:type="pct"/>
            <w:tcBorders>
              <w:top w:val="single" w:sz="4" w:space="0" w:color="auto"/>
              <w:left w:val="single" w:sz="4" w:space="0" w:color="auto"/>
              <w:bottom w:val="single" w:sz="4" w:space="0" w:color="auto"/>
              <w:right w:val="single" w:sz="4" w:space="0" w:color="auto"/>
            </w:tcBorders>
            <w:hideMark/>
          </w:tcPr>
          <w:p w14:paraId="01882564" w14:textId="77777777" w:rsidR="00191AEF" w:rsidRPr="00053B19" w:rsidRDefault="00191AEF" w:rsidP="00053B19">
            <w:pPr>
              <w:rPr>
                <w:sz w:val="22"/>
                <w:szCs w:val="22"/>
                <w:lang w:val="en-GB"/>
              </w:rPr>
            </w:pPr>
            <w:r w:rsidRPr="00053B19">
              <w:rPr>
                <w:sz w:val="22"/>
                <w:szCs w:val="22"/>
                <w:lang w:val="en-GB"/>
              </w:rPr>
              <w:t>dehydration</w:t>
            </w:r>
          </w:p>
        </w:tc>
        <w:tc>
          <w:tcPr>
            <w:tcW w:w="841" w:type="pct"/>
            <w:tcBorders>
              <w:top w:val="single" w:sz="4" w:space="0" w:color="auto"/>
              <w:left w:val="single" w:sz="4" w:space="0" w:color="auto"/>
              <w:bottom w:val="single" w:sz="4" w:space="0" w:color="auto"/>
              <w:right w:val="single" w:sz="4" w:space="0" w:color="auto"/>
            </w:tcBorders>
          </w:tcPr>
          <w:p w14:paraId="5F0F2898"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hideMark/>
          </w:tcPr>
          <w:p w14:paraId="6395430F" w14:textId="77777777" w:rsidR="00191AEF" w:rsidRPr="00053B19" w:rsidRDefault="00191AEF" w:rsidP="00053B19">
            <w:pPr>
              <w:rPr>
                <w:sz w:val="22"/>
                <w:szCs w:val="22"/>
                <w:lang w:val="en-GB"/>
              </w:rPr>
            </w:pPr>
            <w:r w:rsidRPr="00053B19">
              <w:rPr>
                <w:sz w:val="22"/>
                <w:szCs w:val="22"/>
                <w:lang w:val="en-GB"/>
              </w:rPr>
              <w:t>tumour lysis syndrome</w:t>
            </w:r>
          </w:p>
        </w:tc>
      </w:tr>
      <w:tr w:rsidR="00191AEF" w:rsidRPr="00053B19" w14:paraId="19ABC0E4"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9C30EE" w14:textId="77777777" w:rsidR="00191AEF" w:rsidRPr="00053B19" w:rsidRDefault="00191AEF" w:rsidP="00053B19">
            <w:pPr>
              <w:rPr>
                <w:sz w:val="22"/>
                <w:szCs w:val="22"/>
                <w:lang w:val="en-GB"/>
              </w:rPr>
            </w:pPr>
            <w:r w:rsidRPr="00053B19">
              <w:rPr>
                <w:sz w:val="22"/>
                <w:szCs w:val="22"/>
                <w:lang w:val="en-GB"/>
              </w:rPr>
              <w:t>Psychiatric disorders</w:t>
            </w:r>
          </w:p>
        </w:tc>
        <w:tc>
          <w:tcPr>
            <w:tcW w:w="796" w:type="pct"/>
            <w:tcBorders>
              <w:top w:val="single" w:sz="4" w:space="0" w:color="auto"/>
              <w:left w:val="single" w:sz="4" w:space="0" w:color="auto"/>
              <w:bottom w:val="single" w:sz="4" w:space="0" w:color="auto"/>
              <w:right w:val="single" w:sz="4" w:space="0" w:color="auto"/>
            </w:tcBorders>
          </w:tcPr>
          <w:p w14:paraId="3C0DC09A" w14:textId="77777777" w:rsidR="00191AEF" w:rsidRPr="00053B19" w:rsidRDefault="00191AEF" w:rsidP="00053B19">
            <w:pPr>
              <w:rPr>
                <w:sz w:val="22"/>
                <w:szCs w:val="22"/>
                <w:lang w:val="en-GB"/>
              </w:rPr>
            </w:pPr>
          </w:p>
        </w:tc>
        <w:tc>
          <w:tcPr>
            <w:tcW w:w="929" w:type="pct"/>
            <w:tcBorders>
              <w:top w:val="single" w:sz="4" w:space="0" w:color="auto"/>
              <w:left w:val="single" w:sz="4" w:space="0" w:color="auto"/>
              <w:bottom w:val="single" w:sz="4" w:space="0" w:color="auto"/>
              <w:right w:val="single" w:sz="4" w:space="0" w:color="auto"/>
            </w:tcBorders>
            <w:hideMark/>
          </w:tcPr>
          <w:p w14:paraId="76A298E0" w14:textId="77777777" w:rsidR="00191AEF" w:rsidRPr="00053B19" w:rsidRDefault="00191AEF" w:rsidP="00053B19">
            <w:pPr>
              <w:rPr>
                <w:sz w:val="22"/>
                <w:szCs w:val="22"/>
                <w:lang w:val="en-GB"/>
              </w:rPr>
            </w:pPr>
            <w:r w:rsidRPr="00053B19">
              <w:rPr>
                <w:sz w:val="22"/>
                <w:szCs w:val="22"/>
                <w:lang w:val="en-GB"/>
              </w:rPr>
              <w:t>depression</w:t>
            </w:r>
          </w:p>
        </w:tc>
        <w:tc>
          <w:tcPr>
            <w:tcW w:w="841" w:type="pct"/>
            <w:tcBorders>
              <w:top w:val="single" w:sz="4" w:space="0" w:color="auto"/>
              <w:left w:val="single" w:sz="4" w:space="0" w:color="auto"/>
              <w:bottom w:val="single" w:sz="4" w:space="0" w:color="auto"/>
              <w:right w:val="single" w:sz="4" w:space="0" w:color="auto"/>
            </w:tcBorders>
          </w:tcPr>
          <w:p w14:paraId="56CFCDC6"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7D15FD44"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4FA21FD3" w14:textId="77777777" w:rsidR="00191AEF" w:rsidRPr="00053B19" w:rsidRDefault="00191AEF" w:rsidP="00053B19">
            <w:pPr>
              <w:rPr>
                <w:sz w:val="22"/>
                <w:szCs w:val="22"/>
                <w:lang w:val="en-GB"/>
              </w:rPr>
            </w:pPr>
          </w:p>
        </w:tc>
      </w:tr>
      <w:tr w:rsidR="00191AEF" w:rsidRPr="00053B19" w14:paraId="0C98A2C3"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39922" w14:textId="77777777" w:rsidR="00191AEF" w:rsidRPr="00053B19" w:rsidRDefault="00191AEF" w:rsidP="00053B19">
            <w:pPr>
              <w:rPr>
                <w:sz w:val="22"/>
                <w:szCs w:val="22"/>
                <w:lang w:val="en-GB"/>
              </w:rPr>
            </w:pPr>
            <w:r w:rsidRPr="00053B19">
              <w:rPr>
                <w:sz w:val="22"/>
                <w:szCs w:val="22"/>
                <w:lang w:val="en-GB"/>
              </w:rPr>
              <w:t>Nervous system disorders</w:t>
            </w:r>
          </w:p>
        </w:tc>
        <w:tc>
          <w:tcPr>
            <w:tcW w:w="796" w:type="pct"/>
            <w:tcBorders>
              <w:top w:val="single" w:sz="4" w:space="0" w:color="auto"/>
              <w:left w:val="single" w:sz="4" w:space="0" w:color="auto"/>
              <w:bottom w:val="single" w:sz="4" w:space="0" w:color="auto"/>
              <w:right w:val="single" w:sz="4" w:space="0" w:color="auto"/>
            </w:tcBorders>
          </w:tcPr>
          <w:p w14:paraId="23E690EF" w14:textId="77777777" w:rsidR="00191AEF" w:rsidRPr="00053B19" w:rsidRDefault="00191AEF" w:rsidP="00053B19">
            <w:pPr>
              <w:rPr>
                <w:sz w:val="22"/>
                <w:szCs w:val="22"/>
                <w:lang w:val="en-GB"/>
              </w:rPr>
            </w:pPr>
          </w:p>
        </w:tc>
        <w:tc>
          <w:tcPr>
            <w:tcW w:w="929" w:type="pct"/>
            <w:tcBorders>
              <w:top w:val="single" w:sz="4" w:space="0" w:color="auto"/>
              <w:left w:val="single" w:sz="4" w:space="0" w:color="auto"/>
              <w:bottom w:val="single" w:sz="4" w:space="0" w:color="auto"/>
              <w:right w:val="single" w:sz="4" w:space="0" w:color="auto"/>
            </w:tcBorders>
            <w:hideMark/>
          </w:tcPr>
          <w:p w14:paraId="5F52E3BC" w14:textId="77777777" w:rsidR="00191AEF" w:rsidRPr="00053B19" w:rsidRDefault="00191AEF" w:rsidP="00053B19">
            <w:pPr>
              <w:rPr>
                <w:sz w:val="22"/>
                <w:szCs w:val="22"/>
                <w:lang w:val="en-GB"/>
              </w:rPr>
            </w:pPr>
            <w:r w:rsidRPr="00053B19">
              <w:rPr>
                <w:sz w:val="22"/>
                <w:szCs w:val="22"/>
                <w:lang w:val="en-GB"/>
              </w:rPr>
              <w:t>peripheral sensory neuropathy</w:t>
            </w:r>
          </w:p>
          <w:p w14:paraId="09F78502" w14:textId="77777777" w:rsidR="00191AEF" w:rsidRPr="00053B19" w:rsidRDefault="00191AEF" w:rsidP="00053B19">
            <w:pPr>
              <w:rPr>
                <w:sz w:val="22"/>
                <w:szCs w:val="22"/>
                <w:lang w:val="en-GB"/>
              </w:rPr>
            </w:pPr>
            <w:r w:rsidRPr="00053B19">
              <w:rPr>
                <w:sz w:val="22"/>
                <w:szCs w:val="22"/>
                <w:lang w:val="en-GB"/>
              </w:rPr>
              <w:t>dysgeusia</w:t>
            </w:r>
          </w:p>
        </w:tc>
        <w:tc>
          <w:tcPr>
            <w:tcW w:w="841" w:type="pct"/>
            <w:tcBorders>
              <w:top w:val="single" w:sz="4" w:space="0" w:color="auto"/>
              <w:left w:val="single" w:sz="4" w:space="0" w:color="auto"/>
              <w:bottom w:val="single" w:sz="4" w:space="0" w:color="auto"/>
              <w:right w:val="single" w:sz="4" w:space="0" w:color="auto"/>
            </w:tcBorders>
            <w:hideMark/>
          </w:tcPr>
          <w:p w14:paraId="77B64BCE" w14:textId="7B69ADAF" w:rsidR="00191AEF" w:rsidRPr="00053B19" w:rsidRDefault="00191AEF" w:rsidP="00053B19">
            <w:pPr>
              <w:rPr>
                <w:sz w:val="22"/>
                <w:szCs w:val="22"/>
                <w:lang w:val="en-GB"/>
              </w:rPr>
            </w:pPr>
            <w:r w:rsidRPr="00053B19">
              <w:rPr>
                <w:sz w:val="22"/>
                <w:szCs w:val="22"/>
                <w:lang w:val="en-GB"/>
              </w:rPr>
              <w:t>reversible posterior leukoencephalo</w:t>
            </w:r>
            <w:r w:rsidR="00053B19" w:rsidRPr="00053B19">
              <w:rPr>
                <w:sz w:val="22"/>
                <w:szCs w:val="22"/>
                <w:lang w:val="en-GB"/>
              </w:rPr>
              <w:softHyphen/>
            </w:r>
            <w:r w:rsidRPr="00053B19">
              <w:rPr>
                <w:sz w:val="22"/>
                <w:szCs w:val="22"/>
                <w:lang w:val="en-GB"/>
              </w:rPr>
              <w:t>pathy*</w:t>
            </w:r>
          </w:p>
        </w:tc>
        <w:tc>
          <w:tcPr>
            <w:tcW w:w="841" w:type="pct"/>
            <w:tcBorders>
              <w:top w:val="single" w:sz="4" w:space="0" w:color="auto"/>
              <w:left w:val="single" w:sz="4" w:space="0" w:color="auto"/>
              <w:bottom w:val="single" w:sz="4" w:space="0" w:color="auto"/>
              <w:right w:val="single" w:sz="4" w:space="0" w:color="auto"/>
            </w:tcBorders>
          </w:tcPr>
          <w:p w14:paraId="278712E0"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hideMark/>
          </w:tcPr>
          <w:p w14:paraId="03EBEABA" w14:textId="77777777" w:rsidR="00191AEF" w:rsidRPr="00053B19" w:rsidRDefault="00191AEF" w:rsidP="00053B19">
            <w:pPr>
              <w:rPr>
                <w:sz w:val="22"/>
                <w:szCs w:val="22"/>
                <w:lang w:val="en-GB"/>
              </w:rPr>
            </w:pPr>
            <w:r w:rsidRPr="00053B19">
              <w:rPr>
                <w:sz w:val="22"/>
                <w:szCs w:val="22"/>
                <w:lang w:val="en-GB"/>
              </w:rPr>
              <w:t>encephalopathy°</w:t>
            </w:r>
          </w:p>
        </w:tc>
      </w:tr>
      <w:tr w:rsidR="00191AEF" w:rsidRPr="00053B19" w14:paraId="12A7B852"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A8C75D" w14:textId="77777777" w:rsidR="00191AEF" w:rsidRPr="00053B19" w:rsidRDefault="00191AEF" w:rsidP="00053B19">
            <w:pPr>
              <w:rPr>
                <w:sz w:val="22"/>
                <w:szCs w:val="22"/>
                <w:lang w:val="en-GB"/>
              </w:rPr>
            </w:pPr>
            <w:r w:rsidRPr="00053B19">
              <w:rPr>
                <w:sz w:val="22"/>
                <w:szCs w:val="22"/>
                <w:lang w:val="en-GB"/>
              </w:rPr>
              <w:t>Ear and labyrinth disorders</w:t>
            </w:r>
          </w:p>
        </w:tc>
        <w:tc>
          <w:tcPr>
            <w:tcW w:w="796" w:type="pct"/>
            <w:tcBorders>
              <w:top w:val="single" w:sz="4" w:space="0" w:color="auto"/>
              <w:left w:val="single" w:sz="4" w:space="0" w:color="auto"/>
              <w:bottom w:val="single" w:sz="4" w:space="0" w:color="auto"/>
              <w:right w:val="single" w:sz="4" w:space="0" w:color="auto"/>
            </w:tcBorders>
          </w:tcPr>
          <w:p w14:paraId="23F5214A" w14:textId="77777777" w:rsidR="00191AEF" w:rsidRPr="00053B19" w:rsidRDefault="00191AEF" w:rsidP="00053B19">
            <w:pPr>
              <w:rPr>
                <w:sz w:val="22"/>
                <w:szCs w:val="22"/>
                <w:lang w:val="en-GB"/>
              </w:rPr>
            </w:pPr>
          </w:p>
        </w:tc>
        <w:tc>
          <w:tcPr>
            <w:tcW w:w="929" w:type="pct"/>
            <w:tcBorders>
              <w:top w:val="single" w:sz="4" w:space="0" w:color="auto"/>
              <w:left w:val="single" w:sz="4" w:space="0" w:color="auto"/>
              <w:bottom w:val="single" w:sz="4" w:space="0" w:color="auto"/>
              <w:right w:val="single" w:sz="4" w:space="0" w:color="auto"/>
            </w:tcBorders>
            <w:hideMark/>
          </w:tcPr>
          <w:p w14:paraId="0E0AD9F2" w14:textId="77777777" w:rsidR="00191AEF" w:rsidRPr="00053B19" w:rsidRDefault="00191AEF" w:rsidP="00053B19">
            <w:pPr>
              <w:rPr>
                <w:sz w:val="22"/>
                <w:szCs w:val="22"/>
                <w:lang w:val="en-GB"/>
              </w:rPr>
            </w:pPr>
            <w:r w:rsidRPr="00053B19">
              <w:rPr>
                <w:sz w:val="22"/>
                <w:szCs w:val="22"/>
                <w:lang w:val="en-GB"/>
              </w:rPr>
              <w:t>tinnitus</w:t>
            </w:r>
          </w:p>
        </w:tc>
        <w:tc>
          <w:tcPr>
            <w:tcW w:w="841" w:type="pct"/>
            <w:tcBorders>
              <w:top w:val="single" w:sz="4" w:space="0" w:color="auto"/>
              <w:left w:val="single" w:sz="4" w:space="0" w:color="auto"/>
              <w:bottom w:val="single" w:sz="4" w:space="0" w:color="auto"/>
              <w:right w:val="single" w:sz="4" w:space="0" w:color="auto"/>
            </w:tcBorders>
          </w:tcPr>
          <w:p w14:paraId="5157C605"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2F5494FE"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5AE4B2AF" w14:textId="77777777" w:rsidR="00191AEF" w:rsidRPr="00053B19" w:rsidRDefault="00191AEF" w:rsidP="00053B19">
            <w:pPr>
              <w:rPr>
                <w:sz w:val="22"/>
                <w:szCs w:val="22"/>
                <w:lang w:val="en-GB"/>
              </w:rPr>
            </w:pPr>
          </w:p>
        </w:tc>
      </w:tr>
      <w:tr w:rsidR="00191AEF" w:rsidRPr="00053B19" w14:paraId="6BD39A1D"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6E5F9" w14:textId="77777777" w:rsidR="00191AEF" w:rsidRPr="00053B19" w:rsidRDefault="00191AEF" w:rsidP="00053B19">
            <w:pPr>
              <w:rPr>
                <w:sz w:val="22"/>
                <w:szCs w:val="22"/>
                <w:lang w:val="en-GB"/>
              </w:rPr>
            </w:pPr>
            <w:r w:rsidRPr="00053B19">
              <w:rPr>
                <w:sz w:val="22"/>
                <w:szCs w:val="22"/>
                <w:lang w:val="en-GB"/>
              </w:rPr>
              <w:t>Cardiac disorders</w:t>
            </w:r>
          </w:p>
        </w:tc>
        <w:tc>
          <w:tcPr>
            <w:tcW w:w="796" w:type="pct"/>
            <w:tcBorders>
              <w:top w:val="single" w:sz="4" w:space="0" w:color="auto"/>
              <w:left w:val="single" w:sz="4" w:space="0" w:color="auto"/>
              <w:bottom w:val="single" w:sz="4" w:space="0" w:color="auto"/>
              <w:right w:val="single" w:sz="4" w:space="0" w:color="auto"/>
            </w:tcBorders>
          </w:tcPr>
          <w:p w14:paraId="6BC16688" w14:textId="77777777" w:rsidR="00191AEF" w:rsidRPr="00053B19" w:rsidRDefault="00191AEF" w:rsidP="00053B19">
            <w:pPr>
              <w:rPr>
                <w:sz w:val="22"/>
                <w:szCs w:val="22"/>
                <w:lang w:val="en-GB"/>
              </w:rPr>
            </w:pPr>
          </w:p>
        </w:tc>
        <w:tc>
          <w:tcPr>
            <w:tcW w:w="929" w:type="pct"/>
            <w:tcBorders>
              <w:top w:val="single" w:sz="4" w:space="0" w:color="auto"/>
              <w:left w:val="single" w:sz="4" w:space="0" w:color="auto"/>
              <w:bottom w:val="single" w:sz="4" w:space="0" w:color="auto"/>
              <w:right w:val="single" w:sz="4" w:space="0" w:color="auto"/>
            </w:tcBorders>
            <w:hideMark/>
          </w:tcPr>
          <w:p w14:paraId="758770E1" w14:textId="77777777" w:rsidR="00191AEF" w:rsidRPr="00053B19" w:rsidRDefault="00191AEF" w:rsidP="00053B19">
            <w:pPr>
              <w:rPr>
                <w:sz w:val="22"/>
                <w:szCs w:val="22"/>
                <w:lang w:val="en-GB"/>
              </w:rPr>
            </w:pPr>
            <w:r w:rsidRPr="00053B19">
              <w:rPr>
                <w:sz w:val="22"/>
                <w:szCs w:val="22"/>
                <w:lang w:val="en-GB"/>
              </w:rPr>
              <w:t>congestive heart failure*</w:t>
            </w:r>
          </w:p>
          <w:p w14:paraId="68026325" w14:textId="77777777" w:rsidR="00191AEF" w:rsidRPr="00053B19" w:rsidRDefault="00191AEF" w:rsidP="00053B19">
            <w:pPr>
              <w:rPr>
                <w:sz w:val="22"/>
                <w:szCs w:val="22"/>
                <w:lang w:val="en-GB"/>
              </w:rPr>
            </w:pPr>
            <w:r w:rsidRPr="00053B19">
              <w:rPr>
                <w:sz w:val="22"/>
                <w:szCs w:val="22"/>
                <w:lang w:val="en-GB"/>
              </w:rPr>
              <w:t>myocardial ischaemia and infarction*</w:t>
            </w:r>
          </w:p>
        </w:tc>
        <w:tc>
          <w:tcPr>
            <w:tcW w:w="841" w:type="pct"/>
            <w:tcBorders>
              <w:top w:val="single" w:sz="4" w:space="0" w:color="auto"/>
              <w:left w:val="single" w:sz="4" w:space="0" w:color="auto"/>
              <w:bottom w:val="single" w:sz="4" w:space="0" w:color="auto"/>
              <w:right w:val="single" w:sz="4" w:space="0" w:color="auto"/>
            </w:tcBorders>
          </w:tcPr>
          <w:p w14:paraId="3EA26293"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hideMark/>
          </w:tcPr>
          <w:p w14:paraId="76AC7CF6" w14:textId="77777777" w:rsidR="00191AEF" w:rsidRPr="00053B19" w:rsidRDefault="00191AEF" w:rsidP="00053B19">
            <w:pPr>
              <w:rPr>
                <w:sz w:val="22"/>
                <w:szCs w:val="22"/>
                <w:lang w:val="en-GB"/>
              </w:rPr>
            </w:pPr>
            <w:r w:rsidRPr="00053B19">
              <w:rPr>
                <w:sz w:val="22"/>
                <w:szCs w:val="22"/>
                <w:lang w:val="en-GB"/>
              </w:rPr>
              <w:t>QT prolongation</w:t>
            </w:r>
          </w:p>
        </w:tc>
        <w:tc>
          <w:tcPr>
            <w:tcW w:w="841" w:type="pct"/>
            <w:tcBorders>
              <w:top w:val="single" w:sz="4" w:space="0" w:color="auto"/>
              <w:left w:val="single" w:sz="4" w:space="0" w:color="auto"/>
              <w:bottom w:val="single" w:sz="4" w:space="0" w:color="auto"/>
              <w:right w:val="single" w:sz="4" w:space="0" w:color="auto"/>
            </w:tcBorders>
          </w:tcPr>
          <w:p w14:paraId="5242E838" w14:textId="77777777" w:rsidR="00191AEF" w:rsidRPr="00053B19" w:rsidRDefault="00191AEF" w:rsidP="00053B19">
            <w:pPr>
              <w:rPr>
                <w:sz w:val="22"/>
                <w:szCs w:val="22"/>
                <w:lang w:val="en-GB"/>
              </w:rPr>
            </w:pPr>
          </w:p>
        </w:tc>
      </w:tr>
      <w:tr w:rsidR="00191AEF" w:rsidRPr="00053B19" w14:paraId="50BA504C"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CC2859" w14:textId="77777777" w:rsidR="00191AEF" w:rsidRPr="00053B19" w:rsidRDefault="00191AEF" w:rsidP="00053B19">
            <w:pPr>
              <w:rPr>
                <w:sz w:val="22"/>
                <w:szCs w:val="22"/>
                <w:lang w:val="en-GB"/>
              </w:rPr>
            </w:pPr>
            <w:r w:rsidRPr="00053B19">
              <w:rPr>
                <w:sz w:val="22"/>
                <w:szCs w:val="22"/>
                <w:lang w:val="en-GB"/>
              </w:rPr>
              <w:t>Vascular disorders</w:t>
            </w:r>
          </w:p>
        </w:tc>
        <w:tc>
          <w:tcPr>
            <w:tcW w:w="796" w:type="pct"/>
            <w:tcBorders>
              <w:top w:val="single" w:sz="4" w:space="0" w:color="auto"/>
              <w:left w:val="single" w:sz="4" w:space="0" w:color="auto"/>
              <w:bottom w:val="single" w:sz="4" w:space="0" w:color="auto"/>
              <w:right w:val="single" w:sz="4" w:space="0" w:color="auto"/>
            </w:tcBorders>
            <w:hideMark/>
          </w:tcPr>
          <w:p w14:paraId="4634A1B1" w14:textId="77777777" w:rsidR="00191AEF" w:rsidRPr="00053B19" w:rsidRDefault="00191AEF" w:rsidP="00053B19">
            <w:pPr>
              <w:rPr>
                <w:sz w:val="22"/>
                <w:szCs w:val="22"/>
                <w:lang w:val="en-GB"/>
              </w:rPr>
            </w:pPr>
            <w:r w:rsidRPr="00053B19">
              <w:rPr>
                <w:sz w:val="22"/>
                <w:szCs w:val="22"/>
                <w:lang w:val="en-GB"/>
              </w:rPr>
              <w:t>haemorrhage (</w:t>
            </w:r>
            <w:proofErr w:type="spellStart"/>
            <w:r w:rsidRPr="00053B19">
              <w:rPr>
                <w:sz w:val="22"/>
                <w:szCs w:val="22"/>
                <w:lang w:val="en-GB"/>
              </w:rPr>
              <w:t>inc.</w:t>
            </w:r>
            <w:proofErr w:type="spellEnd"/>
            <w:r w:rsidRPr="00053B19">
              <w:rPr>
                <w:sz w:val="22"/>
                <w:szCs w:val="22"/>
                <w:lang w:val="en-GB"/>
              </w:rPr>
              <w:t xml:space="preserve"> gastrointestinal*, respiratory tract* and cerebral </w:t>
            </w:r>
            <w:r w:rsidRPr="00053B19">
              <w:rPr>
                <w:sz w:val="22"/>
                <w:szCs w:val="22"/>
                <w:lang w:val="en-GB"/>
              </w:rPr>
              <w:lastRenderedPageBreak/>
              <w:t>haemorrhage*)</w:t>
            </w:r>
          </w:p>
          <w:p w14:paraId="6C2BE874" w14:textId="77777777" w:rsidR="00191AEF" w:rsidRPr="00053B19" w:rsidRDefault="00191AEF" w:rsidP="00053B19">
            <w:pPr>
              <w:rPr>
                <w:sz w:val="22"/>
                <w:szCs w:val="22"/>
                <w:lang w:val="en-GB"/>
              </w:rPr>
            </w:pPr>
            <w:r w:rsidRPr="00053B19">
              <w:rPr>
                <w:sz w:val="22"/>
                <w:szCs w:val="22"/>
                <w:lang w:val="en-GB"/>
              </w:rPr>
              <w:t>hypertension</w:t>
            </w:r>
          </w:p>
        </w:tc>
        <w:tc>
          <w:tcPr>
            <w:tcW w:w="929" w:type="pct"/>
            <w:tcBorders>
              <w:top w:val="single" w:sz="4" w:space="0" w:color="auto"/>
              <w:left w:val="single" w:sz="4" w:space="0" w:color="auto"/>
              <w:bottom w:val="single" w:sz="4" w:space="0" w:color="auto"/>
              <w:right w:val="single" w:sz="4" w:space="0" w:color="auto"/>
            </w:tcBorders>
            <w:hideMark/>
          </w:tcPr>
          <w:p w14:paraId="6B818C38" w14:textId="77777777" w:rsidR="00191AEF" w:rsidRPr="00053B19" w:rsidRDefault="00191AEF" w:rsidP="00053B19">
            <w:pPr>
              <w:rPr>
                <w:sz w:val="22"/>
                <w:szCs w:val="22"/>
                <w:lang w:val="en-GB"/>
              </w:rPr>
            </w:pPr>
            <w:r w:rsidRPr="00053B19">
              <w:rPr>
                <w:sz w:val="22"/>
                <w:szCs w:val="22"/>
                <w:lang w:val="en-GB"/>
              </w:rPr>
              <w:lastRenderedPageBreak/>
              <w:t>flushing</w:t>
            </w:r>
          </w:p>
        </w:tc>
        <w:tc>
          <w:tcPr>
            <w:tcW w:w="841" w:type="pct"/>
            <w:tcBorders>
              <w:top w:val="single" w:sz="4" w:space="0" w:color="auto"/>
              <w:left w:val="single" w:sz="4" w:space="0" w:color="auto"/>
              <w:bottom w:val="single" w:sz="4" w:space="0" w:color="auto"/>
              <w:right w:val="single" w:sz="4" w:space="0" w:color="auto"/>
            </w:tcBorders>
            <w:hideMark/>
          </w:tcPr>
          <w:p w14:paraId="63ED37B4" w14:textId="77777777" w:rsidR="00191AEF" w:rsidRPr="00053B19" w:rsidRDefault="00191AEF" w:rsidP="00053B19">
            <w:pPr>
              <w:rPr>
                <w:sz w:val="22"/>
                <w:szCs w:val="22"/>
                <w:lang w:val="en-GB"/>
              </w:rPr>
            </w:pPr>
            <w:r w:rsidRPr="00053B19">
              <w:rPr>
                <w:sz w:val="22"/>
                <w:szCs w:val="22"/>
                <w:lang w:val="en-GB"/>
              </w:rPr>
              <w:t>hypertensive crisis*</w:t>
            </w:r>
          </w:p>
        </w:tc>
        <w:tc>
          <w:tcPr>
            <w:tcW w:w="841" w:type="pct"/>
            <w:tcBorders>
              <w:top w:val="single" w:sz="4" w:space="0" w:color="auto"/>
              <w:left w:val="single" w:sz="4" w:space="0" w:color="auto"/>
              <w:bottom w:val="single" w:sz="4" w:space="0" w:color="auto"/>
              <w:right w:val="single" w:sz="4" w:space="0" w:color="auto"/>
            </w:tcBorders>
          </w:tcPr>
          <w:p w14:paraId="1E7EDBDE"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hideMark/>
          </w:tcPr>
          <w:p w14:paraId="03C5A792" w14:textId="77777777" w:rsidR="00191AEF" w:rsidRPr="00053B19" w:rsidRDefault="00191AEF" w:rsidP="00053B19">
            <w:pPr>
              <w:rPr>
                <w:sz w:val="22"/>
                <w:szCs w:val="22"/>
                <w:lang w:val="en-GB"/>
              </w:rPr>
            </w:pPr>
            <w:r w:rsidRPr="00053B19">
              <w:rPr>
                <w:sz w:val="22"/>
                <w:szCs w:val="22"/>
                <w:lang w:val="en-GB"/>
              </w:rPr>
              <w:t>aneurysms and artery dissections</w:t>
            </w:r>
          </w:p>
        </w:tc>
      </w:tr>
      <w:tr w:rsidR="00191AEF" w:rsidRPr="00B01393" w14:paraId="3AF12927"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75FA9" w14:textId="77777777" w:rsidR="00191AEF" w:rsidRPr="00053B19" w:rsidRDefault="00191AEF" w:rsidP="00053B19">
            <w:pPr>
              <w:rPr>
                <w:sz w:val="22"/>
                <w:szCs w:val="22"/>
                <w:lang w:val="en-GB"/>
              </w:rPr>
            </w:pPr>
            <w:r w:rsidRPr="00053B19">
              <w:rPr>
                <w:sz w:val="22"/>
                <w:szCs w:val="22"/>
                <w:lang w:val="en-GB"/>
              </w:rPr>
              <w:t>Respiratory, thoracic and mediastinal disorders</w:t>
            </w:r>
          </w:p>
        </w:tc>
        <w:tc>
          <w:tcPr>
            <w:tcW w:w="796" w:type="pct"/>
            <w:tcBorders>
              <w:top w:val="single" w:sz="4" w:space="0" w:color="auto"/>
              <w:left w:val="single" w:sz="4" w:space="0" w:color="auto"/>
              <w:bottom w:val="single" w:sz="4" w:space="0" w:color="auto"/>
              <w:right w:val="single" w:sz="4" w:space="0" w:color="auto"/>
            </w:tcBorders>
          </w:tcPr>
          <w:p w14:paraId="2E0D8706" w14:textId="77777777" w:rsidR="00191AEF" w:rsidRPr="00053B19" w:rsidRDefault="00191AEF" w:rsidP="00053B19">
            <w:pPr>
              <w:rPr>
                <w:sz w:val="22"/>
                <w:szCs w:val="22"/>
                <w:lang w:val="en-GB"/>
              </w:rPr>
            </w:pPr>
          </w:p>
        </w:tc>
        <w:tc>
          <w:tcPr>
            <w:tcW w:w="929" w:type="pct"/>
            <w:tcBorders>
              <w:top w:val="single" w:sz="4" w:space="0" w:color="auto"/>
              <w:left w:val="single" w:sz="4" w:space="0" w:color="auto"/>
              <w:bottom w:val="single" w:sz="4" w:space="0" w:color="auto"/>
              <w:right w:val="single" w:sz="4" w:space="0" w:color="auto"/>
            </w:tcBorders>
            <w:hideMark/>
          </w:tcPr>
          <w:p w14:paraId="5801C699" w14:textId="77777777" w:rsidR="00191AEF" w:rsidRPr="00053B19" w:rsidRDefault="00191AEF" w:rsidP="00053B19">
            <w:pPr>
              <w:rPr>
                <w:sz w:val="22"/>
                <w:szCs w:val="22"/>
                <w:lang w:val="en-GB"/>
              </w:rPr>
            </w:pPr>
            <w:r w:rsidRPr="00053B19">
              <w:rPr>
                <w:sz w:val="22"/>
                <w:szCs w:val="22"/>
                <w:lang w:val="en-GB"/>
              </w:rPr>
              <w:t>rhinorrhoea</w:t>
            </w:r>
          </w:p>
          <w:p w14:paraId="572CB81E" w14:textId="77777777" w:rsidR="00191AEF" w:rsidRPr="00053B19" w:rsidRDefault="00191AEF" w:rsidP="00053B19">
            <w:pPr>
              <w:rPr>
                <w:sz w:val="22"/>
                <w:szCs w:val="22"/>
                <w:lang w:val="en-GB"/>
              </w:rPr>
            </w:pPr>
            <w:r w:rsidRPr="00053B19">
              <w:rPr>
                <w:sz w:val="22"/>
                <w:szCs w:val="22"/>
                <w:lang w:val="en-GB"/>
              </w:rPr>
              <w:t>dysphonia</w:t>
            </w:r>
          </w:p>
        </w:tc>
        <w:tc>
          <w:tcPr>
            <w:tcW w:w="841" w:type="pct"/>
            <w:tcBorders>
              <w:top w:val="single" w:sz="4" w:space="0" w:color="auto"/>
              <w:left w:val="single" w:sz="4" w:space="0" w:color="auto"/>
              <w:bottom w:val="single" w:sz="4" w:space="0" w:color="auto"/>
              <w:right w:val="single" w:sz="4" w:space="0" w:color="auto"/>
            </w:tcBorders>
            <w:hideMark/>
          </w:tcPr>
          <w:p w14:paraId="69A03D40" w14:textId="77777777" w:rsidR="00191AEF" w:rsidRPr="00053B19" w:rsidRDefault="00191AEF" w:rsidP="00053B19">
            <w:pPr>
              <w:rPr>
                <w:sz w:val="22"/>
                <w:szCs w:val="22"/>
                <w:lang w:val="en-GB"/>
              </w:rPr>
            </w:pPr>
            <w:r w:rsidRPr="00053B19">
              <w:rPr>
                <w:sz w:val="22"/>
                <w:szCs w:val="22"/>
                <w:lang w:val="en-GB"/>
              </w:rPr>
              <w:t>interstitial lung disease-like events* (pneumonitis, radiation pneumonitis, acute respiratory distress, etc.)</w:t>
            </w:r>
          </w:p>
        </w:tc>
        <w:tc>
          <w:tcPr>
            <w:tcW w:w="841" w:type="pct"/>
            <w:tcBorders>
              <w:top w:val="single" w:sz="4" w:space="0" w:color="auto"/>
              <w:left w:val="single" w:sz="4" w:space="0" w:color="auto"/>
              <w:bottom w:val="single" w:sz="4" w:space="0" w:color="auto"/>
              <w:right w:val="single" w:sz="4" w:space="0" w:color="auto"/>
            </w:tcBorders>
          </w:tcPr>
          <w:p w14:paraId="435A9EBC"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06886E03" w14:textId="77777777" w:rsidR="00191AEF" w:rsidRPr="00053B19" w:rsidRDefault="00191AEF" w:rsidP="00053B19">
            <w:pPr>
              <w:rPr>
                <w:sz w:val="22"/>
                <w:szCs w:val="22"/>
                <w:lang w:val="en-GB"/>
              </w:rPr>
            </w:pPr>
          </w:p>
        </w:tc>
      </w:tr>
      <w:tr w:rsidR="00191AEF" w:rsidRPr="00053B19" w14:paraId="004046B3"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C4A29F" w14:textId="48E07C2E" w:rsidR="00191AEF" w:rsidRPr="00053B19" w:rsidRDefault="00191AEF" w:rsidP="00053B19">
            <w:pPr>
              <w:rPr>
                <w:sz w:val="22"/>
                <w:szCs w:val="22"/>
                <w:lang w:val="en-GB"/>
              </w:rPr>
            </w:pPr>
            <w:r w:rsidRPr="00053B19">
              <w:rPr>
                <w:sz w:val="22"/>
                <w:szCs w:val="22"/>
                <w:lang w:val="en-GB"/>
              </w:rPr>
              <w:t>Gastro-intestinal disorders</w:t>
            </w:r>
          </w:p>
        </w:tc>
        <w:tc>
          <w:tcPr>
            <w:tcW w:w="796" w:type="pct"/>
            <w:tcBorders>
              <w:top w:val="single" w:sz="4" w:space="0" w:color="auto"/>
              <w:left w:val="single" w:sz="4" w:space="0" w:color="auto"/>
              <w:bottom w:val="single" w:sz="4" w:space="0" w:color="auto"/>
              <w:right w:val="single" w:sz="4" w:space="0" w:color="auto"/>
            </w:tcBorders>
            <w:hideMark/>
          </w:tcPr>
          <w:p w14:paraId="229F855B" w14:textId="77777777" w:rsidR="00191AEF" w:rsidRPr="00053B19" w:rsidRDefault="00191AEF" w:rsidP="00053B19">
            <w:pPr>
              <w:rPr>
                <w:sz w:val="22"/>
                <w:szCs w:val="22"/>
                <w:lang w:val="en-GB"/>
              </w:rPr>
            </w:pPr>
            <w:r w:rsidRPr="00053B19">
              <w:rPr>
                <w:sz w:val="22"/>
                <w:szCs w:val="22"/>
                <w:lang w:val="en-GB"/>
              </w:rPr>
              <w:t>diarrhoea</w:t>
            </w:r>
          </w:p>
          <w:p w14:paraId="5CCBB47F" w14:textId="77777777" w:rsidR="00191AEF" w:rsidRPr="00053B19" w:rsidRDefault="00191AEF" w:rsidP="00053B19">
            <w:pPr>
              <w:rPr>
                <w:sz w:val="22"/>
                <w:szCs w:val="22"/>
                <w:lang w:val="en-GB"/>
              </w:rPr>
            </w:pPr>
            <w:r w:rsidRPr="00053B19">
              <w:rPr>
                <w:sz w:val="22"/>
                <w:szCs w:val="22"/>
                <w:lang w:val="en-GB"/>
              </w:rPr>
              <w:t>nausea</w:t>
            </w:r>
          </w:p>
          <w:p w14:paraId="0DD84E12" w14:textId="77777777" w:rsidR="00191AEF" w:rsidRPr="00053B19" w:rsidRDefault="00191AEF" w:rsidP="00053B19">
            <w:pPr>
              <w:rPr>
                <w:sz w:val="22"/>
                <w:szCs w:val="22"/>
                <w:lang w:val="en-GB"/>
              </w:rPr>
            </w:pPr>
            <w:r w:rsidRPr="00053B19">
              <w:rPr>
                <w:sz w:val="22"/>
                <w:szCs w:val="22"/>
                <w:lang w:val="en-GB"/>
              </w:rPr>
              <w:t>vomiting</w:t>
            </w:r>
          </w:p>
          <w:p w14:paraId="3E37CB87" w14:textId="77777777" w:rsidR="00191AEF" w:rsidRPr="00053B19" w:rsidRDefault="00191AEF" w:rsidP="00053B19">
            <w:pPr>
              <w:rPr>
                <w:sz w:val="22"/>
                <w:szCs w:val="22"/>
                <w:lang w:val="en-GB"/>
              </w:rPr>
            </w:pPr>
            <w:r w:rsidRPr="00053B19">
              <w:rPr>
                <w:sz w:val="22"/>
                <w:szCs w:val="22"/>
                <w:lang w:val="en-GB"/>
              </w:rPr>
              <w:t>constipation</w:t>
            </w:r>
          </w:p>
        </w:tc>
        <w:tc>
          <w:tcPr>
            <w:tcW w:w="929" w:type="pct"/>
            <w:tcBorders>
              <w:top w:val="single" w:sz="4" w:space="0" w:color="auto"/>
              <w:left w:val="single" w:sz="4" w:space="0" w:color="auto"/>
              <w:bottom w:val="single" w:sz="4" w:space="0" w:color="auto"/>
              <w:right w:val="single" w:sz="4" w:space="0" w:color="auto"/>
            </w:tcBorders>
            <w:hideMark/>
          </w:tcPr>
          <w:p w14:paraId="7D87BC5A" w14:textId="77777777" w:rsidR="00191AEF" w:rsidRPr="00053B19" w:rsidRDefault="00191AEF" w:rsidP="00053B19">
            <w:pPr>
              <w:rPr>
                <w:sz w:val="22"/>
                <w:szCs w:val="22"/>
                <w:lang w:val="en-GB"/>
              </w:rPr>
            </w:pPr>
            <w:r w:rsidRPr="00053B19">
              <w:rPr>
                <w:sz w:val="22"/>
                <w:szCs w:val="22"/>
                <w:lang w:val="en-GB"/>
              </w:rPr>
              <w:t xml:space="preserve">stomatitis (including dry mouth and </w:t>
            </w:r>
            <w:proofErr w:type="spellStart"/>
            <w:r w:rsidRPr="00053B19">
              <w:rPr>
                <w:sz w:val="22"/>
                <w:szCs w:val="22"/>
                <w:lang w:val="en-GB"/>
              </w:rPr>
              <w:t>glossodynia</w:t>
            </w:r>
            <w:proofErr w:type="spellEnd"/>
            <w:r w:rsidRPr="00053B19">
              <w:rPr>
                <w:sz w:val="22"/>
                <w:szCs w:val="22"/>
                <w:lang w:val="en-GB"/>
              </w:rPr>
              <w:t>)</w:t>
            </w:r>
          </w:p>
          <w:p w14:paraId="5B51BF61" w14:textId="77777777" w:rsidR="00191AEF" w:rsidRPr="00053B19" w:rsidRDefault="00191AEF" w:rsidP="00053B19">
            <w:pPr>
              <w:rPr>
                <w:sz w:val="22"/>
                <w:szCs w:val="22"/>
                <w:lang w:val="en-GB"/>
              </w:rPr>
            </w:pPr>
            <w:r w:rsidRPr="00053B19">
              <w:rPr>
                <w:sz w:val="22"/>
                <w:szCs w:val="22"/>
                <w:lang w:val="en-GB"/>
              </w:rPr>
              <w:t>dyspepsia</w:t>
            </w:r>
          </w:p>
          <w:p w14:paraId="6A27E1A6" w14:textId="77777777" w:rsidR="00191AEF" w:rsidRPr="00053B19" w:rsidRDefault="00191AEF" w:rsidP="00053B19">
            <w:pPr>
              <w:rPr>
                <w:sz w:val="22"/>
                <w:szCs w:val="22"/>
                <w:lang w:val="en-GB"/>
              </w:rPr>
            </w:pPr>
            <w:r w:rsidRPr="00053B19">
              <w:rPr>
                <w:sz w:val="22"/>
                <w:szCs w:val="22"/>
                <w:lang w:val="en-GB"/>
              </w:rPr>
              <w:t>dysphagia</w:t>
            </w:r>
          </w:p>
          <w:p w14:paraId="17088F59" w14:textId="77777777" w:rsidR="00191AEF" w:rsidRPr="00053B19" w:rsidRDefault="00191AEF" w:rsidP="00053B19">
            <w:pPr>
              <w:rPr>
                <w:sz w:val="22"/>
                <w:szCs w:val="22"/>
                <w:lang w:val="en-GB"/>
              </w:rPr>
            </w:pPr>
            <w:r w:rsidRPr="00053B19">
              <w:rPr>
                <w:sz w:val="22"/>
                <w:szCs w:val="22"/>
                <w:lang w:val="en-GB"/>
              </w:rPr>
              <w:t>gastro oesophageal</w:t>
            </w:r>
          </w:p>
          <w:p w14:paraId="3E700E57" w14:textId="77777777" w:rsidR="00191AEF" w:rsidRPr="00053B19" w:rsidRDefault="00191AEF" w:rsidP="00053B19">
            <w:pPr>
              <w:rPr>
                <w:sz w:val="22"/>
                <w:szCs w:val="22"/>
                <w:lang w:val="en-GB"/>
              </w:rPr>
            </w:pPr>
            <w:r w:rsidRPr="00053B19">
              <w:rPr>
                <w:sz w:val="22"/>
                <w:szCs w:val="22"/>
                <w:lang w:val="en-GB"/>
              </w:rPr>
              <w:t>reflux disease</w:t>
            </w:r>
          </w:p>
        </w:tc>
        <w:tc>
          <w:tcPr>
            <w:tcW w:w="841" w:type="pct"/>
            <w:tcBorders>
              <w:top w:val="single" w:sz="4" w:space="0" w:color="auto"/>
              <w:left w:val="single" w:sz="4" w:space="0" w:color="auto"/>
              <w:bottom w:val="single" w:sz="4" w:space="0" w:color="auto"/>
              <w:right w:val="single" w:sz="4" w:space="0" w:color="auto"/>
            </w:tcBorders>
            <w:hideMark/>
          </w:tcPr>
          <w:p w14:paraId="6BE3049B" w14:textId="77777777" w:rsidR="00191AEF" w:rsidRPr="00053B19" w:rsidRDefault="00191AEF" w:rsidP="00053B19">
            <w:pPr>
              <w:rPr>
                <w:sz w:val="22"/>
                <w:szCs w:val="22"/>
                <w:lang w:val="en-GB"/>
              </w:rPr>
            </w:pPr>
            <w:r w:rsidRPr="00053B19">
              <w:rPr>
                <w:sz w:val="22"/>
                <w:szCs w:val="22"/>
                <w:lang w:val="en-GB"/>
              </w:rPr>
              <w:t>pancreatitis</w:t>
            </w:r>
          </w:p>
          <w:p w14:paraId="7F34A8D0" w14:textId="77777777" w:rsidR="00191AEF" w:rsidRPr="00053B19" w:rsidRDefault="00191AEF" w:rsidP="00053B19">
            <w:pPr>
              <w:rPr>
                <w:sz w:val="22"/>
                <w:szCs w:val="22"/>
                <w:lang w:val="en-GB"/>
              </w:rPr>
            </w:pPr>
            <w:r w:rsidRPr="00053B19">
              <w:rPr>
                <w:sz w:val="22"/>
                <w:szCs w:val="22"/>
                <w:lang w:val="en-GB"/>
              </w:rPr>
              <w:t>gastritis</w:t>
            </w:r>
          </w:p>
          <w:p w14:paraId="223D332B" w14:textId="77777777" w:rsidR="00191AEF" w:rsidRPr="00053B19" w:rsidRDefault="00191AEF" w:rsidP="00053B19">
            <w:pPr>
              <w:rPr>
                <w:sz w:val="22"/>
                <w:szCs w:val="22"/>
                <w:lang w:val="en-GB"/>
              </w:rPr>
            </w:pPr>
            <w:r w:rsidRPr="00053B19">
              <w:rPr>
                <w:sz w:val="22"/>
                <w:szCs w:val="22"/>
                <w:lang w:val="en-GB"/>
              </w:rPr>
              <w:t>gastrointestinal perforations*</w:t>
            </w:r>
          </w:p>
        </w:tc>
        <w:tc>
          <w:tcPr>
            <w:tcW w:w="841" w:type="pct"/>
            <w:tcBorders>
              <w:top w:val="single" w:sz="4" w:space="0" w:color="auto"/>
              <w:left w:val="single" w:sz="4" w:space="0" w:color="auto"/>
              <w:bottom w:val="single" w:sz="4" w:space="0" w:color="auto"/>
              <w:right w:val="single" w:sz="4" w:space="0" w:color="auto"/>
            </w:tcBorders>
          </w:tcPr>
          <w:p w14:paraId="20E0B8FD"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68257682" w14:textId="77777777" w:rsidR="00191AEF" w:rsidRPr="00053B19" w:rsidRDefault="00191AEF" w:rsidP="00053B19">
            <w:pPr>
              <w:rPr>
                <w:sz w:val="22"/>
                <w:szCs w:val="22"/>
                <w:lang w:val="en-GB"/>
              </w:rPr>
            </w:pPr>
          </w:p>
        </w:tc>
      </w:tr>
      <w:tr w:rsidR="00191AEF" w:rsidRPr="00053B19" w14:paraId="3B231D80"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E502F7" w14:textId="77777777" w:rsidR="00191AEF" w:rsidRPr="00053B19" w:rsidRDefault="00191AEF" w:rsidP="00053B19">
            <w:pPr>
              <w:rPr>
                <w:sz w:val="22"/>
                <w:szCs w:val="22"/>
                <w:lang w:val="en-GB"/>
              </w:rPr>
            </w:pPr>
            <w:r w:rsidRPr="00053B19">
              <w:rPr>
                <w:sz w:val="22"/>
                <w:szCs w:val="22"/>
                <w:lang w:val="en-GB"/>
              </w:rPr>
              <w:t>Hepatobiliary disorders</w:t>
            </w:r>
          </w:p>
        </w:tc>
        <w:tc>
          <w:tcPr>
            <w:tcW w:w="796" w:type="pct"/>
            <w:tcBorders>
              <w:top w:val="single" w:sz="4" w:space="0" w:color="auto"/>
              <w:left w:val="single" w:sz="4" w:space="0" w:color="auto"/>
              <w:bottom w:val="single" w:sz="4" w:space="0" w:color="auto"/>
              <w:right w:val="single" w:sz="4" w:space="0" w:color="auto"/>
            </w:tcBorders>
          </w:tcPr>
          <w:p w14:paraId="38AF9194" w14:textId="77777777" w:rsidR="00191AEF" w:rsidRPr="00053B19" w:rsidRDefault="00191AEF" w:rsidP="00053B19">
            <w:pPr>
              <w:rPr>
                <w:sz w:val="22"/>
                <w:szCs w:val="22"/>
                <w:lang w:val="en-GB"/>
              </w:rPr>
            </w:pPr>
          </w:p>
        </w:tc>
        <w:tc>
          <w:tcPr>
            <w:tcW w:w="929" w:type="pct"/>
            <w:tcBorders>
              <w:top w:val="single" w:sz="4" w:space="0" w:color="auto"/>
              <w:left w:val="single" w:sz="4" w:space="0" w:color="auto"/>
              <w:bottom w:val="single" w:sz="4" w:space="0" w:color="auto"/>
              <w:right w:val="single" w:sz="4" w:space="0" w:color="auto"/>
            </w:tcBorders>
          </w:tcPr>
          <w:p w14:paraId="4270A672"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hideMark/>
          </w:tcPr>
          <w:p w14:paraId="76AE286C" w14:textId="77777777" w:rsidR="00191AEF" w:rsidRPr="00053B19" w:rsidRDefault="00191AEF" w:rsidP="00053B19">
            <w:pPr>
              <w:rPr>
                <w:sz w:val="22"/>
                <w:szCs w:val="22"/>
                <w:lang w:val="en-GB"/>
              </w:rPr>
            </w:pPr>
            <w:r w:rsidRPr="00053B19">
              <w:rPr>
                <w:sz w:val="22"/>
                <w:szCs w:val="22"/>
                <w:lang w:val="en-GB"/>
              </w:rPr>
              <w:t>increase in bilirubin and jaundice, cholecystitis, cholangitis</w:t>
            </w:r>
          </w:p>
        </w:tc>
        <w:tc>
          <w:tcPr>
            <w:tcW w:w="841" w:type="pct"/>
            <w:tcBorders>
              <w:top w:val="single" w:sz="4" w:space="0" w:color="auto"/>
              <w:left w:val="single" w:sz="4" w:space="0" w:color="auto"/>
              <w:bottom w:val="single" w:sz="4" w:space="0" w:color="auto"/>
              <w:right w:val="single" w:sz="4" w:space="0" w:color="auto"/>
            </w:tcBorders>
            <w:hideMark/>
          </w:tcPr>
          <w:p w14:paraId="12519C3E" w14:textId="77777777" w:rsidR="00191AEF" w:rsidRPr="00053B19" w:rsidRDefault="00191AEF" w:rsidP="00053B19">
            <w:pPr>
              <w:rPr>
                <w:sz w:val="22"/>
                <w:szCs w:val="22"/>
                <w:lang w:val="en-GB"/>
              </w:rPr>
            </w:pPr>
            <w:r w:rsidRPr="00053B19">
              <w:rPr>
                <w:sz w:val="22"/>
                <w:szCs w:val="22"/>
                <w:lang w:val="en-GB"/>
              </w:rPr>
              <w:t>drug induced hepatitis*</w:t>
            </w:r>
          </w:p>
        </w:tc>
        <w:tc>
          <w:tcPr>
            <w:tcW w:w="841" w:type="pct"/>
            <w:tcBorders>
              <w:top w:val="single" w:sz="4" w:space="0" w:color="auto"/>
              <w:left w:val="single" w:sz="4" w:space="0" w:color="auto"/>
              <w:bottom w:val="single" w:sz="4" w:space="0" w:color="auto"/>
              <w:right w:val="single" w:sz="4" w:space="0" w:color="auto"/>
            </w:tcBorders>
          </w:tcPr>
          <w:p w14:paraId="5FE3A44E" w14:textId="77777777" w:rsidR="00191AEF" w:rsidRPr="00053B19" w:rsidRDefault="00191AEF" w:rsidP="00053B19">
            <w:pPr>
              <w:rPr>
                <w:sz w:val="22"/>
                <w:szCs w:val="22"/>
                <w:lang w:val="en-GB"/>
              </w:rPr>
            </w:pPr>
          </w:p>
        </w:tc>
      </w:tr>
      <w:tr w:rsidR="00191AEF" w:rsidRPr="00B01393" w14:paraId="06806D92"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F972F" w14:textId="77777777" w:rsidR="00191AEF" w:rsidRPr="00053B19" w:rsidRDefault="00191AEF" w:rsidP="00053B19">
            <w:pPr>
              <w:rPr>
                <w:sz w:val="22"/>
                <w:szCs w:val="22"/>
                <w:lang w:val="en-GB"/>
              </w:rPr>
            </w:pPr>
            <w:r w:rsidRPr="00053B19">
              <w:rPr>
                <w:sz w:val="22"/>
                <w:szCs w:val="22"/>
                <w:lang w:val="en-GB"/>
              </w:rPr>
              <w:t>Skin and subcutaneous tissue disorders</w:t>
            </w:r>
          </w:p>
        </w:tc>
        <w:tc>
          <w:tcPr>
            <w:tcW w:w="796" w:type="pct"/>
            <w:tcBorders>
              <w:top w:val="single" w:sz="4" w:space="0" w:color="auto"/>
              <w:left w:val="single" w:sz="4" w:space="0" w:color="auto"/>
              <w:bottom w:val="single" w:sz="4" w:space="0" w:color="auto"/>
              <w:right w:val="single" w:sz="4" w:space="0" w:color="auto"/>
            </w:tcBorders>
            <w:hideMark/>
          </w:tcPr>
          <w:p w14:paraId="35C7BE31" w14:textId="77777777" w:rsidR="00191AEF" w:rsidRPr="00053B19" w:rsidRDefault="00191AEF" w:rsidP="00053B19">
            <w:pPr>
              <w:rPr>
                <w:sz w:val="22"/>
                <w:szCs w:val="22"/>
                <w:lang w:val="en-GB"/>
              </w:rPr>
            </w:pPr>
            <w:r w:rsidRPr="00053B19">
              <w:rPr>
                <w:sz w:val="22"/>
                <w:szCs w:val="22"/>
                <w:lang w:val="en-GB"/>
              </w:rPr>
              <w:t>dry skin</w:t>
            </w:r>
          </w:p>
          <w:p w14:paraId="4AD828A7" w14:textId="77777777" w:rsidR="00191AEF" w:rsidRPr="00053B19" w:rsidRDefault="00191AEF" w:rsidP="00053B19">
            <w:pPr>
              <w:rPr>
                <w:sz w:val="22"/>
                <w:szCs w:val="22"/>
                <w:lang w:val="en-GB"/>
              </w:rPr>
            </w:pPr>
            <w:r w:rsidRPr="00053B19">
              <w:rPr>
                <w:sz w:val="22"/>
                <w:szCs w:val="22"/>
                <w:lang w:val="en-GB"/>
              </w:rPr>
              <w:t>rash</w:t>
            </w:r>
          </w:p>
          <w:p w14:paraId="619C7A1D" w14:textId="77777777" w:rsidR="00191AEF" w:rsidRPr="00053B19" w:rsidRDefault="00191AEF" w:rsidP="00053B19">
            <w:pPr>
              <w:rPr>
                <w:sz w:val="22"/>
                <w:szCs w:val="22"/>
                <w:lang w:val="en-GB"/>
              </w:rPr>
            </w:pPr>
            <w:r w:rsidRPr="00053B19">
              <w:rPr>
                <w:sz w:val="22"/>
                <w:szCs w:val="22"/>
                <w:lang w:val="en-GB"/>
              </w:rPr>
              <w:t>alopecia</w:t>
            </w:r>
          </w:p>
          <w:p w14:paraId="4B059682" w14:textId="77777777" w:rsidR="00191AEF" w:rsidRPr="00053B19" w:rsidRDefault="00191AEF" w:rsidP="00053B19">
            <w:pPr>
              <w:rPr>
                <w:sz w:val="22"/>
                <w:szCs w:val="22"/>
                <w:lang w:val="en-GB"/>
              </w:rPr>
            </w:pPr>
            <w:r w:rsidRPr="00053B19">
              <w:rPr>
                <w:sz w:val="22"/>
                <w:szCs w:val="22"/>
                <w:lang w:val="en-GB"/>
              </w:rPr>
              <w:t>hand foot skin reaction**</w:t>
            </w:r>
          </w:p>
          <w:p w14:paraId="306BC940" w14:textId="77777777" w:rsidR="00191AEF" w:rsidRPr="00053B19" w:rsidRDefault="00191AEF" w:rsidP="00053B19">
            <w:pPr>
              <w:rPr>
                <w:sz w:val="22"/>
                <w:szCs w:val="22"/>
                <w:lang w:val="en-GB"/>
              </w:rPr>
            </w:pPr>
            <w:r w:rsidRPr="00053B19">
              <w:rPr>
                <w:sz w:val="22"/>
                <w:szCs w:val="22"/>
                <w:lang w:val="en-GB"/>
              </w:rPr>
              <w:t>erythema</w:t>
            </w:r>
          </w:p>
          <w:p w14:paraId="321475CA" w14:textId="77777777" w:rsidR="00191AEF" w:rsidRPr="00053B19" w:rsidRDefault="00191AEF" w:rsidP="00053B19">
            <w:pPr>
              <w:rPr>
                <w:sz w:val="22"/>
                <w:szCs w:val="22"/>
                <w:lang w:val="en-GB"/>
              </w:rPr>
            </w:pPr>
            <w:r w:rsidRPr="00053B19">
              <w:rPr>
                <w:sz w:val="22"/>
                <w:szCs w:val="22"/>
                <w:lang w:val="en-GB"/>
              </w:rPr>
              <w:t>pruritus</w:t>
            </w:r>
          </w:p>
        </w:tc>
        <w:tc>
          <w:tcPr>
            <w:tcW w:w="929" w:type="pct"/>
            <w:tcBorders>
              <w:top w:val="single" w:sz="4" w:space="0" w:color="auto"/>
              <w:left w:val="single" w:sz="4" w:space="0" w:color="auto"/>
              <w:bottom w:val="single" w:sz="4" w:space="0" w:color="auto"/>
              <w:right w:val="single" w:sz="4" w:space="0" w:color="auto"/>
            </w:tcBorders>
            <w:hideMark/>
          </w:tcPr>
          <w:p w14:paraId="55F7A28B" w14:textId="77777777" w:rsidR="00191AEF" w:rsidRPr="00053B19" w:rsidRDefault="00191AEF" w:rsidP="00053B19">
            <w:pPr>
              <w:rPr>
                <w:sz w:val="22"/>
                <w:szCs w:val="22"/>
                <w:lang w:val="en-GB"/>
              </w:rPr>
            </w:pPr>
            <w:r w:rsidRPr="00053B19">
              <w:rPr>
                <w:sz w:val="22"/>
                <w:szCs w:val="22"/>
                <w:lang w:val="en-GB"/>
              </w:rPr>
              <w:t>keratoacanthoma/ squamous cell cancer of the skin</w:t>
            </w:r>
          </w:p>
          <w:p w14:paraId="1823985F" w14:textId="77777777" w:rsidR="00191AEF" w:rsidRPr="00366A21" w:rsidRDefault="00191AEF" w:rsidP="00053B19">
            <w:pPr>
              <w:rPr>
                <w:sz w:val="22"/>
                <w:szCs w:val="22"/>
                <w:lang w:val="da-DK"/>
              </w:rPr>
            </w:pPr>
            <w:proofErr w:type="spellStart"/>
            <w:r w:rsidRPr="00366A21">
              <w:rPr>
                <w:sz w:val="22"/>
                <w:szCs w:val="22"/>
                <w:lang w:val="da-DK"/>
              </w:rPr>
              <w:t>dermatitis</w:t>
            </w:r>
            <w:proofErr w:type="spellEnd"/>
            <w:r w:rsidRPr="00366A21">
              <w:rPr>
                <w:sz w:val="22"/>
                <w:szCs w:val="22"/>
                <w:lang w:val="da-DK"/>
              </w:rPr>
              <w:t xml:space="preserve"> </w:t>
            </w:r>
            <w:proofErr w:type="spellStart"/>
            <w:r w:rsidRPr="00366A21">
              <w:rPr>
                <w:sz w:val="22"/>
                <w:szCs w:val="22"/>
                <w:lang w:val="da-DK"/>
              </w:rPr>
              <w:t>exfoliative</w:t>
            </w:r>
            <w:proofErr w:type="spellEnd"/>
          </w:p>
          <w:p w14:paraId="2899413D" w14:textId="77777777" w:rsidR="00191AEF" w:rsidRPr="00366A21" w:rsidRDefault="00191AEF" w:rsidP="00053B19">
            <w:pPr>
              <w:rPr>
                <w:sz w:val="22"/>
                <w:szCs w:val="22"/>
                <w:lang w:val="da-DK"/>
              </w:rPr>
            </w:pPr>
            <w:proofErr w:type="spellStart"/>
            <w:r w:rsidRPr="00366A21">
              <w:rPr>
                <w:sz w:val="22"/>
                <w:szCs w:val="22"/>
                <w:lang w:val="da-DK"/>
              </w:rPr>
              <w:t>acne</w:t>
            </w:r>
            <w:proofErr w:type="spellEnd"/>
          </w:p>
          <w:p w14:paraId="1A689B00" w14:textId="77777777" w:rsidR="00191AEF" w:rsidRPr="00366A21" w:rsidRDefault="00191AEF" w:rsidP="00053B19">
            <w:pPr>
              <w:rPr>
                <w:sz w:val="22"/>
                <w:szCs w:val="22"/>
                <w:lang w:val="da-DK"/>
              </w:rPr>
            </w:pPr>
            <w:r w:rsidRPr="00366A21">
              <w:rPr>
                <w:sz w:val="22"/>
                <w:szCs w:val="22"/>
                <w:lang w:val="da-DK"/>
              </w:rPr>
              <w:t xml:space="preserve">skin </w:t>
            </w:r>
            <w:proofErr w:type="spellStart"/>
            <w:r w:rsidRPr="00366A21">
              <w:rPr>
                <w:sz w:val="22"/>
                <w:szCs w:val="22"/>
                <w:lang w:val="da-DK"/>
              </w:rPr>
              <w:t>desquamation</w:t>
            </w:r>
            <w:proofErr w:type="spellEnd"/>
          </w:p>
          <w:p w14:paraId="3A0F20AC" w14:textId="77777777" w:rsidR="00191AEF" w:rsidRPr="00366A21" w:rsidRDefault="00191AEF" w:rsidP="00053B19">
            <w:pPr>
              <w:rPr>
                <w:sz w:val="22"/>
                <w:szCs w:val="22"/>
                <w:lang w:val="da-DK"/>
              </w:rPr>
            </w:pPr>
            <w:proofErr w:type="spellStart"/>
            <w:r w:rsidRPr="00366A21">
              <w:rPr>
                <w:sz w:val="22"/>
                <w:szCs w:val="22"/>
                <w:lang w:val="da-DK"/>
              </w:rPr>
              <w:t>hyperkeratosis</w:t>
            </w:r>
            <w:proofErr w:type="spellEnd"/>
          </w:p>
        </w:tc>
        <w:tc>
          <w:tcPr>
            <w:tcW w:w="841" w:type="pct"/>
            <w:tcBorders>
              <w:top w:val="single" w:sz="4" w:space="0" w:color="auto"/>
              <w:left w:val="single" w:sz="4" w:space="0" w:color="auto"/>
              <w:bottom w:val="single" w:sz="4" w:space="0" w:color="auto"/>
              <w:right w:val="single" w:sz="4" w:space="0" w:color="auto"/>
            </w:tcBorders>
            <w:hideMark/>
          </w:tcPr>
          <w:p w14:paraId="71653FDF" w14:textId="77777777" w:rsidR="00191AEF" w:rsidRPr="00053B19" w:rsidRDefault="00191AEF" w:rsidP="00053B19">
            <w:pPr>
              <w:rPr>
                <w:sz w:val="22"/>
                <w:szCs w:val="22"/>
                <w:lang w:val="en-GB"/>
              </w:rPr>
            </w:pPr>
            <w:r w:rsidRPr="00053B19">
              <w:rPr>
                <w:sz w:val="22"/>
                <w:szCs w:val="22"/>
                <w:lang w:val="en-GB"/>
              </w:rPr>
              <w:t>eczema</w:t>
            </w:r>
          </w:p>
          <w:p w14:paraId="54504299" w14:textId="77777777" w:rsidR="00191AEF" w:rsidRPr="00053B19" w:rsidRDefault="00191AEF" w:rsidP="00053B19">
            <w:pPr>
              <w:rPr>
                <w:sz w:val="22"/>
                <w:szCs w:val="22"/>
                <w:lang w:val="en-GB"/>
              </w:rPr>
            </w:pPr>
            <w:r w:rsidRPr="00053B19">
              <w:rPr>
                <w:sz w:val="22"/>
                <w:szCs w:val="22"/>
                <w:lang w:val="en-GB"/>
              </w:rPr>
              <w:t>erythema</w:t>
            </w:r>
          </w:p>
          <w:p w14:paraId="2617D9B3" w14:textId="77777777" w:rsidR="00191AEF" w:rsidRPr="00053B19" w:rsidRDefault="00191AEF" w:rsidP="00053B19">
            <w:pPr>
              <w:rPr>
                <w:sz w:val="22"/>
                <w:szCs w:val="22"/>
                <w:lang w:val="en-GB"/>
              </w:rPr>
            </w:pPr>
            <w:r w:rsidRPr="00053B19">
              <w:rPr>
                <w:sz w:val="22"/>
                <w:szCs w:val="22"/>
                <w:lang w:val="en-GB"/>
              </w:rPr>
              <w:t>multiforme</w:t>
            </w:r>
          </w:p>
        </w:tc>
        <w:tc>
          <w:tcPr>
            <w:tcW w:w="841" w:type="pct"/>
            <w:tcBorders>
              <w:top w:val="single" w:sz="4" w:space="0" w:color="auto"/>
              <w:left w:val="single" w:sz="4" w:space="0" w:color="auto"/>
              <w:bottom w:val="single" w:sz="4" w:space="0" w:color="auto"/>
              <w:right w:val="single" w:sz="4" w:space="0" w:color="auto"/>
            </w:tcBorders>
            <w:hideMark/>
          </w:tcPr>
          <w:p w14:paraId="7C077400" w14:textId="77777777" w:rsidR="00191AEF" w:rsidRPr="00053B19" w:rsidRDefault="00191AEF" w:rsidP="00053B19">
            <w:pPr>
              <w:rPr>
                <w:sz w:val="22"/>
                <w:szCs w:val="22"/>
                <w:lang w:val="en-GB"/>
              </w:rPr>
            </w:pPr>
            <w:r w:rsidRPr="00053B19">
              <w:rPr>
                <w:sz w:val="22"/>
                <w:szCs w:val="22"/>
                <w:lang w:val="en-GB"/>
              </w:rPr>
              <w:t>radiation recall dermatitis Stevens-Johnson syndrome</w:t>
            </w:r>
          </w:p>
          <w:p w14:paraId="44FA2B3F" w14:textId="20391B3F" w:rsidR="00191AEF" w:rsidRPr="00053B19" w:rsidRDefault="00191AEF" w:rsidP="00053B19">
            <w:pPr>
              <w:rPr>
                <w:sz w:val="22"/>
                <w:szCs w:val="22"/>
                <w:lang w:val="en-GB"/>
              </w:rPr>
            </w:pPr>
            <w:proofErr w:type="spellStart"/>
            <w:r w:rsidRPr="00053B19">
              <w:rPr>
                <w:sz w:val="22"/>
                <w:szCs w:val="22"/>
                <w:lang w:val="en-GB"/>
              </w:rPr>
              <w:t>leucocytoclas</w:t>
            </w:r>
            <w:r w:rsidR="00053B19" w:rsidRPr="00053B19">
              <w:rPr>
                <w:sz w:val="22"/>
                <w:szCs w:val="22"/>
                <w:lang w:val="en-GB"/>
              </w:rPr>
              <w:softHyphen/>
            </w:r>
            <w:r w:rsidRPr="00053B19">
              <w:rPr>
                <w:sz w:val="22"/>
                <w:szCs w:val="22"/>
                <w:lang w:val="en-GB"/>
              </w:rPr>
              <w:t>tic</w:t>
            </w:r>
            <w:proofErr w:type="spellEnd"/>
            <w:r w:rsidRPr="00053B19">
              <w:rPr>
                <w:sz w:val="22"/>
                <w:szCs w:val="22"/>
                <w:lang w:val="en-GB"/>
              </w:rPr>
              <w:t xml:space="preserve"> vasculitis</w:t>
            </w:r>
          </w:p>
          <w:p w14:paraId="4C59E47B" w14:textId="77777777" w:rsidR="00191AEF" w:rsidRPr="00053B19" w:rsidRDefault="00191AEF" w:rsidP="00053B19">
            <w:pPr>
              <w:rPr>
                <w:sz w:val="22"/>
                <w:szCs w:val="22"/>
                <w:lang w:val="en-GB"/>
              </w:rPr>
            </w:pPr>
            <w:r w:rsidRPr="00053B19">
              <w:rPr>
                <w:sz w:val="22"/>
                <w:szCs w:val="22"/>
                <w:lang w:val="en-GB"/>
              </w:rPr>
              <w:t>toxic epidermal necrolysis*</w:t>
            </w:r>
          </w:p>
        </w:tc>
        <w:tc>
          <w:tcPr>
            <w:tcW w:w="841" w:type="pct"/>
            <w:tcBorders>
              <w:top w:val="single" w:sz="4" w:space="0" w:color="auto"/>
              <w:left w:val="single" w:sz="4" w:space="0" w:color="auto"/>
              <w:bottom w:val="single" w:sz="4" w:space="0" w:color="auto"/>
              <w:right w:val="single" w:sz="4" w:space="0" w:color="auto"/>
            </w:tcBorders>
          </w:tcPr>
          <w:p w14:paraId="2F9F1F4C" w14:textId="77777777" w:rsidR="00191AEF" w:rsidRPr="00053B19" w:rsidRDefault="00191AEF" w:rsidP="00053B19">
            <w:pPr>
              <w:rPr>
                <w:sz w:val="22"/>
                <w:szCs w:val="22"/>
                <w:lang w:val="en-GB"/>
              </w:rPr>
            </w:pPr>
          </w:p>
        </w:tc>
      </w:tr>
      <w:tr w:rsidR="00191AEF" w:rsidRPr="00053B19" w14:paraId="0AC83FA5"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F82E0B" w14:textId="77777777" w:rsidR="00191AEF" w:rsidRPr="00053B19" w:rsidRDefault="00191AEF" w:rsidP="00053B19">
            <w:pPr>
              <w:rPr>
                <w:sz w:val="22"/>
                <w:szCs w:val="22"/>
                <w:lang w:val="en-GB"/>
              </w:rPr>
            </w:pPr>
            <w:proofErr w:type="spellStart"/>
            <w:r w:rsidRPr="00053B19">
              <w:rPr>
                <w:sz w:val="22"/>
                <w:szCs w:val="22"/>
                <w:lang w:val="en-GB"/>
              </w:rPr>
              <w:t>Musculo</w:t>
            </w:r>
            <w:proofErr w:type="spellEnd"/>
            <w:r w:rsidRPr="00053B19">
              <w:rPr>
                <w:sz w:val="22"/>
                <w:szCs w:val="22"/>
                <w:lang w:val="en-GB"/>
              </w:rPr>
              <w:t>- skeletal and connective tissue disorders</w:t>
            </w:r>
          </w:p>
        </w:tc>
        <w:tc>
          <w:tcPr>
            <w:tcW w:w="796" w:type="pct"/>
            <w:tcBorders>
              <w:top w:val="single" w:sz="4" w:space="0" w:color="auto"/>
              <w:left w:val="single" w:sz="4" w:space="0" w:color="auto"/>
              <w:bottom w:val="single" w:sz="4" w:space="0" w:color="auto"/>
              <w:right w:val="single" w:sz="4" w:space="0" w:color="auto"/>
            </w:tcBorders>
            <w:hideMark/>
          </w:tcPr>
          <w:p w14:paraId="570B11B8" w14:textId="77777777" w:rsidR="00191AEF" w:rsidRPr="00053B19" w:rsidRDefault="00191AEF" w:rsidP="00053B19">
            <w:pPr>
              <w:rPr>
                <w:sz w:val="22"/>
                <w:szCs w:val="22"/>
                <w:lang w:val="en-GB"/>
              </w:rPr>
            </w:pPr>
            <w:r w:rsidRPr="00053B19">
              <w:rPr>
                <w:sz w:val="22"/>
                <w:szCs w:val="22"/>
                <w:lang w:val="en-GB"/>
              </w:rPr>
              <w:t>arthralgia</w:t>
            </w:r>
          </w:p>
        </w:tc>
        <w:tc>
          <w:tcPr>
            <w:tcW w:w="929" w:type="pct"/>
            <w:tcBorders>
              <w:top w:val="single" w:sz="4" w:space="0" w:color="auto"/>
              <w:left w:val="single" w:sz="4" w:space="0" w:color="auto"/>
              <w:bottom w:val="single" w:sz="4" w:space="0" w:color="auto"/>
              <w:right w:val="single" w:sz="4" w:space="0" w:color="auto"/>
            </w:tcBorders>
            <w:hideMark/>
          </w:tcPr>
          <w:p w14:paraId="5EB3A2BF" w14:textId="77777777" w:rsidR="00191AEF" w:rsidRPr="00053B19" w:rsidRDefault="00191AEF" w:rsidP="00053B19">
            <w:pPr>
              <w:rPr>
                <w:sz w:val="22"/>
                <w:szCs w:val="22"/>
                <w:lang w:val="en-GB"/>
              </w:rPr>
            </w:pPr>
            <w:r w:rsidRPr="00053B19">
              <w:rPr>
                <w:sz w:val="22"/>
                <w:szCs w:val="22"/>
                <w:lang w:val="en-GB"/>
              </w:rPr>
              <w:t>myalgia</w:t>
            </w:r>
          </w:p>
          <w:p w14:paraId="2C777099" w14:textId="77777777" w:rsidR="00191AEF" w:rsidRPr="00053B19" w:rsidRDefault="00191AEF" w:rsidP="00053B19">
            <w:pPr>
              <w:rPr>
                <w:sz w:val="22"/>
                <w:szCs w:val="22"/>
                <w:lang w:val="en-GB"/>
              </w:rPr>
            </w:pPr>
            <w:r w:rsidRPr="00053B19">
              <w:rPr>
                <w:sz w:val="22"/>
                <w:szCs w:val="22"/>
                <w:lang w:val="en-GB"/>
              </w:rPr>
              <w:t>muscle spasms</w:t>
            </w:r>
          </w:p>
        </w:tc>
        <w:tc>
          <w:tcPr>
            <w:tcW w:w="841" w:type="pct"/>
            <w:tcBorders>
              <w:top w:val="single" w:sz="4" w:space="0" w:color="auto"/>
              <w:left w:val="single" w:sz="4" w:space="0" w:color="auto"/>
              <w:bottom w:val="single" w:sz="4" w:space="0" w:color="auto"/>
              <w:right w:val="single" w:sz="4" w:space="0" w:color="auto"/>
            </w:tcBorders>
          </w:tcPr>
          <w:p w14:paraId="7D27770B"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hideMark/>
          </w:tcPr>
          <w:p w14:paraId="6E0EDC8D" w14:textId="77777777" w:rsidR="00191AEF" w:rsidRPr="00053B19" w:rsidRDefault="00191AEF" w:rsidP="00053B19">
            <w:pPr>
              <w:rPr>
                <w:sz w:val="22"/>
                <w:szCs w:val="22"/>
                <w:lang w:val="en-GB"/>
              </w:rPr>
            </w:pPr>
            <w:r w:rsidRPr="00053B19">
              <w:rPr>
                <w:sz w:val="22"/>
                <w:szCs w:val="22"/>
                <w:lang w:val="en-GB"/>
              </w:rPr>
              <w:t>rhabdomyolysis</w:t>
            </w:r>
          </w:p>
        </w:tc>
        <w:tc>
          <w:tcPr>
            <w:tcW w:w="841" w:type="pct"/>
            <w:tcBorders>
              <w:top w:val="single" w:sz="4" w:space="0" w:color="auto"/>
              <w:left w:val="single" w:sz="4" w:space="0" w:color="auto"/>
              <w:bottom w:val="single" w:sz="4" w:space="0" w:color="auto"/>
              <w:right w:val="single" w:sz="4" w:space="0" w:color="auto"/>
            </w:tcBorders>
          </w:tcPr>
          <w:p w14:paraId="4B2FFB4B" w14:textId="77777777" w:rsidR="00191AEF" w:rsidRPr="00053B19" w:rsidRDefault="00191AEF" w:rsidP="00053B19">
            <w:pPr>
              <w:rPr>
                <w:sz w:val="22"/>
                <w:szCs w:val="22"/>
                <w:lang w:val="en-GB"/>
              </w:rPr>
            </w:pPr>
          </w:p>
        </w:tc>
      </w:tr>
      <w:tr w:rsidR="00191AEF" w:rsidRPr="00053B19" w14:paraId="099235A7"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E56C9" w14:textId="77777777" w:rsidR="00191AEF" w:rsidRPr="00053B19" w:rsidRDefault="00191AEF" w:rsidP="00053B19">
            <w:pPr>
              <w:rPr>
                <w:sz w:val="22"/>
                <w:szCs w:val="22"/>
                <w:lang w:val="en-GB"/>
              </w:rPr>
            </w:pPr>
            <w:r w:rsidRPr="00053B19">
              <w:rPr>
                <w:sz w:val="22"/>
                <w:szCs w:val="22"/>
                <w:lang w:val="en-GB"/>
              </w:rPr>
              <w:t>Renal and urinary disorders</w:t>
            </w:r>
          </w:p>
        </w:tc>
        <w:tc>
          <w:tcPr>
            <w:tcW w:w="796" w:type="pct"/>
            <w:tcBorders>
              <w:top w:val="single" w:sz="4" w:space="0" w:color="auto"/>
              <w:left w:val="single" w:sz="4" w:space="0" w:color="auto"/>
              <w:bottom w:val="single" w:sz="4" w:space="0" w:color="auto"/>
              <w:right w:val="single" w:sz="4" w:space="0" w:color="auto"/>
            </w:tcBorders>
          </w:tcPr>
          <w:p w14:paraId="55943F8D" w14:textId="77777777" w:rsidR="00191AEF" w:rsidRPr="00053B19" w:rsidRDefault="00191AEF" w:rsidP="00053B19">
            <w:pPr>
              <w:rPr>
                <w:sz w:val="22"/>
                <w:szCs w:val="22"/>
                <w:lang w:val="en-GB"/>
              </w:rPr>
            </w:pPr>
          </w:p>
        </w:tc>
        <w:tc>
          <w:tcPr>
            <w:tcW w:w="929" w:type="pct"/>
            <w:tcBorders>
              <w:top w:val="single" w:sz="4" w:space="0" w:color="auto"/>
              <w:left w:val="single" w:sz="4" w:space="0" w:color="auto"/>
              <w:bottom w:val="single" w:sz="4" w:space="0" w:color="auto"/>
              <w:right w:val="single" w:sz="4" w:space="0" w:color="auto"/>
            </w:tcBorders>
            <w:hideMark/>
          </w:tcPr>
          <w:p w14:paraId="3356D898" w14:textId="77777777" w:rsidR="00191AEF" w:rsidRPr="00053B19" w:rsidRDefault="00191AEF" w:rsidP="00053B19">
            <w:pPr>
              <w:rPr>
                <w:sz w:val="22"/>
                <w:szCs w:val="22"/>
                <w:lang w:val="en-GB"/>
              </w:rPr>
            </w:pPr>
            <w:r w:rsidRPr="00053B19">
              <w:rPr>
                <w:sz w:val="22"/>
                <w:szCs w:val="22"/>
                <w:lang w:val="en-GB"/>
              </w:rPr>
              <w:t>renal failure</w:t>
            </w:r>
          </w:p>
          <w:p w14:paraId="25C006ED" w14:textId="77777777" w:rsidR="00191AEF" w:rsidRPr="00053B19" w:rsidRDefault="00191AEF" w:rsidP="00053B19">
            <w:pPr>
              <w:rPr>
                <w:sz w:val="22"/>
                <w:szCs w:val="22"/>
                <w:lang w:val="en-GB"/>
              </w:rPr>
            </w:pPr>
            <w:r w:rsidRPr="00053B19">
              <w:rPr>
                <w:sz w:val="22"/>
                <w:szCs w:val="22"/>
                <w:lang w:val="en-GB"/>
              </w:rPr>
              <w:t>proteinuria</w:t>
            </w:r>
          </w:p>
        </w:tc>
        <w:tc>
          <w:tcPr>
            <w:tcW w:w="841" w:type="pct"/>
            <w:tcBorders>
              <w:top w:val="single" w:sz="4" w:space="0" w:color="auto"/>
              <w:left w:val="single" w:sz="4" w:space="0" w:color="auto"/>
              <w:bottom w:val="single" w:sz="4" w:space="0" w:color="auto"/>
              <w:right w:val="single" w:sz="4" w:space="0" w:color="auto"/>
            </w:tcBorders>
          </w:tcPr>
          <w:p w14:paraId="52D6856B"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hideMark/>
          </w:tcPr>
          <w:p w14:paraId="0AC9331D" w14:textId="77777777" w:rsidR="00191AEF" w:rsidRPr="00053B19" w:rsidRDefault="00191AEF" w:rsidP="00053B19">
            <w:pPr>
              <w:rPr>
                <w:sz w:val="22"/>
                <w:szCs w:val="22"/>
                <w:lang w:val="en-GB"/>
              </w:rPr>
            </w:pPr>
            <w:r w:rsidRPr="00053B19">
              <w:rPr>
                <w:sz w:val="22"/>
                <w:szCs w:val="22"/>
                <w:lang w:val="en-GB"/>
              </w:rPr>
              <w:t>nephrotic syndrome</w:t>
            </w:r>
          </w:p>
        </w:tc>
        <w:tc>
          <w:tcPr>
            <w:tcW w:w="841" w:type="pct"/>
            <w:tcBorders>
              <w:top w:val="single" w:sz="4" w:space="0" w:color="auto"/>
              <w:left w:val="single" w:sz="4" w:space="0" w:color="auto"/>
              <w:bottom w:val="single" w:sz="4" w:space="0" w:color="auto"/>
              <w:right w:val="single" w:sz="4" w:space="0" w:color="auto"/>
            </w:tcBorders>
          </w:tcPr>
          <w:p w14:paraId="63BA9FD2" w14:textId="77777777" w:rsidR="00191AEF" w:rsidRPr="00053B19" w:rsidRDefault="00191AEF" w:rsidP="00053B19">
            <w:pPr>
              <w:rPr>
                <w:sz w:val="22"/>
                <w:szCs w:val="22"/>
                <w:lang w:val="en-GB"/>
              </w:rPr>
            </w:pPr>
          </w:p>
        </w:tc>
      </w:tr>
      <w:tr w:rsidR="00191AEF" w:rsidRPr="00053B19" w14:paraId="518440D0"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20EC88" w14:textId="77777777" w:rsidR="00191AEF" w:rsidRPr="00053B19" w:rsidRDefault="00191AEF" w:rsidP="00053B19">
            <w:pPr>
              <w:rPr>
                <w:sz w:val="22"/>
                <w:szCs w:val="22"/>
                <w:lang w:val="en-GB"/>
              </w:rPr>
            </w:pPr>
            <w:r w:rsidRPr="00053B19">
              <w:rPr>
                <w:sz w:val="22"/>
                <w:szCs w:val="22"/>
                <w:lang w:val="en-GB"/>
              </w:rPr>
              <w:t>Reproductive system and breast disorders</w:t>
            </w:r>
          </w:p>
        </w:tc>
        <w:tc>
          <w:tcPr>
            <w:tcW w:w="796" w:type="pct"/>
            <w:tcBorders>
              <w:top w:val="single" w:sz="4" w:space="0" w:color="auto"/>
              <w:left w:val="single" w:sz="4" w:space="0" w:color="auto"/>
              <w:bottom w:val="single" w:sz="4" w:space="0" w:color="auto"/>
              <w:right w:val="single" w:sz="4" w:space="0" w:color="auto"/>
            </w:tcBorders>
          </w:tcPr>
          <w:p w14:paraId="0F1F0556" w14:textId="77777777" w:rsidR="00191AEF" w:rsidRPr="00053B19" w:rsidRDefault="00191AEF" w:rsidP="00053B19">
            <w:pPr>
              <w:rPr>
                <w:sz w:val="22"/>
                <w:szCs w:val="22"/>
                <w:lang w:val="en-GB"/>
              </w:rPr>
            </w:pPr>
          </w:p>
        </w:tc>
        <w:tc>
          <w:tcPr>
            <w:tcW w:w="929" w:type="pct"/>
            <w:tcBorders>
              <w:top w:val="single" w:sz="4" w:space="0" w:color="auto"/>
              <w:left w:val="single" w:sz="4" w:space="0" w:color="auto"/>
              <w:bottom w:val="single" w:sz="4" w:space="0" w:color="auto"/>
              <w:right w:val="single" w:sz="4" w:space="0" w:color="auto"/>
            </w:tcBorders>
            <w:hideMark/>
          </w:tcPr>
          <w:p w14:paraId="341C653F" w14:textId="77777777" w:rsidR="00191AEF" w:rsidRPr="00053B19" w:rsidRDefault="00191AEF" w:rsidP="00053B19">
            <w:pPr>
              <w:rPr>
                <w:sz w:val="22"/>
                <w:szCs w:val="22"/>
                <w:lang w:val="en-GB"/>
              </w:rPr>
            </w:pPr>
            <w:r w:rsidRPr="00053B19">
              <w:rPr>
                <w:sz w:val="22"/>
                <w:szCs w:val="22"/>
                <w:lang w:val="en-GB"/>
              </w:rPr>
              <w:t>erectile dysfunction</w:t>
            </w:r>
          </w:p>
        </w:tc>
        <w:tc>
          <w:tcPr>
            <w:tcW w:w="841" w:type="pct"/>
            <w:tcBorders>
              <w:top w:val="single" w:sz="4" w:space="0" w:color="auto"/>
              <w:left w:val="single" w:sz="4" w:space="0" w:color="auto"/>
              <w:bottom w:val="single" w:sz="4" w:space="0" w:color="auto"/>
              <w:right w:val="single" w:sz="4" w:space="0" w:color="auto"/>
            </w:tcBorders>
            <w:hideMark/>
          </w:tcPr>
          <w:p w14:paraId="4064F3C9" w14:textId="77777777" w:rsidR="00191AEF" w:rsidRPr="00053B19" w:rsidRDefault="00191AEF" w:rsidP="00053B19">
            <w:pPr>
              <w:rPr>
                <w:sz w:val="22"/>
                <w:szCs w:val="22"/>
                <w:lang w:val="en-GB"/>
              </w:rPr>
            </w:pPr>
            <w:r w:rsidRPr="00053B19">
              <w:rPr>
                <w:sz w:val="22"/>
                <w:szCs w:val="22"/>
                <w:lang w:val="en-GB"/>
              </w:rPr>
              <w:t>gynaecomastia</w:t>
            </w:r>
          </w:p>
        </w:tc>
        <w:tc>
          <w:tcPr>
            <w:tcW w:w="841" w:type="pct"/>
            <w:tcBorders>
              <w:top w:val="single" w:sz="4" w:space="0" w:color="auto"/>
              <w:left w:val="single" w:sz="4" w:space="0" w:color="auto"/>
              <w:bottom w:val="single" w:sz="4" w:space="0" w:color="auto"/>
              <w:right w:val="single" w:sz="4" w:space="0" w:color="auto"/>
            </w:tcBorders>
          </w:tcPr>
          <w:p w14:paraId="7BE92DF3"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3B94AB81" w14:textId="77777777" w:rsidR="00191AEF" w:rsidRPr="00053B19" w:rsidRDefault="00191AEF" w:rsidP="00053B19">
            <w:pPr>
              <w:rPr>
                <w:sz w:val="22"/>
                <w:szCs w:val="22"/>
                <w:lang w:val="en-GB"/>
              </w:rPr>
            </w:pPr>
          </w:p>
        </w:tc>
      </w:tr>
      <w:tr w:rsidR="00191AEF" w:rsidRPr="00B01393" w14:paraId="2ECD87CC"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75A4E" w14:textId="36D9C4DC" w:rsidR="00191AEF" w:rsidRPr="00053B19" w:rsidRDefault="00191AEF" w:rsidP="00053B19">
            <w:pPr>
              <w:rPr>
                <w:sz w:val="22"/>
                <w:szCs w:val="22"/>
                <w:lang w:val="en-GB"/>
              </w:rPr>
            </w:pPr>
            <w:r w:rsidRPr="00053B19">
              <w:rPr>
                <w:sz w:val="22"/>
                <w:szCs w:val="22"/>
                <w:lang w:val="en-GB"/>
              </w:rPr>
              <w:t>General disorders and administra</w:t>
            </w:r>
            <w:r w:rsidR="00053B19" w:rsidRPr="00053B19">
              <w:rPr>
                <w:sz w:val="22"/>
                <w:szCs w:val="22"/>
                <w:lang w:val="en-GB"/>
              </w:rPr>
              <w:softHyphen/>
            </w:r>
            <w:r w:rsidRPr="00053B19">
              <w:rPr>
                <w:sz w:val="22"/>
                <w:szCs w:val="22"/>
                <w:lang w:val="en-GB"/>
              </w:rPr>
              <w:t>tion site conditions</w:t>
            </w:r>
          </w:p>
        </w:tc>
        <w:tc>
          <w:tcPr>
            <w:tcW w:w="796" w:type="pct"/>
            <w:tcBorders>
              <w:top w:val="single" w:sz="4" w:space="0" w:color="auto"/>
              <w:left w:val="single" w:sz="4" w:space="0" w:color="auto"/>
              <w:bottom w:val="single" w:sz="4" w:space="0" w:color="auto"/>
              <w:right w:val="single" w:sz="4" w:space="0" w:color="auto"/>
            </w:tcBorders>
            <w:hideMark/>
          </w:tcPr>
          <w:p w14:paraId="6A104E01" w14:textId="77777777" w:rsidR="00191AEF" w:rsidRPr="00053B19" w:rsidRDefault="00191AEF" w:rsidP="00053B19">
            <w:pPr>
              <w:rPr>
                <w:sz w:val="22"/>
                <w:szCs w:val="22"/>
                <w:lang w:val="en-GB"/>
              </w:rPr>
            </w:pPr>
            <w:r w:rsidRPr="00053B19">
              <w:rPr>
                <w:sz w:val="22"/>
                <w:szCs w:val="22"/>
                <w:lang w:val="en-GB"/>
              </w:rPr>
              <w:t>fatigue</w:t>
            </w:r>
          </w:p>
          <w:p w14:paraId="0E8D7D3E" w14:textId="77777777" w:rsidR="00191AEF" w:rsidRPr="00053B19" w:rsidRDefault="00191AEF" w:rsidP="00053B19">
            <w:pPr>
              <w:rPr>
                <w:sz w:val="22"/>
                <w:szCs w:val="22"/>
                <w:lang w:val="en-GB"/>
              </w:rPr>
            </w:pPr>
            <w:r w:rsidRPr="00053B19">
              <w:rPr>
                <w:sz w:val="22"/>
                <w:szCs w:val="22"/>
                <w:lang w:val="en-GB"/>
              </w:rPr>
              <w:t>pain (including mouth, abdominal, bone, tumour pain and headache)</w:t>
            </w:r>
          </w:p>
          <w:p w14:paraId="650A772F" w14:textId="77777777" w:rsidR="00191AEF" w:rsidRPr="00053B19" w:rsidRDefault="00191AEF" w:rsidP="00053B19">
            <w:pPr>
              <w:rPr>
                <w:sz w:val="22"/>
                <w:szCs w:val="22"/>
                <w:lang w:val="en-GB"/>
              </w:rPr>
            </w:pPr>
            <w:r w:rsidRPr="00053B19">
              <w:rPr>
                <w:sz w:val="22"/>
                <w:szCs w:val="22"/>
                <w:lang w:val="en-GB"/>
              </w:rPr>
              <w:t>fever</w:t>
            </w:r>
          </w:p>
        </w:tc>
        <w:tc>
          <w:tcPr>
            <w:tcW w:w="929" w:type="pct"/>
            <w:tcBorders>
              <w:top w:val="single" w:sz="4" w:space="0" w:color="auto"/>
              <w:left w:val="single" w:sz="4" w:space="0" w:color="auto"/>
              <w:bottom w:val="single" w:sz="4" w:space="0" w:color="auto"/>
              <w:right w:val="single" w:sz="4" w:space="0" w:color="auto"/>
            </w:tcBorders>
            <w:hideMark/>
          </w:tcPr>
          <w:p w14:paraId="5D8B20BC" w14:textId="77777777" w:rsidR="00191AEF" w:rsidRPr="00053B19" w:rsidRDefault="00191AEF" w:rsidP="00053B19">
            <w:pPr>
              <w:rPr>
                <w:sz w:val="22"/>
                <w:szCs w:val="22"/>
                <w:lang w:val="en-GB"/>
              </w:rPr>
            </w:pPr>
            <w:r w:rsidRPr="00053B19">
              <w:rPr>
                <w:sz w:val="22"/>
                <w:szCs w:val="22"/>
                <w:lang w:val="en-GB"/>
              </w:rPr>
              <w:t>asthenia</w:t>
            </w:r>
          </w:p>
          <w:p w14:paraId="3D73C442" w14:textId="77777777" w:rsidR="00191AEF" w:rsidRPr="00053B19" w:rsidRDefault="00191AEF" w:rsidP="00053B19">
            <w:pPr>
              <w:rPr>
                <w:sz w:val="22"/>
                <w:szCs w:val="22"/>
                <w:lang w:val="en-GB"/>
              </w:rPr>
            </w:pPr>
            <w:r w:rsidRPr="00053B19">
              <w:rPr>
                <w:sz w:val="22"/>
                <w:szCs w:val="22"/>
                <w:lang w:val="en-GB"/>
              </w:rPr>
              <w:t>influenza like illness</w:t>
            </w:r>
          </w:p>
          <w:p w14:paraId="1D3CEA66" w14:textId="77777777" w:rsidR="00191AEF" w:rsidRPr="00053B19" w:rsidRDefault="00191AEF" w:rsidP="00053B19">
            <w:pPr>
              <w:rPr>
                <w:sz w:val="22"/>
                <w:szCs w:val="22"/>
                <w:lang w:val="en-GB"/>
              </w:rPr>
            </w:pPr>
            <w:r w:rsidRPr="00053B19">
              <w:rPr>
                <w:sz w:val="22"/>
                <w:szCs w:val="22"/>
                <w:lang w:val="en-GB"/>
              </w:rPr>
              <w:t>mucosal inflammation</w:t>
            </w:r>
          </w:p>
        </w:tc>
        <w:tc>
          <w:tcPr>
            <w:tcW w:w="841" w:type="pct"/>
            <w:tcBorders>
              <w:top w:val="single" w:sz="4" w:space="0" w:color="auto"/>
              <w:left w:val="single" w:sz="4" w:space="0" w:color="auto"/>
              <w:bottom w:val="single" w:sz="4" w:space="0" w:color="auto"/>
              <w:right w:val="single" w:sz="4" w:space="0" w:color="auto"/>
            </w:tcBorders>
          </w:tcPr>
          <w:p w14:paraId="44F91D67"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23E9C3CC"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5A09389B" w14:textId="77777777" w:rsidR="00191AEF" w:rsidRPr="00053B19" w:rsidRDefault="00191AEF" w:rsidP="00053B19">
            <w:pPr>
              <w:rPr>
                <w:sz w:val="22"/>
                <w:szCs w:val="22"/>
                <w:lang w:val="en-GB"/>
              </w:rPr>
            </w:pPr>
          </w:p>
        </w:tc>
      </w:tr>
      <w:tr w:rsidR="00191AEF" w:rsidRPr="00B01393" w14:paraId="6E2003B0" w14:textId="77777777" w:rsidTr="00053B19">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DF6FC2" w14:textId="50AA7866" w:rsidR="00191AEF" w:rsidRPr="00053B19" w:rsidRDefault="00191AEF" w:rsidP="00053B19">
            <w:pPr>
              <w:rPr>
                <w:sz w:val="22"/>
                <w:szCs w:val="22"/>
                <w:lang w:val="en-GB"/>
              </w:rPr>
            </w:pPr>
            <w:r w:rsidRPr="00053B19">
              <w:rPr>
                <w:sz w:val="22"/>
                <w:szCs w:val="22"/>
                <w:lang w:val="en-GB"/>
              </w:rPr>
              <w:t>Investiga</w:t>
            </w:r>
            <w:r w:rsidR="00053B19" w:rsidRPr="00053B19">
              <w:rPr>
                <w:sz w:val="22"/>
                <w:szCs w:val="22"/>
                <w:lang w:val="en-GB"/>
              </w:rPr>
              <w:softHyphen/>
            </w:r>
            <w:r w:rsidRPr="00053B19">
              <w:rPr>
                <w:sz w:val="22"/>
                <w:szCs w:val="22"/>
                <w:lang w:val="en-GB"/>
              </w:rPr>
              <w:t>tion</w:t>
            </w:r>
            <w:r w:rsidR="00053B19" w:rsidRPr="00053B19">
              <w:rPr>
                <w:sz w:val="22"/>
                <w:szCs w:val="22"/>
                <w:lang w:val="en-GB"/>
              </w:rPr>
              <w:t>s</w:t>
            </w:r>
          </w:p>
        </w:tc>
        <w:tc>
          <w:tcPr>
            <w:tcW w:w="796" w:type="pct"/>
            <w:tcBorders>
              <w:top w:val="single" w:sz="4" w:space="0" w:color="auto"/>
              <w:left w:val="single" w:sz="4" w:space="0" w:color="auto"/>
              <w:bottom w:val="single" w:sz="4" w:space="0" w:color="auto"/>
              <w:right w:val="single" w:sz="4" w:space="0" w:color="auto"/>
            </w:tcBorders>
            <w:hideMark/>
          </w:tcPr>
          <w:p w14:paraId="1FCF265E" w14:textId="77777777" w:rsidR="00191AEF" w:rsidRPr="00053B19" w:rsidRDefault="00191AEF" w:rsidP="00053B19">
            <w:pPr>
              <w:rPr>
                <w:sz w:val="22"/>
                <w:szCs w:val="22"/>
                <w:lang w:val="en-GB"/>
              </w:rPr>
            </w:pPr>
            <w:r w:rsidRPr="00053B19">
              <w:rPr>
                <w:sz w:val="22"/>
                <w:szCs w:val="22"/>
                <w:lang w:val="en-GB"/>
              </w:rPr>
              <w:t>weight decreased</w:t>
            </w:r>
          </w:p>
          <w:p w14:paraId="68FFA329" w14:textId="77777777" w:rsidR="00191AEF" w:rsidRPr="00053B19" w:rsidRDefault="00191AEF" w:rsidP="00053B19">
            <w:pPr>
              <w:rPr>
                <w:sz w:val="22"/>
                <w:szCs w:val="22"/>
                <w:lang w:val="en-GB"/>
              </w:rPr>
            </w:pPr>
            <w:r w:rsidRPr="00053B19">
              <w:rPr>
                <w:sz w:val="22"/>
                <w:szCs w:val="22"/>
                <w:lang w:val="en-GB"/>
              </w:rPr>
              <w:lastRenderedPageBreak/>
              <w:t>increased amylase</w:t>
            </w:r>
          </w:p>
          <w:p w14:paraId="322352E2" w14:textId="77777777" w:rsidR="00191AEF" w:rsidRPr="00053B19" w:rsidRDefault="00191AEF" w:rsidP="00053B19">
            <w:pPr>
              <w:rPr>
                <w:sz w:val="22"/>
                <w:szCs w:val="22"/>
                <w:lang w:val="en-GB"/>
              </w:rPr>
            </w:pPr>
            <w:r w:rsidRPr="00053B19">
              <w:rPr>
                <w:sz w:val="22"/>
                <w:szCs w:val="22"/>
                <w:lang w:val="en-GB"/>
              </w:rPr>
              <w:t>increased lipase</w:t>
            </w:r>
          </w:p>
        </w:tc>
        <w:tc>
          <w:tcPr>
            <w:tcW w:w="929" w:type="pct"/>
            <w:tcBorders>
              <w:top w:val="single" w:sz="4" w:space="0" w:color="auto"/>
              <w:left w:val="single" w:sz="4" w:space="0" w:color="auto"/>
              <w:bottom w:val="single" w:sz="4" w:space="0" w:color="auto"/>
              <w:right w:val="single" w:sz="4" w:space="0" w:color="auto"/>
            </w:tcBorders>
            <w:hideMark/>
          </w:tcPr>
          <w:p w14:paraId="102F6CAA" w14:textId="77777777" w:rsidR="00191AEF" w:rsidRPr="00053B19" w:rsidRDefault="00191AEF" w:rsidP="00053B19">
            <w:pPr>
              <w:rPr>
                <w:sz w:val="22"/>
                <w:szCs w:val="22"/>
                <w:lang w:val="en-GB"/>
              </w:rPr>
            </w:pPr>
            <w:r w:rsidRPr="00053B19">
              <w:rPr>
                <w:sz w:val="22"/>
                <w:szCs w:val="22"/>
                <w:lang w:val="en-GB"/>
              </w:rPr>
              <w:lastRenderedPageBreak/>
              <w:t>transient increase in transaminases</w:t>
            </w:r>
          </w:p>
        </w:tc>
        <w:tc>
          <w:tcPr>
            <w:tcW w:w="841" w:type="pct"/>
            <w:tcBorders>
              <w:top w:val="single" w:sz="4" w:space="0" w:color="auto"/>
              <w:left w:val="single" w:sz="4" w:space="0" w:color="auto"/>
              <w:bottom w:val="single" w:sz="4" w:space="0" w:color="auto"/>
              <w:right w:val="single" w:sz="4" w:space="0" w:color="auto"/>
            </w:tcBorders>
            <w:hideMark/>
          </w:tcPr>
          <w:p w14:paraId="066870F4" w14:textId="77777777" w:rsidR="00191AEF" w:rsidRPr="00053B19" w:rsidRDefault="00191AEF" w:rsidP="00053B19">
            <w:pPr>
              <w:rPr>
                <w:sz w:val="22"/>
                <w:szCs w:val="22"/>
                <w:lang w:val="en-GB"/>
              </w:rPr>
            </w:pPr>
            <w:r w:rsidRPr="00053B19">
              <w:rPr>
                <w:sz w:val="22"/>
                <w:szCs w:val="22"/>
                <w:lang w:val="en-GB"/>
              </w:rPr>
              <w:t xml:space="preserve">transient increase in blood </w:t>
            </w:r>
            <w:r w:rsidRPr="00053B19">
              <w:rPr>
                <w:sz w:val="22"/>
                <w:szCs w:val="22"/>
                <w:lang w:val="en-GB"/>
              </w:rPr>
              <w:lastRenderedPageBreak/>
              <w:t>alkaline phosphatase</w:t>
            </w:r>
          </w:p>
          <w:p w14:paraId="6FC20725" w14:textId="77777777" w:rsidR="00191AEF" w:rsidRPr="00053B19" w:rsidRDefault="00191AEF" w:rsidP="00053B19">
            <w:pPr>
              <w:rPr>
                <w:sz w:val="22"/>
                <w:szCs w:val="22"/>
                <w:lang w:val="en-GB"/>
              </w:rPr>
            </w:pPr>
            <w:r w:rsidRPr="00053B19">
              <w:rPr>
                <w:sz w:val="22"/>
                <w:szCs w:val="22"/>
                <w:lang w:val="en-GB"/>
              </w:rPr>
              <w:t>INR abnormal, prothrombin level abnormal</w:t>
            </w:r>
          </w:p>
        </w:tc>
        <w:tc>
          <w:tcPr>
            <w:tcW w:w="841" w:type="pct"/>
            <w:tcBorders>
              <w:top w:val="single" w:sz="4" w:space="0" w:color="auto"/>
              <w:left w:val="single" w:sz="4" w:space="0" w:color="auto"/>
              <w:bottom w:val="single" w:sz="4" w:space="0" w:color="auto"/>
              <w:right w:val="single" w:sz="4" w:space="0" w:color="auto"/>
            </w:tcBorders>
          </w:tcPr>
          <w:p w14:paraId="019913BA" w14:textId="77777777" w:rsidR="00191AEF" w:rsidRPr="00053B19" w:rsidRDefault="00191AEF" w:rsidP="00053B19">
            <w:pPr>
              <w:rPr>
                <w:sz w:val="22"/>
                <w:szCs w:val="22"/>
                <w:lang w:val="en-GB"/>
              </w:rPr>
            </w:pPr>
          </w:p>
        </w:tc>
        <w:tc>
          <w:tcPr>
            <w:tcW w:w="841" w:type="pct"/>
            <w:tcBorders>
              <w:top w:val="single" w:sz="4" w:space="0" w:color="auto"/>
              <w:left w:val="single" w:sz="4" w:space="0" w:color="auto"/>
              <w:bottom w:val="single" w:sz="4" w:space="0" w:color="auto"/>
              <w:right w:val="single" w:sz="4" w:space="0" w:color="auto"/>
            </w:tcBorders>
          </w:tcPr>
          <w:p w14:paraId="68966EA8" w14:textId="77777777" w:rsidR="00191AEF" w:rsidRPr="00053B19" w:rsidRDefault="00191AEF" w:rsidP="00053B19">
            <w:pPr>
              <w:rPr>
                <w:sz w:val="22"/>
                <w:szCs w:val="22"/>
                <w:lang w:val="en-GB"/>
              </w:rPr>
            </w:pPr>
          </w:p>
        </w:tc>
      </w:tr>
    </w:tbl>
    <w:p w14:paraId="5D3A6861" w14:textId="77777777" w:rsidR="00191AEF" w:rsidRPr="00053B19" w:rsidRDefault="00191AEF" w:rsidP="00E76924">
      <w:pPr>
        <w:ind w:left="426" w:hanging="426"/>
        <w:rPr>
          <w:sz w:val="24"/>
          <w:szCs w:val="24"/>
          <w:lang w:val="en-GB" w:eastAsia="en-GB"/>
        </w:rPr>
      </w:pPr>
      <w:r w:rsidRPr="00053B19">
        <w:rPr>
          <w:sz w:val="24"/>
          <w:szCs w:val="24"/>
          <w:lang w:val="en-GB"/>
        </w:rPr>
        <w:t>*</w:t>
      </w:r>
      <w:r w:rsidRPr="00053B19">
        <w:rPr>
          <w:sz w:val="24"/>
          <w:szCs w:val="24"/>
          <w:lang w:val="en-GB"/>
        </w:rPr>
        <w:tab/>
        <w:t>The adverse reactions may have a life-threatening or fatal outcome. Such events are either uncommon or less frequent than uncommon.</w:t>
      </w:r>
    </w:p>
    <w:p w14:paraId="24C32B61" w14:textId="77777777" w:rsidR="00191AEF" w:rsidRPr="00053B19" w:rsidRDefault="00191AEF" w:rsidP="00E76924">
      <w:pPr>
        <w:ind w:left="426" w:hanging="426"/>
        <w:rPr>
          <w:sz w:val="24"/>
          <w:szCs w:val="24"/>
          <w:lang w:val="en-GB"/>
        </w:rPr>
      </w:pPr>
      <w:r w:rsidRPr="00053B19">
        <w:rPr>
          <w:sz w:val="24"/>
          <w:szCs w:val="24"/>
          <w:lang w:val="en-GB"/>
        </w:rPr>
        <w:t>**</w:t>
      </w:r>
      <w:r w:rsidRPr="00053B19">
        <w:rPr>
          <w:sz w:val="24"/>
          <w:szCs w:val="24"/>
          <w:lang w:val="en-GB"/>
        </w:rPr>
        <w:tab/>
        <w:t xml:space="preserve">Hand foot skin reaction corresponds to palmar plantar </w:t>
      </w:r>
      <w:proofErr w:type="spellStart"/>
      <w:r w:rsidRPr="00053B19">
        <w:rPr>
          <w:sz w:val="24"/>
          <w:szCs w:val="24"/>
          <w:lang w:val="en-GB"/>
        </w:rPr>
        <w:t>erythrodysaesthesia</w:t>
      </w:r>
      <w:proofErr w:type="spellEnd"/>
      <w:r w:rsidRPr="00053B19">
        <w:rPr>
          <w:sz w:val="24"/>
          <w:szCs w:val="24"/>
          <w:lang w:val="en-GB"/>
        </w:rPr>
        <w:t xml:space="preserve"> syndrome in MedDRA.</w:t>
      </w:r>
    </w:p>
    <w:p w14:paraId="6E63EF6B" w14:textId="77777777" w:rsidR="00191AEF" w:rsidRPr="00053B19" w:rsidRDefault="00191AEF" w:rsidP="00E76924">
      <w:pPr>
        <w:ind w:left="426" w:hanging="426"/>
        <w:rPr>
          <w:sz w:val="24"/>
          <w:szCs w:val="24"/>
          <w:lang w:val="en-GB"/>
        </w:rPr>
      </w:pPr>
      <w:r w:rsidRPr="00053B19">
        <w:rPr>
          <w:sz w:val="24"/>
          <w:szCs w:val="24"/>
          <w:lang w:val="en-GB"/>
        </w:rPr>
        <w:t>°</w:t>
      </w:r>
      <w:r w:rsidRPr="00053B19">
        <w:rPr>
          <w:sz w:val="24"/>
          <w:szCs w:val="24"/>
          <w:lang w:val="en-GB"/>
        </w:rPr>
        <w:tab/>
        <w:t>Cases have been reported in the post marketing setting.</w:t>
      </w:r>
    </w:p>
    <w:p w14:paraId="0AE4CB25" w14:textId="77777777" w:rsidR="00191AEF" w:rsidRPr="00053B19" w:rsidRDefault="00191AEF" w:rsidP="00191AEF">
      <w:pPr>
        <w:spacing w:line="0" w:lineRule="atLeast"/>
        <w:jc w:val="both"/>
        <w:rPr>
          <w:sz w:val="24"/>
          <w:szCs w:val="24"/>
          <w:lang w:val="en-GB"/>
        </w:rPr>
      </w:pPr>
    </w:p>
    <w:p w14:paraId="0651F3E1" w14:textId="77777777" w:rsidR="00191AEF" w:rsidRPr="00053B19" w:rsidRDefault="00191AEF" w:rsidP="00E76924">
      <w:pPr>
        <w:ind w:left="851"/>
        <w:rPr>
          <w:sz w:val="24"/>
          <w:szCs w:val="24"/>
          <w:u w:val="single"/>
          <w:lang w:val="en-GB"/>
        </w:rPr>
      </w:pPr>
      <w:r w:rsidRPr="00053B19">
        <w:rPr>
          <w:sz w:val="24"/>
          <w:szCs w:val="24"/>
          <w:u w:val="single"/>
          <w:lang w:val="en-GB"/>
        </w:rPr>
        <w:t>Further information on selected adverse drug reactions</w:t>
      </w:r>
    </w:p>
    <w:p w14:paraId="1105C360" w14:textId="77777777" w:rsidR="00191AEF" w:rsidRPr="00053B19" w:rsidRDefault="00191AEF" w:rsidP="00E76924">
      <w:pPr>
        <w:ind w:left="851"/>
        <w:rPr>
          <w:sz w:val="24"/>
          <w:szCs w:val="24"/>
          <w:lang w:val="en-GB"/>
        </w:rPr>
      </w:pPr>
    </w:p>
    <w:p w14:paraId="2524FC0A" w14:textId="77777777" w:rsidR="00191AEF" w:rsidRPr="00053B19" w:rsidRDefault="00191AEF" w:rsidP="00E76924">
      <w:pPr>
        <w:ind w:left="851"/>
        <w:rPr>
          <w:i/>
          <w:sz w:val="24"/>
          <w:szCs w:val="24"/>
          <w:lang w:val="en-GB"/>
        </w:rPr>
      </w:pPr>
      <w:r w:rsidRPr="00053B19">
        <w:rPr>
          <w:i/>
          <w:sz w:val="24"/>
          <w:szCs w:val="24"/>
          <w:lang w:val="en-GB"/>
        </w:rPr>
        <w:t>Congestive heart failure</w:t>
      </w:r>
    </w:p>
    <w:p w14:paraId="16E5CE06" w14:textId="77777777" w:rsidR="00191AEF" w:rsidRPr="00053B19" w:rsidRDefault="00191AEF" w:rsidP="00E76924">
      <w:pPr>
        <w:ind w:left="851"/>
        <w:rPr>
          <w:sz w:val="24"/>
          <w:szCs w:val="24"/>
          <w:lang w:val="en-GB"/>
        </w:rPr>
      </w:pPr>
      <w:r w:rsidRPr="00053B19">
        <w:rPr>
          <w:sz w:val="24"/>
          <w:szCs w:val="24"/>
          <w:lang w:val="en-GB"/>
        </w:rPr>
        <w:t>In company sponsored clinical trials congestive heart failure was reported as an adverse event in 1.9% of patients treated with sorafenib (N= 2276). In study 11213 (RCC) adverse events consistent with congestive heart failure were reported in 1.7% of patients treated with sorafenib and 0.7% receiving placebo. In study 100554 (HCC), 0.99% of those treated with sorafenib and 1.1% receiving placebo were reported with these events.</w:t>
      </w:r>
    </w:p>
    <w:p w14:paraId="091D6D1D" w14:textId="77777777" w:rsidR="00191AEF" w:rsidRPr="00053B19" w:rsidRDefault="00191AEF" w:rsidP="00E76924">
      <w:pPr>
        <w:ind w:left="851"/>
        <w:rPr>
          <w:sz w:val="24"/>
          <w:szCs w:val="24"/>
          <w:lang w:val="en-GB"/>
        </w:rPr>
      </w:pPr>
    </w:p>
    <w:p w14:paraId="48EF961A" w14:textId="77777777" w:rsidR="00191AEF" w:rsidRPr="00053B19" w:rsidRDefault="00191AEF" w:rsidP="00E76924">
      <w:pPr>
        <w:ind w:left="851"/>
        <w:rPr>
          <w:i/>
          <w:sz w:val="24"/>
          <w:szCs w:val="24"/>
          <w:lang w:val="en-GB"/>
        </w:rPr>
      </w:pPr>
      <w:r w:rsidRPr="00053B19">
        <w:rPr>
          <w:i/>
          <w:sz w:val="24"/>
          <w:szCs w:val="24"/>
          <w:lang w:val="en-GB"/>
        </w:rPr>
        <w:t xml:space="preserve">Additional information on special populations </w:t>
      </w:r>
    </w:p>
    <w:p w14:paraId="2A5E2F80" w14:textId="77777777" w:rsidR="00191AEF" w:rsidRPr="00053B19" w:rsidRDefault="00191AEF" w:rsidP="00E76924">
      <w:pPr>
        <w:ind w:left="851"/>
        <w:rPr>
          <w:sz w:val="24"/>
          <w:szCs w:val="24"/>
          <w:lang w:val="en-GB"/>
        </w:rPr>
      </w:pPr>
      <w:r w:rsidRPr="00053B19">
        <w:rPr>
          <w:sz w:val="24"/>
          <w:szCs w:val="24"/>
          <w:lang w:val="en-GB"/>
        </w:rPr>
        <w:t>In clinical trials, certain adverse drug reactions such as hand foot skin reaction, diarrhoea, alopecia, weight decrease, hypertension, hypocalcaemia, and keratoacanthoma/squamous cell carcinoma of skin occurred at a substantially higher frequency in patients with differentiated thyroid compared to patients in the renal cell or hepatocellular carcinoma studies.</w:t>
      </w:r>
    </w:p>
    <w:p w14:paraId="7A5102FC" w14:textId="77777777" w:rsidR="00191AEF" w:rsidRPr="00053B19" w:rsidRDefault="00191AEF" w:rsidP="00E76924">
      <w:pPr>
        <w:ind w:left="851"/>
        <w:rPr>
          <w:sz w:val="24"/>
          <w:szCs w:val="24"/>
          <w:u w:val="single"/>
          <w:lang w:val="en-GB"/>
        </w:rPr>
      </w:pPr>
    </w:p>
    <w:p w14:paraId="10EC7450" w14:textId="77777777" w:rsidR="00191AEF" w:rsidRPr="00053B19" w:rsidRDefault="00191AEF" w:rsidP="00E76924">
      <w:pPr>
        <w:ind w:left="851"/>
        <w:rPr>
          <w:sz w:val="24"/>
          <w:szCs w:val="24"/>
          <w:u w:val="single"/>
          <w:lang w:val="en-GB"/>
        </w:rPr>
      </w:pPr>
      <w:r w:rsidRPr="00053B19">
        <w:rPr>
          <w:sz w:val="24"/>
          <w:szCs w:val="24"/>
          <w:u w:val="single"/>
          <w:lang w:val="en-GB"/>
        </w:rPr>
        <w:t>Laboratory test abnormalities in HCC (study 3) and RCC (study 1) patients</w:t>
      </w:r>
    </w:p>
    <w:p w14:paraId="5A36D0CA" w14:textId="77777777" w:rsidR="00191AEF" w:rsidRPr="00053B19" w:rsidRDefault="00191AEF" w:rsidP="00E76924">
      <w:pPr>
        <w:ind w:left="851"/>
        <w:rPr>
          <w:sz w:val="24"/>
          <w:szCs w:val="24"/>
          <w:lang w:val="en-GB"/>
        </w:rPr>
      </w:pPr>
    </w:p>
    <w:p w14:paraId="03F4CA46" w14:textId="77777777" w:rsidR="00191AEF" w:rsidRPr="00053B19" w:rsidRDefault="00191AEF" w:rsidP="00E76924">
      <w:pPr>
        <w:ind w:left="851"/>
        <w:rPr>
          <w:sz w:val="24"/>
          <w:szCs w:val="24"/>
          <w:lang w:val="en-GB"/>
        </w:rPr>
      </w:pPr>
      <w:r w:rsidRPr="00053B19">
        <w:rPr>
          <w:sz w:val="24"/>
          <w:szCs w:val="24"/>
          <w:lang w:val="en-GB"/>
        </w:rPr>
        <w:t>Increased lipase and amylase were very commonly reported. CTCAE Grade 3 or 4 lipase elevations occurred in 11 % and 9 % of patients in the sorafenib group in study 1 (RCC) and study 3 (HCC), respectively, compared to 7 % and 9 % of patients in the placebo group. CTCAE Grade 3 or 4 amylase elevations were reported in 1 % and 2 % of patients in the sorafenib group in study 1 and study 3, respectively, compared to 3 % of patients in each placebo group. Clinical pancreatitis was reported in 2 of 451 sorafenib treated patients (CTCAE Grade 4) in study 1, 1 of 297 sorafenib treated patients in study 3 (CTCAE Grade 2), and 1 of 451 patients (CTCAE Grade 2) in the placebo group in study 1.</w:t>
      </w:r>
    </w:p>
    <w:p w14:paraId="6100A0B1" w14:textId="77777777" w:rsidR="00191AEF" w:rsidRPr="00053B19" w:rsidRDefault="00191AEF" w:rsidP="00E76924">
      <w:pPr>
        <w:ind w:left="851"/>
        <w:rPr>
          <w:sz w:val="24"/>
          <w:szCs w:val="24"/>
          <w:lang w:val="en-GB"/>
        </w:rPr>
      </w:pPr>
      <w:proofErr w:type="spellStart"/>
      <w:r w:rsidRPr="00053B19">
        <w:rPr>
          <w:sz w:val="24"/>
          <w:szCs w:val="24"/>
          <w:lang w:val="en-GB"/>
        </w:rPr>
        <w:t>Hypophosphataemia</w:t>
      </w:r>
      <w:proofErr w:type="spellEnd"/>
      <w:r w:rsidRPr="00053B19">
        <w:rPr>
          <w:sz w:val="24"/>
          <w:szCs w:val="24"/>
          <w:lang w:val="en-GB"/>
        </w:rPr>
        <w:t xml:space="preserve"> was a very common laboratory finding, observed in 45 % and 35 % of sorafenib treated patients compared to 12 % and 11 % of placebo patients in study 1 and study 3, respectively. CTCAE Grade 3 </w:t>
      </w:r>
      <w:proofErr w:type="spellStart"/>
      <w:r w:rsidRPr="00053B19">
        <w:rPr>
          <w:sz w:val="24"/>
          <w:szCs w:val="24"/>
          <w:lang w:val="en-GB"/>
        </w:rPr>
        <w:t>hypophosphataemia</w:t>
      </w:r>
      <w:proofErr w:type="spellEnd"/>
      <w:r w:rsidRPr="00053B19">
        <w:rPr>
          <w:sz w:val="24"/>
          <w:szCs w:val="24"/>
          <w:lang w:val="en-GB"/>
        </w:rPr>
        <w:t xml:space="preserve"> (1 – 2 mg/dl) in study 1 occurred in 13 % of sorafenib treated patients and 3 % of patients in the placebo group, in study 3 in 11 % of sorafenib treated patients and 2 % of patients in the placebo group. There were no cases of CTCAE Grade 4 </w:t>
      </w:r>
      <w:proofErr w:type="spellStart"/>
      <w:r w:rsidRPr="00053B19">
        <w:rPr>
          <w:sz w:val="24"/>
          <w:szCs w:val="24"/>
          <w:lang w:val="en-GB"/>
        </w:rPr>
        <w:t>hypophosphataemia</w:t>
      </w:r>
      <w:proofErr w:type="spellEnd"/>
      <w:r w:rsidRPr="00053B19">
        <w:rPr>
          <w:sz w:val="24"/>
          <w:szCs w:val="24"/>
          <w:lang w:val="en-GB"/>
        </w:rPr>
        <w:t xml:space="preserve"> (&lt; 1 mg/dl) reported in either sorafenib or placebo patients in study 1, and 1 case in the placebo group in study 3. The aetiology of </w:t>
      </w:r>
      <w:proofErr w:type="spellStart"/>
      <w:r w:rsidRPr="00053B19">
        <w:rPr>
          <w:sz w:val="24"/>
          <w:szCs w:val="24"/>
          <w:lang w:val="en-GB"/>
        </w:rPr>
        <w:t>hypophosphataemia</w:t>
      </w:r>
      <w:proofErr w:type="spellEnd"/>
      <w:r w:rsidRPr="00053B19">
        <w:rPr>
          <w:sz w:val="24"/>
          <w:szCs w:val="24"/>
          <w:lang w:val="en-GB"/>
        </w:rPr>
        <w:t xml:space="preserve"> associated with sorafenib is not known.</w:t>
      </w:r>
    </w:p>
    <w:p w14:paraId="70218828" w14:textId="77777777" w:rsidR="00191AEF" w:rsidRPr="00053B19" w:rsidRDefault="00191AEF" w:rsidP="00E76924">
      <w:pPr>
        <w:ind w:left="851"/>
        <w:rPr>
          <w:sz w:val="24"/>
          <w:szCs w:val="24"/>
          <w:lang w:val="en-GB"/>
        </w:rPr>
      </w:pPr>
    </w:p>
    <w:p w14:paraId="517148E9" w14:textId="77777777" w:rsidR="00191AEF" w:rsidRPr="00053B19" w:rsidRDefault="00191AEF" w:rsidP="00E76924">
      <w:pPr>
        <w:ind w:left="851"/>
        <w:rPr>
          <w:sz w:val="24"/>
          <w:szCs w:val="24"/>
          <w:lang w:val="en-GB"/>
        </w:rPr>
      </w:pPr>
      <w:r w:rsidRPr="00053B19">
        <w:rPr>
          <w:sz w:val="24"/>
          <w:szCs w:val="24"/>
          <w:lang w:val="en-GB"/>
        </w:rPr>
        <w:t>CTCAE Grade 3 or 4 laboratory abnormalities occurring in ≥ 5 % of sorafenib treated patients included lymphopenia and neutropenia.</w:t>
      </w:r>
    </w:p>
    <w:p w14:paraId="0206FF85" w14:textId="77777777" w:rsidR="00191AEF" w:rsidRPr="00053B19" w:rsidRDefault="00191AEF" w:rsidP="00E76924">
      <w:pPr>
        <w:ind w:left="851"/>
        <w:rPr>
          <w:sz w:val="24"/>
          <w:szCs w:val="24"/>
          <w:lang w:val="en-GB"/>
        </w:rPr>
      </w:pPr>
    </w:p>
    <w:p w14:paraId="618541DE" w14:textId="77777777" w:rsidR="00191AEF" w:rsidRPr="00053B19" w:rsidRDefault="00191AEF" w:rsidP="00E76924">
      <w:pPr>
        <w:ind w:left="851"/>
        <w:rPr>
          <w:sz w:val="24"/>
          <w:szCs w:val="24"/>
          <w:lang w:val="en-GB"/>
        </w:rPr>
      </w:pPr>
      <w:r w:rsidRPr="00053B19">
        <w:rPr>
          <w:sz w:val="24"/>
          <w:szCs w:val="24"/>
          <w:lang w:val="en-GB"/>
        </w:rPr>
        <w:t xml:space="preserve">Hypocalcaemia was reported in 12% and 26.5% of sorafenib treated patients compared to 7.5% and 14.8% of placebo patients in study 1 and study 3, respectively. Most reports of hypocalcaemia were low grade (CTCAE Grade 1 and 2). CTCAE grade 3 hypocalcaemia </w:t>
      </w:r>
      <w:r w:rsidRPr="00053B19">
        <w:rPr>
          <w:sz w:val="24"/>
          <w:szCs w:val="24"/>
          <w:lang w:val="en-GB"/>
        </w:rPr>
        <w:lastRenderedPageBreak/>
        <w:t>(6.0 – 7.0 mg /dL) occurred in 1.1% and 1.8% of sorafenib treated patients and 0.2% and 1.1% of patients in the placebo group, and CTCAE grade 4 hypocalcaemia (&lt; 6.0 mg/dL) occurred in 1.1% and 0.4% of sorafenib treated patients and 0.5% and 0% of patients in the placebo group in study 1 and 3, respectively. The aetiology of hypocalcaemia associated with sorafenib is not known.</w:t>
      </w:r>
    </w:p>
    <w:p w14:paraId="503CD677" w14:textId="77777777" w:rsidR="00191AEF" w:rsidRPr="00053B19" w:rsidRDefault="00191AEF" w:rsidP="00E76924">
      <w:pPr>
        <w:ind w:left="851"/>
        <w:rPr>
          <w:sz w:val="24"/>
          <w:szCs w:val="24"/>
          <w:lang w:val="en-GB"/>
        </w:rPr>
      </w:pPr>
    </w:p>
    <w:p w14:paraId="48FC6487" w14:textId="77777777" w:rsidR="00191AEF" w:rsidRPr="00053B19" w:rsidRDefault="00191AEF" w:rsidP="00E76924">
      <w:pPr>
        <w:ind w:left="851"/>
        <w:rPr>
          <w:sz w:val="24"/>
          <w:szCs w:val="24"/>
          <w:lang w:val="en-GB"/>
        </w:rPr>
      </w:pPr>
      <w:r w:rsidRPr="00053B19">
        <w:rPr>
          <w:sz w:val="24"/>
          <w:szCs w:val="24"/>
          <w:lang w:val="en-GB"/>
        </w:rPr>
        <w:t xml:space="preserve">In studies 1 and 3 decreased potassium was observed in 5.4% and 9.5% of sorafenib-treated patients compared to 0.7% and 5.9% of placebo patients, respectively. Most reports of hypokalaemia were low grade (CTCAE Grade 1). In these </w:t>
      </w:r>
      <w:proofErr w:type="gramStart"/>
      <w:r w:rsidRPr="00053B19">
        <w:rPr>
          <w:sz w:val="24"/>
          <w:szCs w:val="24"/>
          <w:lang w:val="en-GB"/>
        </w:rPr>
        <w:t>studies</w:t>
      </w:r>
      <w:proofErr w:type="gramEnd"/>
      <w:r w:rsidRPr="00053B19">
        <w:rPr>
          <w:sz w:val="24"/>
          <w:szCs w:val="24"/>
          <w:lang w:val="en-GB"/>
        </w:rPr>
        <w:t xml:space="preserve"> CTCAE Grade 3 hypokalaemia occurred in 1.1% and 0.4% of sorafenib treated patients and 0.2% and 0.7% of patients in the placebo group. There were no reports of hypokalaemia CTCAE grade 4.</w:t>
      </w:r>
    </w:p>
    <w:p w14:paraId="15A96BF5" w14:textId="77777777" w:rsidR="00191AEF" w:rsidRPr="00053B19" w:rsidRDefault="00191AEF" w:rsidP="00E76924">
      <w:pPr>
        <w:ind w:left="851"/>
        <w:rPr>
          <w:sz w:val="24"/>
          <w:szCs w:val="24"/>
          <w:lang w:val="en-GB"/>
        </w:rPr>
      </w:pPr>
    </w:p>
    <w:p w14:paraId="0650FCBE" w14:textId="77777777" w:rsidR="00E76924" w:rsidRPr="00053B19" w:rsidRDefault="00E76924" w:rsidP="00E76924">
      <w:pPr>
        <w:ind w:left="851"/>
        <w:rPr>
          <w:sz w:val="24"/>
          <w:szCs w:val="24"/>
          <w:u w:val="single"/>
          <w:lang w:val="en-GB"/>
        </w:rPr>
      </w:pPr>
      <w:r w:rsidRPr="00053B19">
        <w:rPr>
          <w:sz w:val="24"/>
          <w:szCs w:val="24"/>
          <w:u w:val="single"/>
          <w:lang w:val="en-GB"/>
        </w:rPr>
        <w:t>Reporting of suspected adverse reactions</w:t>
      </w:r>
    </w:p>
    <w:p w14:paraId="6BFCCA08" w14:textId="77777777" w:rsidR="00E76924" w:rsidRPr="00053B19" w:rsidRDefault="00E76924" w:rsidP="00E76924">
      <w:pPr>
        <w:ind w:left="851"/>
        <w:rPr>
          <w:sz w:val="24"/>
          <w:szCs w:val="24"/>
          <w:lang w:val="en-GB"/>
        </w:rPr>
      </w:pPr>
      <w:r w:rsidRPr="00053B1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BDF79E9" w14:textId="77777777" w:rsidR="00E76924" w:rsidRPr="00053B19" w:rsidRDefault="00E76924" w:rsidP="00E76924">
      <w:pPr>
        <w:ind w:left="851"/>
        <w:rPr>
          <w:sz w:val="24"/>
          <w:szCs w:val="24"/>
          <w:lang w:val="en-GB"/>
        </w:rPr>
      </w:pPr>
    </w:p>
    <w:p w14:paraId="2754B3CA" w14:textId="77777777" w:rsidR="00E76924" w:rsidRPr="00366A21" w:rsidRDefault="00E76924" w:rsidP="00E76924">
      <w:pPr>
        <w:ind w:left="851"/>
        <w:rPr>
          <w:sz w:val="24"/>
          <w:szCs w:val="24"/>
        </w:rPr>
      </w:pPr>
      <w:r w:rsidRPr="00366A21">
        <w:rPr>
          <w:sz w:val="24"/>
          <w:szCs w:val="24"/>
        </w:rPr>
        <w:t>Lægemiddelstyrelsen</w:t>
      </w:r>
    </w:p>
    <w:p w14:paraId="7782258B" w14:textId="77777777" w:rsidR="00E76924" w:rsidRPr="00366A21" w:rsidRDefault="00E76924" w:rsidP="00E76924">
      <w:pPr>
        <w:ind w:left="851"/>
        <w:rPr>
          <w:sz w:val="24"/>
          <w:szCs w:val="24"/>
        </w:rPr>
      </w:pPr>
      <w:r w:rsidRPr="00366A21">
        <w:rPr>
          <w:sz w:val="24"/>
          <w:szCs w:val="24"/>
        </w:rPr>
        <w:t>Axel Heides Gade 1</w:t>
      </w:r>
    </w:p>
    <w:p w14:paraId="56E74B8B" w14:textId="77777777" w:rsidR="00E76924" w:rsidRPr="00366A21" w:rsidRDefault="00E76924" w:rsidP="00E76924">
      <w:pPr>
        <w:ind w:left="851"/>
        <w:rPr>
          <w:sz w:val="24"/>
          <w:szCs w:val="24"/>
        </w:rPr>
      </w:pPr>
      <w:r w:rsidRPr="00366A21">
        <w:rPr>
          <w:sz w:val="24"/>
          <w:szCs w:val="24"/>
        </w:rPr>
        <w:t>DK-2300 København S</w:t>
      </w:r>
    </w:p>
    <w:p w14:paraId="0249EBB1" w14:textId="77777777" w:rsidR="00E76924" w:rsidRPr="00053B19" w:rsidRDefault="00E76924" w:rsidP="00E76924">
      <w:pPr>
        <w:ind w:left="851"/>
        <w:rPr>
          <w:sz w:val="24"/>
          <w:szCs w:val="24"/>
          <w:lang w:val="en-GB"/>
        </w:rPr>
      </w:pPr>
      <w:r w:rsidRPr="00053B19">
        <w:rPr>
          <w:sz w:val="24"/>
          <w:szCs w:val="24"/>
          <w:lang w:val="en-GB"/>
        </w:rPr>
        <w:t>Website: www.meldenbivirkning.dk</w:t>
      </w:r>
    </w:p>
    <w:p w14:paraId="09272941" w14:textId="77777777" w:rsidR="007C5D2A" w:rsidRPr="00053B19" w:rsidRDefault="007C5D2A" w:rsidP="00E76924">
      <w:pPr>
        <w:ind w:left="851"/>
        <w:rPr>
          <w:sz w:val="24"/>
          <w:szCs w:val="24"/>
          <w:lang w:val="en-GB"/>
        </w:rPr>
      </w:pPr>
    </w:p>
    <w:p w14:paraId="3E664F1F" w14:textId="77777777" w:rsidR="007C5D2A" w:rsidRPr="00053B19" w:rsidRDefault="007C5D2A" w:rsidP="00053B19">
      <w:pPr>
        <w:ind w:left="851" w:hanging="851"/>
        <w:rPr>
          <w:b/>
          <w:sz w:val="24"/>
          <w:szCs w:val="24"/>
          <w:lang w:val="en-GB"/>
        </w:rPr>
      </w:pPr>
      <w:r w:rsidRPr="00053B19">
        <w:rPr>
          <w:b/>
          <w:sz w:val="24"/>
          <w:szCs w:val="24"/>
          <w:lang w:val="en-GB"/>
        </w:rPr>
        <w:t>4.9</w:t>
      </w:r>
      <w:r w:rsidRPr="00053B19">
        <w:rPr>
          <w:b/>
          <w:sz w:val="24"/>
          <w:szCs w:val="24"/>
          <w:lang w:val="en-GB"/>
        </w:rPr>
        <w:tab/>
        <w:t>Overdose</w:t>
      </w:r>
    </w:p>
    <w:p w14:paraId="75D1E805" w14:textId="77777777" w:rsidR="00191AEF" w:rsidRPr="00053B19" w:rsidRDefault="00191AEF" w:rsidP="00E76924">
      <w:pPr>
        <w:ind w:left="851"/>
        <w:rPr>
          <w:spacing w:val="-1"/>
          <w:sz w:val="24"/>
          <w:szCs w:val="24"/>
          <w:lang w:val="en-GB"/>
        </w:rPr>
      </w:pPr>
      <w:r w:rsidRPr="00053B19">
        <w:rPr>
          <w:spacing w:val="-1"/>
          <w:sz w:val="24"/>
          <w:szCs w:val="24"/>
          <w:lang w:val="en-GB"/>
        </w:rPr>
        <w:t>There is no specific treatment for sorafenib overdose. The highest dose of sorafenib studied clinically is 800 mg twice daily. The adverse events observed at this dose were primarily diarrhoea and dermatological events. In the event of suspected overdose sorafenib should be withheld and supportive care instituted where necessary.</w:t>
      </w:r>
    </w:p>
    <w:p w14:paraId="0051A81B" w14:textId="77777777" w:rsidR="007C5D2A" w:rsidRPr="00053B19" w:rsidRDefault="007C5D2A" w:rsidP="003E0341">
      <w:pPr>
        <w:tabs>
          <w:tab w:val="left" w:pos="851"/>
        </w:tabs>
        <w:ind w:left="851"/>
        <w:rPr>
          <w:sz w:val="24"/>
          <w:szCs w:val="24"/>
          <w:lang w:val="en-GB"/>
        </w:rPr>
      </w:pPr>
    </w:p>
    <w:p w14:paraId="57AABF31" w14:textId="77777777" w:rsidR="008F2F8C" w:rsidRPr="00053B19" w:rsidRDefault="0042292D" w:rsidP="0042292D">
      <w:pPr>
        <w:tabs>
          <w:tab w:val="left" w:pos="851"/>
        </w:tabs>
        <w:rPr>
          <w:b/>
          <w:sz w:val="24"/>
          <w:szCs w:val="24"/>
          <w:lang w:val="en-GB"/>
        </w:rPr>
      </w:pPr>
      <w:r w:rsidRPr="00053B19">
        <w:rPr>
          <w:b/>
          <w:sz w:val="24"/>
          <w:szCs w:val="24"/>
          <w:lang w:val="en-GB"/>
        </w:rPr>
        <w:t>4.10</w:t>
      </w:r>
      <w:r w:rsidRPr="00053B19">
        <w:rPr>
          <w:b/>
          <w:sz w:val="24"/>
          <w:szCs w:val="24"/>
          <w:lang w:val="en-GB"/>
        </w:rPr>
        <w:tab/>
        <w:t>Legal status</w:t>
      </w:r>
    </w:p>
    <w:p w14:paraId="4C759B29" w14:textId="5CCADE3D" w:rsidR="00AD2E36" w:rsidRPr="00053B19" w:rsidRDefault="00DB47DF" w:rsidP="00AD2E36">
      <w:pPr>
        <w:tabs>
          <w:tab w:val="left" w:pos="851"/>
        </w:tabs>
        <w:ind w:left="851"/>
        <w:rPr>
          <w:sz w:val="24"/>
          <w:szCs w:val="24"/>
          <w:lang w:val="en-GB"/>
        </w:rPr>
      </w:pPr>
      <w:r w:rsidRPr="00053B19">
        <w:rPr>
          <w:sz w:val="24"/>
          <w:szCs w:val="24"/>
          <w:lang w:val="en-GB"/>
        </w:rPr>
        <w:t>BEGR (</w:t>
      </w:r>
      <w:r w:rsidR="0012345B" w:rsidRPr="00053B19">
        <w:rPr>
          <w:sz w:val="24"/>
          <w:szCs w:val="24"/>
          <w:lang w:val="en-GB"/>
        </w:rPr>
        <w:t>only for hospitals)</w:t>
      </w:r>
    </w:p>
    <w:p w14:paraId="56CE4C62" w14:textId="77777777" w:rsidR="007C5D2A" w:rsidRPr="00053B19" w:rsidRDefault="007C5D2A" w:rsidP="003E0341">
      <w:pPr>
        <w:tabs>
          <w:tab w:val="left" w:pos="851"/>
        </w:tabs>
        <w:ind w:left="851"/>
        <w:rPr>
          <w:sz w:val="24"/>
          <w:szCs w:val="24"/>
          <w:lang w:val="en-GB"/>
        </w:rPr>
      </w:pPr>
    </w:p>
    <w:p w14:paraId="4355394C" w14:textId="77777777" w:rsidR="00AD2E36" w:rsidRPr="00053B19" w:rsidRDefault="00AD2E36" w:rsidP="003E0341">
      <w:pPr>
        <w:tabs>
          <w:tab w:val="left" w:pos="851"/>
        </w:tabs>
        <w:ind w:left="851"/>
        <w:rPr>
          <w:sz w:val="24"/>
          <w:szCs w:val="24"/>
          <w:lang w:val="en-GB"/>
        </w:rPr>
      </w:pPr>
    </w:p>
    <w:p w14:paraId="3783EF74" w14:textId="77777777" w:rsidR="007C5D2A" w:rsidRPr="00053B19" w:rsidRDefault="007C5D2A" w:rsidP="007C5D2A">
      <w:pPr>
        <w:tabs>
          <w:tab w:val="left" w:pos="851"/>
        </w:tabs>
        <w:rPr>
          <w:b/>
          <w:sz w:val="24"/>
          <w:szCs w:val="24"/>
          <w:lang w:val="en-GB"/>
        </w:rPr>
      </w:pPr>
      <w:r w:rsidRPr="00053B19">
        <w:rPr>
          <w:b/>
          <w:sz w:val="24"/>
          <w:szCs w:val="24"/>
          <w:lang w:val="en-GB"/>
        </w:rPr>
        <w:t>5.</w:t>
      </w:r>
      <w:r w:rsidRPr="00053B19">
        <w:rPr>
          <w:b/>
          <w:sz w:val="24"/>
          <w:szCs w:val="24"/>
          <w:lang w:val="en-GB"/>
        </w:rPr>
        <w:tab/>
        <w:t>PHARMACOLOGICAL PROPERTIES</w:t>
      </w:r>
    </w:p>
    <w:p w14:paraId="5B85FC9F" w14:textId="77777777" w:rsidR="007C5D2A" w:rsidRPr="00053B19" w:rsidRDefault="007C5D2A" w:rsidP="003E0341">
      <w:pPr>
        <w:tabs>
          <w:tab w:val="left" w:pos="851"/>
        </w:tabs>
        <w:ind w:left="851"/>
        <w:rPr>
          <w:sz w:val="24"/>
          <w:szCs w:val="24"/>
          <w:lang w:val="en-GB"/>
        </w:rPr>
      </w:pPr>
    </w:p>
    <w:p w14:paraId="3E39448A" w14:textId="77777777" w:rsidR="007C5D2A" w:rsidRPr="00053B19" w:rsidRDefault="007C5D2A" w:rsidP="007C5D2A">
      <w:pPr>
        <w:tabs>
          <w:tab w:val="left" w:pos="851"/>
        </w:tabs>
        <w:ind w:left="851" w:hanging="851"/>
        <w:rPr>
          <w:b/>
          <w:sz w:val="24"/>
          <w:szCs w:val="24"/>
          <w:lang w:val="en-GB"/>
        </w:rPr>
      </w:pPr>
      <w:r w:rsidRPr="00053B19">
        <w:rPr>
          <w:b/>
          <w:sz w:val="24"/>
          <w:szCs w:val="24"/>
          <w:lang w:val="en-GB"/>
        </w:rPr>
        <w:t>5.1</w:t>
      </w:r>
      <w:r w:rsidRPr="00053B19">
        <w:rPr>
          <w:b/>
          <w:sz w:val="24"/>
          <w:szCs w:val="24"/>
          <w:lang w:val="en-GB"/>
        </w:rPr>
        <w:tab/>
        <w:t>Pharmacodynamic properties</w:t>
      </w:r>
      <w:r w:rsidRPr="00053B19">
        <w:rPr>
          <w:b/>
          <w:sz w:val="24"/>
          <w:szCs w:val="24"/>
          <w:lang w:val="en-GB"/>
        </w:rPr>
        <w:tab/>
      </w:r>
    </w:p>
    <w:p w14:paraId="0AC08904" w14:textId="3635DFFE" w:rsidR="00191AEF" w:rsidRPr="00053B19" w:rsidRDefault="00191AEF" w:rsidP="00E76924">
      <w:pPr>
        <w:ind w:left="851"/>
        <w:rPr>
          <w:sz w:val="24"/>
          <w:szCs w:val="24"/>
          <w:lang w:val="en-GB"/>
        </w:rPr>
      </w:pPr>
      <w:r w:rsidRPr="00053B19">
        <w:rPr>
          <w:sz w:val="24"/>
          <w:szCs w:val="24"/>
          <w:lang w:val="en-GB"/>
        </w:rPr>
        <w:t>Pharmacotherapeutic group: Antineoplastic agents, protein kinase inhibitors, ATC code: L01EX02</w:t>
      </w:r>
      <w:r w:rsidR="00801E9D">
        <w:rPr>
          <w:sz w:val="24"/>
          <w:szCs w:val="24"/>
          <w:lang w:val="en-GB"/>
        </w:rPr>
        <w:t>.</w:t>
      </w:r>
    </w:p>
    <w:p w14:paraId="17550378" w14:textId="77777777" w:rsidR="00191AEF" w:rsidRPr="00053B19" w:rsidRDefault="00191AEF" w:rsidP="00E76924">
      <w:pPr>
        <w:ind w:left="851"/>
        <w:rPr>
          <w:sz w:val="24"/>
          <w:szCs w:val="24"/>
          <w:lang w:val="en-GB"/>
        </w:rPr>
      </w:pPr>
    </w:p>
    <w:p w14:paraId="3372E218" w14:textId="6708C9E0" w:rsidR="00191AEF" w:rsidRPr="00053B19" w:rsidRDefault="00191AEF" w:rsidP="00E76924">
      <w:pPr>
        <w:ind w:left="851"/>
        <w:rPr>
          <w:sz w:val="24"/>
          <w:szCs w:val="24"/>
          <w:lang w:val="en-GB"/>
        </w:rPr>
      </w:pPr>
      <w:r w:rsidRPr="00053B19">
        <w:rPr>
          <w:sz w:val="24"/>
          <w:szCs w:val="24"/>
          <w:lang w:val="en-GB"/>
        </w:rPr>
        <w:t xml:space="preserve">Sorafenib is a </w:t>
      </w:r>
      <w:proofErr w:type="spellStart"/>
      <w:r w:rsidRPr="00053B19">
        <w:rPr>
          <w:sz w:val="24"/>
          <w:szCs w:val="24"/>
          <w:lang w:val="en-GB"/>
        </w:rPr>
        <w:t>multikinase</w:t>
      </w:r>
      <w:proofErr w:type="spellEnd"/>
      <w:r w:rsidRPr="00053B19">
        <w:rPr>
          <w:sz w:val="24"/>
          <w:szCs w:val="24"/>
          <w:lang w:val="en-GB"/>
        </w:rPr>
        <w:t xml:space="preserve"> inhibitor which has demonstrated both anti-proliferative and anti-angiogenic properties in vitro and in vivo.</w:t>
      </w:r>
    </w:p>
    <w:p w14:paraId="595881D8" w14:textId="77777777" w:rsidR="00191AEF" w:rsidRPr="00053B19" w:rsidRDefault="00191AEF" w:rsidP="00E76924">
      <w:pPr>
        <w:ind w:left="851"/>
        <w:rPr>
          <w:sz w:val="24"/>
          <w:szCs w:val="24"/>
          <w:lang w:val="en-GB"/>
        </w:rPr>
      </w:pPr>
    </w:p>
    <w:p w14:paraId="337A0E1E" w14:textId="77777777" w:rsidR="00191AEF" w:rsidRPr="00053B19" w:rsidRDefault="00191AEF" w:rsidP="00E76924">
      <w:pPr>
        <w:ind w:left="851"/>
        <w:rPr>
          <w:sz w:val="24"/>
          <w:szCs w:val="24"/>
          <w:u w:val="single"/>
          <w:lang w:val="en-GB"/>
        </w:rPr>
      </w:pPr>
      <w:r w:rsidRPr="00053B19">
        <w:rPr>
          <w:sz w:val="24"/>
          <w:szCs w:val="24"/>
          <w:u w:val="single"/>
          <w:lang w:val="en-GB"/>
        </w:rPr>
        <w:t>Mechanism of action and pharmacodynamic effects</w:t>
      </w:r>
    </w:p>
    <w:p w14:paraId="6C7C55C9" w14:textId="77777777" w:rsidR="00191AEF" w:rsidRPr="00053B19" w:rsidRDefault="00191AEF" w:rsidP="00E76924">
      <w:pPr>
        <w:ind w:left="851"/>
        <w:rPr>
          <w:sz w:val="24"/>
          <w:szCs w:val="24"/>
          <w:lang w:val="en-GB"/>
        </w:rPr>
      </w:pPr>
    </w:p>
    <w:p w14:paraId="78F3E565" w14:textId="77777777" w:rsidR="00191AEF" w:rsidRPr="00053B19" w:rsidRDefault="00191AEF" w:rsidP="00E76924">
      <w:pPr>
        <w:ind w:left="851"/>
        <w:rPr>
          <w:sz w:val="24"/>
          <w:szCs w:val="24"/>
          <w:lang w:val="en-GB"/>
        </w:rPr>
      </w:pPr>
      <w:r w:rsidRPr="00053B19">
        <w:rPr>
          <w:sz w:val="24"/>
          <w:szCs w:val="24"/>
          <w:lang w:val="en-GB"/>
        </w:rPr>
        <w:t xml:space="preserve">Sorafenib is a </w:t>
      </w:r>
      <w:proofErr w:type="spellStart"/>
      <w:r w:rsidRPr="00053B19">
        <w:rPr>
          <w:sz w:val="24"/>
          <w:szCs w:val="24"/>
          <w:lang w:val="en-GB"/>
        </w:rPr>
        <w:t>multikinase</w:t>
      </w:r>
      <w:proofErr w:type="spellEnd"/>
      <w:r w:rsidRPr="00053B19">
        <w:rPr>
          <w:sz w:val="24"/>
          <w:szCs w:val="24"/>
          <w:lang w:val="en-GB"/>
        </w:rPr>
        <w:t xml:space="preserve"> inhibitor that decreases tumour cell proliferation </w:t>
      </w:r>
      <w:r w:rsidRPr="00053B19">
        <w:rPr>
          <w:i/>
          <w:sz w:val="24"/>
          <w:szCs w:val="24"/>
          <w:lang w:val="en-GB"/>
        </w:rPr>
        <w:t>in vitro</w:t>
      </w:r>
      <w:r w:rsidRPr="00053B19">
        <w:rPr>
          <w:sz w:val="24"/>
          <w:szCs w:val="24"/>
          <w:lang w:val="en-GB"/>
        </w:rPr>
        <w:t>. Sorafenib inhibits tumour growth of a broad spectrum of human tumour xenografts in athymic mice accompanied by a reduction of tumour angiogenesis. Sorafenib inhibits the activity of targets present in the tumour cell (CRAF, BRAF, V600E BRAF, c-KIT, and FLT-3) and in the tumour vasculature (CRAF, VEGFR-2, VEGFR-3, and PDGFR-ß). RAF kinases are serine/threonine kinases, whereas c-KIT, FLT-3, VEGFR-2, VEGFR-3, and PDGFR-ß are receptor tyrosine kinases.</w:t>
      </w:r>
    </w:p>
    <w:p w14:paraId="3FB44AC1" w14:textId="77777777" w:rsidR="00191AEF" w:rsidRPr="00053B19" w:rsidRDefault="00191AEF" w:rsidP="00E76924">
      <w:pPr>
        <w:ind w:left="851"/>
        <w:rPr>
          <w:sz w:val="24"/>
          <w:szCs w:val="24"/>
          <w:lang w:val="en-GB"/>
        </w:rPr>
      </w:pPr>
    </w:p>
    <w:p w14:paraId="02A499B8" w14:textId="77777777" w:rsidR="00191AEF" w:rsidRPr="00053B19" w:rsidRDefault="00191AEF" w:rsidP="00E76924">
      <w:pPr>
        <w:ind w:left="851"/>
        <w:rPr>
          <w:sz w:val="24"/>
          <w:szCs w:val="24"/>
          <w:u w:val="single"/>
          <w:lang w:val="en-GB"/>
        </w:rPr>
      </w:pPr>
      <w:r w:rsidRPr="00053B19">
        <w:rPr>
          <w:sz w:val="24"/>
          <w:szCs w:val="24"/>
          <w:u w:val="single"/>
          <w:lang w:val="en-GB"/>
        </w:rPr>
        <w:lastRenderedPageBreak/>
        <w:t>Clinical efficacy</w:t>
      </w:r>
    </w:p>
    <w:p w14:paraId="7FA9E5E1" w14:textId="77777777" w:rsidR="00191AEF" w:rsidRPr="00053B19" w:rsidRDefault="00191AEF" w:rsidP="00E76924">
      <w:pPr>
        <w:ind w:left="851"/>
        <w:rPr>
          <w:sz w:val="24"/>
          <w:szCs w:val="24"/>
          <w:u w:val="single"/>
          <w:lang w:val="en-GB"/>
        </w:rPr>
      </w:pPr>
    </w:p>
    <w:p w14:paraId="33E4F83B" w14:textId="77777777" w:rsidR="00191AEF" w:rsidRPr="00053B19" w:rsidRDefault="00191AEF" w:rsidP="00E76924">
      <w:pPr>
        <w:ind w:left="851"/>
        <w:rPr>
          <w:sz w:val="24"/>
          <w:szCs w:val="24"/>
          <w:lang w:val="en-GB"/>
        </w:rPr>
      </w:pPr>
      <w:r w:rsidRPr="00053B19">
        <w:rPr>
          <w:sz w:val="24"/>
          <w:szCs w:val="24"/>
          <w:lang w:val="en-GB"/>
        </w:rPr>
        <w:t>The clinical safety and efficacy of sorafenib have been studied in patients with hepatocellular carcinoma (HCC) and in patients with advanced renal cell carcinoma (RCC).</w:t>
      </w:r>
    </w:p>
    <w:p w14:paraId="7213B3D7" w14:textId="77777777" w:rsidR="00191AEF" w:rsidRPr="00053B19" w:rsidRDefault="00191AEF" w:rsidP="00E76924">
      <w:pPr>
        <w:ind w:left="851"/>
        <w:rPr>
          <w:sz w:val="24"/>
          <w:szCs w:val="24"/>
          <w:lang w:val="en-GB"/>
        </w:rPr>
      </w:pPr>
    </w:p>
    <w:p w14:paraId="78E73916" w14:textId="77777777" w:rsidR="00191AEF" w:rsidRPr="00053B19" w:rsidRDefault="00191AEF" w:rsidP="00E76924">
      <w:pPr>
        <w:ind w:left="851"/>
        <w:rPr>
          <w:sz w:val="24"/>
          <w:szCs w:val="24"/>
          <w:u w:val="single"/>
          <w:lang w:val="en-GB"/>
        </w:rPr>
      </w:pPr>
      <w:r w:rsidRPr="00053B19">
        <w:rPr>
          <w:sz w:val="24"/>
          <w:szCs w:val="24"/>
          <w:u w:val="single"/>
          <w:lang w:val="en-GB"/>
        </w:rPr>
        <w:t>Hepatocellular carcinoma</w:t>
      </w:r>
    </w:p>
    <w:p w14:paraId="5985F61B" w14:textId="77777777" w:rsidR="00191AEF" w:rsidRPr="00053B19" w:rsidRDefault="00191AEF" w:rsidP="00E76924">
      <w:pPr>
        <w:ind w:left="851"/>
        <w:rPr>
          <w:sz w:val="24"/>
          <w:szCs w:val="24"/>
          <w:lang w:val="en-GB"/>
        </w:rPr>
      </w:pPr>
    </w:p>
    <w:p w14:paraId="033F400E" w14:textId="77777777" w:rsidR="00191AEF" w:rsidRPr="00053B19" w:rsidRDefault="00191AEF" w:rsidP="00E76924">
      <w:pPr>
        <w:ind w:left="851"/>
        <w:rPr>
          <w:sz w:val="24"/>
          <w:szCs w:val="24"/>
          <w:lang w:val="en-GB"/>
        </w:rPr>
      </w:pPr>
      <w:r w:rsidRPr="00053B19">
        <w:rPr>
          <w:sz w:val="24"/>
          <w:szCs w:val="24"/>
          <w:lang w:val="en-GB"/>
        </w:rPr>
        <w:t>Study 3 (study 100554) was a Phase III, international, multi-centre, randomised, double blind, placebo-controlled study in 602 patients with hepatocellular carcinoma. Demographics and baseline disease characteristics were comparable between the sorafenib and the placebo group with regard to ECOG status (status 0: 54 % vs. 54 %; status 1: 38 % vs. 39 %; status 2: 8 % vs. 7 %), TNM stage (stage I: &lt;1 % vs. &lt;1 %; stage II: 10.4 % vs. 8.3 %; stage III: 37.8 % vs. 43.6 %; stage IV: 50.8 % vs. 46.9 %), and BCLC stage (stage B: 18.1 % vs. 16.8 %; stage C: 81.6 % vs. 83.2 %; stage D: &lt; 1 % vs. 0 %).</w:t>
      </w:r>
    </w:p>
    <w:p w14:paraId="2C890F30" w14:textId="77777777" w:rsidR="00191AEF" w:rsidRPr="00053B19" w:rsidRDefault="00191AEF" w:rsidP="00E76924">
      <w:pPr>
        <w:ind w:left="851"/>
        <w:rPr>
          <w:sz w:val="24"/>
          <w:szCs w:val="24"/>
          <w:lang w:val="en-GB"/>
        </w:rPr>
      </w:pPr>
    </w:p>
    <w:p w14:paraId="21185D76" w14:textId="77777777" w:rsidR="00191AEF" w:rsidRPr="00053B19" w:rsidRDefault="00191AEF" w:rsidP="00E76924">
      <w:pPr>
        <w:ind w:left="851"/>
        <w:rPr>
          <w:sz w:val="24"/>
          <w:szCs w:val="24"/>
          <w:lang w:val="en-GB"/>
        </w:rPr>
      </w:pPr>
      <w:r w:rsidRPr="00053B19">
        <w:rPr>
          <w:sz w:val="24"/>
          <w:szCs w:val="24"/>
          <w:lang w:val="en-GB"/>
        </w:rPr>
        <w:t>The study was stopped after a planned interim analysis of OS had crossed the prespecified efficacy boundary. This OS analysis showed a statistically significant advantage for sorafenib over placebo for OS (HR: 0.69, p = 0.00058, see table 2).</w:t>
      </w:r>
    </w:p>
    <w:p w14:paraId="3EC64B1D" w14:textId="77777777" w:rsidR="00191AEF" w:rsidRPr="00053B19" w:rsidRDefault="00191AEF" w:rsidP="00E76924">
      <w:pPr>
        <w:ind w:left="851"/>
        <w:rPr>
          <w:sz w:val="24"/>
          <w:szCs w:val="24"/>
          <w:lang w:val="en-GB"/>
        </w:rPr>
      </w:pPr>
    </w:p>
    <w:p w14:paraId="583C69CE" w14:textId="77777777" w:rsidR="00191AEF" w:rsidRPr="00053B19" w:rsidRDefault="00191AEF" w:rsidP="00E76924">
      <w:pPr>
        <w:ind w:left="851"/>
        <w:rPr>
          <w:sz w:val="24"/>
          <w:szCs w:val="24"/>
          <w:lang w:val="en-GB"/>
        </w:rPr>
      </w:pPr>
      <w:r w:rsidRPr="00053B19">
        <w:rPr>
          <w:sz w:val="24"/>
          <w:szCs w:val="24"/>
          <w:lang w:val="en-GB"/>
        </w:rPr>
        <w:t>There are limited data from this study in patients with Child Pugh B liver impairment and only one patient with Child Pugh C had been included.</w:t>
      </w:r>
    </w:p>
    <w:p w14:paraId="20B3EE9C" w14:textId="77777777" w:rsidR="00191AEF" w:rsidRPr="00053B19" w:rsidRDefault="00191AEF" w:rsidP="00E76924">
      <w:pPr>
        <w:ind w:left="851"/>
        <w:rPr>
          <w:sz w:val="24"/>
          <w:szCs w:val="24"/>
          <w:lang w:val="en-GB"/>
        </w:rPr>
      </w:pPr>
    </w:p>
    <w:p w14:paraId="31D5AA4B" w14:textId="77777777" w:rsidR="00191AEF" w:rsidRPr="00053B19" w:rsidRDefault="00191AEF" w:rsidP="00E76924">
      <w:pPr>
        <w:ind w:left="851"/>
        <w:rPr>
          <w:b/>
          <w:sz w:val="24"/>
          <w:szCs w:val="24"/>
          <w:lang w:val="en-GB"/>
        </w:rPr>
      </w:pPr>
      <w:r w:rsidRPr="00053B19">
        <w:rPr>
          <w:b/>
          <w:sz w:val="24"/>
          <w:szCs w:val="24"/>
          <w:lang w:val="en-GB"/>
        </w:rPr>
        <w:t>Table 2: Efficacy results from study 3 (study 100554) in hepatocellular carcinoma</w:t>
      </w:r>
    </w:p>
    <w:p w14:paraId="6CF2CDFE" w14:textId="77777777" w:rsidR="00191AEF" w:rsidRPr="00053B19" w:rsidRDefault="00191AEF" w:rsidP="00191AEF">
      <w:pPr>
        <w:widowControl w:val="0"/>
        <w:tabs>
          <w:tab w:val="left" w:pos="660"/>
        </w:tabs>
        <w:autoSpaceDE w:val="0"/>
        <w:autoSpaceDN w:val="0"/>
        <w:adjustRightInd w:val="0"/>
        <w:spacing w:line="0" w:lineRule="atLeast"/>
        <w:jc w:val="both"/>
        <w:rPr>
          <w:sz w:val="24"/>
          <w:szCs w:val="24"/>
          <w:lang w:val="en-GB"/>
        </w:rPr>
      </w:pPr>
    </w:p>
    <w:tbl>
      <w:tblPr>
        <w:tblStyle w:val="Tabel-Gitter"/>
        <w:tblW w:w="5000" w:type="pct"/>
        <w:tblInd w:w="0" w:type="dxa"/>
        <w:tblLook w:val="04A0" w:firstRow="1" w:lastRow="0" w:firstColumn="1" w:lastColumn="0" w:noHBand="0" w:noVBand="1"/>
      </w:tblPr>
      <w:tblGrid>
        <w:gridCol w:w="2528"/>
        <w:gridCol w:w="1750"/>
        <w:gridCol w:w="1849"/>
        <w:gridCol w:w="1654"/>
        <w:gridCol w:w="1847"/>
      </w:tblGrid>
      <w:tr w:rsidR="00191AEF" w:rsidRPr="00053B19" w14:paraId="77965367" w14:textId="77777777" w:rsidTr="00E76924">
        <w:tc>
          <w:tcPr>
            <w:tcW w:w="1313" w:type="pct"/>
            <w:tcBorders>
              <w:top w:val="single" w:sz="4" w:space="0" w:color="auto"/>
              <w:left w:val="single" w:sz="4" w:space="0" w:color="auto"/>
              <w:bottom w:val="single" w:sz="4" w:space="0" w:color="auto"/>
              <w:right w:val="single" w:sz="4" w:space="0" w:color="auto"/>
            </w:tcBorders>
            <w:hideMark/>
          </w:tcPr>
          <w:p w14:paraId="39D585CE" w14:textId="77777777" w:rsidR="00191AEF" w:rsidRPr="00053B19" w:rsidRDefault="00191AEF">
            <w:pPr>
              <w:widowControl w:val="0"/>
              <w:tabs>
                <w:tab w:val="left" w:pos="660"/>
              </w:tabs>
              <w:autoSpaceDE w:val="0"/>
              <w:autoSpaceDN w:val="0"/>
              <w:adjustRightInd w:val="0"/>
              <w:spacing w:line="0" w:lineRule="atLeast"/>
              <w:jc w:val="both"/>
              <w:rPr>
                <w:sz w:val="24"/>
                <w:szCs w:val="24"/>
                <w:lang w:val="en-GB"/>
              </w:rPr>
            </w:pPr>
            <w:r w:rsidRPr="00053B19">
              <w:rPr>
                <w:sz w:val="24"/>
                <w:szCs w:val="24"/>
                <w:lang w:val="en-GB"/>
              </w:rPr>
              <w:t>Efficacy Parameter</w:t>
            </w:r>
          </w:p>
        </w:tc>
        <w:tc>
          <w:tcPr>
            <w:tcW w:w="909" w:type="pct"/>
            <w:tcBorders>
              <w:top w:val="single" w:sz="4" w:space="0" w:color="auto"/>
              <w:left w:val="single" w:sz="4" w:space="0" w:color="auto"/>
              <w:bottom w:val="single" w:sz="4" w:space="0" w:color="auto"/>
              <w:right w:val="single" w:sz="4" w:space="0" w:color="auto"/>
            </w:tcBorders>
            <w:hideMark/>
          </w:tcPr>
          <w:p w14:paraId="4F7B057A"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Sorafenib (N=299)</w:t>
            </w:r>
          </w:p>
        </w:tc>
        <w:tc>
          <w:tcPr>
            <w:tcW w:w="960" w:type="pct"/>
            <w:tcBorders>
              <w:top w:val="single" w:sz="4" w:space="0" w:color="auto"/>
              <w:left w:val="single" w:sz="4" w:space="0" w:color="auto"/>
              <w:bottom w:val="single" w:sz="4" w:space="0" w:color="auto"/>
              <w:right w:val="single" w:sz="4" w:space="0" w:color="auto"/>
            </w:tcBorders>
            <w:hideMark/>
          </w:tcPr>
          <w:p w14:paraId="3D8E0AC3"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Placebo (N=303)</w:t>
            </w:r>
          </w:p>
        </w:tc>
        <w:tc>
          <w:tcPr>
            <w:tcW w:w="859" w:type="pct"/>
            <w:tcBorders>
              <w:top w:val="single" w:sz="4" w:space="0" w:color="auto"/>
              <w:left w:val="single" w:sz="4" w:space="0" w:color="auto"/>
              <w:bottom w:val="single" w:sz="4" w:space="0" w:color="auto"/>
              <w:right w:val="single" w:sz="4" w:space="0" w:color="auto"/>
            </w:tcBorders>
            <w:hideMark/>
          </w:tcPr>
          <w:p w14:paraId="0D3FB4D5" w14:textId="77777777" w:rsidR="00191AEF" w:rsidRPr="00053B19" w:rsidRDefault="00191AEF">
            <w:pPr>
              <w:widowControl w:val="0"/>
              <w:tabs>
                <w:tab w:val="left" w:pos="660"/>
              </w:tabs>
              <w:autoSpaceDE w:val="0"/>
              <w:autoSpaceDN w:val="0"/>
              <w:adjustRightInd w:val="0"/>
              <w:spacing w:line="0" w:lineRule="atLeast"/>
              <w:jc w:val="both"/>
              <w:rPr>
                <w:sz w:val="24"/>
                <w:szCs w:val="24"/>
                <w:lang w:val="en-GB"/>
              </w:rPr>
            </w:pPr>
            <w:r w:rsidRPr="00053B19">
              <w:rPr>
                <w:sz w:val="24"/>
                <w:szCs w:val="24"/>
                <w:lang w:val="en-GB"/>
              </w:rPr>
              <w:t>P-value</w:t>
            </w:r>
          </w:p>
        </w:tc>
        <w:tc>
          <w:tcPr>
            <w:tcW w:w="960" w:type="pct"/>
            <w:tcBorders>
              <w:top w:val="single" w:sz="4" w:space="0" w:color="auto"/>
              <w:left w:val="single" w:sz="4" w:space="0" w:color="auto"/>
              <w:bottom w:val="single" w:sz="4" w:space="0" w:color="auto"/>
              <w:right w:val="single" w:sz="4" w:space="0" w:color="auto"/>
            </w:tcBorders>
            <w:hideMark/>
          </w:tcPr>
          <w:p w14:paraId="6009089F" w14:textId="77777777" w:rsidR="00191AEF" w:rsidRPr="00053B19" w:rsidRDefault="00191AEF">
            <w:pPr>
              <w:widowControl w:val="0"/>
              <w:tabs>
                <w:tab w:val="left" w:pos="660"/>
              </w:tabs>
              <w:autoSpaceDE w:val="0"/>
              <w:autoSpaceDN w:val="0"/>
              <w:adjustRightInd w:val="0"/>
              <w:spacing w:line="0" w:lineRule="atLeast"/>
              <w:jc w:val="both"/>
              <w:rPr>
                <w:sz w:val="24"/>
                <w:szCs w:val="24"/>
                <w:lang w:val="en-GB"/>
              </w:rPr>
            </w:pPr>
            <w:r w:rsidRPr="00053B19">
              <w:rPr>
                <w:sz w:val="24"/>
                <w:szCs w:val="24"/>
                <w:lang w:val="en-GB"/>
              </w:rPr>
              <w:t>HR</w:t>
            </w:r>
          </w:p>
          <w:p w14:paraId="559CB345" w14:textId="77777777" w:rsidR="00191AEF" w:rsidRPr="00053B19" w:rsidRDefault="00191AEF">
            <w:pPr>
              <w:widowControl w:val="0"/>
              <w:tabs>
                <w:tab w:val="left" w:pos="660"/>
              </w:tabs>
              <w:autoSpaceDE w:val="0"/>
              <w:autoSpaceDN w:val="0"/>
              <w:adjustRightInd w:val="0"/>
              <w:spacing w:line="0" w:lineRule="atLeast"/>
              <w:jc w:val="both"/>
              <w:rPr>
                <w:sz w:val="24"/>
                <w:szCs w:val="24"/>
                <w:lang w:val="en-GB"/>
              </w:rPr>
            </w:pPr>
            <w:r w:rsidRPr="00053B19">
              <w:rPr>
                <w:sz w:val="24"/>
                <w:szCs w:val="24"/>
                <w:lang w:val="en-GB"/>
              </w:rPr>
              <w:t>(95% CI)</w:t>
            </w:r>
          </w:p>
        </w:tc>
      </w:tr>
      <w:tr w:rsidR="00191AEF" w:rsidRPr="00053B19" w14:paraId="550AF00B" w14:textId="77777777" w:rsidTr="00E76924">
        <w:tc>
          <w:tcPr>
            <w:tcW w:w="1313" w:type="pct"/>
            <w:tcBorders>
              <w:top w:val="single" w:sz="4" w:space="0" w:color="auto"/>
              <w:left w:val="single" w:sz="4" w:space="0" w:color="auto"/>
              <w:bottom w:val="single" w:sz="4" w:space="0" w:color="auto"/>
              <w:right w:val="single" w:sz="4" w:space="0" w:color="auto"/>
            </w:tcBorders>
            <w:hideMark/>
          </w:tcPr>
          <w:p w14:paraId="5D0A817D"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Overall Survival (OS)</w:t>
            </w:r>
          </w:p>
          <w:p w14:paraId="771687FA"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[median, weeks (95% CI)]</w:t>
            </w:r>
          </w:p>
        </w:tc>
        <w:tc>
          <w:tcPr>
            <w:tcW w:w="909" w:type="pct"/>
            <w:tcBorders>
              <w:top w:val="single" w:sz="4" w:space="0" w:color="auto"/>
              <w:left w:val="single" w:sz="4" w:space="0" w:color="auto"/>
              <w:bottom w:val="single" w:sz="4" w:space="0" w:color="auto"/>
              <w:right w:val="single" w:sz="4" w:space="0" w:color="auto"/>
            </w:tcBorders>
            <w:hideMark/>
          </w:tcPr>
          <w:p w14:paraId="366B6D6B"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46.3</w:t>
            </w:r>
          </w:p>
          <w:p w14:paraId="5251756A"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(40.9,</w:t>
            </w:r>
            <w:r w:rsidRPr="00053B19">
              <w:rPr>
                <w:spacing w:val="-11"/>
                <w:sz w:val="24"/>
                <w:szCs w:val="24"/>
                <w:lang w:val="en-GB"/>
              </w:rPr>
              <w:t xml:space="preserve"> </w:t>
            </w:r>
            <w:r w:rsidRPr="00053B19">
              <w:rPr>
                <w:spacing w:val="-1"/>
                <w:sz w:val="24"/>
                <w:szCs w:val="24"/>
                <w:lang w:val="en-GB"/>
              </w:rPr>
              <w:t>57.9)</w:t>
            </w:r>
          </w:p>
        </w:tc>
        <w:tc>
          <w:tcPr>
            <w:tcW w:w="960" w:type="pct"/>
            <w:tcBorders>
              <w:top w:val="single" w:sz="4" w:space="0" w:color="auto"/>
              <w:left w:val="single" w:sz="4" w:space="0" w:color="auto"/>
              <w:bottom w:val="single" w:sz="4" w:space="0" w:color="auto"/>
              <w:right w:val="single" w:sz="4" w:space="0" w:color="auto"/>
            </w:tcBorders>
            <w:hideMark/>
          </w:tcPr>
          <w:p w14:paraId="1A1251A8"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34.4</w:t>
            </w:r>
          </w:p>
          <w:p w14:paraId="4BD34DF5"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(29.4,</w:t>
            </w:r>
            <w:r w:rsidRPr="00053B19">
              <w:rPr>
                <w:spacing w:val="-11"/>
                <w:sz w:val="24"/>
                <w:szCs w:val="24"/>
                <w:lang w:val="en-GB"/>
              </w:rPr>
              <w:t xml:space="preserve"> </w:t>
            </w:r>
            <w:r w:rsidRPr="00053B19">
              <w:rPr>
                <w:spacing w:val="-1"/>
                <w:sz w:val="24"/>
                <w:szCs w:val="24"/>
                <w:lang w:val="en-GB"/>
              </w:rPr>
              <w:t>39.4)</w:t>
            </w:r>
          </w:p>
        </w:tc>
        <w:tc>
          <w:tcPr>
            <w:tcW w:w="859" w:type="pct"/>
            <w:tcBorders>
              <w:top w:val="single" w:sz="4" w:space="0" w:color="auto"/>
              <w:left w:val="single" w:sz="4" w:space="0" w:color="auto"/>
              <w:bottom w:val="single" w:sz="4" w:space="0" w:color="auto"/>
              <w:right w:val="single" w:sz="4" w:space="0" w:color="auto"/>
            </w:tcBorders>
            <w:hideMark/>
          </w:tcPr>
          <w:p w14:paraId="04628520" w14:textId="77777777" w:rsidR="00191AEF" w:rsidRPr="00053B19" w:rsidRDefault="00191AEF">
            <w:pPr>
              <w:widowControl w:val="0"/>
              <w:tabs>
                <w:tab w:val="left" w:pos="660"/>
              </w:tabs>
              <w:autoSpaceDE w:val="0"/>
              <w:autoSpaceDN w:val="0"/>
              <w:adjustRightInd w:val="0"/>
              <w:spacing w:line="0" w:lineRule="atLeast"/>
              <w:jc w:val="both"/>
              <w:rPr>
                <w:sz w:val="24"/>
                <w:szCs w:val="24"/>
                <w:lang w:val="en-GB"/>
              </w:rPr>
            </w:pPr>
            <w:r w:rsidRPr="00053B19">
              <w:rPr>
                <w:spacing w:val="-1"/>
                <w:sz w:val="24"/>
                <w:szCs w:val="24"/>
                <w:lang w:val="en-GB"/>
              </w:rPr>
              <w:t>0.00058*</w:t>
            </w:r>
          </w:p>
        </w:tc>
        <w:tc>
          <w:tcPr>
            <w:tcW w:w="960" w:type="pct"/>
            <w:tcBorders>
              <w:top w:val="single" w:sz="4" w:space="0" w:color="auto"/>
              <w:left w:val="single" w:sz="4" w:space="0" w:color="auto"/>
              <w:bottom w:val="single" w:sz="4" w:space="0" w:color="auto"/>
              <w:right w:val="single" w:sz="4" w:space="0" w:color="auto"/>
            </w:tcBorders>
            <w:hideMark/>
          </w:tcPr>
          <w:p w14:paraId="5299DD4A" w14:textId="77777777" w:rsidR="00191AEF" w:rsidRPr="00053B19" w:rsidRDefault="00191AEF">
            <w:pPr>
              <w:widowControl w:val="0"/>
              <w:tabs>
                <w:tab w:val="left" w:pos="660"/>
              </w:tabs>
              <w:autoSpaceDE w:val="0"/>
              <w:autoSpaceDN w:val="0"/>
              <w:adjustRightInd w:val="0"/>
              <w:spacing w:line="0" w:lineRule="atLeast"/>
              <w:jc w:val="both"/>
              <w:rPr>
                <w:sz w:val="24"/>
                <w:szCs w:val="24"/>
                <w:lang w:val="en-GB"/>
              </w:rPr>
            </w:pPr>
            <w:r w:rsidRPr="00053B19">
              <w:rPr>
                <w:sz w:val="24"/>
                <w:szCs w:val="24"/>
                <w:lang w:val="en-GB"/>
              </w:rPr>
              <w:t>0.69</w:t>
            </w:r>
          </w:p>
          <w:p w14:paraId="73CB305A" w14:textId="77777777" w:rsidR="00191AEF" w:rsidRPr="00053B19" w:rsidRDefault="00191AEF">
            <w:pPr>
              <w:widowControl w:val="0"/>
              <w:tabs>
                <w:tab w:val="left" w:pos="660"/>
              </w:tabs>
              <w:autoSpaceDE w:val="0"/>
              <w:autoSpaceDN w:val="0"/>
              <w:adjustRightInd w:val="0"/>
              <w:spacing w:line="0" w:lineRule="atLeast"/>
              <w:jc w:val="both"/>
              <w:rPr>
                <w:sz w:val="24"/>
                <w:szCs w:val="24"/>
                <w:lang w:val="en-GB"/>
              </w:rPr>
            </w:pPr>
            <w:r w:rsidRPr="00053B19">
              <w:rPr>
                <w:sz w:val="24"/>
                <w:szCs w:val="24"/>
                <w:lang w:val="en-GB"/>
              </w:rPr>
              <w:t>(0.55,</w:t>
            </w:r>
            <w:r w:rsidRPr="00053B19">
              <w:rPr>
                <w:spacing w:val="-11"/>
                <w:sz w:val="24"/>
                <w:szCs w:val="24"/>
                <w:lang w:val="en-GB"/>
              </w:rPr>
              <w:t xml:space="preserve"> </w:t>
            </w:r>
            <w:r w:rsidRPr="00053B19">
              <w:rPr>
                <w:spacing w:val="-1"/>
                <w:sz w:val="24"/>
                <w:szCs w:val="24"/>
                <w:lang w:val="en-GB"/>
              </w:rPr>
              <w:t>0.87)</w:t>
            </w:r>
          </w:p>
        </w:tc>
      </w:tr>
      <w:tr w:rsidR="00191AEF" w:rsidRPr="00053B19" w14:paraId="6CCC7425" w14:textId="77777777" w:rsidTr="00E76924">
        <w:tc>
          <w:tcPr>
            <w:tcW w:w="1313" w:type="pct"/>
            <w:tcBorders>
              <w:top w:val="single" w:sz="4" w:space="0" w:color="auto"/>
              <w:left w:val="single" w:sz="4" w:space="0" w:color="auto"/>
              <w:bottom w:val="single" w:sz="4" w:space="0" w:color="auto"/>
              <w:right w:val="single" w:sz="4" w:space="0" w:color="auto"/>
            </w:tcBorders>
            <w:hideMark/>
          </w:tcPr>
          <w:p w14:paraId="1FA7BFDF"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Time to Progression</w:t>
            </w:r>
          </w:p>
          <w:p w14:paraId="01789ABE"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(TTP) [median, weeks (95% CI</w:t>
            </w:r>
            <w:proofErr w:type="gramStart"/>
            <w:r w:rsidRPr="00053B19">
              <w:rPr>
                <w:sz w:val="24"/>
                <w:szCs w:val="24"/>
                <w:lang w:val="en-GB"/>
              </w:rPr>
              <w:t>)]*</w:t>
            </w:r>
            <w:proofErr w:type="gramEnd"/>
            <w:r w:rsidRPr="00053B19">
              <w:rPr>
                <w:sz w:val="24"/>
                <w:szCs w:val="24"/>
                <w:lang w:val="en-GB"/>
              </w:rPr>
              <w:t>*</w:t>
            </w:r>
          </w:p>
        </w:tc>
        <w:tc>
          <w:tcPr>
            <w:tcW w:w="909" w:type="pct"/>
            <w:tcBorders>
              <w:top w:val="single" w:sz="4" w:space="0" w:color="auto"/>
              <w:left w:val="single" w:sz="4" w:space="0" w:color="auto"/>
              <w:bottom w:val="single" w:sz="4" w:space="0" w:color="auto"/>
              <w:right w:val="single" w:sz="4" w:space="0" w:color="auto"/>
            </w:tcBorders>
            <w:hideMark/>
          </w:tcPr>
          <w:p w14:paraId="0AD51E81"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24.0</w:t>
            </w:r>
          </w:p>
          <w:p w14:paraId="2CFFE62D"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(18.0,</w:t>
            </w:r>
            <w:r w:rsidRPr="00053B19">
              <w:rPr>
                <w:spacing w:val="-11"/>
                <w:sz w:val="24"/>
                <w:szCs w:val="24"/>
                <w:lang w:val="en-GB"/>
              </w:rPr>
              <w:t xml:space="preserve"> </w:t>
            </w:r>
            <w:r w:rsidRPr="00053B19">
              <w:rPr>
                <w:spacing w:val="-1"/>
                <w:sz w:val="24"/>
                <w:szCs w:val="24"/>
                <w:lang w:val="en-GB"/>
              </w:rPr>
              <w:t>30.0)</w:t>
            </w:r>
          </w:p>
        </w:tc>
        <w:tc>
          <w:tcPr>
            <w:tcW w:w="960" w:type="pct"/>
            <w:tcBorders>
              <w:top w:val="single" w:sz="4" w:space="0" w:color="auto"/>
              <w:left w:val="single" w:sz="4" w:space="0" w:color="auto"/>
              <w:bottom w:val="single" w:sz="4" w:space="0" w:color="auto"/>
              <w:right w:val="single" w:sz="4" w:space="0" w:color="auto"/>
            </w:tcBorders>
            <w:hideMark/>
          </w:tcPr>
          <w:p w14:paraId="702E0ADF"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12.3</w:t>
            </w:r>
          </w:p>
          <w:p w14:paraId="31641040" w14:textId="77777777" w:rsidR="00191AEF" w:rsidRPr="00053B19" w:rsidRDefault="00191AEF">
            <w:pPr>
              <w:widowControl w:val="0"/>
              <w:tabs>
                <w:tab w:val="left" w:pos="660"/>
              </w:tabs>
              <w:autoSpaceDE w:val="0"/>
              <w:autoSpaceDN w:val="0"/>
              <w:adjustRightInd w:val="0"/>
              <w:spacing w:line="0" w:lineRule="atLeast"/>
              <w:rPr>
                <w:sz w:val="24"/>
                <w:szCs w:val="24"/>
                <w:lang w:val="en-GB"/>
              </w:rPr>
            </w:pPr>
            <w:r w:rsidRPr="00053B19">
              <w:rPr>
                <w:sz w:val="24"/>
                <w:szCs w:val="24"/>
                <w:lang w:val="en-GB"/>
              </w:rPr>
              <w:t>(11.7,</w:t>
            </w:r>
            <w:r w:rsidRPr="00053B19">
              <w:rPr>
                <w:spacing w:val="-11"/>
                <w:sz w:val="24"/>
                <w:szCs w:val="24"/>
                <w:lang w:val="en-GB"/>
              </w:rPr>
              <w:t xml:space="preserve"> </w:t>
            </w:r>
            <w:r w:rsidRPr="00053B19">
              <w:rPr>
                <w:spacing w:val="-1"/>
                <w:sz w:val="24"/>
                <w:szCs w:val="24"/>
                <w:lang w:val="en-GB"/>
              </w:rPr>
              <w:t>17.1)</w:t>
            </w:r>
          </w:p>
        </w:tc>
        <w:tc>
          <w:tcPr>
            <w:tcW w:w="859" w:type="pct"/>
            <w:tcBorders>
              <w:top w:val="single" w:sz="4" w:space="0" w:color="auto"/>
              <w:left w:val="single" w:sz="4" w:space="0" w:color="auto"/>
              <w:bottom w:val="single" w:sz="4" w:space="0" w:color="auto"/>
              <w:right w:val="single" w:sz="4" w:space="0" w:color="auto"/>
            </w:tcBorders>
            <w:hideMark/>
          </w:tcPr>
          <w:p w14:paraId="66D03373" w14:textId="77777777" w:rsidR="00191AEF" w:rsidRPr="00053B19" w:rsidRDefault="00191AEF">
            <w:pPr>
              <w:widowControl w:val="0"/>
              <w:tabs>
                <w:tab w:val="left" w:pos="660"/>
              </w:tabs>
              <w:autoSpaceDE w:val="0"/>
              <w:autoSpaceDN w:val="0"/>
              <w:adjustRightInd w:val="0"/>
              <w:spacing w:line="0" w:lineRule="atLeast"/>
              <w:jc w:val="both"/>
              <w:rPr>
                <w:sz w:val="24"/>
                <w:szCs w:val="24"/>
                <w:lang w:val="en-GB"/>
              </w:rPr>
            </w:pPr>
            <w:r w:rsidRPr="00053B19">
              <w:rPr>
                <w:spacing w:val="-1"/>
                <w:sz w:val="24"/>
                <w:szCs w:val="24"/>
                <w:lang w:val="en-GB"/>
              </w:rPr>
              <w:t>0.000007</w:t>
            </w:r>
          </w:p>
        </w:tc>
        <w:tc>
          <w:tcPr>
            <w:tcW w:w="960" w:type="pct"/>
            <w:tcBorders>
              <w:top w:val="single" w:sz="4" w:space="0" w:color="auto"/>
              <w:left w:val="single" w:sz="4" w:space="0" w:color="auto"/>
              <w:bottom w:val="single" w:sz="4" w:space="0" w:color="auto"/>
              <w:right w:val="single" w:sz="4" w:space="0" w:color="auto"/>
            </w:tcBorders>
            <w:hideMark/>
          </w:tcPr>
          <w:p w14:paraId="5C52B890" w14:textId="77777777" w:rsidR="00191AEF" w:rsidRPr="00053B19" w:rsidRDefault="00191AEF">
            <w:pPr>
              <w:widowControl w:val="0"/>
              <w:tabs>
                <w:tab w:val="left" w:pos="660"/>
              </w:tabs>
              <w:autoSpaceDE w:val="0"/>
              <w:autoSpaceDN w:val="0"/>
              <w:adjustRightInd w:val="0"/>
              <w:spacing w:line="0" w:lineRule="atLeast"/>
              <w:jc w:val="both"/>
              <w:rPr>
                <w:sz w:val="24"/>
                <w:szCs w:val="24"/>
                <w:lang w:val="en-GB"/>
              </w:rPr>
            </w:pPr>
            <w:r w:rsidRPr="00053B19">
              <w:rPr>
                <w:sz w:val="24"/>
                <w:szCs w:val="24"/>
                <w:lang w:val="en-GB"/>
              </w:rPr>
              <w:t>0.58</w:t>
            </w:r>
          </w:p>
          <w:p w14:paraId="6C7F5AD4" w14:textId="77777777" w:rsidR="00191AEF" w:rsidRPr="00053B19" w:rsidRDefault="00191AEF">
            <w:pPr>
              <w:widowControl w:val="0"/>
              <w:tabs>
                <w:tab w:val="left" w:pos="660"/>
              </w:tabs>
              <w:autoSpaceDE w:val="0"/>
              <w:autoSpaceDN w:val="0"/>
              <w:adjustRightInd w:val="0"/>
              <w:spacing w:line="0" w:lineRule="atLeast"/>
              <w:jc w:val="both"/>
              <w:rPr>
                <w:sz w:val="24"/>
                <w:szCs w:val="24"/>
                <w:lang w:val="en-GB"/>
              </w:rPr>
            </w:pPr>
            <w:r w:rsidRPr="00053B19">
              <w:rPr>
                <w:sz w:val="24"/>
                <w:szCs w:val="24"/>
                <w:lang w:val="en-GB"/>
              </w:rPr>
              <w:t>(0.45,</w:t>
            </w:r>
            <w:r w:rsidRPr="00053B19">
              <w:rPr>
                <w:spacing w:val="-11"/>
                <w:sz w:val="24"/>
                <w:szCs w:val="24"/>
                <w:lang w:val="en-GB"/>
              </w:rPr>
              <w:t xml:space="preserve"> </w:t>
            </w:r>
            <w:r w:rsidRPr="00053B19">
              <w:rPr>
                <w:spacing w:val="-1"/>
                <w:sz w:val="24"/>
                <w:szCs w:val="24"/>
                <w:lang w:val="en-GB"/>
              </w:rPr>
              <w:t>0.74)</w:t>
            </w:r>
          </w:p>
        </w:tc>
      </w:tr>
    </w:tbl>
    <w:p w14:paraId="7A909677" w14:textId="77777777" w:rsidR="00191AEF" w:rsidRPr="00053B19" w:rsidRDefault="00191AEF" w:rsidP="00191AEF">
      <w:pPr>
        <w:widowControl w:val="0"/>
        <w:tabs>
          <w:tab w:val="left" w:pos="660"/>
        </w:tabs>
        <w:autoSpaceDE w:val="0"/>
        <w:autoSpaceDN w:val="0"/>
        <w:adjustRightInd w:val="0"/>
        <w:spacing w:line="0" w:lineRule="atLeast"/>
        <w:jc w:val="both"/>
        <w:rPr>
          <w:sz w:val="24"/>
          <w:szCs w:val="24"/>
          <w:lang w:val="en-GB" w:eastAsia="en-GB"/>
        </w:rPr>
      </w:pPr>
      <w:r w:rsidRPr="00053B19">
        <w:rPr>
          <w:sz w:val="24"/>
          <w:szCs w:val="24"/>
          <w:lang w:val="en-GB"/>
        </w:rPr>
        <w:t>CI=Confidence interval, HR=Hazard ratio (sorafenib over placebo)</w:t>
      </w:r>
    </w:p>
    <w:p w14:paraId="17E94A25" w14:textId="77777777" w:rsidR="00191AEF" w:rsidRPr="00053B19" w:rsidRDefault="00191AEF" w:rsidP="00E76924">
      <w:pPr>
        <w:widowControl w:val="0"/>
        <w:autoSpaceDE w:val="0"/>
        <w:autoSpaceDN w:val="0"/>
        <w:adjustRightInd w:val="0"/>
        <w:spacing w:line="0" w:lineRule="atLeast"/>
        <w:ind w:left="426" w:hanging="426"/>
        <w:rPr>
          <w:sz w:val="24"/>
          <w:szCs w:val="24"/>
          <w:lang w:val="en-GB"/>
        </w:rPr>
      </w:pPr>
      <w:r w:rsidRPr="00053B19">
        <w:rPr>
          <w:sz w:val="24"/>
          <w:szCs w:val="24"/>
          <w:lang w:val="en-GB"/>
        </w:rPr>
        <w:t>*</w:t>
      </w:r>
      <w:r w:rsidRPr="00053B19">
        <w:rPr>
          <w:sz w:val="24"/>
          <w:szCs w:val="24"/>
          <w:lang w:val="en-GB"/>
        </w:rPr>
        <w:tab/>
        <w:t>statistically significant as the p-value was below the prespecified O’Brien Fleming stopping boundary of 0.0077</w:t>
      </w:r>
    </w:p>
    <w:p w14:paraId="6BCE2B1B" w14:textId="77777777" w:rsidR="00191AEF" w:rsidRPr="00053B19" w:rsidRDefault="00191AEF" w:rsidP="00E76924">
      <w:pPr>
        <w:widowControl w:val="0"/>
        <w:autoSpaceDE w:val="0"/>
        <w:autoSpaceDN w:val="0"/>
        <w:adjustRightInd w:val="0"/>
        <w:spacing w:line="0" w:lineRule="atLeast"/>
        <w:ind w:left="426" w:hanging="426"/>
        <w:rPr>
          <w:sz w:val="24"/>
          <w:szCs w:val="24"/>
          <w:lang w:val="en-GB"/>
        </w:rPr>
      </w:pPr>
      <w:r w:rsidRPr="00053B19">
        <w:rPr>
          <w:sz w:val="24"/>
          <w:szCs w:val="24"/>
          <w:lang w:val="en-GB"/>
        </w:rPr>
        <w:t>**</w:t>
      </w:r>
      <w:r w:rsidRPr="00053B19">
        <w:rPr>
          <w:sz w:val="24"/>
          <w:szCs w:val="24"/>
          <w:lang w:val="en-GB"/>
        </w:rPr>
        <w:tab/>
        <w:t>independent radiological review</w:t>
      </w:r>
    </w:p>
    <w:p w14:paraId="5F589774" w14:textId="77777777" w:rsidR="00191AEF" w:rsidRPr="00053B19" w:rsidRDefault="00191AEF" w:rsidP="00191AEF">
      <w:pPr>
        <w:widowControl w:val="0"/>
        <w:tabs>
          <w:tab w:val="left" w:pos="660"/>
        </w:tabs>
        <w:autoSpaceDE w:val="0"/>
        <w:autoSpaceDN w:val="0"/>
        <w:adjustRightInd w:val="0"/>
        <w:spacing w:line="0" w:lineRule="atLeast"/>
        <w:jc w:val="both"/>
        <w:rPr>
          <w:sz w:val="24"/>
          <w:szCs w:val="24"/>
          <w:lang w:val="en-GB"/>
        </w:rPr>
      </w:pPr>
    </w:p>
    <w:p w14:paraId="64B725AA" w14:textId="77777777" w:rsidR="00191AEF" w:rsidRPr="00053B19" w:rsidRDefault="00191AEF" w:rsidP="00E76924">
      <w:pPr>
        <w:ind w:left="851"/>
        <w:rPr>
          <w:sz w:val="24"/>
          <w:szCs w:val="24"/>
          <w:lang w:val="en-GB"/>
        </w:rPr>
      </w:pPr>
      <w:r w:rsidRPr="00053B19">
        <w:rPr>
          <w:sz w:val="24"/>
          <w:szCs w:val="24"/>
          <w:lang w:val="en-GB"/>
        </w:rPr>
        <w:t>A second Phase III, international, multi-centre, randomised, double blind, placebo-controlled study (Study 4, 11849) evaluated the clinical benefit of sorafenib in 226 patients with advanced hepatocellular carcinoma. This study, conducted in China, Korea and Taiwan confirmed the findings of Study 3 with respect to the favourable benefit-risk profile of sorafenib (HR (OS): 0.68, p = 0.01414).</w:t>
      </w:r>
    </w:p>
    <w:p w14:paraId="612CD382" w14:textId="77777777" w:rsidR="00191AEF" w:rsidRPr="00053B19" w:rsidRDefault="00191AEF" w:rsidP="00E76924">
      <w:pPr>
        <w:ind w:left="851"/>
        <w:rPr>
          <w:sz w:val="24"/>
          <w:szCs w:val="24"/>
          <w:lang w:val="en-GB"/>
        </w:rPr>
      </w:pPr>
    </w:p>
    <w:p w14:paraId="0FBAF985" w14:textId="77777777" w:rsidR="00191AEF" w:rsidRPr="00053B19" w:rsidRDefault="00191AEF" w:rsidP="00E76924">
      <w:pPr>
        <w:ind w:left="851"/>
        <w:rPr>
          <w:sz w:val="24"/>
          <w:szCs w:val="24"/>
          <w:lang w:val="en-GB"/>
        </w:rPr>
      </w:pPr>
      <w:r w:rsidRPr="00053B19">
        <w:rPr>
          <w:sz w:val="24"/>
          <w:szCs w:val="24"/>
          <w:lang w:val="en-GB"/>
        </w:rPr>
        <w:t>In the pre-specified stratification factors (ECOG status, presence or absence of macroscopic vascular invasion and/or extrahepatic tumour spread) of both Study 3 and 4, the HR consistently favoured sorafenib over placebo. Exploratory subgroup analyses suggested that patients with distant metastases at baseline derived a less pronounced treatment effect.</w:t>
      </w:r>
    </w:p>
    <w:p w14:paraId="13032E3F" w14:textId="5735760F" w:rsidR="00D8140A" w:rsidRDefault="00D8140A">
      <w:pPr>
        <w:rPr>
          <w:sz w:val="24"/>
          <w:szCs w:val="24"/>
          <w:lang w:val="en-GB"/>
        </w:rPr>
      </w:pPr>
      <w:r>
        <w:rPr>
          <w:sz w:val="24"/>
          <w:szCs w:val="24"/>
          <w:lang w:val="en-GB"/>
        </w:rPr>
        <w:br w:type="page"/>
      </w:r>
    </w:p>
    <w:p w14:paraId="38FEF591" w14:textId="77777777" w:rsidR="00191AEF" w:rsidRPr="00053B19" w:rsidRDefault="00191AEF" w:rsidP="00E76924">
      <w:pPr>
        <w:ind w:left="851"/>
        <w:rPr>
          <w:sz w:val="24"/>
          <w:szCs w:val="24"/>
          <w:lang w:val="en-GB"/>
        </w:rPr>
      </w:pPr>
    </w:p>
    <w:p w14:paraId="7C11F2F0" w14:textId="77777777" w:rsidR="00191AEF" w:rsidRPr="00053B19" w:rsidRDefault="00191AEF" w:rsidP="00E76924">
      <w:pPr>
        <w:ind w:left="851"/>
        <w:rPr>
          <w:sz w:val="24"/>
          <w:szCs w:val="24"/>
          <w:u w:val="single"/>
          <w:lang w:val="en-GB"/>
        </w:rPr>
      </w:pPr>
      <w:r w:rsidRPr="00053B19">
        <w:rPr>
          <w:sz w:val="24"/>
          <w:szCs w:val="24"/>
          <w:u w:val="single"/>
          <w:lang w:val="en-GB"/>
        </w:rPr>
        <w:t>Renal cell carcinoma</w:t>
      </w:r>
    </w:p>
    <w:p w14:paraId="57A1C909" w14:textId="77777777" w:rsidR="00191AEF" w:rsidRPr="00053B19" w:rsidRDefault="00191AEF" w:rsidP="00E76924">
      <w:pPr>
        <w:ind w:left="851"/>
        <w:rPr>
          <w:sz w:val="24"/>
          <w:szCs w:val="24"/>
          <w:lang w:val="en-GB"/>
        </w:rPr>
      </w:pPr>
    </w:p>
    <w:p w14:paraId="74AA552E" w14:textId="77777777" w:rsidR="00191AEF" w:rsidRPr="00053B19" w:rsidRDefault="00191AEF" w:rsidP="00E76924">
      <w:pPr>
        <w:ind w:left="851"/>
        <w:rPr>
          <w:sz w:val="24"/>
          <w:szCs w:val="24"/>
          <w:lang w:val="en-GB"/>
        </w:rPr>
      </w:pPr>
      <w:r w:rsidRPr="00053B19">
        <w:rPr>
          <w:sz w:val="24"/>
          <w:szCs w:val="24"/>
          <w:lang w:val="en-GB"/>
        </w:rPr>
        <w:t>The safety and efficacy of sorafenib in the treatment of advanced renal cell carcinoma (RCC) were investigated in two clinical studies:</w:t>
      </w:r>
    </w:p>
    <w:p w14:paraId="4592A9AA" w14:textId="77777777" w:rsidR="00191AEF" w:rsidRPr="00053B19" w:rsidRDefault="00191AEF" w:rsidP="00E76924">
      <w:pPr>
        <w:ind w:left="851"/>
        <w:rPr>
          <w:sz w:val="24"/>
          <w:szCs w:val="24"/>
          <w:lang w:val="en-GB"/>
        </w:rPr>
      </w:pPr>
    </w:p>
    <w:p w14:paraId="2683C496" w14:textId="77777777" w:rsidR="00191AEF" w:rsidRPr="00053B19" w:rsidRDefault="00191AEF" w:rsidP="00E76924">
      <w:pPr>
        <w:ind w:left="851"/>
        <w:rPr>
          <w:sz w:val="24"/>
          <w:szCs w:val="24"/>
          <w:lang w:val="en-GB"/>
        </w:rPr>
      </w:pPr>
      <w:r w:rsidRPr="00053B19">
        <w:rPr>
          <w:sz w:val="24"/>
          <w:szCs w:val="24"/>
          <w:lang w:val="en-GB"/>
        </w:rPr>
        <w:t xml:space="preserve">Study 1 (study 11213) was a Phase III, multi-centre, randomised, double blind, placebo-controlled study in 903 patients. Only patients with clear cell renal carcinoma and low and intermediate risk MSKCC (Memorial Sloan Kettering Cancer </w:t>
      </w:r>
      <w:proofErr w:type="spellStart"/>
      <w:r w:rsidRPr="00053B19">
        <w:rPr>
          <w:sz w:val="24"/>
          <w:szCs w:val="24"/>
          <w:lang w:val="en-GB"/>
        </w:rPr>
        <w:t>Center</w:t>
      </w:r>
      <w:proofErr w:type="spellEnd"/>
      <w:r w:rsidRPr="00053B19">
        <w:rPr>
          <w:sz w:val="24"/>
          <w:szCs w:val="24"/>
          <w:lang w:val="en-GB"/>
        </w:rPr>
        <w:t>) were included. The primary endpoints were overall survival and progression-free survival (PFS).</w:t>
      </w:r>
    </w:p>
    <w:p w14:paraId="28198290" w14:textId="77777777" w:rsidR="00191AEF" w:rsidRPr="00053B19" w:rsidRDefault="00191AEF" w:rsidP="00E76924">
      <w:pPr>
        <w:ind w:left="851"/>
        <w:rPr>
          <w:sz w:val="24"/>
          <w:szCs w:val="24"/>
          <w:lang w:val="en-GB"/>
        </w:rPr>
      </w:pPr>
      <w:r w:rsidRPr="00053B19">
        <w:rPr>
          <w:sz w:val="24"/>
          <w:szCs w:val="24"/>
          <w:lang w:val="en-GB"/>
        </w:rPr>
        <w:t>Approximately half of the patients had an ECOG performance status of 0, and half of the patients were in the low risk MSKCC prognostic group.</w:t>
      </w:r>
    </w:p>
    <w:p w14:paraId="75B2A082" w14:textId="77777777" w:rsidR="00191AEF" w:rsidRPr="00053B19" w:rsidRDefault="00191AEF" w:rsidP="00E76924">
      <w:pPr>
        <w:ind w:left="851"/>
        <w:rPr>
          <w:sz w:val="24"/>
          <w:szCs w:val="24"/>
          <w:lang w:val="en-GB"/>
        </w:rPr>
      </w:pPr>
      <w:r w:rsidRPr="00053B19">
        <w:rPr>
          <w:sz w:val="24"/>
          <w:szCs w:val="24"/>
          <w:lang w:val="en-GB"/>
        </w:rPr>
        <w:t>PFS was evaluated by blinded independent radiological review using RECIST criteria. The PFS analysis was conducted at 342 events in 769 patients. The median PFS was 167 days for patients randomised to sorafenib compared to 84 days for placebo patients (HR = 0.44; 95 % CI: 0.35 - 0.55; p &lt; 0.000001). Age, MSKCC prognostic group, ECOG PS and prior therapy did not affect the treatment effect size.</w:t>
      </w:r>
    </w:p>
    <w:p w14:paraId="60C47F08" w14:textId="77777777" w:rsidR="00191AEF" w:rsidRPr="00053B19" w:rsidRDefault="00191AEF" w:rsidP="00E76924">
      <w:pPr>
        <w:ind w:left="851"/>
        <w:rPr>
          <w:sz w:val="24"/>
          <w:szCs w:val="24"/>
          <w:lang w:val="en-GB"/>
        </w:rPr>
      </w:pPr>
    </w:p>
    <w:p w14:paraId="6D4A2DA5" w14:textId="77777777" w:rsidR="00191AEF" w:rsidRPr="00053B19" w:rsidRDefault="00191AEF" w:rsidP="00E76924">
      <w:pPr>
        <w:ind w:left="851"/>
        <w:rPr>
          <w:sz w:val="24"/>
          <w:szCs w:val="24"/>
          <w:lang w:val="en-GB"/>
        </w:rPr>
      </w:pPr>
      <w:r w:rsidRPr="00053B19">
        <w:rPr>
          <w:sz w:val="24"/>
          <w:szCs w:val="24"/>
          <w:lang w:val="en-GB"/>
        </w:rPr>
        <w:t>An interim analysis (second interim analysis) for overall survival was conducted at 367 deaths in 903 patients. The nominal alpha value for this analysis was 0.0094. The median survival was 19.3 months for patients randomised to sorafenib compared to 15.9 months for placebo patients (HR = 0.77; 95 % CI: 0.63 - 0.95; p = 0.015). At the time of this analysis, about 200 patients had crossed-over to sorafenib from the placebo group.</w:t>
      </w:r>
    </w:p>
    <w:p w14:paraId="51C607AE" w14:textId="77777777" w:rsidR="00191AEF" w:rsidRPr="00053B19" w:rsidRDefault="00191AEF" w:rsidP="00E76924">
      <w:pPr>
        <w:ind w:left="851"/>
        <w:rPr>
          <w:sz w:val="24"/>
          <w:szCs w:val="24"/>
          <w:lang w:val="en-GB"/>
        </w:rPr>
      </w:pPr>
    </w:p>
    <w:p w14:paraId="3521780D" w14:textId="77777777" w:rsidR="00191AEF" w:rsidRPr="00053B19" w:rsidRDefault="00191AEF" w:rsidP="00E76924">
      <w:pPr>
        <w:ind w:left="851"/>
        <w:rPr>
          <w:sz w:val="24"/>
          <w:szCs w:val="24"/>
          <w:lang w:val="en-GB"/>
        </w:rPr>
      </w:pPr>
      <w:r w:rsidRPr="00053B19">
        <w:rPr>
          <w:sz w:val="24"/>
          <w:szCs w:val="24"/>
          <w:lang w:val="en-GB"/>
        </w:rPr>
        <w:t>Study 2 was a Phase II, discontinuation study in patients with metastatic malignancies, including RCC. Patients with stable disease on therapy with sorafenib were randomised to placebo or continued sorafenib therapy. Progression-free survival in patients with RCC was significantly longer in the sorafenib group (163 days) than in the placebo group (41 days) (p = 0.0001, HR = 0.29).</w:t>
      </w:r>
    </w:p>
    <w:p w14:paraId="60075C65" w14:textId="77777777" w:rsidR="00191AEF" w:rsidRPr="00053B19" w:rsidRDefault="00191AEF" w:rsidP="00E76924">
      <w:pPr>
        <w:ind w:left="851"/>
        <w:rPr>
          <w:sz w:val="24"/>
          <w:szCs w:val="24"/>
          <w:lang w:val="en-GB"/>
        </w:rPr>
      </w:pPr>
    </w:p>
    <w:p w14:paraId="15706815" w14:textId="77777777" w:rsidR="00191AEF" w:rsidRPr="00053B19" w:rsidRDefault="00191AEF" w:rsidP="00E76924">
      <w:pPr>
        <w:ind w:left="851"/>
        <w:rPr>
          <w:sz w:val="24"/>
          <w:szCs w:val="24"/>
          <w:u w:val="single"/>
          <w:lang w:val="en-GB"/>
        </w:rPr>
      </w:pPr>
      <w:r w:rsidRPr="00053B19">
        <w:rPr>
          <w:sz w:val="24"/>
          <w:szCs w:val="24"/>
          <w:u w:val="single"/>
          <w:lang w:val="en-GB"/>
        </w:rPr>
        <w:t>QT interval prolongation</w:t>
      </w:r>
    </w:p>
    <w:p w14:paraId="1455BBDB" w14:textId="77777777" w:rsidR="00191AEF" w:rsidRPr="00053B19" w:rsidRDefault="00191AEF" w:rsidP="00E76924">
      <w:pPr>
        <w:ind w:left="851"/>
        <w:rPr>
          <w:sz w:val="24"/>
          <w:szCs w:val="24"/>
          <w:u w:val="single"/>
          <w:lang w:val="en-GB"/>
        </w:rPr>
      </w:pPr>
    </w:p>
    <w:p w14:paraId="38148C50" w14:textId="77777777" w:rsidR="00191AEF" w:rsidRPr="00053B19" w:rsidRDefault="00191AEF" w:rsidP="00E76924">
      <w:pPr>
        <w:ind w:left="851"/>
        <w:rPr>
          <w:sz w:val="24"/>
          <w:szCs w:val="24"/>
          <w:lang w:val="en-GB"/>
        </w:rPr>
      </w:pPr>
      <w:r w:rsidRPr="00053B19">
        <w:rPr>
          <w:sz w:val="24"/>
          <w:szCs w:val="24"/>
          <w:lang w:val="en-GB"/>
        </w:rPr>
        <w:t xml:space="preserve">In a clinical pharmacology study, QT/QTc measurements were recorded in 31 patients at baseline (pre-treatment) and post-treatment. After one 28-day treatment cycle, at the time of maximum concentration of sorafenib, QTcB was prolonged by 4 ±19 </w:t>
      </w:r>
      <w:proofErr w:type="spellStart"/>
      <w:r w:rsidRPr="00053B19">
        <w:rPr>
          <w:sz w:val="24"/>
          <w:szCs w:val="24"/>
          <w:lang w:val="en-GB"/>
        </w:rPr>
        <w:t>msec</w:t>
      </w:r>
      <w:proofErr w:type="spellEnd"/>
      <w:r w:rsidRPr="00053B19">
        <w:rPr>
          <w:sz w:val="24"/>
          <w:szCs w:val="24"/>
          <w:lang w:val="en-GB"/>
        </w:rPr>
        <w:t xml:space="preserve"> and </w:t>
      </w:r>
      <w:proofErr w:type="spellStart"/>
      <w:r w:rsidRPr="00053B19">
        <w:rPr>
          <w:sz w:val="24"/>
          <w:szCs w:val="24"/>
          <w:lang w:val="en-GB"/>
        </w:rPr>
        <w:t>QTcF</w:t>
      </w:r>
      <w:proofErr w:type="spellEnd"/>
      <w:r w:rsidRPr="00053B19">
        <w:rPr>
          <w:sz w:val="24"/>
          <w:szCs w:val="24"/>
          <w:lang w:val="en-GB"/>
        </w:rPr>
        <w:t xml:space="preserve"> by 9 ±18 </w:t>
      </w:r>
      <w:proofErr w:type="spellStart"/>
      <w:r w:rsidRPr="00053B19">
        <w:rPr>
          <w:sz w:val="24"/>
          <w:szCs w:val="24"/>
          <w:lang w:val="en-GB"/>
        </w:rPr>
        <w:t>msec</w:t>
      </w:r>
      <w:proofErr w:type="spellEnd"/>
      <w:r w:rsidRPr="00053B19">
        <w:rPr>
          <w:sz w:val="24"/>
          <w:szCs w:val="24"/>
          <w:lang w:val="en-GB"/>
        </w:rPr>
        <w:t xml:space="preserve">, as compared to placebo treatment at baseline. No subject showed a QTcB or </w:t>
      </w:r>
      <w:proofErr w:type="spellStart"/>
      <w:r w:rsidRPr="00053B19">
        <w:rPr>
          <w:sz w:val="24"/>
          <w:szCs w:val="24"/>
          <w:lang w:val="en-GB"/>
        </w:rPr>
        <w:t>QTcF</w:t>
      </w:r>
      <w:proofErr w:type="spellEnd"/>
      <w:r w:rsidRPr="00053B19">
        <w:rPr>
          <w:sz w:val="24"/>
          <w:szCs w:val="24"/>
          <w:lang w:val="en-GB"/>
        </w:rPr>
        <w:t xml:space="preserve"> &gt;500 </w:t>
      </w:r>
      <w:proofErr w:type="spellStart"/>
      <w:r w:rsidRPr="00053B19">
        <w:rPr>
          <w:sz w:val="24"/>
          <w:szCs w:val="24"/>
          <w:lang w:val="en-GB"/>
        </w:rPr>
        <w:t>msec</w:t>
      </w:r>
      <w:proofErr w:type="spellEnd"/>
      <w:r w:rsidRPr="00053B19">
        <w:rPr>
          <w:sz w:val="24"/>
          <w:szCs w:val="24"/>
          <w:lang w:val="en-GB"/>
        </w:rPr>
        <w:t xml:space="preserve"> during the post-treatment ECG monitoring (see section 4.4).</w:t>
      </w:r>
    </w:p>
    <w:p w14:paraId="0757A50B" w14:textId="77777777" w:rsidR="00191AEF" w:rsidRPr="00053B19" w:rsidRDefault="00191AEF" w:rsidP="00E76924">
      <w:pPr>
        <w:ind w:left="851"/>
        <w:rPr>
          <w:sz w:val="24"/>
          <w:szCs w:val="24"/>
          <w:lang w:val="en-GB"/>
        </w:rPr>
      </w:pPr>
    </w:p>
    <w:p w14:paraId="48635184" w14:textId="77777777" w:rsidR="00191AEF" w:rsidRPr="00053B19" w:rsidRDefault="00191AEF" w:rsidP="00E76924">
      <w:pPr>
        <w:ind w:left="851"/>
        <w:rPr>
          <w:sz w:val="24"/>
          <w:szCs w:val="24"/>
          <w:u w:val="single"/>
          <w:lang w:val="en-GB"/>
        </w:rPr>
      </w:pPr>
      <w:r w:rsidRPr="00053B19">
        <w:rPr>
          <w:sz w:val="24"/>
          <w:szCs w:val="24"/>
          <w:u w:val="single"/>
          <w:lang w:val="en-GB"/>
        </w:rPr>
        <w:t>Paediatric population</w:t>
      </w:r>
    </w:p>
    <w:p w14:paraId="253B0979" w14:textId="77777777" w:rsidR="00191AEF" w:rsidRPr="00053B19" w:rsidRDefault="00191AEF" w:rsidP="00E76924">
      <w:pPr>
        <w:ind w:left="851"/>
        <w:rPr>
          <w:sz w:val="24"/>
          <w:szCs w:val="24"/>
          <w:lang w:val="en-GB"/>
        </w:rPr>
      </w:pPr>
    </w:p>
    <w:p w14:paraId="64E73C99" w14:textId="77777777" w:rsidR="00191AEF" w:rsidRPr="00053B19" w:rsidRDefault="00191AEF" w:rsidP="00E76924">
      <w:pPr>
        <w:ind w:left="851"/>
        <w:rPr>
          <w:sz w:val="24"/>
          <w:szCs w:val="24"/>
          <w:lang w:val="en-GB"/>
        </w:rPr>
      </w:pPr>
      <w:r w:rsidRPr="00053B19">
        <w:rPr>
          <w:sz w:val="24"/>
          <w:szCs w:val="24"/>
          <w:lang w:val="en-GB"/>
        </w:rPr>
        <w:t xml:space="preserve">The European Medicines Agency has waived the obligation to submit the results of studies with the reference medicinal product containing sorafenib, in all subsets of the paediatric population, in kidney and renal pelvis carcinoma (excluding nephroblastoma, </w:t>
      </w:r>
      <w:proofErr w:type="spellStart"/>
      <w:r w:rsidRPr="00053B19">
        <w:rPr>
          <w:sz w:val="24"/>
          <w:szCs w:val="24"/>
          <w:lang w:val="en-GB"/>
        </w:rPr>
        <w:t>nephroblastomatosis</w:t>
      </w:r>
      <w:proofErr w:type="spellEnd"/>
      <w:r w:rsidRPr="00053B19">
        <w:rPr>
          <w:sz w:val="24"/>
          <w:szCs w:val="24"/>
          <w:lang w:val="en-GB"/>
        </w:rPr>
        <w:t xml:space="preserve">, clear cell sarcoma, </w:t>
      </w:r>
      <w:proofErr w:type="spellStart"/>
      <w:r w:rsidRPr="00053B19">
        <w:rPr>
          <w:sz w:val="24"/>
          <w:szCs w:val="24"/>
          <w:lang w:val="en-GB"/>
        </w:rPr>
        <w:t>mesoblastic</w:t>
      </w:r>
      <w:proofErr w:type="spellEnd"/>
      <w:r w:rsidRPr="00053B19">
        <w:rPr>
          <w:sz w:val="24"/>
          <w:szCs w:val="24"/>
          <w:lang w:val="en-GB"/>
        </w:rPr>
        <w:t xml:space="preserve"> nephroma, renal medullary carcinoma and rhabdoid tumour of the kidney) and liver and intrahepatic bile duct carcinoma (excluding hepatoblastoma) (see section 4.2 for information on paediatric use).</w:t>
      </w:r>
    </w:p>
    <w:p w14:paraId="5057DCD3" w14:textId="281F8688" w:rsidR="00D8140A" w:rsidRDefault="00D8140A">
      <w:pPr>
        <w:rPr>
          <w:sz w:val="24"/>
          <w:szCs w:val="24"/>
          <w:lang w:val="en-GB"/>
        </w:rPr>
      </w:pPr>
      <w:r>
        <w:rPr>
          <w:sz w:val="24"/>
          <w:szCs w:val="24"/>
          <w:lang w:val="en-GB"/>
        </w:rPr>
        <w:br w:type="page"/>
      </w:r>
    </w:p>
    <w:p w14:paraId="5C78D47D" w14:textId="77777777" w:rsidR="007C5D2A" w:rsidRPr="00053B19" w:rsidRDefault="007C5D2A" w:rsidP="00E76924">
      <w:pPr>
        <w:ind w:left="851"/>
        <w:rPr>
          <w:sz w:val="24"/>
          <w:szCs w:val="24"/>
          <w:lang w:val="en-GB"/>
        </w:rPr>
      </w:pPr>
    </w:p>
    <w:p w14:paraId="55BF6936" w14:textId="6C598EC4" w:rsidR="007C5D2A" w:rsidRPr="00053B19" w:rsidRDefault="007C5D2A" w:rsidP="007C5D2A">
      <w:pPr>
        <w:tabs>
          <w:tab w:val="left" w:pos="851"/>
        </w:tabs>
        <w:ind w:left="851" w:hanging="851"/>
        <w:rPr>
          <w:b/>
          <w:sz w:val="24"/>
          <w:szCs w:val="24"/>
          <w:lang w:val="en-GB"/>
        </w:rPr>
      </w:pPr>
      <w:r w:rsidRPr="00053B19">
        <w:rPr>
          <w:b/>
          <w:sz w:val="24"/>
          <w:szCs w:val="24"/>
          <w:lang w:val="en-GB"/>
        </w:rPr>
        <w:t>5.2</w:t>
      </w:r>
      <w:r w:rsidRPr="00053B19">
        <w:rPr>
          <w:b/>
          <w:sz w:val="24"/>
          <w:szCs w:val="24"/>
          <w:lang w:val="en-GB"/>
        </w:rPr>
        <w:tab/>
        <w:t>Pharmacokinetic properties</w:t>
      </w:r>
    </w:p>
    <w:p w14:paraId="62858DC6" w14:textId="77777777" w:rsidR="00053B19" w:rsidRPr="00053B19" w:rsidRDefault="00053B19" w:rsidP="00E76924">
      <w:pPr>
        <w:ind w:left="851"/>
        <w:rPr>
          <w:sz w:val="24"/>
          <w:szCs w:val="24"/>
          <w:lang w:val="en-GB"/>
        </w:rPr>
      </w:pPr>
    </w:p>
    <w:p w14:paraId="286C90AA" w14:textId="42C6DFD4" w:rsidR="00191AEF" w:rsidRPr="00053B19" w:rsidRDefault="00191AEF" w:rsidP="00E76924">
      <w:pPr>
        <w:ind w:left="851"/>
        <w:rPr>
          <w:sz w:val="24"/>
          <w:szCs w:val="24"/>
          <w:u w:val="single"/>
          <w:lang w:val="en-GB"/>
        </w:rPr>
      </w:pPr>
      <w:r w:rsidRPr="00053B19">
        <w:rPr>
          <w:sz w:val="24"/>
          <w:szCs w:val="24"/>
          <w:u w:val="single"/>
          <w:lang w:val="en-GB"/>
        </w:rPr>
        <w:t>Absorption and distribution</w:t>
      </w:r>
    </w:p>
    <w:p w14:paraId="67F69249" w14:textId="77777777" w:rsidR="00191AEF" w:rsidRPr="00053B19" w:rsidRDefault="00191AEF" w:rsidP="00E76924">
      <w:pPr>
        <w:ind w:left="851"/>
        <w:rPr>
          <w:sz w:val="24"/>
          <w:szCs w:val="24"/>
          <w:lang w:val="en-GB"/>
        </w:rPr>
      </w:pPr>
    </w:p>
    <w:p w14:paraId="7956F420" w14:textId="77777777" w:rsidR="00191AEF" w:rsidRPr="00053B19" w:rsidRDefault="00191AEF" w:rsidP="00E76924">
      <w:pPr>
        <w:ind w:left="851"/>
        <w:rPr>
          <w:sz w:val="24"/>
          <w:szCs w:val="24"/>
          <w:lang w:val="en-GB"/>
        </w:rPr>
      </w:pPr>
      <w:r w:rsidRPr="00053B19">
        <w:rPr>
          <w:sz w:val="24"/>
          <w:szCs w:val="24"/>
          <w:lang w:val="en-GB"/>
        </w:rPr>
        <w:t>After administration of sorafenib tablets the mean relative bioavailability is 38 - 49 % when compared to an oral solution. The absolute bioavailability is not known. Following oral administration sorafenib reaches peak plasma concentrations in approximately 3 hours. When given with a high-fat meal sorafenib absorption was reduced by 30 % compared to administration in the fasted state.</w:t>
      </w:r>
    </w:p>
    <w:p w14:paraId="17E06843" w14:textId="77777777" w:rsidR="00191AEF" w:rsidRPr="00053B19" w:rsidRDefault="00191AEF" w:rsidP="00E76924">
      <w:pPr>
        <w:ind w:left="851"/>
        <w:rPr>
          <w:sz w:val="24"/>
          <w:szCs w:val="24"/>
          <w:lang w:val="en-GB"/>
        </w:rPr>
      </w:pPr>
      <w:r w:rsidRPr="00053B19">
        <w:rPr>
          <w:sz w:val="24"/>
          <w:szCs w:val="24"/>
          <w:lang w:val="en-GB"/>
        </w:rPr>
        <w:t xml:space="preserve">Mean </w:t>
      </w:r>
      <w:proofErr w:type="spellStart"/>
      <w:r w:rsidRPr="00053B19">
        <w:rPr>
          <w:sz w:val="24"/>
          <w:szCs w:val="24"/>
          <w:lang w:val="en-GB"/>
        </w:rPr>
        <w:t>C</w:t>
      </w:r>
      <w:r w:rsidRPr="00053B19">
        <w:rPr>
          <w:sz w:val="24"/>
          <w:szCs w:val="24"/>
          <w:vertAlign w:val="subscript"/>
          <w:lang w:val="en-GB"/>
        </w:rPr>
        <w:t>max</w:t>
      </w:r>
      <w:proofErr w:type="spellEnd"/>
      <w:r w:rsidRPr="00053B19">
        <w:rPr>
          <w:sz w:val="24"/>
          <w:szCs w:val="24"/>
          <w:lang w:val="en-GB"/>
        </w:rPr>
        <w:t xml:space="preserve"> and AUC increased less than proportionally beyond doses of 400 mg administered twice daily. </w:t>
      </w:r>
      <w:r w:rsidRPr="00053B19">
        <w:rPr>
          <w:i/>
          <w:sz w:val="24"/>
          <w:szCs w:val="24"/>
          <w:lang w:val="en-GB"/>
        </w:rPr>
        <w:t>In vitro</w:t>
      </w:r>
      <w:r w:rsidRPr="00053B19">
        <w:rPr>
          <w:sz w:val="24"/>
          <w:szCs w:val="24"/>
          <w:lang w:val="en-GB"/>
        </w:rPr>
        <w:t xml:space="preserve"> binding of sorafenib to human plasma proteins is 99.5 %.</w:t>
      </w:r>
    </w:p>
    <w:p w14:paraId="170C96E7" w14:textId="77777777" w:rsidR="00191AEF" w:rsidRPr="00053B19" w:rsidRDefault="00191AEF" w:rsidP="00E76924">
      <w:pPr>
        <w:ind w:left="851"/>
        <w:rPr>
          <w:sz w:val="24"/>
          <w:szCs w:val="24"/>
          <w:lang w:val="en-GB"/>
        </w:rPr>
      </w:pPr>
      <w:r w:rsidRPr="00053B19">
        <w:rPr>
          <w:sz w:val="24"/>
          <w:szCs w:val="24"/>
          <w:lang w:val="en-GB"/>
        </w:rPr>
        <w:t>Multiple dosing of sorafenib for 7 days resulted in a 2.5- to 7-fold accumulation compared to single dose administration. Steady state plasma sorafenib concentrations are achieved within 7 days, with a peak to trough ratio of mean concentrations of less than 2.</w:t>
      </w:r>
    </w:p>
    <w:p w14:paraId="5905D71C" w14:textId="77777777" w:rsidR="00191AEF" w:rsidRPr="00053B19" w:rsidRDefault="00191AEF" w:rsidP="00E76924">
      <w:pPr>
        <w:ind w:left="851"/>
        <w:rPr>
          <w:sz w:val="24"/>
          <w:szCs w:val="24"/>
          <w:lang w:val="en-GB"/>
        </w:rPr>
      </w:pPr>
    </w:p>
    <w:p w14:paraId="501A3A0B" w14:textId="77777777" w:rsidR="00191AEF" w:rsidRPr="00053B19" w:rsidRDefault="00191AEF" w:rsidP="00E76924">
      <w:pPr>
        <w:ind w:left="851"/>
        <w:rPr>
          <w:sz w:val="24"/>
          <w:szCs w:val="24"/>
          <w:u w:val="single"/>
          <w:lang w:val="en-GB"/>
        </w:rPr>
      </w:pPr>
      <w:r w:rsidRPr="00053B19">
        <w:rPr>
          <w:sz w:val="24"/>
          <w:szCs w:val="24"/>
          <w:u w:val="single"/>
          <w:lang w:val="en-GB"/>
        </w:rPr>
        <w:t>Biotransformation and elimination</w:t>
      </w:r>
    </w:p>
    <w:p w14:paraId="19318EEA" w14:textId="77777777" w:rsidR="00191AEF" w:rsidRPr="00053B19" w:rsidRDefault="00191AEF" w:rsidP="00E76924">
      <w:pPr>
        <w:ind w:left="851"/>
        <w:rPr>
          <w:sz w:val="24"/>
          <w:szCs w:val="24"/>
          <w:lang w:val="en-GB"/>
        </w:rPr>
      </w:pPr>
    </w:p>
    <w:p w14:paraId="1D447576" w14:textId="227CAB62" w:rsidR="00191AEF" w:rsidRPr="00053B19" w:rsidRDefault="00191AEF" w:rsidP="00E76924">
      <w:pPr>
        <w:ind w:left="851"/>
        <w:rPr>
          <w:sz w:val="24"/>
          <w:szCs w:val="24"/>
          <w:lang w:val="en-GB"/>
        </w:rPr>
      </w:pPr>
      <w:r w:rsidRPr="00053B19">
        <w:rPr>
          <w:sz w:val="24"/>
          <w:szCs w:val="24"/>
          <w:lang w:val="en-GB"/>
        </w:rPr>
        <w:t>The elimination half-life of sorafenib is approximately 25 - 48 hours. Sorafenib is metabolised primarily in the liver and undergoes oxidative metabolism, mediated by CYP 3A4, as well as glucuronidation mediated by UGT1A9. Sorafenib conjugates may be cleaved in the gastrointestinal tract by bacterial glucuronidase activity, allowing reabsorption of unconjugated active substance. Co-administration of neomycin has been shown to interfere with this process, decreasing the mean bioavailability of sorafenib by 54%.</w:t>
      </w:r>
    </w:p>
    <w:p w14:paraId="665AEA29" w14:textId="77777777" w:rsidR="00191AEF" w:rsidRPr="00053B19" w:rsidRDefault="00191AEF" w:rsidP="00E76924">
      <w:pPr>
        <w:ind w:left="851"/>
        <w:rPr>
          <w:sz w:val="24"/>
          <w:szCs w:val="24"/>
          <w:lang w:val="en-GB"/>
        </w:rPr>
      </w:pPr>
    </w:p>
    <w:p w14:paraId="48D60CDF" w14:textId="77777777" w:rsidR="00191AEF" w:rsidRPr="00053B19" w:rsidRDefault="00191AEF" w:rsidP="00E76924">
      <w:pPr>
        <w:ind w:left="851"/>
        <w:rPr>
          <w:sz w:val="24"/>
          <w:szCs w:val="24"/>
          <w:lang w:val="en-GB"/>
        </w:rPr>
      </w:pPr>
      <w:r w:rsidRPr="00053B19">
        <w:rPr>
          <w:sz w:val="24"/>
          <w:szCs w:val="24"/>
          <w:lang w:val="en-GB"/>
        </w:rPr>
        <w:t xml:space="preserve">Sorafenib accounts for approximately 70 - 85 % of the circulating analytes in plasma at steady state. Eight metabolites of sorafenib have been identified, of which five have been detected in plasma. The main circulating metabolite of sorafenib in plasma, the pyridine N-oxide, shows </w:t>
      </w:r>
      <w:r w:rsidRPr="00053B19">
        <w:rPr>
          <w:i/>
          <w:sz w:val="24"/>
          <w:szCs w:val="24"/>
          <w:lang w:val="en-GB"/>
        </w:rPr>
        <w:t>in vitro</w:t>
      </w:r>
      <w:r w:rsidRPr="00053B19">
        <w:rPr>
          <w:sz w:val="24"/>
          <w:szCs w:val="24"/>
          <w:lang w:val="en-GB"/>
        </w:rPr>
        <w:t xml:space="preserve"> potency similar to that of sorafenib. This metabolite comprises approximately 9 - 16 % of circulating analytes at steady state.</w:t>
      </w:r>
    </w:p>
    <w:p w14:paraId="56B8A904" w14:textId="77777777" w:rsidR="00191AEF" w:rsidRPr="00053B19" w:rsidRDefault="00191AEF" w:rsidP="00E76924">
      <w:pPr>
        <w:ind w:left="851"/>
        <w:rPr>
          <w:sz w:val="24"/>
          <w:szCs w:val="24"/>
          <w:lang w:val="en-GB"/>
        </w:rPr>
      </w:pPr>
    </w:p>
    <w:p w14:paraId="0538EEC6" w14:textId="3C1D39AA" w:rsidR="00191AEF" w:rsidRPr="00053B19" w:rsidRDefault="00191AEF" w:rsidP="00E76924">
      <w:pPr>
        <w:ind w:left="851"/>
        <w:rPr>
          <w:sz w:val="24"/>
          <w:szCs w:val="24"/>
          <w:lang w:val="en-GB"/>
        </w:rPr>
      </w:pPr>
      <w:r w:rsidRPr="00053B19">
        <w:rPr>
          <w:sz w:val="24"/>
          <w:szCs w:val="24"/>
          <w:lang w:val="en-GB"/>
        </w:rPr>
        <w:t>Following oral administration of a 100 mg dose of a solution formulation of sorafenib, 96</w:t>
      </w:r>
      <w:r w:rsidR="00D8140A">
        <w:rPr>
          <w:sz w:val="24"/>
          <w:szCs w:val="24"/>
          <w:lang w:val="en-GB"/>
        </w:rPr>
        <w:t> </w:t>
      </w:r>
      <w:r w:rsidRPr="00053B19">
        <w:rPr>
          <w:sz w:val="24"/>
          <w:szCs w:val="24"/>
          <w:lang w:val="en-GB"/>
        </w:rPr>
        <w:t xml:space="preserve">% of the dose was recovered within 14 days, with 77 % of the dose excreted in faeces, and 19 % of the dose excreted in urine as </w:t>
      </w:r>
      <w:proofErr w:type="spellStart"/>
      <w:r w:rsidRPr="00053B19">
        <w:rPr>
          <w:sz w:val="24"/>
          <w:szCs w:val="24"/>
          <w:lang w:val="en-GB"/>
        </w:rPr>
        <w:t>glucuronidated</w:t>
      </w:r>
      <w:proofErr w:type="spellEnd"/>
      <w:r w:rsidRPr="00053B19">
        <w:rPr>
          <w:sz w:val="24"/>
          <w:szCs w:val="24"/>
          <w:lang w:val="en-GB"/>
        </w:rPr>
        <w:t xml:space="preserve"> metabolites. Unchanged sorafenib, accounting for 51 % of the dose, was found in faeces but not in urine, indicating that biliary excretion of unchanged active substance might contribute to the elimination of sorafenib.</w:t>
      </w:r>
    </w:p>
    <w:p w14:paraId="742CE01E" w14:textId="77777777" w:rsidR="00191AEF" w:rsidRPr="00053B19" w:rsidRDefault="00191AEF" w:rsidP="00E76924">
      <w:pPr>
        <w:ind w:left="851"/>
        <w:rPr>
          <w:sz w:val="24"/>
          <w:szCs w:val="24"/>
          <w:lang w:val="en-GB"/>
        </w:rPr>
      </w:pPr>
    </w:p>
    <w:p w14:paraId="789ED5F5" w14:textId="77777777" w:rsidR="00191AEF" w:rsidRPr="00053B19" w:rsidRDefault="00191AEF" w:rsidP="00E76924">
      <w:pPr>
        <w:ind w:left="851"/>
        <w:rPr>
          <w:sz w:val="24"/>
          <w:szCs w:val="24"/>
          <w:u w:val="single"/>
          <w:lang w:val="en-GB"/>
        </w:rPr>
      </w:pPr>
      <w:r w:rsidRPr="00053B19">
        <w:rPr>
          <w:sz w:val="24"/>
          <w:szCs w:val="24"/>
          <w:u w:val="single"/>
          <w:lang w:val="en-GB"/>
        </w:rPr>
        <w:t>Pharmacokinetics in special populations</w:t>
      </w:r>
    </w:p>
    <w:p w14:paraId="008309F9" w14:textId="77777777" w:rsidR="00191AEF" w:rsidRPr="00053B19" w:rsidRDefault="00191AEF" w:rsidP="00E76924">
      <w:pPr>
        <w:ind w:left="851"/>
        <w:rPr>
          <w:sz w:val="24"/>
          <w:szCs w:val="24"/>
          <w:lang w:val="en-GB"/>
        </w:rPr>
      </w:pPr>
    </w:p>
    <w:p w14:paraId="3E225393" w14:textId="77777777" w:rsidR="00191AEF" w:rsidRPr="00053B19" w:rsidRDefault="00191AEF" w:rsidP="00E76924">
      <w:pPr>
        <w:ind w:left="851"/>
        <w:rPr>
          <w:sz w:val="24"/>
          <w:szCs w:val="24"/>
          <w:lang w:val="en-GB"/>
        </w:rPr>
      </w:pPr>
      <w:r w:rsidRPr="00053B19">
        <w:rPr>
          <w:sz w:val="24"/>
          <w:szCs w:val="24"/>
          <w:lang w:val="en-GB"/>
        </w:rPr>
        <w:t>Analyses of demographic data suggest that there is no relationship between pharmacokinetics and age (up to 65 years), gender or body weight.</w:t>
      </w:r>
    </w:p>
    <w:p w14:paraId="45ECF822" w14:textId="77777777" w:rsidR="00191AEF" w:rsidRPr="00053B19" w:rsidRDefault="00191AEF" w:rsidP="00E76924">
      <w:pPr>
        <w:ind w:left="851"/>
        <w:rPr>
          <w:sz w:val="24"/>
          <w:szCs w:val="24"/>
          <w:lang w:val="en-GB"/>
        </w:rPr>
      </w:pPr>
    </w:p>
    <w:p w14:paraId="2EF80B77" w14:textId="77777777" w:rsidR="00191AEF" w:rsidRPr="00053B19" w:rsidRDefault="00191AEF" w:rsidP="00E76924">
      <w:pPr>
        <w:ind w:left="851"/>
        <w:rPr>
          <w:sz w:val="24"/>
          <w:szCs w:val="24"/>
          <w:u w:val="single"/>
          <w:lang w:val="en-GB"/>
        </w:rPr>
      </w:pPr>
      <w:r w:rsidRPr="00053B19">
        <w:rPr>
          <w:sz w:val="24"/>
          <w:szCs w:val="24"/>
          <w:u w:val="single"/>
          <w:lang w:val="en-GB"/>
        </w:rPr>
        <w:t>Paediatric population</w:t>
      </w:r>
    </w:p>
    <w:p w14:paraId="7CDCA945" w14:textId="77777777" w:rsidR="00191AEF" w:rsidRPr="00053B19" w:rsidRDefault="00191AEF" w:rsidP="00E76924">
      <w:pPr>
        <w:ind w:left="851"/>
        <w:rPr>
          <w:sz w:val="24"/>
          <w:szCs w:val="24"/>
          <w:lang w:val="en-GB"/>
        </w:rPr>
      </w:pPr>
    </w:p>
    <w:p w14:paraId="3856C27D" w14:textId="77777777" w:rsidR="00191AEF" w:rsidRPr="00053B19" w:rsidRDefault="00191AEF" w:rsidP="00E76924">
      <w:pPr>
        <w:ind w:left="851"/>
        <w:rPr>
          <w:sz w:val="24"/>
          <w:szCs w:val="24"/>
          <w:lang w:val="en-GB"/>
        </w:rPr>
      </w:pPr>
      <w:r w:rsidRPr="00053B19">
        <w:rPr>
          <w:sz w:val="24"/>
          <w:szCs w:val="24"/>
          <w:lang w:val="en-GB"/>
        </w:rPr>
        <w:t>No studies have been conducted to investigate the pharmacokinetics of sorafenib in paediatric patients.</w:t>
      </w:r>
    </w:p>
    <w:p w14:paraId="73700A27" w14:textId="483A0AEB" w:rsidR="00D8140A" w:rsidRDefault="00D8140A">
      <w:pPr>
        <w:rPr>
          <w:sz w:val="24"/>
          <w:szCs w:val="24"/>
          <w:lang w:val="en-GB"/>
        </w:rPr>
      </w:pPr>
      <w:r>
        <w:rPr>
          <w:sz w:val="24"/>
          <w:szCs w:val="24"/>
          <w:lang w:val="en-GB"/>
        </w:rPr>
        <w:br w:type="page"/>
      </w:r>
    </w:p>
    <w:p w14:paraId="75C1C33E" w14:textId="77777777" w:rsidR="00191AEF" w:rsidRPr="00053B19" w:rsidRDefault="00191AEF" w:rsidP="00E76924">
      <w:pPr>
        <w:ind w:left="851"/>
        <w:rPr>
          <w:sz w:val="24"/>
          <w:szCs w:val="24"/>
          <w:lang w:val="en-GB"/>
        </w:rPr>
      </w:pPr>
    </w:p>
    <w:p w14:paraId="2C4264B8" w14:textId="77777777" w:rsidR="00191AEF" w:rsidRPr="00053B19" w:rsidRDefault="00191AEF" w:rsidP="00E76924">
      <w:pPr>
        <w:ind w:left="851"/>
        <w:rPr>
          <w:sz w:val="24"/>
          <w:szCs w:val="24"/>
          <w:u w:val="single"/>
          <w:lang w:val="en-GB"/>
        </w:rPr>
      </w:pPr>
      <w:r w:rsidRPr="00053B19">
        <w:rPr>
          <w:sz w:val="24"/>
          <w:szCs w:val="24"/>
          <w:u w:val="single"/>
          <w:lang w:val="en-GB"/>
        </w:rPr>
        <w:t>Race</w:t>
      </w:r>
    </w:p>
    <w:p w14:paraId="0A1EA5B6" w14:textId="77777777" w:rsidR="00191AEF" w:rsidRPr="00053B19" w:rsidRDefault="00191AEF" w:rsidP="00E76924">
      <w:pPr>
        <w:ind w:left="851"/>
        <w:rPr>
          <w:sz w:val="24"/>
          <w:szCs w:val="24"/>
          <w:lang w:val="en-GB"/>
        </w:rPr>
      </w:pPr>
    </w:p>
    <w:p w14:paraId="54C7F9CD" w14:textId="77777777" w:rsidR="00191AEF" w:rsidRPr="00053B19" w:rsidRDefault="00191AEF" w:rsidP="00E76924">
      <w:pPr>
        <w:ind w:left="851"/>
        <w:rPr>
          <w:sz w:val="24"/>
          <w:szCs w:val="24"/>
          <w:lang w:val="en-GB"/>
        </w:rPr>
      </w:pPr>
      <w:r w:rsidRPr="00053B19">
        <w:rPr>
          <w:sz w:val="24"/>
          <w:szCs w:val="24"/>
          <w:lang w:val="en-GB"/>
        </w:rPr>
        <w:t>There are no clinically relevant differences in pharmacokinetics between Caucasian and Asian subjects.</w:t>
      </w:r>
    </w:p>
    <w:p w14:paraId="16C720A4" w14:textId="77777777" w:rsidR="00191AEF" w:rsidRPr="00053B19" w:rsidRDefault="00191AEF" w:rsidP="00E76924">
      <w:pPr>
        <w:ind w:left="851"/>
        <w:rPr>
          <w:sz w:val="24"/>
          <w:szCs w:val="24"/>
          <w:lang w:val="en-GB"/>
        </w:rPr>
      </w:pPr>
    </w:p>
    <w:p w14:paraId="703BEE05" w14:textId="77777777" w:rsidR="00191AEF" w:rsidRPr="00053B19" w:rsidRDefault="00191AEF" w:rsidP="00E76924">
      <w:pPr>
        <w:ind w:left="851"/>
        <w:rPr>
          <w:sz w:val="24"/>
          <w:szCs w:val="24"/>
          <w:u w:val="single"/>
          <w:lang w:val="en-GB"/>
        </w:rPr>
      </w:pPr>
      <w:r w:rsidRPr="00053B19">
        <w:rPr>
          <w:sz w:val="24"/>
          <w:szCs w:val="24"/>
          <w:u w:val="single"/>
          <w:lang w:val="en-GB"/>
        </w:rPr>
        <w:t>Renal impairment</w:t>
      </w:r>
    </w:p>
    <w:p w14:paraId="462729BB" w14:textId="77777777" w:rsidR="00191AEF" w:rsidRPr="00053B19" w:rsidRDefault="00191AEF" w:rsidP="00E76924">
      <w:pPr>
        <w:ind w:left="851"/>
        <w:rPr>
          <w:sz w:val="24"/>
          <w:szCs w:val="24"/>
          <w:lang w:val="en-GB"/>
        </w:rPr>
      </w:pPr>
    </w:p>
    <w:p w14:paraId="6778C4C5" w14:textId="77777777" w:rsidR="00191AEF" w:rsidRPr="00053B19" w:rsidRDefault="00191AEF" w:rsidP="00E76924">
      <w:pPr>
        <w:ind w:left="851"/>
        <w:rPr>
          <w:sz w:val="24"/>
          <w:szCs w:val="24"/>
          <w:lang w:val="en-GB"/>
        </w:rPr>
      </w:pPr>
      <w:r w:rsidRPr="00053B19">
        <w:rPr>
          <w:sz w:val="24"/>
          <w:szCs w:val="24"/>
          <w:lang w:val="en-GB"/>
        </w:rPr>
        <w:t>In four Phase I clinical trials, steady state exposure to sorafenib was similar in patients with mild or moderate renal impairment compared to the exposures in patients with normal renal function. In a clinical pharmacology study (single dose of 400 mg sorafenib), no relationship was observed between sorafenib exposure and renal function in subjects with normal renal function, mild, moderate or severe renal impairment. No data is available in patients requiring dialysis.</w:t>
      </w:r>
    </w:p>
    <w:p w14:paraId="1F21B19B" w14:textId="77777777" w:rsidR="00191AEF" w:rsidRPr="00053B19" w:rsidRDefault="00191AEF" w:rsidP="00E76924">
      <w:pPr>
        <w:ind w:left="851"/>
        <w:rPr>
          <w:sz w:val="24"/>
          <w:szCs w:val="24"/>
          <w:lang w:val="en-GB"/>
        </w:rPr>
      </w:pPr>
    </w:p>
    <w:p w14:paraId="6AA73A55" w14:textId="77777777" w:rsidR="00191AEF" w:rsidRPr="00053B19" w:rsidRDefault="00191AEF" w:rsidP="00E76924">
      <w:pPr>
        <w:ind w:left="851"/>
        <w:rPr>
          <w:sz w:val="24"/>
          <w:szCs w:val="24"/>
          <w:u w:val="single"/>
          <w:lang w:val="en-GB"/>
        </w:rPr>
      </w:pPr>
      <w:r w:rsidRPr="00053B19">
        <w:rPr>
          <w:sz w:val="24"/>
          <w:szCs w:val="24"/>
          <w:u w:val="single"/>
          <w:lang w:val="en-GB"/>
        </w:rPr>
        <w:t>Hepatic impairment</w:t>
      </w:r>
    </w:p>
    <w:p w14:paraId="2C75C378" w14:textId="77777777" w:rsidR="00191AEF" w:rsidRPr="00053B19" w:rsidRDefault="00191AEF" w:rsidP="00E76924">
      <w:pPr>
        <w:ind w:left="851"/>
        <w:rPr>
          <w:sz w:val="24"/>
          <w:szCs w:val="24"/>
          <w:lang w:val="en-GB"/>
        </w:rPr>
      </w:pPr>
    </w:p>
    <w:p w14:paraId="3CD89E59" w14:textId="77777777" w:rsidR="00191AEF" w:rsidRPr="00053B19" w:rsidRDefault="00191AEF" w:rsidP="00E76924">
      <w:pPr>
        <w:ind w:left="851"/>
        <w:rPr>
          <w:sz w:val="24"/>
          <w:szCs w:val="24"/>
          <w:lang w:val="en-GB"/>
        </w:rPr>
      </w:pPr>
      <w:r w:rsidRPr="00053B19">
        <w:rPr>
          <w:sz w:val="24"/>
          <w:szCs w:val="24"/>
          <w:lang w:val="en-GB"/>
        </w:rPr>
        <w:t xml:space="preserve">In hepatocellular carcinoma </w:t>
      </w:r>
      <w:r w:rsidRPr="00053B19">
        <w:rPr>
          <w:i/>
          <w:sz w:val="24"/>
          <w:szCs w:val="24"/>
          <w:lang w:val="en-GB"/>
        </w:rPr>
        <w:t>(HCC)</w:t>
      </w:r>
      <w:r w:rsidRPr="00053B19">
        <w:rPr>
          <w:sz w:val="24"/>
          <w:szCs w:val="24"/>
          <w:lang w:val="en-GB"/>
        </w:rPr>
        <w:t xml:space="preserve"> patients with Child-Pugh A or B (mild to moderate) hepatic impairment, exposure values were comparable and within the range observed in patients without hepatic impairment. The pharmacokinetics (PK) of sorafenib in Child-Pugh A and B non-HCC patients were similar to the PK in healthy volunteers. There are no data for patients with Child-Pugh C (severe) hepatic impairment. Sorafenib is mainly eliminated via the liver, and exposure might be increased in this patient population.</w:t>
      </w:r>
    </w:p>
    <w:p w14:paraId="09A188EB" w14:textId="77777777" w:rsidR="007C5D2A" w:rsidRPr="00053B19" w:rsidRDefault="007C5D2A" w:rsidP="003E0341">
      <w:pPr>
        <w:tabs>
          <w:tab w:val="left" w:pos="851"/>
        </w:tabs>
        <w:ind w:left="851"/>
        <w:rPr>
          <w:sz w:val="24"/>
          <w:szCs w:val="24"/>
          <w:lang w:val="en-GB"/>
        </w:rPr>
      </w:pPr>
    </w:p>
    <w:p w14:paraId="150E5ED7" w14:textId="77777777" w:rsidR="007C5D2A" w:rsidRPr="00053B19" w:rsidRDefault="00180A12" w:rsidP="007C5D2A">
      <w:pPr>
        <w:tabs>
          <w:tab w:val="left" w:pos="851"/>
        </w:tabs>
        <w:ind w:left="851" w:hanging="851"/>
        <w:rPr>
          <w:b/>
          <w:sz w:val="24"/>
          <w:szCs w:val="24"/>
          <w:lang w:val="en-GB"/>
        </w:rPr>
      </w:pPr>
      <w:r w:rsidRPr="00053B19">
        <w:rPr>
          <w:b/>
          <w:sz w:val="24"/>
          <w:szCs w:val="24"/>
          <w:lang w:val="en-GB"/>
        </w:rPr>
        <w:t>5.3</w:t>
      </w:r>
      <w:r w:rsidRPr="00053B19">
        <w:rPr>
          <w:b/>
          <w:sz w:val="24"/>
          <w:szCs w:val="24"/>
          <w:lang w:val="en-GB"/>
        </w:rPr>
        <w:tab/>
        <w:t>Preclinical safety data</w:t>
      </w:r>
    </w:p>
    <w:p w14:paraId="67FB3468" w14:textId="77777777" w:rsidR="00191AEF" w:rsidRPr="00053B19" w:rsidRDefault="00191AEF" w:rsidP="00E76924">
      <w:pPr>
        <w:ind w:left="851"/>
        <w:rPr>
          <w:sz w:val="24"/>
          <w:szCs w:val="24"/>
          <w:lang w:val="en-GB"/>
        </w:rPr>
      </w:pPr>
      <w:r w:rsidRPr="00053B19">
        <w:rPr>
          <w:sz w:val="24"/>
          <w:szCs w:val="24"/>
          <w:lang w:val="en-GB"/>
        </w:rPr>
        <w:t>The preclinical safety profile of sorafenib was assessed in mice, rats, dogs and rabbits.</w:t>
      </w:r>
    </w:p>
    <w:p w14:paraId="2B1661B5" w14:textId="77777777" w:rsidR="00191AEF" w:rsidRPr="00053B19" w:rsidRDefault="00191AEF" w:rsidP="00E76924">
      <w:pPr>
        <w:ind w:left="851"/>
        <w:rPr>
          <w:sz w:val="24"/>
          <w:szCs w:val="24"/>
          <w:lang w:val="en-GB"/>
        </w:rPr>
      </w:pPr>
      <w:r w:rsidRPr="00053B19">
        <w:rPr>
          <w:sz w:val="24"/>
          <w:szCs w:val="24"/>
          <w:lang w:val="en-GB"/>
        </w:rPr>
        <w:t>Repeat-dose toxicity studies revealed changes (degenerations and regenerations) in various organs at exposures below the anticipated clinical exposure (based on AUC comparisons).</w:t>
      </w:r>
    </w:p>
    <w:p w14:paraId="14AF3420" w14:textId="77777777" w:rsidR="00191AEF" w:rsidRPr="00053B19" w:rsidRDefault="00191AEF" w:rsidP="00E76924">
      <w:pPr>
        <w:ind w:left="851"/>
        <w:rPr>
          <w:sz w:val="24"/>
          <w:szCs w:val="24"/>
          <w:lang w:val="en-GB"/>
        </w:rPr>
      </w:pPr>
      <w:r w:rsidRPr="00053B19">
        <w:rPr>
          <w:sz w:val="24"/>
          <w:szCs w:val="24"/>
          <w:lang w:val="en-GB"/>
        </w:rPr>
        <w:t xml:space="preserve">After repeated dosing to young and growing </w:t>
      </w:r>
      <w:proofErr w:type="gramStart"/>
      <w:r w:rsidRPr="00053B19">
        <w:rPr>
          <w:sz w:val="24"/>
          <w:szCs w:val="24"/>
          <w:lang w:val="en-GB"/>
        </w:rPr>
        <w:t>dogs</w:t>
      </w:r>
      <w:proofErr w:type="gramEnd"/>
      <w:r w:rsidRPr="00053B19">
        <w:rPr>
          <w:sz w:val="24"/>
          <w:szCs w:val="24"/>
          <w:lang w:val="en-GB"/>
        </w:rPr>
        <w:t xml:space="preserve"> effects on bone and teeth were observed at exposures below the clinical exposure. Changes consisted in irregular thickening of the femoral growth plate, hypocellularity of the bone marrow next to the altered growth plate and alterations of the dentin composition. Similar effects were not induced in adult dogs.</w:t>
      </w:r>
    </w:p>
    <w:p w14:paraId="206F5B29" w14:textId="77777777" w:rsidR="00191AEF" w:rsidRPr="00053B19" w:rsidRDefault="00191AEF" w:rsidP="00E76924">
      <w:pPr>
        <w:ind w:left="851"/>
        <w:rPr>
          <w:sz w:val="24"/>
          <w:szCs w:val="24"/>
          <w:lang w:val="en-GB"/>
        </w:rPr>
      </w:pPr>
    </w:p>
    <w:p w14:paraId="6B08FBD3" w14:textId="77777777" w:rsidR="00191AEF" w:rsidRPr="00053B19" w:rsidRDefault="00191AEF" w:rsidP="00E76924">
      <w:pPr>
        <w:ind w:left="851"/>
        <w:rPr>
          <w:sz w:val="24"/>
          <w:szCs w:val="24"/>
          <w:lang w:val="en-GB"/>
        </w:rPr>
      </w:pPr>
      <w:r w:rsidRPr="00053B19">
        <w:rPr>
          <w:sz w:val="24"/>
          <w:szCs w:val="24"/>
          <w:lang w:val="en-GB"/>
        </w:rPr>
        <w:t xml:space="preserve">The standard program of genotoxicity studies was conducted and positive results were obtained as an increase in structural chromosomal aberrations in an </w:t>
      </w:r>
      <w:r w:rsidRPr="00053B19">
        <w:rPr>
          <w:i/>
          <w:sz w:val="24"/>
          <w:szCs w:val="24"/>
          <w:lang w:val="en-GB"/>
        </w:rPr>
        <w:t>in vitro</w:t>
      </w:r>
      <w:r w:rsidRPr="00053B19">
        <w:rPr>
          <w:sz w:val="24"/>
          <w:szCs w:val="24"/>
          <w:lang w:val="en-GB"/>
        </w:rPr>
        <w:t xml:space="preserve"> mammalian cell assay (Chinese hamster ovary) for </w:t>
      </w:r>
      <w:proofErr w:type="spellStart"/>
      <w:r w:rsidRPr="00053B19">
        <w:rPr>
          <w:sz w:val="24"/>
          <w:szCs w:val="24"/>
          <w:lang w:val="en-GB"/>
        </w:rPr>
        <w:t>clastogenicity</w:t>
      </w:r>
      <w:proofErr w:type="spellEnd"/>
      <w:r w:rsidRPr="00053B19">
        <w:rPr>
          <w:sz w:val="24"/>
          <w:szCs w:val="24"/>
          <w:lang w:val="en-GB"/>
        </w:rPr>
        <w:t xml:space="preserve"> in the presence of metabolic activation was seen. Sorafenib was not genotoxic in the Ames test or in the </w:t>
      </w:r>
      <w:r w:rsidRPr="00053B19">
        <w:rPr>
          <w:i/>
          <w:sz w:val="24"/>
          <w:szCs w:val="24"/>
          <w:lang w:val="en-GB"/>
        </w:rPr>
        <w:t>in vivo</w:t>
      </w:r>
      <w:r w:rsidRPr="00053B19">
        <w:rPr>
          <w:sz w:val="24"/>
          <w:szCs w:val="24"/>
          <w:lang w:val="en-GB"/>
        </w:rPr>
        <w:t xml:space="preserve"> mouse micronucleus assay. One intermediate in the manufacturing process, which is also present in the final active substance (&lt; 0.15 %), was positive for mutagenesis in an </w:t>
      </w:r>
      <w:r w:rsidRPr="00053B19">
        <w:rPr>
          <w:i/>
          <w:sz w:val="24"/>
          <w:szCs w:val="24"/>
          <w:lang w:val="en-GB"/>
        </w:rPr>
        <w:t>in vitro</w:t>
      </w:r>
      <w:r w:rsidRPr="00053B19">
        <w:rPr>
          <w:sz w:val="24"/>
          <w:szCs w:val="24"/>
          <w:lang w:val="en-GB"/>
        </w:rPr>
        <w:t xml:space="preserve"> bacterial cell assay (Ames test). Furthermore, the sorafenib batch tested in the standard genotoxicity battery included 0.34 % PAPE.</w:t>
      </w:r>
    </w:p>
    <w:p w14:paraId="52B1B5E0" w14:textId="77777777" w:rsidR="00191AEF" w:rsidRPr="00053B19" w:rsidRDefault="00191AEF" w:rsidP="00E76924">
      <w:pPr>
        <w:ind w:left="851"/>
        <w:rPr>
          <w:sz w:val="24"/>
          <w:szCs w:val="24"/>
          <w:lang w:val="en-GB"/>
        </w:rPr>
      </w:pPr>
      <w:r w:rsidRPr="00053B19">
        <w:rPr>
          <w:sz w:val="24"/>
          <w:szCs w:val="24"/>
          <w:lang w:val="en-GB"/>
        </w:rPr>
        <w:t>Carcinogenicity studies have not been conducted with sorafenib.</w:t>
      </w:r>
    </w:p>
    <w:p w14:paraId="069B45B2" w14:textId="77777777" w:rsidR="00191AEF" w:rsidRPr="00053B19" w:rsidRDefault="00191AEF" w:rsidP="00E76924">
      <w:pPr>
        <w:ind w:left="851"/>
        <w:rPr>
          <w:sz w:val="24"/>
          <w:szCs w:val="24"/>
          <w:lang w:val="en-GB"/>
        </w:rPr>
      </w:pPr>
    </w:p>
    <w:p w14:paraId="0DCD5FAF" w14:textId="77777777" w:rsidR="00191AEF" w:rsidRPr="00053B19" w:rsidRDefault="00191AEF" w:rsidP="00E76924">
      <w:pPr>
        <w:ind w:left="851"/>
        <w:rPr>
          <w:sz w:val="24"/>
          <w:szCs w:val="24"/>
          <w:lang w:val="en-GB"/>
        </w:rPr>
      </w:pPr>
      <w:r w:rsidRPr="00053B19">
        <w:rPr>
          <w:sz w:val="24"/>
          <w:szCs w:val="24"/>
          <w:lang w:val="en-GB"/>
        </w:rPr>
        <w:t xml:space="preserve">No specific studies with sorafenib have been conducted in animals to evaluate the effect on fertility. An adverse effect on male and female fertility can however be expected because repeat-dose studies in animals have shown changes in male and female reproductive organs at exposures below the anticipated clinical exposure (based on AUC). Typical changes consisted of signs of degeneration and retardation in testes, </w:t>
      </w:r>
      <w:proofErr w:type="spellStart"/>
      <w:r w:rsidRPr="00053B19">
        <w:rPr>
          <w:sz w:val="24"/>
          <w:szCs w:val="24"/>
          <w:lang w:val="en-GB"/>
        </w:rPr>
        <w:t>epididymides</w:t>
      </w:r>
      <w:proofErr w:type="spellEnd"/>
      <w:r w:rsidRPr="00053B19">
        <w:rPr>
          <w:sz w:val="24"/>
          <w:szCs w:val="24"/>
          <w:lang w:val="en-GB"/>
        </w:rPr>
        <w:t>, prostate, and seminal vesicles of rats. Female rats showed central necrosis of the corpora lutea and arrested follicular development in the ovaries. Dogs showed tubular degeneration in the testes and oligospermia.</w:t>
      </w:r>
    </w:p>
    <w:p w14:paraId="1ADC81E3" w14:textId="77777777" w:rsidR="00191AEF" w:rsidRPr="00053B19" w:rsidRDefault="00191AEF" w:rsidP="00E76924">
      <w:pPr>
        <w:ind w:left="851"/>
        <w:rPr>
          <w:sz w:val="24"/>
          <w:szCs w:val="24"/>
          <w:lang w:val="en-GB"/>
        </w:rPr>
      </w:pPr>
    </w:p>
    <w:p w14:paraId="186F959E" w14:textId="77777777" w:rsidR="00191AEF" w:rsidRPr="00053B19" w:rsidRDefault="00191AEF" w:rsidP="00E76924">
      <w:pPr>
        <w:ind w:left="851"/>
        <w:rPr>
          <w:sz w:val="24"/>
          <w:szCs w:val="24"/>
          <w:lang w:val="en-GB"/>
        </w:rPr>
      </w:pPr>
      <w:r w:rsidRPr="00053B19">
        <w:rPr>
          <w:sz w:val="24"/>
          <w:szCs w:val="24"/>
          <w:lang w:val="en-GB"/>
        </w:rPr>
        <w:t>Sorafenib has been shown to be embryotoxic and teratogenic when administered to rats and rabbits at exposures below the clinical exposure. Observed effects included decreases in maternal and foetal body weights, an increased number of foetal resorptions and an increased number of external and visceral malformations.</w:t>
      </w:r>
    </w:p>
    <w:p w14:paraId="0BCB9210" w14:textId="77777777" w:rsidR="00191AEF" w:rsidRPr="00053B19" w:rsidRDefault="00191AEF" w:rsidP="00E76924">
      <w:pPr>
        <w:ind w:left="851"/>
        <w:rPr>
          <w:sz w:val="24"/>
          <w:szCs w:val="24"/>
          <w:lang w:val="en-GB"/>
        </w:rPr>
      </w:pPr>
    </w:p>
    <w:p w14:paraId="1BAF241D" w14:textId="77777777" w:rsidR="00191AEF" w:rsidRPr="00053B19" w:rsidRDefault="00191AEF" w:rsidP="00E76924">
      <w:pPr>
        <w:ind w:left="851"/>
        <w:rPr>
          <w:sz w:val="24"/>
          <w:szCs w:val="24"/>
          <w:lang w:val="en-GB"/>
        </w:rPr>
      </w:pPr>
      <w:r w:rsidRPr="00053B19">
        <w:rPr>
          <w:sz w:val="24"/>
          <w:szCs w:val="24"/>
          <w:lang w:val="en-GB"/>
        </w:rPr>
        <w:t xml:space="preserve">Environmental Risk assessment studies have shown that sorafenib </w:t>
      </w:r>
      <w:proofErr w:type="spellStart"/>
      <w:r w:rsidRPr="00053B19">
        <w:rPr>
          <w:sz w:val="24"/>
          <w:szCs w:val="24"/>
          <w:lang w:val="en-GB"/>
        </w:rPr>
        <w:t>tosylate</w:t>
      </w:r>
      <w:proofErr w:type="spellEnd"/>
      <w:r w:rsidRPr="00053B19">
        <w:rPr>
          <w:sz w:val="24"/>
          <w:szCs w:val="24"/>
          <w:lang w:val="en-GB"/>
        </w:rPr>
        <w:t xml:space="preserve"> has the potential to be persistent, </w:t>
      </w:r>
      <w:proofErr w:type="spellStart"/>
      <w:r w:rsidRPr="00053B19">
        <w:rPr>
          <w:sz w:val="24"/>
          <w:szCs w:val="24"/>
          <w:lang w:val="en-GB"/>
        </w:rPr>
        <w:t>bioaccumulative</w:t>
      </w:r>
      <w:proofErr w:type="spellEnd"/>
      <w:r w:rsidRPr="00053B19">
        <w:rPr>
          <w:sz w:val="24"/>
          <w:szCs w:val="24"/>
          <w:lang w:val="en-GB"/>
        </w:rPr>
        <w:t xml:space="preserve"> and toxic to the environment. Environmental Risk Assessment information is available in the EPAR of this medicine (see section 6.6).</w:t>
      </w:r>
    </w:p>
    <w:p w14:paraId="6A26FCC2" w14:textId="77777777" w:rsidR="007C5D2A" w:rsidRPr="00053B19" w:rsidRDefault="007C5D2A" w:rsidP="00E76924">
      <w:pPr>
        <w:ind w:left="851"/>
        <w:rPr>
          <w:sz w:val="24"/>
          <w:szCs w:val="24"/>
          <w:lang w:val="en-GB"/>
        </w:rPr>
      </w:pPr>
    </w:p>
    <w:p w14:paraId="74BB8247" w14:textId="77777777" w:rsidR="007C5D2A" w:rsidRPr="00053B19" w:rsidRDefault="007C5D2A" w:rsidP="003E0341">
      <w:pPr>
        <w:tabs>
          <w:tab w:val="left" w:pos="851"/>
        </w:tabs>
        <w:ind w:left="851"/>
        <w:rPr>
          <w:sz w:val="24"/>
          <w:szCs w:val="24"/>
          <w:lang w:val="en-GB"/>
        </w:rPr>
      </w:pPr>
    </w:p>
    <w:p w14:paraId="5881DBE5" w14:textId="77777777" w:rsidR="007C5D2A" w:rsidRPr="00053B19" w:rsidRDefault="009925C9" w:rsidP="007C5D2A">
      <w:pPr>
        <w:ind w:left="851" w:hanging="851"/>
        <w:rPr>
          <w:b/>
          <w:sz w:val="24"/>
          <w:szCs w:val="24"/>
          <w:lang w:val="en-GB"/>
        </w:rPr>
      </w:pPr>
      <w:r w:rsidRPr="00053B19">
        <w:rPr>
          <w:b/>
          <w:sz w:val="24"/>
          <w:szCs w:val="24"/>
          <w:lang w:val="en-GB"/>
        </w:rPr>
        <w:t>6.</w:t>
      </w:r>
      <w:r w:rsidR="007C5D2A" w:rsidRPr="00053B19">
        <w:rPr>
          <w:b/>
          <w:sz w:val="24"/>
          <w:szCs w:val="24"/>
          <w:lang w:val="en-GB"/>
        </w:rPr>
        <w:tab/>
        <w:t>PHARMACEUTICAL PARTICULARS</w:t>
      </w:r>
    </w:p>
    <w:p w14:paraId="08DDD502" w14:textId="77777777" w:rsidR="007C5D2A" w:rsidRPr="00053B19" w:rsidRDefault="007C5D2A" w:rsidP="003E0341">
      <w:pPr>
        <w:tabs>
          <w:tab w:val="left" w:pos="851"/>
        </w:tabs>
        <w:ind w:left="851"/>
        <w:rPr>
          <w:sz w:val="24"/>
          <w:szCs w:val="24"/>
          <w:lang w:val="en-GB"/>
        </w:rPr>
      </w:pPr>
    </w:p>
    <w:p w14:paraId="41416805" w14:textId="77777777" w:rsidR="007C5D2A" w:rsidRPr="00053B19" w:rsidRDefault="007C5D2A" w:rsidP="007C5D2A">
      <w:pPr>
        <w:ind w:left="851" w:hanging="851"/>
        <w:rPr>
          <w:b/>
          <w:sz w:val="24"/>
          <w:szCs w:val="24"/>
          <w:lang w:val="en-GB"/>
        </w:rPr>
      </w:pPr>
      <w:r w:rsidRPr="00053B19">
        <w:rPr>
          <w:b/>
          <w:sz w:val="24"/>
          <w:szCs w:val="24"/>
          <w:lang w:val="en-GB"/>
        </w:rPr>
        <w:t>6.1</w:t>
      </w:r>
      <w:r w:rsidRPr="00053B19">
        <w:rPr>
          <w:b/>
          <w:sz w:val="24"/>
          <w:szCs w:val="24"/>
          <w:lang w:val="en-GB"/>
        </w:rPr>
        <w:tab/>
        <w:t>List of excipients</w:t>
      </w:r>
    </w:p>
    <w:p w14:paraId="7B4D2815" w14:textId="77777777" w:rsidR="00191AEF" w:rsidRPr="00053B19" w:rsidRDefault="00191AEF" w:rsidP="00191AEF">
      <w:pPr>
        <w:widowControl w:val="0"/>
        <w:autoSpaceDE w:val="0"/>
        <w:autoSpaceDN w:val="0"/>
        <w:adjustRightInd w:val="0"/>
        <w:spacing w:line="0" w:lineRule="atLeast"/>
        <w:jc w:val="both"/>
        <w:rPr>
          <w:sz w:val="24"/>
          <w:szCs w:val="24"/>
          <w:lang w:val="en-GB"/>
        </w:rPr>
      </w:pPr>
    </w:p>
    <w:p w14:paraId="5A07B27A" w14:textId="77777777" w:rsidR="00191AEF" w:rsidRPr="00053B19" w:rsidRDefault="00191AEF" w:rsidP="00E76924">
      <w:pPr>
        <w:ind w:left="851"/>
        <w:rPr>
          <w:sz w:val="24"/>
          <w:szCs w:val="24"/>
          <w:u w:val="single"/>
          <w:lang w:val="en-GB"/>
        </w:rPr>
      </w:pPr>
      <w:r w:rsidRPr="00053B19">
        <w:rPr>
          <w:sz w:val="24"/>
          <w:szCs w:val="24"/>
          <w:u w:val="single"/>
          <w:lang w:val="en-GB"/>
        </w:rPr>
        <w:t>Tablet core:</w:t>
      </w:r>
    </w:p>
    <w:p w14:paraId="7456CE1B" w14:textId="77777777" w:rsidR="00191AEF" w:rsidRPr="00053B19" w:rsidRDefault="00191AEF" w:rsidP="00E76924">
      <w:pPr>
        <w:ind w:left="851"/>
        <w:rPr>
          <w:sz w:val="24"/>
          <w:szCs w:val="24"/>
          <w:lang w:val="en-GB"/>
        </w:rPr>
      </w:pPr>
      <w:r w:rsidRPr="00053B19">
        <w:rPr>
          <w:sz w:val="24"/>
          <w:szCs w:val="24"/>
          <w:lang w:val="en-GB"/>
        </w:rPr>
        <w:t>Hypromellose 2910 (E464)</w:t>
      </w:r>
    </w:p>
    <w:p w14:paraId="412DCF34" w14:textId="77777777" w:rsidR="00191AEF" w:rsidRPr="00053B19" w:rsidRDefault="00191AEF" w:rsidP="00E76924">
      <w:pPr>
        <w:ind w:left="851"/>
        <w:rPr>
          <w:sz w:val="24"/>
          <w:szCs w:val="24"/>
          <w:lang w:val="en-GB"/>
        </w:rPr>
      </w:pPr>
      <w:r w:rsidRPr="00053B19">
        <w:rPr>
          <w:sz w:val="24"/>
          <w:szCs w:val="24"/>
          <w:lang w:val="en-GB"/>
        </w:rPr>
        <w:t xml:space="preserve">Croscarmellose sodium </w:t>
      </w:r>
    </w:p>
    <w:p w14:paraId="1572DF3A" w14:textId="77777777" w:rsidR="00191AEF" w:rsidRPr="00053B19" w:rsidRDefault="00191AEF" w:rsidP="00E76924">
      <w:pPr>
        <w:ind w:left="851"/>
        <w:rPr>
          <w:sz w:val="24"/>
          <w:szCs w:val="24"/>
          <w:lang w:val="en-GB"/>
        </w:rPr>
      </w:pPr>
      <w:r w:rsidRPr="00053B19">
        <w:rPr>
          <w:sz w:val="24"/>
          <w:szCs w:val="24"/>
          <w:lang w:val="en-GB"/>
        </w:rPr>
        <w:t>Cellulose, microcrystalline (E460)</w:t>
      </w:r>
    </w:p>
    <w:p w14:paraId="72EA65AC" w14:textId="77777777" w:rsidR="00191AEF" w:rsidRPr="00053B19" w:rsidRDefault="00191AEF" w:rsidP="00E76924">
      <w:pPr>
        <w:ind w:left="851"/>
        <w:rPr>
          <w:sz w:val="24"/>
          <w:szCs w:val="24"/>
          <w:lang w:val="en-GB"/>
        </w:rPr>
      </w:pPr>
      <w:r w:rsidRPr="00053B19">
        <w:rPr>
          <w:sz w:val="24"/>
          <w:szCs w:val="24"/>
          <w:lang w:val="en-GB"/>
        </w:rPr>
        <w:t>Magnesium stearate (E470b)</w:t>
      </w:r>
    </w:p>
    <w:p w14:paraId="254B5AC4" w14:textId="77777777" w:rsidR="00191AEF" w:rsidRPr="00053B19" w:rsidRDefault="00191AEF" w:rsidP="00E76924">
      <w:pPr>
        <w:ind w:left="851"/>
        <w:rPr>
          <w:sz w:val="24"/>
          <w:szCs w:val="24"/>
          <w:lang w:val="en-GB"/>
        </w:rPr>
      </w:pPr>
      <w:r w:rsidRPr="00053B19">
        <w:rPr>
          <w:sz w:val="24"/>
          <w:szCs w:val="24"/>
          <w:lang w:val="en-GB"/>
        </w:rPr>
        <w:t xml:space="preserve">Sodium </w:t>
      </w:r>
      <w:proofErr w:type="spellStart"/>
      <w:r w:rsidRPr="00053B19">
        <w:rPr>
          <w:sz w:val="24"/>
          <w:szCs w:val="24"/>
          <w:lang w:val="en-GB"/>
        </w:rPr>
        <w:t>laurilsulfate</w:t>
      </w:r>
      <w:proofErr w:type="spellEnd"/>
      <w:r w:rsidRPr="00053B19">
        <w:rPr>
          <w:sz w:val="24"/>
          <w:szCs w:val="24"/>
          <w:lang w:val="en-GB"/>
        </w:rPr>
        <w:t xml:space="preserve"> </w:t>
      </w:r>
    </w:p>
    <w:p w14:paraId="56E5DE9A" w14:textId="77777777" w:rsidR="00191AEF" w:rsidRPr="00053B19" w:rsidRDefault="00191AEF" w:rsidP="00E76924">
      <w:pPr>
        <w:ind w:left="851"/>
        <w:rPr>
          <w:sz w:val="24"/>
          <w:szCs w:val="24"/>
          <w:lang w:val="en-GB"/>
        </w:rPr>
      </w:pPr>
    </w:p>
    <w:p w14:paraId="4B99AC23" w14:textId="77777777" w:rsidR="00191AEF" w:rsidRPr="00053B19" w:rsidRDefault="00191AEF" w:rsidP="00E76924">
      <w:pPr>
        <w:ind w:left="851"/>
        <w:rPr>
          <w:sz w:val="24"/>
          <w:szCs w:val="24"/>
          <w:u w:val="single"/>
          <w:lang w:val="en-GB"/>
        </w:rPr>
      </w:pPr>
      <w:r w:rsidRPr="00053B19">
        <w:rPr>
          <w:sz w:val="24"/>
          <w:szCs w:val="24"/>
          <w:u w:val="single"/>
          <w:lang w:val="en-GB"/>
        </w:rPr>
        <w:t>Tablet coating:</w:t>
      </w:r>
    </w:p>
    <w:p w14:paraId="616D8DA9" w14:textId="77777777" w:rsidR="00191AEF" w:rsidRPr="00366A21" w:rsidRDefault="00191AEF" w:rsidP="00E76924">
      <w:pPr>
        <w:ind w:left="851"/>
        <w:rPr>
          <w:sz w:val="24"/>
          <w:szCs w:val="24"/>
        </w:rPr>
      </w:pPr>
      <w:proofErr w:type="spellStart"/>
      <w:r w:rsidRPr="00366A21">
        <w:rPr>
          <w:sz w:val="24"/>
          <w:szCs w:val="24"/>
        </w:rPr>
        <w:t>Hypromellose</w:t>
      </w:r>
      <w:proofErr w:type="spellEnd"/>
      <w:r w:rsidRPr="00366A21">
        <w:rPr>
          <w:sz w:val="24"/>
          <w:szCs w:val="24"/>
        </w:rPr>
        <w:t xml:space="preserve"> 2910 (E464)</w:t>
      </w:r>
    </w:p>
    <w:p w14:paraId="42E06928" w14:textId="77777777" w:rsidR="00191AEF" w:rsidRPr="00366A21" w:rsidRDefault="00191AEF" w:rsidP="00E76924">
      <w:pPr>
        <w:ind w:left="851"/>
        <w:rPr>
          <w:sz w:val="24"/>
          <w:szCs w:val="24"/>
        </w:rPr>
      </w:pPr>
      <w:r w:rsidRPr="00366A21">
        <w:rPr>
          <w:sz w:val="24"/>
          <w:szCs w:val="24"/>
        </w:rPr>
        <w:t xml:space="preserve">Titanium </w:t>
      </w:r>
      <w:proofErr w:type="spellStart"/>
      <w:r w:rsidRPr="00366A21">
        <w:rPr>
          <w:sz w:val="24"/>
          <w:szCs w:val="24"/>
        </w:rPr>
        <w:t>dioxide</w:t>
      </w:r>
      <w:proofErr w:type="spellEnd"/>
      <w:r w:rsidRPr="00366A21">
        <w:rPr>
          <w:sz w:val="24"/>
          <w:szCs w:val="24"/>
        </w:rPr>
        <w:t xml:space="preserve"> (E171)</w:t>
      </w:r>
    </w:p>
    <w:p w14:paraId="362EF86D" w14:textId="77777777" w:rsidR="00191AEF" w:rsidRPr="00053B19" w:rsidRDefault="00191AEF" w:rsidP="00E76924">
      <w:pPr>
        <w:ind w:left="851"/>
        <w:rPr>
          <w:sz w:val="24"/>
          <w:szCs w:val="24"/>
          <w:lang w:val="en-GB"/>
        </w:rPr>
      </w:pPr>
      <w:r w:rsidRPr="00053B19">
        <w:rPr>
          <w:sz w:val="24"/>
          <w:szCs w:val="24"/>
          <w:lang w:val="en-GB"/>
        </w:rPr>
        <w:t>Macrogol 3350 (E1521)</w:t>
      </w:r>
    </w:p>
    <w:p w14:paraId="13C0E6C1" w14:textId="77777777" w:rsidR="007C5D2A" w:rsidRPr="00053B19" w:rsidRDefault="007C5D2A" w:rsidP="003D727E">
      <w:pPr>
        <w:tabs>
          <w:tab w:val="left" w:pos="851"/>
        </w:tabs>
        <w:ind w:left="851"/>
        <w:rPr>
          <w:sz w:val="24"/>
          <w:szCs w:val="24"/>
          <w:lang w:val="en-GB"/>
        </w:rPr>
      </w:pPr>
    </w:p>
    <w:p w14:paraId="6A614411" w14:textId="77777777" w:rsidR="007C5D2A" w:rsidRPr="00053B19" w:rsidRDefault="007C5D2A" w:rsidP="007C5D2A">
      <w:pPr>
        <w:ind w:left="851" w:hanging="851"/>
        <w:rPr>
          <w:b/>
          <w:sz w:val="24"/>
          <w:szCs w:val="24"/>
          <w:lang w:val="en-GB"/>
        </w:rPr>
      </w:pPr>
      <w:r w:rsidRPr="00053B19">
        <w:rPr>
          <w:b/>
          <w:sz w:val="24"/>
          <w:szCs w:val="24"/>
          <w:lang w:val="en-GB"/>
        </w:rPr>
        <w:t>6.2</w:t>
      </w:r>
      <w:r w:rsidRPr="00053B19">
        <w:rPr>
          <w:b/>
          <w:sz w:val="24"/>
          <w:szCs w:val="24"/>
          <w:lang w:val="en-GB"/>
        </w:rPr>
        <w:tab/>
        <w:t>Incompatibilities</w:t>
      </w:r>
    </w:p>
    <w:p w14:paraId="76740683" w14:textId="77777777" w:rsidR="00191AEF" w:rsidRPr="00053B19" w:rsidRDefault="00191AEF" w:rsidP="00E76924">
      <w:pPr>
        <w:ind w:left="851"/>
        <w:rPr>
          <w:sz w:val="24"/>
          <w:szCs w:val="24"/>
          <w:lang w:val="en-GB"/>
        </w:rPr>
      </w:pPr>
      <w:r w:rsidRPr="00053B19">
        <w:rPr>
          <w:sz w:val="24"/>
          <w:szCs w:val="24"/>
          <w:lang w:val="en-GB"/>
        </w:rPr>
        <w:t>Not applicable.</w:t>
      </w:r>
    </w:p>
    <w:p w14:paraId="4BF6EAA2" w14:textId="77777777" w:rsidR="007C5D2A" w:rsidRPr="00053B19" w:rsidRDefault="007C5D2A" w:rsidP="003E0341">
      <w:pPr>
        <w:tabs>
          <w:tab w:val="left" w:pos="851"/>
        </w:tabs>
        <w:ind w:left="851"/>
        <w:rPr>
          <w:sz w:val="24"/>
          <w:szCs w:val="24"/>
          <w:lang w:val="en-GB"/>
        </w:rPr>
      </w:pPr>
    </w:p>
    <w:p w14:paraId="5A941461" w14:textId="77777777" w:rsidR="007C5D2A" w:rsidRPr="00053B19" w:rsidRDefault="007C5D2A" w:rsidP="007C5D2A">
      <w:pPr>
        <w:ind w:left="851" w:hanging="851"/>
        <w:rPr>
          <w:b/>
          <w:sz w:val="24"/>
          <w:szCs w:val="24"/>
          <w:lang w:val="en-GB"/>
        </w:rPr>
      </w:pPr>
      <w:r w:rsidRPr="00053B19">
        <w:rPr>
          <w:b/>
          <w:sz w:val="24"/>
          <w:szCs w:val="24"/>
          <w:lang w:val="en-GB"/>
        </w:rPr>
        <w:t>6.3</w:t>
      </w:r>
      <w:r w:rsidRPr="00053B19">
        <w:rPr>
          <w:b/>
          <w:sz w:val="24"/>
          <w:szCs w:val="24"/>
          <w:lang w:val="en-GB"/>
        </w:rPr>
        <w:tab/>
        <w:t>Shelf</w:t>
      </w:r>
      <w:r w:rsidR="00B45DC5" w:rsidRPr="00053B19">
        <w:rPr>
          <w:b/>
          <w:sz w:val="24"/>
          <w:szCs w:val="24"/>
          <w:lang w:val="en-GB"/>
        </w:rPr>
        <w:t xml:space="preserve"> </w:t>
      </w:r>
      <w:r w:rsidRPr="00053B19">
        <w:rPr>
          <w:b/>
          <w:sz w:val="24"/>
          <w:szCs w:val="24"/>
          <w:lang w:val="en-GB"/>
        </w:rPr>
        <w:t>life</w:t>
      </w:r>
    </w:p>
    <w:p w14:paraId="0880E5FC" w14:textId="29134CAF" w:rsidR="00191AEF" w:rsidRPr="00053B19" w:rsidRDefault="00047B10" w:rsidP="00E76924">
      <w:pPr>
        <w:ind w:left="851"/>
        <w:rPr>
          <w:sz w:val="24"/>
          <w:szCs w:val="24"/>
          <w:lang w:val="en-GB"/>
        </w:rPr>
      </w:pPr>
      <w:r>
        <w:rPr>
          <w:sz w:val="24"/>
          <w:szCs w:val="24"/>
          <w:lang w:val="en-GB"/>
        </w:rPr>
        <w:t>3</w:t>
      </w:r>
      <w:r w:rsidR="00191AEF" w:rsidRPr="00053B19">
        <w:rPr>
          <w:sz w:val="24"/>
          <w:szCs w:val="24"/>
          <w:lang w:val="en-GB"/>
        </w:rPr>
        <w:t xml:space="preserve"> years</w:t>
      </w:r>
    </w:p>
    <w:p w14:paraId="624675BA" w14:textId="77777777" w:rsidR="007C5D2A" w:rsidRPr="00053B19" w:rsidRDefault="007C5D2A" w:rsidP="003E0341">
      <w:pPr>
        <w:tabs>
          <w:tab w:val="left" w:pos="851"/>
        </w:tabs>
        <w:ind w:left="851"/>
        <w:rPr>
          <w:sz w:val="24"/>
          <w:szCs w:val="24"/>
          <w:lang w:val="en-GB"/>
        </w:rPr>
      </w:pPr>
    </w:p>
    <w:p w14:paraId="441F5A7B" w14:textId="77777777" w:rsidR="007C5D2A" w:rsidRPr="00053B19" w:rsidRDefault="007C5D2A" w:rsidP="007C5D2A">
      <w:pPr>
        <w:ind w:left="851" w:hanging="851"/>
        <w:rPr>
          <w:b/>
          <w:sz w:val="24"/>
          <w:szCs w:val="24"/>
          <w:lang w:val="en-GB"/>
        </w:rPr>
      </w:pPr>
      <w:r w:rsidRPr="00053B19">
        <w:rPr>
          <w:b/>
          <w:sz w:val="24"/>
          <w:szCs w:val="24"/>
          <w:lang w:val="en-GB"/>
        </w:rPr>
        <w:t>6.4</w:t>
      </w:r>
      <w:r w:rsidRPr="00053B19">
        <w:rPr>
          <w:b/>
          <w:sz w:val="24"/>
          <w:szCs w:val="24"/>
          <w:lang w:val="en-GB"/>
        </w:rPr>
        <w:tab/>
        <w:t>Special precautions for storage</w:t>
      </w:r>
    </w:p>
    <w:p w14:paraId="178CFB5D" w14:textId="77777777" w:rsidR="00191AEF" w:rsidRPr="00053B19" w:rsidRDefault="00191AEF" w:rsidP="00E76924">
      <w:pPr>
        <w:ind w:left="851"/>
        <w:rPr>
          <w:sz w:val="24"/>
          <w:szCs w:val="24"/>
          <w:lang w:val="en-GB"/>
        </w:rPr>
      </w:pPr>
      <w:r w:rsidRPr="00053B19">
        <w:rPr>
          <w:sz w:val="24"/>
          <w:szCs w:val="24"/>
          <w:lang w:val="en-GB"/>
        </w:rPr>
        <w:t>This medicinal product does not require any special storage conditions.</w:t>
      </w:r>
    </w:p>
    <w:p w14:paraId="5F88F784" w14:textId="77777777" w:rsidR="007C5D2A" w:rsidRPr="00053B19" w:rsidRDefault="007C5D2A" w:rsidP="003E0341">
      <w:pPr>
        <w:tabs>
          <w:tab w:val="left" w:pos="851"/>
        </w:tabs>
        <w:ind w:left="851"/>
        <w:rPr>
          <w:sz w:val="24"/>
          <w:szCs w:val="24"/>
          <w:lang w:val="en-GB"/>
        </w:rPr>
      </w:pPr>
    </w:p>
    <w:p w14:paraId="248C7E70" w14:textId="77777777" w:rsidR="007C5D2A" w:rsidRPr="00053B19" w:rsidRDefault="007C5D2A" w:rsidP="007C5D2A">
      <w:pPr>
        <w:ind w:left="851" w:hanging="851"/>
        <w:rPr>
          <w:b/>
          <w:sz w:val="24"/>
          <w:szCs w:val="24"/>
          <w:lang w:val="en-GB"/>
        </w:rPr>
      </w:pPr>
      <w:r w:rsidRPr="00053B19">
        <w:rPr>
          <w:b/>
          <w:sz w:val="24"/>
          <w:szCs w:val="24"/>
          <w:lang w:val="en-GB"/>
        </w:rPr>
        <w:t>6.5</w:t>
      </w:r>
      <w:r w:rsidRPr="00053B19">
        <w:rPr>
          <w:b/>
          <w:sz w:val="24"/>
          <w:szCs w:val="24"/>
          <w:lang w:val="en-GB"/>
        </w:rPr>
        <w:tab/>
        <w:t>Nature and contents of container</w:t>
      </w:r>
    </w:p>
    <w:p w14:paraId="79B17916" w14:textId="77777777" w:rsidR="00191AEF" w:rsidRPr="00053B19" w:rsidRDefault="00191AEF" w:rsidP="00E76924">
      <w:pPr>
        <w:ind w:left="851"/>
        <w:rPr>
          <w:sz w:val="24"/>
          <w:szCs w:val="24"/>
          <w:lang w:val="en-GB"/>
        </w:rPr>
      </w:pPr>
      <w:r w:rsidRPr="00053B19">
        <w:rPr>
          <w:sz w:val="24"/>
          <w:szCs w:val="24"/>
          <w:lang w:val="en-GB"/>
        </w:rPr>
        <w:t>28, 30, 56, 60, multipack of 84 (3 packs of 28), multipack of 112 (4 packs of 28), multipack of 120 (4 packs of 30) film-coated tablets in Aluminium-OPA/Alu/PVC blisters.</w:t>
      </w:r>
    </w:p>
    <w:p w14:paraId="287F349C" w14:textId="1B173450" w:rsidR="00191AEF" w:rsidRPr="00053B19" w:rsidRDefault="00191AEF" w:rsidP="00E76924">
      <w:pPr>
        <w:ind w:left="851"/>
        <w:rPr>
          <w:sz w:val="24"/>
          <w:szCs w:val="24"/>
          <w:lang w:val="en-GB"/>
        </w:rPr>
      </w:pPr>
      <w:r w:rsidRPr="00053B19">
        <w:rPr>
          <w:sz w:val="24"/>
          <w:szCs w:val="24"/>
          <w:lang w:val="en-GB"/>
        </w:rPr>
        <w:t>28</w:t>
      </w:r>
      <w:r w:rsidR="003316C2">
        <w:rPr>
          <w:sz w:val="24"/>
          <w:szCs w:val="24"/>
          <w:lang w:val="en-GB"/>
        </w:rPr>
        <w:t>×</w:t>
      </w:r>
      <w:r w:rsidRPr="00053B19">
        <w:rPr>
          <w:sz w:val="24"/>
          <w:szCs w:val="24"/>
          <w:lang w:val="en-GB"/>
        </w:rPr>
        <w:t>1, 30</w:t>
      </w:r>
      <w:r w:rsidR="003316C2">
        <w:rPr>
          <w:sz w:val="24"/>
          <w:szCs w:val="24"/>
          <w:lang w:val="en-GB"/>
        </w:rPr>
        <w:t>×</w:t>
      </w:r>
      <w:r w:rsidRPr="00053B19">
        <w:rPr>
          <w:sz w:val="24"/>
          <w:szCs w:val="24"/>
          <w:lang w:val="en-GB"/>
        </w:rPr>
        <w:t>1, 56</w:t>
      </w:r>
      <w:r w:rsidR="003316C2">
        <w:rPr>
          <w:sz w:val="24"/>
          <w:szCs w:val="24"/>
          <w:lang w:val="en-GB"/>
        </w:rPr>
        <w:t>×</w:t>
      </w:r>
      <w:r w:rsidRPr="00053B19">
        <w:rPr>
          <w:sz w:val="24"/>
          <w:szCs w:val="24"/>
          <w:lang w:val="en-GB"/>
        </w:rPr>
        <w:t>1, 60</w:t>
      </w:r>
      <w:r w:rsidR="003316C2">
        <w:rPr>
          <w:sz w:val="24"/>
          <w:szCs w:val="24"/>
          <w:lang w:val="en-GB"/>
        </w:rPr>
        <w:t>×</w:t>
      </w:r>
      <w:r w:rsidRPr="00053B19">
        <w:rPr>
          <w:sz w:val="24"/>
          <w:szCs w:val="24"/>
          <w:lang w:val="en-GB"/>
        </w:rPr>
        <w:t>1, multipack of 84</w:t>
      </w:r>
      <w:r w:rsidR="003316C2">
        <w:rPr>
          <w:sz w:val="24"/>
          <w:szCs w:val="24"/>
          <w:lang w:val="en-GB"/>
        </w:rPr>
        <w:t>×</w:t>
      </w:r>
      <w:r w:rsidRPr="00053B19">
        <w:rPr>
          <w:sz w:val="24"/>
          <w:szCs w:val="24"/>
          <w:lang w:val="en-GB"/>
        </w:rPr>
        <w:t>1 (3 packs of 28</w:t>
      </w:r>
      <w:r w:rsidR="003316C2">
        <w:rPr>
          <w:sz w:val="24"/>
          <w:szCs w:val="24"/>
          <w:lang w:val="en-GB"/>
        </w:rPr>
        <w:t>×</w:t>
      </w:r>
      <w:r w:rsidRPr="00053B19">
        <w:rPr>
          <w:sz w:val="24"/>
          <w:szCs w:val="24"/>
          <w:lang w:val="en-GB"/>
        </w:rPr>
        <w:t>1), multipack of 112</w:t>
      </w:r>
      <w:r w:rsidR="003316C2">
        <w:rPr>
          <w:sz w:val="24"/>
          <w:szCs w:val="24"/>
          <w:lang w:val="en-GB"/>
        </w:rPr>
        <w:t>×</w:t>
      </w:r>
      <w:r w:rsidRPr="00053B19">
        <w:rPr>
          <w:sz w:val="24"/>
          <w:szCs w:val="24"/>
          <w:lang w:val="en-GB"/>
        </w:rPr>
        <w:t>1 (4 packs of 28</w:t>
      </w:r>
      <w:r w:rsidR="003316C2">
        <w:rPr>
          <w:sz w:val="24"/>
          <w:szCs w:val="24"/>
          <w:lang w:val="en-GB"/>
        </w:rPr>
        <w:t>×</w:t>
      </w:r>
      <w:r w:rsidRPr="00053B19">
        <w:rPr>
          <w:sz w:val="24"/>
          <w:szCs w:val="24"/>
          <w:lang w:val="en-GB"/>
        </w:rPr>
        <w:t>1), multipack of 120</w:t>
      </w:r>
      <w:r w:rsidR="003316C2">
        <w:rPr>
          <w:sz w:val="24"/>
          <w:szCs w:val="24"/>
          <w:lang w:val="en-GB"/>
        </w:rPr>
        <w:t>×</w:t>
      </w:r>
      <w:r w:rsidRPr="00053B19">
        <w:rPr>
          <w:sz w:val="24"/>
          <w:szCs w:val="24"/>
          <w:lang w:val="en-GB"/>
        </w:rPr>
        <w:t>1 (4 packs of 30</w:t>
      </w:r>
      <w:r w:rsidR="003316C2">
        <w:rPr>
          <w:sz w:val="24"/>
          <w:szCs w:val="24"/>
          <w:lang w:val="en-GB"/>
        </w:rPr>
        <w:t>×</w:t>
      </w:r>
      <w:r w:rsidRPr="00053B19">
        <w:rPr>
          <w:sz w:val="24"/>
          <w:szCs w:val="24"/>
          <w:lang w:val="en-GB"/>
        </w:rPr>
        <w:t>1) film-coated tablets in Aluminium-OPA/Alu/PVC perforated unit dose blisters.</w:t>
      </w:r>
    </w:p>
    <w:p w14:paraId="7C72A0BA" w14:textId="77777777" w:rsidR="00191AEF" w:rsidRPr="00053B19" w:rsidRDefault="00191AEF" w:rsidP="00E76924">
      <w:pPr>
        <w:ind w:left="851"/>
        <w:rPr>
          <w:sz w:val="24"/>
          <w:szCs w:val="24"/>
          <w:lang w:val="en-GB"/>
        </w:rPr>
      </w:pPr>
    </w:p>
    <w:p w14:paraId="548CF761" w14:textId="77777777" w:rsidR="00191AEF" w:rsidRPr="00053B19" w:rsidRDefault="00191AEF" w:rsidP="00E76924">
      <w:pPr>
        <w:ind w:left="851"/>
        <w:rPr>
          <w:sz w:val="24"/>
          <w:szCs w:val="24"/>
          <w:lang w:val="en-GB"/>
        </w:rPr>
      </w:pPr>
      <w:r w:rsidRPr="00053B19">
        <w:rPr>
          <w:sz w:val="24"/>
          <w:szCs w:val="24"/>
          <w:lang w:val="en-GB"/>
        </w:rPr>
        <w:t>Not all pack sizes may be marketed.</w:t>
      </w:r>
    </w:p>
    <w:p w14:paraId="47F27877" w14:textId="77777777" w:rsidR="007C5D2A" w:rsidRPr="00053B19" w:rsidRDefault="007C5D2A" w:rsidP="003E0341">
      <w:pPr>
        <w:tabs>
          <w:tab w:val="left" w:pos="851"/>
        </w:tabs>
        <w:ind w:left="851"/>
        <w:rPr>
          <w:sz w:val="24"/>
          <w:szCs w:val="24"/>
          <w:lang w:val="en-GB"/>
        </w:rPr>
      </w:pPr>
    </w:p>
    <w:p w14:paraId="3C044B0B" w14:textId="77777777" w:rsidR="007C5D2A" w:rsidRPr="00053B19" w:rsidRDefault="007C5D2A" w:rsidP="007C5D2A">
      <w:pPr>
        <w:ind w:left="851" w:hanging="851"/>
        <w:rPr>
          <w:b/>
          <w:sz w:val="24"/>
          <w:szCs w:val="24"/>
          <w:lang w:val="en-GB"/>
        </w:rPr>
      </w:pPr>
      <w:r w:rsidRPr="00053B19">
        <w:rPr>
          <w:b/>
          <w:sz w:val="24"/>
          <w:szCs w:val="24"/>
          <w:lang w:val="en-GB"/>
        </w:rPr>
        <w:t>6.6</w:t>
      </w:r>
      <w:r w:rsidRPr="00053B19">
        <w:rPr>
          <w:b/>
          <w:sz w:val="24"/>
          <w:szCs w:val="24"/>
          <w:lang w:val="en-GB"/>
        </w:rPr>
        <w:tab/>
        <w:t>Special precautions for disposal and other handling</w:t>
      </w:r>
    </w:p>
    <w:p w14:paraId="0256891D" w14:textId="77777777" w:rsidR="00191AEF" w:rsidRPr="00053B19" w:rsidRDefault="00191AEF" w:rsidP="00E76924">
      <w:pPr>
        <w:ind w:left="851"/>
        <w:rPr>
          <w:sz w:val="24"/>
          <w:szCs w:val="24"/>
          <w:lang w:val="en-GB"/>
        </w:rPr>
      </w:pPr>
      <w:r w:rsidRPr="00053B19">
        <w:rPr>
          <w:sz w:val="24"/>
          <w:szCs w:val="24"/>
          <w:lang w:val="en-GB"/>
        </w:rPr>
        <w:t>This medicinal product could have potential risk for the environment. Any unused medicinal product or waste material should be disposed of in accordance with local requirements.</w:t>
      </w:r>
    </w:p>
    <w:p w14:paraId="52AA9036" w14:textId="54014BD9" w:rsidR="00284305" w:rsidRDefault="00284305">
      <w:pPr>
        <w:rPr>
          <w:sz w:val="24"/>
          <w:szCs w:val="24"/>
          <w:lang w:val="en-GB"/>
        </w:rPr>
      </w:pPr>
      <w:r>
        <w:rPr>
          <w:sz w:val="24"/>
          <w:szCs w:val="24"/>
          <w:lang w:val="en-GB"/>
        </w:rPr>
        <w:br w:type="page"/>
      </w:r>
    </w:p>
    <w:p w14:paraId="50C7A0E4" w14:textId="77777777" w:rsidR="007C5D2A" w:rsidRPr="00053B19" w:rsidRDefault="007C5D2A" w:rsidP="00AB4376">
      <w:pPr>
        <w:tabs>
          <w:tab w:val="left" w:pos="851"/>
        </w:tabs>
        <w:ind w:left="851"/>
        <w:rPr>
          <w:sz w:val="24"/>
          <w:szCs w:val="24"/>
          <w:lang w:val="en-GB"/>
        </w:rPr>
      </w:pPr>
    </w:p>
    <w:p w14:paraId="746B49B2" w14:textId="77777777" w:rsidR="007C5D2A" w:rsidRPr="00053B19" w:rsidRDefault="007C5D2A" w:rsidP="007C5D2A">
      <w:pPr>
        <w:tabs>
          <w:tab w:val="left" w:pos="851"/>
        </w:tabs>
        <w:ind w:left="851" w:hanging="851"/>
        <w:jc w:val="both"/>
        <w:rPr>
          <w:b/>
          <w:sz w:val="24"/>
          <w:szCs w:val="24"/>
          <w:lang w:val="en-GB"/>
        </w:rPr>
      </w:pPr>
      <w:r w:rsidRPr="00053B19">
        <w:rPr>
          <w:b/>
          <w:sz w:val="24"/>
          <w:szCs w:val="24"/>
          <w:lang w:val="en-GB"/>
        </w:rPr>
        <w:t>7.</w:t>
      </w:r>
      <w:r w:rsidRPr="00053B19">
        <w:rPr>
          <w:b/>
          <w:sz w:val="24"/>
          <w:szCs w:val="24"/>
          <w:lang w:val="en-GB"/>
        </w:rPr>
        <w:tab/>
        <w:t>MARKETING AUTHORISATION HOLDER</w:t>
      </w:r>
    </w:p>
    <w:p w14:paraId="52F728F3" w14:textId="3388C536" w:rsidR="007C5D2A" w:rsidRPr="00053B19" w:rsidRDefault="00326E6E" w:rsidP="00A85D26">
      <w:pPr>
        <w:tabs>
          <w:tab w:val="left" w:pos="851"/>
        </w:tabs>
        <w:ind w:left="851"/>
        <w:jc w:val="both"/>
        <w:rPr>
          <w:sz w:val="24"/>
          <w:szCs w:val="24"/>
          <w:lang w:val="en-GB"/>
        </w:rPr>
      </w:pPr>
      <w:r w:rsidRPr="00053B19">
        <w:rPr>
          <w:sz w:val="24"/>
          <w:szCs w:val="24"/>
          <w:lang w:val="en-GB"/>
        </w:rPr>
        <w:t>Sandoz A/S</w:t>
      </w:r>
    </w:p>
    <w:p w14:paraId="21028861" w14:textId="6D46E19D" w:rsidR="00326E6E" w:rsidRPr="00053B19" w:rsidRDefault="00326E6E" w:rsidP="00A85D26">
      <w:pPr>
        <w:tabs>
          <w:tab w:val="left" w:pos="851"/>
        </w:tabs>
        <w:ind w:left="851"/>
        <w:jc w:val="both"/>
        <w:rPr>
          <w:sz w:val="24"/>
          <w:szCs w:val="24"/>
          <w:lang w:val="en-GB"/>
        </w:rPr>
      </w:pPr>
      <w:r w:rsidRPr="00053B19">
        <w:rPr>
          <w:sz w:val="24"/>
          <w:szCs w:val="24"/>
          <w:lang w:val="en-GB"/>
        </w:rPr>
        <w:t xml:space="preserve">Edvard </w:t>
      </w:r>
      <w:proofErr w:type="spellStart"/>
      <w:r w:rsidRPr="00053B19">
        <w:rPr>
          <w:sz w:val="24"/>
          <w:szCs w:val="24"/>
          <w:lang w:val="en-GB"/>
        </w:rPr>
        <w:t>Thomsens</w:t>
      </w:r>
      <w:proofErr w:type="spellEnd"/>
      <w:r w:rsidRPr="00053B19">
        <w:rPr>
          <w:sz w:val="24"/>
          <w:szCs w:val="24"/>
          <w:lang w:val="en-GB"/>
        </w:rPr>
        <w:t xml:space="preserve"> </w:t>
      </w:r>
      <w:proofErr w:type="spellStart"/>
      <w:r w:rsidRPr="00053B19">
        <w:rPr>
          <w:sz w:val="24"/>
          <w:szCs w:val="24"/>
          <w:lang w:val="en-GB"/>
        </w:rPr>
        <w:t>Vej</w:t>
      </w:r>
      <w:proofErr w:type="spellEnd"/>
      <w:r w:rsidRPr="00053B19">
        <w:rPr>
          <w:sz w:val="24"/>
          <w:szCs w:val="24"/>
          <w:lang w:val="en-GB"/>
        </w:rPr>
        <w:t xml:space="preserve"> 14</w:t>
      </w:r>
    </w:p>
    <w:p w14:paraId="534A2CDC" w14:textId="3926AF54" w:rsidR="00326E6E" w:rsidRPr="00053B19" w:rsidRDefault="00326E6E" w:rsidP="00A85D26">
      <w:pPr>
        <w:tabs>
          <w:tab w:val="left" w:pos="851"/>
        </w:tabs>
        <w:ind w:left="851"/>
        <w:jc w:val="both"/>
        <w:rPr>
          <w:sz w:val="24"/>
          <w:szCs w:val="24"/>
          <w:lang w:val="en-GB"/>
        </w:rPr>
      </w:pPr>
      <w:r w:rsidRPr="00053B19">
        <w:rPr>
          <w:sz w:val="24"/>
          <w:szCs w:val="24"/>
          <w:lang w:val="en-GB"/>
        </w:rPr>
        <w:t xml:space="preserve">2300 </w:t>
      </w:r>
      <w:proofErr w:type="spellStart"/>
      <w:r w:rsidRPr="00053B19">
        <w:rPr>
          <w:sz w:val="24"/>
          <w:szCs w:val="24"/>
          <w:lang w:val="en-GB"/>
        </w:rPr>
        <w:t>København</w:t>
      </w:r>
      <w:proofErr w:type="spellEnd"/>
    </w:p>
    <w:p w14:paraId="3735F9C6" w14:textId="77777777" w:rsidR="008A24F6" w:rsidRPr="00053B19" w:rsidRDefault="008A24F6" w:rsidP="003E0341">
      <w:pPr>
        <w:tabs>
          <w:tab w:val="left" w:pos="851"/>
        </w:tabs>
        <w:ind w:left="851"/>
        <w:jc w:val="both"/>
        <w:rPr>
          <w:sz w:val="24"/>
          <w:szCs w:val="24"/>
          <w:lang w:val="en-GB"/>
        </w:rPr>
      </w:pPr>
    </w:p>
    <w:p w14:paraId="2CBBE172" w14:textId="77777777" w:rsidR="007C5D2A" w:rsidRPr="00053B19" w:rsidRDefault="007C5D2A" w:rsidP="007C5D2A">
      <w:pPr>
        <w:ind w:left="851" w:hanging="851"/>
        <w:jc w:val="both"/>
        <w:rPr>
          <w:b/>
          <w:sz w:val="24"/>
          <w:szCs w:val="24"/>
          <w:lang w:val="en-GB"/>
        </w:rPr>
      </w:pPr>
      <w:r w:rsidRPr="00053B19">
        <w:rPr>
          <w:b/>
          <w:sz w:val="24"/>
          <w:szCs w:val="24"/>
          <w:lang w:val="en-GB"/>
        </w:rPr>
        <w:t>8.</w:t>
      </w:r>
      <w:r w:rsidRPr="00053B19">
        <w:rPr>
          <w:b/>
          <w:sz w:val="24"/>
          <w:szCs w:val="24"/>
          <w:lang w:val="en-GB"/>
        </w:rPr>
        <w:tab/>
        <w:t>MARKETING AUTHORISATION NUMBER(S)</w:t>
      </w:r>
    </w:p>
    <w:p w14:paraId="3EC494F3" w14:textId="39B69042" w:rsidR="007C5D2A" w:rsidRPr="00053B19" w:rsidRDefault="00326E6E" w:rsidP="00A85D26">
      <w:pPr>
        <w:tabs>
          <w:tab w:val="left" w:pos="851"/>
        </w:tabs>
        <w:ind w:left="851"/>
        <w:jc w:val="both"/>
        <w:rPr>
          <w:sz w:val="24"/>
          <w:szCs w:val="24"/>
          <w:lang w:val="en-GB"/>
        </w:rPr>
      </w:pPr>
      <w:r w:rsidRPr="00053B19">
        <w:rPr>
          <w:sz w:val="24"/>
          <w:szCs w:val="24"/>
          <w:lang w:val="en-GB"/>
        </w:rPr>
        <w:t>64424</w:t>
      </w:r>
    </w:p>
    <w:p w14:paraId="16931382" w14:textId="77777777" w:rsidR="007C5D2A" w:rsidRPr="00053B19" w:rsidRDefault="007C5D2A" w:rsidP="00180A12">
      <w:pPr>
        <w:tabs>
          <w:tab w:val="left" w:pos="851"/>
        </w:tabs>
        <w:ind w:left="851"/>
        <w:jc w:val="both"/>
        <w:rPr>
          <w:sz w:val="24"/>
          <w:szCs w:val="24"/>
          <w:lang w:val="en-GB"/>
        </w:rPr>
      </w:pPr>
    </w:p>
    <w:p w14:paraId="236024EA" w14:textId="77777777" w:rsidR="007C5D2A" w:rsidRPr="00053B19" w:rsidRDefault="007C5D2A" w:rsidP="007C5D2A">
      <w:pPr>
        <w:tabs>
          <w:tab w:val="left" w:pos="851"/>
        </w:tabs>
        <w:jc w:val="both"/>
        <w:rPr>
          <w:sz w:val="24"/>
          <w:szCs w:val="24"/>
          <w:lang w:val="en-GB"/>
        </w:rPr>
      </w:pPr>
      <w:r w:rsidRPr="00053B19">
        <w:rPr>
          <w:b/>
          <w:sz w:val="24"/>
          <w:szCs w:val="24"/>
          <w:lang w:val="en-GB"/>
        </w:rPr>
        <w:t>9.</w:t>
      </w:r>
      <w:r w:rsidRPr="00053B19">
        <w:rPr>
          <w:b/>
          <w:sz w:val="24"/>
          <w:szCs w:val="24"/>
          <w:lang w:val="en-GB"/>
        </w:rPr>
        <w:tab/>
        <w:t>DATE OF FIRST AUTHORISATION</w:t>
      </w:r>
    </w:p>
    <w:p w14:paraId="3A74F1CF" w14:textId="37837D51" w:rsidR="007C5D2A" w:rsidRPr="00053B19" w:rsidRDefault="00284305" w:rsidP="00A85D26">
      <w:pPr>
        <w:ind w:left="851"/>
        <w:jc w:val="both"/>
        <w:rPr>
          <w:sz w:val="24"/>
          <w:szCs w:val="24"/>
          <w:lang w:val="en-GB"/>
        </w:rPr>
      </w:pPr>
      <w:r>
        <w:rPr>
          <w:sz w:val="24"/>
          <w:szCs w:val="24"/>
          <w:lang w:val="en-GB"/>
        </w:rPr>
        <w:t>26 June 2020</w:t>
      </w:r>
    </w:p>
    <w:p w14:paraId="336D7302" w14:textId="77777777" w:rsidR="007C5D2A" w:rsidRPr="00053B19" w:rsidRDefault="007C5D2A" w:rsidP="003E0341">
      <w:pPr>
        <w:tabs>
          <w:tab w:val="left" w:pos="851"/>
        </w:tabs>
        <w:ind w:left="851"/>
        <w:jc w:val="both"/>
        <w:rPr>
          <w:sz w:val="24"/>
          <w:szCs w:val="24"/>
          <w:lang w:val="en-GB"/>
        </w:rPr>
      </w:pPr>
    </w:p>
    <w:p w14:paraId="08E1E148" w14:textId="77777777" w:rsidR="007C5D2A" w:rsidRPr="00053B19" w:rsidRDefault="007C5D2A" w:rsidP="007C5D2A">
      <w:pPr>
        <w:tabs>
          <w:tab w:val="left" w:pos="851"/>
        </w:tabs>
        <w:jc w:val="both"/>
        <w:rPr>
          <w:sz w:val="24"/>
          <w:szCs w:val="24"/>
          <w:lang w:val="en-GB"/>
        </w:rPr>
      </w:pPr>
      <w:r w:rsidRPr="00053B19">
        <w:rPr>
          <w:b/>
          <w:sz w:val="24"/>
          <w:szCs w:val="24"/>
          <w:lang w:val="en-GB"/>
        </w:rPr>
        <w:t>10.</w:t>
      </w:r>
      <w:r w:rsidRPr="00053B19">
        <w:rPr>
          <w:b/>
          <w:sz w:val="24"/>
          <w:szCs w:val="24"/>
          <w:lang w:val="en-GB"/>
        </w:rPr>
        <w:tab/>
        <w:t>DATE OF REVISION OF THE TEXT</w:t>
      </w:r>
    </w:p>
    <w:p w14:paraId="5C8C3A8E" w14:textId="6BF58D10" w:rsidR="007C5D2A" w:rsidRPr="00053B19" w:rsidRDefault="00047B10" w:rsidP="003E0341">
      <w:pPr>
        <w:tabs>
          <w:tab w:val="left" w:pos="851"/>
        </w:tabs>
        <w:ind w:left="851"/>
        <w:jc w:val="both"/>
        <w:rPr>
          <w:sz w:val="24"/>
          <w:szCs w:val="24"/>
          <w:lang w:val="en-GB"/>
        </w:rPr>
      </w:pPr>
      <w:r>
        <w:rPr>
          <w:sz w:val="24"/>
          <w:szCs w:val="24"/>
          <w:lang w:val="en-GB"/>
        </w:rPr>
        <w:t>2. December 2024</w:t>
      </w:r>
      <w:bookmarkStart w:id="1" w:name="_GoBack"/>
      <w:bookmarkEnd w:id="1"/>
    </w:p>
    <w:sectPr w:rsidR="007C5D2A" w:rsidRPr="00053B1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67E34" w14:textId="77777777" w:rsidR="00DB47DF" w:rsidRDefault="00DB47DF">
      <w:r>
        <w:separator/>
      </w:r>
    </w:p>
  </w:endnote>
  <w:endnote w:type="continuationSeparator" w:id="0">
    <w:p w14:paraId="74991D7B" w14:textId="77777777" w:rsidR="00DB47DF" w:rsidRDefault="00DB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7376B" w14:textId="77777777" w:rsidR="00DB47DF" w:rsidRDefault="00DB47D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4407" w14:textId="77777777" w:rsidR="00DB47DF" w:rsidRDefault="00DB47DF">
    <w:pPr>
      <w:pStyle w:val="Sidefod"/>
      <w:pBdr>
        <w:bottom w:val="single" w:sz="6" w:space="1" w:color="auto"/>
      </w:pBdr>
    </w:pPr>
  </w:p>
  <w:p w14:paraId="758B9103" w14:textId="77777777" w:rsidR="00DB47DF" w:rsidRDefault="00DB47DF">
    <w:pPr>
      <w:pStyle w:val="Sidefod"/>
      <w:tabs>
        <w:tab w:val="clear" w:pos="4819"/>
        <w:tab w:val="left" w:pos="8647"/>
      </w:tabs>
      <w:rPr>
        <w:i/>
        <w:snapToGrid w:val="0"/>
        <w:sz w:val="18"/>
      </w:rPr>
    </w:pPr>
  </w:p>
  <w:p w14:paraId="06472371" w14:textId="23C53251" w:rsidR="00DB47DF" w:rsidRDefault="00DB47D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66A21">
      <w:rPr>
        <w:i/>
        <w:noProof/>
        <w:snapToGrid w:val="0"/>
        <w:sz w:val="18"/>
      </w:rPr>
      <w:t>Sorafenib Sandoz, filmovertrukne tabletter 400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37EB5" w14:textId="77777777" w:rsidR="00DB47DF" w:rsidRDefault="00DB47DF">
    <w:pPr>
      <w:pStyle w:val="Sidefod"/>
      <w:pBdr>
        <w:bottom w:val="single" w:sz="6" w:space="1" w:color="auto"/>
      </w:pBdr>
      <w:tabs>
        <w:tab w:val="clear" w:pos="4819"/>
        <w:tab w:val="left" w:pos="8789"/>
      </w:tabs>
      <w:rPr>
        <w:i/>
        <w:snapToGrid w:val="0"/>
        <w:sz w:val="18"/>
      </w:rPr>
    </w:pPr>
  </w:p>
  <w:p w14:paraId="4E509FBF" w14:textId="77777777" w:rsidR="00DB47DF" w:rsidRDefault="00DB47DF">
    <w:pPr>
      <w:pStyle w:val="Sidefod"/>
      <w:tabs>
        <w:tab w:val="clear" w:pos="4819"/>
        <w:tab w:val="left" w:pos="8789"/>
      </w:tabs>
      <w:rPr>
        <w:i/>
        <w:snapToGrid w:val="0"/>
        <w:sz w:val="18"/>
      </w:rPr>
    </w:pPr>
  </w:p>
  <w:p w14:paraId="060D52DC" w14:textId="1E721BAD" w:rsidR="00DB47DF" w:rsidRDefault="00DB47D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66A21">
      <w:rPr>
        <w:i/>
        <w:noProof/>
        <w:snapToGrid w:val="0"/>
        <w:sz w:val="18"/>
      </w:rPr>
      <w:t>Sorafenib Sandoz, filmovertrukne tabletter 400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9FAA" w14:textId="77777777" w:rsidR="00DB47DF" w:rsidRDefault="00DB47DF">
      <w:r>
        <w:separator/>
      </w:r>
    </w:p>
  </w:footnote>
  <w:footnote w:type="continuationSeparator" w:id="0">
    <w:p w14:paraId="005E7AC3" w14:textId="77777777" w:rsidR="00DB47DF" w:rsidRDefault="00DB4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033E" w14:textId="77777777" w:rsidR="00DB47DF" w:rsidRDefault="00DB47D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8AAD3" w14:textId="77777777" w:rsidR="00DB47DF" w:rsidRDefault="00DB47D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8609" w14:textId="77777777" w:rsidR="00DB47DF" w:rsidRDefault="00DB47D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4F26CC1"/>
    <w:multiLevelType w:val="hybridMultilevel"/>
    <w:tmpl w:val="F95E2CA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8BB0EDC"/>
    <w:multiLevelType w:val="hybridMultilevel"/>
    <w:tmpl w:val="64CC5100"/>
    <w:lvl w:ilvl="0" w:tplc="0408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3"/>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52"/>
    <w:rsid w:val="00047B10"/>
    <w:rsid w:val="00053B19"/>
    <w:rsid w:val="00056601"/>
    <w:rsid w:val="000C3846"/>
    <w:rsid w:val="000C6218"/>
    <w:rsid w:val="000D3C9D"/>
    <w:rsid w:val="000F0D47"/>
    <w:rsid w:val="0012345B"/>
    <w:rsid w:val="001242DE"/>
    <w:rsid w:val="00180A12"/>
    <w:rsid w:val="00191AEF"/>
    <w:rsid w:val="00214331"/>
    <w:rsid w:val="00214CF4"/>
    <w:rsid w:val="00281F03"/>
    <w:rsid w:val="00284305"/>
    <w:rsid w:val="0029458A"/>
    <w:rsid w:val="002A1587"/>
    <w:rsid w:val="002B27C5"/>
    <w:rsid w:val="002F6D9C"/>
    <w:rsid w:val="00303008"/>
    <w:rsid w:val="00326E6E"/>
    <w:rsid w:val="003316C2"/>
    <w:rsid w:val="00366A21"/>
    <w:rsid w:val="00373B55"/>
    <w:rsid w:val="00385F6E"/>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34FBE"/>
    <w:rsid w:val="00680052"/>
    <w:rsid w:val="00683267"/>
    <w:rsid w:val="006844E9"/>
    <w:rsid w:val="006B1E52"/>
    <w:rsid w:val="006B3847"/>
    <w:rsid w:val="0075453D"/>
    <w:rsid w:val="007A4CC6"/>
    <w:rsid w:val="007C3623"/>
    <w:rsid w:val="007C5D2A"/>
    <w:rsid w:val="007F1E00"/>
    <w:rsid w:val="00801E9D"/>
    <w:rsid w:val="00827444"/>
    <w:rsid w:val="008400E3"/>
    <w:rsid w:val="00864538"/>
    <w:rsid w:val="00873B4F"/>
    <w:rsid w:val="00882FA6"/>
    <w:rsid w:val="008A24F6"/>
    <w:rsid w:val="008E51AE"/>
    <w:rsid w:val="008F2F8C"/>
    <w:rsid w:val="009925C9"/>
    <w:rsid w:val="00A179D0"/>
    <w:rsid w:val="00A358A3"/>
    <w:rsid w:val="00A46747"/>
    <w:rsid w:val="00A80446"/>
    <w:rsid w:val="00A85D26"/>
    <w:rsid w:val="00A9153A"/>
    <w:rsid w:val="00AB4376"/>
    <w:rsid w:val="00AC033C"/>
    <w:rsid w:val="00AD2E36"/>
    <w:rsid w:val="00B01393"/>
    <w:rsid w:val="00B45DC5"/>
    <w:rsid w:val="00BD3490"/>
    <w:rsid w:val="00C26226"/>
    <w:rsid w:val="00C3571D"/>
    <w:rsid w:val="00C54F0B"/>
    <w:rsid w:val="00C82621"/>
    <w:rsid w:val="00CB1423"/>
    <w:rsid w:val="00D02508"/>
    <w:rsid w:val="00D778CC"/>
    <w:rsid w:val="00D8140A"/>
    <w:rsid w:val="00D82FE9"/>
    <w:rsid w:val="00D97B77"/>
    <w:rsid w:val="00DB47DF"/>
    <w:rsid w:val="00DB6A85"/>
    <w:rsid w:val="00E06B32"/>
    <w:rsid w:val="00E1290F"/>
    <w:rsid w:val="00E36A80"/>
    <w:rsid w:val="00E76924"/>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BE17C"/>
  <w15:chartTrackingRefBased/>
  <w15:docId w15:val="{8552C59D-1112-406F-8EB6-930B45C6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semiHidden/>
    <w:unhideWhenUsed/>
    <w:rsid w:val="00191AEF"/>
    <w:pPr>
      <w:spacing w:after="120"/>
    </w:pPr>
    <w:rPr>
      <w:sz w:val="24"/>
      <w:szCs w:val="24"/>
      <w:lang w:val="en-GB" w:eastAsia="en-GB"/>
    </w:rPr>
  </w:style>
  <w:style w:type="character" w:customStyle="1" w:styleId="BrdtekstTegn">
    <w:name w:val="Brødtekst Tegn"/>
    <w:basedOn w:val="Standardskrifttypeiafsnit"/>
    <w:link w:val="Brdtekst"/>
    <w:semiHidden/>
    <w:rsid w:val="00191AEF"/>
    <w:rPr>
      <w:sz w:val="24"/>
      <w:szCs w:val="24"/>
      <w:lang w:val="en-GB" w:eastAsia="en-GB"/>
    </w:rPr>
  </w:style>
  <w:style w:type="paragraph" w:styleId="Listeafsnit">
    <w:name w:val="List Paragraph"/>
    <w:basedOn w:val="Normal"/>
    <w:uiPriority w:val="99"/>
    <w:qFormat/>
    <w:rsid w:val="00191AEF"/>
    <w:pPr>
      <w:ind w:left="720"/>
      <w:contextualSpacing/>
    </w:pPr>
    <w:rPr>
      <w:sz w:val="24"/>
      <w:szCs w:val="24"/>
      <w:lang w:val="en-GB" w:eastAsia="en-GB"/>
    </w:rPr>
  </w:style>
  <w:style w:type="table" w:styleId="Tabel-Gitter">
    <w:name w:val="Table Grid"/>
    <w:basedOn w:val="Tabel-Normal"/>
    <w:uiPriority w:val="59"/>
    <w:rsid w:val="00191AEF"/>
    <w:rPr>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2828">
      <w:bodyDiv w:val="1"/>
      <w:marLeft w:val="0"/>
      <w:marRight w:val="0"/>
      <w:marTop w:val="0"/>
      <w:marBottom w:val="0"/>
      <w:divBdr>
        <w:top w:val="none" w:sz="0" w:space="0" w:color="auto"/>
        <w:left w:val="none" w:sz="0" w:space="0" w:color="auto"/>
        <w:bottom w:val="none" w:sz="0" w:space="0" w:color="auto"/>
        <w:right w:val="none" w:sz="0" w:space="0" w:color="auto"/>
      </w:divBdr>
    </w:div>
    <w:div w:id="173081329">
      <w:bodyDiv w:val="1"/>
      <w:marLeft w:val="0"/>
      <w:marRight w:val="0"/>
      <w:marTop w:val="0"/>
      <w:marBottom w:val="0"/>
      <w:divBdr>
        <w:top w:val="none" w:sz="0" w:space="0" w:color="auto"/>
        <w:left w:val="none" w:sz="0" w:space="0" w:color="auto"/>
        <w:bottom w:val="none" w:sz="0" w:space="0" w:color="auto"/>
        <w:right w:val="none" w:sz="0" w:space="0" w:color="auto"/>
      </w:divBdr>
    </w:div>
    <w:div w:id="226301427">
      <w:bodyDiv w:val="1"/>
      <w:marLeft w:val="0"/>
      <w:marRight w:val="0"/>
      <w:marTop w:val="0"/>
      <w:marBottom w:val="0"/>
      <w:divBdr>
        <w:top w:val="none" w:sz="0" w:space="0" w:color="auto"/>
        <w:left w:val="none" w:sz="0" w:space="0" w:color="auto"/>
        <w:bottom w:val="none" w:sz="0" w:space="0" w:color="auto"/>
        <w:right w:val="none" w:sz="0" w:space="0" w:color="auto"/>
      </w:divBdr>
    </w:div>
    <w:div w:id="436097031">
      <w:bodyDiv w:val="1"/>
      <w:marLeft w:val="0"/>
      <w:marRight w:val="0"/>
      <w:marTop w:val="0"/>
      <w:marBottom w:val="0"/>
      <w:divBdr>
        <w:top w:val="none" w:sz="0" w:space="0" w:color="auto"/>
        <w:left w:val="none" w:sz="0" w:space="0" w:color="auto"/>
        <w:bottom w:val="none" w:sz="0" w:space="0" w:color="auto"/>
        <w:right w:val="none" w:sz="0" w:space="0" w:color="auto"/>
      </w:divBdr>
    </w:div>
    <w:div w:id="650601813">
      <w:bodyDiv w:val="1"/>
      <w:marLeft w:val="0"/>
      <w:marRight w:val="0"/>
      <w:marTop w:val="0"/>
      <w:marBottom w:val="0"/>
      <w:divBdr>
        <w:top w:val="none" w:sz="0" w:space="0" w:color="auto"/>
        <w:left w:val="none" w:sz="0" w:space="0" w:color="auto"/>
        <w:bottom w:val="none" w:sz="0" w:space="0" w:color="auto"/>
        <w:right w:val="none" w:sz="0" w:space="0" w:color="auto"/>
      </w:divBdr>
    </w:div>
    <w:div w:id="770709343">
      <w:bodyDiv w:val="1"/>
      <w:marLeft w:val="0"/>
      <w:marRight w:val="0"/>
      <w:marTop w:val="0"/>
      <w:marBottom w:val="0"/>
      <w:divBdr>
        <w:top w:val="none" w:sz="0" w:space="0" w:color="auto"/>
        <w:left w:val="none" w:sz="0" w:space="0" w:color="auto"/>
        <w:bottom w:val="none" w:sz="0" w:space="0" w:color="auto"/>
        <w:right w:val="none" w:sz="0" w:space="0" w:color="auto"/>
      </w:divBdr>
    </w:div>
    <w:div w:id="881936860">
      <w:bodyDiv w:val="1"/>
      <w:marLeft w:val="0"/>
      <w:marRight w:val="0"/>
      <w:marTop w:val="0"/>
      <w:marBottom w:val="0"/>
      <w:divBdr>
        <w:top w:val="none" w:sz="0" w:space="0" w:color="auto"/>
        <w:left w:val="none" w:sz="0" w:space="0" w:color="auto"/>
        <w:bottom w:val="none" w:sz="0" w:space="0" w:color="auto"/>
        <w:right w:val="none" w:sz="0" w:space="0" w:color="auto"/>
      </w:divBdr>
    </w:div>
    <w:div w:id="948050770">
      <w:bodyDiv w:val="1"/>
      <w:marLeft w:val="0"/>
      <w:marRight w:val="0"/>
      <w:marTop w:val="0"/>
      <w:marBottom w:val="0"/>
      <w:divBdr>
        <w:top w:val="none" w:sz="0" w:space="0" w:color="auto"/>
        <w:left w:val="none" w:sz="0" w:space="0" w:color="auto"/>
        <w:bottom w:val="none" w:sz="0" w:space="0" w:color="auto"/>
        <w:right w:val="none" w:sz="0" w:space="0" w:color="auto"/>
      </w:divBdr>
    </w:div>
    <w:div w:id="978456759">
      <w:bodyDiv w:val="1"/>
      <w:marLeft w:val="0"/>
      <w:marRight w:val="0"/>
      <w:marTop w:val="0"/>
      <w:marBottom w:val="0"/>
      <w:divBdr>
        <w:top w:val="none" w:sz="0" w:space="0" w:color="auto"/>
        <w:left w:val="none" w:sz="0" w:space="0" w:color="auto"/>
        <w:bottom w:val="none" w:sz="0" w:space="0" w:color="auto"/>
        <w:right w:val="none" w:sz="0" w:space="0" w:color="auto"/>
      </w:divBdr>
    </w:div>
    <w:div w:id="1260792952">
      <w:bodyDiv w:val="1"/>
      <w:marLeft w:val="0"/>
      <w:marRight w:val="0"/>
      <w:marTop w:val="0"/>
      <w:marBottom w:val="0"/>
      <w:divBdr>
        <w:top w:val="none" w:sz="0" w:space="0" w:color="auto"/>
        <w:left w:val="none" w:sz="0" w:space="0" w:color="auto"/>
        <w:bottom w:val="none" w:sz="0" w:space="0" w:color="auto"/>
        <w:right w:val="none" w:sz="0" w:space="0" w:color="auto"/>
      </w:divBdr>
    </w:div>
    <w:div w:id="1384789027">
      <w:bodyDiv w:val="1"/>
      <w:marLeft w:val="0"/>
      <w:marRight w:val="0"/>
      <w:marTop w:val="0"/>
      <w:marBottom w:val="0"/>
      <w:divBdr>
        <w:top w:val="none" w:sz="0" w:space="0" w:color="auto"/>
        <w:left w:val="none" w:sz="0" w:space="0" w:color="auto"/>
        <w:bottom w:val="none" w:sz="0" w:space="0" w:color="auto"/>
        <w:right w:val="none" w:sz="0" w:space="0" w:color="auto"/>
      </w:divBdr>
    </w:div>
    <w:div w:id="1483349601">
      <w:bodyDiv w:val="1"/>
      <w:marLeft w:val="0"/>
      <w:marRight w:val="0"/>
      <w:marTop w:val="0"/>
      <w:marBottom w:val="0"/>
      <w:divBdr>
        <w:top w:val="none" w:sz="0" w:space="0" w:color="auto"/>
        <w:left w:val="none" w:sz="0" w:space="0" w:color="auto"/>
        <w:bottom w:val="none" w:sz="0" w:space="0" w:color="auto"/>
        <w:right w:val="none" w:sz="0" w:space="0" w:color="auto"/>
      </w:divBdr>
    </w:div>
    <w:div w:id="1632250340">
      <w:bodyDiv w:val="1"/>
      <w:marLeft w:val="0"/>
      <w:marRight w:val="0"/>
      <w:marTop w:val="0"/>
      <w:marBottom w:val="0"/>
      <w:divBdr>
        <w:top w:val="none" w:sz="0" w:space="0" w:color="auto"/>
        <w:left w:val="none" w:sz="0" w:space="0" w:color="auto"/>
        <w:bottom w:val="none" w:sz="0" w:space="0" w:color="auto"/>
        <w:right w:val="none" w:sz="0" w:space="0" w:color="auto"/>
      </w:divBdr>
    </w:div>
    <w:div w:id="1645890381">
      <w:bodyDiv w:val="1"/>
      <w:marLeft w:val="0"/>
      <w:marRight w:val="0"/>
      <w:marTop w:val="0"/>
      <w:marBottom w:val="0"/>
      <w:divBdr>
        <w:top w:val="none" w:sz="0" w:space="0" w:color="auto"/>
        <w:left w:val="none" w:sz="0" w:space="0" w:color="auto"/>
        <w:bottom w:val="none" w:sz="0" w:space="0" w:color="auto"/>
        <w:right w:val="none" w:sz="0" w:space="0" w:color="auto"/>
      </w:divBdr>
    </w:div>
    <w:div w:id="1650474098">
      <w:bodyDiv w:val="1"/>
      <w:marLeft w:val="0"/>
      <w:marRight w:val="0"/>
      <w:marTop w:val="0"/>
      <w:marBottom w:val="0"/>
      <w:divBdr>
        <w:top w:val="none" w:sz="0" w:space="0" w:color="auto"/>
        <w:left w:val="none" w:sz="0" w:space="0" w:color="auto"/>
        <w:bottom w:val="none" w:sz="0" w:space="0" w:color="auto"/>
        <w:right w:val="none" w:sz="0" w:space="0" w:color="auto"/>
      </w:divBdr>
    </w:div>
    <w:div w:id="1765875367">
      <w:bodyDiv w:val="1"/>
      <w:marLeft w:val="0"/>
      <w:marRight w:val="0"/>
      <w:marTop w:val="0"/>
      <w:marBottom w:val="0"/>
      <w:divBdr>
        <w:top w:val="none" w:sz="0" w:space="0" w:color="auto"/>
        <w:left w:val="none" w:sz="0" w:space="0" w:color="auto"/>
        <w:bottom w:val="none" w:sz="0" w:space="0" w:color="auto"/>
        <w:right w:val="none" w:sz="0" w:space="0" w:color="auto"/>
      </w:divBdr>
    </w:div>
    <w:div w:id="1795631154">
      <w:bodyDiv w:val="1"/>
      <w:marLeft w:val="0"/>
      <w:marRight w:val="0"/>
      <w:marTop w:val="0"/>
      <w:marBottom w:val="0"/>
      <w:divBdr>
        <w:top w:val="none" w:sz="0" w:space="0" w:color="auto"/>
        <w:left w:val="none" w:sz="0" w:space="0" w:color="auto"/>
        <w:bottom w:val="none" w:sz="0" w:space="0" w:color="auto"/>
        <w:right w:val="none" w:sz="0" w:space="0" w:color="auto"/>
      </w:divBdr>
    </w:div>
    <w:div w:id="1798721027">
      <w:bodyDiv w:val="1"/>
      <w:marLeft w:val="0"/>
      <w:marRight w:val="0"/>
      <w:marTop w:val="0"/>
      <w:marBottom w:val="0"/>
      <w:divBdr>
        <w:top w:val="none" w:sz="0" w:space="0" w:color="auto"/>
        <w:left w:val="none" w:sz="0" w:space="0" w:color="auto"/>
        <w:bottom w:val="none" w:sz="0" w:space="0" w:color="auto"/>
        <w:right w:val="none" w:sz="0" w:space="0" w:color="auto"/>
      </w:divBdr>
    </w:div>
    <w:div w:id="1982534823">
      <w:bodyDiv w:val="1"/>
      <w:marLeft w:val="0"/>
      <w:marRight w:val="0"/>
      <w:marTop w:val="0"/>
      <w:marBottom w:val="0"/>
      <w:divBdr>
        <w:top w:val="none" w:sz="0" w:space="0" w:color="auto"/>
        <w:left w:val="none" w:sz="0" w:space="0" w:color="auto"/>
        <w:bottom w:val="none" w:sz="0" w:space="0" w:color="auto"/>
        <w:right w:val="none" w:sz="0" w:space="0" w:color="auto"/>
      </w:divBdr>
    </w:div>
    <w:div w:id="2048069456">
      <w:bodyDiv w:val="1"/>
      <w:marLeft w:val="0"/>
      <w:marRight w:val="0"/>
      <w:marTop w:val="0"/>
      <w:marBottom w:val="0"/>
      <w:divBdr>
        <w:top w:val="none" w:sz="0" w:space="0" w:color="auto"/>
        <w:left w:val="none" w:sz="0" w:space="0" w:color="auto"/>
        <w:bottom w:val="none" w:sz="0" w:space="0" w:color="auto"/>
        <w:right w:val="none" w:sz="0" w:space="0" w:color="auto"/>
      </w:divBdr>
    </w:div>
    <w:div w:id="21323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0</TotalTime>
  <Pages>18</Pages>
  <Words>5811</Words>
  <Characters>34436</Characters>
  <Application>Microsoft Office Word</Application>
  <DocSecurity>0</DocSecurity>
  <Lines>286</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2024101689 pkt. 6.3 ændret fra 2 til 3 år.</dc:description>
  <cp:lastModifiedBy>Helle Søndersted</cp:lastModifiedBy>
  <cp:revision>2</cp:revision>
  <cp:lastPrinted>2006-02-24T09:31:00Z</cp:lastPrinted>
  <dcterms:created xsi:type="dcterms:W3CDTF">2024-12-02T13:43:00Z</dcterms:created>
  <dcterms:modified xsi:type="dcterms:W3CDTF">2024-12-02T13:43:00Z</dcterms:modified>
</cp:coreProperties>
</file>