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E3C" w:rsidRPr="003262A5" w:rsidRDefault="005B4E3C" w:rsidP="005B4E3C">
      <w:pPr>
        <w:rPr>
          <w:sz w:val="24"/>
          <w:szCs w:val="24"/>
        </w:rPr>
      </w:pPr>
      <w:bookmarkStart w:id="0" w:name="_GoBack"/>
      <w:bookmarkEnd w:id="0"/>
      <w:r w:rsidRPr="003262A5">
        <w:rPr>
          <w:noProof/>
          <w:sz w:val="24"/>
          <w:szCs w:val="24"/>
          <w:lang w:eastAsia="da-DK"/>
        </w:rPr>
        <w:drawing>
          <wp:anchor distT="0" distB="0" distL="114300" distR="114300" simplePos="0" relativeHeight="251659264" behindDoc="0" locked="0" layoutInCell="1" allowOverlap="1" wp14:anchorId="500B8E23" wp14:editId="6658B48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3262A5">
        <w:rPr>
          <w:sz w:val="24"/>
          <w:szCs w:val="24"/>
        </w:rPr>
        <w:br w:type="textWrapping" w:clear="all"/>
      </w:r>
    </w:p>
    <w:p w:rsidR="005B4E3C" w:rsidRPr="003262A5" w:rsidRDefault="005B4E3C" w:rsidP="005B4E3C">
      <w:pPr>
        <w:pStyle w:val="Titel"/>
        <w:tabs>
          <w:tab w:val="right" w:pos="9356"/>
        </w:tabs>
        <w:jc w:val="left"/>
        <w:rPr>
          <w:b w:val="0"/>
          <w:szCs w:val="24"/>
          <w:lang w:eastAsia="en-US"/>
        </w:rPr>
      </w:pPr>
    </w:p>
    <w:p w:rsidR="005B4E3C" w:rsidRPr="003262A5" w:rsidRDefault="005B4E3C" w:rsidP="005B4E3C">
      <w:pPr>
        <w:pStyle w:val="Titel"/>
        <w:tabs>
          <w:tab w:val="right" w:pos="9356"/>
        </w:tabs>
        <w:jc w:val="left"/>
        <w:rPr>
          <w:b w:val="0"/>
          <w:szCs w:val="24"/>
          <w:lang w:eastAsia="en-US"/>
        </w:rPr>
      </w:pPr>
      <w:r w:rsidRPr="003262A5">
        <w:rPr>
          <w:b w:val="0"/>
          <w:szCs w:val="24"/>
          <w:lang w:eastAsia="en-US"/>
        </w:rPr>
        <w:tab/>
      </w:r>
      <w:r w:rsidR="00BF2E84">
        <w:rPr>
          <w:szCs w:val="24"/>
        </w:rPr>
        <w:t>29</w:t>
      </w:r>
      <w:r w:rsidR="00132C7B">
        <w:rPr>
          <w:szCs w:val="24"/>
        </w:rPr>
        <w:t xml:space="preserve">. </w:t>
      </w:r>
      <w:r w:rsidR="00BF2E84">
        <w:rPr>
          <w:szCs w:val="24"/>
        </w:rPr>
        <w:t>januar</w:t>
      </w:r>
      <w:r w:rsidR="00132C7B">
        <w:rPr>
          <w:szCs w:val="24"/>
        </w:rPr>
        <w:t xml:space="preserve"> 202</w:t>
      </w:r>
      <w:r w:rsidR="00BF2E84">
        <w:rPr>
          <w:szCs w:val="24"/>
        </w:rPr>
        <w:t>5</w:t>
      </w:r>
    </w:p>
    <w:p w:rsidR="005B4E3C" w:rsidRPr="003262A5" w:rsidRDefault="005B4E3C" w:rsidP="005B4E3C">
      <w:pPr>
        <w:pStyle w:val="Titel"/>
        <w:jc w:val="left"/>
        <w:rPr>
          <w:b w:val="0"/>
          <w:szCs w:val="24"/>
        </w:rPr>
      </w:pPr>
    </w:p>
    <w:p w:rsidR="005B4E3C" w:rsidRPr="003262A5" w:rsidRDefault="005B4E3C" w:rsidP="005B4E3C">
      <w:pPr>
        <w:pStyle w:val="Titel"/>
        <w:jc w:val="left"/>
        <w:rPr>
          <w:b w:val="0"/>
          <w:szCs w:val="24"/>
        </w:rPr>
      </w:pPr>
    </w:p>
    <w:p w:rsidR="005B4E3C" w:rsidRPr="003262A5" w:rsidRDefault="005B4E3C" w:rsidP="005B4E3C">
      <w:pPr>
        <w:jc w:val="center"/>
        <w:rPr>
          <w:b/>
          <w:sz w:val="24"/>
          <w:szCs w:val="24"/>
        </w:rPr>
      </w:pPr>
      <w:r w:rsidRPr="003262A5">
        <w:rPr>
          <w:b/>
          <w:sz w:val="24"/>
          <w:szCs w:val="24"/>
        </w:rPr>
        <w:t>PRODUKTRESUMÉ</w:t>
      </w:r>
    </w:p>
    <w:p w:rsidR="005B4E3C" w:rsidRPr="003262A5" w:rsidRDefault="005B4E3C" w:rsidP="005B4E3C">
      <w:pPr>
        <w:jc w:val="center"/>
        <w:rPr>
          <w:b/>
          <w:sz w:val="24"/>
          <w:szCs w:val="24"/>
        </w:rPr>
      </w:pPr>
    </w:p>
    <w:p w:rsidR="005B4E3C" w:rsidRPr="003262A5" w:rsidRDefault="005768D9" w:rsidP="005768D9">
      <w:pPr>
        <w:tabs>
          <w:tab w:val="left" w:pos="345"/>
          <w:tab w:val="center" w:pos="4819"/>
        </w:tabs>
        <w:rPr>
          <w:b/>
          <w:sz w:val="24"/>
          <w:szCs w:val="24"/>
        </w:rPr>
      </w:pPr>
      <w:r>
        <w:rPr>
          <w:b/>
          <w:sz w:val="24"/>
          <w:szCs w:val="24"/>
        </w:rPr>
        <w:tab/>
      </w:r>
      <w:r>
        <w:rPr>
          <w:b/>
          <w:sz w:val="24"/>
          <w:szCs w:val="24"/>
        </w:rPr>
        <w:tab/>
      </w:r>
      <w:r w:rsidR="005B4E3C" w:rsidRPr="003262A5">
        <w:rPr>
          <w:b/>
          <w:sz w:val="24"/>
          <w:szCs w:val="24"/>
        </w:rPr>
        <w:t>for</w:t>
      </w:r>
    </w:p>
    <w:p w:rsidR="005B4E3C" w:rsidRPr="003262A5" w:rsidRDefault="005B4E3C" w:rsidP="005B4E3C">
      <w:pPr>
        <w:jc w:val="center"/>
        <w:rPr>
          <w:b/>
          <w:sz w:val="24"/>
          <w:szCs w:val="24"/>
        </w:rPr>
      </w:pPr>
    </w:p>
    <w:p w:rsidR="005B4E3C" w:rsidRPr="003262A5" w:rsidRDefault="005B4E3C" w:rsidP="005B4E3C">
      <w:pPr>
        <w:jc w:val="center"/>
        <w:rPr>
          <w:b/>
          <w:sz w:val="24"/>
          <w:szCs w:val="24"/>
        </w:rPr>
      </w:pPr>
      <w:proofErr w:type="spellStart"/>
      <w:r w:rsidRPr="003262A5">
        <w:rPr>
          <w:b/>
          <w:sz w:val="24"/>
          <w:szCs w:val="24"/>
        </w:rPr>
        <w:t>Sorafenib</w:t>
      </w:r>
      <w:proofErr w:type="spellEnd"/>
      <w:r w:rsidRPr="003262A5">
        <w:rPr>
          <w:b/>
          <w:sz w:val="24"/>
          <w:szCs w:val="24"/>
        </w:rPr>
        <w:t xml:space="preserve"> "</w:t>
      </w:r>
      <w:proofErr w:type="spellStart"/>
      <w:r w:rsidRPr="003262A5">
        <w:rPr>
          <w:b/>
          <w:sz w:val="24"/>
          <w:szCs w:val="24"/>
        </w:rPr>
        <w:t>Teva</w:t>
      </w:r>
      <w:proofErr w:type="spellEnd"/>
      <w:r w:rsidRPr="003262A5">
        <w:rPr>
          <w:b/>
          <w:sz w:val="24"/>
          <w:szCs w:val="24"/>
        </w:rPr>
        <w:t>", filmovertrukne tabletter</w:t>
      </w:r>
    </w:p>
    <w:p w:rsidR="005B4E3C" w:rsidRPr="003262A5" w:rsidRDefault="005B4E3C" w:rsidP="005B4E3C">
      <w:pPr>
        <w:jc w:val="both"/>
        <w:rPr>
          <w:sz w:val="24"/>
          <w:szCs w:val="24"/>
        </w:rPr>
      </w:pPr>
    </w:p>
    <w:p w:rsidR="005B4E3C" w:rsidRPr="003262A5" w:rsidRDefault="005B4E3C" w:rsidP="005B4E3C">
      <w:pPr>
        <w:jc w:val="both"/>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0.</w:t>
      </w:r>
      <w:r w:rsidRPr="003262A5">
        <w:rPr>
          <w:b/>
          <w:sz w:val="24"/>
          <w:szCs w:val="24"/>
        </w:rPr>
        <w:tab/>
        <w:t>D.SP.NR.</w:t>
      </w:r>
    </w:p>
    <w:p w:rsidR="005B4E3C" w:rsidRPr="003262A5" w:rsidRDefault="005B4E3C" w:rsidP="005B4E3C">
      <w:pPr>
        <w:tabs>
          <w:tab w:val="left" w:pos="851"/>
        </w:tabs>
        <w:ind w:left="851"/>
        <w:rPr>
          <w:sz w:val="24"/>
          <w:szCs w:val="24"/>
        </w:rPr>
      </w:pPr>
      <w:r w:rsidRPr="003262A5">
        <w:rPr>
          <w:sz w:val="24"/>
          <w:szCs w:val="24"/>
        </w:rPr>
        <w:t>30978</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1.</w:t>
      </w:r>
      <w:r w:rsidRPr="003262A5">
        <w:rPr>
          <w:b/>
          <w:sz w:val="24"/>
          <w:szCs w:val="24"/>
        </w:rPr>
        <w:tab/>
        <w:t>LÆGEMIDLETS NAVN</w:t>
      </w:r>
    </w:p>
    <w:p w:rsidR="005B4E3C" w:rsidRPr="003262A5" w:rsidRDefault="005B4E3C" w:rsidP="005B4E3C">
      <w:pPr>
        <w:tabs>
          <w:tab w:val="left" w:pos="851"/>
        </w:tabs>
        <w:ind w:left="851"/>
        <w:rPr>
          <w:sz w:val="24"/>
          <w:szCs w:val="24"/>
        </w:rPr>
      </w:pPr>
      <w:proofErr w:type="spellStart"/>
      <w:r w:rsidRPr="003262A5">
        <w:rPr>
          <w:sz w:val="24"/>
          <w:szCs w:val="24"/>
        </w:rPr>
        <w:t>Sorafenib</w:t>
      </w:r>
      <w:proofErr w:type="spellEnd"/>
      <w:r w:rsidRPr="003262A5">
        <w:rPr>
          <w:sz w:val="24"/>
          <w:szCs w:val="24"/>
        </w:rPr>
        <w:t xml:space="preserve"> "</w:t>
      </w:r>
      <w:proofErr w:type="spellStart"/>
      <w:r w:rsidRPr="003262A5">
        <w:rPr>
          <w:sz w:val="24"/>
          <w:szCs w:val="24"/>
        </w:rPr>
        <w:t>Teva</w:t>
      </w:r>
      <w:proofErr w:type="spellEnd"/>
      <w:r w:rsidRPr="003262A5">
        <w:rPr>
          <w:sz w:val="24"/>
          <w:szCs w:val="24"/>
        </w:rPr>
        <w: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2.</w:t>
      </w:r>
      <w:r w:rsidRPr="003262A5">
        <w:rPr>
          <w:b/>
          <w:sz w:val="24"/>
          <w:szCs w:val="24"/>
        </w:rPr>
        <w:tab/>
        <w:t>KVALITATIV OG KVANTITATIV SAMMENSÆTNING</w:t>
      </w:r>
    </w:p>
    <w:p w:rsidR="005B4E3C" w:rsidRPr="003262A5" w:rsidRDefault="005B4E3C" w:rsidP="005B4E3C">
      <w:pPr>
        <w:pStyle w:val="Default"/>
        <w:ind w:left="851"/>
      </w:pPr>
      <w:r w:rsidRPr="003262A5">
        <w:t xml:space="preserve">Hver filmovertrukket tablet indeholder 200 mg </w:t>
      </w:r>
      <w:proofErr w:type="spellStart"/>
      <w:r w:rsidRPr="003262A5">
        <w:t>sorafenib</w:t>
      </w:r>
      <w:proofErr w:type="spellEnd"/>
      <w:r w:rsidRPr="003262A5">
        <w:t xml:space="preserve"> (som </w:t>
      </w:r>
      <w:proofErr w:type="spellStart"/>
      <w:r w:rsidRPr="003262A5">
        <w:t>tosylat</w:t>
      </w:r>
      <w:proofErr w:type="spellEnd"/>
      <w:r w:rsidRPr="003262A5">
        <w:t>).</w:t>
      </w:r>
    </w:p>
    <w:p w:rsidR="005B4E3C" w:rsidRPr="003262A5" w:rsidRDefault="005B4E3C" w:rsidP="005B4E3C">
      <w:pPr>
        <w:pStyle w:val="EMEAEnBodyText"/>
        <w:autoSpaceDE w:val="0"/>
        <w:autoSpaceDN w:val="0"/>
        <w:adjustRightInd w:val="0"/>
        <w:spacing w:before="0" w:after="0"/>
        <w:ind w:left="851"/>
        <w:rPr>
          <w:sz w:val="24"/>
          <w:szCs w:val="24"/>
          <w:u w:val="single"/>
          <w:lang w:val="da-DK"/>
        </w:rPr>
      </w:pPr>
    </w:p>
    <w:p w:rsidR="005B4E3C" w:rsidRPr="003262A5" w:rsidRDefault="005B4E3C" w:rsidP="005B4E3C">
      <w:pPr>
        <w:pStyle w:val="Default"/>
        <w:ind w:left="851"/>
      </w:pPr>
      <w:r w:rsidRPr="003262A5">
        <w:t>Alle hjælpestoffer er anført under pkt. 6.1.</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3.</w:t>
      </w:r>
      <w:r w:rsidRPr="003262A5">
        <w:rPr>
          <w:b/>
          <w:sz w:val="24"/>
          <w:szCs w:val="24"/>
        </w:rPr>
        <w:tab/>
        <w:t>LÆGEMIDDELFORM</w:t>
      </w:r>
    </w:p>
    <w:p w:rsidR="005B4E3C" w:rsidRPr="003262A5" w:rsidRDefault="005B4E3C" w:rsidP="005B4E3C">
      <w:pPr>
        <w:pStyle w:val="Default"/>
        <w:ind w:left="851"/>
      </w:pPr>
      <w:r w:rsidRPr="003262A5">
        <w:t>Filmovertrukne tabletter.</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Lyserøde, runde, </w:t>
      </w:r>
      <w:proofErr w:type="spellStart"/>
      <w:r w:rsidRPr="003262A5">
        <w:t>bikonvekse</w:t>
      </w:r>
      <w:proofErr w:type="spellEnd"/>
      <w:r w:rsidRPr="003262A5">
        <w:t>, filmovertrukne tabletter, mærket med ”TV” på den ene side og ”S3” på den anden.</w:t>
      </w:r>
    </w:p>
    <w:p w:rsidR="005B4E3C" w:rsidRPr="003262A5" w:rsidRDefault="005B4E3C" w:rsidP="005B4E3C">
      <w:pPr>
        <w:pStyle w:val="Default"/>
        <w:ind w:left="851"/>
      </w:pPr>
      <w:r w:rsidRPr="003262A5">
        <w:t>Størrelse: Ca. 11 mm i diameter.</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w:t>
      </w:r>
      <w:r w:rsidRPr="003262A5">
        <w:rPr>
          <w:b/>
          <w:sz w:val="24"/>
          <w:szCs w:val="24"/>
        </w:rPr>
        <w:tab/>
        <w:t>KLINISKE OPLYSNINGER</w:t>
      </w:r>
    </w:p>
    <w:p w:rsidR="005B4E3C" w:rsidRPr="003262A5" w:rsidRDefault="005B4E3C" w:rsidP="005B4E3C">
      <w:pPr>
        <w:tabs>
          <w:tab w:val="left" w:pos="851"/>
        </w:tabs>
        <w:ind w:left="851"/>
        <w:rPr>
          <w:b/>
          <w:sz w:val="24"/>
          <w:szCs w:val="24"/>
        </w:rPr>
      </w:pPr>
    </w:p>
    <w:p w:rsidR="005B4E3C" w:rsidRPr="003262A5" w:rsidRDefault="005B4E3C" w:rsidP="005B4E3C">
      <w:pPr>
        <w:tabs>
          <w:tab w:val="left" w:pos="851"/>
        </w:tabs>
        <w:ind w:left="851" w:hanging="851"/>
        <w:rPr>
          <w:b/>
          <w:sz w:val="24"/>
          <w:szCs w:val="24"/>
          <w:u w:val="single"/>
        </w:rPr>
      </w:pPr>
      <w:r w:rsidRPr="003262A5">
        <w:rPr>
          <w:b/>
          <w:sz w:val="24"/>
          <w:szCs w:val="24"/>
        </w:rPr>
        <w:t>4.1</w:t>
      </w:r>
      <w:r w:rsidRPr="003262A5">
        <w:rPr>
          <w:b/>
          <w:sz w:val="24"/>
          <w:szCs w:val="24"/>
        </w:rPr>
        <w:tab/>
        <w:t>Terapeutiske indikationer</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proofErr w:type="spellStart"/>
      <w:r w:rsidRPr="003262A5">
        <w:rPr>
          <w:u w:val="single"/>
        </w:rPr>
        <w:t>Hepatocellulært</w:t>
      </w:r>
      <w:proofErr w:type="spellEnd"/>
      <w:r w:rsidRPr="003262A5">
        <w:rPr>
          <w:u w:val="single"/>
        </w:rPr>
        <w:t xml:space="preserve"> karcinom </w:t>
      </w:r>
    </w:p>
    <w:p w:rsidR="005B4E3C" w:rsidRPr="003262A5" w:rsidRDefault="005B4E3C" w:rsidP="005B4E3C">
      <w:pPr>
        <w:pStyle w:val="Default"/>
        <w:ind w:left="851"/>
      </w:pPr>
      <w:proofErr w:type="spellStart"/>
      <w:r w:rsidRPr="003262A5">
        <w:t>Sorafenib</w:t>
      </w:r>
      <w:proofErr w:type="spellEnd"/>
      <w:r w:rsidRPr="003262A5">
        <w:t xml:space="preserve"> "</w:t>
      </w:r>
      <w:proofErr w:type="spellStart"/>
      <w:r w:rsidRPr="003262A5">
        <w:t>Teva</w:t>
      </w:r>
      <w:proofErr w:type="spellEnd"/>
      <w:r w:rsidRPr="003262A5">
        <w:t xml:space="preserve">" er indiceret til behandling af </w:t>
      </w:r>
      <w:proofErr w:type="spellStart"/>
      <w:r w:rsidRPr="003262A5">
        <w:t>hepatocellulært</w:t>
      </w:r>
      <w:proofErr w:type="spellEnd"/>
      <w:r w:rsidRPr="003262A5">
        <w:t xml:space="preserve"> karcinom (se pkt. 5.1). </w:t>
      </w:r>
    </w:p>
    <w:p w:rsidR="005B4E3C" w:rsidRPr="003262A5" w:rsidRDefault="005B4E3C" w:rsidP="005B4E3C">
      <w:pPr>
        <w:pStyle w:val="Default"/>
        <w:ind w:left="851"/>
      </w:pPr>
    </w:p>
    <w:p w:rsidR="005B4E3C" w:rsidRPr="003262A5" w:rsidRDefault="005B4E3C" w:rsidP="005B4E3C">
      <w:pPr>
        <w:pStyle w:val="Default"/>
        <w:ind w:left="851"/>
        <w:rPr>
          <w:u w:val="single"/>
        </w:rPr>
      </w:pPr>
      <w:proofErr w:type="spellStart"/>
      <w:r w:rsidRPr="003262A5">
        <w:rPr>
          <w:u w:val="single"/>
        </w:rPr>
        <w:t>Renalcellekarcinom</w:t>
      </w:r>
      <w:proofErr w:type="spellEnd"/>
      <w:r w:rsidRPr="003262A5">
        <w:rPr>
          <w:u w:val="single"/>
        </w:rPr>
        <w:t xml:space="preserve"> </w:t>
      </w:r>
    </w:p>
    <w:p w:rsidR="005B4E3C" w:rsidRDefault="005B4E3C" w:rsidP="005B4E3C">
      <w:pPr>
        <w:pStyle w:val="Default"/>
        <w:ind w:left="851"/>
      </w:pPr>
      <w:proofErr w:type="spellStart"/>
      <w:r w:rsidRPr="003262A5">
        <w:t>Sorafenib</w:t>
      </w:r>
      <w:proofErr w:type="spellEnd"/>
      <w:r w:rsidRPr="003262A5">
        <w:t xml:space="preserve"> "</w:t>
      </w:r>
      <w:proofErr w:type="spellStart"/>
      <w:r w:rsidRPr="003262A5">
        <w:t>Teva</w:t>
      </w:r>
      <w:proofErr w:type="spellEnd"/>
      <w:r w:rsidRPr="003262A5">
        <w:t xml:space="preserve">" er indiceret til behandling af patienter med fremskredent </w:t>
      </w:r>
      <w:proofErr w:type="spellStart"/>
      <w:r w:rsidRPr="003262A5">
        <w:t>renalcellekarcinom</w:t>
      </w:r>
      <w:proofErr w:type="spellEnd"/>
      <w:r w:rsidRPr="003262A5">
        <w:t>, hvor tidligere interferon-alfa- og interleukin-2-baseret behandling ikke har hjulpet, eller hvor en sådan behandling ikke er blevet vurderet passende.</w:t>
      </w:r>
    </w:p>
    <w:p w:rsidR="00BF2E84" w:rsidRDefault="00BF2E84" w:rsidP="005B4E3C">
      <w:pPr>
        <w:pStyle w:val="Default"/>
        <w:ind w:left="851"/>
      </w:pPr>
    </w:p>
    <w:p w:rsidR="00BF2E84" w:rsidRPr="00255CFB" w:rsidRDefault="00BF2E84" w:rsidP="00BF2E84">
      <w:pPr>
        <w:pStyle w:val="Default"/>
        <w:ind w:left="851"/>
        <w:rPr>
          <w:u w:val="single"/>
        </w:rPr>
      </w:pPr>
      <w:r w:rsidRPr="00255CFB">
        <w:rPr>
          <w:u w:val="single"/>
        </w:rPr>
        <w:t xml:space="preserve">Differentieret </w:t>
      </w:r>
      <w:proofErr w:type="spellStart"/>
      <w:r w:rsidRPr="00255CFB">
        <w:rPr>
          <w:u w:val="single"/>
        </w:rPr>
        <w:t>thyreoideacancer</w:t>
      </w:r>
      <w:proofErr w:type="spellEnd"/>
      <w:r w:rsidRPr="00255CFB">
        <w:rPr>
          <w:u w:val="single"/>
        </w:rPr>
        <w:t xml:space="preserve"> (DTC) </w:t>
      </w:r>
    </w:p>
    <w:p w:rsidR="00BF2E84" w:rsidRPr="003262A5" w:rsidRDefault="00BF2E84" w:rsidP="00BF2E84">
      <w:pPr>
        <w:pStyle w:val="Default"/>
        <w:ind w:left="851"/>
      </w:pPr>
      <w:proofErr w:type="spellStart"/>
      <w:r w:rsidRPr="003262A5">
        <w:t>Sorafenib</w:t>
      </w:r>
      <w:proofErr w:type="spellEnd"/>
      <w:r w:rsidRPr="003262A5">
        <w:t xml:space="preserve"> "</w:t>
      </w:r>
      <w:proofErr w:type="spellStart"/>
      <w:r w:rsidRPr="003262A5">
        <w:t>Teva</w:t>
      </w:r>
      <w:proofErr w:type="spellEnd"/>
      <w:r w:rsidRPr="003262A5">
        <w:t xml:space="preserve">" </w:t>
      </w:r>
      <w:r w:rsidRPr="005615B6">
        <w:t>er indiceret til behandling af patienter med progressiv, lokalt fremskreden eller metastaserende differentieret (papillær/</w:t>
      </w:r>
      <w:proofErr w:type="spellStart"/>
      <w:r w:rsidRPr="005615B6">
        <w:t>follikulær</w:t>
      </w:r>
      <w:proofErr w:type="spellEnd"/>
      <w:r w:rsidRPr="005615B6">
        <w:t>/</w:t>
      </w:r>
      <w:proofErr w:type="spellStart"/>
      <w:r w:rsidRPr="005615B6">
        <w:t>Hürthle</w:t>
      </w:r>
      <w:proofErr w:type="spellEnd"/>
      <w:r w:rsidRPr="005615B6">
        <w:t xml:space="preserve">-celle) </w:t>
      </w:r>
      <w:proofErr w:type="spellStart"/>
      <w:r w:rsidRPr="005615B6">
        <w:t>thyreoideacancer</w:t>
      </w:r>
      <w:proofErr w:type="spellEnd"/>
      <w:r w:rsidRPr="005615B6">
        <w:t xml:space="preserve">, refraktær over for radioaktivt </w:t>
      </w:r>
      <w:proofErr w:type="spellStart"/>
      <w:r w:rsidRPr="005615B6">
        <w:t>iod</w:t>
      </w:r>
      <w:proofErr w:type="spellEnd"/>
      <w:r w:rsidRPr="005615B6">
        <w:t>.</w:t>
      </w:r>
    </w:p>
    <w:p w:rsidR="00BF2E84" w:rsidRPr="003262A5" w:rsidRDefault="00BF2E84" w:rsidP="005B4E3C">
      <w:pPr>
        <w:pStyle w:val="Default"/>
        <w:ind w:left="851"/>
      </w:pP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4.2</w:t>
      </w:r>
      <w:r w:rsidRPr="003262A5">
        <w:rPr>
          <w:b/>
          <w:sz w:val="24"/>
          <w:szCs w:val="24"/>
        </w:rPr>
        <w:tab/>
        <w:t xml:space="preserve">Dosering og </w:t>
      </w:r>
      <w:r w:rsidR="00BF2E84">
        <w:rPr>
          <w:b/>
          <w:sz w:val="24"/>
          <w:szCs w:val="24"/>
        </w:rPr>
        <w:t>administration</w:t>
      </w:r>
    </w:p>
    <w:p w:rsidR="005B4E3C" w:rsidRPr="003262A5" w:rsidRDefault="005B4E3C" w:rsidP="005B4E3C">
      <w:pPr>
        <w:pStyle w:val="Default"/>
        <w:ind w:left="851"/>
      </w:pPr>
      <w:r w:rsidRPr="003262A5">
        <w:t xml:space="preserve">Behandling med </w:t>
      </w:r>
      <w:proofErr w:type="spellStart"/>
      <w:r w:rsidRPr="003262A5">
        <w:t>Sorafenib</w:t>
      </w:r>
      <w:proofErr w:type="spellEnd"/>
      <w:r w:rsidRPr="003262A5">
        <w:t xml:space="preserve"> "</w:t>
      </w:r>
      <w:proofErr w:type="spellStart"/>
      <w:r w:rsidRPr="003262A5">
        <w:t>Teva</w:t>
      </w:r>
      <w:proofErr w:type="spellEnd"/>
      <w:r w:rsidRPr="003262A5">
        <w:t xml:space="preserve">" bør overvåges af en læge, som har erfaring med brugen af anticancerbehandling. </w:t>
      </w:r>
    </w:p>
    <w:p w:rsidR="005B4E3C" w:rsidRPr="003262A5" w:rsidRDefault="005B4E3C" w:rsidP="005B4E3C">
      <w:pPr>
        <w:pStyle w:val="Default"/>
        <w:ind w:left="851"/>
      </w:pPr>
    </w:p>
    <w:p w:rsidR="005B4E3C" w:rsidRPr="003262A5" w:rsidRDefault="005B4E3C" w:rsidP="005B4E3C">
      <w:pPr>
        <w:pStyle w:val="Default"/>
        <w:ind w:left="851"/>
        <w:rPr>
          <w:b/>
        </w:rPr>
      </w:pPr>
      <w:r w:rsidRPr="003262A5">
        <w:rPr>
          <w:b/>
        </w:rPr>
        <w:t xml:space="preserve">Dosering </w:t>
      </w:r>
    </w:p>
    <w:p w:rsidR="005B4E3C" w:rsidRPr="003262A5" w:rsidRDefault="005B4E3C" w:rsidP="005B4E3C">
      <w:pPr>
        <w:pStyle w:val="Default"/>
        <w:ind w:left="851"/>
      </w:pPr>
      <w:r w:rsidRPr="003262A5">
        <w:t xml:space="preserve">Den anbefalede dosis af </w:t>
      </w:r>
      <w:proofErr w:type="spellStart"/>
      <w:r w:rsidRPr="003262A5">
        <w:t>Sorafenib</w:t>
      </w:r>
      <w:proofErr w:type="spellEnd"/>
      <w:r w:rsidRPr="003262A5">
        <w:t xml:space="preserve"> "</w:t>
      </w:r>
      <w:proofErr w:type="spellStart"/>
      <w:r w:rsidRPr="003262A5">
        <w:t>Teva</w:t>
      </w:r>
      <w:proofErr w:type="spellEnd"/>
      <w:r w:rsidRPr="003262A5">
        <w:t xml:space="preserve">" til voksne er 400 mg </w:t>
      </w:r>
      <w:proofErr w:type="spellStart"/>
      <w:r w:rsidRPr="003262A5">
        <w:t>sorafenib</w:t>
      </w:r>
      <w:proofErr w:type="spellEnd"/>
      <w:r w:rsidRPr="003262A5">
        <w:t xml:space="preserve"> (to tabletter a 200 mg) to gange </w:t>
      </w:r>
      <w:r>
        <w:t>daglig</w:t>
      </w:r>
      <w:r w:rsidRPr="003262A5">
        <w:t xml:space="preserve"> (ækvivalent med en total daglig dosis på 800 mg). </w:t>
      </w:r>
    </w:p>
    <w:p w:rsidR="005B4E3C" w:rsidRPr="003262A5" w:rsidRDefault="005B4E3C" w:rsidP="005B4E3C">
      <w:pPr>
        <w:pStyle w:val="Default"/>
        <w:ind w:left="851"/>
      </w:pPr>
    </w:p>
    <w:p w:rsidR="005B4E3C" w:rsidRPr="003262A5" w:rsidRDefault="005B4E3C" w:rsidP="005B4E3C">
      <w:pPr>
        <w:pStyle w:val="Default"/>
        <w:ind w:left="851"/>
      </w:pPr>
      <w:r w:rsidRPr="003262A5">
        <w:t>Behandling bør fortsættes, så længe klinisk fordel observeres, eller indtil der opstår uacceptable bivirkninger.</w:t>
      </w:r>
    </w:p>
    <w:p w:rsidR="005B4E3C" w:rsidRPr="003262A5" w:rsidRDefault="005B4E3C" w:rsidP="005B4E3C">
      <w:pPr>
        <w:pStyle w:val="Default"/>
        <w:widowControl w:val="0"/>
        <w:ind w:left="851"/>
        <w:rPr>
          <w:u w:val="single"/>
        </w:rPr>
      </w:pPr>
    </w:p>
    <w:p w:rsidR="005B4E3C" w:rsidRPr="003262A5" w:rsidRDefault="005B4E3C" w:rsidP="005B4E3C">
      <w:pPr>
        <w:pStyle w:val="Default"/>
        <w:widowControl w:val="0"/>
        <w:ind w:left="851"/>
        <w:rPr>
          <w:u w:val="single"/>
        </w:rPr>
      </w:pPr>
      <w:r w:rsidRPr="003262A5">
        <w:rPr>
          <w:u w:val="single"/>
        </w:rPr>
        <w:t>Dosisjustering</w:t>
      </w:r>
    </w:p>
    <w:p w:rsidR="005B4E3C" w:rsidRPr="003262A5" w:rsidRDefault="005B4E3C" w:rsidP="005B4E3C">
      <w:pPr>
        <w:pStyle w:val="Default"/>
        <w:ind w:left="851"/>
      </w:pPr>
      <w:r w:rsidRPr="003262A5">
        <w:t xml:space="preserve">Forekomst af formodede bivirkninger kan kræve midlertidig afbrydelse eller dosisreduktion af </w:t>
      </w:r>
      <w:proofErr w:type="spellStart"/>
      <w:r w:rsidRPr="003262A5">
        <w:t>sorafenib</w:t>
      </w:r>
      <w:proofErr w:type="spellEnd"/>
      <w:r w:rsidRPr="003262A5">
        <w:t>.</w:t>
      </w:r>
    </w:p>
    <w:p w:rsidR="005B4E3C" w:rsidRPr="003262A5" w:rsidRDefault="005B4E3C" w:rsidP="005B4E3C">
      <w:pPr>
        <w:pStyle w:val="Default"/>
        <w:ind w:left="851"/>
      </w:pPr>
    </w:p>
    <w:p w:rsidR="005B4E3C" w:rsidRDefault="005B4E3C" w:rsidP="005B4E3C">
      <w:pPr>
        <w:pStyle w:val="Default"/>
        <w:ind w:left="851"/>
      </w:pPr>
      <w:r w:rsidRPr="003262A5">
        <w:t xml:space="preserve">Når dosisreduktion er nødvendig under behandling af </w:t>
      </w:r>
      <w:proofErr w:type="spellStart"/>
      <w:r w:rsidRPr="003262A5">
        <w:t>hepatocellulært</w:t>
      </w:r>
      <w:proofErr w:type="spellEnd"/>
      <w:r w:rsidRPr="003262A5">
        <w:t xml:space="preserve"> karcinom (HCC) og fremskredent </w:t>
      </w:r>
      <w:proofErr w:type="spellStart"/>
      <w:r w:rsidRPr="003262A5">
        <w:t>renalcellekarcinom</w:t>
      </w:r>
      <w:proofErr w:type="spellEnd"/>
      <w:r w:rsidRPr="003262A5">
        <w:t xml:space="preserve"> (RCC), bør dosis af </w:t>
      </w:r>
      <w:proofErr w:type="spellStart"/>
      <w:r w:rsidRPr="003262A5">
        <w:t>Sorafenib</w:t>
      </w:r>
      <w:proofErr w:type="spellEnd"/>
      <w:r w:rsidRPr="003262A5">
        <w:t xml:space="preserve"> "</w:t>
      </w:r>
      <w:proofErr w:type="spellStart"/>
      <w:r w:rsidRPr="003262A5">
        <w:t>Teva</w:t>
      </w:r>
      <w:proofErr w:type="spellEnd"/>
      <w:r w:rsidRPr="003262A5">
        <w:t xml:space="preserve">" reduceres til to tabletter a 200 mg </w:t>
      </w:r>
      <w:proofErr w:type="spellStart"/>
      <w:r w:rsidRPr="003262A5">
        <w:t>sorafenib</w:t>
      </w:r>
      <w:proofErr w:type="spellEnd"/>
      <w:r w:rsidRPr="003262A5">
        <w:t xml:space="preserve"> </w:t>
      </w:r>
      <w:r>
        <w:t>en</w:t>
      </w:r>
      <w:r w:rsidRPr="003262A5">
        <w:t xml:space="preserve"> gang </w:t>
      </w:r>
      <w:r>
        <w:t>daglig</w:t>
      </w:r>
      <w:r w:rsidRPr="003262A5">
        <w:t xml:space="preserve"> (se pkt. 4.4). </w:t>
      </w:r>
    </w:p>
    <w:p w:rsidR="00BF2E84" w:rsidRDefault="00BF2E84" w:rsidP="005B4E3C">
      <w:pPr>
        <w:pStyle w:val="Default"/>
        <w:ind w:left="851"/>
      </w:pPr>
    </w:p>
    <w:p w:rsidR="00BF2E84" w:rsidRPr="003262A5" w:rsidRDefault="00BF2E84" w:rsidP="00BF2E84">
      <w:pPr>
        <w:pStyle w:val="Default"/>
        <w:ind w:left="851"/>
      </w:pPr>
      <w:r w:rsidRPr="005615B6">
        <w:t xml:space="preserve">Når dosisreduktion er nødvendig under behandling af differentieret </w:t>
      </w:r>
      <w:proofErr w:type="spellStart"/>
      <w:r w:rsidRPr="005615B6">
        <w:t>thyreoideacancer</w:t>
      </w:r>
      <w:proofErr w:type="spellEnd"/>
      <w:r w:rsidRPr="005615B6">
        <w:t xml:space="preserve"> (DTC), bør dosis af </w:t>
      </w:r>
      <w:proofErr w:type="spellStart"/>
      <w:r w:rsidRPr="003262A5">
        <w:t>Sorafenib</w:t>
      </w:r>
      <w:proofErr w:type="spellEnd"/>
      <w:r w:rsidRPr="003262A5">
        <w:t xml:space="preserve"> "</w:t>
      </w:r>
      <w:proofErr w:type="spellStart"/>
      <w:r w:rsidRPr="003262A5">
        <w:t>Teva</w:t>
      </w:r>
      <w:proofErr w:type="spellEnd"/>
      <w:r w:rsidRPr="003262A5">
        <w:t xml:space="preserve">" </w:t>
      </w:r>
      <w:r w:rsidRPr="005615B6">
        <w:t>reduceres til 600</w:t>
      </w:r>
      <w:r>
        <w:t> </w:t>
      </w:r>
      <w:r w:rsidRPr="005615B6">
        <w:t xml:space="preserve">mg </w:t>
      </w:r>
      <w:proofErr w:type="spellStart"/>
      <w:r w:rsidRPr="005615B6">
        <w:t>sorafenib</w:t>
      </w:r>
      <w:proofErr w:type="spellEnd"/>
      <w:r w:rsidRPr="005615B6">
        <w:t xml:space="preserve"> dagligt i delte doser (to</w:t>
      </w:r>
      <w:r>
        <w:t> </w:t>
      </w:r>
      <w:r w:rsidRPr="005615B6">
        <w:t>tabletter a 200</w:t>
      </w:r>
      <w:r>
        <w:t> </w:t>
      </w:r>
      <w:r w:rsidRPr="005615B6">
        <w:t>mg og en</w:t>
      </w:r>
      <w:r>
        <w:t> </w:t>
      </w:r>
      <w:r w:rsidRPr="005615B6">
        <w:t>tablet a 200</w:t>
      </w:r>
      <w:r>
        <w:t> </w:t>
      </w:r>
      <w:r w:rsidRPr="005615B6">
        <w:t>mg med 12</w:t>
      </w:r>
      <w:r>
        <w:t> </w:t>
      </w:r>
      <w:r w:rsidRPr="005615B6">
        <w:t>timers mellemrum)</w:t>
      </w:r>
      <w:r>
        <w:t>.</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Hvis yderligere dosisreduktion er nødvendig, </w:t>
      </w:r>
      <w:r>
        <w:t>kan</w:t>
      </w:r>
      <w:r w:rsidRPr="003262A5">
        <w:t xml:space="preserve"> dosis af </w:t>
      </w:r>
      <w:proofErr w:type="spellStart"/>
      <w:r w:rsidRPr="003262A5">
        <w:t>Sorafenib</w:t>
      </w:r>
      <w:proofErr w:type="spellEnd"/>
      <w:r w:rsidRPr="003262A5">
        <w:t xml:space="preserve"> "</w:t>
      </w:r>
      <w:proofErr w:type="spellStart"/>
      <w:r w:rsidRPr="003262A5">
        <w:t>Teva</w:t>
      </w:r>
      <w:proofErr w:type="spellEnd"/>
      <w:r w:rsidRPr="003262A5">
        <w:t xml:space="preserve">" reduceres til 400 mg </w:t>
      </w:r>
      <w:proofErr w:type="spellStart"/>
      <w:r w:rsidRPr="003262A5">
        <w:t>sorafenib</w:t>
      </w:r>
      <w:proofErr w:type="spellEnd"/>
      <w:r w:rsidRPr="003262A5">
        <w:t xml:space="preserve"> </w:t>
      </w:r>
      <w:r>
        <w:t>daglig</w:t>
      </w:r>
      <w:r w:rsidRPr="003262A5">
        <w:t xml:space="preserve"> i opdelte doser (to tabletter a 200 mg med 12 timers mellemrum), og om nødvendigt reduceres yderligere til </w:t>
      </w:r>
      <w:r>
        <w:t>en</w:t>
      </w:r>
      <w:r w:rsidRPr="003262A5">
        <w:t xml:space="preserve"> tablet a 200 mg </w:t>
      </w:r>
      <w:r>
        <w:t>en</w:t>
      </w:r>
      <w:r w:rsidRPr="003262A5">
        <w:t xml:space="preserve"> gang </w:t>
      </w:r>
      <w:r>
        <w:t>daglig</w:t>
      </w:r>
      <w:r w:rsidRPr="003262A5">
        <w:t xml:space="preserve">. Når de ikke-hæmatologiske bivirkninger er bedret, kan dosis af </w:t>
      </w:r>
      <w:proofErr w:type="spellStart"/>
      <w:r w:rsidRPr="003262A5">
        <w:t>Sorafenib</w:t>
      </w:r>
      <w:proofErr w:type="spellEnd"/>
      <w:r w:rsidRPr="003262A5">
        <w:t xml:space="preserve"> "</w:t>
      </w:r>
      <w:proofErr w:type="spellStart"/>
      <w:r w:rsidRPr="003262A5">
        <w:t>Teva</w:t>
      </w:r>
      <w:proofErr w:type="spellEnd"/>
      <w:r w:rsidRPr="003262A5">
        <w:t>" øges.</w:t>
      </w:r>
    </w:p>
    <w:p w:rsidR="005B4E3C" w:rsidRPr="003262A5" w:rsidRDefault="005B4E3C" w:rsidP="005B4E3C">
      <w:pPr>
        <w:pStyle w:val="Default"/>
        <w:ind w:left="851"/>
        <w:rPr>
          <w:i/>
          <w:iCs/>
        </w:rPr>
      </w:pPr>
    </w:p>
    <w:p w:rsidR="005B4E3C" w:rsidRPr="003262A5" w:rsidRDefault="005B4E3C" w:rsidP="005B4E3C">
      <w:pPr>
        <w:pStyle w:val="Default"/>
        <w:ind w:left="851"/>
      </w:pPr>
      <w:r w:rsidRPr="003262A5">
        <w:rPr>
          <w:i/>
          <w:iCs/>
        </w:rPr>
        <w:t xml:space="preserve">Pædiatrisk population </w:t>
      </w:r>
    </w:p>
    <w:p w:rsidR="005B4E3C" w:rsidRPr="003262A5" w:rsidRDefault="005B4E3C" w:rsidP="005B4E3C">
      <w:pPr>
        <w:pStyle w:val="Default"/>
        <w:ind w:left="851"/>
      </w:pPr>
      <w:proofErr w:type="spellStart"/>
      <w:r w:rsidRPr="003262A5">
        <w:t>Sorafenib</w:t>
      </w:r>
      <w:r>
        <w:t>s</w:t>
      </w:r>
      <w:proofErr w:type="spellEnd"/>
      <w:r w:rsidRPr="003262A5">
        <w:t xml:space="preserve"> sikkerhed og virkning hos børn og unge under 18 år er endnu ikke klarlagt. Der foreligger ingen data. </w:t>
      </w:r>
    </w:p>
    <w:p w:rsidR="005B4E3C" w:rsidRPr="003262A5" w:rsidRDefault="005B4E3C" w:rsidP="005B4E3C">
      <w:pPr>
        <w:pStyle w:val="Default"/>
        <w:ind w:left="851"/>
      </w:pPr>
    </w:p>
    <w:p w:rsidR="005B4E3C" w:rsidRPr="003262A5" w:rsidRDefault="005B4E3C" w:rsidP="005B4E3C">
      <w:pPr>
        <w:pStyle w:val="Default"/>
        <w:ind w:left="851"/>
      </w:pPr>
      <w:r w:rsidRPr="003262A5">
        <w:rPr>
          <w:i/>
          <w:iCs/>
        </w:rPr>
        <w:t>Ældre</w:t>
      </w:r>
    </w:p>
    <w:p w:rsidR="005B4E3C" w:rsidRPr="003262A5" w:rsidRDefault="005B4E3C" w:rsidP="005B4E3C">
      <w:pPr>
        <w:pStyle w:val="Default"/>
        <w:ind w:left="851"/>
      </w:pPr>
      <w:r w:rsidRPr="003262A5">
        <w:t>Dosisreduktion til ældre er ikke nødvendig (patienter over 65 år).</w:t>
      </w:r>
    </w:p>
    <w:p w:rsidR="005B4E3C" w:rsidRPr="003262A5" w:rsidRDefault="005B4E3C" w:rsidP="005B4E3C">
      <w:pPr>
        <w:pStyle w:val="Default"/>
        <w:ind w:left="851"/>
      </w:pPr>
    </w:p>
    <w:p w:rsidR="005B4E3C" w:rsidRPr="003262A5" w:rsidRDefault="005B4E3C" w:rsidP="005B4E3C">
      <w:pPr>
        <w:pStyle w:val="Default"/>
        <w:ind w:left="851"/>
      </w:pPr>
      <w:r w:rsidRPr="003262A5">
        <w:rPr>
          <w:i/>
          <w:iCs/>
        </w:rPr>
        <w:t>Nedsat nyrefunktion</w:t>
      </w:r>
    </w:p>
    <w:p w:rsidR="005B4E3C" w:rsidRPr="003262A5" w:rsidRDefault="005B4E3C" w:rsidP="005B4E3C">
      <w:pPr>
        <w:pStyle w:val="Default"/>
        <w:ind w:left="851"/>
      </w:pPr>
      <w:r w:rsidRPr="003262A5">
        <w:t xml:space="preserve">Der kræves ingen dosisreduktion for patienter med let, moderat eller svært nedsat nyrefunktion. Der findes ingen tilgængelige data for patienter i dialyse (se pkt. 5.2). </w:t>
      </w:r>
    </w:p>
    <w:p w:rsidR="005B4E3C" w:rsidRPr="003262A5" w:rsidRDefault="005B4E3C" w:rsidP="005B4E3C">
      <w:pPr>
        <w:pStyle w:val="Default"/>
        <w:ind w:left="851"/>
      </w:pPr>
    </w:p>
    <w:p w:rsidR="005B4E3C" w:rsidRPr="003262A5" w:rsidRDefault="005B4E3C" w:rsidP="005B4E3C">
      <w:pPr>
        <w:pStyle w:val="Default"/>
        <w:ind w:left="851"/>
      </w:pPr>
      <w:r w:rsidRPr="003262A5">
        <w:t>Patienter med risiko for nedsat nyrefunktion bør overvåges med hensyn til væske- og elektrolytbalance.</w:t>
      </w:r>
    </w:p>
    <w:p w:rsidR="005B4E3C" w:rsidRPr="003262A5" w:rsidRDefault="005B4E3C" w:rsidP="005B4E3C">
      <w:pPr>
        <w:pStyle w:val="Default"/>
        <w:ind w:left="851"/>
      </w:pPr>
    </w:p>
    <w:p w:rsidR="005B4E3C" w:rsidRPr="003262A5" w:rsidRDefault="005B4E3C" w:rsidP="005B4E3C">
      <w:pPr>
        <w:pStyle w:val="Default"/>
        <w:ind w:left="851"/>
      </w:pPr>
      <w:r w:rsidRPr="003262A5">
        <w:rPr>
          <w:i/>
          <w:iCs/>
        </w:rPr>
        <w:t xml:space="preserve">Nedsat leverfunktion </w:t>
      </w:r>
    </w:p>
    <w:p w:rsidR="005B4E3C" w:rsidRPr="003262A5" w:rsidRDefault="005B4E3C" w:rsidP="005B4E3C">
      <w:pPr>
        <w:pStyle w:val="Default"/>
        <w:ind w:left="851"/>
      </w:pPr>
      <w:r w:rsidRPr="003262A5">
        <w:t>Dosisreduktion er ikke nødvendig hos patienter med Child-</w:t>
      </w:r>
      <w:proofErr w:type="spellStart"/>
      <w:r w:rsidRPr="003262A5">
        <w:t>Pugh</w:t>
      </w:r>
      <w:proofErr w:type="spellEnd"/>
      <w:r w:rsidRPr="003262A5">
        <w:t xml:space="preserve"> A eller B (let til moderat) nedsat leverfunktion. Der findes ingen tilgængelig data for patienter med Child-</w:t>
      </w:r>
      <w:proofErr w:type="spellStart"/>
      <w:r w:rsidRPr="003262A5">
        <w:t>Pugh</w:t>
      </w:r>
      <w:proofErr w:type="spellEnd"/>
      <w:r w:rsidRPr="003262A5">
        <w:t xml:space="preserve"> C (svært) nedsat leverfunktion (se pkt. 4.4 og 5.2).</w:t>
      </w:r>
    </w:p>
    <w:p w:rsidR="005B4E3C" w:rsidRPr="003262A5" w:rsidRDefault="005B4E3C" w:rsidP="005B4E3C">
      <w:pPr>
        <w:pStyle w:val="Default"/>
        <w:ind w:left="851"/>
      </w:pPr>
    </w:p>
    <w:p w:rsidR="005B4E3C" w:rsidRPr="003262A5" w:rsidRDefault="005B4E3C" w:rsidP="005B4E3C">
      <w:pPr>
        <w:pStyle w:val="Default"/>
        <w:ind w:left="851"/>
        <w:rPr>
          <w:b/>
        </w:rPr>
      </w:pPr>
      <w:r w:rsidRPr="003262A5">
        <w:rPr>
          <w:b/>
        </w:rPr>
        <w:t xml:space="preserve">Administration </w:t>
      </w:r>
    </w:p>
    <w:p w:rsidR="005B4E3C" w:rsidRPr="003262A5" w:rsidRDefault="005B4E3C" w:rsidP="005B4E3C">
      <w:pPr>
        <w:pStyle w:val="Default"/>
        <w:ind w:left="851"/>
      </w:pPr>
      <w:r w:rsidRPr="003262A5">
        <w:t>Oral anvendelse.</w:t>
      </w:r>
    </w:p>
    <w:p w:rsidR="005B4E3C" w:rsidRPr="003262A5" w:rsidRDefault="005B4E3C" w:rsidP="00BF2E84">
      <w:pPr>
        <w:tabs>
          <w:tab w:val="left" w:pos="851"/>
        </w:tabs>
        <w:ind w:left="851"/>
        <w:rPr>
          <w:sz w:val="24"/>
          <w:szCs w:val="24"/>
        </w:rPr>
      </w:pPr>
      <w:r w:rsidRPr="003262A5">
        <w:rPr>
          <w:sz w:val="24"/>
          <w:szCs w:val="24"/>
        </w:rPr>
        <w:lastRenderedPageBreak/>
        <w:t xml:space="preserve">Det anbefales, at </w:t>
      </w:r>
      <w:proofErr w:type="spellStart"/>
      <w:r w:rsidRPr="003262A5">
        <w:rPr>
          <w:sz w:val="24"/>
          <w:szCs w:val="24"/>
        </w:rPr>
        <w:t>sorafenib</w:t>
      </w:r>
      <w:proofErr w:type="spellEnd"/>
      <w:r w:rsidRPr="003262A5">
        <w:rPr>
          <w:sz w:val="24"/>
          <w:szCs w:val="24"/>
        </w:rPr>
        <w:t xml:space="preserve"> indtages uden mad eller sammen med et måltid med lavt eller moderat fedtindhold. Hvis patienten vil indtage et måltid med højt fedtindhold, bør </w:t>
      </w:r>
      <w:proofErr w:type="spellStart"/>
      <w:r w:rsidRPr="003262A5">
        <w:rPr>
          <w:sz w:val="24"/>
          <w:szCs w:val="24"/>
        </w:rPr>
        <w:t>sorafenib</w:t>
      </w:r>
      <w:proofErr w:type="spellEnd"/>
      <w:r w:rsidRPr="003262A5">
        <w:rPr>
          <w:sz w:val="24"/>
          <w:szCs w:val="24"/>
        </w:rPr>
        <w:t>-tabletterne tages mindst 1 time før eller 2 timer efter måltidet. Tabletterne bør sluges med et glas vand.</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4.3</w:t>
      </w:r>
      <w:r w:rsidRPr="003262A5">
        <w:rPr>
          <w:b/>
          <w:sz w:val="24"/>
          <w:szCs w:val="24"/>
        </w:rPr>
        <w:tab/>
        <w:t>Kontraindikationer</w:t>
      </w:r>
    </w:p>
    <w:p w:rsidR="005B4E3C" w:rsidRPr="003262A5" w:rsidRDefault="005B4E3C" w:rsidP="005B4E3C">
      <w:pPr>
        <w:pStyle w:val="Default"/>
        <w:ind w:left="851"/>
      </w:pPr>
      <w:r w:rsidRPr="003262A5">
        <w:t>Overfølsomhed over for det aktive stof eller over for et eller flere af hjælpestofferne anført i pkt. 6.1.</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4.4</w:t>
      </w:r>
      <w:r w:rsidRPr="003262A5">
        <w:rPr>
          <w:b/>
          <w:sz w:val="24"/>
          <w:szCs w:val="24"/>
        </w:rPr>
        <w:tab/>
        <w:t>Særlige advarsler og forsigtighedsregler vedrørende brugen</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Dermatologisk toksicitet </w:t>
      </w:r>
    </w:p>
    <w:p w:rsidR="005B4E3C" w:rsidRDefault="005B4E3C" w:rsidP="005B4E3C">
      <w:pPr>
        <w:pStyle w:val="Default"/>
        <w:ind w:left="851"/>
      </w:pPr>
      <w:r w:rsidRPr="003262A5">
        <w:t>Hånd-fod-hud-reaktion (HFSR) (</w:t>
      </w:r>
      <w:proofErr w:type="spellStart"/>
      <w:r w:rsidRPr="003262A5">
        <w:t>palmoplantar</w:t>
      </w:r>
      <w:proofErr w:type="spellEnd"/>
      <w:r w:rsidRPr="003262A5">
        <w:t xml:space="preserve"> </w:t>
      </w:r>
      <w:proofErr w:type="spellStart"/>
      <w:r w:rsidRPr="003262A5">
        <w:t>erytrodysæstesi</w:t>
      </w:r>
      <w:proofErr w:type="spellEnd"/>
      <w:r w:rsidRPr="003262A5">
        <w:t xml:space="preserve">) og hududslæt er de hyppigste bivirkninger med </w:t>
      </w:r>
      <w:proofErr w:type="spellStart"/>
      <w:r w:rsidRPr="003262A5">
        <w:t>sorafenib</w:t>
      </w:r>
      <w:proofErr w:type="spellEnd"/>
      <w:r w:rsidRPr="003262A5">
        <w:t>. Hududslæt og HFSR er normalt af CTC (</w:t>
      </w:r>
      <w:r w:rsidRPr="003262A5">
        <w:rPr>
          <w:i/>
          <w:iCs/>
        </w:rPr>
        <w:t xml:space="preserve">Common </w:t>
      </w:r>
      <w:proofErr w:type="spellStart"/>
      <w:r w:rsidRPr="003262A5">
        <w:rPr>
          <w:i/>
          <w:iCs/>
        </w:rPr>
        <w:t>Toxicity</w:t>
      </w:r>
      <w:proofErr w:type="spellEnd"/>
      <w:r w:rsidRPr="003262A5">
        <w:rPr>
          <w:i/>
          <w:iCs/>
        </w:rPr>
        <w:t xml:space="preserve"> </w:t>
      </w:r>
      <w:proofErr w:type="spellStart"/>
      <w:r w:rsidRPr="003262A5">
        <w:rPr>
          <w:i/>
          <w:iCs/>
        </w:rPr>
        <w:t>Criteria</w:t>
      </w:r>
      <w:proofErr w:type="spellEnd"/>
      <w:r w:rsidRPr="003262A5">
        <w:t xml:space="preserve">) grad 1 og 2 og optræder oftest i løbet af de første seks uger af </w:t>
      </w:r>
      <w:proofErr w:type="spellStart"/>
      <w:r w:rsidRPr="003262A5">
        <w:t>sorafenib</w:t>
      </w:r>
      <w:proofErr w:type="spellEnd"/>
      <w:r w:rsidRPr="003262A5">
        <w:t xml:space="preserve">-behandlingen. Håndtering af dermatologisk toksicitet kan indebære </w:t>
      </w:r>
      <w:proofErr w:type="spellStart"/>
      <w:r w:rsidRPr="003262A5">
        <w:t>topikal</w:t>
      </w:r>
      <w:proofErr w:type="spellEnd"/>
      <w:r w:rsidRPr="003262A5">
        <w:t xml:space="preserve"> behandling for at lindre symptomer, midlertidig afbrydelse af behandlingen og/eller dosisjustering af </w:t>
      </w:r>
      <w:proofErr w:type="spellStart"/>
      <w:r w:rsidRPr="003262A5">
        <w:t>sorafenib</w:t>
      </w:r>
      <w:proofErr w:type="spellEnd"/>
      <w:r w:rsidRPr="003262A5">
        <w:t xml:space="preserve">. I svære eller vedvarende tilfælde skal </w:t>
      </w:r>
      <w:proofErr w:type="spellStart"/>
      <w:r w:rsidRPr="003262A5">
        <w:t>sorafenib</w:t>
      </w:r>
      <w:proofErr w:type="spellEnd"/>
      <w:r w:rsidRPr="003262A5">
        <w:t xml:space="preserve"> sep</w:t>
      </w:r>
      <w:r>
        <w:t>oneres permanent (se pkt. 4.8).</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Hypertension </w:t>
      </w:r>
    </w:p>
    <w:p w:rsidR="005B4E3C" w:rsidRDefault="005B4E3C" w:rsidP="005B4E3C">
      <w:pPr>
        <w:pStyle w:val="Default"/>
        <w:ind w:left="851"/>
      </w:pPr>
      <w:r w:rsidRPr="003262A5">
        <w:t xml:space="preserve">Et øget antal tilfælde af arteriel hypertension blev observeret hos patienter, der blev behandlet med </w:t>
      </w:r>
      <w:proofErr w:type="spellStart"/>
      <w:r w:rsidRPr="003262A5">
        <w:t>sorafenib</w:t>
      </w:r>
      <w:proofErr w:type="spellEnd"/>
      <w:r w:rsidRPr="003262A5">
        <w:t xml:space="preserve">. Hypertensionen var ofte let til moderat, den optrådte tidligt i behandlingsforløbet og kunne behandles med </w:t>
      </w:r>
      <w:proofErr w:type="spellStart"/>
      <w:r w:rsidRPr="003262A5">
        <w:t>antihypertensiv</w:t>
      </w:r>
      <w:proofErr w:type="spellEnd"/>
      <w:r w:rsidRPr="003262A5">
        <w:t xml:space="preserve"> standardbehandling. Blodtrykket skal måles regelmæssigt og om nødvendigt behandles ud fra medicinsk standardpraksis. I tilfælde af svær eller vedvarende hypertension eller </w:t>
      </w:r>
      <w:proofErr w:type="spellStart"/>
      <w:r w:rsidRPr="003262A5">
        <w:t>hypertensiv</w:t>
      </w:r>
      <w:proofErr w:type="spellEnd"/>
      <w:r w:rsidRPr="003262A5">
        <w:t xml:space="preserve"> krise trods indsættelse med </w:t>
      </w:r>
      <w:proofErr w:type="spellStart"/>
      <w:r w:rsidRPr="003262A5">
        <w:t>antihypertensiv</w:t>
      </w:r>
      <w:proofErr w:type="spellEnd"/>
      <w:r w:rsidRPr="003262A5">
        <w:t xml:space="preserve"> behandling bør permanent </w:t>
      </w:r>
      <w:proofErr w:type="spellStart"/>
      <w:r w:rsidRPr="003262A5">
        <w:t>seponering</w:t>
      </w:r>
      <w:proofErr w:type="spellEnd"/>
      <w:r w:rsidRPr="003262A5">
        <w:t xml:space="preserve"> af </w:t>
      </w:r>
      <w:proofErr w:type="spellStart"/>
      <w:r w:rsidRPr="003262A5">
        <w:t>sorafenib</w:t>
      </w:r>
      <w:proofErr w:type="spellEnd"/>
      <w:r w:rsidRPr="003262A5">
        <w:t xml:space="preserve"> overvejes (se pkt. 4.8). </w:t>
      </w:r>
    </w:p>
    <w:p w:rsidR="00BF2E84" w:rsidRDefault="00BF2E84" w:rsidP="005B4E3C">
      <w:pPr>
        <w:pStyle w:val="Default"/>
        <w:ind w:left="851"/>
      </w:pPr>
    </w:p>
    <w:p w:rsidR="00BF2E84" w:rsidRDefault="00BF2E84" w:rsidP="00BF2E84">
      <w:pPr>
        <w:pStyle w:val="Default"/>
        <w:ind w:left="851"/>
        <w:rPr>
          <w:u w:val="single"/>
        </w:rPr>
      </w:pPr>
      <w:proofErr w:type="spellStart"/>
      <w:r>
        <w:rPr>
          <w:u w:val="single"/>
        </w:rPr>
        <w:t>Aneurismer</w:t>
      </w:r>
      <w:proofErr w:type="spellEnd"/>
      <w:r>
        <w:rPr>
          <w:u w:val="single"/>
        </w:rPr>
        <w:t xml:space="preserve"> og arterielle dissektioner </w:t>
      </w:r>
    </w:p>
    <w:p w:rsidR="00BF2E84" w:rsidRDefault="00BF2E84" w:rsidP="00BF2E84">
      <w:pPr>
        <w:pStyle w:val="Default"/>
        <w:ind w:left="851"/>
      </w:pPr>
      <w:r>
        <w:t>Brug af VEGF-</w:t>
      </w:r>
      <w:proofErr w:type="spellStart"/>
      <w:r>
        <w:t>hæmmere</w:t>
      </w:r>
      <w:proofErr w:type="spellEnd"/>
      <w:r>
        <w:t xml:space="preserve"> hos patienter med eller uden hypertension kan fremme dannelse af </w:t>
      </w:r>
      <w:proofErr w:type="spellStart"/>
      <w:r>
        <w:t>aneurismer</w:t>
      </w:r>
      <w:proofErr w:type="spellEnd"/>
      <w:r>
        <w:t xml:space="preserve"> og/eller arterielle dissektioner. Inden indledning af behandling med </w:t>
      </w:r>
      <w:proofErr w:type="spellStart"/>
      <w:r>
        <w:t>Sorafenib</w:t>
      </w:r>
      <w:proofErr w:type="spellEnd"/>
      <w:r>
        <w:t xml:space="preserve"> "</w:t>
      </w:r>
      <w:proofErr w:type="spellStart"/>
      <w:r>
        <w:t>Teva</w:t>
      </w:r>
      <w:proofErr w:type="spellEnd"/>
      <w:r>
        <w:t xml:space="preserve">" bør denne risiko overvejes nøje for patienter med risikofaktorer såsom hypertension eller tidligere </w:t>
      </w:r>
      <w:proofErr w:type="spellStart"/>
      <w:r>
        <w:t>aneurisme</w:t>
      </w:r>
      <w:proofErr w:type="spellEnd"/>
      <w:r>
        <w:t>.</w:t>
      </w:r>
    </w:p>
    <w:p w:rsidR="00BF2E84" w:rsidRPr="003262A5" w:rsidRDefault="00BF2E84" w:rsidP="00BF2E84">
      <w:pPr>
        <w:pStyle w:val="Default"/>
      </w:pPr>
    </w:p>
    <w:p w:rsidR="00BF2E84" w:rsidRPr="003262A5" w:rsidRDefault="00BF2E84" w:rsidP="00BF2E84">
      <w:pPr>
        <w:pStyle w:val="Default"/>
        <w:ind w:left="851"/>
        <w:rPr>
          <w:u w:val="single"/>
        </w:rPr>
      </w:pPr>
      <w:proofErr w:type="spellStart"/>
      <w:r w:rsidRPr="003262A5">
        <w:rPr>
          <w:u w:val="single"/>
        </w:rPr>
        <w:t>Hypoglycæmi</w:t>
      </w:r>
      <w:proofErr w:type="spellEnd"/>
    </w:p>
    <w:p w:rsidR="00BF2E84" w:rsidRPr="003262A5" w:rsidRDefault="00BF2E84" w:rsidP="00BF2E84">
      <w:pPr>
        <w:pStyle w:val="Default"/>
        <w:ind w:left="851"/>
      </w:pPr>
      <w:r w:rsidRPr="003262A5">
        <w:t xml:space="preserve">Fald i blodsukkerniveau, i nogle tilfælde kliniske symptomatiske og hospitalskrævende pga. bevidsthedstab, er blevet rapporteret under behandling med </w:t>
      </w:r>
      <w:proofErr w:type="spellStart"/>
      <w:r w:rsidRPr="003262A5">
        <w:t>sorafenib</w:t>
      </w:r>
      <w:proofErr w:type="spellEnd"/>
      <w:r w:rsidRPr="003262A5">
        <w:t xml:space="preserve">. I tilfælde af symptomatisk </w:t>
      </w:r>
      <w:proofErr w:type="spellStart"/>
      <w:r w:rsidRPr="003262A5">
        <w:t>hypoglycæmi</w:t>
      </w:r>
      <w:proofErr w:type="spellEnd"/>
      <w:r w:rsidRPr="003262A5">
        <w:t xml:space="preserve"> skal </w:t>
      </w:r>
      <w:proofErr w:type="spellStart"/>
      <w:r w:rsidRPr="003262A5">
        <w:t>sorafenib</w:t>
      </w:r>
      <w:proofErr w:type="spellEnd"/>
      <w:r w:rsidRPr="003262A5">
        <w:t xml:space="preserve"> afbrydes midlertidigt. Blodsukkerniveau hos diabetespatienter bør monitoreres regelmæssigt for at fastlægge, om patientens dosis af </w:t>
      </w:r>
      <w:proofErr w:type="spellStart"/>
      <w:r w:rsidRPr="003262A5">
        <w:t>antidiabetika</w:t>
      </w:r>
      <w:proofErr w:type="spellEnd"/>
      <w:r w:rsidRPr="003262A5">
        <w:t xml:space="preserve"> skal justeres.</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Blødning </w:t>
      </w:r>
    </w:p>
    <w:p w:rsidR="005B4E3C" w:rsidRPr="003262A5" w:rsidRDefault="005B4E3C" w:rsidP="005B4E3C">
      <w:pPr>
        <w:pStyle w:val="Default"/>
        <w:ind w:left="851"/>
      </w:pPr>
      <w:r w:rsidRPr="003262A5">
        <w:t xml:space="preserve">Øget risiko for blødning kan opstå efter administration af </w:t>
      </w:r>
      <w:proofErr w:type="spellStart"/>
      <w:r w:rsidRPr="003262A5">
        <w:t>sorafenib</w:t>
      </w:r>
      <w:proofErr w:type="spellEnd"/>
      <w:r w:rsidRPr="003262A5">
        <w:t xml:space="preserve">. I tilfælde hvor blødning nødvendiggør medicinsk indgriben, anbefales det at overveje permanent ophør af </w:t>
      </w:r>
      <w:proofErr w:type="spellStart"/>
      <w:r w:rsidRPr="003262A5">
        <w:t>sorafenib</w:t>
      </w:r>
      <w:proofErr w:type="spellEnd"/>
      <w:r w:rsidRPr="003262A5">
        <w:t xml:space="preserve"> (se pkt. 4.8).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Hjerteiskæmi og/eller infarkt </w:t>
      </w:r>
    </w:p>
    <w:p w:rsidR="005B4E3C" w:rsidRPr="003262A5" w:rsidRDefault="005B4E3C" w:rsidP="005B4E3C">
      <w:pPr>
        <w:pStyle w:val="Default"/>
        <w:ind w:left="851"/>
      </w:pPr>
      <w:r w:rsidRPr="003262A5">
        <w:t>I et randomiseret, placebokontrolleret, dobbeltblind</w:t>
      </w:r>
      <w:r>
        <w:t>et</w:t>
      </w:r>
      <w:r w:rsidRPr="003262A5">
        <w:t xml:space="preserve"> studie (studie 1, se pkt. 5.1) var forekomsten af tilfælde med hjerteiskæmi/hjerteinfarkt, som opstod som følge af behandling, større i </w:t>
      </w:r>
      <w:proofErr w:type="spellStart"/>
      <w:r w:rsidRPr="003262A5">
        <w:t>sorafenib</w:t>
      </w:r>
      <w:proofErr w:type="spellEnd"/>
      <w:r w:rsidRPr="003262A5">
        <w:t xml:space="preserve">-gruppen (4,9 %) sammenlignet med placebogruppen (0,4 %). </w:t>
      </w:r>
      <w:r w:rsidRPr="003262A5">
        <w:lastRenderedPageBreak/>
        <w:t xml:space="preserve">I studie 3 (se pkt. 5.1) var forekomsten af tilfælde med hjerteiskæmi/hjerteinfarkt 2,7 % hos </w:t>
      </w:r>
      <w:proofErr w:type="spellStart"/>
      <w:r w:rsidRPr="003262A5">
        <w:t>sorafenib</w:t>
      </w:r>
      <w:proofErr w:type="spellEnd"/>
      <w:r w:rsidRPr="003262A5">
        <w:t xml:space="preserve">-patienterne sammenlignet med 1,3 % hos placebogruppen. Patienter med ustabil </w:t>
      </w:r>
      <w:proofErr w:type="spellStart"/>
      <w:r w:rsidRPr="003262A5">
        <w:t>conorasygdom</w:t>
      </w:r>
      <w:proofErr w:type="spellEnd"/>
      <w:r w:rsidRPr="003262A5">
        <w:t xml:space="preserve"> eller </w:t>
      </w:r>
      <w:proofErr w:type="gramStart"/>
      <w:r w:rsidRPr="003262A5">
        <w:t>nylig myokardieinfarkt</w:t>
      </w:r>
      <w:proofErr w:type="gramEnd"/>
      <w:r w:rsidRPr="003262A5">
        <w:t xml:space="preserve"> var ekskluderet i disse studier. Midlertidig eller permanent </w:t>
      </w:r>
      <w:proofErr w:type="spellStart"/>
      <w:r w:rsidRPr="003262A5">
        <w:t>seponering</w:t>
      </w:r>
      <w:proofErr w:type="spellEnd"/>
      <w:r w:rsidRPr="003262A5">
        <w:t xml:space="preserve"> af </w:t>
      </w:r>
      <w:proofErr w:type="spellStart"/>
      <w:r w:rsidRPr="003262A5">
        <w:t>sorafenib</w:t>
      </w:r>
      <w:proofErr w:type="spellEnd"/>
      <w:r w:rsidRPr="003262A5">
        <w:t xml:space="preserve"> bør overvejes hos patienter, som udvikler hjerteiskæmi og/eller infarkt (se pkt. 4.8). </w:t>
      </w:r>
    </w:p>
    <w:p w:rsidR="005B4E3C"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Forlænget QT-interval </w:t>
      </w:r>
    </w:p>
    <w:p w:rsidR="005B4E3C" w:rsidRPr="003262A5" w:rsidRDefault="005B4E3C" w:rsidP="005B4E3C">
      <w:pPr>
        <w:pStyle w:val="Default"/>
        <w:ind w:left="851"/>
      </w:pPr>
      <w:proofErr w:type="spellStart"/>
      <w:r w:rsidRPr="003262A5">
        <w:t>Sorafenib</w:t>
      </w:r>
      <w:proofErr w:type="spellEnd"/>
      <w:r w:rsidRPr="003262A5">
        <w:t xml:space="preserve"> har vist sig at forlænge QT/</w:t>
      </w:r>
      <w:proofErr w:type="spellStart"/>
      <w:r w:rsidRPr="003262A5">
        <w:t>QTc</w:t>
      </w:r>
      <w:proofErr w:type="spellEnd"/>
      <w:r w:rsidRPr="003262A5">
        <w:t xml:space="preserve">-intervallet (se pkt. 5.1), hvilket kan medføre en øget risiko for </w:t>
      </w:r>
      <w:proofErr w:type="spellStart"/>
      <w:r w:rsidRPr="003262A5">
        <w:t>ventrikulære</w:t>
      </w:r>
      <w:proofErr w:type="spellEnd"/>
      <w:r w:rsidRPr="003262A5">
        <w:t xml:space="preserve"> </w:t>
      </w:r>
      <w:proofErr w:type="spellStart"/>
      <w:r w:rsidRPr="003262A5">
        <w:t>arytmier</w:t>
      </w:r>
      <w:proofErr w:type="spellEnd"/>
      <w:r w:rsidRPr="003262A5">
        <w:t xml:space="preserve">. </w:t>
      </w:r>
      <w:proofErr w:type="spellStart"/>
      <w:r w:rsidRPr="003262A5">
        <w:t>Sorafenib</w:t>
      </w:r>
      <w:proofErr w:type="spellEnd"/>
      <w:r w:rsidRPr="003262A5">
        <w:t xml:space="preserve"> skal anvendes med forsigtighed hos patienter, der har eller er i risiko for at udvikle forlænget </w:t>
      </w:r>
      <w:proofErr w:type="spellStart"/>
      <w:r w:rsidRPr="003262A5">
        <w:t>QTc</w:t>
      </w:r>
      <w:proofErr w:type="spellEnd"/>
      <w:r w:rsidRPr="003262A5">
        <w:t xml:space="preserve">, f.eks. patienter med et medfødt langt QT-syndrom, patienter behandlet med en høj akkumuleret dosis af </w:t>
      </w:r>
      <w:proofErr w:type="spellStart"/>
      <w:r w:rsidRPr="003262A5">
        <w:t>anthracyclin</w:t>
      </w:r>
      <w:proofErr w:type="spellEnd"/>
      <w:r w:rsidRPr="003262A5">
        <w:t xml:space="preserve">, patienter, der tager visse former for </w:t>
      </w:r>
      <w:proofErr w:type="spellStart"/>
      <w:r w:rsidRPr="003262A5">
        <w:t>antiarytmika</w:t>
      </w:r>
      <w:proofErr w:type="spellEnd"/>
      <w:r w:rsidRPr="003262A5">
        <w:t xml:space="preserve"> eller andre lægemidler, der medfører QT-forlængelse, samt patienter med elektrolytforstyrrelser som f.eks. </w:t>
      </w:r>
      <w:proofErr w:type="spellStart"/>
      <w:r w:rsidRPr="003262A5">
        <w:t>hypokaliæmi</w:t>
      </w:r>
      <w:proofErr w:type="spellEnd"/>
      <w:r w:rsidRPr="003262A5">
        <w:t xml:space="preserve">, </w:t>
      </w:r>
      <w:proofErr w:type="spellStart"/>
      <w:r w:rsidRPr="003262A5">
        <w:t>hypokalcæmi</w:t>
      </w:r>
      <w:proofErr w:type="spellEnd"/>
      <w:r w:rsidRPr="003262A5">
        <w:t xml:space="preserve"> eller </w:t>
      </w:r>
      <w:proofErr w:type="spellStart"/>
      <w:r w:rsidRPr="003262A5">
        <w:t>hypomagnesiæmi</w:t>
      </w:r>
      <w:proofErr w:type="spellEnd"/>
      <w:r w:rsidRPr="003262A5">
        <w:t xml:space="preserve">. Når </w:t>
      </w:r>
      <w:proofErr w:type="spellStart"/>
      <w:r w:rsidRPr="003262A5">
        <w:t>sorafenib</w:t>
      </w:r>
      <w:proofErr w:type="spellEnd"/>
      <w:r w:rsidRPr="003262A5">
        <w:t xml:space="preserve"> anvendes til disse patienter, bør periodisk monitorering af ekg og elektrolytter (magnesium, kalium, calcium) overvejes under behandlingen.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proofErr w:type="spellStart"/>
      <w:r w:rsidRPr="003262A5">
        <w:rPr>
          <w:u w:val="single"/>
        </w:rPr>
        <w:t>Gastrointestinal</w:t>
      </w:r>
      <w:proofErr w:type="spellEnd"/>
      <w:r w:rsidRPr="003262A5">
        <w:rPr>
          <w:u w:val="single"/>
        </w:rPr>
        <w:t xml:space="preserve"> perforation </w:t>
      </w:r>
    </w:p>
    <w:p w:rsidR="005B4E3C" w:rsidRPr="003262A5" w:rsidRDefault="005B4E3C" w:rsidP="005B4E3C">
      <w:pPr>
        <w:pStyle w:val="Default"/>
        <w:ind w:left="851"/>
      </w:pPr>
      <w:proofErr w:type="spellStart"/>
      <w:r w:rsidRPr="003262A5">
        <w:t>Gastrointestinal</w:t>
      </w:r>
      <w:proofErr w:type="spellEnd"/>
      <w:r w:rsidRPr="003262A5">
        <w:t xml:space="preserve"> perforation er en ikke almindeligt forekommende bivirkning og er indberettet for under 1 % af de patienter, der blev behandlet med </w:t>
      </w:r>
      <w:proofErr w:type="spellStart"/>
      <w:r w:rsidRPr="003262A5">
        <w:t>sorafenib</w:t>
      </w:r>
      <w:proofErr w:type="spellEnd"/>
      <w:r w:rsidRPr="003262A5">
        <w:t xml:space="preserve">. I nogle tilfælde havde dette ikke forbindelse med en synlig </w:t>
      </w:r>
      <w:proofErr w:type="spellStart"/>
      <w:r w:rsidRPr="003262A5">
        <w:t>intraabdominal</w:t>
      </w:r>
      <w:proofErr w:type="spellEnd"/>
      <w:r w:rsidRPr="003262A5">
        <w:t xml:space="preserve"> tumor. Behandlingen med </w:t>
      </w:r>
      <w:proofErr w:type="spellStart"/>
      <w:r w:rsidRPr="003262A5">
        <w:t>sorafenib</w:t>
      </w:r>
      <w:proofErr w:type="spellEnd"/>
      <w:r w:rsidRPr="003262A5">
        <w:t xml:space="preserve"> bør seponeres (se pkt. 4.8).</w:t>
      </w:r>
    </w:p>
    <w:p w:rsidR="005B4E3C" w:rsidRPr="003262A5" w:rsidRDefault="005B4E3C" w:rsidP="005B4E3C">
      <w:pPr>
        <w:pStyle w:val="Default"/>
        <w:ind w:left="851"/>
      </w:pPr>
    </w:p>
    <w:p w:rsidR="00A43F68" w:rsidRDefault="00A43F68" w:rsidP="00A43F68">
      <w:pPr>
        <w:pStyle w:val="Default"/>
        <w:ind w:left="851"/>
        <w:rPr>
          <w:u w:val="single"/>
        </w:rPr>
      </w:pPr>
      <w:r>
        <w:rPr>
          <w:u w:val="single"/>
        </w:rPr>
        <w:t>Tumorlysesyndrom (TLS)</w:t>
      </w:r>
    </w:p>
    <w:p w:rsidR="00A43F68" w:rsidRDefault="00A43F68" w:rsidP="00A43F68">
      <w:pPr>
        <w:pStyle w:val="Default"/>
        <w:ind w:left="851"/>
      </w:pPr>
      <w:r>
        <w:t xml:space="preserve">Der er rapporteret om tilfælde af TLS, visse med dødelig udgang, efter markedsføring hos patienter, der blev behandlet med </w:t>
      </w:r>
      <w:proofErr w:type="spellStart"/>
      <w:r>
        <w:t>sorafenib</w:t>
      </w:r>
      <w:proofErr w:type="spellEnd"/>
      <w:r>
        <w:t xml:space="preserve">. Risikofaktorer for TLS omfatter høj tumorbyrde, eksisterende kronisk nyreinsufficiens, </w:t>
      </w:r>
      <w:proofErr w:type="spellStart"/>
      <w:r>
        <w:t>oliguri</w:t>
      </w:r>
      <w:proofErr w:type="spellEnd"/>
      <w:r>
        <w:t>, dehydrering, hypotension og sur urin. Disse patienter bør monitoreres tæt og behandles med det samme som klinisk indiceret, og profylaktisk hydrering bør overvejes.</w:t>
      </w:r>
    </w:p>
    <w:p w:rsidR="00BF2E84" w:rsidRDefault="00BF2E84" w:rsidP="00A43F68">
      <w:pPr>
        <w:pStyle w:val="Default"/>
        <w:ind w:left="851"/>
      </w:pPr>
    </w:p>
    <w:p w:rsidR="00BF2E84" w:rsidRDefault="00BF2E84" w:rsidP="00BF2E84">
      <w:pPr>
        <w:pStyle w:val="Default"/>
        <w:ind w:left="851"/>
        <w:rPr>
          <w:u w:val="single"/>
        </w:rPr>
      </w:pPr>
      <w:r>
        <w:rPr>
          <w:u w:val="single"/>
        </w:rPr>
        <w:t>Nedsat leverfunktion</w:t>
      </w:r>
    </w:p>
    <w:p w:rsidR="00BF2E84" w:rsidRDefault="00BF2E84" w:rsidP="00BF2E84">
      <w:pPr>
        <w:pStyle w:val="Default"/>
        <w:ind w:left="851"/>
      </w:pPr>
      <w:r>
        <w:t>Der findes ingen tilgængelige data vedrørende patienter med Child-</w:t>
      </w:r>
      <w:proofErr w:type="spellStart"/>
      <w:r>
        <w:t>Pugh</w:t>
      </w:r>
      <w:proofErr w:type="spellEnd"/>
      <w:r>
        <w:t xml:space="preserve"> C (svært) nedsat leverfunktion. Da </w:t>
      </w:r>
      <w:proofErr w:type="spellStart"/>
      <w:r>
        <w:t>sorafenib</w:t>
      </w:r>
      <w:proofErr w:type="spellEnd"/>
      <w:r>
        <w:t xml:space="preserve"> hovedsageligt elimineres via leveren, kan belastningen hos patienter med svært nedsat leverfunktion være øget (se pkt. 4.2 og 5.2).</w:t>
      </w:r>
    </w:p>
    <w:p w:rsidR="00A43F68" w:rsidRDefault="00A43F68" w:rsidP="00A43F68">
      <w:pPr>
        <w:pStyle w:val="Default"/>
        <w:ind w:left="851"/>
      </w:pPr>
    </w:p>
    <w:p w:rsidR="00A43F68" w:rsidRDefault="00A43F68" w:rsidP="00A43F68">
      <w:pPr>
        <w:pStyle w:val="Default"/>
        <w:ind w:left="851"/>
        <w:rPr>
          <w:u w:val="single"/>
        </w:rPr>
      </w:pPr>
      <w:r>
        <w:rPr>
          <w:u w:val="single"/>
        </w:rPr>
        <w:t xml:space="preserve">Samtidig </w:t>
      </w:r>
      <w:proofErr w:type="spellStart"/>
      <w:r>
        <w:rPr>
          <w:u w:val="single"/>
        </w:rPr>
        <w:t>warfarin</w:t>
      </w:r>
      <w:proofErr w:type="spellEnd"/>
      <w:r>
        <w:rPr>
          <w:u w:val="single"/>
        </w:rPr>
        <w:t xml:space="preserve">-behandling </w:t>
      </w:r>
    </w:p>
    <w:p w:rsidR="00A43F68" w:rsidRDefault="00A43F68" w:rsidP="00A43F68">
      <w:pPr>
        <w:pStyle w:val="Default"/>
        <w:ind w:left="851"/>
      </w:pPr>
      <w:r>
        <w:t xml:space="preserve">Sjældent forekommende blødninger eller stigning i International </w:t>
      </w:r>
      <w:proofErr w:type="spellStart"/>
      <w:r>
        <w:t>Normalized</w:t>
      </w:r>
      <w:proofErr w:type="spellEnd"/>
      <w:r>
        <w:t xml:space="preserve"> Ratio (INR) er rapporteret hos nogle patienter, der har taget </w:t>
      </w:r>
      <w:proofErr w:type="spellStart"/>
      <w:r>
        <w:t>warfarin</w:t>
      </w:r>
      <w:proofErr w:type="spellEnd"/>
      <w:r>
        <w:t xml:space="preserve"> samtidig med </w:t>
      </w:r>
      <w:proofErr w:type="spellStart"/>
      <w:r>
        <w:t>sorafenib</w:t>
      </w:r>
      <w:proofErr w:type="spellEnd"/>
      <w:r>
        <w:t xml:space="preserve">. Patienter, der samtidigt tager </w:t>
      </w:r>
      <w:proofErr w:type="spellStart"/>
      <w:r>
        <w:t>warfarin</w:t>
      </w:r>
      <w:proofErr w:type="spellEnd"/>
      <w:r>
        <w:t xml:space="preserve"> eller </w:t>
      </w:r>
      <w:proofErr w:type="spellStart"/>
      <w:r>
        <w:t>phenprocoumon</w:t>
      </w:r>
      <w:proofErr w:type="spellEnd"/>
      <w:r>
        <w:t xml:space="preserve">, bør følges regelmæssigt med hensyn til ændringer i </w:t>
      </w:r>
      <w:proofErr w:type="spellStart"/>
      <w:r>
        <w:t>protrombintid</w:t>
      </w:r>
      <w:proofErr w:type="spellEnd"/>
      <w:r>
        <w:t>, INR eller kliniske blødningstilfælde (se pkt. 4.5 og 4.8).</w:t>
      </w:r>
    </w:p>
    <w:p w:rsidR="00A43F68" w:rsidRDefault="00A43F68"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Sårhelingskomplikationer </w:t>
      </w:r>
    </w:p>
    <w:p w:rsidR="005B4E3C" w:rsidRPr="003262A5" w:rsidRDefault="005B4E3C" w:rsidP="005B4E3C">
      <w:pPr>
        <w:pStyle w:val="Default"/>
        <w:ind w:left="851"/>
      </w:pPr>
      <w:r w:rsidRPr="003262A5">
        <w:t xml:space="preserve">Der er ikke foretaget metodiske studier vedrørende effekten af </w:t>
      </w:r>
      <w:proofErr w:type="spellStart"/>
      <w:r w:rsidRPr="003262A5">
        <w:t>sorafenib</w:t>
      </w:r>
      <w:proofErr w:type="spellEnd"/>
      <w:r w:rsidRPr="003262A5">
        <w:t xml:space="preserve"> på sårheling. Midlertidig afbrydelse af </w:t>
      </w:r>
      <w:proofErr w:type="spellStart"/>
      <w:r w:rsidRPr="003262A5">
        <w:t>sorafenib</w:t>
      </w:r>
      <w:proofErr w:type="spellEnd"/>
      <w:r w:rsidRPr="003262A5">
        <w:t xml:space="preserve">-behandlingen anbefales af forsigtighedsmæssige årsager til patienter, som skal gennemgå større kirurgiske indgreb. Der er begrænset klinisk erfaring med tidsrammen for genoptagelse af behandlingen efter større kirurgiske indgreb. Derfor bør beslutningen om genoptagelse af </w:t>
      </w:r>
      <w:proofErr w:type="spellStart"/>
      <w:r w:rsidRPr="003262A5">
        <w:t>sorafenib</w:t>
      </w:r>
      <w:proofErr w:type="spellEnd"/>
      <w:r w:rsidRPr="003262A5">
        <w:t xml:space="preserve">-behandlingen efter større kirurgiske indgreb baseres på klinisk vurdering af tilstrækkelig sårheling. </w:t>
      </w:r>
    </w:p>
    <w:p w:rsidR="005B4E3C" w:rsidRDefault="005B4E3C" w:rsidP="005B4E3C">
      <w:pPr>
        <w:pStyle w:val="Default"/>
        <w:ind w:left="851"/>
      </w:pPr>
    </w:p>
    <w:p w:rsidR="00BF2E84" w:rsidRDefault="00BF2E84" w:rsidP="005B4E3C">
      <w:pPr>
        <w:pStyle w:val="Default"/>
        <w:ind w:left="851"/>
      </w:pPr>
    </w:p>
    <w:p w:rsidR="00BF2E84" w:rsidRPr="003262A5" w:rsidRDefault="00BF2E84" w:rsidP="005B4E3C">
      <w:pPr>
        <w:pStyle w:val="Default"/>
        <w:ind w:left="851"/>
      </w:pPr>
    </w:p>
    <w:p w:rsidR="005B4E3C" w:rsidRPr="003262A5" w:rsidRDefault="005B4E3C" w:rsidP="005B4E3C">
      <w:pPr>
        <w:pStyle w:val="Default"/>
        <w:ind w:left="851"/>
        <w:rPr>
          <w:u w:val="single"/>
        </w:rPr>
      </w:pPr>
      <w:r w:rsidRPr="003262A5">
        <w:rPr>
          <w:u w:val="single"/>
        </w:rPr>
        <w:lastRenderedPageBreak/>
        <w:t xml:space="preserve">Ældre </w:t>
      </w:r>
    </w:p>
    <w:p w:rsidR="005B4E3C" w:rsidRPr="003262A5" w:rsidRDefault="005B4E3C" w:rsidP="005B4E3C">
      <w:pPr>
        <w:pStyle w:val="Default"/>
        <w:ind w:left="851"/>
      </w:pPr>
      <w:r w:rsidRPr="003262A5">
        <w:t xml:space="preserve">Der har været rapporteret tilfælde af nyresvigt, og monitorering af nyrefunktionen bør overvejes. </w:t>
      </w:r>
    </w:p>
    <w:p w:rsidR="00A43F68" w:rsidRPr="003262A5" w:rsidRDefault="00A43F68" w:rsidP="005B4E3C">
      <w:pPr>
        <w:pStyle w:val="Default"/>
        <w:ind w:left="851"/>
      </w:pPr>
    </w:p>
    <w:p w:rsidR="005B4E3C" w:rsidRPr="003262A5" w:rsidRDefault="005B4E3C" w:rsidP="005B4E3C">
      <w:pPr>
        <w:pStyle w:val="Default"/>
        <w:ind w:left="851"/>
        <w:rPr>
          <w:u w:val="single"/>
        </w:rPr>
      </w:pPr>
      <w:r w:rsidRPr="003262A5">
        <w:rPr>
          <w:u w:val="single"/>
        </w:rPr>
        <w:t xml:space="preserve">Lægemiddelsinteraktioner </w:t>
      </w:r>
    </w:p>
    <w:p w:rsidR="005B4E3C" w:rsidRPr="003262A5" w:rsidRDefault="005B4E3C" w:rsidP="005B4E3C">
      <w:pPr>
        <w:pStyle w:val="Default"/>
        <w:ind w:left="851"/>
      </w:pPr>
      <w:r w:rsidRPr="003262A5">
        <w:t xml:space="preserve">Der bør udvises forsigtighed, når </w:t>
      </w:r>
      <w:proofErr w:type="spellStart"/>
      <w:r w:rsidRPr="003262A5">
        <w:t>sorafenib</w:t>
      </w:r>
      <w:proofErr w:type="spellEnd"/>
      <w:r w:rsidRPr="003262A5">
        <w:t xml:space="preserve"> administreres sammen med lægemidler, der hovedsageligt </w:t>
      </w:r>
      <w:proofErr w:type="spellStart"/>
      <w:r w:rsidRPr="003262A5">
        <w:t>metaboliseres</w:t>
      </w:r>
      <w:proofErr w:type="spellEnd"/>
      <w:r w:rsidRPr="003262A5">
        <w:t xml:space="preserve">/elimineres gennem UGT1A1 (f.eks. </w:t>
      </w:r>
      <w:proofErr w:type="spellStart"/>
      <w:r w:rsidRPr="003262A5">
        <w:t>irinotecan</w:t>
      </w:r>
      <w:proofErr w:type="spellEnd"/>
      <w:r w:rsidRPr="003262A5">
        <w:t xml:space="preserve">) eller UGT1A9-systemet (se pkt. 4.5).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Der bør udvises forsigtighed, når </w:t>
      </w:r>
      <w:proofErr w:type="spellStart"/>
      <w:r w:rsidRPr="003262A5">
        <w:t>sorafenib</w:t>
      </w:r>
      <w:proofErr w:type="spellEnd"/>
      <w:r w:rsidRPr="003262A5">
        <w:t xml:space="preserve"> administreres sammen med </w:t>
      </w:r>
      <w:proofErr w:type="spellStart"/>
      <w:r w:rsidRPr="003262A5">
        <w:t>docetaxel</w:t>
      </w:r>
      <w:proofErr w:type="spellEnd"/>
      <w:r w:rsidRPr="003262A5">
        <w:t xml:space="preserve"> (se pkt. 4.5).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Samtidig indgift af </w:t>
      </w:r>
      <w:proofErr w:type="spellStart"/>
      <w:r w:rsidRPr="003262A5">
        <w:t>neomycin</w:t>
      </w:r>
      <w:proofErr w:type="spellEnd"/>
      <w:r w:rsidRPr="003262A5">
        <w:t xml:space="preserve"> eller andre antibiotika, der forårsager større forstyrrelser i mikrofloraen i mave og tarm, kan medføre en nedsat biotilgængelighed af </w:t>
      </w:r>
      <w:proofErr w:type="spellStart"/>
      <w:r w:rsidRPr="003262A5">
        <w:t>sorafenib</w:t>
      </w:r>
      <w:proofErr w:type="spellEnd"/>
      <w:r w:rsidRPr="003262A5">
        <w:t xml:space="preserve"> (se pkt. 4.5). Risikoen for reducerede plasmakoncentrationer af </w:t>
      </w:r>
      <w:proofErr w:type="spellStart"/>
      <w:r w:rsidRPr="003262A5">
        <w:t>sorafenib</w:t>
      </w:r>
      <w:proofErr w:type="spellEnd"/>
      <w:r w:rsidRPr="003262A5">
        <w:t xml:space="preserve"> bør tages i betragtning, før et behandlingsforløb med antibiotika påbegyndes.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Der er set en højere dødelighed hos patienter med pladecellekarcinom i lungerne, som blev behandlet med </w:t>
      </w:r>
      <w:proofErr w:type="spellStart"/>
      <w:r w:rsidRPr="003262A5">
        <w:t>sorafenib</w:t>
      </w:r>
      <w:proofErr w:type="spellEnd"/>
      <w:r w:rsidRPr="003262A5">
        <w:t xml:space="preserve"> i kombination med platinbaseret kemoterapi. I to randomiserede studier, der undersøgte patienter med ikke-småcellet lungecancer, var </w:t>
      </w:r>
      <w:proofErr w:type="spellStart"/>
      <w:r w:rsidRPr="003262A5">
        <w:t>hazard</w:t>
      </w:r>
      <w:proofErr w:type="spellEnd"/>
      <w:r w:rsidRPr="003262A5">
        <w:t xml:space="preserve"> ratio (HR) for den samlede overlevelse 1,81 (95 % CI 1,19; 2,74) i undergruppen af patienter med pladecellekarcinom, som blev behandlet med </w:t>
      </w:r>
      <w:proofErr w:type="spellStart"/>
      <w:r w:rsidRPr="003262A5">
        <w:t>sorafenib</w:t>
      </w:r>
      <w:proofErr w:type="spellEnd"/>
      <w:r w:rsidRPr="003262A5">
        <w:t xml:space="preserve"> som tillæg til </w:t>
      </w:r>
      <w:proofErr w:type="spellStart"/>
      <w:r w:rsidRPr="003262A5">
        <w:t>paclitaxel</w:t>
      </w:r>
      <w:proofErr w:type="spellEnd"/>
      <w:r w:rsidRPr="003262A5">
        <w:t>/</w:t>
      </w:r>
      <w:proofErr w:type="spellStart"/>
      <w:r w:rsidRPr="003262A5">
        <w:t>carboplatin</w:t>
      </w:r>
      <w:proofErr w:type="spellEnd"/>
      <w:r w:rsidRPr="003262A5">
        <w:t xml:space="preserve">, og 1,22 (95 % CI 0,82; 1,80) ved tillæg til </w:t>
      </w:r>
      <w:proofErr w:type="spellStart"/>
      <w:r w:rsidRPr="003262A5">
        <w:t>gemcitabin</w:t>
      </w:r>
      <w:proofErr w:type="spellEnd"/>
      <w:r w:rsidRPr="003262A5">
        <w:t>/</w:t>
      </w:r>
      <w:proofErr w:type="spellStart"/>
      <w:r w:rsidRPr="003262A5">
        <w:t>cisplatin</w:t>
      </w:r>
      <w:proofErr w:type="spellEnd"/>
      <w:r w:rsidRPr="003262A5">
        <w:t xml:space="preserve">. Der var ingen enkelt dødsårsag, der var dominerende, men der sås en højere forekomst af respirationssvigt, blødninger og infektioner hos patienter, der blev behandlet med </w:t>
      </w:r>
      <w:proofErr w:type="spellStart"/>
      <w:r w:rsidRPr="003262A5">
        <w:t>sorafenib</w:t>
      </w:r>
      <w:proofErr w:type="spellEnd"/>
      <w:r w:rsidRPr="003262A5">
        <w:t xml:space="preserve"> som tillæg til platinbaseret kemoterapi. </w:t>
      </w:r>
    </w:p>
    <w:p w:rsidR="005B4E3C" w:rsidRPr="003262A5" w:rsidRDefault="005B4E3C" w:rsidP="005B4E3C">
      <w:pPr>
        <w:pStyle w:val="Default"/>
        <w:ind w:left="851"/>
      </w:pPr>
    </w:p>
    <w:p w:rsidR="00BF2E84" w:rsidRPr="003262A5" w:rsidRDefault="00BF2E84" w:rsidP="00BF2E84">
      <w:pPr>
        <w:pStyle w:val="Default"/>
        <w:ind w:left="851"/>
        <w:rPr>
          <w:u w:val="single"/>
        </w:rPr>
      </w:pPr>
      <w:r w:rsidRPr="003262A5">
        <w:rPr>
          <w:u w:val="single"/>
        </w:rPr>
        <w:t xml:space="preserve">Sygdomsspecifikke advarsler </w:t>
      </w:r>
    </w:p>
    <w:p w:rsidR="00BF2E84" w:rsidRPr="003262A5" w:rsidRDefault="00BF2E84" w:rsidP="00BF2E84">
      <w:pPr>
        <w:pStyle w:val="Default"/>
        <w:ind w:left="851"/>
        <w:rPr>
          <w:u w:val="single"/>
        </w:rPr>
      </w:pPr>
    </w:p>
    <w:p w:rsidR="00BF2E84" w:rsidRPr="00255CFB" w:rsidRDefault="00BF2E84" w:rsidP="00BF2E84">
      <w:pPr>
        <w:pStyle w:val="Default"/>
        <w:ind w:left="851"/>
        <w:rPr>
          <w:u w:val="single"/>
        </w:rPr>
      </w:pPr>
      <w:r w:rsidRPr="00255CFB">
        <w:rPr>
          <w:i/>
          <w:iCs/>
          <w:u w:val="single"/>
        </w:rPr>
        <w:t xml:space="preserve">Differentieret </w:t>
      </w:r>
      <w:proofErr w:type="spellStart"/>
      <w:r w:rsidRPr="00255CFB">
        <w:rPr>
          <w:i/>
          <w:iCs/>
          <w:u w:val="single"/>
        </w:rPr>
        <w:t>thyreoideacancer</w:t>
      </w:r>
      <w:proofErr w:type="spellEnd"/>
      <w:r w:rsidRPr="00255CFB">
        <w:rPr>
          <w:i/>
          <w:iCs/>
          <w:u w:val="single"/>
        </w:rPr>
        <w:t xml:space="preserve"> (DTC)</w:t>
      </w:r>
      <w:r w:rsidRPr="00255CFB">
        <w:rPr>
          <w:u w:val="single"/>
        </w:rPr>
        <w:t xml:space="preserve"> </w:t>
      </w:r>
    </w:p>
    <w:p w:rsidR="00BF2E84" w:rsidRDefault="00BF2E84" w:rsidP="00BF2E84">
      <w:pPr>
        <w:pStyle w:val="Default"/>
        <w:ind w:left="851"/>
      </w:pPr>
      <w:r w:rsidRPr="00255CFB">
        <w:t>Før behandling indledes, anbefales det, at lægen omhyggeligt evaluerer den enkelte patients prognose ved at vurdere den maksimale læsionsstørrelse (se pkt.</w:t>
      </w:r>
      <w:r>
        <w:t> </w:t>
      </w:r>
      <w:r w:rsidRPr="00255CFB">
        <w:t>5.1), symptomer relateret til sygdommen (se pkt.</w:t>
      </w:r>
      <w:r>
        <w:t> </w:t>
      </w:r>
      <w:r w:rsidRPr="00255CFB">
        <w:t xml:space="preserve">5.1) og progressionshastigheden. </w:t>
      </w:r>
    </w:p>
    <w:p w:rsidR="00BF2E84" w:rsidRDefault="00BF2E84" w:rsidP="00BF2E84">
      <w:pPr>
        <w:pStyle w:val="Default"/>
        <w:ind w:left="851"/>
      </w:pPr>
    </w:p>
    <w:p w:rsidR="00BF2E84" w:rsidRDefault="00BF2E84" w:rsidP="00BF2E84">
      <w:pPr>
        <w:pStyle w:val="Default"/>
        <w:ind w:left="851"/>
      </w:pPr>
      <w:r w:rsidRPr="00255CFB">
        <w:t xml:space="preserve">Behandling af formodede bivirkninger kan kræve midlertidig afbrydelse eller dosisreduktion af </w:t>
      </w:r>
      <w:proofErr w:type="spellStart"/>
      <w:r w:rsidRPr="00255CFB">
        <w:t>sorafenib</w:t>
      </w:r>
      <w:proofErr w:type="spellEnd"/>
      <w:r w:rsidRPr="00255CFB">
        <w:t>. I studie</w:t>
      </w:r>
      <w:r>
        <w:t> </w:t>
      </w:r>
      <w:r w:rsidRPr="00255CFB">
        <w:t>5 (se pkt.</w:t>
      </w:r>
      <w:r>
        <w:t> </w:t>
      </w:r>
      <w:r w:rsidRPr="00255CFB">
        <w:t>5.1) fik 37</w:t>
      </w:r>
      <w:r>
        <w:t> </w:t>
      </w:r>
      <w:r w:rsidRPr="00255CFB">
        <w:t>% af personerne afbrudt dosis, og 35</w:t>
      </w:r>
      <w:r>
        <w:t> </w:t>
      </w:r>
      <w:r w:rsidRPr="00255CFB">
        <w:t xml:space="preserve">% fik dosis reduceret allerede i den første cyklus af </w:t>
      </w:r>
      <w:proofErr w:type="spellStart"/>
      <w:r w:rsidRPr="00255CFB">
        <w:t>sorafenib</w:t>
      </w:r>
      <w:proofErr w:type="spellEnd"/>
      <w:r w:rsidRPr="00255CFB">
        <w:t>-behandlingen.</w:t>
      </w:r>
    </w:p>
    <w:p w:rsidR="00BF2E84" w:rsidRDefault="00BF2E84" w:rsidP="00BF2E84">
      <w:pPr>
        <w:pStyle w:val="Default"/>
        <w:ind w:left="851"/>
      </w:pPr>
    </w:p>
    <w:p w:rsidR="00BF2E84" w:rsidRDefault="00BF2E84" w:rsidP="00BF2E84">
      <w:pPr>
        <w:pStyle w:val="Default"/>
        <w:ind w:left="851"/>
      </w:pPr>
      <w:r w:rsidRPr="00255CFB">
        <w:t xml:space="preserve">Dosisreduktion lindrede kun delvist bivirkningerne. Derfor anbefales det at reevaluere fordele og risici og tage </w:t>
      </w:r>
      <w:proofErr w:type="spellStart"/>
      <w:r w:rsidRPr="00255CFB">
        <w:t>antitumoraktivitet</w:t>
      </w:r>
      <w:proofErr w:type="spellEnd"/>
      <w:r w:rsidRPr="00255CFB">
        <w:t xml:space="preserve"> og </w:t>
      </w:r>
      <w:proofErr w:type="spellStart"/>
      <w:r w:rsidRPr="00255CFB">
        <w:t>tolerabilitet</w:t>
      </w:r>
      <w:proofErr w:type="spellEnd"/>
      <w:r w:rsidRPr="00255CFB">
        <w:t xml:space="preserve"> med i overvejelserne. </w:t>
      </w:r>
    </w:p>
    <w:p w:rsidR="00BF2E84" w:rsidRDefault="00BF2E84" w:rsidP="00BF2E84">
      <w:pPr>
        <w:pStyle w:val="Default"/>
        <w:ind w:left="851"/>
      </w:pPr>
    </w:p>
    <w:p w:rsidR="00BF2E84" w:rsidRDefault="00BF2E84" w:rsidP="00BF2E84">
      <w:pPr>
        <w:pStyle w:val="Default"/>
        <w:ind w:left="851"/>
      </w:pPr>
      <w:r w:rsidRPr="0027089E">
        <w:rPr>
          <w:i/>
          <w:iCs/>
        </w:rPr>
        <w:t>Blødning ved DTC</w:t>
      </w:r>
      <w:r w:rsidRPr="00255CFB">
        <w:t xml:space="preserve"> </w:t>
      </w:r>
    </w:p>
    <w:p w:rsidR="00BF2E84" w:rsidRDefault="00BF2E84" w:rsidP="00BF2E84">
      <w:pPr>
        <w:pStyle w:val="Default"/>
        <w:ind w:left="851"/>
      </w:pPr>
      <w:r w:rsidRPr="00255CFB">
        <w:t xml:space="preserve">På grund af den mulige blødningsrisiko bør </w:t>
      </w:r>
      <w:proofErr w:type="spellStart"/>
      <w:r w:rsidRPr="00255CFB">
        <w:t>trakeal</w:t>
      </w:r>
      <w:proofErr w:type="spellEnd"/>
      <w:r w:rsidRPr="00255CFB">
        <w:t xml:space="preserve">, bronkial og </w:t>
      </w:r>
      <w:proofErr w:type="spellStart"/>
      <w:r w:rsidRPr="00255CFB">
        <w:t>øsofageal</w:t>
      </w:r>
      <w:proofErr w:type="spellEnd"/>
      <w:r w:rsidRPr="00255CFB">
        <w:t xml:space="preserve"> infiltration behandles med lokaliseret terapi før administration af </w:t>
      </w:r>
      <w:proofErr w:type="spellStart"/>
      <w:r w:rsidRPr="00255CFB">
        <w:t>sorafenib</w:t>
      </w:r>
      <w:proofErr w:type="spellEnd"/>
      <w:r w:rsidRPr="00255CFB">
        <w:t xml:space="preserve"> til patienter med DTC. </w:t>
      </w:r>
    </w:p>
    <w:p w:rsidR="00BF2E84" w:rsidRDefault="00BF2E84" w:rsidP="00BF2E84">
      <w:pPr>
        <w:pStyle w:val="Default"/>
        <w:ind w:left="851"/>
      </w:pPr>
    </w:p>
    <w:p w:rsidR="00BF2E84" w:rsidRDefault="00BF2E84" w:rsidP="00BF2E84">
      <w:pPr>
        <w:pStyle w:val="Default"/>
        <w:ind w:left="851"/>
      </w:pPr>
      <w:proofErr w:type="spellStart"/>
      <w:r w:rsidRPr="0027089E">
        <w:rPr>
          <w:i/>
          <w:iCs/>
        </w:rPr>
        <w:t>Hypokalcæmi</w:t>
      </w:r>
      <w:proofErr w:type="spellEnd"/>
      <w:r w:rsidRPr="0027089E">
        <w:rPr>
          <w:i/>
          <w:iCs/>
        </w:rPr>
        <w:t xml:space="preserve"> ved DTC</w:t>
      </w:r>
      <w:r w:rsidRPr="00255CFB">
        <w:t xml:space="preserve"> </w:t>
      </w:r>
    </w:p>
    <w:p w:rsidR="00BF2E84" w:rsidRDefault="00BF2E84" w:rsidP="00BF2E84">
      <w:pPr>
        <w:pStyle w:val="Default"/>
        <w:ind w:left="851"/>
      </w:pPr>
      <w:r w:rsidRPr="00255CFB">
        <w:t xml:space="preserve">Når </w:t>
      </w:r>
      <w:proofErr w:type="spellStart"/>
      <w:r w:rsidRPr="00255CFB">
        <w:t>sorafenib</w:t>
      </w:r>
      <w:proofErr w:type="spellEnd"/>
      <w:r w:rsidRPr="00255CFB">
        <w:t xml:space="preserve"> anvendes til patienter med DTC, anbefales nøje monitorering af calciumniveauet i blodet. I kliniske studier opstod </w:t>
      </w:r>
      <w:proofErr w:type="spellStart"/>
      <w:r w:rsidRPr="00255CFB">
        <w:t>hypokalcæmi</w:t>
      </w:r>
      <w:proofErr w:type="spellEnd"/>
      <w:r w:rsidRPr="00255CFB">
        <w:t xml:space="preserve"> hyppigere og med større sværhedsgrad hos patienter med DTC, især hvis de tidligere havde haft </w:t>
      </w:r>
      <w:proofErr w:type="spellStart"/>
      <w:r w:rsidRPr="00255CFB">
        <w:t>hypoparatyreoidisme</w:t>
      </w:r>
      <w:proofErr w:type="spellEnd"/>
      <w:r w:rsidRPr="00255CFB">
        <w:t xml:space="preserve">, sammenlignet med patienter med </w:t>
      </w:r>
      <w:proofErr w:type="spellStart"/>
      <w:r w:rsidRPr="00255CFB">
        <w:t>renalcellekarcinom</w:t>
      </w:r>
      <w:proofErr w:type="spellEnd"/>
      <w:r w:rsidRPr="00255CFB">
        <w:t xml:space="preserve"> eller </w:t>
      </w:r>
      <w:proofErr w:type="spellStart"/>
      <w:r w:rsidRPr="00255CFB">
        <w:t>hepatocellulært</w:t>
      </w:r>
      <w:proofErr w:type="spellEnd"/>
      <w:r w:rsidRPr="00255CFB">
        <w:t xml:space="preserve"> karcinom. </w:t>
      </w:r>
      <w:proofErr w:type="spellStart"/>
      <w:r w:rsidRPr="00255CFB">
        <w:t>Hypokalcæmi</w:t>
      </w:r>
      <w:proofErr w:type="spellEnd"/>
      <w:r w:rsidRPr="00255CFB">
        <w:t xml:space="preserve"> af grad</w:t>
      </w:r>
      <w:r>
        <w:t> </w:t>
      </w:r>
      <w:r w:rsidRPr="00255CFB">
        <w:t>3 og 4 opstod hos 6,8</w:t>
      </w:r>
      <w:r>
        <w:t> </w:t>
      </w:r>
      <w:r w:rsidRPr="00255CFB">
        <w:t>% og 3,4</w:t>
      </w:r>
      <w:r>
        <w:t> </w:t>
      </w:r>
      <w:r w:rsidRPr="00255CFB">
        <w:t xml:space="preserve">% af </w:t>
      </w:r>
      <w:proofErr w:type="spellStart"/>
      <w:r w:rsidRPr="00255CFB">
        <w:lastRenderedPageBreak/>
        <w:t>sorafenibbehandlede</w:t>
      </w:r>
      <w:proofErr w:type="spellEnd"/>
      <w:r w:rsidRPr="00255CFB">
        <w:t xml:space="preserve"> DTC-patienter (se pkt.</w:t>
      </w:r>
      <w:r>
        <w:t> </w:t>
      </w:r>
      <w:r w:rsidRPr="00255CFB">
        <w:t xml:space="preserve">4.8). Svær </w:t>
      </w:r>
      <w:proofErr w:type="spellStart"/>
      <w:r w:rsidRPr="00255CFB">
        <w:t>hypokalcæmi</w:t>
      </w:r>
      <w:proofErr w:type="spellEnd"/>
      <w:r w:rsidRPr="00255CFB">
        <w:t xml:space="preserve"> bør korrigeres for at undgå komplikationer som QT-forlængelse eller </w:t>
      </w:r>
      <w:proofErr w:type="spellStart"/>
      <w:r w:rsidRPr="00255CFB">
        <w:t>torsades</w:t>
      </w:r>
      <w:proofErr w:type="spellEnd"/>
      <w:r w:rsidRPr="00255CFB">
        <w:t xml:space="preserve"> de pointes (se afsnittet om QT-forlængelse). </w:t>
      </w:r>
    </w:p>
    <w:p w:rsidR="00BF2E84" w:rsidRDefault="00BF2E84" w:rsidP="00BF2E84">
      <w:pPr>
        <w:pStyle w:val="Default"/>
        <w:ind w:left="851"/>
      </w:pPr>
    </w:p>
    <w:p w:rsidR="00BF2E84" w:rsidRDefault="00BF2E84" w:rsidP="00BF2E84">
      <w:pPr>
        <w:pStyle w:val="Default"/>
        <w:ind w:left="851"/>
      </w:pPr>
      <w:r w:rsidRPr="0027089E">
        <w:rPr>
          <w:i/>
          <w:iCs/>
        </w:rPr>
        <w:t>TSH-suppression ved DTC</w:t>
      </w:r>
      <w:r w:rsidRPr="00255CFB">
        <w:t xml:space="preserve"> </w:t>
      </w:r>
    </w:p>
    <w:p w:rsidR="00BF2E84" w:rsidRPr="00255CFB" w:rsidRDefault="00BF2E84" w:rsidP="00BF2E84">
      <w:pPr>
        <w:pStyle w:val="Default"/>
        <w:ind w:left="851"/>
      </w:pPr>
      <w:r w:rsidRPr="00255CFB">
        <w:t>I studie</w:t>
      </w:r>
      <w:r>
        <w:t> </w:t>
      </w:r>
      <w:r w:rsidRPr="00255CFB">
        <w:t>5 (se pkt.</w:t>
      </w:r>
      <w:r>
        <w:t> </w:t>
      </w:r>
      <w:r w:rsidRPr="00255CFB">
        <w:t>5.1) blev der observeret forhøjede TSH-niveauer over 0,5</w:t>
      </w:r>
      <w:r>
        <w:t> </w:t>
      </w:r>
      <w:proofErr w:type="spellStart"/>
      <w:r w:rsidRPr="00255CFB">
        <w:t>mE</w:t>
      </w:r>
      <w:proofErr w:type="spellEnd"/>
      <w:r w:rsidRPr="00255CFB">
        <w:t xml:space="preserve">/l hos </w:t>
      </w:r>
      <w:proofErr w:type="spellStart"/>
      <w:r w:rsidRPr="00255CFB">
        <w:t>sorafenibbehandlede</w:t>
      </w:r>
      <w:proofErr w:type="spellEnd"/>
      <w:r w:rsidRPr="00255CFB">
        <w:t xml:space="preserve"> patienter. Når </w:t>
      </w:r>
      <w:proofErr w:type="spellStart"/>
      <w:r w:rsidRPr="00255CFB">
        <w:t>sorafenib</w:t>
      </w:r>
      <w:proofErr w:type="spellEnd"/>
      <w:r w:rsidRPr="00255CFB">
        <w:t xml:space="preserve"> anvendes til patienter med DTC, anbefales nøje overvågning af TSH-niveauet.</w:t>
      </w:r>
    </w:p>
    <w:p w:rsidR="00BF2E84" w:rsidRDefault="00BF2E84" w:rsidP="00BF2E84">
      <w:pPr>
        <w:pStyle w:val="Default"/>
        <w:ind w:left="851"/>
        <w:rPr>
          <w:i/>
          <w:iCs/>
        </w:rPr>
      </w:pPr>
    </w:p>
    <w:p w:rsidR="00BF2E84" w:rsidRPr="00255CFB" w:rsidRDefault="00BF2E84" w:rsidP="00BF2E84">
      <w:pPr>
        <w:pStyle w:val="Default"/>
        <w:ind w:left="851"/>
        <w:rPr>
          <w:i/>
          <w:iCs/>
          <w:u w:val="single"/>
        </w:rPr>
      </w:pPr>
      <w:proofErr w:type="spellStart"/>
      <w:r w:rsidRPr="00255CFB">
        <w:rPr>
          <w:i/>
          <w:iCs/>
          <w:u w:val="single"/>
        </w:rPr>
        <w:t>Renalcellekarcinom</w:t>
      </w:r>
      <w:proofErr w:type="spellEnd"/>
    </w:p>
    <w:p w:rsidR="00BF2E84" w:rsidRPr="003262A5" w:rsidRDefault="00BF2E84" w:rsidP="00BF2E84">
      <w:pPr>
        <w:pStyle w:val="Default"/>
        <w:ind w:left="851"/>
      </w:pPr>
      <w:r w:rsidRPr="003262A5">
        <w:t xml:space="preserve">Højrisikopatienter </w:t>
      </w:r>
      <w:r>
        <w:t>-</w:t>
      </w:r>
      <w:r w:rsidRPr="003262A5">
        <w:t xml:space="preserve"> i henhold til MSKCC- (</w:t>
      </w:r>
      <w:r w:rsidRPr="003262A5">
        <w:rPr>
          <w:i/>
          <w:iCs/>
        </w:rPr>
        <w:t xml:space="preserve">Memorial </w:t>
      </w:r>
      <w:proofErr w:type="spellStart"/>
      <w:r w:rsidRPr="003262A5">
        <w:rPr>
          <w:i/>
          <w:iCs/>
        </w:rPr>
        <w:t>Sloan</w:t>
      </w:r>
      <w:proofErr w:type="spellEnd"/>
      <w:r w:rsidRPr="003262A5">
        <w:rPr>
          <w:i/>
          <w:iCs/>
        </w:rPr>
        <w:t xml:space="preserve"> </w:t>
      </w:r>
      <w:proofErr w:type="spellStart"/>
      <w:r w:rsidRPr="003262A5">
        <w:rPr>
          <w:i/>
          <w:iCs/>
        </w:rPr>
        <w:t>Kettering</w:t>
      </w:r>
      <w:proofErr w:type="spellEnd"/>
      <w:r w:rsidRPr="003262A5">
        <w:rPr>
          <w:i/>
          <w:iCs/>
        </w:rPr>
        <w:t xml:space="preserve"> Cancer Center</w:t>
      </w:r>
      <w:r>
        <w:t>) prognosegruppe -</w:t>
      </w:r>
      <w:r w:rsidRPr="003262A5">
        <w:t xml:space="preserve"> var ikke inkluderet i det kliniske fase III-studie for </w:t>
      </w:r>
      <w:proofErr w:type="spellStart"/>
      <w:r w:rsidRPr="003262A5">
        <w:t>renalcellekarcinom</w:t>
      </w:r>
      <w:proofErr w:type="spellEnd"/>
      <w:r w:rsidRPr="003262A5">
        <w:t xml:space="preserve"> (se studie 1 i pkt. 5.1), og benefit/</w:t>
      </w:r>
      <w:proofErr w:type="spellStart"/>
      <w:r w:rsidRPr="003262A5">
        <w:t>risk</w:t>
      </w:r>
      <w:proofErr w:type="spellEnd"/>
      <w:r w:rsidRPr="003262A5">
        <w:t xml:space="preserve"> for disse patienter er ikke blevet evalueret.</w:t>
      </w:r>
    </w:p>
    <w:p w:rsidR="00BF2E84" w:rsidRPr="003262A5" w:rsidRDefault="00BF2E84" w:rsidP="00BF2E84">
      <w:pPr>
        <w:pStyle w:val="Default"/>
        <w:ind w:left="851"/>
      </w:pPr>
    </w:p>
    <w:p w:rsidR="00BF2E84" w:rsidRPr="003262A5" w:rsidRDefault="00BF2E84" w:rsidP="00BF2E84">
      <w:pPr>
        <w:pStyle w:val="Default"/>
        <w:ind w:left="851"/>
        <w:rPr>
          <w:u w:val="single"/>
        </w:rPr>
      </w:pPr>
      <w:r w:rsidRPr="003262A5">
        <w:rPr>
          <w:u w:val="single"/>
        </w:rPr>
        <w:t>Information om hjælpestoffer</w:t>
      </w:r>
    </w:p>
    <w:p w:rsidR="00BF2E84" w:rsidRPr="003262A5" w:rsidRDefault="00BF2E84" w:rsidP="00BF2E84">
      <w:pPr>
        <w:pStyle w:val="Default"/>
        <w:ind w:left="851"/>
      </w:pPr>
      <w:r w:rsidRPr="003262A5">
        <w:t>Dette lægemiddel indeholder mindre end 1 mmol (23 mg) natrium pr. tablet</w:t>
      </w:r>
      <w:r>
        <w:t>, dvs. det er i det væsentlige natriumfrit</w:t>
      </w:r>
      <w:r w:rsidRPr="003262A5">
        <w: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4.5</w:t>
      </w:r>
      <w:r w:rsidRPr="003262A5">
        <w:rPr>
          <w:b/>
          <w:sz w:val="24"/>
          <w:szCs w:val="24"/>
        </w:rPr>
        <w:tab/>
        <w:t>Interaktion med andre lægemidler og andre former for interaktion</w:t>
      </w:r>
    </w:p>
    <w:p w:rsidR="005B4E3C"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Inducere af metabolismeenzymer </w:t>
      </w:r>
    </w:p>
    <w:p w:rsidR="005B4E3C" w:rsidRPr="003262A5" w:rsidRDefault="005B4E3C" w:rsidP="005B4E3C">
      <w:pPr>
        <w:pStyle w:val="Default"/>
        <w:ind w:left="851"/>
      </w:pPr>
      <w:r w:rsidRPr="003262A5">
        <w:t xml:space="preserve">Administration af </w:t>
      </w:r>
      <w:proofErr w:type="spellStart"/>
      <w:r w:rsidRPr="003262A5">
        <w:t>rifampicin</w:t>
      </w:r>
      <w:proofErr w:type="spellEnd"/>
      <w:r w:rsidRPr="003262A5">
        <w:t xml:space="preserve"> i 5 dage før administration af en engangsdosis af </w:t>
      </w:r>
      <w:proofErr w:type="spellStart"/>
      <w:r w:rsidRPr="003262A5">
        <w:t>sorafenib</w:t>
      </w:r>
      <w:proofErr w:type="spellEnd"/>
      <w:r w:rsidRPr="003262A5">
        <w:t xml:space="preserve"> resulterede i en gennemsnitsreduktion på 37 % i </w:t>
      </w:r>
      <w:proofErr w:type="spellStart"/>
      <w:r w:rsidRPr="003262A5">
        <w:t>sorafenibs</w:t>
      </w:r>
      <w:proofErr w:type="spellEnd"/>
      <w:r w:rsidRPr="003262A5">
        <w:t xml:space="preserve"> AUC. Andre inducere med CYP3A4-aktivitet og/eller </w:t>
      </w:r>
      <w:proofErr w:type="spellStart"/>
      <w:r w:rsidRPr="003262A5">
        <w:t>glucuronidation</w:t>
      </w:r>
      <w:proofErr w:type="spellEnd"/>
      <w:r w:rsidRPr="003262A5">
        <w:t xml:space="preserve"> (f.eks. </w:t>
      </w:r>
      <w:proofErr w:type="spellStart"/>
      <w:r w:rsidRPr="003262A5">
        <w:rPr>
          <w:i/>
        </w:rPr>
        <w:t>Hypericum</w:t>
      </w:r>
      <w:proofErr w:type="spellEnd"/>
      <w:r w:rsidRPr="003262A5">
        <w:rPr>
          <w:i/>
        </w:rPr>
        <w:t xml:space="preserve"> </w:t>
      </w:r>
      <w:proofErr w:type="spellStart"/>
      <w:r w:rsidRPr="003262A5">
        <w:rPr>
          <w:i/>
        </w:rPr>
        <w:t>perforatum</w:t>
      </w:r>
      <w:proofErr w:type="spellEnd"/>
      <w:r w:rsidRPr="003262A5">
        <w:t xml:space="preserve"> også kendt som perikon, </w:t>
      </w:r>
      <w:proofErr w:type="spellStart"/>
      <w:r w:rsidRPr="003262A5">
        <w:t>phenytoin</w:t>
      </w:r>
      <w:proofErr w:type="spellEnd"/>
      <w:r w:rsidRPr="003262A5">
        <w:t xml:space="preserve">, </w:t>
      </w:r>
      <w:proofErr w:type="spellStart"/>
      <w:r w:rsidRPr="003262A5">
        <w:t>carbamazepin</w:t>
      </w:r>
      <w:proofErr w:type="spellEnd"/>
      <w:r w:rsidRPr="003262A5">
        <w:t xml:space="preserve">, </w:t>
      </w:r>
      <w:proofErr w:type="spellStart"/>
      <w:r w:rsidRPr="003262A5">
        <w:t>phenobarbital</w:t>
      </w:r>
      <w:proofErr w:type="spellEnd"/>
      <w:r w:rsidRPr="003262A5">
        <w:t xml:space="preserve"> og </w:t>
      </w:r>
      <w:proofErr w:type="spellStart"/>
      <w:r w:rsidRPr="003262A5">
        <w:t>dexamethason</w:t>
      </w:r>
      <w:proofErr w:type="spellEnd"/>
      <w:r w:rsidRPr="003262A5">
        <w:t xml:space="preserve">) kan også øge metabolismen af </w:t>
      </w:r>
      <w:proofErr w:type="spellStart"/>
      <w:r w:rsidRPr="003262A5">
        <w:t>sorafenib</w:t>
      </w:r>
      <w:proofErr w:type="spellEnd"/>
      <w:r w:rsidRPr="003262A5">
        <w:t xml:space="preserve"> og dermed nedsætte </w:t>
      </w:r>
      <w:proofErr w:type="spellStart"/>
      <w:r w:rsidRPr="003262A5">
        <w:t>sorafenib</w:t>
      </w:r>
      <w:proofErr w:type="spellEnd"/>
      <w:r w:rsidRPr="003262A5">
        <w:t>-koncentrationer.</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CYP3A4-hæmmere </w:t>
      </w:r>
    </w:p>
    <w:p w:rsidR="00A43F68" w:rsidRPr="00BF2E84" w:rsidRDefault="005B4E3C" w:rsidP="00BF2E84">
      <w:pPr>
        <w:pStyle w:val="Default"/>
        <w:ind w:left="851"/>
      </w:pPr>
      <w:proofErr w:type="spellStart"/>
      <w:r w:rsidRPr="003262A5">
        <w:t>Ketoconazol</w:t>
      </w:r>
      <w:proofErr w:type="spellEnd"/>
      <w:r w:rsidRPr="003262A5">
        <w:t xml:space="preserve">, en potent hæmmer af CYP3A4, administreret en gang daglig i 7 dage til raske mandlige, frivillige forsøgspersoner forandrede ikke den gennemsnitlige AUC ved en enkelt dosis på 50 mg af </w:t>
      </w:r>
      <w:proofErr w:type="spellStart"/>
      <w:r w:rsidRPr="003262A5">
        <w:t>sorafenib</w:t>
      </w:r>
      <w:proofErr w:type="spellEnd"/>
      <w:r w:rsidRPr="003262A5">
        <w:t xml:space="preserve">. Disse data tyder på, at kliniske </w:t>
      </w:r>
      <w:proofErr w:type="spellStart"/>
      <w:r w:rsidRPr="003262A5">
        <w:t>farmakokinetiske</w:t>
      </w:r>
      <w:proofErr w:type="spellEnd"/>
      <w:r w:rsidRPr="003262A5">
        <w:t xml:space="preserve"> interaktioner mellem </w:t>
      </w:r>
      <w:proofErr w:type="spellStart"/>
      <w:r w:rsidRPr="003262A5">
        <w:t>sorafenib</w:t>
      </w:r>
      <w:proofErr w:type="spellEnd"/>
      <w:r w:rsidRPr="003262A5">
        <w:t xml:space="preserve"> og CYP3A4-hæmmere ikke foreligger. </w:t>
      </w:r>
    </w:p>
    <w:p w:rsidR="00A43F68" w:rsidRDefault="00A43F68"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CYP2B6-, CYP2C8- og CYP2C9-substrater </w:t>
      </w:r>
    </w:p>
    <w:p w:rsidR="005B4E3C" w:rsidRPr="003262A5" w:rsidRDefault="005B4E3C" w:rsidP="005B4E3C">
      <w:pPr>
        <w:pStyle w:val="Default"/>
        <w:ind w:left="851"/>
      </w:pPr>
      <w:proofErr w:type="spellStart"/>
      <w:r w:rsidRPr="003262A5">
        <w:t>Sorafenib</w:t>
      </w:r>
      <w:proofErr w:type="spellEnd"/>
      <w:r w:rsidRPr="003262A5">
        <w:t xml:space="preserve"> hæmmede CYP2B6, CYP2C8 og CYP2C9 i samme grad </w:t>
      </w:r>
      <w:r w:rsidRPr="003262A5">
        <w:rPr>
          <w:i/>
          <w:iCs/>
        </w:rPr>
        <w:t xml:space="preserve">in </w:t>
      </w:r>
      <w:proofErr w:type="spellStart"/>
      <w:r w:rsidRPr="003262A5">
        <w:rPr>
          <w:i/>
          <w:iCs/>
        </w:rPr>
        <w:t>vitro</w:t>
      </w:r>
      <w:proofErr w:type="spellEnd"/>
      <w:r w:rsidRPr="003262A5">
        <w:t xml:space="preserve">. I kliniske </w:t>
      </w:r>
      <w:proofErr w:type="spellStart"/>
      <w:r w:rsidRPr="003262A5">
        <w:t>farmakokinetiske</w:t>
      </w:r>
      <w:proofErr w:type="spellEnd"/>
      <w:r w:rsidRPr="003262A5">
        <w:t xml:space="preserve"> studier medførte samtidig administration af </w:t>
      </w:r>
      <w:proofErr w:type="spellStart"/>
      <w:r w:rsidRPr="003262A5">
        <w:t>sorafenib</w:t>
      </w:r>
      <w:proofErr w:type="spellEnd"/>
      <w:r w:rsidRPr="003262A5">
        <w:t xml:space="preserve"> 400 mg to gange </w:t>
      </w:r>
      <w:r>
        <w:t>daglig</w:t>
      </w:r>
      <w:r w:rsidRPr="003262A5">
        <w:t xml:space="preserve"> og </w:t>
      </w:r>
      <w:proofErr w:type="spellStart"/>
      <w:r w:rsidRPr="003262A5">
        <w:t>cyclophosphamid</w:t>
      </w:r>
      <w:proofErr w:type="spellEnd"/>
      <w:r w:rsidRPr="003262A5">
        <w:t xml:space="preserve">, et CYP2B6-substrat, eller </w:t>
      </w:r>
      <w:proofErr w:type="spellStart"/>
      <w:r w:rsidRPr="003262A5">
        <w:t>paclitaxel</w:t>
      </w:r>
      <w:proofErr w:type="spellEnd"/>
      <w:r w:rsidRPr="003262A5">
        <w:t xml:space="preserve">, et CYP2C8-substrat, dog ikke en klinisk relevant hæmning. Disse data tyder på, at </w:t>
      </w:r>
      <w:proofErr w:type="spellStart"/>
      <w:r w:rsidRPr="003262A5">
        <w:t>sorafenib</w:t>
      </w:r>
      <w:proofErr w:type="spellEnd"/>
      <w:r w:rsidRPr="003262A5">
        <w:t xml:space="preserve"> ved den anbefalede dosis på 400 mg to gange </w:t>
      </w:r>
      <w:r>
        <w:t>daglig</w:t>
      </w:r>
      <w:r w:rsidRPr="003262A5">
        <w:t xml:space="preserve"> muligvis ikke er en </w:t>
      </w:r>
      <w:r w:rsidRPr="003262A5">
        <w:rPr>
          <w:i/>
          <w:iCs/>
        </w:rPr>
        <w:t xml:space="preserve">in </w:t>
      </w:r>
      <w:proofErr w:type="spellStart"/>
      <w:r w:rsidRPr="003262A5">
        <w:rPr>
          <w:i/>
          <w:iCs/>
        </w:rPr>
        <w:t>vivo</w:t>
      </w:r>
      <w:proofErr w:type="spellEnd"/>
      <w:r w:rsidRPr="003262A5">
        <w:t xml:space="preserve">-hæmmer af CYP2B6 eller CYP2C8. </w:t>
      </w:r>
    </w:p>
    <w:p w:rsidR="005B4E3C" w:rsidRPr="003262A5" w:rsidRDefault="005B4E3C" w:rsidP="005B4E3C">
      <w:pPr>
        <w:pStyle w:val="Default"/>
        <w:ind w:left="851"/>
      </w:pPr>
      <w:r w:rsidRPr="003262A5">
        <w:t xml:space="preserve">Desuden medførte samtidig behandling med </w:t>
      </w:r>
      <w:proofErr w:type="spellStart"/>
      <w:r w:rsidRPr="003262A5">
        <w:t>sorafenib</w:t>
      </w:r>
      <w:proofErr w:type="spellEnd"/>
      <w:r w:rsidRPr="003262A5">
        <w:t xml:space="preserve"> og </w:t>
      </w:r>
      <w:proofErr w:type="spellStart"/>
      <w:r w:rsidRPr="003262A5">
        <w:t>warfarin</w:t>
      </w:r>
      <w:proofErr w:type="spellEnd"/>
      <w:r w:rsidRPr="003262A5">
        <w:t xml:space="preserve">, et CYP2C9-substrat, ikke ændringer i det gennemsnitlige INR sammenlignet med placebo. Derfor kan risikoen for en klinisk relevant </w:t>
      </w:r>
      <w:r w:rsidRPr="003262A5">
        <w:rPr>
          <w:i/>
          <w:iCs/>
        </w:rPr>
        <w:t xml:space="preserve">in </w:t>
      </w:r>
      <w:proofErr w:type="spellStart"/>
      <w:r w:rsidRPr="003262A5">
        <w:rPr>
          <w:i/>
          <w:iCs/>
        </w:rPr>
        <w:t>vivo</w:t>
      </w:r>
      <w:proofErr w:type="spellEnd"/>
      <w:r w:rsidRPr="003262A5">
        <w:t xml:space="preserve">-hæmning af CYP2C9 med </w:t>
      </w:r>
      <w:proofErr w:type="spellStart"/>
      <w:r w:rsidRPr="003262A5">
        <w:t>sorafenib</w:t>
      </w:r>
      <w:proofErr w:type="spellEnd"/>
      <w:r w:rsidRPr="003262A5">
        <w:t xml:space="preserve"> også forventes at være lav. Men patienter, der tager </w:t>
      </w:r>
      <w:proofErr w:type="spellStart"/>
      <w:r w:rsidRPr="003262A5">
        <w:t>warfarin</w:t>
      </w:r>
      <w:proofErr w:type="spellEnd"/>
      <w:r w:rsidRPr="003262A5">
        <w:t xml:space="preserve"> eller </w:t>
      </w:r>
      <w:proofErr w:type="spellStart"/>
      <w:r w:rsidRPr="003262A5">
        <w:t>phenprocoumon</w:t>
      </w:r>
      <w:proofErr w:type="spellEnd"/>
      <w:r w:rsidRPr="003262A5">
        <w:t>, bør have kontrolleret deres INR regelmæssigt (se pkt. 4.4).</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CYP3A4-, CYP2D6- og CYP2C19-substrater </w:t>
      </w:r>
    </w:p>
    <w:p w:rsidR="005B4E3C" w:rsidRPr="003262A5" w:rsidRDefault="005B4E3C" w:rsidP="005B4E3C">
      <w:pPr>
        <w:pStyle w:val="Default"/>
        <w:ind w:left="851"/>
      </w:pPr>
      <w:r w:rsidRPr="003262A5">
        <w:t xml:space="preserve">Samtidig administration af </w:t>
      </w:r>
      <w:proofErr w:type="spellStart"/>
      <w:r w:rsidRPr="003262A5">
        <w:t>sorafenib</w:t>
      </w:r>
      <w:proofErr w:type="spellEnd"/>
      <w:r w:rsidRPr="003262A5">
        <w:t xml:space="preserve"> og </w:t>
      </w:r>
      <w:proofErr w:type="spellStart"/>
      <w:r w:rsidRPr="003262A5">
        <w:t>midazolam</w:t>
      </w:r>
      <w:proofErr w:type="spellEnd"/>
      <w:r w:rsidRPr="003262A5">
        <w:t xml:space="preserve">, </w:t>
      </w:r>
      <w:proofErr w:type="spellStart"/>
      <w:r w:rsidRPr="003262A5">
        <w:t>dextrometorphan</w:t>
      </w:r>
      <w:proofErr w:type="spellEnd"/>
      <w:r w:rsidRPr="003262A5">
        <w:t xml:space="preserve"> eller </w:t>
      </w:r>
      <w:proofErr w:type="spellStart"/>
      <w:r w:rsidRPr="003262A5">
        <w:t>omeprazol</w:t>
      </w:r>
      <w:proofErr w:type="spellEnd"/>
      <w:r w:rsidRPr="003262A5">
        <w:t xml:space="preserve">, som er substrater for henholdsvis CYP3A4, CYP2D6 og CYP2C919, forandrede ikke eksponeringen af disse substanser. Dette viser, at </w:t>
      </w:r>
      <w:proofErr w:type="spellStart"/>
      <w:r w:rsidRPr="003262A5">
        <w:t>sorafenib</w:t>
      </w:r>
      <w:proofErr w:type="spellEnd"/>
      <w:r w:rsidRPr="003262A5">
        <w:t xml:space="preserve"> hverken er en hæmmer eller en </w:t>
      </w:r>
      <w:r w:rsidRPr="003262A5">
        <w:lastRenderedPageBreak/>
        <w:t xml:space="preserve">inducer for disse P450-isoenzymer. Klinisk </w:t>
      </w:r>
      <w:proofErr w:type="spellStart"/>
      <w:r w:rsidRPr="003262A5">
        <w:t>farmakokinetiske</w:t>
      </w:r>
      <w:proofErr w:type="spellEnd"/>
      <w:r w:rsidRPr="003262A5">
        <w:t xml:space="preserve"> interaktioner mellem </w:t>
      </w:r>
      <w:proofErr w:type="spellStart"/>
      <w:r w:rsidRPr="003262A5">
        <w:t>sorafenib</w:t>
      </w:r>
      <w:proofErr w:type="spellEnd"/>
      <w:r w:rsidRPr="003262A5">
        <w:t xml:space="preserve"> og disse enzymsubstrater er derfor ikke sandsynlige.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UGT1A1- og UGT1A9-substrater </w:t>
      </w:r>
    </w:p>
    <w:p w:rsidR="005B4E3C" w:rsidRPr="003262A5" w:rsidRDefault="005B4E3C" w:rsidP="005B4E3C">
      <w:pPr>
        <w:pStyle w:val="Default"/>
        <w:ind w:left="851"/>
      </w:pPr>
      <w:proofErr w:type="spellStart"/>
      <w:r w:rsidRPr="003262A5">
        <w:t>Sorafenib</w:t>
      </w:r>
      <w:proofErr w:type="spellEnd"/>
      <w:r w:rsidRPr="003262A5">
        <w:t xml:space="preserve"> hæmmede </w:t>
      </w:r>
      <w:proofErr w:type="spellStart"/>
      <w:r w:rsidRPr="003262A5">
        <w:t>glukuronidering</w:t>
      </w:r>
      <w:proofErr w:type="spellEnd"/>
      <w:r w:rsidRPr="003262A5">
        <w:t xml:space="preserve"> via UGT1A1 og UGT1A9 </w:t>
      </w:r>
      <w:r w:rsidRPr="003262A5">
        <w:rPr>
          <w:i/>
          <w:iCs/>
        </w:rPr>
        <w:t xml:space="preserve">in </w:t>
      </w:r>
      <w:proofErr w:type="spellStart"/>
      <w:r w:rsidRPr="003262A5">
        <w:rPr>
          <w:i/>
          <w:iCs/>
        </w:rPr>
        <w:t>vitro</w:t>
      </w:r>
      <w:proofErr w:type="spellEnd"/>
      <w:r w:rsidRPr="003262A5">
        <w:t xml:space="preserve">. Den kliniske relevans af dette fund er ukendt (se nedenfor og pkt. 4.4). </w:t>
      </w:r>
    </w:p>
    <w:p w:rsidR="005B4E3C" w:rsidRPr="003262A5" w:rsidRDefault="005B4E3C" w:rsidP="005B4E3C">
      <w:pPr>
        <w:pStyle w:val="Default"/>
        <w:ind w:left="851"/>
        <w:rPr>
          <w:i/>
          <w:iCs/>
          <w:u w:val="single"/>
        </w:rPr>
      </w:pPr>
    </w:p>
    <w:p w:rsidR="005B4E3C" w:rsidRPr="003262A5" w:rsidRDefault="005B4E3C" w:rsidP="005B4E3C">
      <w:pPr>
        <w:pStyle w:val="Default"/>
        <w:ind w:left="851"/>
        <w:rPr>
          <w:u w:val="single"/>
        </w:rPr>
      </w:pPr>
      <w:r w:rsidRPr="003262A5">
        <w:rPr>
          <w:i/>
          <w:iCs/>
          <w:u w:val="single"/>
        </w:rPr>
        <w:t xml:space="preserve">In </w:t>
      </w:r>
      <w:proofErr w:type="spellStart"/>
      <w:r w:rsidRPr="003262A5">
        <w:rPr>
          <w:i/>
          <w:iCs/>
          <w:u w:val="single"/>
        </w:rPr>
        <w:t>vivo</w:t>
      </w:r>
      <w:proofErr w:type="spellEnd"/>
      <w:r w:rsidRPr="003262A5">
        <w:rPr>
          <w:i/>
          <w:iCs/>
          <w:u w:val="single"/>
        </w:rPr>
        <w:t xml:space="preserve"> </w:t>
      </w:r>
      <w:r w:rsidRPr="003262A5">
        <w:rPr>
          <w:u w:val="single"/>
        </w:rPr>
        <w:t xml:space="preserve">studier af CYP-enzyminduktion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CYP1A2- og CYP3A4-aktiviteter blev ikke ændret efter behandling af opdyrkede humane </w:t>
      </w:r>
      <w:proofErr w:type="spellStart"/>
      <w:r w:rsidRPr="003262A5">
        <w:t>hepatocytter</w:t>
      </w:r>
      <w:proofErr w:type="spellEnd"/>
      <w:r w:rsidRPr="003262A5">
        <w:t xml:space="preserve"> med </w:t>
      </w:r>
      <w:proofErr w:type="spellStart"/>
      <w:r w:rsidRPr="003262A5">
        <w:t>sorafenib</w:t>
      </w:r>
      <w:proofErr w:type="spellEnd"/>
      <w:r w:rsidRPr="003262A5">
        <w:t xml:space="preserve">, hvilket indikerer, at </w:t>
      </w:r>
      <w:proofErr w:type="spellStart"/>
      <w:r w:rsidRPr="003262A5">
        <w:t>sorafenib</w:t>
      </w:r>
      <w:proofErr w:type="spellEnd"/>
      <w:r w:rsidRPr="003262A5">
        <w:t xml:space="preserve"> sandsynligvis ikke inducerer CYP1A2 og CYP3A4.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P-gp-substrater </w:t>
      </w:r>
    </w:p>
    <w:p w:rsidR="005B4E3C" w:rsidRPr="003262A5" w:rsidRDefault="005B4E3C" w:rsidP="005B4E3C">
      <w:pPr>
        <w:pStyle w:val="Default"/>
        <w:ind w:left="851"/>
      </w:pPr>
      <w:proofErr w:type="spellStart"/>
      <w:r w:rsidRPr="003262A5">
        <w:t>Sorafenib</w:t>
      </w:r>
      <w:proofErr w:type="spellEnd"/>
      <w:r w:rsidRPr="003262A5">
        <w:t xml:space="preserve"> har vist sig at hæmme transportproteinet p-</w:t>
      </w:r>
      <w:proofErr w:type="spellStart"/>
      <w:r w:rsidRPr="003262A5">
        <w:t>glykoprotein</w:t>
      </w:r>
      <w:proofErr w:type="spellEnd"/>
      <w:r w:rsidRPr="003262A5">
        <w:t xml:space="preserve"> (P-</w:t>
      </w:r>
      <w:proofErr w:type="spellStart"/>
      <w:r w:rsidRPr="003262A5">
        <w:t>pg</w:t>
      </w:r>
      <w:proofErr w:type="spellEnd"/>
      <w:r w:rsidRPr="003262A5">
        <w:t xml:space="preserve">) </w:t>
      </w:r>
      <w:r w:rsidRPr="003262A5">
        <w:rPr>
          <w:i/>
          <w:iCs/>
        </w:rPr>
        <w:t xml:space="preserve">in </w:t>
      </w:r>
      <w:proofErr w:type="spellStart"/>
      <w:r w:rsidRPr="003262A5">
        <w:rPr>
          <w:i/>
          <w:iCs/>
        </w:rPr>
        <w:t>vitro</w:t>
      </w:r>
      <w:proofErr w:type="spellEnd"/>
      <w:r w:rsidRPr="003262A5">
        <w:t>. Øgede plasmakoncentrationer af P-</w:t>
      </w:r>
      <w:proofErr w:type="spellStart"/>
      <w:r w:rsidRPr="003262A5">
        <w:t>pg</w:t>
      </w:r>
      <w:proofErr w:type="spellEnd"/>
      <w:r w:rsidRPr="003262A5">
        <w:t xml:space="preserve">-substrater, såsom </w:t>
      </w:r>
      <w:proofErr w:type="spellStart"/>
      <w:r w:rsidRPr="003262A5">
        <w:t>digoxin</w:t>
      </w:r>
      <w:proofErr w:type="spellEnd"/>
      <w:r w:rsidRPr="003262A5">
        <w:t xml:space="preserve">, kan ikke udelukkes ved samtidig behandling med </w:t>
      </w:r>
      <w:proofErr w:type="spellStart"/>
      <w:r w:rsidRPr="003262A5">
        <w:t>sorafenib</w:t>
      </w:r>
      <w:proofErr w:type="spellEnd"/>
      <w:r w:rsidRPr="003262A5">
        <w:t>.</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Kombination med andre </w:t>
      </w:r>
      <w:proofErr w:type="spellStart"/>
      <w:r w:rsidRPr="003262A5">
        <w:rPr>
          <w:u w:val="single"/>
        </w:rPr>
        <w:t>antineoplastiske</w:t>
      </w:r>
      <w:proofErr w:type="spellEnd"/>
      <w:r w:rsidRPr="003262A5">
        <w:rPr>
          <w:u w:val="single"/>
        </w:rPr>
        <w:t xml:space="preserve"> lægemidler </w:t>
      </w:r>
    </w:p>
    <w:p w:rsidR="005B4E3C" w:rsidRPr="003262A5" w:rsidRDefault="005B4E3C" w:rsidP="005B4E3C">
      <w:pPr>
        <w:pStyle w:val="Default"/>
        <w:ind w:left="851"/>
      </w:pPr>
      <w:r w:rsidRPr="003262A5">
        <w:t xml:space="preserve">I kliniske studier har </w:t>
      </w:r>
      <w:proofErr w:type="spellStart"/>
      <w:r w:rsidRPr="003262A5">
        <w:t>sorafenib</w:t>
      </w:r>
      <w:proofErr w:type="spellEnd"/>
      <w:r w:rsidRPr="003262A5">
        <w:t xml:space="preserve"> været administreret med et antal andre </w:t>
      </w:r>
      <w:proofErr w:type="spellStart"/>
      <w:r w:rsidRPr="003262A5">
        <w:t>antineoplastiske</w:t>
      </w:r>
      <w:proofErr w:type="spellEnd"/>
      <w:r w:rsidRPr="003262A5">
        <w:t xml:space="preserve"> lægemidler i deres sædvanlige doseringsregimer. Disse inkluderer </w:t>
      </w:r>
      <w:proofErr w:type="spellStart"/>
      <w:r w:rsidRPr="003262A5">
        <w:t>gemcitabin</w:t>
      </w:r>
      <w:proofErr w:type="spellEnd"/>
      <w:r w:rsidRPr="003262A5">
        <w:t xml:space="preserve">, </w:t>
      </w:r>
      <w:proofErr w:type="spellStart"/>
      <w:r w:rsidRPr="003262A5">
        <w:t>cisplatin</w:t>
      </w:r>
      <w:proofErr w:type="spellEnd"/>
      <w:r w:rsidRPr="003262A5">
        <w:t xml:space="preserve">, </w:t>
      </w:r>
      <w:proofErr w:type="spellStart"/>
      <w:r w:rsidRPr="003262A5">
        <w:t>oxaliplatin</w:t>
      </w:r>
      <w:proofErr w:type="spellEnd"/>
      <w:r w:rsidRPr="003262A5">
        <w:t xml:space="preserve">, </w:t>
      </w:r>
      <w:proofErr w:type="spellStart"/>
      <w:r w:rsidRPr="003262A5">
        <w:t>paclitaxel</w:t>
      </w:r>
      <w:proofErr w:type="spellEnd"/>
      <w:r w:rsidRPr="003262A5">
        <w:t xml:space="preserve">, </w:t>
      </w:r>
      <w:proofErr w:type="spellStart"/>
      <w:r w:rsidRPr="003262A5">
        <w:t>carboplatin</w:t>
      </w:r>
      <w:proofErr w:type="spellEnd"/>
      <w:r w:rsidRPr="003262A5">
        <w:t xml:space="preserve">, </w:t>
      </w:r>
      <w:proofErr w:type="spellStart"/>
      <w:r w:rsidRPr="003262A5">
        <w:t>capecitabin</w:t>
      </w:r>
      <w:proofErr w:type="spellEnd"/>
      <w:r w:rsidRPr="003262A5">
        <w:t xml:space="preserve">, </w:t>
      </w:r>
      <w:proofErr w:type="spellStart"/>
      <w:r w:rsidRPr="003262A5">
        <w:t>doxorubicin</w:t>
      </w:r>
      <w:proofErr w:type="spellEnd"/>
      <w:r w:rsidRPr="003262A5">
        <w:t xml:space="preserve">, </w:t>
      </w:r>
      <w:proofErr w:type="spellStart"/>
      <w:r w:rsidRPr="003262A5">
        <w:t>irinotecan</w:t>
      </w:r>
      <w:proofErr w:type="spellEnd"/>
      <w:r w:rsidRPr="003262A5">
        <w:t xml:space="preserve">, </w:t>
      </w:r>
      <w:proofErr w:type="spellStart"/>
      <w:r w:rsidRPr="003262A5">
        <w:t>docetaxel</w:t>
      </w:r>
      <w:proofErr w:type="spellEnd"/>
      <w:r w:rsidRPr="003262A5">
        <w:t xml:space="preserve"> og </w:t>
      </w:r>
      <w:proofErr w:type="spellStart"/>
      <w:r w:rsidRPr="003262A5">
        <w:t>cyclophosphamid</w:t>
      </w:r>
      <w:proofErr w:type="spellEnd"/>
      <w:r w:rsidRPr="003262A5">
        <w:t xml:space="preserve">. </w:t>
      </w:r>
      <w:proofErr w:type="spellStart"/>
      <w:r w:rsidRPr="003262A5">
        <w:t>Sorafenib</w:t>
      </w:r>
      <w:proofErr w:type="spellEnd"/>
      <w:r w:rsidRPr="003262A5">
        <w:t xml:space="preserve"> havde ingen klinisk relevant indvirkning på farmakokinetikken af </w:t>
      </w:r>
      <w:proofErr w:type="spellStart"/>
      <w:r w:rsidRPr="003262A5">
        <w:t>gemcitabin</w:t>
      </w:r>
      <w:proofErr w:type="spellEnd"/>
      <w:r w:rsidRPr="003262A5">
        <w:t xml:space="preserve">, </w:t>
      </w:r>
      <w:proofErr w:type="spellStart"/>
      <w:r w:rsidRPr="003262A5">
        <w:t>cisplatin</w:t>
      </w:r>
      <w:proofErr w:type="spellEnd"/>
      <w:r w:rsidRPr="003262A5">
        <w:t xml:space="preserve">, </w:t>
      </w:r>
      <w:proofErr w:type="spellStart"/>
      <w:r w:rsidRPr="003262A5">
        <w:t>carboplatin</w:t>
      </w:r>
      <w:proofErr w:type="spellEnd"/>
      <w:r w:rsidRPr="003262A5">
        <w:t xml:space="preserve">, </w:t>
      </w:r>
      <w:proofErr w:type="spellStart"/>
      <w:r w:rsidRPr="003262A5">
        <w:t>oxaliplatin</w:t>
      </w:r>
      <w:proofErr w:type="spellEnd"/>
      <w:r w:rsidRPr="003262A5">
        <w:t xml:space="preserve"> eller </w:t>
      </w:r>
      <w:proofErr w:type="spellStart"/>
      <w:r w:rsidRPr="003262A5">
        <w:t>cyclophosphamid</w:t>
      </w:r>
      <w:proofErr w:type="spellEnd"/>
      <w:r w:rsidRPr="003262A5">
        <w:t xml:space="preserve">.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proofErr w:type="spellStart"/>
      <w:r w:rsidRPr="003262A5">
        <w:rPr>
          <w:u w:val="single"/>
        </w:rPr>
        <w:t>Paclitaxel</w:t>
      </w:r>
      <w:proofErr w:type="spellEnd"/>
      <w:r w:rsidRPr="003262A5">
        <w:rPr>
          <w:u w:val="single"/>
        </w:rPr>
        <w:t>/</w:t>
      </w:r>
      <w:proofErr w:type="spellStart"/>
      <w:r w:rsidRPr="003262A5">
        <w:rPr>
          <w:u w:val="single"/>
        </w:rPr>
        <w:t>carboplatin</w:t>
      </w:r>
      <w:proofErr w:type="spellEnd"/>
      <w:r w:rsidRPr="003262A5">
        <w:rPr>
          <w:u w:val="single"/>
        </w:rPr>
        <w:t xml:space="preserve"> </w:t>
      </w:r>
    </w:p>
    <w:p w:rsidR="005B4E3C" w:rsidRPr="003262A5" w:rsidRDefault="005B4E3C" w:rsidP="005B4E3C">
      <w:pPr>
        <w:pStyle w:val="Default"/>
        <w:numPr>
          <w:ilvl w:val="0"/>
          <w:numId w:val="6"/>
        </w:numPr>
        <w:tabs>
          <w:tab w:val="left" w:pos="1134"/>
        </w:tabs>
        <w:ind w:left="1134" w:hanging="283"/>
      </w:pPr>
      <w:r w:rsidRPr="003262A5">
        <w:t xml:space="preserve">Indgift af </w:t>
      </w:r>
      <w:proofErr w:type="spellStart"/>
      <w:r w:rsidRPr="003262A5">
        <w:t>paclitaxel</w:t>
      </w:r>
      <w:proofErr w:type="spellEnd"/>
      <w:r w:rsidRPr="003262A5">
        <w:t xml:space="preserve"> (225 mg/m</w:t>
      </w:r>
      <w:r w:rsidRPr="003262A5">
        <w:rPr>
          <w:vertAlign w:val="superscript"/>
        </w:rPr>
        <w:t>2</w:t>
      </w:r>
      <w:r w:rsidRPr="003262A5">
        <w:t xml:space="preserve">) og </w:t>
      </w:r>
      <w:proofErr w:type="spellStart"/>
      <w:r w:rsidRPr="003262A5">
        <w:t>carboplatin</w:t>
      </w:r>
      <w:proofErr w:type="spellEnd"/>
      <w:r w:rsidRPr="003262A5">
        <w:t xml:space="preserve"> (AUC = 6) sammen med </w:t>
      </w:r>
      <w:proofErr w:type="spellStart"/>
      <w:r w:rsidRPr="003262A5">
        <w:t>sorafenib</w:t>
      </w:r>
      <w:proofErr w:type="spellEnd"/>
      <w:r w:rsidRPr="003262A5">
        <w:t xml:space="preserve"> (≤ 400 mg to gange </w:t>
      </w:r>
      <w:r>
        <w:t>daglig</w:t>
      </w:r>
      <w:r w:rsidRPr="003262A5">
        <w:t xml:space="preserve">), indgivet med en 3-dages pause i doseringen af </w:t>
      </w:r>
      <w:proofErr w:type="spellStart"/>
      <w:r w:rsidRPr="003262A5">
        <w:t>sorafenib</w:t>
      </w:r>
      <w:proofErr w:type="spellEnd"/>
      <w:r w:rsidRPr="003262A5">
        <w:t xml:space="preserve"> (to dage før og på dagen for indgift af </w:t>
      </w:r>
      <w:proofErr w:type="spellStart"/>
      <w:r w:rsidRPr="003262A5">
        <w:t>paclitaxel</w:t>
      </w:r>
      <w:proofErr w:type="spellEnd"/>
      <w:r w:rsidRPr="003262A5">
        <w:t>/</w:t>
      </w:r>
      <w:proofErr w:type="spellStart"/>
      <w:r w:rsidRPr="003262A5">
        <w:t>carboplatin</w:t>
      </w:r>
      <w:proofErr w:type="spellEnd"/>
      <w:r w:rsidRPr="003262A5">
        <w:t xml:space="preserve">), havde ingen signifikant virkning på </w:t>
      </w:r>
      <w:proofErr w:type="spellStart"/>
      <w:r w:rsidRPr="003262A5">
        <w:t>paclitaxels</w:t>
      </w:r>
      <w:proofErr w:type="spellEnd"/>
      <w:r w:rsidRPr="003262A5">
        <w:t xml:space="preserve"> farmakokinetik. </w:t>
      </w:r>
    </w:p>
    <w:p w:rsidR="005B4E3C" w:rsidRPr="003262A5" w:rsidRDefault="005B4E3C" w:rsidP="005B4E3C">
      <w:pPr>
        <w:pStyle w:val="Default"/>
        <w:numPr>
          <w:ilvl w:val="0"/>
          <w:numId w:val="6"/>
        </w:numPr>
        <w:tabs>
          <w:tab w:val="left" w:pos="1134"/>
        </w:tabs>
        <w:ind w:left="1134" w:hanging="283"/>
      </w:pPr>
      <w:r w:rsidRPr="003262A5">
        <w:t xml:space="preserve">Samtidig indgift af </w:t>
      </w:r>
      <w:proofErr w:type="spellStart"/>
      <w:r w:rsidRPr="003262A5">
        <w:t>paclitaxel</w:t>
      </w:r>
      <w:proofErr w:type="spellEnd"/>
      <w:r w:rsidRPr="003262A5">
        <w:t xml:space="preserve"> (225 mg/m</w:t>
      </w:r>
      <w:r w:rsidRPr="003262A5">
        <w:rPr>
          <w:vertAlign w:val="superscript"/>
        </w:rPr>
        <w:t>2</w:t>
      </w:r>
      <w:r w:rsidRPr="003262A5">
        <w:t xml:space="preserve"> </w:t>
      </w:r>
      <w:r>
        <w:t>en</w:t>
      </w:r>
      <w:r w:rsidRPr="003262A5">
        <w:t xml:space="preserve"> gang hver tredje uge) og </w:t>
      </w:r>
      <w:proofErr w:type="spellStart"/>
      <w:r w:rsidRPr="003262A5">
        <w:t>carboplatin</w:t>
      </w:r>
      <w:proofErr w:type="spellEnd"/>
      <w:r w:rsidRPr="003262A5">
        <w:t xml:space="preserve"> (AUC=6) sammen med </w:t>
      </w:r>
      <w:proofErr w:type="spellStart"/>
      <w:r w:rsidRPr="003262A5">
        <w:t>sorafenib</w:t>
      </w:r>
      <w:proofErr w:type="spellEnd"/>
      <w:r w:rsidRPr="003262A5">
        <w:t xml:space="preserve"> (400 mg to gange </w:t>
      </w:r>
      <w:r>
        <w:t>daglig</w:t>
      </w:r>
      <w:r w:rsidRPr="003262A5">
        <w:t xml:space="preserve"> uden pause i doseringen af </w:t>
      </w:r>
      <w:proofErr w:type="spellStart"/>
      <w:r w:rsidRPr="003262A5">
        <w:t>sorafenib</w:t>
      </w:r>
      <w:proofErr w:type="spellEnd"/>
      <w:r w:rsidRPr="003262A5">
        <w:t xml:space="preserve">) medførte en 47 % stigning i </w:t>
      </w:r>
      <w:proofErr w:type="spellStart"/>
      <w:r w:rsidRPr="003262A5">
        <w:t>sorafenib</w:t>
      </w:r>
      <w:proofErr w:type="spellEnd"/>
      <w:r w:rsidRPr="003262A5">
        <w:t xml:space="preserve">-eksponering, en 29 % stigning i </w:t>
      </w:r>
      <w:proofErr w:type="spellStart"/>
      <w:r w:rsidRPr="003262A5">
        <w:t>paclitaxel</w:t>
      </w:r>
      <w:proofErr w:type="spellEnd"/>
      <w:r w:rsidRPr="003262A5">
        <w:t xml:space="preserve">-eksponering og en 50 % stigning i 6-OH-paclitaxel-eksponering. </w:t>
      </w:r>
      <w:proofErr w:type="spellStart"/>
      <w:r w:rsidRPr="003262A5">
        <w:t>Carboplatins</w:t>
      </w:r>
      <w:proofErr w:type="spellEnd"/>
      <w:r w:rsidRPr="003262A5">
        <w:t xml:space="preserve"> farmakokinetik var uændret.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Disse data tyder ikke på, at dosisjustering er nødvendig, når </w:t>
      </w:r>
      <w:proofErr w:type="spellStart"/>
      <w:r w:rsidRPr="003262A5">
        <w:t>paclitaxel</w:t>
      </w:r>
      <w:proofErr w:type="spellEnd"/>
      <w:r w:rsidRPr="003262A5">
        <w:t xml:space="preserve"> og </w:t>
      </w:r>
      <w:proofErr w:type="spellStart"/>
      <w:r w:rsidRPr="003262A5">
        <w:t>carboplatin</w:t>
      </w:r>
      <w:proofErr w:type="spellEnd"/>
      <w:r w:rsidRPr="003262A5">
        <w:t xml:space="preserve"> indgives sammen med </w:t>
      </w:r>
      <w:proofErr w:type="spellStart"/>
      <w:r w:rsidRPr="003262A5">
        <w:t>sorafenib</w:t>
      </w:r>
      <w:proofErr w:type="spellEnd"/>
      <w:r w:rsidRPr="003262A5">
        <w:t xml:space="preserve"> med en 3-dages pause i doseringen af </w:t>
      </w:r>
      <w:proofErr w:type="spellStart"/>
      <w:r w:rsidRPr="003262A5">
        <w:t>sorafenib</w:t>
      </w:r>
      <w:proofErr w:type="spellEnd"/>
      <w:r w:rsidRPr="003262A5">
        <w:t xml:space="preserve"> (to dage før og på dagen for indgift af </w:t>
      </w:r>
      <w:proofErr w:type="spellStart"/>
      <w:r w:rsidRPr="003262A5">
        <w:t>paclitaxel</w:t>
      </w:r>
      <w:proofErr w:type="spellEnd"/>
      <w:r w:rsidRPr="003262A5">
        <w:t>/</w:t>
      </w:r>
      <w:proofErr w:type="spellStart"/>
      <w:r w:rsidRPr="003262A5">
        <w:t>carboplatin</w:t>
      </w:r>
      <w:proofErr w:type="spellEnd"/>
      <w:r w:rsidRPr="003262A5">
        <w:t xml:space="preserve">). Den kliniske betydning af stigningen i </w:t>
      </w:r>
      <w:proofErr w:type="spellStart"/>
      <w:r w:rsidRPr="003262A5">
        <w:t>sorafenib</w:t>
      </w:r>
      <w:proofErr w:type="spellEnd"/>
      <w:r w:rsidRPr="003262A5">
        <w:t xml:space="preserve">- og </w:t>
      </w:r>
      <w:proofErr w:type="spellStart"/>
      <w:r w:rsidRPr="003262A5">
        <w:t>paclitaxel</w:t>
      </w:r>
      <w:proofErr w:type="spellEnd"/>
      <w:r w:rsidRPr="003262A5">
        <w:t xml:space="preserve">-eksponering ved samtidig indgift af </w:t>
      </w:r>
      <w:proofErr w:type="spellStart"/>
      <w:r w:rsidRPr="003262A5">
        <w:t>sorafenib</w:t>
      </w:r>
      <w:proofErr w:type="spellEnd"/>
      <w:r w:rsidRPr="003262A5">
        <w:t xml:space="preserve"> uden en pause i doseringen er ikke kendt.</w:t>
      </w:r>
    </w:p>
    <w:p w:rsidR="005B4E3C" w:rsidRPr="003262A5" w:rsidRDefault="005B4E3C" w:rsidP="005B4E3C">
      <w:pPr>
        <w:pStyle w:val="Default"/>
        <w:ind w:left="851"/>
      </w:pPr>
    </w:p>
    <w:p w:rsidR="005B4E3C" w:rsidRPr="003262A5" w:rsidRDefault="005B4E3C" w:rsidP="006C461B">
      <w:pPr>
        <w:pStyle w:val="Default"/>
        <w:keepNext/>
        <w:ind w:left="851"/>
        <w:rPr>
          <w:u w:val="single"/>
        </w:rPr>
      </w:pPr>
      <w:proofErr w:type="spellStart"/>
      <w:r w:rsidRPr="003262A5">
        <w:rPr>
          <w:u w:val="single"/>
        </w:rPr>
        <w:t>Capecitabin</w:t>
      </w:r>
      <w:proofErr w:type="spellEnd"/>
      <w:r w:rsidRPr="003262A5">
        <w:rPr>
          <w:u w:val="single"/>
        </w:rPr>
        <w:t xml:space="preserve"> </w:t>
      </w:r>
    </w:p>
    <w:p w:rsidR="005B4E3C" w:rsidRPr="003262A5" w:rsidRDefault="005B4E3C" w:rsidP="005B4E3C">
      <w:pPr>
        <w:pStyle w:val="Default"/>
        <w:ind w:left="851"/>
      </w:pPr>
      <w:r w:rsidRPr="003262A5">
        <w:t xml:space="preserve">Samtidig indgift af </w:t>
      </w:r>
      <w:proofErr w:type="spellStart"/>
      <w:r w:rsidRPr="003262A5">
        <w:t>capecitabin</w:t>
      </w:r>
      <w:proofErr w:type="spellEnd"/>
      <w:r w:rsidRPr="003262A5">
        <w:t xml:space="preserve"> (750-1.050 mg/m</w:t>
      </w:r>
      <w:r w:rsidRPr="003262A5">
        <w:rPr>
          <w:vertAlign w:val="superscript"/>
        </w:rPr>
        <w:t>2</w:t>
      </w:r>
      <w:r w:rsidRPr="003262A5">
        <w:t xml:space="preserve"> to gange </w:t>
      </w:r>
      <w:r>
        <w:t>daglig</w:t>
      </w:r>
      <w:r w:rsidRPr="003262A5">
        <w:t xml:space="preserve"> på dag 1-14 hver 21. dag) og </w:t>
      </w:r>
      <w:proofErr w:type="spellStart"/>
      <w:r w:rsidRPr="003262A5">
        <w:t>sorafenib</w:t>
      </w:r>
      <w:proofErr w:type="spellEnd"/>
      <w:r w:rsidRPr="003262A5">
        <w:t xml:space="preserve"> (200 eller 400 mg to gange </w:t>
      </w:r>
      <w:r>
        <w:t>daglig</w:t>
      </w:r>
      <w:r w:rsidRPr="003262A5">
        <w:t xml:space="preserve"> med kontinuerlig, uafbrudt indgift) medførte ingen signifikant ændring i </w:t>
      </w:r>
      <w:proofErr w:type="spellStart"/>
      <w:r w:rsidRPr="003262A5">
        <w:t>sorafenib</w:t>
      </w:r>
      <w:proofErr w:type="spellEnd"/>
      <w:r w:rsidRPr="003262A5">
        <w:t xml:space="preserve">-eksponering, men en 15-50 % stigning i </w:t>
      </w:r>
      <w:proofErr w:type="spellStart"/>
      <w:r w:rsidRPr="003262A5">
        <w:t>capecitabin</w:t>
      </w:r>
      <w:proofErr w:type="spellEnd"/>
      <w:r w:rsidRPr="003262A5">
        <w:t xml:space="preserve">-eksponering og en 0-52 % stigning i 5-FU-eksponering. Den kliniske betydning af disse små til moderate stigninger i </w:t>
      </w:r>
      <w:proofErr w:type="spellStart"/>
      <w:r w:rsidRPr="003262A5">
        <w:t>capecitabin</w:t>
      </w:r>
      <w:proofErr w:type="spellEnd"/>
      <w:r w:rsidRPr="003262A5">
        <w:t xml:space="preserve">- og 5-FU-eksponering, når det indgives sammen med </w:t>
      </w:r>
      <w:proofErr w:type="spellStart"/>
      <w:r w:rsidRPr="003262A5">
        <w:t>sorafenib</w:t>
      </w:r>
      <w:proofErr w:type="spellEnd"/>
      <w:r w:rsidRPr="003262A5">
        <w:t xml:space="preserve">, er ikke kendt. </w:t>
      </w:r>
    </w:p>
    <w:p w:rsidR="005B4E3C" w:rsidRDefault="005B4E3C" w:rsidP="005B4E3C">
      <w:pPr>
        <w:pStyle w:val="Default"/>
        <w:ind w:left="851"/>
      </w:pPr>
    </w:p>
    <w:p w:rsidR="00BF2E84" w:rsidRPr="003262A5" w:rsidRDefault="00BF2E84" w:rsidP="005B4E3C">
      <w:pPr>
        <w:pStyle w:val="Default"/>
        <w:ind w:left="851"/>
      </w:pPr>
    </w:p>
    <w:p w:rsidR="005B4E3C" w:rsidRPr="003262A5" w:rsidRDefault="005B4E3C" w:rsidP="005B4E3C">
      <w:pPr>
        <w:pStyle w:val="Default"/>
        <w:ind w:left="851"/>
        <w:rPr>
          <w:u w:val="single"/>
        </w:rPr>
      </w:pPr>
      <w:proofErr w:type="spellStart"/>
      <w:r w:rsidRPr="003262A5">
        <w:rPr>
          <w:u w:val="single"/>
        </w:rPr>
        <w:lastRenderedPageBreak/>
        <w:t>Doxorubicin</w:t>
      </w:r>
      <w:proofErr w:type="spellEnd"/>
      <w:r w:rsidRPr="003262A5">
        <w:rPr>
          <w:u w:val="single"/>
        </w:rPr>
        <w:t>/</w:t>
      </w:r>
      <w:proofErr w:type="spellStart"/>
      <w:r w:rsidRPr="003262A5">
        <w:rPr>
          <w:u w:val="single"/>
        </w:rPr>
        <w:t>irinotecan</w:t>
      </w:r>
      <w:proofErr w:type="spellEnd"/>
      <w:r w:rsidRPr="003262A5">
        <w:rPr>
          <w:u w:val="single"/>
        </w:rPr>
        <w:t xml:space="preserve"> </w:t>
      </w:r>
    </w:p>
    <w:p w:rsidR="005B4E3C" w:rsidRPr="003262A5" w:rsidRDefault="005B4E3C" w:rsidP="005B4E3C">
      <w:pPr>
        <w:pStyle w:val="Default"/>
        <w:ind w:left="851"/>
      </w:pPr>
      <w:r w:rsidRPr="003262A5">
        <w:t xml:space="preserve">Samtidig behandling med </w:t>
      </w:r>
      <w:proofErr w:type="spellStart"/>
      <w:r w:rsidRPr="003262A5">
        <w:t>sorafenib</w:t>
      </w:r>
      <w:proofErr w:type="spellEnd"/>
      <w:r w:rsidRPr="003262A5">
        <w:t xml:space="preserve"> og </w:t>
      </w:r>
      <w:proofErr w:type="spellStart"/>
      <w:r w:rsidRPr="003262A5">
        <w:t>doxorubicin</w:t>
      </w:r>
      <w:proofErr w:type="spellEnd"/>
      <w:r w:rsidRPr="003262A5">
        <w:t xml:space="preserve"> resulterede i en 21 % stigning af AUC for </w:t>
      </w:r>
      <w:proofErr w:type="spellStart"/>
      <w:r w:rsidRPr="003262A5">
        <w:t>doxorubicin</w:t>
      </w:r>
      <w:proofErr w:type="spellEnd"/>
      <w:r w:rsidRPr="003262A5">
        <w:t xml:space="preserve">. </w:t>
      </w:r>
      <w:proofErr w:type="spellStart"/>
      <w:r w:rsidRPr="003262A5">
        <w:t>Sorafenib</w:t>
      </w:r>
      <w:proofErr w:type="spellEnd"/>
      <w:r w:rsidRPr="003262A5">
        <w:t xml:space="preserve">, der blev givet samtidigt med </w:t>
      </w:r>
      <w:proofErr w:type="spellStart"/>
      <w:r w:rsidRPr="003262A5">
        <w:t>irinotecan</w:t>
      </w:r>
      <w:proofErr w:type="spellEnd"/>
      <w:r w:rsidRPr="003262A5">
        <w:t xml:space="preserve">, hvis aktive metabolit SN-38 </w:t>
      </w:r>
      <w:proofErr w:type="spellStart"/>
      <w:r w:rsidRPr="003262A5">
        <w:t>metaboliseres</w:t>
      </w:r>
      <w:proofErr w:type="spellEnd"/>
      <w:r w:rsidRPr="003262A5">
        <w:t xml:space="preserve"> yderligere af UGT1A1-systemet, gav en 67-120 % stigning i AUC for SN-38 og en 26-42 % stigning i AUC for </w:t>
      </w:r>
      <w:proofErr w:type="spellStart"/>
      <w:r w:rsidRPr="003262A5">
        <w:t>irinotecan</w:t>
      </w:r>
      <w:proofErr w:type="spellEnd"/>
      <w:r w:rsidRPr="003262A5">
        <w:t xml:space="preserve">. Den kliniske signifikans for disse data er ikke kendt (se pkt. 4.4). </w:t>
      </w:r>
    </w:p>
    <w:p w:rsidR="005B4E3C" w:rsidRPr="003262A5" w:rsidRDefault="005B4E3C" w:rsidP="005B4E3C">
      <w:pPr>
        <w:pStyle w:val="Default"/>
        <w:ind w:left="851"/>
      </w:pPr>
    </w:p>
    <w:p w:rsidR="005B4E3C" w:rsidRPr="003262A5" w:rsidRDefault="005B4E3C" w:rsidP="005B4E3C">
      <w:pPr>
        <w:pStyle w:val="Default"/>
        <w:ind w:left="851"/>
        <w:rPr>
          <w:u w:val="single"/>
        </w:rPr>
      </w:pPr>
      <w:proofErr w:type="spellStart"/>
      <w:r w:rsidRPr="003262A5">
        <w:rPr>
          <w:u w:val="single"/>
        </w:rPr>
        <w:t>Docetaxel</w:t>
      </w:r>
      <w:proofErr w:type="spellEnd"/>
      <w:r w:rsidRPr="003262A5">
        <w:rPr>
          <w:u w:val="single"/>
        </w:rPr>
        <w:t xml:space="preserve"> </w:t>
      </w:r>
    </w:p>
    <w:p w:rsidR="005B4E3C" w:rsidRPr="003262A5" w:rsidRDefault="005B4E3C" w:rsidP="005B4E3C">
      <w:pPr>
        <w:pStyle w:val="Default"/>
        <w:ind w:left="851"/>
      </w:pPr>
      <w:r w:rsidRPr="003262A5">
        <w:t xml:space="preserve">Samtidig administration af </w:t>
      </w:r>
      <w:proofErr w:type="spellStart"/>
      <w:r w:rsidRPr="003262A5">
        <w:t>docetaxel</w:t>
      </w:r>
      <w:proofErr w:type="spellEnd"/>
      <w:r w:rsidRPr="003262A5">
        <w:t xml:space="preserve"> (75 eller 100 mg/m</w:t>
      </w:r>
      <w:r w:rsidRPr="003262A5">
        <w:rPr>
          <w:vertAlign w:val="superscript"/>
        </w:rPr>
        <w:t>2</w:t>
      </w:r>
      <w:r w:rsidRPr="003262A5">
        <w:t xml:space="preserve"> administreret en gang hver 21. dag) og </w:t>
      </w:r>
      <w:proofErr w:type="spellStart"/>
      <w:r w:rsidRPr="003262A5">
        <w:t>sorafenib</w:t>
      </w:r>
      <w:proofErr w:type="spellEnd"/>
      <w:r w:rsidRPr="003262A5">
        <w:t xml:space="preserve"> (200 mg to gange daglig eller 400 mg to gange daglig på dag 2 til og med 19 i en 21-dags cyklus med en 3 dages pause i doseringen omkring administrationen af </w:t>
      </w:r>
      <w:proofErr w:type="spellStart"/>
      <w:r w:rsidRPr="003262A5">
        <w:t>docetaxel</w:t>
      </w:r>
      <w:proofErr w:type="spellEnd"/>
      <w:r w:rsidRPr="003262A5">
        <w:t xml:space="preserve">) resulterede i en 36-80 % stigning i AUC for </w:t>
      </w:r>
      <w:proofErr w:type="spellStart"/>
      <w:r w:rsidRPr="003262A5">
        <w:t>docetaxel</w:t>
      </w:r>
      <w:proofErr w:type="spellEnd"/>
      <w:r w:rsidRPr="003262A5">
        <w:t xml:space="preserve"> og en 16-32 % øgning af </w:t>
      </w:r>
      <w:proofErr w:type="spellStart"/>
      <w:r w:rsidRPr="003262A5">
        <w:t>C</w:t>
      </w:r>
      <w:r w:rsidRPr="003262A5">
        <w:rPr>
          <w:vertAlign w:val="subscript"/>
        </w:rPr>
        <w:t>max</w:t>
      </w:r>
      <w:proofErr w:type="spellEnd"/>
      <w:r w:rsidRPr="003262A5">
        <w:rPr>
          <w:vertAlign w:val="subscript"/>
        </w:rPr>
        <w:t xml:space="preserve"> </w:t>
      </w:r>
      <w:r w:rsidRPr="003262A5">
        <w:t xml:space="preserve">for </w:t>
      </w:r>
      <w:proofErr w:type="spellStart"/>
      <w:r w:rsidRPr="003262A5">
        <w:t>docetaxel</w:t>
      </w:r>
      <w:proofErr w:type="spellEnd"/>
      <w:r w:rsidRPr="003262A5">
        <w:t xml:space="preserve">. Der bør udvises forsigtighed, når </w:t>
      </w:r>
      <w:proofErr w:type="spellStart"/>
      <w:r w:rsidRPr="003262A5">
        <w:t>sorafenib</w:t>
      </w:r>
      <w:proofErr w:type="spellEnd"/>
      <w:r w:rsidRPr="003262A5">
        <w:t xml:space="preserve"> administreres sammen med </w:t>
      </w:r>
      <w:proofErr w:type="spellStart"/>
      <w:r w:rsidRPr="003262A5">
        <w:t>docetaxel</w:t>
      </w:r>
      <w:proofErr w:type="spellEnd"/>
      <w:r w:rsidRPr="003262A5">
        <w:t xml:space="preserve"> (se pkt. 4.4).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Kombination med andre lægemidler </w:t>
      </w:r>
    </w:p>
    <w:p w:rsidR="005B4E3C" w:rsidRPr="003262A5" w:rsidRDefault="005B4E3C" w:rsidP="005B4E3C">
      <w:pPr>
        <w:pStyle w:val="Default"/>
        <w:ind w:left="851"/>
        <w:rPr>
          <w:i/>
          <w:iCs/>
          <w:u w:val="single"/>
        </w:rPr>
      </w:pPr>
    </w:p>
    <w:p w:rsidR="005B4E3C" w:rsidRPr="003262A5" w:rsidRDefault="005B4E3C" w:rsidP="005B4E3C">
      <w:pPr>
        <w:pStyle w:val="Default"/>
        <w:ind w:left="851"/>
      </w:pPr>
      <w:proofErr w:type="spellStart"/>
      <w:r w:rsidRPr="003262A5">
        <w:rPr>
          <w:i/>
          <w:iCs/>
        </w:rPr>
        <w:t>Neomycin</w:t>
      </w:r>
      <w:proofErr w:type="spellEnd"/>
      <w:r w:rsidRPr="003262A5">
        <w:rPr>
          <w:i/>
          <w:iCs/>
        </w:rPr>
        <w:t xml:space="preserve"> </w:t>
      </w:r>
    </w:p>
    <w:p w:rsidR="005B4E3C" w:rsidRPr="003262A5" w:rsidRDefault="005B4E3C" w:rsidP="005B4E3C">
      <w:pPr>
        <w:tabs>
          <w:tab w:val="left" w:pos="851"/>
        </w:tabs>
        <w:ind w:left="851"/>
        <w:rPr>
          <w:sz w:val="24"/>
          <w:szCs w:val="24"/>
        </w:rPr>
      </w:pPr>
      <w:r w:rsidRPr="003262A5">
        <w:rPr>
          <w:sz w:val="24"/>
          <w:szCs w:val="24"/>
        </w:rPr>
        <w:t xml:space="preserve">Samtidig indgift af </w:t>
      </w:r>
      <w:proofErr w:type="spellStart"/>
      <w:r w:rsidRPr="003262A5">
        <w:rPr>
          <w:sz w:val="24"/>
          <w:szCs w:val="24"/>
        </w:rPr>
        <w:t>neomycin</w:t>
      </w:r>
      <w:proofErr w:type="spellEnd"/>
      <w:r w:rsidRPr="003262A5">
        <w:rPr>
          <w:sz w:val="24"/>
          <w:szCs w:val="24"/>
        </w:rPr>
        <w:t xml:space="preserve">, et ikke-systemisk, antimikrobielt stof, der anvendes til at </w:t>
      </w:r>
      <w:proofErr w:type="spellStart"/>
      <w:r w:rsidRPr="003262A5">
        <w:rPr>
          <w:sz w:val="24"/>
          <w:szCs w:val="24"/>
        </w:rPr>
        <w:t>eradikere</w:t>
      </w:r>
      <w:proofErr w:type="spellEnd"/>
      <w:r w:rsidRPr="003262A5">
        <w:rPr>
          <w:sz w:val="24"/>
          <w:szCs w:val="24"/>
        </w:rPr>
        <w:t xml:space="preserve"> bakteriefloraen i mave og tarm, påvirker </w:t>
      </w:r>
      <w:proofErr w:type="spellStart"/>
      <w:r w:rsidRPr="003262A5">
        <w:rPr>
          <w:sz w:val="24"/>
          <w:szCs w:val="24"/>
        </w:rPr>
        <w:t>sorafenibs</w:t>
      </w:r>
      <w:proofErr w:type="spellEnd"/>
      <w:r w:rsidRPr="003262A5">
        <w:rPr>
          <w:sz w:val="24"/>
          <w:szCs w:val="24"/>
        </w:rPr>
        <w:t xml:space="preserve"> </w:t>
      </w:r>
      <w:proofErr w:type="spellStart"/>
      <w:r w:rsidRPr="003262A5">
        <w:rPr>
          <w:sz w:val="24"/>
          <w:szCs w:val="24"/>
        </w:rPr>
        <w:t>enterohepatiske</w:t>
      </w:r>
      <w:proofErr w:type="spellEnd"/>
      <w:r w:rsidRPr="003262A5">
        <w:rPr>
          <w:sz w:val="24"/>
          <w:szCs w:val="24"/>
        </w:rPr>
        <w:t xml:space="preserve"> recirkulation (se pkt. 5.2, </w:t>
      </w:r>
      <w:r>
        <w:rPr>
          <w:sz w:val="24"/>
          <w:szCs w:val="24"/>
        </w:rPr>
        <w:t>"</w:t>
      </w:r>
      <w:r w:rsidRPr="003262A5">
        <w:rPr>
          <w:sz w:val="24"/>
          <w:szCs w:val="24"/>
        </w:rPr>
        <w:t>Metabolisme og elimination</w:t>
      </w:r>
      <w:r>
        <w:rPr>
          <w:sz w:val="24"/>
          <w:szCs w:val="24"/>
        </w:rPr>
        <w:t>"</w:t>
      </w:r>
      <w:r w:rsidRPr="003262A5">
        <w:rPr>
          <w:sz w:val="24"/>
          <w:szCs w:val="24"/>
        </w:rPr>
        <w:t xml:space="preserve">). Dette medfører en nedsat </w:t>
      </w:r>
      <w:proofErr w:type="spellStart"/>
      <w:r w:rsidRPr="003262A5">
        <w:rPr>
          <w:sz w:val="24"/>
          <w:szCs w:val="24"/>
        </w:rPr>
        <w:t>sorafenib</w:t>
      </w:r>
      <w:proofErr w:type="spellEnd"/>
      <w:r w:rsidRPr="003262A5">
        <w:rPr>
          <w:sz w:val="24"/>
          <w:szCs w:val="24"/>
        </w:rPr>
        <w:t xml:space="preserve">-eksponering. Hos raske frivillige personer, der blev behandlet med </w:t>
      </w:r>
      <w:proofErr w:type="spellStart"/>
      <w:r w:rsidRPr="003262A5">
        <w:rPr>
          <w:sz w:val="24"/>
          <w:szCs w:val="24"/>
        </w:rPr>
        <w:t>neomycin</w:t>
      </w:r>
      <w:proofErr w:type="spellEnd"/>
      <w:r w:rsidRPr="003262A5">
        <w:rPr>
          <w:sz w:val="24"/>
          <w:szCs w:val="24"/>
        </w:rPr>
        <w:t xml:space="preserve"> i 5 dage, faldt den gennemsnitlige eksponering for </w:t>
      </w:r>
      <w:proofErr w:type="spellStart"/>
      <w:r w:rsidRPr="003262A5">
        <w:rPr>
          <w:sz w:val="24"/>
          <w:szCs w:val="24"/>
        </w:rPr>
        <w:t>sorafenib</w:t>
      </w:r>
      <w:proofErr w:type="spellEnd"/>
      <w:r w:rsidRPr="003262A5">
        <w:rPr>
          <w:sz w:val="24"/>
          <w:szCs w:val="24"/>
        </w:rPr>
        <w:t xml:space="preserve"> med 54 %. Virkningen af andre antibiotika er ikke blevet undersøgt, men disse har sandsynligvis også evnen til at påvirke mikroorganismer med </w:t>
      </w:r>
      <w:proofErr w:type="spellStart"/>
      <w:r w:rsidRPr="003262A5">
        <w:rPr>
          <w:sz w:val="24"/>
          <w:szCs w:val="24"/>
        </w:rPr>
        <w:t>glukuronidaseaktivitet</w:t>
      </w:r>
      <w:proofErr w:type="spellEnd"/>
      <w:r w:rsidRPr="003262A5">
        <w:rPr>
          <w:sz w:val="24"/>
          <w:szCs w:val="24"/>
        </w:rPr>
        <w: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4.6</w:t>
      </w:r>
      <w:r w:rsidRPr="003262A5">
        <w:rPr>
          <w:b/>
          <w:sz w:val="24"/>
          <w:szCs w:val="24"/>
        </w:rPr>
        <w:tab/>
      </w:r>
      <w:r w:rsidR="00BF2E84">
        <w:rPr>
          <w:b/>
          <w:sz w:val="24"/>
          <w:szCs w:val="24"/>
        </w:rPr>
        <w:t xml:space="preserve">Fertilitet, </w:t>
      </w:r>
      <w:r w:rsidR="00215185">
        <w:rPr>
          <w:b/>
          <w:sz w:val="24"/>
          <w:szCs w:val="24"/>
        </w:rPr>
        <w:t>g</w:t>
      </w:r>
      <w:r w:rsidRPr="003262A5">
        <w:rPr>
          <w:b/>
          <w:sz w:val="24"/>
          <w:szCs w:val="24"/>
        </w:rPr>
        <w:t>raviditet og amning</w:t>
      </w:r>
    </w:p>
    <w:p w:rsidR="005B4E3C"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Graviditet </w:t>
      </w:r>
    </w:p>
    <w:p w:rsidR="005B4E3C" w:rsidRPr="003262A5" w:rsidRDefault="005B4E3C" w:rsidP="005B4E3C">
      <w:pPr>
        <w:pStyle w:val="Default"/>
        <w:ind w:left="851"/>
      </w:pPr>
      <w:r w:rsidRPr="003262A5">
        <w:t xml:space="preserve">Der er ingen data fra anvendelse af </w:t>
      </w:r>
      <w:proofErr w:type="spellStart"/>
      <w:r w:rsidRPr="003262A5">
        <w:t>sorafenib</w:t>
      </w:r>
      <w:proofErr w:type="spellEnd"/>
      <w:r w:rsidRPr="003262A5">
        <w:t xml:space="preserve"> til gravide kvinder. Dyrestudier har påvist reproduktionstoksicitet, herunder fosterskader (se pkt. 5.3). Hos rotter blev det vist, at </w:t>
      </w:r>
      <w:proofErr w:type="spellStart"/>
      <w:r w:rsidRPr="003262A5">
        <w:t>sorafenib</w:t>
      </w:r>
      <w:proofErr w:type="spellEnd"/>
      <w:r w:rsidRPr="003262A5">
        <w:t xml:space="preserve"> og dets metabolitter passerer placenta, og </w:t>
      </w:r>
      <w:proofErr w:type="spellStart"/>
      <w:r w:rsidRPr="003262A5">
        <w:t>sorafenib</w:t>
      </w:r>
      <w:proofErr w:type="spellEnd"/>
      <w:r w:rsidRPr="003262A5">
        <w:t xml:space="preserve"> forventes at skade fostret. </w:t>
      </w:r>
      <w:proofErr w:type="spellStart"/>
      <w:r w:rsidRPr="003262A5">
        <w:t>Sorafenib</w:t>
      </w:r>
      <w:proofErr w:type="spellEnd"/>
      <w:r w:rsidRPr="003262A5">
        <w:t xml:space="preserve"> bør ikke anvendes under graviditet, medmindre det er klart nødvendigt og i så fald kun efter nøje overvejelse af moderens behov og risikoen for fostret. </w:t>
      </w:r>
    </w:p>
    <w:p w:rsidR="005B4E3C" w:rsidRPr="003262A5" w:rsidRDefault="005B4E3C" w:rsidP="005B4E3C">
      <w:pPr>
        <w:pStyle w:val="Default"/>
        <w:ind w:left="851"/>
      </w:pPr>
      <w:r w:rsidRPr="003262A5">
        <w:t xml:space="preserve">Kvinder i den fertile alder skal anvende sikker </w:t>
      </w:r>
      <w:proofErr w:type="spellStart"/>
      <w:r w:rsidRPr="003262A5">
        <w:t>kontraception</w:t>
      </w:r>
      <w:proofErr w:type="spellEnd"/>
      <w:r w:rsidRPr="003262A5">
        <w:t xml:space="preserve"> under behandlingen. </w:t>
      </w:r>
    </w:p>
    <w:p w:rsidR="005B4E3C" w:rsidRPr="003262A5"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Amning </w:t>
      </w:r>
    </w:p>
    <w:p w:rsidR="005B4E3C" w:rsidRPr="003262A5" w:rsidRDefault="005B4E3C" w:rsidP="005B4E3C">
      <w:pPr>
        <w:pStyle w:val="Default"/>
        <w:ind w:left="851"/>
      </w:pPr>
      <w:r w:rsidRPr="003262A5">
        <w:t xml:space="preserve">Det vides ikke, om </w:t>
      </w:r>
      <w:proofErr w:type="spellStart"/>
      <w:r w:rsidRPr="003262A5">
        <w:t>sorafenib</w:t>
      </w:r>
      <w:proofErr w:type="spellEnd"/>
      <w:r w:rsidRPr="003262A5">
        <w:t xml:space="preserve"> udskilles i human mælk. Hos dyr blev </w:t>
      </w:r>
      <w:proofErr w:type="spellStart"/>
      <w:r w:rsidRPr="003262A5">
        <w:t>sorafenib</w:t>
      </w:r>
      <w:proofErr w:type="spellEnd"/>
      <w:r w:rsidRPr="003262A5">
        <w:t xml:space="preserve"> og/eller dets metabolitter udskilt i mælken. Da </w:t>
      </w:r>
      <w:proofErr w:type="spellStart"/>
      <w:r w:rsidRPr="003262A5">
        <w:t>sorafenib</w:t>
      </w:r>
      <w:proofErr w:type="spellEnd"/>
      <w:r w:rsidRPr="003262A5">
        <w:t xml:space="preserve"> kan skade barnets vækst og udvikling (se pkt. 5.3), må kvinder ikke amme under behandling med </w:t>
      </w:r>
      <w:proofErr w:type="spellStart"/>
      <w:r w:rsidRPr="003262A5">
        <w:t>sorafenib</w:t>
      </w:r>
      <w:proofErr w:type="spellEnd"/>
      <w:r w:rsidRPr="003262A5">
        <w:t xml:space="preserve"> (se pkt. 4.3). </w:t>
      </w:r>
    </w:p>
    <w:p w:rsidR="005B4E3C" w:rsidRPr="003262A5" w:rsidRDefault="005B4E3C" w:rsidP="005B4E3C">
      <w:pPr>
        <w:pStyle w:val="Default"/>
        <w:ind w:left="851"/>
      </w:pPr>
    </w:p>
    <w:p w:rsidR="005B4E3C" w:rsidRPr="003262A5" w:rsidRDefault="005B4E3C" w:rsidP="006C461B">
      <w:pPr>
        <w:pStyle w:val="Default"/>
        <w:keepNext/>
        <w:ind w:left="851"/>
        <w:rPr>
          <w:u w:val="single"/>
        </w:rPr>
      </w:pPr>
      <w:r w:rsidRPr="003262A5">
        <w:rPr>
          <w:u w:val="single"/>
        </w:rPr>
        <w:t xml:space="preserve">Fertilitet </w:t>
      </w:r>
    </w:p>
    <w:p w:rsidR="005B4E3C" w:rsidRPr="003262A5" w:rsidRDefault="005B4E3C" w:rsidP="005B4E3C">
      <w:pPr>
        <w:pStyle w:val="Default"/>
        <w:ind w:left="851"/>
      </w:pPr>
      <w:r w:rsidRPr="003262A5">
        <w:t xml:space="preserve">Resultater fra dyrestudier indikerer yderligere, at </w:t>
      </w:r>
      <w:proofErr w:type="spellStart"/>
      <w:r w:rsidRPr="003262A5">
        <w:t>sorafenib</w:t>
      </w:r>
      <w:proofErr w:type="spellEnd"/>
      <w:r w:rsidRPr="003262A5">
        <w:t xml:space="preserve"> kan nedsætte den mandlige og kvindelige fertilitet (se pkt. 5.3).</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4.7</w:t>
      </w:r>
      <w:r w:rsidRPr="003262A5">
        <w:rPr>
          <w:b/>
          <w:sz w:val="24"/>
          <w:szCs w:val="24"/>
        </w:rPr>
        <w:tab/>
        <w:t xml:space="preserve">Virkning på evnen til at føre motorkøretøj </w:t>
      </w:r>
      <w:r w:rsidR="00215185">
        <w:rPr>
          <w:b/>
          <w:sz w:val="24"/>
          <w:szCs w:val="24"/>
        </w:rPr>
        <w:t>og</w:t>
      </w:r>
      <w:r w:rsidRPr="003262A5">
        <w:rPr>
          <w:b/>
          <w:sz w:val="24"/>
          <w:szCs w:val="24"/>
        </w:rPr>
        <w:t xml:space="preserve"> betjene maskiner</w:t>
      </w:r>
    </w:p>
    <w:p w:rsidR="005B4E3C" w:rsidRDefault="005B4E3C" w:rsidP="005B4E3C">
      <w:pPr>
        <w:pStyle w:val="Default"/>
        <w:ind w:left="851"/>
      </w:pPr>
      <w:r>
        <w:t>Ikke mærkning.</w:t>
      </w:r>
    </w:p>
    <w:p w:rsidR="005B4E3C" w:rsidRPr="003262A5" w:rsidRDefault="005B4E3C" w:rsidP="005B4E3C">
      <w:pPr>
        <w:pStyle w:val="Default"/>
        <w:ind w:left="851"/>
      </w:pPr>
      <w:r w:rsidRPr="003262A5">
        <w:t xml:space="preserve">Der er ikke foretaget undersøgelser af virkningen på evnen til at føre motorkøretøj og betjene maskiner. Der er intet, der tyder på, at </w:t>
      </w:r>
      <w:proofErr w:type="spellStart"/>
      <w:r w:rsidRPr="003262A5">
        <w:t>sorafenib</w:t>
      </w:r>
      <w:proofErr w:type="spellEnd"/>
      <w:r w:rsidRPr="003262A5">
        <w:t xml:space="preserve"> påvirker evnen til at føre motorkøretøj eller betjene maskiner.</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lastRenderedPageBreak/>
        <w:t>4.8</w:t>
      </w:r>
      <w:r w:rsidRPr="003262A5">
        <w:rPr>
          <w:b/>
          <w:sz w:val="24"/>
          <w:szCs w:val="24"/>
        </w:rPr>
        <w:tab/>
        <w:t>Bivirkninger</w:t>
      </w:r>
    </w:p>
    <w:p w:rsidR="005B4E3C" w:rsidRPr="003262A5" w:rsidRDefault="005B4E3C" w:rsidP="005B4E3C">
      <w:pPr>
        <w:pStyle w:val="Default"/>
        <w:ind w:left="851"/>
      </w:pPr>
      <w:r w:rsidRPr="003262A5">
        <w:t>De vigtigste alvorlige bivirkninger var myokardieinfarkt/</w:t>
      </w:r>
      <w:proofErr w:type="spellStart"/>
      <w:r w:rsidRPr="003262A5">
        <w:t>myokardieiskæmi</w:t>
      </w:r>
      <w:proofErr w:type="spellEnd"/>
      <w:r w:rsidRPr="003262A5">
        <w:t xml:space="preserve">, </w:t>
      </w:r>
      <w:proofErr w:type="spellStart"/>
      <w:r w:rsidRPr="003262A5">
        <w:t>gastrointestinal</w:t>
      </w:r>
      <w:proofErr w:type="spellEnd"/>
      <w:r w:rsidRPr="003262A5">
        <w:t xml:space="preserve"> perforation, lægemiddelinduceret hepatitis, blødning og hypertension/</w:t>
      </w:r>
      <w:proofErr w:type="spellStart"/>
      <w:r w:rsidRPr="003262A5">
        <w:t>hypertensiv</w:t>
      </w:r>
      <w:proofErr w:type="spellEnd"/>
      <w:r w:rsidRPr="003262A5">
        <w:t xml:space="preserve"> krise.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De hyppigste bivirkninger var diarré, træthed, </w:t>
      </w:r>
      <w:proofErr w:type="spellStart"/>
      <w:r w:rsidRPr="003262A5">
        <w:t>alopeci</w:t>
      </w:r>
      <w:proofErr w:type="spellEnd"/>
      <w:r w:rsidRPr="003262A5">
        <w:t xml:space="preserve">, infektion, hånd-fod-hud-reaktion (HFSR) (svarende til </w:t>
      </w:r>
      <w:proofErr w:type="spellStart"/>
      <w:r w:rsidRPr="003262A5">
        <w:t>palmoplantar</w:t>
      </w:r>
      <w:proofErr w:type="spellEnd"/>
      <w:r w:rsidRPr="003262A5">
        <w:t xml:space="preserve"> </w:t>
      </w:r>
      <w:proofErr w:type="spellStart"/>
      <w:r w:rsidRPr="003262A5">
        <w:t>erytrodysæstesisyndrom</w:t>
      </w:r>
      <w:proofErr w:type="spellEnd"/>
      <w:r w:rsidRPr="003262A5">
        <w:t xml:space="preserve"> i </w:t>
      </w:r>
      <w:proofErr w:type="spellStart"/>
      <w:r w:rsidRPr="003262A5">
        <w:t>MedDRA</w:t>
      </w:r>
      <w:proofErr w:type="spellEnd"/>
      <w:r w:rsidRPr="003262A5">
        <w:t xml:space="preserve">) samt udslæt.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Bivirkninger set under multiple kliniske studier eller under brug efter markedsføringen er opført nedenfor i tabel 1. Tabellen er inddelt efter systemorganklasse (i </w:t>
      </w:r>
      <w:proofErr w:type="spellStart"/>
      <w:r w:rsidRPr="003262A5">
        <w:t>MedDRA</w:t>
      </w:r>
      <w:proofErr w:type="spellEnd"/>
      <w:r w:rsidRPr="003262A5">
        <w:t xml:space="preserve">) og i hyppighed. Hyppighederne er defineret som: </w:t>
      </w:r>
      <w:r>
        <w:t>M</w:t>
      </w:r>
      <w:r w:rsidRPr="003262A5">
        <w:t xml:space="preserve">eget almindelig (≥ 1/10), almindelig (≥ 1/100 til &lt; 1/10), ikke almindelig (≥ 1/1.000 til &lt; 1/100), sjælden (≥ 1/10.000 til &lt; 1/1.000), ikke kendt (kan ikke estimeres ud fra forhåndenværende data). </w:t>
      </w:r>
    </w:p>
    <w:p w:rsidR="005B4E3C" w:rsidRPr="003262A5" w:rsidRDefault="005B4E3C" w:rsidP="005B4E3C">
      <w:pPr>
        <w:pStyle w:val="Default"/>
        <w:ind w:left="851"/>
      </w:pPr>
      <w:r w:rsidRPr="003262A5">
        <w:t xml:space="preserve">Bivirkningerne er præsenteret i faldende alvorlighed inden for hver hyppighed. </w:t>
      </w:r>
    </w:p>
    <w:p w:rsidR="005B4E3C" w:rsidRPr="003262A5" w:rsidRDefault="005B4E3C" w:rsidP="005B4E3C">
      <w:pPr>
        <w:pStyle w:val="Default"/>
      </w:pPr>
    </w:p>
    <w:p w:rsidR="00A43F68" w:rsidRDefault="00A43F68" w:rsidP="00A43F68">
      <w:pPr>
        <w:pStyle w:val="Default"/>
        <w:rPr>
          <w:b/>
          <w:bCs/>
        </w:rPr>
      </w:pPr>
      <w:r>
        <w:rPr>
          <w:b/>
          <w:bCs/>
        </w:rPr>
        <w:t>Tabel 1: Alle bivirkninger rapporteret hos patienter i multiple kliniske studier eller under brug efter markedsføringen</w:t>
      </w:r>
    </w:p>
    <w:p w:rsidR="00A43F68" w:rsidRDefault="00A43F68" w:rsidP="00A43F68">
      <w:pPr>
        <w:pStyle w:val="Default"/>
        <w:rPr>
          <w:b/>
          <w:bCs/>
        </w:rPr>
      </w:pPr>
    </w:p>
    <w:tbl>
      <w:tblPr>
        <w:tblW w:w="10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7"/>
        <w:gridCol w:w="1672"/>
        <w:gridCol w:w="1821"/>
        <w:gridCol w:w="2036"/>
        <w:gridCol w:w="1559"/>
        <w:gridCol w:w="1610"/>
      </w:tblGrid>
      <w:tr w:rsidR="00A43F68" w:rsidTr="00A43F68">
        <w:trPr>
          <w:tblHeader/>
        </w:trPr>
        <w:tc>
          <w:tcPr>
            <w:tcW w:w="1696" w:type="dxa"/>
            <w:tcBorders>
              <w:top w:val="single" w:sz="4" w:space="0" w:color="auto"/>
              <w:left w:val="single" w:sz="4" w:space="0" w:color="auto"/>
              <w:bottom w:val="single" w:sz="12"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Systemorgan</w:t>
            </w:r>
            <w:r>
              <w:rPr>
                <w:sz w:val="22"/>
                <w:szCs w:val="22"/>
              </w:rPr>
              <w:softHyphen/>
              <w:t xml:space="preserve">klasse </w:t>
            </w:r>
          </w:p>
        </w:tc>
        <w:tc>
          <w:tcPr>
            <w:tcW w:w="1672" w:type="dxa"/>
            <w:tcBorders>
              <w:top w:val="single" w:sz="4" w:space="0" w:color="auto"/>
              <w:left w:val="single" w:sz="12" w:space="0" w:color="auto"/>
              <w:bottom w:val="single" w:sz="12"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Meget almindelig </w:t>
            </w:r>
          </w:p>
        </w:tc>
        <w:tc>
          <w:tcPr>
            <w:tcW w:w="1821"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Almindelig </w:t>
            </w:r>
          </w:p>
        </w:tc>
        <w:tc>
          <w:tcPr>
            <w:tcW w:w="2036"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Ikke almindelig </w:t>
            </w:r>
          </w:p>
        </w:tc>
        <w:tc>
          <w:tcPr>
            <w:tcW w:w="1559"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Sjælden </w:t>
            </w:r>
          </w:p>
        </w:tc>
        <w:tc>
          <w:tcPr>
            <w:tcW w:w="1610" w:type="dxa"/>
            <w:tcBorders>
              <w:top w:val="single" w:sz="4" w:space="0" w:color="auto"/>
              <w:left w:val="single" w:sz="4" w:space="0" w:color="auto"/>
              <w:bottom w:val="single" w:sz="12"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Ikke kendt </w:t>
            </w:r>
          </w:p>
        </w:tc>
      </w:tr>
      <w:tr w:rsidR="00A43F68" w:rsidTr="00A43F68">
        <w:tc>
          <w:tcPr>
            <w:tcW w:w="1696" w:type="dxa"/>
            <w:tcBorders>
              <w:top w:val="single" w:sz="12"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Infektioner og parasitære sygdomme </w:t>
            </w:r>
          </w:p>
        </w:tc>
        <w:tc>
          <w:tcPr>
            <w:tcW w:w="1672" w:type="dxa"/>
            <w:tcBorders>
              <w:top w:val="single" w:sz="12"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infektion </w:t>
            </w:r>
          </w:p>
        </w:tc>
        <w:tc>
          <w:tcPr>
            <w:tcW w:w="1821"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follikulitis</w:t>
            </w:r>
            <w:proofErr w:type="spellEnd"/>
            <w:r>
              <w:rPr>
                <w:sz w:val="22"/>
                <w:szCs w:val="22"/>
              </w:rPr>
              <w:t xml:space="preserve"> </w:t>
            </w:r>
          </w:p>
        </w:tc>
        <w:tc>
          <w:tcPr>
            <w:tcW w:w="2036"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559"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12"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Blod og lymfesystem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lymfopeni</w:t>
            </w:r>
            <w:proofErr w:type="spellEnd"/>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leukopeni</w:t>
            </w:r>
            <w:proofErr w:type="spellEnd"/>
            <w:r>
              <w:rPr>
                <w:sz w:val="22"/>
                <w:szCs w:val="22"/>
              </w:rPr>
              <w:t xml:space="preserve"> </w:t>
            </w:r>
          </w:p>
          <w:p w:rsidR="00A43F68" w:rsidRDefault="00A43F68">
            <w:pPr>
              <w:pStyle w:val="Default"/>
              <w:rPr>
                <w:sz w:val="22"/>
                <w:szCs w:val="22"/>
              </w:rPr>
            </w:pPr>
            <w:proofErr w:type="spellStart"/>
            <w:r>
              <w:rPr>
                <w:sz w:val="22"/>
                <w:szCs w:val="22"/>
              </w:rPr>
              <w:t>neutropeni</w:t>
            </w:r>
            <w:proofErr w:type="spellEnd"/>
            <w:r>
              <w:rPr>
                <w:sz w:val="22"/>
                <w:szCs w:val="22"/>
              </w:rPr>
              <w:t xml:space="preserve"> </w:t>
            </w:r>
          </w:p>
          <w:p w:rsidR="00A43F68" w:rsidRDefault="00A43F68">
            <w:pPr>
              <w:pStyle w:val="Default"/>
              <w:rPr>
                <w:sz w:val="22"/>
                <w:szCs w:val="22"/>
              </w:rPr>
            </w:pPr>
            <w:r>
              <w:rPr>
                <w:sz w:val="22"/>
                <w:szCs w:val="22"/>
              </w:rPr>
              <w:t xml:space="preserve">anæmi </w:t>
            </w:r>
          </w:p>
          <w:p w:rsidR="00A43F68" w:rsidRDefault="00A43F68">
            <w:pPr>
              <w:pStyle w:val="Default"/>
              <w:rPr>
                <w:sz w:val="22"/>
                <w:szCs w:val="22"/>
              </w:rPr>
            </w:pPr>
            <w:proofErr w:type="spellStart"/>
            <w:r>
              <w:rPr>
                <w:sz w:val="22"/>
                <w:szCs w:val="22"/>
              </w:rPr>
              <w:t>trombocytopeni</w:t>
            </w:r>
            <w:proofErr w:type="spellEnd"/>
            <w:r>
              <w:rPr>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Immunsystemet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overfølsomheds-reaktioner (inklusive hudreaktioner og </w:t>
            </w:r>
            <w:proofErr w:type="spellStart"/>
            <w:r>
              <w:rPr>
                <w:sz w:val="22"/>
                <w:szCs w:val="22"/>
              </w:rPr>
              <w:t>urticaria</w:t>
            </w:r>
            <w:proofErr w:type="spellEnd"/>
            <w:r>
              <w:rPr>
                <w:sz w:val="22"/>
                <w:szCs w:val="22"/>
              </w:rPr>
              <w:t xml:space="preserve">) </w:t>
            </w:r>
          </w:p>
          <w:p w:rsidR="00A43F68" w:rsidRDefault="00A43F68">
            <w:pPr>
              <w:pStyle w:val="Default"/>
              <w:rPr>
                <w:sz w:val="22"/>
                <w:szCs w:val="22"/>
              </w:rPr>
            </w:pPr>
            <w:proofErr w:type="spellStart"/>
            <w:r>
              <w:rPr>
                <w:sz w:val="22"/>
                <w:szCs w:val="22"/>
              </w:rPr>
              <w:t>anafylaktisk</w:t>
            </w:r>
            <w:proofErr w:type="spellEnd"/>
            <w:r>
              <w:rPr>
                <w:sz w:val="22"/>
                <w:szCs w:val="22"/>
              </w:rPr>
              <w:t xml:space="preserve"> reaktion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roofErr w:type="spellStart"/>
            <w:r>
              <w:rPr>
                <w:sz w:val="22"/>
                <w:szCs w:val="22"/>
              </w:rPr>
              <w:t>angioødem</w:t>
            </w:r>
            <w:proofErr w:type="spellEnd"/>
            <w:r>
              <w:rPr>
                <w:sz w:val="22"/>
                <w:szCs w:val="22"/>
              </w:rPr>
              <w:t xml:space="preserve"> </w:t>
            </w:r>
          </w:p>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Det endokrine system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rPr>
                <w:rFonts w:eastAsia="Calibri"/>
                <w:color w:val="000000"/>
                <w:sz w:val="22"/>
                <w:szCs w:val="22"/>
              </w:rPr>
            </w:pPr>
            <w:proofErr w:type="spellStart"/>
            <w:r>
              <w:rPr>
                <w:rFonts w:eastAsia="Calibri"/>
                <w:color w:val="000000"/>
                <w:sz w:val="22"/>
                <w:szCs w:val="22"/>
              </w:rPr>
              <w:t>hypotyreoidisme</w:t>
            </w:r>
            <w:proofErr w:type="spellEnd"/>
            <w:r>
              <w:rPr>
                <w:rFonts w:eastAsia="Calibri"/>
                <w:color w:val="000000"/>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rPr>
                <w:rFonts w:eastAsia="Calibri"/>
                <w:color w:val="000000"/>
                <w:sz w:val="22"/>
                <w:szCs w:val="22"/>
              </w:rPr>
            </w:pPr>
            <w:proofErr w:type="spellStart"/>
            <w:r>
              <w:rPr>
                <w:rFonts w:eastAsia="Calibri"/>
                <w:color w:val="000000"/>
                <w:sz w:val="22"/>
                <w:szCs w:val="22"/>
              </w:rPr>
              <w:t>hypertyreoidisme</w:t>
            </w:r>
            <w:proofErr w:type="spellEnd"/>
            <w:r>
              <w:rPr>
                <w:rFonts w:eastAsia="Calibri"/>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Metabolisme og ernæring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anoreksi </w:t>
            </w:r>
          </w:p>
          <w:p w:rsidR="00A43F68" w:rsidRDefault="00A43F68">
            <w:pPr>
              <w:pStyle w:val="Default"/>
              <w:rPr>
                <w:sz w:val="22"/>
                <w:szCs w:val="22"/>
              </w:rPr>
            </w:pPr>
            <w:proofErr w:type="spellStart"/>
            <w:r>
              <w:rPr>
                <w:sz w:val="22"/>
                <w:szCs w:val="22"/>
              </w:rPr>
              <w:t>hypofosfatæmi</w:t>
            </w:r>
            <w:proofErr w:type="spellEnd"/>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hypokalcæmi</w:t>
            </w:r>
            <w:proofErr w:type="spellEnd"/>
            <w:r>
              <w:rPr>
                <w:sz w:val="22"/>
                <w:szCs w:val="22"/>
              </w:rPr>
              <w:t xml:space="preserve"> </w:t>
            </w:r>
          </w:p>
          <w:p w:rsidR="00A43F68" w:rsidRDefault="00A43F68">
            <w:pPr>
              <w:pStyle w:val="Default"/>
              <w:rPr>
                <w:sz w:val="22"/>
                <w:szCs w:val="22"/>
              </w:rPr>
            </w:pPr>
            <w:proofErr w:type="spellStart"/>
            <w:r>
              <w:rPr>
                <w:sz w:val="22"/>
                <w:szCs w:val="22"/>
              </w:rPr>
              <w:t>hypokaliæmi</w:t>
            </w:r>
            <w:proofErr w:type="spellEnd"/>
            <w:r>
              <w:rPr>
                <w:sz w:val="22"/>
                <w:szCs w:val="22"/>
              </w:rPr>
              <w:t xml:space="preserve"> </w:t>
            </w:r>
          </w:p>
          <w:p w:rsidR="00A43F68" w:rsidRDefault="00A43F68">
            <w:pPr>
              <w:pStyle w:val="Default"/>
              <w:rPr>
                <w:sz w:val="22"/>
                <w:szCs w:val="22"/>
              </w:rPr>
            </w:pPr>
            <w:proofErr w:type="spellStart"/>
            <w:r>
              <w:rPr>
                <w:sz w:val="22"/>
                <w:szCs w:val="22"/>
              </w:rPr>
              <w:t>hyponatriæmi</w:t>
            </w:r>
            <w:proofErr w:type="spellEnd"/>
            <w:r>
              <w:rPr>
                <w:sz w:val="22"/>
                <w:szCs w:val="22"/>
              </w:rPr>
              <w:t xml:space="preserve"> </w:t>
            </w:r>
          </w:p>
          <w:p w:rsidR="00A43F68" w:rsidRDefault="00A43F68">
            <w:pPr>
              <w:pStyle w:val="Default"/>
              <w:rPr>
                <w:sz w:val="22"/>
                <w:szCs w:val="22"/>
              </w:rPr>
            </w:pPr>
            <w:proofErr w:type="spellStart"/>
            <w:r>
              <w:rPr>
                <w:sz w:val="22"/>
                <w:szCs w:val="22"/>
              </w:rPr>
              <w:t>hypoglycæmi</w:t>
            </w:r>
            <w:proofErr w:type="spellEnd"/>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dehydrering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Tumorlysesyndrom</w:t>
            </w: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Psykiske forstyrrelser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depression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Nervesystemet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perifer sensorisk </w:t>
            </w:r>
            <w:proofErr w:type="spellStart"/>
            <w:r>
              <w:rPr>
                <w:sz w:val="22"/>
                <w:szCs w:val="22"/>
              </w:rPr>
              <w:t>neuropati</w:t>
            </w:r>
            <w:proofErr w:type="spellEnd"/>
            <w:r>
              <w:rPr>
                <w:sz w:val="22"/>
                <w:szCs w:val="22"/>
              </w:rPr>
              <w:t xml:space="preserve"> </w:t>
            </w:r>
          </w:p>
          <w:p w:rsidR="00A43F68" w:rsidRDefault="00A43F68">
            <w:pPr>
              <w:rPr>
                <w:rFonts w:eastAsia="Calibri"/>
                <w:color w:val="000000"/>
                <w:sz w:val="22"/>
                <w:szCs w:val="22"/>
              </w:rPr>
            </w:pPr>
            <w:proofErr w:type="spellStart"/>
            <w:r>
              <w:rPr>
                <w:rFonts w:eastAsia="Calibri"/>
                <w:color w:val="000000"/>
                <w:sz w:val="22"/>
                <w:szCs w:val="22"/>
              </w:rPr>
              <w:t>dysgeusi</w:t>
            </w:r>
            <w:proofErr w:type="spellEnd"/>
            <w:r>
              <w:rPr>
                <w:rFonts w:eastAsia="Calibri"/>
                <w:color w:val="000000"/>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ind w:right="112"/>
              <w:rPr>
                <w:rFonts w:eastAsia="Calibri"/>
                <w:color w:val="000000"/>
                <w:sz w:val="22"/>
                <w:szCs w:val="22"/>
              </w:rPr>
            </w:pPr>
            <w:r>
              <w:rPr>
                <w:rFonts w:eastAsia="Calibri"/>
                <w:color w:val="000000"/>
                <w:sz w:val="22"/>
                <w:szCs w:val="22"/>
              </w:rPr>
              <w:t xml:space="preserve">reversibel </w:t>
            </w:r>
            <w:proofErr w:type="spellStart"/>
            <w:r>
              <w:rPr>
                <w:rFonts w:eastAsia="Calibri"/>
                <w:color w:val="000000"/>
                <w:sz w:val="22"/>
                <w:szCs w:val="22"/>
              </w:rPr>
              <w:t>posterior</w:t>
            </w:r>
            <w:proofErr w:type="spellEnd"/>
            <w:r>
              <w:rPr>
                <w:rFonts w:eastAsia="Calibri"/>
                <w:color w:val="000000"/>
                <w:sz w:val="22"/>
                <w:szCs w:val="22"/>
              </w:rPr>
              <w:t xml:space="preserve"> </w:t>
            </w:r>
            <w:proofErr w:type="spellStart"/>
            <w:r>
              <w:rPr>
                <w:rFonts w:eastAsia="Calibri"/>
                <w:color w:val="000000"/>
                <w:sz w:val="22"/>
                <w:szCs w:val="22"/>
              </w:rPr>
              <w:t>leukoencefalopati</w:t>
            </w:r>
            <w:proofErr w:type="spellEnd"/>
            <w:r>
              <w:rPr>
                <w:rFonts w:eastAsia="Calibri"/>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roofErr w:type="spellStart"/>
            <w:r>
              <w:rPr>
                <w:sz w:val="22"/>
                <w:szCs w:val="22"/>
              </w:rPr>
              <w:t>encephalopati</w:t>
            </w:r>
            <w:proofErr w:type="spellEnd"/>
            <w:r>
              <w:rPr>
                <w:sz w:val="22"/>
                <w:szCs w:val="22"/>
              </w:rPr>
              <w:t xml:space="preserve">° </w:t>
            </w:r>
          </w:p>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Øre og labyrint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r>
              <w:rPr>
                <w:sz w:val="22"/>
                <w:szCs w:val="22"/>
              </w:rPr>
              <w:t xml:space="preserve">tinnitus </w:t>
            </w:r>
          </w:p>
          <w:p w:rsidR="00A43F68" w:rsidRDefault="00A43F68">
            <w:pPr>
              <w:rPr>
                <w:rFonts w:eastAsia="Calibri"/>
                <w:color w:val="000000"/>
                <w:sz w:val="22"/>
                <w:szCs w:val="22"/>
              </w:rPr>
            </w:pP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Hjerte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hjerteinsufficiens* </w:t>
            </w:r>
          </w:p>
          <w:p w:rsidR="00A43F68" w:rsidRDefault="00A43F68">
            <w:pPr>
              <w:rPr>
                <w:rFonts w:eastAsia="Calibri"/>
                <w:color w:val="000000"/>
                <w:sz w:val="22"/>
                <w:szCs w:val="22"/>
              </w:rPr>
            </w:pPr>
            <w:proofErr w:type="spellStart"/>
            <w:r>
              <w:rPr>
                <w:rFonts w:eastAsia="Calibri"/>
                <w:color w:val="000000"/>
                <w:sz w:val="22"/>
                <w:szCs w:val="22"/>
              </w:rPr>
              <w:t>myokardieiskæmi</w:t>
            </w:r>
            <w:proofErr w:type="spellEnd"/>
            <w:r>
              <w:rPr>
                <w:rFonts w:eastAsia="Calibri"/>
                <w:color w:val="000000"/>
                <w:sz w:val="22"/>
                <w:szCs w:val="22"/>
              </w:rPr>
              <w:t xml:space="preserve"> og myokardieinfarkt*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r>
              <w:rPr>
                <w:sz w:val="22"/>
                <w:szCs w:val="22"/>
              </w:rPr>
              <w:t xml:space="preserve">QT-forlængelse </w:t>
            </w:r>
          </w:p>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Vaskulære</w:t>
            </w:r>
            <w:proofErr w:type="spellEnd"/>
            <w:r>
              <w:rPr>
                <w:sz w:val="22"/>
                <w:szCs w:val="22"/>
              </w:rPr>
              <w:t xml:space="preserve"> sygdomme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blødning (inkl. </w:t>
            </w:r>
            <w:proofErr w:type="spellStart"/>
            <w:r>
              <w:rPr>
                <w:sz w:val="22"/>
                <w:szCs w:val="22"/>
              </w:rPr>
              <w:t>gastrointestinal</w:t>
            </w:r>
            <w:proofErr w:type="spellEnd"/>
            <w:r>
              <w:rPr>
                <w:sz w:val="22"/>
                <w:szCs w:val="22"/>
              </w:rPr>
              <w:t xml:space="preserve"> blødning*, luftvejsblødning* </w:t>
            </w:r>
            <w:r>
              <w:rPr>
                <w:sz w:val="22"/>
                <w:szCs w:val="22"/>
              </w:rPr>
              <w:lastRenderedPageBreak/>
              <w:t xml:space="preserve">og cerebral blødning*) </w:t>
            </w:r>
          </w:p>
          <w:p w:rsidR="00A43F68" w:rsidRDefault="00A43F68">
            <w:pPr>
              <w:pStyle w:val="Default"/>
              <w:rPr>
                <w:sz w:val="22"/>
                <w:szCs w:val="22"/>
              </w:rPr>
            </w:pPr>
            <w:r>
              <w:rPr>
                <w:sz w:val="22"/>
                <w:szCs w:val="22"/>
              </w:rPr>
              <w:t xml:space="preserve">hypertension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lastRenderedPageBreak/>
              <w:t xml:space="preserve">ansigtsrødme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hypertensiv</w:t>
            </w:r>
            <w:proofErr w:type="spellEnd"/>
            <w:r>
              <w:rPr>
                <w:sz w:val="22"/>
                <w:szCs w:val="22"/>
              </w:rPr>
              <w:t xml:space="preserve"> krise*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aneurismer</w:t>
            </w:r>
            <w:proofErr w:type="spellEnd"/>
            <w:r>
              <w:rPr>
                <w:sz w:val="22"/>
                <w:szCs w:val="22"/>
              </w:rPr>
              <w:t xml:space="preserve"> og arterielle dissektioner</w:t>
            </w: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Luftveje, thorax og </w:t>
            </w:r>
            <w:proofErr w:type="spellStart"/>
            <w:r>
              <w:rPr>
                <w:sz w:val="22"/>
                <w:szCs w:val="22"/>
              </w:rPr>
              <w:t>mediastinum</w:t>
            </w:r>
            <w:proofErr w:type="spellEnd"/>
            <w:r>
              <w:rPr>
                <w:sz w:val="22"/>
                <w:szCs w:val="22"/>
              </w:rPr>
              <w:t xml:space="preserve">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rinoré</w:t>
            </w:r>
            <w:proofErr w:type="spellEnd"/>
            <w:r>
              <w:rPr>
                <w:sz w:val="22"/>
                <w:szCs w:val="22"/>
              </w:rPr>
              <w:t xml:space="preserve"> </w:t>
            </w:r>
          </w:p>
          <w:p w:rsidR="00A43F68" w:rsidRDefault="00A43F68">
            <w:pPr>
              <w:rPr>
                <w:rFonts w:eastAsia="Calibri"/>
                <w:color w:val="000000"/>
                <w:sz w:val="22"/>
                <w:szCs w:val="22"/>
              </w:rPr>
            </w:pPr>
            <w:proofErr w:type="spellStart"/>
            <w:r>
              <w:rPr>
                <w:rFonts w:eastAsia="Calibri"/>
                <w:color w:val="000000"/>
                <w:sz w:val="22"/>
                <w:szCs w:val="22"/>
              </w:rPr>
              <w:t>dysfoni</w:t>
            </w:r>
            <w:proofErr w:type="spellEnd"/>
            <w:r>
              <w:rPr>
                <w:rFonts w:eastAsia="Calibri"/>
                <w:color w:val="000000"/>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ind w:right="-20"/>
              <w:rPr>
                <w:rFonts w:eastAsia="Calibri"/>
                <w:color w:val="000000"/>
                <w:sz w:val="22"/>
                <w:szCs w:val="22"/>
              </w:rPr>
            </w:pPr>
            <w:r>
              <w:rPr>
                <w:rFonts w:eastAsia="Calibri"/>
                <w:color w:val="000000"/>
                <w:sz w:val="22"/>
                <w:szCs w:val="22"/>
              </w:rPr>
              <w:t xml:space="preserve">bivirkninger, der ligner </w:t>
            </w:r>
            <w:proofErr w:type="spellStart"/>
            <w:r>
              <w:rPr>
                <w:rFonts w:eastAsia="Calibri"/>
                <w:color w:val="000000"/>
                <w:sz w:val="22"/>
                <w:szCs w:val="22"/>
              </w:rPr>
              <w:t>interstitiel</w:t>
            </w:r>
            <w:proofErr w:type="spellEnd"/>
            <w:r>
              <w:rPr>
                <w:rFonts w:eastAsia="Calibri"/>
                <w:color w:val="000000"/>
                <w:sz w:val="22"/>
                <w:szCs w:val="22"/>
              </w:rPr>
              <w:t xml:space="preserve"> lungesygdom* (pneumonitis, strålepneumonitis, akut dyspnø etc.)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Mave-tarm-kanalen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diarré </w:t>
            </w:r>
          </w:p>
          <w:p w:rsidR="00A43F68" w:rsidRDefault="00A43F68">
            <w:pPr>
              <w:pStyle w:val="Default"/>
              <w:rPr>
                <w:sz w:val="22"/>
                <w:szCs w:val="22"/>
              </w:rPr>
            </w:pPr>
            <w:r>
              <w:rPr>
                <w:sz w:val="22"/>
                <w:szCs w:val="22"/>
              </w:rPr>
              <w:t xml:space="preserve">kvalme </w:t>
            </w:r>
          </w:p>
          <w:p w:rsidR="00A43F68" w:rsidRDefault="00A43F68">
            <w:pPr>
              <w:pStyle w:val="Default"/>
              <w:rPr>
                <w:sz w:val="22"/>
                <w:szCs w:val="22"/>
              </w:rPr>
            </w:pPr>
            <w:r>
              <w:rPr>
                <w:sz w:val="22"/>
                <w:szCs w:val="22"/>
              </w:rPr>
              <w:t xml:space="preserve">opkastning </w:t>
            </w:r>
          </w:p>
          <w:p w:rsidR="00A43F68" w:rsidRDefault="00A43F68">
            <w:pPr>
              <w:pStyle w:val="Default"/>
              <w:rPr>
                <w:sz w:val="22"/>
                <w:szCs w:val="22"/>
              </w:rPr>
            </w:pPr>
            <w:r>
              <w:rPr>
                <w:sz w:val="22"/>
                <w:szCs w:val="22"/>
              </w:rPr>
              <w:t xml:space="preserve">obstipation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stomatitis</w:t>
            </w:r>
            <w:proofErr w:type="spellEnd"/>
            <w:r>
              <w:rPr>
                <w:sz w:val="22"/>
                <w:szCs w:val="22"/>
              </w:rPr>
              <w:t xml:space="preserve"> (inklusive tør mund og </w:t>
            </w:r>
            <w:proofErr w:type="spellStart"/>
            <w:r>
              <w:rPr>
                <w:sz w:val="22"/>
                <w:szCs w:val="22"/>
              </w:rPr>
              <w:t>glossodyni</w:t>
            </w:r>
            <w:proofErr w:type="spellEnd"/>
            <w:r>
              <w:rPr>
                <w:sz w:val="22"/>
                <w:szCs w:val="22"/>
              </w:rPr>
              <w:t xml:space="preserve">) </w:t>
            </w:r>
          </w:p>
          <w:p w:rsidR="00A43F68" w:rsidRDefault="00A43F68">
            <w:pPr>
              <w:pStyle w:val="Default"/>
              <w:rPr>
                <w:sz w:val="22"/>
                <w:szCs w:val="22"/>
              </w:rPr>
            </w:pPr>
            <w:r>
              <w:rPr>
                <w:sz w:val="22"/>
                <w:szCs w:val="22"/>
              </w:rPr>
              <w:t xml:space="preserve">dyspepsi </w:t>
            </w:r>
          </w:p>
          <w:p w:rsidR="00A43F68" w:rsidRDefault="00A43F68">
            <w:pPr>
              <w:pStyle w:val="Default"/>
              <w:rPr>
                <w:sz w:val="22"/>
                <w:szCs w:val="22"/>
              </w:rPr>
            </w:pPr>
            <w:proofErr w:type="spellStart"/>
            <w:r>
              <w:rPr>
                <w:sz w:val="22"/>
                <w:szCs w:val="22"/>
              </w:rPr>
              <w:t>dysfagi</w:t>
            </w:r>
            <w:proofErr w:type="spellEnd"/>
            <w:r>
              <w:rPr>
                <w:sz w:val="22"/>
                <w:szCs w:val="22"/>
              </w:rPr>
              <w:t xml:space="preserve"> </w:t>
            </w:r>
          </w:p>
          <w:p w:rsidR="00A43F68" w:rsidRDefault="00A43F68">
            <w:pPr>
              <w:pStyle w:val="Default"/>
              <w:rPr>
                <w:sz w:val="22"/>
                <w:szCs w:val="22"/>
              </w:rPr>
            </w:pPr>
            <w:proofErr w:type="spellStart"/>
            <w:r>
              <w:rPr>
                <w:sz w:val="22"/>
                <w:szCs w:val="22"/>
              </w:rPr>
              <w:t>gastroøsefageal</w:t>
            </w:r>
            <w:proofErr w:type="spellEnd"/>
            <w:r>
              <w:rPr>
                <w:sz w:val="22"/>
                <w:szCs w:val="22"/>
              </w:rPr>
              <w:t xml:space="preserve"> </w:t>
            </w:r>
            <w:proofErr w:type="spellStart"/>
            <w:r>
              <w:rPr>
                <w:sz w:val="22"/>
                <w:szCs w:val="22"/>
              </w:rPr>
              <w:t>refluks</w:t>
            </w:r>
            <w:proofErr w:type="spellEnd"/>
            <w:r>
              <w:rPr>
                <w:sz w:val="22"/>
                <w:szCs w:val="22"/>
              </w:rPr>
              <w:t xml:space="preserve">-sygdom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pankreatitis</w:t>
            </w:r>
            <w:proofErr w:type="spellEnd"/>
            <w:r>
              <w:rPr>
                <w:sz w:val="22"/>
                <w:szCs w:val="22"/>
              </w:rPr>
              <w:t xml:space="preserve"> </w:t>
            </w:r>
          </w:p>
          <w:p w:rsidR="00A43F68" w:rsidRDefault="00A43F68">
            <w:pPr>
              <w:pStyle w:val="Default"/>
              <w:rPr>
                <w:sz w:val="22"/>
                <w:szCs w:val="22"/>
              </w:rPr>
            </w:pPr>
            <w:r>
              <w:rPr>
                <w:sz w:val="22"/>
                <w:szCs w:val="22"/>
              </w:rPr>
              <w:t xml:space="preserve">gastritis </w:t>
            </w:r>
            <w:proofErr w:type="spellStart"/>
            <w:r>
              <w:rPr>
                <w:sz w:val="22"/>
                <w:szCs w:val="22"/>
              </w:rPr>
              <w:t>gastrointestinale</w:t>
            </w:r>
            <w:proofErr w:type="spellEnd"/>
            <w:r>
              <w:rPr>
                <w:sz w:val="22"/>
                <w:szCs w:val="22"/>
              </w:rPr>
              <w:t xml:space="preserve"> per</w:t>
            </w:r>
            <w:r>
              <w:rPr>
                <w:sz w:val="22"/>
                <w:szCs w:val="22"/>
              </w:rPr>
              <w:softHyphen/>
              <w:t xml:space="preserve">forationer*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Lever og galdeveje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stigning i bilirubin og gulsot </w:t>
            </w:r>
          </w:p>
          <w:p w:rsidR="00A43F68" w:rsidRDefault="00A43F68">
            <w:pPr>
              <w:pStyle w:val="Default"/>
              <w:rPr>
                <w:sz w:val="22"/>
                <w:szCs w:val="22"/>
              </w:rPr>
            </w:pPr>
            <w:proofErr w:type="spellStart"/>
            <w:r>
              <w:rPr>
                <w:sz w:val="22"/>
                <w:szCs w:val="22"/>
              </w:rPr>
              <w:t>cholecystitis</w:t>
            </w:r>
            <w:proofErr w:type="spellEnd"/>
            <w:r>
              <w:rPr>
                <w:sz w:val="22"/>
                <w:szCs w:val="22"/>
              </w:rPr>
              <w:t xml:space="preserve"> </w:t>
            </w:r>
          </w:p>
          <w:p w:rsidR="00A43F68" w:rsidRDefault="00A43F68">
            <w:pPr>
              <w:rPr>
                <w:rFonts w:eastAsia="Calibri"/>
                <w:color w:val="000000"/>
                <w:sz w:val="22"/>
                <w:szCs w:val="22"/>
              </w:rPr>
            </w:pPr>
            <w:proofErr w:type="spellStart"/>
            <w:r>
              <w:rPr>
                <w:sz w:val="22"/>
                <w:szCs w:val="22"/>
              </w:rPr>
              <w:t>cholangitis</w:t>
            </w:r>
            <w:proofErr w:type="spell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Lægemiddelin</w:t>
            </w:r>
            <w:r>
              <w:rPr>
                <w:sz w:val="22"/>
                <w:szCs w:val="22"/>
              </w:rPr>
              <w:softHyphen/>
              <w:t xml:space="preserve">duceret hepatitis* </w:t>
            </w: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Hud og subkutane væv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tør hud </w:t>
            </w:r>
          </w:p>
          <w:p w:rsidR="00A43F68" w:rsidRDefault="00A43F68">
            <w:pPr>
              <w:pStyle w:val="Default"/>
              <w:rPr>
                <w:sz w:val="22"/>
                <w:szCs w:val="22"/>
              </w:rPr>
            </w:pPr>
            <w:r>
              <w:rPr>
                <w:sz w:val="22"/>
                <w:szCs w:val="22"/>
              </w:rPr>
              <w:t xml:space="preserve">hududslæt </w:t>
            </w:r>
          </w:p>
          <w:p w:rsidR="00A43F68" w:rsidRDefault="00A43F68">
            <w:pPr>
              <w:pStyle w:val="Default"/>
              <w:rPr>
                <w:sz w:val="22"/>
                <w:szCs w:val="22"/>
              </w:rPr>
            </w:pPr>
            <w:proofErr w:type="spellStart"/>
            <w:r>
              <w:rPr>
                <w:sz w:val="22"/>
                <w:szCs w:val="22"/>
              </w:rPr>
              <w:t>alopeci</w:t>
            </w:r>
            <w:proofErr w:type="spellEnd"/>
            <w:r>
              <w:rPr>
                <w:sz w:val="22"/>
                <w:szCs w:val="22"/>
              </w:rPr>
              <w:t xml:space="preserve"> </w:t>
            </w:r>
          </w:p>
          <w:p w:rsidR="00A43F68" w:rsidRDefault="00A43F68">
            <w:pPr>
              <w:pStyle w:val="Default"/>
              <w:rPr>
                <w:sz w:val="22"/>
                <w:szCs w:val="22"/>
              </w:rPr>
            </w:pPr>
            <w:r>
              <w:rPr>
                <w:sz w:val="22"/>
                <w:szCs w:val="22"/>
              </w:rPr>
              <w:t xml:space="preserve">hånd-fod-hud- reaktion** </w:t>
            </w:r>
          </w:p>
          <w:p w:rsidR="00A43F68" w:rsidRDefault="00A43F68">
            <w:pPr>
              <w:pStyle w:val="Default"/>
              <w:rPr>
                <w:sz w:val="22"/>
                <w:szCs w:val="22"/>
              </w:rPr>
            </w:pPr>
            <w:proofErr w:type="spellStart"/>
            <w:r>
              <w:rPr>
                <w:sz w:val="22"/>
                <w:szCs w:val="22"/>
              </w:rPr>
              <w:t>erytem</w:t>
            </w:r>
            <w:proofErr w:type="spellEnd"/>
            <w:r>
              <w:rPr>
                <w:sz w:val="22"/>
                <w:szCs w:val="22"/>
              </w:rPr>
              <w:t xml:space="preserve"> </w:t>
            </w:r>
          </w:p>
          <w:p w:rsidR="00A43F68" w:rsidRDefault="00A43F68">
            <w:pPr>
              <w:pStyle w:val="Default"/>
              <w:rPr>
                <w:sz w:val="22"/>
                <w:szCs w:val="22"/>
              </w:rPr>
            </w:pPr>
            <w:proofErr w:type="spellStart"/>
            <w:r>
              <w:rPr>
                <w:sz w:val="22"/>
                <w:szCs w:val="22"/>
              </w:rPr>
              <w:t>pruritus</w:t>
            </w:r>
            <w:proofErr w:type="spellEnd"/>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keratoakantom</w:t>
            </w:r>
            <w:proofErr w:type="spellEnd"/>
            <w:r>
              <w:rPr>
                <w:sz w:val="22"/>
                <w:szCs w:val="22"/>
              </w:rPr>
              <w:t xml:space="preserve">/ </w:t>
            </w:r>
            <w:proofErr w:type="spellStart"/>
            <w:r>
              <w:rPr>
                <w:sz w:val="22"/>
                <w:szCs w:val="22"/>
              </w:rPr>
              <w:t>spinocellulært</w:t>
            </w:r>
            <w:proofErr w:type="spellEnd"/>
            <w:r>
              <w:rPr>
                <w:sz w:val="22"/>
                <w:szCs w:val="22"/>
              </w:rPr>
              <w:t xml:space="preserve"> karcinom i huden </w:t>
            </w:r>
            <w:proofErr w:type="spellStart"/>
            <w:r>
              <w:rPr>
                <w:sz w:val="22"/>
                <w:szCs w:val="22"/>
              </w:rPr>
              <w:t>dermatitis</w:t>
            </w:r>
            <w:proofErr w:type="spellEnd"/>
            <w:r>
              <w:rPr>
                <w:sz w:val="22"/>
                <w:szCs w:val="22"/>
              </w:rPr>
              <w:t xml:space="preserve"> </w:t>
            </w:r>
            <w:proofErr w:type="spellStart"/>
            <w:r>
              <w:rPr>
                <w:sz w:val="22"/>
                <w:szCs w:val="22"/>
              </w:rPr>
              <w:t>exfo</w:t>
            </w:r>
            <w:r>
              <w:rPr>
                <w:sz w:val="22"/>
                <w:szCs w:val="22"/>
              </w:rPr>
              <w:softHyphen/>
              <w:t>liativa</w:t>
            </w:r>
            <w:proofErr w:type="spellEnd"/>
            <w:r>
              <w:rPr>
                <w:sz w:val="22"/>
                <w:szCs w:val="22"/>
              </w:rPr>
              <w:t xml:space="preserve"> </w:t>
            </w:r>
          </w:p>
          <w:p w:rsidR="00A43F68" w:rsidRDefault="00A43F68">
            <w:pPr>
              <w:pStyle w:val="Default"/>
              <w:rPr>
                <w:sz w:val="22"/>
                <w:szCs w:val="22"/>
              </w:rPr>
            </w:pPr>
            <w:r>
              <w:rPr>
                <w:sz w:val="22"/>
                <w:szCs w:val="22"/>
              </w:rPr>
              <w:t xml:space="preserve">akne </w:t>
            </w:r>
          </w:p>
          <w:p w:rsidR="00A43F68" w:rsidRDefault="00A43F68">
            <w:pPr>
              <w:pStyle w:val="Default"/>
              <w:rPr>
                <w:sz w:val="22"/>
                <w:szCs w:val="22"/>
              </w:rPr>
            </w:pPr>
            <w:r>
              <w:rPr>
                <w:sz w:val="22"/>
                <w:szCs w:val="22"/>
              </w:rPr>
              <w:t xml:space="preserve">hudafskalning </w:t>
            </w:r>
          </w:p>
          <w:p w:rsidR="00A43F68" w:rsidRDefault="00A43F68">
            <w:pPr>
              <w:pStyle w:val="Default"/>
              <w:rPr>
                <w:sz w:val="22"/>
                <w:szCs w:val="22"/>
              </w:rPr>
            </w:pPr>
            <w:proofErr w:type="spellStart"/>
            <w:r>
              <w:rPr>
                <w:sz w:val="22"/>
                <w:szCs w:val="22"/>
              </w:rPr>
              <w:t>hyperkeratose</w:t>
            </w:r>
            <w:proofErr w:type="spellEnd"/>
            <w:r>
              <w:rPr>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eksem </w:t>
            </w:r>
          </w:p>
          <w:p w:rsidR="00A43F68" w:rsidRDefault="00A43F68">
            <w:pPr>
              <w:pStyle w:val="Default"/>
              <w:rPr>
                <w:sz w:val="22"/>
                <w:szCs w:val="22"/>
              </w:rPr>
            </w:pPr>
            <w:proofErr w:type="spellStart"/>
            <w:r>
              <w:rPr>
                <w:sz w:val="22"/>
                <w:szCs w:val="22"/>
              </w:rPr>
              <w:t>erythema</w:t>
            </w:r>
            <w:proofErr w:type="spellEnd"/>
            <w:r>
              <w:rPr>
                <w:sz w:val="22"/>
                <w:szCs w:val="22"/>
              </w:rPr>
              <w:t xml:space="preserve"> multiforme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215185">
            <w:pPr>
              <w:pStyle w:val="Default"/>
              <w:rPr>
                <w:sz w:val="22"/>
                <w:szCs w:val="22"/>
                <w:lang w:val="en-US"/>
              </w:rPr>
            </w:pPr>
            <w:r w:rsidRPr="00255CFB">
              <w:rPr>
                <w:i/>
                <w:iCs/>
                <w:sz w:val="22"/>
                <w:szCs w:val="22"/>
                <w:lang w:val="en-US"/>
              </w:rPr>
              <w:t>radiation recall</w:t>
            </w:r>
            <w:r>
              <w:rPr>
                <w:sz w:val="22"/>
                <w:szCs w:val="22"/>
                <w:lang w:val="en-US"/>
              </w:rPr>
              <w:t xml:space="preserve"> </w:t>
            </w:r>
            <w:proofErr w:type="spellStart"/>
            <w:r w:rsidR="00A43F68">
              <w:rPr>
                <w:sz w:val="22"/>
                <w:szCs w:val="22"/>
                <w:lang w:val="en-US"/>
              </w:rPr>
              <w:t>dermatit</w:t>
            </w:r>
            <w:proofErr w:type="spellEnd"/>
            <w:r w:rsidR="00A43F68">
              <w:rPr>
                <w:sz w:val="22"/>
                <w:szCs w:val="22"/>
                <w:lang w:val="en-US"/>
              </w:rPr>
              <w:t xml:space="preserve"> </w:t>
            </w:r>
          </w:p>
          <w:p w:rsidR="00A43F68" w:rsidRDefault="00A43F68">
            <w:pPr>
              <w:pStyle w:val="Default"/>
              <w:rPr>
                <w:sz w:val="22"/>
                <w:szCs w:val="22"/>
                <w:lang w:val="en-US"/>
              </w:rPr>
            </w:pPr>
            <w:r>
              <w:rPr>
                <w:sz w:val="22"/>
                <w:szCs w:val="22"/>
                <w:lang w:val="en-US"/>
              </w:rPr>
              <w:t xml:space="preserve">Stevens-Johnson's </w:t>
            </w:r>
            <w:proofErr w:type="spellStart"/>
            <w:r>
              <w:rPr>
                <w:sz w:val="22"/>
                <w:szCs w:val="22"/>
                <w:lang w:val="en-US"/>
              </w:rPr>
              <w:t>syndrom</w:t>
            </w:r>
            <w:proofErr w:type="spellEnd"/>
            <w:r>
              <w:rPr>
                <w:sz w:val="22"/>
                <w:szCs w:val="22"/>
                <w:lang w:val="en-US"/>
              </w:rPr>
              <w:t xml:space="preserve"> </w:t>
            </w:r>
          </w:p>
          <w:p w:rsidR="00A43F68" w:rsidRDefault="00A43F68">
            <w:pPr>
              <w:pStyle w:val="Default"/>
              <w:rPr>
                <w:sz w:val="22"/>
                <w:szCs w:val="22"/>
              </w:rPr>
            </w:pPr>
            <w:proofErr w:type="spellStart"/>
            <w:r>
              <w:rPr>
                <w:sz w:val="22"/>
                <w:szCs w:val="22"/>
              </w:rPr>
              <w:t>Leukocytoklas</w:t>
            </w:r>
            <w:r>
              <w:rPr>
                <w:sz w:val="22"/>
                <w:szCs w:val="22"/>
              </w:rPr>
              <w:softHyphen/>
              <w:t>tisk</w:t>
            </w:r>
            <w:proofErr w:type="spellEnd"/>
            <w:r>
              <w:rPr>
                <w:sz w:val="22"/>
                <w:szCs w:val="22"/>
              </w:rPr>
              <w:t xml:space="preserve"> </w:t>
            </w:r>
            <w:proofErr w:type="spellStart"/>
            <w:r>
              <w:rPr>
                <w:sz w:val="22"/>
                <w:szCs w:val="22"/>
              </w:rPr>
              <w:t>vasculitis</w:t>
            </w:r>
            <w:proofErr w:type="spellEnd"/>
            <w:r>
              <w:rPr>
                <w:sz w:val="22"/>
                <w:szCs w:val="22"/>
              </w:rPr>
              <w:t xml:space="preserve"> </w:t>
            </w:r>
          </w:p>
          <w:p w:rsidR="00A43F68" w:rsidRDefault="00A43F68">
            <w:pPr>
              <w:pStyle w:val="Default"/>
              <w:rPr>
                <w:sz w:val="22"/>
                <w:szCs w:val="22"/>
              </w:rPr>
            </w:pPr>
            <w:r>
              <w:rPr>
                <w:sz w:val="22"/>
                <w:szCs w:val="22"/>
              </w:rPr>
              <w:t xml:space="preserve">toksisk </w:t>
            </w:r>
            <w:proofErr w:type="spellStart"/>
            <w:r>
              <w:rPr>
                <w:sz w:val="22"/>
                <w:szCs w:val="22"/>
              </w:rPr>
              <w:t>epidermal</w:t>
            </w:r>
            <w:proofErr w:type="spellEnd"/>
            <w:r>
              <w:rPr>
                <w:sz w:val="22"/>
                <w:szCs w:val="22"/>
              </w:rPr>
              <w:t xml:space="preserve"> </w:t>
            </w:r>
            <w:proofErr w:type="spellStart"/>
            <w:r>
              <w:rPr>
                <w:sz w:val="22"/>
                <w:szCs w:val="22"/>
              </w:rPr>
              <w:t>nekrolyse</w:t>
            </w:r>
            <w:proofErr w:type="spellEnd"/>
            <w:r>
              <w:rPr>
                <w:sz w:val="22"/>
                <w:szCs w:val="22"/>
              </w:rPr>
              <w:t xml:space="preserve">* </w:t>
            </w: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Knogler, led, muskler og bindevæv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proofErr w:type="spellStart"/>
            <w:r>
              <w:rPr>
                <w:sz w:val="22"/>
                <w:szCs w:val="22"/>
              </w:rPr>
              <w:t>artralgi</w:t>
            </w:r>
            <w:proofErr w:type="spellEnd"/>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myalgi </w:t>
            </w:r>
          </w:p>
          <w:p w:rsidR="00A43F68" w:rsidRDefault="00A43F68">
            <w:pPr>
              <w:pStyle w:val="Default"/>
              <w:rPr>
                <w:sz w:val="22"/>
                <w:szCs w:val="22"/>
              </w:rPr>
            </w:pPr>
            <w:r>
              <w:rPr>
                <w:sz w:val="22"/>
                <w:szCs w:val="22"/>
              </w:rPr>
              <w:t xml:space="preserve">muskelspasmer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roofErr w:type="spellStart"/>
            <w:r>
              <w:rPr>
                <w:sz w:val="22"/>
                <w:szCs w:val="22"/>
              </w:rPr>
              <w:t>rabdomyolyse</w:t>
            </w:r>
            <w:proofErr w:type="spellEnd"/>
            <w:r>
              <w:rPr>
                <w:sz w:val="22"/>
                <w:szCs w:val="22"/>
              </w:rPr>
              <w:t xml:space="preserve"> </w:t>
            </w:r>
          </w:p>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Nyrer og urinveje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nyresvigt </w:t>
            </w:r>
          </w:p>
          <w:p w:rsidR="00A43F68" w:rsidRDefault="00A43F68">
            <w:pPr>
              <w:rPr>
                <w:rFonts w:eastAsia="Calibri"/>
                <w:color w:val="000000"/>
                <w:sz w:val="22"/>
                <w:szCs w:val="22"/>
              </w:rPr>
            </w:pPr>
            <w:proofErr w:type="spellStart"/>
            <w:r>
              <w:rPr>
                <w:rFonts w:eastAsia="Calibri"/>
                <w:color w:val="000000"/>
                <w:sz w:val="22"/>
                <w:szCs w:val="22"/>
              </w:rPr>
              <w:t>proteinuri</w:t>
            </w:r>
            <w:proofErr w:type="spellEnd"/>
            <w:r>
              <w:rPr>
                <w:rFonts w:eastAsia="Calibri"/>
                <w:color w:val="000000"/>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roofErr w:type="spellStart"/>
            <w:r>
              <w:rPr>
                <w:sz w:val="22"/>
                <w:szCs w:val="22"/>
              </w:rPr>
              <w:t>nefrotisk</w:t>
            </w:r>
            <w:proofErr w:type="spellEnd"/>
            <w:r>
              <w:rPr>
                <w:sz w:val="22"/>
                <w:szCs w:val="22"/>
              </w:rPr>
              <w:t xml:space="preserve"> syndrom </w:t>
            </w:r>
          </w:p>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tcPr>
          <w:p w:rsidR="00A43F68" w:rsidRDefault="00A43F68">
            <w:pPr>
              <w:pStyle w:val="Default"/>
              <w:rPr>
                <w:sz w:val="22"/>
                <w:szCs w:val="22"/>
              </w:rPr>
            </w:pPr>
            <w:r>
              <w:rPr>
                <w:sz w:val="22"/>
                <w:szCs w:val="22"/>
              </w:rPr>
              <w:t xml:space="preserve">Det reproduktive system og mammae </w:t>
            </w:r>
          </w:p>
          <w:p w:rsidR="00A43F68" w:rsidRDefault="00A43F68">
            <w:pPr>
              <w:ind w:right="-20"/>
              <w:rPr>
                <w:rFonts w:eastAsia="Calibri"/>
                <w:color w:val="000000"/>
                <w:sz w:val="22"/>
                <w:szCs w:val="22"/>
              </w:rPr>
            </w:pP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rPr>
                <w:rFonts w:eastAsia="Calibri"/>
                <w:color w:val="000000"/>
                <w:sz w:val="22"/>
                <w:szCs w:val="22"/>
              </w:rPr>
            </w:pPr>
            <w:proofErr w:type="spellStart"/>
            <w:r>
              <w:rPr>
                <w:rFonts w:eastAsia="Calibri"/>
                <w:color w:val="000000"/>
                <w:sz w:val="22"/>
                <w:szCs w:val="22"/>
              </w:rPr>
              <w:t>erektil</w:t>
            </w:r>
            <w:proofErr w:type="spellEnd"/>
            <w:r>
              <w:rPr>
                <w:rFonts w:eastAsia="Calibri"/>
                <w:color w:val="000000"/>
                <w:sz w:val="22"/>
                <w:szCs w:val="22"/>
              </w:rPr>
              <w:t xml:space="preserve"> dysfunktion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rPr>
                <w:rFonts w:eastAsia="Calibri"/>
                <w:color w:val="000000"/>
                <w:sz w:val="22"/>
                <w:szCs w:val="22"/>
              </w:rPr>
            </w:pPr>
            <w:proofErr w:type="spellStart"/>
            <w:r>
              <w:rPr>
                <w:rFonts w:eastAsia="Calibri"/>
                <w:color w:val="000000"/>
                <w:sz w:val="22"/>
                <w:szCs w:val="22"/>
              </w:rPr>
              <w:t>gynækomasti</w:t>
            </w:r>
            <w:proofErr w:type="spellEnd"/>
            <w:r>
              <w:rPr>
                <w:rFonts w:eastAsia="Calibri"/>
                <w:color w:val="000000"/>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rPr>
                <w:rFonts w:eastAsia="Calibri"/>
                <w:color w:val="000000"/>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Almene symptomer og reaktioner på administrations</w:t>
            </w:r>
            <w:r>
              <w:rPr>
                <w:sz w:val="22"/>
                <w:szCs w:val="22"/>
              </w:rPr>
              <w:softHyphen/>
              <w:t xml:space="preserve">stedet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træthed </w:t>
            </w:r>
          </w:p>
          <w:p w:rsidR="00A43F68" w:rsidRDefault="00A43F68">
            <w:pPr>
              <w:pStyle w:val="Default"/>
              <w:rPr>
                <w:sz w:val="22"/>
                <w:szCs w:val="22"/>
              </w:rPr>
            </w:pPr>
            <w:r>
              <w:rPr>
                <w:sz w:val="22"/>
                <w:szCs w:val="22"/>
              </w:rPr>
              <w:t xml:space="preserve">smerter (inklusive smerter fra mund, abdomen, skelet og tumor samt hovedpine) </w:t>
            </w:r>
          </w:p>
          <w:p w:rsidR="00A43F68" w:rsidRDefault="00A43F68">
            <w:pPr>
              <w:pStyle w:val="Default"/>
              <w:rPr>
                <w:sz w:val="22"/>
                <w:szCs w:val="22"/>
              </w:rPr>
            </w:pPr>
            <w:r>
              <w:rPr>
                <w:sz w:val="22"/>
                <w:szCs w:val="22"/>
              </w:rPr>
              <w:t xml:space="preserve">feber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asteni </w:t>
            </w:r>
          </w:p>
          <w:p w:rsidR="00A43F68" w:rsidRDefault="00A43F68">
            <w:pPr>
              <w:pStyle w:val="Default"/>
              <w:rPr>
                <w:sz w:val="22"/>
                <w:szCs w:val="22"/>
              </w:rPr>
            </w:pPr>
            <w:r>
              <w:rPr>
                <w:sz w:val="22"/>
                <w:szCs w:val="22"/>
              </w:rPr>
              <w:t xml:space="preserve">influenzalignende sygdom </w:t>
            </w:r>
          </w:p>
          <w:p w:rsidR="00A43F68" w:rsidRDefault="00A43F68">
            <w:pPr>
              <w:pStyle w:val="Default"/>
              <w:rPr>
                <w:sz w:val="22"/>
                <w:szCs w:val="22"/>
              </w:rPr>
            </w:pPr>
            <w:proofErr w:type="spellStart"/>
            <w:r>
              <w:rPr>
                <w:sz w:val="22"/>
                <w:szCs w:val="22"/>
              </w:rPr>
              <w:t>mucosa</w:t>
            </w:r>
            <w:proofErr w:type="spellEnd"/>
            <w:r>
              <w:rPr>
                <w:sz w:val="22"/>
                <w:szCs w:val="22"/>
              </w:rPr>
              <w:t xml:space="preserve">-inflammation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r w:rsidR="00A43F68" w:rsidTr="00A43F68">
        <w:tc>
          <w:tcPr>
            <w:tcW w:w="1696" w:type="dxa"/>
            <w:tcBorders>
              <w:top w:val="single" w:sz="4" w:space="0" w:color="auto"/>
              <w:left w:val="single" w:sz="4" w:space="0" w:color="auto"/>
              <w:bottom w:val="single" w:sz="4" w:space="0" w:color="auto"/>
              <w:right w:val="single" w:sz="12" w:space="0" w:color="auto"/>
            </w:tcBorders>
            <w:shd w:val="clear" w:color="auto" w:fill="D9D9D9"/>
            <w:tcMar>
              <w:top w:w="0" w:type="dxa"/>
              <w:left w:w="57" w:type="dxa"/>
              <w:bottom w:w="0" w:type="dxa"/>
              <w:right w:w="57" w:type="dxa"/>
            </w:tcMar>
            <w:hideMark/>
          </w:tcPr>
          <w:p w:rsidR="00A43F68" w:rsidRDefault="00A43F68">
            <w:pPr>
              <w:pStyle w:val="Default"/>
              <w:rPr>
                <w:sz w:val="22"/>
                <w:szCs w:val="22"/>
              </w:rPr>
            </w:pPr>
            <w:r>
              <w:rPr>
                <w:sz w:val="22"/>
                <w:szCs w:val="22"/>
              </w:rPr>
              <w:t xml:space="preserve">Undersøgelser </w:t>
            </w:r>
          </w:p>
        </w:tc>
        <w:tc>
          <w:tcPr>
            <w:tcW w:w="1672" w:type="dxa"/>
            <w:tcBorders>
              <w:top w:val="single" w:sz="4" w:space="0" w:color="auto"/>
              <w:left w:val="single" w:sz="12"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vægttab </w:t>
            </w:r>
          </w:p>
          <w:p w:rsidR="00A43F68" w:rsidRDefault="00A43F68">
            <w:pPr>
              <w:pStyle w:val="Default"/>
              <w:rPr>
                <w:sz w:val="22"/>
                <w:szCs w:val="22"/>
              </w:rPr>
            </w:pPr>
            <w:r>
              <w:rPr>
                <w:sz w:val="22"/>
                <w:szCs w:val="22"/>
              </w:rPr>
              <w:t xml:space="preserve">forhøjet amylase forhøjet </w:t>
            </w:r>
            <w:proofErr w:type="spellStart"/>
            <w:r>
              <w:rPr>
                <w:sz w:val="22"/>
                <w:szCs w:val="22"/>
              </w:rPr>
              <w:t>lipase</w:t>
            </w:r>
            <w:proofErr w:type="spellEnd"/>
            <w:r>
              <w:rPr>
                <w:sz w:val="22"/>
                <w:szCs w:val="22"/>
              </w:rPr>
              <w:t xml:space="preserve"> </w:t>
            </w:r>
          </w:p>
        </w:tc>
        <w:tc>
          <w:tcPr>
            <w:tcW w:w="1821"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forbigående stigning i </w:t>
            </w:r>
            <w:proofErr w:type="spellStart"/>
            <w:r>
              <w:rPr>
                <w:sz w:val="22"/>
                <w:szCs w:val="22"/>
              </w:rPr>
              <w:t>aminotransferaser</w:t>
            </w:r>
            <w:proofErr w:type="spellEnd"/>
            <w:r>
              <w:rPr>
                <w:sz w:val="22"/>
                <w:szCs w:val="22"/>
              </w:rPr>
              <w:t xml:space="preserve"> </w:t>
            </w:r>
          </w:p>
        </w:tc>
        <w:tc>
          <w:tcPr>
            <w:tcW w:w="2036"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hideMark/>
          </w:tcPr>
          <w:p w:rsidR="00A43F68" w:rsidRDefault="00A43F68">
            <w:pPr>
              <w:pStyle w:val="Default"/>
              <w:rPr>
                <w:sz w:val="22"/>
                <w:szCs w:val="22"/>
              </w:rPr>
            </w:pPr>
            <w:r>
              <w:rPr>
                <w:sz w:val="22"/>
                <w:szCs w:val="22"/>
              </w:rPr>
              <w:t xml:space="preserve">forbigående stigning i basisk fosfatase i blodet </w:t>
            </w:r>
          </w:p>
          <w:p w:rsidR="00A43F68" w:rsidRDefault="00A43F68">
            <w:pPr>
              <w:pStyle w:val="Default"/>
              <w:rPr>
                <w:sz w:val="22"/>
                <w:szCs w:val="22"/>
              </w:rPr>
            </w:pPr>
            <w:r>
              <w:rPr>
                <w:sz w:val="22"/>
                <w:szCs w:val="22"/>
              </w:rPr>
              <w:t xml:space="preserve">unormal INR </w:t>
            </w:r>
          </w:p>
          <w:p w:rsidR="00A43F68" w:rsidRDefault="00A43F68">
            <w:pPr>
              <w:pStyle w:val="Default"/>
              <w:rPr>
                <w:sz w:val="22"/>
                <w:szCs w:val="22"/>
              </w:rPr>
            </w:pPr>
            <w:r>
              <w:rPr>
                <w:sz w:val="22"/>
                <w:szCs w:val="22"/>
              </w:rPr>
              <w:lastRenderedPageBreak/>
              <w:t xml:space="preserve">unormalt </w:t>
            </w:r>
            <w:proofErr w:type="spellStart"/>
            <w:r>
              <w:rPr>
                <w:sz w:val="22"/>
                <w:szCs w:val="22"/>
              </w:rPr>
              <w:t>protrombinniveau</w:t>
            </w:r>
            <w:proofErr w:type="spellEnd"/>
            <w:r>
              <w:rPr>
                <w:sz w:val="22"/>
                <w:szCs w:val="22"/>
              </w:rPr>
              <w:t xml:space="preserve"> </w:t>
            </w:r>
          </w:p>
        </w:tc>
        <w:tc>
          <w:tcPr>
            <w:tcW w:w="155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c>
          <w:tcPr>
            <w:tcW w:w="1610"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A43F68" w:rsidRDefault="00A43F68">
            <w:pPr>
              <w:pStyle w:val="Default"/>
              <w:rPr>
                <w:sz w:val="22"/>
                <w:szCs w:val="22"/>
              </w:rPr>
            </w:pPr>
          </w:p>
        </w:tc>
      </w:tr>
    </w:tbl>
    <w:p w:rsidR="00A43F68" w:rsidRDefault="00A43F68" w:rsidP="00A43F68">
      <w:pPr>
        <w:spacing w:line="246" w:lineRule="exact"/>
        <w:ind w:left="1134" w:right="-20" w:hanging="283"/>
        <w:rPr>
          <w:sz w:val="22"/>
          <w:szCs w:val="22"/>
        </w:rPr>
      </w:pPr>
      <w:r>
        <w:rPr>
          <w:sz w:val="22"/>
          <w:szCs w:val="22"/>
        </w:rPr>
        <w:t>*</w:t>
      </w:r>
      <w:r>
        <w:rPr>
          <w:sz w:val="22"/>
          <w:szCs w:val="22"/>
        </w:rPr>
        <w:tab/>
        <w:t>Bivirkningerne kan være livstruende eller letale. Disse bivirkninger er enten ikke almindelige eller mindre hyppige end ikke almindelige.</w:t>
      </w:r>
    </w:p>
    <w:p w:rsidR="00A43F68" w:rsidRDefault="00A43F68" w:rsidP="00A43F68">
      <w:pPr>
        <w:spacing w:line="252" w:lineRule="exact"/>
        <w:ind w:left="1134" w:right="-20" w:hanging="283"/>
        <w:rPr>
          <w:sz w:val="22"/>
          <w:szCs w:val="22"/>
        </w:rPr>
      </w:pPr>
      <w:r>
        <w:rPr>
          <w:sz w:val="22"/>
          <w:szCs w:val="22"/>
        </w:rPr>
        <w:t>**</w:t>
      </w:r>
      <w:r>
        <w:rPr>
          <w:sz w:val="22"/>
          <w:szCs w:val="22"/>
        </w:rPr>
        <w:tab/>
        <w:t xml:space="preserve">Hånd-fod-hud-reaktion (HFSR) svarende til </w:t>
      </w:r>
      <w:proofErr w:type="spellStart"/>
      <w:r>
        <w:rPr>
          <w:sz w:val="22"/>
          <w:szCs w:val="22"/>
        </w:rPr>
        <w:t>palmoplantar</w:t>
      </w:r>
      <w:proofErr w:type="spellEnd"/>
      <w:r>
        <w:rPr>
          <w:sz w:val="22"/>
          <w:szCs w:val="22"/>
        </w:rPr>
        <w:t xml:space="preserve"> </w:t>
      </w:r>
      <w:proofErr w:type="spellStart"/>
      <w:r>
        <w:rPr>
          <w:sz w:val="22"/>
          <w:szCs w:val="22"/>
        </w:rPr>
        <w:t>erytrodysæstesi</w:t>
      </w:r>
      <w:proofErr w:type="spellEnd"/>
      <w:r>
        <w:rPr>
          <w:sz w:val="22"/>
          <w:szCs w:val="22"/>
        </w:rPr>
        <w:t xml:space="preserve">-syndrom i </w:t>
      </w:r>
      <w:proofErr w:type="spellStart"/>
      <w:r>
        <w:rPr>
          <w:sz w:val="22"/>
          <w:szCs w:val="22"/>
        </w:rPr>
        <w:t>MedDRA</w:t>
      </w:r>
      <w:proofErr w:type="spellEnd"/>
      <w:r>
        <w:rPr>
          <w:sz w:val="22"/>
          <w:szCs w:val="22"/>
        </w:rPr>
        <w:t xml:space="preserve">. </w:t>
      </w:r>
    </w:p>
    <w:p w:rsidR="00A43F68" w:rsidRDefault="00A43F68" w:rsidP="00A43F68">
      <w:pPr>
        <w:spacing w:line="252" w:lineRule="exact"/>
        <w:ind w:left="1134" w:right="-20" w:hanging="283"/>
        <w:rPr>
          <w:sz w:val="22"/>
          <w:szCs w:val="22"/>
        </w:rPr>
      </w:pPr>
      <w:r>
        <w:rPr>
          <w:sz w:val="22"/>
          <w:szCs w:val="22"/>
        </w:rPr>
        <w:t>°</w:t>
      </w:r>
      <w:r>
        <w:rPr>
          <w:sz w:val="22"/>
          <w:szCs w:val="22"/>
        </w:rPr>
        <w:tab/>
        <w:t>Der er set tilfælde efter markedsføringen.</w:t>
      </w:r>
    </w:p>
    <w:p w:rsidR="005B4E3C" w:rsidRPr="003262A5" w:rsidRDefault="005B4E3C" w:rsidP="005B4E3C">
      <w:pPr>
        <w:spacing w:line="252" w:lineRule="exact"/>
        <w:ind w:left="851" w:right="-20"/>
        <w:rPr>
          <w:sz w:val="24"/>
          <w:szCs w:val="24"/>
        </w:rPr>
      </w:pPr>
    </w:p>
    <w:p w:rsidR="005B4E3C" w:rsidRPr="003262A5" w:rsidRDefault="005B4E3C" w:rsidP="005B4E3C">
      <w:pPr>
        <w:pStyle w:val="Default"/>
        <w:ind w:left="851"/>
        <w:rPr>
          <w:u w:val="single"/>
        </w:rPr>
      </w:pPr>
      <w:r w:rsidRPr="003262A5">
        <w:rPr>
          <w:u w:val="single"/>
        </w:rPr>
        <w:t xml:space="preserve">Yderligere oplysninger om udvalgte bivirkninger </w:t>
      </w:r>
    </w:p>
    <w:p w:rsidR="005B4E3C" w:rsidRPr="003262A5" w:rsidRDefault="005B4E3C" w:rsidP="005B4E3C">
      <w:pPr>
        <w:pStyle w:val="Default"/>
        <w:ind w:left="851"/>
        <w:rPr>
          <w:i/>
          <w:iCs/>
        </w:rPr>
      </w:pPr>
    </w:p>
    <w:p w:rsidR="005B4E3C" w:rsidRPr="003262A5" w:rsidRDefault="005B4E3C" w:rsidP="005B4E3C">
      <w:pPr>
        <w:pStyle w:val="Default"/>
        <w:ind w:left="851"/>
      </w:pPr>
      <w:r w:rsidRPr="003262A5">
        <w:rPr>
          <w:i/>
          <w:iCs/>
        </w:rPr>
        <w:t xml:space="preserve">Hjerteinsufficiens </w:t>
      </w:r>
    </w:p>
    <w:p w:rsidR="005B4E3C" w:rsidRPr="003262A5" w:rsidRDefault="005B4E3C" w:rsidP="005B4E3C">
      <w:pPr>
        <w:pStyle w:val="Default"/>
        <w:ind w:left="851"/>
      </w:pPr>
      <w:r w:rsidRPr="003262A5">
        <w:t xml:space="preserve">I kliniske studier, der var sponsoreret af firmaet, blev der set hjerteinsufficiens som bivirkning hos 1,9 % af de patienter, der blev behandlet med </w:t>
      </w:r>
      <w:proofErr w:type="spellStart"/>
      <w:r w:rsidRPr="003262A5">
        <w:t>sorafenib</w:t>
      </w:r>
      <w:proofErr w:type="spellEnd"/>
      <w:r w:rsidRPr="003262A5">
        <w:t xml:space="preserve"> (N=2.276). I studie 11213 (RCC) blev der set bivirkninger, der svarer til hjerteinsufficiens, hos 1,7 % af de patienter, der blev behandlet med </w:t>
      </w:r>
      <w:proofErr w:type="spellStart"/>
      <w:r w:rsidRPr="003262A5">
        <w:t>sorafenib</w:t>
      </w:r>
      <w:proofErr w:type="spellEnd"/>
      <w:r w:rsidRPr="003262A5">
        <w:t xml:space="preserve">, og hos 0,7 % af de patienter, der fik placebo. I studie 100554 (HCC) blev disse bivirkninger set hos 0,99 % af de patienter, der blev behandlet med </w:t>
      </w:r>
      <w:proofErr w:type="spellStart"/>
      <w:r w:rsidRPr="003262A5">
        <w:t>sorafenib</w:t>
      </w:r>
      <w:proofErr w:type="spellEnd"/>
      <w:r w:rsidRPr="003262A5">
        <w:t xml:space="preserve">, og hos 1,1 % af de patienter, der fik placebo. </w:t>
      </w:r>
    </w:p>
    <w:p w:rsidR="005B4E3C" w:rsidRPr="003262A5" w:rsidRDefault="005B4E3C" w:rsidP="005B4E3C">
      <w:pPr>
        <w:pStyle w:val="Default"/>
        <w:ind w:left="851"/>
        <w:rPr>
          <w:i/>
          <w:iCs/>
        </w:rPr>
      </w:pPr>
    </w:p>
    <w:p w:rsidR="005B4E3C" w:rsidRPr="003262A5" w:rsidRDefault="005B4E3C" w:rsidP="005B4E3C">
      <w:pPr>
        <w:pStyle w:val="Default"/>
        <w:ind w:left="851"/>
      </w:pPr>
      <w:r w:rsidRPr="003262A5">
        <w:rPr>
          <w:i/>
          <w:iCs/>
        </w:rPr>
        <w:t xml:space="preserve">Yderligere information om specielle populationer </w:t>
      </w:r>
    </w:p>
    <w:p w:rsidR="005B4E3C" w:rsidRPr="003262A5" w:rsidRDefault="005B4E3C" w:rsidP="005B4E3C">
      <w:pPr>
        <w:pStyle w:val="Default"/>
        <w:ind w:left="851"/>
      </w:pPr>
      <w:r w:rsidRPr="003262A5">
        <w:t>I kliniske studier opstod visse bivirkninger, såsom hånd-fod-hud-reaktion</w:t>
      </w:r>
      <w:r w:rsidR="00EC454D">
        <w:t xml:space="preserve"> </w:t>
      </w:r>
      <w:r w:rsidRPr="003262A5">
        <w:t xml:space="preserve">(HFSR), diarré, </w:t>
      </w:r>
      <w:proofErr w:type="spellStart"/>
      <w:r w:rsidRPr="003262A5">
        <w:t>alopeci</w:t>
      </w:r>
      <w:proofErr w:type="spellEnd"/>
      <w:r w:rsidRPr="003262A5">
        <w:t xml:space="preserve">, vægttab, hypertension, </w:t>
      </w:r>
      <w:proofErr w:type="spellStart"/>
      <w:r w:rsidRPr="003262A5">
        <w:t>hypokalcæmi</w:t>
      </w:r>
      <w:proofErr w:type="spellEnd"/>
      <w:r w:rsidRPr="003262A5">
        <w:t xml:space="preserve"> og </w:t>
      </w:r>
      <w:proofErr w:type="spellStart"/>
      <w:r w:rsidRPr="003262A5">
        <w:t>keratoakantom</w:t>
      </w:r>
      <w:proofErr w:type="spellEnd"/>
      <w:r w:rsidRPr="003262A5">
        <w:t>/</w:t>
      </w:r>
      <w:proofErr w:type="spellStart"/>
      <w:r w:rsidRPr="003262A5">
        <w:t>spinocellulært</w:t>
      </w:r>
      <w:proofErr w:type="spellEnd"/>
      <w:r w:rsidRPr="003262A5">
        <w:t xml:space="preserve"> karcinom i huden med betydeligt større hyppighed hos patienter med differentieret </w:t>
      </w:r>
      <w:proofErr w:type="spellStart"/>
      <w:r w:rsidRPr="003262A5">
        <w:t>thyreoideacancer</w:t>
      </w:r>
      <w:proofErr w:type="spellEnd"/>
      <w:r w:rsidRPr="003262A5">
        <w:t xml:space="preserve"> sammenlignet med patienter med </w:t>
      </w:r>
      <w:proofErr w:type="spellStart"/>
      <w:r w:rsidRPr="003262A5">
        <w:t>renalcellekarcinom</w:t>
      </w:r>
      <w:proofErr w:type="spellEnd"/>
      <w:r w:rsidRPr="003262A5">
        <w:t xml:space="preserve"> og </w:t>
      </w:r>
      <w:proofErr w:type="spellStart"/>
      <w:r w:rsidRPr="003262A5">
        <w:t>hepatocellulært</w:t>
      </w:r>
      <w:proofErr w:type="spellEnd"/>
      <w:r w:rsidRPr="003262A5">
        <w:t xml:space="preserve"> karcinom.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Afvigelser i laboratorieanalyser hos patienter med HCC (studie 3) og RCC (studie 1)</w:t>
      </w:r>
    </w:p>
    <w:p w:rsidR="005B4E3C" w:rsidRPr="003262A5" w:rsidRDefault="005B4E3C" w:rsidP="005B4E3C">
      <w:pPr>
        <w:pStyle w:val="Default"/>
        <w:ind w:left="851"/>
      </w:pPr>
      <w:r w:rsidRPr="003262A5">
        <w:t xml:space="preserve">Rapporter om øget </w:t>
      </w:r>
      <w:proofErr w:type="spellStart"/>
      <w:r w:rsidRPr="003262A5">
        <w:t>lipase</w:t>
      </w:r>
      <w:proofErr w:type="spellEnd"/>
      <w:r w:rsidRPr="003262A5">
        <w:t xml:space="preserve"> og amylase var meget almindelige. Stigninger af </w:t>
      </w:r>
      <w:proofErr w:type="spellStart"/>
      <w:r w:rsidRPr="003262A5">
        <w:t>lipase</w:t>
      </w:r>
      <w:proofErr w:type="spellEnd"/>
      <w:r w:rsidRPr="003262A5">
        <w:t xml:space="preserve"> CTCAE Grad 3 eller 4 forekom hos 11 % og 9 % af patienterne i </w:t>
      </w:r>
      <w:proofErr w:type="spellStart"/>
      <w:r w:rsidRPr="003262A5">
        <w:t>sorafenib</w:t>
      </w:r>
      <w:proofErr w:type="spellEnd"/>
      <w:r w:rsidRPr="003262A5">
        <w:t>-gruppen i henholdsvis studie 1 (</w:t>
      </w:r>
      <w:proofErr w:type="spellStart"/>
      <w:r w:rsidRPr="003262A5">
        <w:t>renalcellekarcinom</w:t>
      </w:r>
      <w:proofErr w:type="spellEnd"/>
      <w:r w:rsidRPr="003262A5">
        <w:t>) og studie 3 (</w:t>
      </w:r>
      <w:proofErr w:type="spellStart"/>
      <w:r w:rsidRPr="003262A5">
        <w:t>hepatocellulært</w:t>
      </w:r>
      <w:proofErr w:type="spellEnd"/>
      <w:r w:rsidRPr="003262A5">
        <w:t xml:space="preserve"> karcinom) sammenlignet med 7 % og 9 % af patienterne i placebogruppen. Stigningerne af amylase CTCAE Grad 3 eller 4 blev rapporteret hos 1 % og 2 % af patienterne i </w:t>
      </w:r>
      <w:proofErr w:type="spellStart"/>
      <w:r w:rsidRPr="003262A5">
        <w:t>sorafenib</w:t>
      </w:r>
      <w:proofErr w:type="spellEnd"/>
      <w:r w:rsidRPr="003262A5">
        <w:t xml:space="preserve">-gruppen i henholdsvis studie 1 og studie 3, sammenlignet med 3 % af patienterne i hver placebogruppe. Klinisk </w:t>
      </w:r>
      <w:proofErr w:type="spellStart"/>
      <w:r w:rsidRPr="003262A5">
        <w:t>pankreatitis</w:t>
      </w:r>
      <w:proofErr w:type="spellEnd"/>
      <w:r w:rsidRPr="003262A5">
        <w:t xml:space="preserve"> blev rapporteret hos 2 ud af 451 patienter behandlet med </w:t>
      </w:r>
      <w:proofErr w:type="spellStart"/>
      <w:r w:rsidRPr="003262A5">
        <w:t>sorafenib</w:t>
      </w:r>
      <w:proofErr w:type="spellEnd"/>
      <w:r w:rsidRPr="003262A5">
        <w:t xml:space="preserve"> (CTCAE Grad 4) i studie 1, 1 ud af 297 patienter behandlet med </w:t>
      </w:r>
      <w:proofErr w:type="spellStart"/>
      <w:r w:rsidRPr="003262A5">
        <w:t>sorafenib</w:t>
      </w:r>
      <w:proofErr w:type="spellEnd"/>
      <w:r w:rsidRPr="003262A5">
        <w:t xml:space="preserve"> i studie 3 (</w:t>
      </w:r>
      <w:proofErr w:type="gramStart"/>
      <w:r w:rsidRPr="003262A5">
        <w:t>CTCAE grad</w:t>
      </w:r>
      <w:proofErr w:type="gramEnd"/>
      <w:r w:rsidRPr="003262A5">
        <w:t xml:space="preserve"> 2) og 1 ud af 451 patienter (CTCAE Grad 2) i placebogruppen i studie 1. </w:t>
      </w:r>
    </w:p>
    <w:p w:rsidR="005B4E3C" w:rsidRPr="003262A5" w:rsidRDefault="005B4E3C" w:rsidP="005B4E3C">
      <w:pPr>
        <w:pStyle w:val="Default"/>
        <w:ind w:left="851"/>
      </w:pPr>
    </w:p>
    <w:p w:rsidR="005B4E3C" w:rsidRPr="003262A5" w:rsidRDefault="005B4E3C" w:rsidP="005B4E3C">
      <w:pPr>
        <w:pStyle w:val="Default"/>
        <w:ind w:left="851"/>
      </w:pPr>
      <w:proofErr w:type="spellStart"/>
      <w:r w:rsidRPr="003262A5">
        <w:t>Hypofosfatæmi</w:t>
      </w:r>
      <w:proofErr w:type="spellEnd"/>
      <w:r w:rsidRPr="003262A5">
        <w:t xml:space="preserve"> var et meget almindeligt laboratoriefund, som blev observeret hos 45 % og 35 % af patienterne, der blev behandlet med </w:t>
      </w:r>
      <w:proofErr w:type="spellStart"/>
      <w:r w:rsidRPr="003262A5">
        <w:t>sorafenib</w:t>
      </w:r>
      <w:proofErr w:type="spellEnd"/>
      <w:r w:rsidRPr="003262A5">
        <w:t xml:space="preserve"> sammenlignet med 12 % og 11 % hos placebopatienter i henholdsvis studie 1 og studie 3. I studie 1 forekom </w:t>
      </w:r>
      <w:proofErr w:type="spellStart"/>
      <w:r w:rsidRPr="003262A5">
        <w:t>hypofosfatæmi</w:t>
      </w:r>
      <w:proofErr w:type="spellEnd"/>
      <w:r w:rsidRPr="003262A5">
        <w:t xml:space="preserve"> CTCAE Grad 3 (1-2 mg/dl) hos 13 % af patienterne behandlet med </w:t>
      </w:r>
      <w:proofErr w:type="spellStart"/>
      <w:r w:rsidRPr="003262A5">
        <w:t>sorafenib</w:t>
      </w:r>
      <w:proofErr w:type="spellEnd"/>
      <w:r w:rsidRPr="003262A5">
        <w:t xml:space="preserve"> og hos 3 % af patienterne i placebogruppen, i studie 3 hos 11 % af patienterne behandlet med </w:t>
      </w:r>
      <w:proofErr w:type="spellStart"/>
      <w:r w:rsidRPr="003262A5">
        <w:t>sorafenib</w:t>
      </w:r>
      <w:proofErr w:type="spellEnd"/>
      <w:r w:rsidRPr="003262A5">
        <w:t xml:space="preserve"> og hos 2 % af patienterne i placebogruppen. Der var ingen rapporterede tilfælde af CTCAE Grad 4 </w:t>
      </w:r>
      <w:proofErr w:type="spellStart"/>
      <w:r w:rsidRPr="003262A5">
        <w:t>hypofosfatæmi</w:t>
      </w:r>
      <w:proofErr w:type="spellEnd"/>
      <w:r w:rsidRPr="003262A5">
        <w:t xml:space="preserve"> (&lt; 1 mg/dl) hos hverken </w:t>
      </w:r>
      <w:proofErr w:type="spellStart"/>
      <w:r w:rsidRPr="003262A5">
        <w:t>sorafenib</w:t>
      </w:r>
      <w:proofErr w:type="spellEnd"/>
      <w:r w:rsidRPr="003262A5">
        <w:t xml:space="preserve">- eller placebopatienter i studie 1, og 1 tilfælde i placebogruppen i studie 3. Ætiologien om </w:t>
      </w:r>
      <w:proofErr w:type="spellStart"/>
      <w:r w:rsidRPr="003262A5">
        <w:t>hypofosfatæmi</w:t>
      </w:r>
      <w:proofErr w:type="spellEnd"/>
      <w:r w:rsidRPr="003262A5">
        <w:t xml:space="preserve"> associeret med </w:t>
      </w:r>
      <w:proofErr w:type="spellStart"/>
      <w:r w:rsidRPr="003262A5">
        <w:t>sorafenib</w:t>
      </w:r>
      <w:proofErr w:type="spellEnd"/>
      <w:r w:rsidRPr="003262A5">
        <w:t xml:space="preserve"> er ikke kendt.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CTCAE Grad 3 eller 4 laboratorieafvigelser forekommer hos ≥ 5 % af </w:t>
      </w:r>
      <w:proofErr w:type="spellStart"/>
      <w:r w:rsidRPr="003262A5">
        <w:t>sorafenib</w:t>
      </w:r>
      <w:proofErr w:type="spellEnd"/>
      <w:r w:rsidRPr="003262A5">
        <w:t xml:space="preserve">-behandlede patienter og inkluderer </w:t>
      </w:r>
      <w:proofErr w:type="spellStart"/>
      <w:r w:rsidRPr="003262A5">
        <w:t>lymfopeni</w:t>
      </w:r>
      <w:proofErr w:type="spellEnd"/>
      <w:r w:rsidRPr="003262A5">
        <w:t xml:space="preserve"> og </w:t>
      </w:r>
      <w:proofErr w:type="spellStart"/>
      <w:r w:rsidRPr="003262A5">
        <w:t>neutropeni</w:t>
      </w:r>
      <w:proofErr w:type="spellEnd"/>
      <w:r w:rsidRPr="003262A5">
        <w:t xml:space="preserve">. </w:t>
      </w:r>
    </w:p>
    <w:p w:rsidR="005B4E3C" w:rsidRPr="003262A5" w:rsidRDefault="005B4E3C" w:rsidP="005B4E3C">
      <w:pPr>
        <w:pStyle w:val="Default"/>
        <w:ind w:left="851"/>
      </w:pPr>
    </w:p>
    <w:p w:rsidR="005B4E3C" w:rsidRPr="003262A5" w:rsidRDefault="005B4E3C" w:rsidP="005B4E3C">
      <w:pPr>
        <w:pStyle w:val="Default"/>
        <w:ind w:left="851"/>
      </w:pPr>
      <w:proofErr w:type="spellStart"/>
      <w:r w:rsidRPr="003262A5">
        <w:t>Hypokalcæmi</w:t>
      </w:r>
      <w:proofErr w:type="spellEnd"/>
      <w:r w:rsidRPr="003262A5">
        <w:t xml:space="preserve"> blev indberettet hos 12 % og 26,5 % af de patienter, der blev behandlet med </w:t>
      </w:r>
      <w:proofErr w:type="spellStart"/>
      <w:r w:rsidRPr="003262A5">
        <w:t>sorafenib</w:t>
      </w:r>
      <w:proofErr w:type="spellEnd"/>
      <w:r w:rsidRPr="003262A5">
        <w:t xml:space="preserve">, sammenlignet med hos 7,5 % og 14,8 % af placebopatienterne i henholdsvis studie 1 og 3. De fleste indberetninger om </w:t>
      </w:r>
      <w:proofErr w:type="spellStart"/>
      <w:r w:rsidRPr="003262A5">
        <w:t>hypokalcæmi</w:t>
      </w:r>
      <w:proofErr w:type="spellEnd"/>
      <w:r w:rsidRPr="003262A5">
        <w:t xml:space="preserve"> var </w:t>
      </w:r>
      <w:proofErr w:type="spellStart"/>
      <w:r w:rsidRPr="003262A5">
        <w:t>hypokalcæmi</w:t>
      </w:r>
      <w:proofErr w:type="spellEnd"/>
      <w:r w:rsidRPr="003262A5">
        <w:t xml:space="preserve"> af lav grad </w:t>
      </w:r>
      <w:r w:rsidRPr="003262A5">
        <w:lastRenderedPageBreak/>
        <w:t>(</w:t>
      </w:r>
      <w:proofErr w:type="gramStart"/>
      <w:r w:rsidRPr="003262A5">
        <w:t>CTCAE grad</w:t>
      </w:r>
      <w:proofErr w:type="gramEnd"/>
      <w:r w:rsidRPr="003262A5">
        <w:t xml:space="preserve"> 1 og 2). </w:t>
      </w:r>
      <w:proofErr w:type="gramStart"/>
      <w:r w:rsidRPr="003262A5">
        <w:t>CTCAE grad</w:t>
      </w:r>
      <w:proofErr w:type="gramEnd"/>
      <w:r w:rsidRPr="003262A5">
        <w:t xml:space="preserve"> 3 </w:t>
      </w:r>
      <w:proofErr w:type="spellStart"/>
      <w:r w:rsidRPr="003262A5">
        <w:t>hypokalcæmi</w:t>
      </w:r>
      <w:proofErr w:type="spellEnd"/>
      <w:r w:rsidRPr="003262A5">
        <w:t xml:space="preserve"> (6,0-7,0 mg/dl) forekom hos 1,1 % og 1,8 % af de patienter, der blev behandlet med </w:t>
      </w:r>
      <w:proofErr w:type="spellStart"/>
      <w:r w:rsidRPr="003262A5">
        <w:t>sorafenib</w:t>
      </w:r>
      <w:proofErr w:type="spellEnd"/>
      <w:r w:rsidRPr="003262A5">
        <w:t xml:space="preserve">, og hos 0,2 % og 1,1 % af patienterne i placebogruppen, og CTCAE grad 4 </w:t>
      </w:r>
      <w:proofErr w:type="spellStart"/>
      <w:r w:rsidRPr="003262A5">
        <w:t>hypokalcæmi</w:t>
      </w:r>
      <w:proofErr w:type="spellEnd"/>
      <w:r w:rsidRPr="003262A5">
        <w:t xml:space="preserve"> (&lt; 6,0 mg/dl) forekom hos 1,1 % og 0,4 % af de patienter, der blev behandlet med </w:t>
      </w:r>
      <w:proofErr w:type="spellStart"/>
      <w:r w:rsidRPr="003262A5">
        <w:t>sorafenib</w:t>
      </w:r>
      <w:proofErr w:type="spellEnd"/>
      <w:r w:rsidRPr="003262A5">
        <w:t xml:space="preserve">, og hos 0,5 % og 0 % af patienterne i placebogruppen i henholdsvis studie 1 og 3. Ætiologien af </w:t>
      </w:r>
      <w:proofErr w:type="spellStart"/>
      <w:r w:rsidRPr="003262A5">
        <w:t>hypokalcæmi</w:t>
      </w:r>
      <w:proofErr w:type="spellEnd"/>
      <w:r w:rsidRPr="003262A5">
        <w:t xml:space="preserve"> i forbindelse med </w:t>
      </w:r>
      <w:proofErr w:type="spellStart"/>
      <w:r w:rsidRPr="003262A5">
        <w:t>sorafenib</w:t>
      </w:r>
      <w:proofErr w:type="spellEnd"/>
      <w:r w:rsidRPr="003262A5">
        <w:t xml:space="preserve"> kendes ikke. </w:t>
      </w:r>
    </w:p>
    <w:p w:rsidR="005B4E3C" w:rsidRPr="003262A5" w:rsidRDefault="005B4E3C" w:rsidP="005B4E3C">
      <w:pPr>
        <w:pStyle w:val="Default"/>
        <w:ind w:left="851"/>
      </w:pPr>
    </w:p>
    <w:p w:rsidR="005B4E3C" w:rsidRDefault="005B4E3C" w:rsidP="005B4E3C">
      <w:pPr>
        <w:pStyle w:val="Default"/>
        <w:ind w:left="851"/>
      </w:pPr>
      <w:r w:rsidRPr="003262A5">
        <w:t xml:space="preserve">I studie 1 og 3 blev der observeret nedsat kalium hos henholdsvis 5,4 % og 9,5 % af de </w:t>
      </w:r>
      <w:proofErr w:type="spellStart"/>
      <w:r w:rsidRPr="003262A5">
        <w:t>sorafenib</w:t>
      </w:r>
      <w:proofErr w:type="spellEnd"/>
      <w:r w:rsidRPr="003262A5">
        <w:t xml:space="preserve">-behandlede patienter sammenlignet med hos henholdsvis 0,7 % og 5,9 % af placebopatienterne. De fleste rapporter af </w:t>
      </w:r>
      <w:proofErr w:type="spellStart"/>
      <w:r w:rsidRPr="003262A5">
        <w:t>hypokaliæmi</w:t>
      </w:r>
      <w:proofErr w:type="spellEnd"/>
      <w:r w:rsidRPr="003262A5">
        <w:t xml:space="preserve"> var af lav grad (</w:t>
      </w:r>
      <w:proofErr w:type="gramStart"/>
      <w:r w:rsidRPr="003262A5">
        <w:t>CTCAE grad</w:t>
      </w:r>
      <w:proofErr w:type="gramEnd"/>
      <w:r w:rsidRPr="003262A5">
        <w:t xml:space="preserve"> 1). I disse studier forekom CTCAE grad 3 </w:t>
      </w:r>
      <w:proofErr w:type="spellStart"/>
      <w:r w:rsidRPr="003262A5">
        <w:t>hypokaliæmi</w:t>
      </w:r>
      <w:proofErr w:type="spellEnd"/>
      <w:r w:rsidRPr="003262A5">
        <w:t xml:space="preserve"> hos 1,1 % og 0,4 % af de </w:t>
      </w:r>
      <w:proofErr w:type="spellStart"/>
      <w:r w:rsidRPr="003262A5">
        <w:t>sorafenib</w:t>
      </w:r>
      <w:proofErr w:type="spellEnd"/>
      <w:r w:rsidRPr="003262A5">
        <w:t xml:space="preserve">-behandlede patienter og hos 0,2 % og 0,7 % af patienterne i placebogruppen. Der var ingen rapporter om </w:t>
      </w:r>
      <w:proofErr w:type="spellStart"/>
      <w:r w:rsidRPr="003262A5">
        <w:t>hypokaliæmi</w:t>
      </w:r>
      <w:proofErr w:type="spellEnd"/>
      <w:r w:rsidRPr="003262A5">
        <w:t xml:space="preserve"> </w:t>
      </w:r>
      <w:proofErr w:type="gramStart"/>
      <w:r w:rsidRPr="003262A5">
        <w:t>CTCAE grad</w:t>
      </w:r>
      <w:proofErr w:type="gramEnd"/>
      <w:r w:rsidRPr="003262A5">
        <w:t xml:space="preserve"> 4.</w:t>
      </w:r>
    </w:p>
    <w:p w:rsidR="00215185" w:rsidRDefault="00215185" w:rsidP="005B4E3C">
      <w:pPr>
        <w:pStyle w:val="Default"/>
        <w:ind w:left="851"/>
        <w:rPr>
          <w:u w:val="single"/>
        </w:rPr>
      </w:pPr>
    </w:p>
    <w:p w:rsidR="00215185" w:rsidRPr="00255CFB" w:rsidRDefault="00215185" w:rsidP="00215185">
      <w:pPr>
        <w:pStyle w:val="Default"/>
        <w:ind w:left="851"/>
        <w:rPr>
          <w:u w:val="single"/>
        </w:rPr>
      </w:pPr>
      <w:r w:rsidRPr="002175C9">
        <w:rPr>
          <w:u w:val="single"/>
        </w:rPr>
        <w:t>Afvigelser i laboratorieanalyser hos patienter med DTC (studie</w:t>
      </w:r>
      <w:r>
        <w:rPr>
          <w:u w:val="single"/>
        </w:rPr>
        <w:t> </w:t>
      </w:r>
      <w:r w:rsidRPr="002175C9">
        <w:rPr>
          <w:u w:val="single"/>
        </w:rPr>
        <w:t xml:space="preserve">5) </w:t>
      </w:r>
    </w:p>
    <w:p w:rsidR="00215185" w:rsidRDefault="00215185" w:rsidP="00215185">
      <w:pPr>
        <w:pStyle w:val="Default"/>
        <w:ind w:left="851"/>
      </w:pPr>
      <w:proofErr w:type="spellStart"/>
      <w:r w:rsidRPr="00255CFB">
        <w:t>Hypokalcæmi</w:t>
      </w:r>
      <w:proofErr w:type="spellEnd"/>
      <w:r w:rsidRPr="00255CFB">
        <w:t xml:space="preserve"> blev rapporteret hos 35,7</w:t>
      </w:r>
      <w:r>
        <w:t> </w:t>
      </w:r>
      <w:r w:rsidRPr="00255CFB">
        <w:t xml:space="preserve">% af de </w:t>
      </w:r>
      <w:proofErr w:type="spellStart"/>
      <w:r w:rsidRPr="00255CFB">
        <w:t>sorafenibbehandlede</w:t>
      </w:r>
      <w:proofErr w:type="spellEnd"/>
      <w:r w:rsidRPr="00255CFB">
        <w:t xml:space="preserve"> patienter sammenlignet med hos 11,0</w:t>
      </w:r>
      <w:r>
        <w:t> </w:t>
      </w:r>
      <w:r w:rsidRPr="00255CFB">
        <w:t xml:space="preserve">% af placebopatienterne. I de fleste rapporter var </w:t>
      </w:r>
      <w:proofErr w:type="spellStart"/>
      <w:r w:rsidRPr="00255CFB">
        <w:t>hypokalcæmi</w:t>
      </w:r>
      <w:proofErr w:type="spellEnd"/>
      <w:r w:rsidRPr="00255CFB">
        <w:t xml:space="preserve"> af lav grad. </w:t>
      </w:r>
      <w:proofErr w:type="gramStart"/>
      <w:r w:rsidRPr="00255CFB">
        <w:t>CTCAE grad</w:t>
      </w:r>
      <w:proofErr w:type="gramEnd"/>
      <w:r>
        <w:t> </w:t>
      </w:r>
      <w:r w:rsidRPr="00255CFB">
        <w:t xml:space="preserve">3 </w:t>
      </w:r>
      <w:proofErr w:type="spellStart"/>
      <w:r w:rsidRPr="00255CFB">
        <w:t>hypokalcæmi</w:t>
      </w:r>
      <w:proofErr w:type="spellEnd"/>
      <w:r w:rsidRPr="00255CFB">
        <w:t xml:space="preserve"> opstod hos 6,8</w:t>
      </w:r>
      <w:r>
        <w:t> </w:t>
      </w:r>
      <w:r w:rsidRPr="00255CFB">
        <w:t xml:space="preserve">% af de </w:t>
      </w:r>
      <w:proofErr w:type="spellStart"/>
      <w:r w:rsidRPr="00255CFB">
        <w:t>sorafenibbehandlede</w:t>
      </w:r>
      <w:proofErr w:type="spellEnd"/>
      <w:r w:rsidRPr="00255CFB">
        <w:t xml:space="preserve"> patienter og hos 1,9</w:t>
      </w:r>
      <w:r>
        <w:t> </w:t>
      </w:r>
      <w:r w:rsidRPr="00255CFB">
        <w:t>% af placebopatienterne, og CTCAE grad</w:t>
      </w:r>
      <w:r>
        <w:t> </w:t>
      </w:r>
      <w:r w:rsidRPr="00255CFB">
        <w:t xml:space="preserve">4 </w:t>
      </w:r>
      <w:proofErr w:type="spellStart"/>
      <w:r w:rsidRPr="00255CFB">
        <w:t>hypokalcæmi</w:t>
      </w:r>
      <w:proofErr w:type="spellEnd"/>
      <w:r w:rsidRPr="00255CFB">
        <w:t xml:space="preserve"> opstod hos 3,4</w:t>
      </w:r>
      <w:r>
        <w:t> </w:t>
      </w:r>
      <w:r w:rsidRPr="00255CFB">
        <w:t xml:space="preserve">% af de </w:t>
      </w:r>
      <w:proofErr w:type="spellStart"/>
      <w:r w:rsidRPr="00255CFB">
        <w:t>sorafenibbehandlede</w:t>
      </w:r>
      <w:proofErr w:type="spellEnd"/>
      <w:r w:rsidRPr="00255CFB">
        <w:t xml:space="preserve"> patienter og hos 1,0</w:t>
      </w:r>
      <w:r>
        <w:t> </w:t>
      </w:r>
      <w:r w:rsidRPr="00255CFB">
        <w:t xml:space="preserve">% af placebopatienterne. </w:t>
      </w:r>
    </w:p>
    <w:p w:rsidR="00215185" w:rsidRDefault="00215185" w:rsidP="00215185">
      <w:pPr>
        <w:pStyle w:val="Default"/>
        <w:ind w:left="851"/>
      </w:pPr>
    </w:p>
    <w:p w:rsidR="00215185" w:rsidRDefault="00215185" w:rsidP="00215185">
      <w:pPr>
        <w:pStyle w:val="Default"/>
        <w:ind w:left="851"/>
      </w:pPr>
      <w:r w:rsidRPr="00255CFB">
        <w:t>Andre klinisk relevante afvigelser i laboratorieanalyser, som blev observeret i studie</w:t>
      </w:r>
      <w:r>
        <w:t> </w:t>
      </w:r>
      <w:r w:rsidRPr="00255CFB">
        <w:t>5, vises i tabel</w:t>
      </w:r>
      <w:r>
        <w:t> </w:t>
      </w:r>
      <w:r w:rsidRPr="00255CFB">
        <w:t xml:space="preserve">2. </w:t>
      </w:r>
    </w:p>
    <w:p w:rsidR="00215185" w:rsidRDefault="00215185" w:rsidP="00215185">
      <w:pPr>
        <w:pStyle w:val="Default"/>
        <w:ind w:left="851"/>
      </w:pPr>
    </w:p>
    <w:p w:rsidR="00215185" w:rsidRDefault="00215185" w:rsidP="00215185">
      <w:pPr>
        <w:pStyle w:val="Default"/>
        <w:ind w:left="851"/>
        <w:rPr>
          <w:u w:val="single"/>
        </w:rPr>
      </w:pPr>
      <w:r w:rsidRPr="00255CFB">
        <w:rPr>
          <w:b/>
          <w:bCs/>
        </w:rPr>
        <w:t>Tabel 2: Afvigelser i laboratorieanalyser rapporteret hos DTC-patienter i den dobbeltblinde periode (studie</w:t>
      </w:r>
      <w:r>
        <w:rPr>
          <w:b/>
          <w:bCs/>
        </w:rPr>
        <w:t> </w:t>
      </w:r>
      <w:r w:rsidRPr="00255CFB">
        <w:rPr>
          <w:b/>
          <w:bCs/>
        </w:rPr>
        <w:t>5)</w:t>
      </w:r>
    </w:p>
    <w:tbl>
      <w:tblPr>
        <w:tblpPr w:leftFromText="141" w:rightFromText="141" w:vertAnchor="text" w:horzAnchor="page" w:tblpX="1292" w:tblpY="387"/>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827"/>
        <w:gridCol w:w="1248"/>
        <w:gridCol w:w="886"/>
        <w:gridCol w:w="992"/>
        <w:gridCol w:w="1269"/>
        <w:gridCol w:w="1134"/>
        <w:gridCol w:w="1275"/>
      </w:tblGrid>
      <w:tr w:rsidR="00215185" w:rsidRPr="002175C9" w:rsidTr="00255CFB">
        <w:trPr>
          <w:trHeight w:val="251"/>
        </w:trPr>
        <w:tc>
          <w:tcPr>
            <w:tcW w:w="2827" w:type="dxa"/>
            <w:vMerge w:val="restart"/>
            <w:tcBorders>
              <w:bottom w:val="single" w:sz="4" w:space="0" w:color="000000"/>
              <w:right w:val="single" w:sz="4" w:space="0" w:color="000000"/>
            </w:tcBorders>
          </w:tcPr>
          <w:p w:rsidR="00215185" w:rsidRPr="00FF3C74" w:rsidRDefault="00215185" w:rsidP="00255CFB">
            <w:pPr>
              <w:pStyle w:val="TableParagraph"/>
              <w:spacing w:before="209"/>
              <w:ind w:left="242" w:right="229"/>
              <w:rPr>
                <w:rFonts w:eastAsia="Calibri"/>
                <w:color w:val="000000"/>
                <w:sz w:val="24"/>
                <w:szCs w:val="24"/>
                <w:lang w:val="da-DK" w:bidi="ar-SA"/>
              </w:rPr>
            </w:pPr>
            <w:r w:rsidRPr="00FF3C74">
              <w:rPr>
                <w:rFonts w:eastAsia="Calibri"/>
                <w:color w:val="000000"/>
                <w:sz w:val="24"/>
                <w:szCs w:val="24"/>
                <w:lang w:val="da-DK" w:bidi="ar-SA"/>
              </w:rPr>
              <w:t xml:space="preserve">Laboratorieparameter, </w:t>
            </w:r>
            <w:r>
              <w:rPr>
                <w:rFonts w:eastAsia="Calibri"/>
                <w:color w:val="000000"/>
                <w:sz w:val="24"/>
                <w:szCs w:val="24"/>
                <w:lang w:val="da-DK" w:bidi="ar-SA"/>
              </w:rPr>
              <w:br/>
            </w:r>
            <w:r w:rsidRPr="00FF3C74">
              <w:rPr>
                <w:rFonts w:eastAsia="Calibri"/>
                <w:color w:val="000000"/>
                <w:sz w:val="24"/>
                <w:szCs w:val="24"/>
                <w:lang w:val="da-DK" w:bidi="ar-SA"/>
              </w:rPr>
              <w:t>(i % af undersøgte prøver)</w:t>
            </w:r>
          </w:p>
        </w:tc>
        <w:tc>
          <w:tcPr>
            <w:tcW w:w="3126" w:type="dxa"/>
            <w:gridSpan w:val="3"/>
            <w:tcBorders>
              <w:left w:val="single" w:sz="4" w:space="0" w:color="000000"/>
              <w:bottom w:val="single" w:sz="4" w:space="0" w:color="000000"/>
              <w:right w:val="single" w:sz="4" w:space="0" w:color="000000"/>
            </w:tcBorders>
          </w:tcPr>
          <w:p w:rsidR="00215185" w:rsidRPr="00FF3C74" w:rsidRDefault="00215185" w:rsidP="00255CFB">
            <w:pPr>
              <w:pStyle w:val="TableParagraph"/>
              <w:spacing w:line="231" w:lineRule="exact"/>
              <w:ind w:left="654"/>
              <w:rPr>
                <w:rFonts w:eastAsia="Calibri"/>
                <w:color w:val="000000"/>
                <w:sz w:val="24"/>
                <w:szCs w:val="24"/>
                <w:lang w:val="da-DK" w:bidi="ar-SA"/>
              </w:rPr>
            </w:pPr>
            <w:proofErr w:type="spellStart"/>
            <w:r w:rsidRPr="00FF3C74">
              <w:rPr>
                <w:rFonts w:eastAsia="Calibri"/>
                <w:color w:val="000000"/>
                <w:sz w:val="24"/>
                <w:szCs w:val="24"/>
                <w:lang w:val="da-DK" w:bidi="ar-SA"/>
              </w:rPr>
              <w:t>Sorafenib</w:t>
            </w:r>
            <w:proofErr w:type="spellEnd"/>
            <w:r w:rsidRPr="00FF3C74">
              <w:rPr>
                <w:rFonts w:eastAsia="Calibri"/>
                <w:color w:val="000000"/>
                <w:sz w:val="24"/>
                <w:szCs w:val="24"/>
                <w:lang w:val="da-DK" w:bidi="ar-SA"/>
              </w:rPr>
              <w:t xml:space="preserve"> N</w:t>
            </w:r>
            <w:r>
              <w:rPr>
                <w:rFonts w:eastAsia="Calibri"/>
                <w:color w:val="000000"/>
                <w:sz w:val="24"/>
                <w:szCs w:val="24"/>
                <w:lang w:val="da-DK" w:bidi="ar-SA"/>
              </w:rPr>
              <w:t> </w:t>
            </w:r>
            <w:r w:rsidRPr="00FF3C74">
              <w:rPr>
                <w:rFonts w:eastAsia="Calibri"/>
                <w:color w:val="000000"/>
                <w:sz w:val="24"/>
                <w:szCs w:val="24"/>
                <w:lang w:val="da-DK" w:bidi="ar-SA"/>
              </w:rPr>
              <w:t>=</w:t>
            </w:r>
            <w:r>
              <w:rPr>
                <w:rFonts w:eastAsia="Calibri"/>
                <w:color w:val="000000"/>
                <w:sz w:val="24"/>
                <w:szCs w:val="24"/>
                <w:lang w:val="da-DK" w:bidi="ar-SA"/>
              </w:rPr>
              <w:t> </w:t>
            </w:r>
            <w:r w:rsidRPr="00FF3C74">
              <w:rPr>
                <w:rFonts w:eastAsia="Calibri"/>
                <w:color w:val="000000"/>
                <w:sz w:val="24"/>
                <w:szCs w:val="24"/>
                <w:lang w:val="da-DK" w:bidi="ar-SA"/>
              </w:rPr>
              <w:t>207</w:t>
            </w:r>
          </w:p>
        </w:tc>
        <w:tc>
          <w:tcPr>
            <w:tcW w:w="3678" w:type="dxa"/>
            <w:gridSpan w:val="3"/>
            <w:tcBorders>
              <w:left w:val="single" w:sz="4" w:space="0" w:color="000000"/>
              <w:bottom w:val="single" w:sz="4" w:space="0" w:color="000000"/>
              <w:right w:val="single" w:sz="4" w:space="0" w:color="000000"/>
            </w:tcBorders>
          </w:tcPr>
          <w:p w:rsidR="00215185" w:rsidRPr="00FF3C74" w:rsidRDefault="00215185" w:rsidP="00255CFB">
            <w:pPr>
              <w:pStyle w:val="TableParagraph"/>
              <w:spacing w:line="231" w:lineRule="exact"/>
              <w:ind w:left="750"/>
              <w:rPr>
                <w:rFonts w:eastAsia="Calibri"/>
                <w:color w:val="000000"/>
                <w:sz w:val="24"/>
                <w:szCs w:val="24"/>
                <w:lang w:val="da-DK" w:bidi="ar-SA"/>
              </w:rPr>
            </w:pPr>
            <w:r w:rsidRPr="00FF3C74">
              <w:rPr>
                <w:rFonts w:eastAsia="Calibri"/>
                <w:color w:val="000000"/>
                <w:sz w:val="24"/>
                <w:szCs w:val="24"/>
                <w:lang w:val="da-DK" w:bidi="ar-SA"/>
              </w:rPr>
              <w:t>Placebo N</w:t>
            </w:r>
            <w:r>
              <w:rPr>
                <w:rFonts w:eastAsia="Calibri"/>
                <w:color w:val="000000"/>
                <w:sz w:val="24"/>
                <w:szCs w:val="24"/>
                <w:lang w:val="da-DK" w:bidi="ar-SA"/>
              </w:rPr>
              <w:t> </w:t>
            </w:r>
            <w:r w:rsidRPr="00FF3C74">
              <w:rPr>
                <w:rFonts w:eastAsia="Calibri"/>
                <w:color w:val="000000"/>
                <w:sz w:val="24"/>
                <w:szCs w:val="24"/>
                <w:lang w:val="da-DK" w:bidi="ar-SA"/>
              </w:rPr>
              <w:t>=</w:t>
            </w:r>
            <w:r>
              <w:rPr>
                <w:rFonts w:eastAsia="Calibri"/>
                <w:color w:val="000000"/>
                <w:sz w:val="24"/>
                <w:szCs w:val="24"/>
                <w:lang w:val="da-DK" w:bidi="ar-SA"/>
              </w:rPr>
              <w:t> </w:t>
            </w:r>
            <w:r w:rsidRPr="00FF3C74">
              <w:rPr>
                <w:rFonts w:eastAsia="Calibri"/>
                <w:color w:val="000000"/>
                <w:sz w:val="24"/>
                <w:szCs w:val="24"/>
                <w:lang w:val="da-DK" w:bidi="ar-SA"/>
              </w:rPr>
              <w:t>209</w:t>
            </w:r>
          </w:p>
        </w:tc>
      </w:tr>
      <w:tr w:rsidR="00215185" w:rsidRPr="002175C9" w:rsidTr="00255CFB">
        <w:trPr>
          <w:trHeight w:val="667"/>
        </w:trPr>
        <w:tc>
          <w:tcPr>
            <w:tcW w:w="2827" w:type="dxa"/>
            <w:vMerge/>
            <w:tcBorders>
              <w:top w:val="nil"/>
              <w:bottom w:val="single" w:sz="4" w:space="0" w:color="000000"/>
              <w:right w:val="single" w:sz="4" w:space="0" w:color="000000"/>
            </w:tcBorders>
          </w:tcPr>
          <w:p w:rsidR="00215185" w:rsidRPr="00FF3C74" w:rsidRDefault="00215185" w:rsidP="00255CFB">
            <w:pPr>
              <w:rPr>
                <w:rFonts w:eastAsia="Calibri"/>
                <w:color w:val="000000"/>
                <w:sz w:val="24"/>
                <w:szCs w:val="24"/>
              </w:rPr>
            </w:pP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80"/>
              <w:ind w:left="227" w:right="199" w:firstLine="146"/>
              <w:rPr>
                <w:rFonts w:eastAsia="Calibri"/>
                <w:color w:val="000000"/>
                <w:sz w:val="24"/>
                <w:szCs w:val="24"/>
                <w:lang w:val="da-DK" w:bidi="ar-SA"/>
              </w:rPr>
            </w:pPr>
            <w:r w:rsidRPr="00FF3C74">
              <w:rPr>
                <w:rFonts w:eastAsia="Calibri"/>
                <w:color w:val="000000"/>
                <w:sz w:val="24"/>
                <w:szCs w:val="24"/>
                <w:lang w:val="da-DK" w:bidi="ar-SA"/>
              </w:rPr>
              <w:t>Alle grader*</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80"/>
              <w:ind w:left="316" w:right="177" w:hanging="111"/>
              <w:rPr>
                <w:rFonts w:eastAsia="Calibri"/>
                <w:color w:val="000000"/>
                <w:sz w:val="24"/>
                <w:szCs w:val="24"/>
                <w:lang w:val="da-DK" w:bidi="ar-SA"/>
              </w:rPr>
            </w:pPr>
            <w:r w:rsidRPr="00FF3C74">
              <w:rPr>
                <w:rFonts w:eastAsia="Calibri"/>
                <w:color w:val="000000"/>
                <w:sz w:val="24"/>
                <w:szCs w:val="24"/>
                <w:lang w:val="da-DK" w:bidi="ar-SA"/>
              </w:rPr>
              <w:t>Grad 3*</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80"/>
              <w:ind w:left="316" w:right="177" w:hanging="111"/>
              <w:rPr>
                <w:rFonts w:eastAsia="Calibri"/>
                <w:color w:val="000000"/>
                <w:sz w:val="24"/>
                <w:szCs w:val="24"/>
                <w:lang w:val="da-DK" w:bidi="ar-SA"/>
              </w:rPr>
            </w:pPr>
            <w:r w:rsidRPr="00FF3C74">
              <w:rPr>
                <w:rFonts w:eastAsia="Calibri"/>
                <w:color w:val="000000"/>
                <w:sz w:val="24"/>
                <w:szCs w:val="24"/>
                <w:lang w:val="da-DK" w:bidi="ar-SA"/>
              </w:rPr>
              <w:t>Grad 4*</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80"/>
              <w:ind w:left="194" w:right="160" w:firstLine="144"/>
              <w:rPr>
                <w:rFonts w:eastAsia="Calibri"/>
                <w:color w:val="000000"/>
                <w:sz w:val="24"/>
                <w:szCs w:val="24"/>
                <w:lang w:val="da-DK" w:bidi="ar-SA"/>
              </w:rPr>
            </w:pPr>
            <w:r w:rsidRPr="00FF3C74">
              <w:rPr>
                <w:rFonts w:eastAsia="Calibri"/>
                <w:color w:val="000000"/>
                <w:sz w:val="24"/>
                <w:szCs w:val="24"/>
                <w:lang w:val="da-DK" w:bidi="ar-SA"/>
              </w:rPr>
              <w:t>Alle grader*</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205"/>
              <w:ind w:left="139"/>
              <w:rPr>
                <w:rFonts w:eastAsia="Calibri"/>
                <w:color w:val="000000"/>
                <w:sz w:val="24"/>
                <w:szCs w:val="24"/>
                <w:lang w:val="da-DK" w:bidi="ar-SA"/>
              </w:rPr>
            </w:pPr>
            <w:r w:rsidRPr="00FF3C74">
              <w:rPr>
                <w:rFonts w:eastAsia="Calibri"/>
                <w:color w:val="000000"/>
                <w:sz w:val="24"/>
                <w:szCs w:val="24"/>
                <w:lang w:val="da-DK" w:bidi="ar-SA"/>
              </w:rPr>
              <w:t>Grad 3*</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80"/>
              <w:ind w:left="325" w:right="158" w:hanging="111"/>
              <w:rPr>
                <w:rFonts w:eastAsia="Calibri"/>
                <w:color w:val="000000"/>
                <w:sz w:val="24"/>
                <w:szCs w:val="24"/>
                <w:lang w:val="da-DK" w:bidi="ar-SA"/>
              </w:rPr>
            </w:pPr>
            <w:r w:rsidRPr="00FF3C74">
              <w:rPr>
                <w:rFonts w:eastAsia="Calibri"/>
                <w:color w:val="000000"/>
                <w:sz w:val="24"/>
                <w:szCs w:val="24"/>
                <w:lang w:val="da-DK" w:bidi="ar-SA"/>
              </w:rPr>
              <w:t>Grad 4*</w:t>
            </w:r>
          </w:p>
        </w:tc>
      </w:tr>
      <w:tr w:rsidR="00215185" w:rsidRPr="00FF3C74" w:rsidTr="00255CFB">
        <w:trPr>
          <w:trHeight w:val="299"/>
        </w:trPr>
        <w:tc>
          <w:tcPr>
            <w:tcW w:w="9631" w:type="dxa"/>
            <w:gridSpan w:val="7"/>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22"/>
              <w:ind w:left="110"/>
              <w:rPr>
                <w:rFonts w:eastAsia="Calibri"/>
                <w:color w:val="000000"/>
                <w:sz w:val="24"/>
                <w:szCs w:val="24"/>
                <w:lang w:val="da-DK" w:bidi="ar-SA"/>
              </w:rPr>
            </w:pPr>
            <w:r w:rsidRPr="00FF3C74">
              <w:rPr>
                <w:rFonts w:eastAsia="Calibri"/>
                <w:color w:val="000000"/>
                <w:sz w:val="24"/>
                <w:szCs w:val="24"/>
                <w:lang w:val="da-DK" w:bidi="ar-SA"/>
              </w:rPr>
              <w:t>Blod og lymfesystem</w:t>
            </w:r>
          </w:p>
        </w:tc>
      </w:tr>
      <w:tr w:rsidR="00215185" w:rsidRPr="002175C9" w:rsidTr="00255CFB">
        <w:trPr>
          <w:trHeight w:val="261"/>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41" w:lineRule="exact"/>
              <w:ind w:left="110"/>
              <w:rPr>
                <w:rFonts w:eastAsia="Calibri"/>
                <w:color w:val="000000"/>
                <w:sz w:val="24"/>
                <w:szCs w:val="24"/>
                <w:lang w:val="da-DK" w:bidi="ar-SA"/>
              </w:rPr>
            </w:pPr>
            <w:r w:rsidRPr="00FF3C74">
              <w:rPr>
                <w:rFonts w:eastAsia="Calibri"/>
                <w:color w:val="000000"/>
                <w:sz w:val="24"/>
                <w:szCs w:val="24"/>
                <w:lang w:val="da-DK" w:bidi="ar-SA"/>
              </w:rPr>
              <w:t>Anæmi</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30,9</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0,5</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318" w:right="302"/>
              <w:jc w:val="center"/>
              <w:rPr>
                <w:rFonts w:eastAsia="Calibri"/>
                <w:color w:val="000000"/>
                <w:sz w:val="24"/>
                <w:szCs w:val="24"/>
                <w:lang w:val="da-DK" w:bidi="ar-SA"/>
              </w:rPr>
            </w:pPr>
            <w:r w:rsidRPr="00FF3C74">
              <w:rPr>
                <w:rFonts w:eastAsia="Calibri"/>
                <w:color w:val="000000"/>
                <w:sz w:val="24"/>
                <w:szCs w:val="24"/>
                <w:lang w:val="da-DK" w:bidi="ar-SA"/>
              </w:rPr>
              <w:t>23,4</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384" w:right="370"/>
              <w:jc w:val="center"/>
              <w:rPr>
                <w:rFonts w:eastAsia="Calibri"/>
                <w:color w:val="000000"/>
                <w:sz w:val="24"/>
                <w:szCs w:val="24"/>
                <w:lang w:val="da-DK" w:bidi="ar-SA"/>
              </w:rPr>
            </w:pPr>
            <w:r w:rsidRPr="00FF3C74">
              <w:rPr>
                <w:rFonts w:eastAsia="Calibri"/>
                <w:color w:val="000000"/>
                <w:sz w:val="24"/>
                <w:szCs w:val="24"/>
                <w:lang w:val="da-DK" w:bidi="ar-SA"/>
              </w:rPr>
              <w:t>0,5</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 w:line="238" w:lineRule="exact"/>
              <w:ind w:left="18"/>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75"/>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proofErr w:type="spellStart"/>
            <w:r w:rsidRPr="00FF3C74">
              <w:rPr>
                <w:rFonts w:eastAsia="Calibri"/>
                <w:color w:val="000000"/>
                <w:sz w:val="24"/>
                <w:szCs w:val="24"/>
                <w:lang w:val="da-DK" w:bidi="ar-SA"/>
              </w:rPr>
              <w:t>Trombocytopeni</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18,4</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313" w:right="302"/>
              <w:jc w:val="center"/>
              <w:rPr>
                <w:rFonts w:eastAsia="Calibri"/>
                <w:color w:val="000000"/>
                <w:sz w:val="24"/>
                <w:szCs w:val="24"/>
                <w:lang w:val="da-DK" w:bidi="ar-SA"/>
              </w:rPr>
            </w:pPr>
            <w:r w:rsidRPr="00FF3C74">
              <w:rPr>
                <w:rFonts w:eastAsia="Calibri"/>
                <w:color w:val="000000"/>
                <w:sz w:val="24"/>
                <w:szCs w:val="24"/>
                <w:lang w:val="da-DK" w:bidi="ar-SA"/>
              </w:rPr>
              <w:t>9,6</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16"/>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5" w:lineRule="exact"/>
              <w:ind w:left="18"/>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78"/>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proofErr w:type="spellStart"/>
            <w:r w:rsidRPr="00FF3C74">
              <w:rPr>
                <w:rFonts w:eastAsia="Calibri"/>
                <w:color w:val="000000"/>
                <w:sz w:val="24"/>
                <w:szCs w:val="24"/>
                <w:lang w:val="da-DK" w:bidi="ar-SA"/>
              </w:rPr>
              <w:t>Neutropeni</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19,8</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0,5</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0,5</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316" w:right="302"/>
              <w:jc w:val="center"/>
              <w:rPr>
                <w:rFonts w:eastAsia="Calibri"/>
                <w:color w:val="000000"/>
                <w:sz w:val="24"/>
                <w:szCs w:val="24"/>
                <w:lang w:val="da-DK" w:bidi="ar-SA"/>
              </w:rPr>
            </w:pPr>
            <w:r w:rsidRPr="00FF3C74">
              <w:rPr>
                <w:rFonts w:eastAsia="Calibri"/>
                <w:color w:val="000000"/>
                <w:sz w:val="24"/>
                <w:szCs w:val="24"/>
                <w:lang w:val="da-DK" w:bidi="ar-SA"/>
              </w:rPr>
              <w:t>12</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16"/>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18"/>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77"/>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proofErr w:type="spellStart"/>
            <w:r w:rsidRPr="00FF3C74">
              <w:rPr>
                <w:rFonts w:eastAsia="Calibri"/>
                <w:color w:val="000000"/>
                <w:sz w:val="24"/>
                <w:szCs w:val="24"/>
                <w:lang w:val="da-DK" w:bidi="ar-SA"/>
              </w:rPr>
              <w:t>Lymfopeni</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349" w:right="341"/>
              <w:jc w:val="center"/>
              <w:rPr>
                <w:rFonts w:eastAsia="Calibri"/>
                <w:color w:val="000000"/>
                <w:sz w:val="24"/>
                <w:szCs w:val="24"/>
                <w:lang w:val="da-DK" w:bidi="ar-SA"/>
              </w:rPr>
            </w:pPr>
            <w:r w:rsidRPr="00FF3C74">
              <w:rPr>
                <w:rFonts w:eastAsia="Calibri"/>
                <w:color w:val="000000"/>
                <w:sz w:val="24"/>
                <w:szCs w:val="24"/>
                <w:lang w:val="da-DK" w:bidi="ar-SA"/>
              </w:rPr>
              <w:t>42</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9,7</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0,5</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318" w:right="302"/>
              <w:jc w:val="center"/>
              <w:rPr>
                <w:rFonts w:eastAsia="Calibri"/>
                <w:color w:val="000000"/>
                <w:sz w:val="24"/>
                <w:szCs w:val="24"/>
                <w:lang w:val="da-DK" w:bidi="ar-SA"/>
              </w:rPr>
            </w:pPr>
            <w:r w:rsidRPr="00FF3C74">
              <w:rPr>
                <w:rFonts w:eastAsia="Calibri"/>
                <w:color w:val="000000"/>
                <w:sz w:val="24"/>
                <w:szCs w:val="24"/>
                <w:lang w:val="da-DK" w:bidi="ar-SA"/>
              </w:rPr>
              <w:t>25,8</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384" w:right="370"/>
              <w:jc w:val="center"/>
              <w:rPr>
                <w:rFonts w:eastAsia="Calibri"/>
                <w:color w:val="000000"/>
                <w:sz w:val="24"/>
                <w:szCs w:val="24"/>
                <w:lang w:val="da-DK" w:bidi="ar-SA"/>
              </w:rPr>
            </w:pPr>
            <w:r w:rsidRPr="00FF3C74">
              <w:rPr>
                <w:rFonts w:eastAsia="Calibri"/>
                <w:color w:val="000000"/>
                <w:sz w:val="24"/>
                <w:szCs w:val="24"/>
                <w:lang w:val="da-DK" w:bidi="ar-SA"/>
              </w:rPr>
              <w:t>5,3</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 w:line="248" w:lineRule="exact"/>
              <w:ind w:left="18"/>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FF3C74" w:rsidTr="00255CFB">
        <w:trPr>
          <w:trHeight w:val="515"/>
        </w:trPr>
        <w:tc>
          <w:tcPr>
            <w:tcW w:w="9631" w:type="dxa"/>
            <w:gridSpan w:val="7"/>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30"/>
              <w:ind w:left="110"/>
              <w:rPr>
                <w:rFonts w:eastAsia="Calibri"/>
                <w:color w:val="000000"/>
                <w:sz w:val="24"/>
                <w:szCs w:val="24"/>
                <w:lang w:val="da-DK" w:bidi="ar-SA"/>
              </w:rPr>
            </w:pPr>
            <w:r w:rsidRPr="00FF3C74">
              <w:rPr>
                <w:rFonts w:eastAsia="Calibri"/>
                <w:color w:val="000000"/>
                <w:sz w:val="24"/>
                <w:szCs w:val="24"/>
                <w:lang w:val="da-DK" w:bidi="ar-SA"/>
              </w:rPr>
              <w:t>Metabolisme og ernæring</w:t>
            </w:r>
          </w:p>
        </w:tc>
      </w:tr>
      <w:tr w:rsidR="00215185" w:rsidRPr="002175C9" w:rsidTr="00255CFB">
        <w:trPr>
          <w:trHeight w:val="458"/>
        </w:trPr>
        <w:tc>
          <w:tcPr>
            <w:tcW w:w="2827" w:type="dxa"/>
            <w:tcBorders>
              <w:top w:val="single" w:sz="4" w:space="0" w:color="000000"/>
              <w:bottom w:val="single" w:sz="4" w:space="0" w:color="000000"/>
              <w:right w:val="single" w:sz="4" w:space="0" w:color="000000"/>
            </w:tcBorders>
          </w:tcPr>
          <w:p w:rsidR="00215185" w:rsidRPr="00FF3C74" w:rsidRDefault="00215185" w:rsidP="00255CFB">
            <w:pPr>
              <w:pStyle w:val="TableParagraph"/>
              <w:spacing w:before="101"/>
              <w:ind w:left="107"/>
              <w:rPr>
                <w:rFonts w:eastAsia="Calibri"/>
                <w:color w:val="000000"/>
                <w:sz w:val="24"/>
                <w:szCs w:val="24"/>
                <w:lang w:val="da-DK" w:bidi="ar-SA"/>
              </w:rPr>
            </w:pPr>
            <w:proofErr w:type="spellStart"/>
            <w:r w:rsidRPr="00FF3C74">
              <w:rPr>
                <w:rFonts w:eastAsia="Calibri"/>
                <w:color w:val="000000"/>
                <w:sz w:val="24"/>
                <w:szCs w:val="24"/>
                <w:lang w:val="da-DK" w:bidi="ar-SA"/>
              </w:rPr>
              <w:t>Hypokaliæmi</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352" w:right="341"/>
              <w:jc w:val="center"/>
              <w:rPr>
                <w:rFonts w:eastAsia="Calibri"/>
                <w:color w:val="000000"/>
                <w:sz w:val="24"/>
                <w:szCs w:val="24"/>
                <w:lang w:val="da-DK" w:bidi="ar-SA"/>
              </w:rPr>
            </w:pPr>
            <w:r w:rsidRPr="00FF3C74">
              <w:rPr>
                <w:rFonts w:eastAsia="Calibri"/>
                <w:color w:val="000000"/>
                <w:sz w:val="24"/>
                <w:szCs w:val="24"/>
                <w:lang w:val="da-DK" w:bidi="ar-SA"/>
              </w:rPr>
              <w:t>17,9</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211" w:right="202"/>
              <w:jc w:val="center"/>
              <w:rPr>
                <w:rFonts w:eastAsia="Calibri"/>
                <w:color w:val="000000"/>
                <w:sz w:val="24"/>
                <w:szCs w:val="24"/>
                <w:lang w:val="da-DK" w:bidi="ar-SA"/>
              </w:rPr>
            </w:pPr>
            <w:r w:rsidRPr="00FF3C74">
              <w:rPr>
                <w:rFonts w:eastAsia="Calibri"/>
                <w:color w:val="000000"/>
                <w:sz w:val="24"/>
                <w:szCs w:val="24"/>
                <w:lang w:val="da-DK" w:bidi="ar-SA"/>
              </w:rPr>
              <w:t>1,9</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445" w:right="434"/>
              <w:jc w:val="center"/>
              <w:rPr>
                <w:rFonts w:eastAsia="Calibri"/>
                <w:color w:val="000000"/>
                <w:sz w:val="24"/>
                <w:szCs w:val="24"/>
                <w:lang w:val="da-DK" w:bidi="ar-SA"/>
              </w:rPr>
            </w:pPr>
            <w:r w:rsidRPr="00FF3C74">
              <w:rPr>
                <w:rFonts w:eastAsia="Calibri"/>
                <w:color w:val="000000"/>
                <w:sz w:val="24"/>
                <w:szCs w:val="24"/>
                <w:lang w:val="da-DK" w:bidi="ar-SA"/>
              </w:rPr>
              <w:t>2,4</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0" w:right="5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01"/>
              <w:ind w:left="0" w:right="49"/>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90"/>
        </w:trPr>
        <w:tc>
          <w:tcPr>
            <w:tcW w:w="2827" w:type="dxa"/>
            <w:tcBorders>
              <w:top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107"/>
              <w:rPr>
                <w:rFonts w:eastAsia="Calibri"/>
                <w:color w:val="000000"/>
                <w:sz w:val="24"/>
                <w:szCs w:val="24"/>
                <w:lang w:val="da-DK" w:bidi="ar-SA"/>
              </w:rPr>
            </w:pPr>
            <w:proofErr w:type="spellStart"/>
            <w:r w:rsidRPr="00FF3C74">
              <w:rPr>
                <w:rFonts w:eastAsia="Calibri"/>
                <w:color w:val="000000"/>
                <w:sz w:val="24"/>
                <w:szCs w:val="24"/>
                <w:lang w:val="da-DK" w:bidi="ar-SA"/>
              </w:rPr>
              <w:t>Hypofosfatæmi</w:t>
            </w:r>
            <w:proofErr w:type="spellEnd"/>
            <w:r w:rsidRPr="00FF3C74">
              <w:rPr>
                <w:rFonts w:eastAsia="Calibri"/>
                <w:color w:val="000000"/>
                <w:sz w:val="24"/>
                <w:szCs w:val="24"/>
                <w:lang w:val="da-DK" w:bidi="ar-SA"/>
              </w:rPr>
              <w:t>**</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19,3</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215" w:right="202"/>
              <w:jc w:val="center"/>
              <w:rPr>
                <w:rFonts w:eastAsia="Calibri"/>
                <w:color w:val="000000"/>
                <w:sz w:val="24"/>
                <w:szCs w:val="24"/>
                <w:lang w:val="da-DK" w:bidi="ar-SA"/>
              </w:rPr>
            </w:pPr>
            <w:r w:rsidRPr="00FF3C74">
              <w:rPr>
                <w:rFonts w:eastAsia="Calibri"/>
                <w:color w:val="000000"/>
                <w:sz w:val="24"/>
                <w:szCs w:val="24"/>
                <w:lang w:val="da-DK" w:bidi="ar-SA"/>
              </w:rPr>
              <w:t>12,6</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445" w:right="434"/>
              <w:jc w:val="center"/>
              <w:rPr>
                <w:rFonts w:eastAsia="Calibri"/>
                <w:color w:val="000000"/>
                <w:sz w:val="24"/>
                <w:szCs w:val="24"/>
                <w:lang w:val="da-DK" w:bidi="ar-SA"/>
              </w:rPr>
            </w:pPr>
            <w:r w:rsidRPr="00FF3C74">
              <w:rPr>
                <w:rFonts w:eastAsia="Calibri"/>
                <w:color w:val="000000"/>
                <w:sz w:val="24"/>
                <w:szCs w:val="24"/>
                <w:lang w:val="da-DK" w:bidi="ar-SA"/>
              </w:rPr>
              <w:t>2,4</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right="288"/>
              <w:jc w:val="center"/>
              <w:rPr>
                <w:rFonts w:eastAsia="Calibri"/>
                <w:color w:val="000000"/>
                <w:sz w:val="24"/>
                <w:szCs w:val="24"/>
                <w:lang w:val="da-DK" w:bidi="ar-SA"/>
              </w:rPr>
            </w:pPr>
            <w:r w:rsidRPr="00FF3C74">
              <w:rPr>
                <w:rFonts w:eastAsia="Calibri"/>
                <w:color w:val="000000"/>
                <w:sz w:val="24"/>
                <w:szCs w:val="24"/>
                <w:lang w:val="da-DK" w:bidi="ar-SA"/>
              </w:rPr>
              <w:t>1,4</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7" w:line="252" w:lineRule="exact"/>
              <w:ind w:left="0" w:right="49"/>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FF3C74" w:rsidTr="00255CFB">
        <w:trPr>
          <w:trHeight w:val="280"/>
        </w:trPr>
        <w:tc>
          <w:tcPr>
            <w:tcW w:w="9631" w:type="dxa"/>
            <w:gridSpan w:val="7"/>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2" w:lineRule="exact"/>
              <w:ind w:left="110"/>
              <w:rPr>
                <w:rFonts w:eastAsia="Calibri"/>
                <w:color w:val="000000"/>
                <w:sz w:val="24"/>
                <w:szCs w:val="24"/>
                <w:lang w:val="da-DK" w:bidi="ar-SA"/>
              </w:rPr>
            </w:pPr>
            <w:r w:rsidRPr="00FF3C74">
              <w:rPr>
                <w:rFonts w:eastAsia="Calibri"/>
                <w:color w:val="000000"/>
                <w:sz w:val="24"/>
                <w:szCs w:val="24"/>
                <w:lang w:val="da-DK" w:bidi="ar-SA"/>
              </w:rPr>
              <w:t>Lever og galdeveje</w:t>
            </w:r>
          </w:p>
        </w:tc>
      </w:tr>
      <w:tr w:rsidR="00215185" w:rsidRPr="002175C9" w:rsidTr="00255CFB">
        <w:trPr>
          <w:trHeight w:val="328"/>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110"/>
              <w:rPr>
                <w:rFonts w:eastAsia="Calibri"/>
                <w:color w:val="000000"/>
                <w:sz w:val="24"/>
                <w:szCs w:val="24"/>
                <w:lang w:val="da-DK" w:bidi="ar-SA"/>
              </w:rPr>
            </w:pPr>
            <w:r w:rsidRPr="00FF3C74">
              <w:rPr>
                <w:rFonts w:eastAsia="Calibri"/>
                <w:color w:val="000000"/>
                <w:sz w:val="24"/>
                <w:szCs w:val="24"/>
                <w:lang w:val="da-DK" w:bidi="ar-SA"/>
              </w:rPr>
              <w:t>Forhøjet bilirubin</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352" w:right="341"/>
              <w:jc w:val="center"/>
              <w:rPr>
                <w:rFonts w:eastAsia="Calibri"/>
                <w:color w:val="000000"/>
                <w:sz w:val="24"/>
                <w:szCs w:val="24"/>
                <w:lang w:val="da-DK" w:bidi="ar-SA"/>
              </w:rPr>
            </w:pPr>
            <w:r w:rsidRPr="00FF3C74">
              <w:rPr>
                <w:rFonts w:eastAsia="Calibri"/>
                <w:color w:val="000000"/>
                <w:sz w:val="24"/>
                <w:szCs w:val="24"/>
                <w:lang w:val="da-DK" w:bidi="ar-SA"/>
              </w:rPr>
              <w:t>8,7</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7"/>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7"/>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37"/>
              <w:ind w:left="445" w:right="434"/>
              <w:jc w:val="center"/>
              <w:rPr>
                <w:rFonts w:eastAsia="Calibri"/>
                <w:color w:val="000000"/>
                <w:sz w:val="24"/>
                <w:szCs w:val="24"/>
                <w:lang w:val="da-DK" w:bidi="ar-SA"/>
              </w:rPr>
            </w:pPr>
            <w:r w:rsidRPr="00FF3C74">
              <w:rPr>
                <w:rFonts w:eastAsia="Calibri"/>
                <w:color w:val="000000"/>
                <w:sz w:val="24"/>
                <w:szCs w:val="24"/>
                <w:lang w:val="da-DK" w:bidi="ar-SA"/>
              </w:rPr>
              <w:t>4,8</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0" w:right="310"/>
              <w:jc w:val="right"/>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73"/>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80"/>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r w:rsidRPr="00FF3C74">
              <w:rPr>
                <w:rFonts w:eastAsia="Calibri"/>
                <w:color w:val="000000"/>
                <w:sz w:val="24"/>
                <w:szCs w:val="24"/>
                <w:lang w:val="da-DK" w:bidi="ar-SA"/>
              </w:rPr>
              <w:t>Forhøjet ALAT</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58,9</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3,4</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1,0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3" w:line="248" w:lineRule="exact"/>
              <w:ind w:left="412"/>
              <w:rPr>
                <w:rFonts w:eastAsia="Calibri"/>
                <w:color w:val="000000"/>
                <w:sz w:val="24"/>
                <w:szCs w:val="24"/>
                <w:lang w:val="da-DK" w:bidi="ar-SA"/>
              </w:rPr>
            </w:pPr>
            <w:r w:rsidRPr="00FF3C74">
              <w:rPr>
                <w:rFonts w:eastAsia="Calibri"/>
                <w:color w:val="000000"/>
                <w:sz w:val="24"/>
                <w:szCs w:val="24"/>
                <w:lang w:val="da-DK" w:bidi="ar-SA"/>
              </w:rPr>
              <w:t>24,4</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0" w:right="310"/>
              <w:jc w:val="right"/>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73"/>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2175C9" w:rsidTr="00255CFB">
        <w:trPr>
          <w:trHeight w:val="282"/>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110"/>
              <w:rPr>
                <w:rFonts w:eastAsia="Calibri"/>
                <w:color w:val="000000"/>
                <w:sz w:val="24"/>
                <w:szCs w:val="24"/>
                <w:lang w:val="da-DK" w:bidi="ar-SA"/>
              </w:rPr>
            </w:pPr>
            <w:r w:rsidRPr="00FF3C74">
              <w:rPr>
                <w:rFonts w:eastAsia="Calibri"/>
                <w:color w:val="000000"/>
                <w:sz w:val="24"/>
                <w:szCs w:val="24"/>
                <w:lang w:val="da-DK" w:bidi="ar-SA"/>
              </w:rPr>
              <w:t>Forhøjet ASAT</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352" w:right="341"/>
              <w:jc w:val="center"/>
              <w:rPr>
                <w:rFonts w:eastAsia="Calibri"/>
                <w:color w:val="000000"/>
                <w:sz w:val="24"/>
                <w:szCs w:val="24"/>
                <w:lang w:val="da-DK" w:bidi="ar-SA"/>
              </w:rPr>
            </w:pPr>
            <w:r w:rsidRPr="00FF3C74">
              <w:rPr>
                <w:rFonts w:eastAsia="Calibri"/>
                <w:color w:val="000000"/>
                <w:sz w:val="24"/>
                <w:szCs w:val="24"/>
                <w:lang w:val="da-DK" w:bidi="ar-SA"/>
              </w:rPr>
              <w:t>53,6</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211" w:right="202"/>
              <w:jc w:val="center"/>
              <w:rPr>
                <w:rFonts w:eastAsia="Calibri"/>
                <w:color w:val="000000"/>
                <w:sz w:val="24"/>
                <w:szCs w:val="24"/>
                <w:lang w:val="da-DK" w:bidi="ar-SA"/>
              </w:rPr>
            </w:pPr>
            <w:r w:rsidRPr="00FF3C74">
              <w:rPr>
                <w:rFonts w:eastAsia="Calibri"/>
                <w:color w:val="000000"/>
                <w:sz w:val="24"/>
                <w:szCs w:val="24"/>
                <w:lang w:val="da-DK" w:bidi="ar-SA"/>
              </w:rPr>
              <w:t>1,0</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211" w:right="202"/>
              <w:jc w:val="center"/>
              <w:rPr>
                <w:rFonts w:eastAsia="Calibri"/>
                <w:color w:val="000000"/>
                <w:sz w:val="24"/>
                <w:szCs w:val="24"/>
                <w:lang w:val="da-DK" w:bidi="ar-SA"/>
              </w:rPr>
            </w:pPr>
            <w:r w:rsidRPr="00FF3C74">
              <w:rPr>
                <w:rFonts w:eastAsia="Calibri"/>
                <w:color w:val="000000"/>
                <w:sz w:val="24"/>
                <w:szCs w:val="24"/>
                <w:lang w:val="da-DK" w:bidi="ar-SA"/>
              </w:rPr>
              <w:t>1,0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412"/>
              <w:rPr>
                <w:rFonts w:eastAsia="Calibri"/>
                <w:color w:val="000000"/>
                <w:sz w:val="24"/>
                <w:szCs w:val="24"/>
                <w:lang w:val="da-DK" w:bidi="ar-SA"/>
              </w:rPr>
            </w:pPr>
            <w:r w:rsidRPr="00FF3C74">
              <w:rPr>
                <w:rFonts w:eastAsia="Calibri"/>
                <w:color w:val="000000"/>
                <w:sz w:val="24"/>
                <w:szCs w:val="24"/>
                <w:lang w:val="da-DK" w:bidi="ar-SA"/>
              </w:rPr>
              <w:t>14,8</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0" w:right="310"/>
              <w:jc w:val="right"/>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before="1"/>
              <w:ind w:left="73"/>
              <w:jc w:val="center"/>
              <w:rPr>
                <w:rFonts w:eastAsia="Calibri"/>
                <w:color w:val="000000"/>
                <w:sz w:val="24"/>
                <w:szCs w:val="24"/>
                <w:lang w:val="da-DK" w:bidi="ar-SA"/>
              </w:rPr>
            </w:pPr>
            <w:r w:rsidRPr="00FF3C74">
              <w:rPr>
                <w:rFonts w:eastAsia="Calibri"/>
                <w:color w:val="000000"/>
                <w:sz w:val="24"/>
                <w:szCs w:val="24"/>
                <w:lang w:val="da-DK" w:bidi="ar-SA"/>
              </w:rPr>
              <w:t>0</w:t>
            </w:r>
          </w:p>
        </w:tc>
      </w:tr>
      <w:tr w:rsidR="00215185" w:rsidRPr="00FF3C74" w:rsidTr="00255CFB">
        <w:trPr>
          <w:trHeight w:val="309"/>
        </w:trPr>
        <w:tc>
          <w:tcPr>
            <w:tcW w:w="9631" w:type="dxa"/>
            <w:gridSpan w:val="7"/>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r w:rsidRPr="00FF3C74">
              <w:rPr>
                <w:rFonts w:eastAsia="Calibri"/>
                <w:color w:val="000000"/>
                <w:sz w:val="24"/>
                <w:szCs w:val="24"/>
                <w:lang w:val="da-DK" w:bidi="ar-SA"/>
              </w:rPr>
              <w:t>Undersøgelser</w:t>
            </w:r>
          </w:p>
        </w:tc>
      </w:tr>
      <w:tr w:rsidR="00215185" w:rsidRPr="002175C9" w:rsidTr="00255CFB">
        <w:trPr>
          <w:trHeight w:val="280"/>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r w:rsidRPr="00FF3C74">
              <w:rPr>
                <w:rFonts w:eastAsia="Calibri"/>
                <w:color w:val="000000"/>
                <w:sz w:val="24"/>
                <w:szCs w:val="24"/>
                <w:lang w:val="da-DK" w:bidi="ar-SA"/>
              </w:rPr>
              <w:t>Forhøjet amylase</w:t>
            </w:r>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12,6</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2,4</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1,4</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445" w:right="434"/>
              <w:jc w:val="center"/>
              <w:rPr>
                <w:rFonts w:eastAsia="Calibri"/>
                <w:color w:val="000000"/>
                <w:sz w:val="24"/>
                <w:szCs w:val="24"/>
                <w:lang w:val="da-DK" w:bidi="ar-SA"/>
              </w:rPr>
            </w:pPr>
            <w:r w:rsidRPr="00FF3C74">
              <w:rPr>
                <w:rFonts w:eastAsia="Calibri"/>
                <w:color w:val="000000"/>
                <w:sz w:val="24"/>
                <w:szCs w:val="24"/>
                <w:lang w:val="da-DK" w:bidi="ar-SA"/>
              </w:rPr>
              <w:t>6,2</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0"/>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58" w:right="258"/>
              <w:jc w:val="center"/>
              <w:rPr>
                <w:rFonts w:eastAsia="Calibri"/>
                <w:color w:val="000000"/>
                <w:sz w:val="24"/>
                <w:szCs w:val="24"/>
                <w:lang w:val="da-DK" w:bidi="ar-SA"/>
              </w:rPr>
            </w:pPr>
            <w:r w:rsidRPr="00FF3C74">
              <w:rPr>
                <w:rFonts w:eastAsia="Calibri"/>
                <w:color w:val="000000"/>
                <w:sz w:val="24"/>
                <w:szCs w:val="24"/>
                <w:lang w:val="da-DK" w:bidi="ar-SA"/>
              </w:rPr>
              <w:t>1,0</w:t>
            </w:r>
          </w:p>
        </w:tc>
      </w:tr>
      <w:tr w:rsidR="00215185" w:rsidRPr="002175C9" w:rsidTr="00255CFB">
        <w:trPr>
          <w:trHeight w:val="280"/>
        </w:trPr>
        <w:tc>
          <w:tcPr>
            <w:tcW w:w="2827"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0"/>
              <w:rPr>
                <w:rFonts w:eastAsia="Calibri"/>
                <w:color w:val="000000"/>
                <w:sz w:val="24"/>
                <w:szCs w:val="24"/>
                <w:lang w:val="da-DK" w:bidi="ar-SA"/>
              </w:rPr>
            </w:pPr>
            <w:r w:rsidRPr="00FF3C74">
              <w:rPr>
                <w:rFonts w:eastAsia="Calibri"/>
                <w:color w:val="000000"/>
                <w:sz w:val="24"/>
                <w:szCs w:val="24"/>
                <w:lang w:val="da-DK" w:bidi="ar-SA"/>
              </w:rPr>
              <w:t xml:space="preserve">Forhøjet </w:t>
            </w:r>
            <w:proofErr w:type="spellStart"/>
            <w:r w:rsidRPr="00FF3C74">
              <w:rPr>
                <w:rFonts w:eastAsia="Calibri"/>
                <w:color w:val="000000"/>
                <w:sz w:val="24"/>
                <w:szCs w:val="24"/>
                <w:lang w:val="da-DK" w:bidi="ar-SA"/>
              </w:rPr>
              <w:t>lipase</w:t>
            </w:r>
            <w:proofErr w:type="spellEnd"/>
          </w:p>
        </w:tc>
        <w:tc>
          <w:tcPr>
            <w:tcW w:w="1248"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352" w:right="341"/>
              <w:jc w:val="center"/>
              <w:rPr>
                <w:rFonts w:eastAsia="Calibri"/>
                <w:color w:val="000000"/>
                <w:sz w:val="24"/>
                <w:szCs w:val="24"/>
                <w:lang w:val="da-DK" w:bidi="ar-SA"/>
              </w:rPr>
            </w:pPr>
            <w:r w:rsidRPr="00FF3C74">
              <w:rPr>
                <w:rFonts w:eastAsia="Calibri"/>
                <w:color w:val="000000"/>
                <w:sz w:val="24"/>
                <w:szCs w:val="24"/>
                <w:lang w:val="da-DK" w:bidi="ar-SA"/>
              </w:rPr>
              <w:t>11,1</w:t>
            </w:r>
          </w:p>
        </w:tc>
        <w:tc>
          <w:tcPr>
            <w:tcW w:w="886"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211" w:right="202"/>
              <w:jc w:val="center"/>
              <w:rPr>
                <w:rFonts w:eastAsia="Calibri"/>
                <w:color w:val="000000"/>
                <w:sz w:val="24"/>
                <w:szCs w:val="24"/>
                <w:lang w:val="da-DK" w:bidi="ar-SA"/>
              </w:rPr>
            </w:pPr>
            <w:r w:rsidRPr="00FF3C74">
              <w:rPr>
                <w:rFonts w:eastAsia="Calibri"/>
                <w:color w:val="000000"/>
                <w:sz w:val="24"/>
                <w:szCs w:val="24"/>
                <w:lang w:val="da-DK" w:bidi="ar-SA"/>
              </w:rPr>
              <w:t>2,4</w:t>
            </w:r>
          </w:p>
        </w:tc>
        <w:tc>
          <w:tcPr>
            <w:tcW w:w="992"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1"/>
              <w:jc w:val="center"/>
              <w:rPr>
                <w:rFonts w:eastAsia="Calibri"/>
                <w:color w:val="000000"/>
                <w:sz w:val="24"/>
                <w:szCs w:val="24"/>
                <w:lang w:val="da-DK" w:bidi="ar-SA"/>
              </w:rPr>
            </w:pPr>
            <w:r w:rsidRPr="00FF3C74">
              <w:rPr>
                <w:rFonts w:eastAsia="Calibri"/>
                <w:color w:val="000000"/>
                <w:sz w:val="24"/>
                <w:szCs w:val="24"/>
                <w:lang w:val="da-DK" w:bidi="ar-SA"/>
              </w:rPr>
              <w:t>0</w:t>
            </w:r>
          </w:p>
        </w:tc>
        <w:tc>
          <w:tcPr>
            <w:tcW w:w="1269"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445" w:right="434"/>
              <w:jc w:val="center"/>
              <w:rPr>
                <w:rFonts w:eastAsia="Calibri"/>
                <w:color w:val="000000"/>
                <w:sz w:val="24"/>
                <w:szCs w:val="24"/>
                <w:lang w:val="da-DK" w:bidi="ar-SA"/>
              </w:rPr>
            </w:pPr>
            <w:r w:rsidRPr="00FF3C74">
              <w:rPr>
                <w:rFonts w:eastAsia="Calibri"/>
                <w:color w:val="000000"/>
                <w:sz w:val="24"/>
                <w:szCs w:val="24"/>
                <w:lang w:val="da-DK" w:bidi="ar-SA"/>
              </w:rPr>
              <w:t>2,9</w:t>
            </w:r>
          </w:p>
        </w:tc>
        <w:tc>
          <w:tcPr>
            <w:tcW w:w="1134"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right="264"/>
              <w:jc w:val="center"/>
              <w:rPr>
                <w:rFonts w:eastAsia="Calibri"/>
                <w:color w:val="000000"/>
                <w:sz w:val="24"/>
                <w:szCs w:val="24"/>
                <w:lang w:val="da-DK" w:bidi="ar-SA"/>
              </w:rPr>
            </w:pPr>
            <w:r w:rsidRPr="00FF3C74">
              <w:rPr>
                <w:rFonts w:eastAsia="Calibri"/>
                <w:color w:val="000000"/>
                <w:sz w:val="24"/>
                <w:szCs w:val="24"/>
                <w:lang w:val="da-DK" w:bidi="ar-SA"/>
              </w:rPr>
              <w:t>0,5</w:t>
            </w:r>
          </w:p>
        </w:tc>
        <w:tc>
          <w:tcPr>
            <w:tcW w:w="1275" w:type="dxa"/>
            <w:tcBorders>
              <w:top w:val="single" w:sz="4" w:space="0" w:color="000000"/>
              <w:left w:val="single" w:sz="4" w:space="0" w:color="000000"/>
              <w:bottom w:val="single" w:sz="4" w:space="0" w:color="000000"/>
              <w:right w:val="single" w:sz="4" w:space="0" w:color="000000"/>
            </w:tcBorders>
          </w:tcPr>
          <w:p w:rsidR="00215185" w:rsidRPr="00FF3C74" w:rsidRDefault="00215185" w:rsidP="00255CFB">
            <w:pPr>
              <w:pStyle w:val="TableParagraph"/>
              <w:spacing w:line="251" w:lineRule="exact"/>
              <w:ind w:left="1"/>
              <w:jc w:val="center"/>
              <w:rPr>
                <w:rFonts w:eastAsia="Calibri"/>
                <w:color w:val="000000"/>
                <w:sz w:val="24"/>
                <w:szCs w:val="24"/>
                <w:lang w:val="da-DK" w:bidi="ar-SA"/>
              </w:rPr>
            </w:pPr>
            <w:r w:rsidRPr="00FF3C74">
              <w:rPr>
                <w:rFonts w:eastAsia="Calibri"/>
                <w:color w:val="000000"/>
                <w:sz w:val="24"/>
                <w:szCs w:val="24"/>
                <w:lang w:val="da-DK" w:bidi="ar-SA"/>
              </w:rPr>
              <w:t>0</w:t>
            </w:r>
          </w:p>
        </w:tc>
      </w:tr>
    </w:tbl>
    <w:p w:rsidR="00215185" w:rsidRPr="00255CFB" w:rsidRDefault="00215185" w:rsidP="00215185">
      <w:pPr>
        <w:pStyle w:val="Default"/>
        <w:ind w:left="1301" w:hanging="450"/>
        <w:rPr>
          <w:sz w:val="22"/>
          <w:szCs w:val="22"/>
        </w:rPr>
      </w:pPr>
      <w:r w:rsidRPr="00255CFB">
        <w:rPr>
          <w:sz w:val="22"/>
          <w:szCs w:val="22"/>
        </w:rPr>
        <w:t>*</w:t>
      </w:r>
      <w:r w:rsidRPr="00255CFB">
        <w:rPr>
          <w:sz w:val="22"/>
          <w:szCs w:val="22"/>
        </w:rPr>
        <w:tab/>
        <w:t>Almindelige terminologikriterier for uønskede hændelser (</w:t>
      </w:r>
      <w:r w:rsidRPr="00255CFB">
        <w:rPr>
          <w:i/>
          <w:iCs/>
          <w:sz w:val="22"/>
          <w:szCs w:val="22"/>
        </w:rPr>
        <w:t xml:space="preserve">Common </w:t>
      </w:r>
      <w:proofErr w:type="spellStart"/>
      <w:r w:rsidRPr="00255CFB">
        <w:rPr>
          <w:i/>
          <w:iCs/>
          <w:sz w:val="22"/>
          <w:szCs w:val="22"/>
        </w:rPr>
        <w:t>Terminology</w:t>
      </w:r>
      <w:proofErr w:type="spellEnd"/>
      <w:r w:rsidRPr="00255CFB">
        <w:rPr>
          <w:i/>
          <w:iCs/>
          <w:sz w:val="22"/>
          <w:szCs w:val="22"/>
        </w:rPr>
        <w:t xml:space="preserve"> </w:t>
      </w:r>
      <w:proofErr w:type="spellStart"/>
      <w:r w:rsidRPr="00255CFB">
        <w:rPr>
          <w:i/>
          <w:iCs/>
          <w:sz w:val="22"/>
          <w:szCs w:val="22"/>
        </w:rPr>
        <w:t>Criteria</w:t>
      </w:r>
      <w:proofErr w:type="spellEnd"/>
      <w:r w:rsidRPr="00255CFB">
        <w:rPr>
          <w:i/>
          <w:iCs/>
          <w:sz w:val="22"/>
          <w:szCs w:val="22"/>
        </w:rPr>
        <w:t xml:space="preserve"> for </w:t>
      </w:r>
      <w:proofErr w:type="spellStart"/>
      <w:r w:rsidRPr="00255CFB">
        <w:rPr>
          <w:i/>
          <w:iCs/>
          <w:sz w:val="22"/>
          <w:szCs w:val="22"/>
        </w:rPr>
        <w:t>Adverse</w:t>
      </w:r>
      <w:proofErr w:type="spellEnd"/>
      <w:r w:rsidRPr="00255CFB">
        <w:rPr>
          <w:i/>
          <w:iCs/>
          <w:sz w:val="22"/>
          <w:szCs w:val="22"/>
        </w:rPr>
        <w:t xml:space="preserve"> Events</w:t>
      </w:r>
      <w:r w:rsidRPr="00255CFB">
        <w:rPr>
          <w:sz w:val="22"/>
          <w:szCs w:val="22"/>
        </w:rPr>
        <w:t xml:space="preserve"> (CTCAE)), version 3.0 </w:t>
      </w:r>
    </w:p>
    <w:p w:rsidR="00215185" w:rsidRPr="00255CFB" w:rsidRDefault="00215185" w:rsidP="00215185">
      <w:pPr>
        <w:pStyle w:val="Default"/>
        <w:ind w:left="851"/>
        <w:rPr>
          <w:sz w:val="22"/>
          <w:szCs w:val="22"/>
        </w:rPr>
      </w:pPr>
      <w:r w:rsidRPr="00255CFB">
        <w:rPr>
          <w:sz w:val="22"/>
          <w:szCs w:val="22"/>
        </w:rPr>
        <w:t>**</w:t>
      </w:r>
      <w:r w:rsidRPr="00255CFB">
        <w:rPr>
          <w:sz w:val="22"/>
          <w:szCs w:val="22"/>
        </w:rPr>
        <w:tab/>
        <w:t xml:space="preserve">Ætiologien af </w:t>
      </w:r>
      <w:proofErr w:type="spellStart"/>
      <w:r w:rsidRPr="00255CFB">
        <w:rPr>
          <w:sz w:val="22"/>
          <w:szCs w:val="22"/>
        </w:rPr>
        <w:t>hypofosfatæmi</w:t>
      </w:r>
      <w:proofErr w:type="spellEnd"/>
      <w:r w:rsidRPr="00255CFB">
        <w:rPr>
          <w:sz w:val="22"/>
          <w:szCs w:val="22"/>
        </w:rPr>
        <w:t xml:space="preserve"> forbundet med </w:t>
      </w:r>
      <w:proofErr w:type="spellStart"/>
      <w:r w:rsidRPr="00255CFB">
        <w:rPr>
          <w:sz w:val="22"/>
          <w:szCs w:val="22"/>
        </w:rPr>
        <w:t>sorafenib</w:t>
      </w:r>
      <w:proofErr w:type="spellEnd"/>
      <w:r w:rsidRPr="00255CFB">
        <w:rPr>
          <w:sz w:val="22"/>
          <w:szCs w:val="22"/>
        </w:rPr>
        <w:t xml:space="preserve"> er ukendt.</w:t>
      </w:r>
    </w:p>
    <w:p w:rsidR="00215185" w:rsidRPr="003262A5" w:rsidRDefault="00215185" w:rsidP="005B4E3C">
      <w:pPr>
        <w:pStyle w:val="Default"/>
        <w:ind w:left="851"/>
        <w:rPr>
          <w:u w:val="single"/>
        </w:rPr>
      </w:pPr>
    </w:p>
    <w:p w:rsidR="005B4E3C" w:rsidRPr="003262A5" w:rsidRDefault="005B4E3C" w:rsidP="005B4E3C">
      <w:pPr>
        <w:pStyle w:val="Default"/>
        <w:ind w:left="851"/>
        <w:rPr>
          <w:u w:val="single"/>
        </w:rPr>
      </w:pPr>
    </w:p>
    <w:p w:rsidR="005B4E3C" w:rsidRPr="008F49E1" w:rsidRDefault="005B4E3C" w:rsidP="005B4E3C">
      <w:pPr>
        <w:autoSpaceDE w:val="0"/>
        <w:autoSpaceDN w:val="0"/>
        <w:ind w:left="851"/>
        <w:rPr>
          <w:sz w:val="24"/>
          <w:szCs w:val="24"/>
          <w:u w:val="single"/>
          <w:lang w:eastAsia="da-DK"/>
        </w:rPr>
      </w:pPr>
      <w:r w:rsidRPr="008F49E1">
        <w:rPr>
          <w:sz w:val="24"/>
          <w:szCs w:val="24"/>
          <w:u w:val="single"/>
          <w:lang w:eastAsia="da-DK"/>
        </w:rPr>
        <w:t>Indberetning af formodede bivirkninger</w:t>
      </w:r>
    </w:p>
    <w:p w:rsidR="005B4E3C" w:rsidRPr="008F49E1" w:rsidRDefault="005B4E3C" w:rsidP="005B4E3C">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215185">
        <w:rPr>
          <w:sz w:val="24"/>
          <w:szCs w:val="24"/>
          <w:lang w:eastAsia="da-DK"/>
        </w:rPr>
        <w:t>S</w:t>
      </w:r>
      <w:r w:rsidRPr="008F49E1">
        <w:rPr>
          <w:sz w:val="24"/>
          <w:szCs w:val="24"/>
          <w:lang w:eastAsia="da-DK"/>
        </w:rPr>
        <w:t>undhedsperson</w:t>
      </w:r>
      <w:r w:rsidR="00215185">
        <w:rPr>
          <w:sz w:val="24"/>
          <w:szCs w:val="24"/>
          <w:lang w:eastAsia="da-DK"/>
        </w:rPr>
        <w:t>er</w:t>
      </w:r>
      <w:r w:rsidRPr="008F49E1">
        <w:rPr>
          <w:sz w:val="24"/>
          <w:szCs w:val="24"/>
          <w:lang w:eastAsia="da-DK"/>
        </w:rPr>
        <w:t xml:space="preserve"> anmodes om at indberette alle formodede bivirkninger via:</w:t>
      </w:r>
    </w:p>
    <w:p w:rsidR="005B4E3C" w:rsidRPr="008F49E1" w:rsidRDefault="005B4E3C" w:rsidP="005B4E3C">
      <w:pPr>
        <w:ind w:left="851"/>
        <w:rPr>
          <w:sz w:val="24"/>
          <w:szCs w:val="24"/>
          <w:lang w:eastAsia="da-DK"/>
        </w:rPr>
      </w:pPr>
    </w:p>
    <w:p w:rsidR="005B4E3C" w:rsidRPr="007A276A" w:rsidRDefault="005B4E3C" w:rsidP="005B4E3C">
      <w:pPr>
        <w:ind w:left="851"/>
        <w:rPr>
          <w:sz w:val="24"/>
          <w:szCs w:val="24"/>
          <w:lang w:eastAsia="da-DK"/>
        </w:rPr>
      </w:pPr>
      <w:r w:rsidRPr="007A276A">
        <w:rPr>
          <w:sz w:val="24"/>
          <w:szCs w:val="24"/>
          <w:lang w:eastAsia="da-DK"/>
        </w:rPr>
        <w:t>Lægemiddelstyrelsen</w:t>
      </w:r>
    </w:p>
    <w:p w:rsidR="005B4E3C" w:rsidRPr="007A276A" w:rsidRDefault="005B4E3C" w:rsidP="005B4E3C">
      <w:pPr>
        <w:ind w:left="851"/>
        <w:rPr>
          <w:sz w:val="24"/>
          <w:szCs w:val="24"/>
          <w:lang w:eastAsia="da-DK"/>
        </w:rPr>
      </w:pPr>
      <w:r w:rsidRPr="007A276A">
        <w:rPr>
          <w:sz w:val="24"/>
          <w:szCs w:val="24"/>
          <w:lang w:eastAsia="da-DK"/>
        </w:rPr>
        <w:t>Axel Heides Gade 1</w:t>
      </w:r>
    </w:p>
    <w:p w:rsidR="005B4E3C" w:rsidRPr="007A276A" w:rsidRDefault="005B4E3C" w:rsidP="005B4E3C">
      <w:pPr>
        <w:ind w:left="851"/>
        <w:rPr>
          <w:sz w:val="24"/>
          <w:szCs w:val="24"/>
          <w:lang w:eastAsia="da-DK"/>
        </w:rPr>
      </w:pPr>
      <w:r w:rsidRPr="007A276A">
        <w:rPr>
          <w:sz w:val="24"/>
          <w:szCs w:val="24"/>
          <w:lang w:eastAsia="da-DK"/>
        </w:rPr>
        <w:t>DK-2300 København S</w:t>
      </w:r>
    </w:p>
    <w:p w:rsidR="005B4E3C" w:rsidRPr="008B7104" w:rsidRDefault="005B4E3C" w:rsidP="005B4E3C">
      <w:pPr>
        <w:ind w:left="851"/>
        <w:rPr>
          <w:sz w:val="24"/>
          <w:szCs w:val="24"/>
          <w:lang w:eastAsia="da-DK"/>
        </w:rPr>
      </w:pPr>
      <w:r w:rsidRPr="008B7104">
        <w:rPr>
          <w:sz w:val="24"/>
          <w:szCs w:val="24"/>
          <w:lang w:eastAsia="da-DK"/>
        </w:rPr>
        <w:t xml:space="preserve">Websted: </w:t>
      </w:r>
      <w:hyperlink r:id="rId8" w:history="1">
        <w:r w:rsidR="00215185" w:rsidRPr="004038D2">
          <w:rPr>
            <w:rStyle w:val="Hyperlink"/>
            <w:sz w:val="24"/>
            <w:lang w:eastAsia="da-DK"/>
          </w:rPr>
          <w:t>www.meldenbivirkning.dk</w:t>
        </w:r>
      </w:hyperlink>
      <w:r w:rsidR="00215185">
        <w:rPr>
          <w:sz w:val="24"/>
          <w:lang w:eastAsia="da-DK"/>
        </w:rPr>
        <w:t xml:space="preserve"> </w:t>
      </w:r>
    </w:p>
    <w:p w:rsidR="005B4E3C" w:rsidRPr="008B7104" w:rsidRDefault="005B4E3C" w:rsidP="005B4E3C">
      <w:pPr>
        <w:pStyle w:val="Sidehoved"/>
        <w:tabs>
          <w:tab w:val="left" w:pos="851"/>
        </w:tabs>
        <w:ind w:left="851"/>
        <w:rPr>
          <w:szCs w:val="24"/>
        </w:rPr>
      </w:pPr>
    </w:p>
    <w:p w:rsidR="005B4E3C" w:rsidRPr="003262A5" w:rsidRDefault="005B4E3C" w:rsidP="005B4E3C">
      <w:pPr>
        <w:tabs>
          <w:tab w:val="left" w:pos="851"/>
        </w:tabs>
        <w:ind w:left="851" w:hanging="851"/>
        <w:rPr>
          <w:b/>
          <w:sz w:val="24"/>
          <w:szCs w:val="24"/>
        </w:rPr>
      </w:pPr>
      <w:r w:rsidRPr="003262A5">
        <w:rPr>
          <w:b/>
          <w:sz w:val="24"/>
          <w:szCs w:val="24"/>
        </w:rPr>
        <w:t>4.9</w:t>
      </w:r>
      <w:r w:rsidRPr="003262A5">
        <w:rPr>
          <w:b/>
          <w:sz w:val="24"/>
          <w:szCs w:val="24"/>
        </w:rPr>
        <w:tab/>
        <w:t>Overdosering</w:t>
      </w:r>
    </w:p>
    <w:p w:rsidR="005B4E3C" w:rsidRPr="003262A5" w:rsidRDefault="005B4E3C" w:rsidP="005B4E3C">
      <w:pPr>
        <w:pStyle w:val="Default"/>
        <w:ind w:left="851"/>
      </w:pPr>
      <w:r w:rsidRPr="003262A5">
        <w:t xml:space="preserve">Der findes ingen specifik behandling for overdosering af </w:t>
      </w:r>
      <w:proofErr w:type="spellStart"/>
      <w:r w:rsidRPr="003262A5">
        <w:t>sorafenib</w:t>
      </w:r>
      <w:proofErr w:type="spellEnd"/>
      <w:r w:rsidRPr="003262A5">
        <w:t xml:space="preserve">. Den højeste dosis af </w:t>
      </w:r>
      <w:proofErr w:type="spellStart"/>
      <w:r w:rsidRPr="003262A5">
        <w:t>sorafenib</w:t>
      </w:r>
      <w:proofErr w:type="spellEnd"/>
      <w:r w:rsidRPr="003262A5">
        <w:t xml:space="preserve">, som er klinisk studeret, er 800 mg to gange </w:t>
      </w:r>
      <w:r>
        <w:t>daglig</w:t>
      </w:r>
      <w:r w:rsidRPr="003262A5">
        <w:t xml:space="preserve">. Bivirkninger observeret ved denne dosis var primært diarré og dermatologiske bivirkninger. Ved mistanke om overdosering bør administrering af </w:t>
      </w:r>
      <w:proofErr w:type="spellStart"/>
      <w:r w:rsidRPr="003262A5">
        <w:t>sorafenib</w:t>
      </w:r>
      <w:proofErr w:type="spellEnd"/>
      <w:r w:rsidRPr="003262A5">
        <w:t xml:space="preserve"> ophøre og understøttende behandling om nødvendigt gives.</w:t>
      </w:r>
    </w:p>
    <w:p w:rsidR="005B4E3C" w:rsidRDefault="005B4E3C" w:rsidP="005B4E3C">
      <w:pPr>
        <w:tabs>
          <w:tab w:val="left" w:pos="851"/>
        </w:tabs>
        <w:ind w:left="851"/>
        <w:rPr>
          <w:sz w:val="24"/>
          <w:szCs w:val="24"/>
        </w:rPr>
      </w:pPr>
    </w:p>
    <w:p w:rsidR="00A43F68" w:rsidRPr="003262A5" w:rsidRDefault="00A43F68"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4.10</w:t>
      </w:r>
      <w:r w:rsidRPr="003262A5">
        <w:rPr>
          <w:b/>
          <w:sz w:val="24"/>
          <w:szCs w:val="24"/>
        </w:rPr>
        <w:tab/>
        <w:t>Udlevering</w:t>
      </w:r>
    </w:p>
    <w:p w:rsidR="005B4E3C" w:rsidRPr="003262A5" w:rsidRDefault="005B4E3C" w:rsidP="005B4E3C">
      <w:pPr>
        <w:tabs>
          <w:tab w:val="left" w:pos="851"/>
        </w:tabs>
        <w:ind w:left="851"/>
        <w:rPr>
          <w:sz w:val="24"/>
          <w:szCs w:val="24"/>
        </w:rPr>
      </w:pPr>
      <w:r>
        <w:rPr>
          <w:sz w:val="24"/>
          <w:szCs w:val="24"/>
        </w:rPr>
        <w:t>BEGR (kun til sygehuse)</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5.</w:t>
      </w:r>
      <w:r w:rsidRPr="003262A5">
        <w:rPr>
          <w:b/>
          <w:sz w:val="24"/>
          <w:szCs w:val="24"/>
        </w:rPr>
        <w:tab/>
        <w:t>FARMAKOLOGISKE EGENSKABER</w:t>
      </w:r>
    </w:p>
    <w:p w:rsidR="005B4E3C" w:rsidRPr="003262A5" w:rsidRDefault="005B4E3C" w:rsidP="005B4E3C">
      <w:pPr>
        <w:tabs>
          <w:tab w:val="left" w:pos="851"/>
        </w:tabs>
        <w:ind w:left="851"/>
        <w:rPr>
          <w:sz w:val="24"/>
          <w:szCs w:val="24"/>
        </w:rPr>
      </w:pPr>
    </w:p>
    <w:p w:rsidR="005B4E3C" w:rsidRPr="003262A5" w:rsidRDefault="005B4E3C" w:rsidP="00EC454D">
      <w:pPr>
        <w:keepNext/>
        <w:tabs>
          <w:tab w:val="num" w:pos="851"/>
        </w:tabs>
        <w:ind w:left="851" w:hanging="851"/>
        <w:rPr>
          <w:b/>
          <w:sz w:val="24"/>
          <w:szCs w:val="24"/>
        </w:rPr>
      </w:pPr>
      <w:r w:rsidRPr="003262A5">
        <w:rPr>
          <w:b/>
          <w:sz w:val="24"/>
          <w:szCs w:val="24"/>
        </w:rPr>
        <w:t>5.1</w:t>
      </w:r>
      <w:r w:rsidRPr="003262A5">
        <w:rPr>
          <w:b/>
          <w:sz w:val="24"/>
          <w:szCs w:val="24"/>
        </w:rPr>
        <w:tab/>
      </w:r>
      <w:proofErr w:type="spellStart"/>
      <w:r w:rsidRPr="003262A5">
        <w:rPr>
          <w:b/>
          <w:sz w:val="24"/>
          <w:szCs w:val="24"/>
        </w:rPr>
        <w:t>Farmakodynamiske</w:t>
      </w:r>
      <w:proofErr w:type="spellEnd"/>
      <w:r w:rsidRPr="003262A5">
        <w:rPr>
          <w:b/>
          <w:sz w:val="24"/>
          <w:szCs w:val="24"/>
        </w:rPr>
        <w:t xml:space="preserve"> egenskaber</w:t>
      </w:r>
    </w:p>
    <w:p w:rsidR="00215185" w:rsidRDefault="00215185" w:rsidP="00215185">
      <w:pPr>
        <w:pStyle w:val="Default"/>
        <w:ind w:left="851"/>
      </w:pPr>
      <w:proofErr w:type="spellStart"/>
      <w:r w:rsidRPr="00255CFB">
        <w:t>Farmakoterapeutisk</w:t>
      </w:r>
      <w:proofErr w:type="spellEnd"/>
      <w:r w:rsidRPr="00255CFB">
        <w:t xml:space="preserve"> klassifikation:</w:t>
      </w:r>
      <w:r w:rsidRPr="00B815F1">
        <w:t xml:space="preserve"> </w:t>
      </w:r>
      <w:proofErr w:type="spellStart"/>
      <w:r>
        <w:t>A</w:t>
      </w:r>
      <w:r w:rsidRPr="003262A5">
        <w:t>ntineoplastiske</w:t>
      </w:r>
      <w:proofErr w:type="spellEnd"/>
      <w:r w:rsidRPr="003262A5">
        <w:t xml:space="preserve"> </w:t>
      </w:r>
      <w:r>
        <w:t xml:space="preserve">stoffer, protein </w:t>
      </w:r>
      <w:proofErr w:type="spellStart"/>
      <w:r>
        <w:t>kinase-hæmmere</w:t>
      </w:r>
      <w:proofErr w:type="spellEnd"/>
      <w:r>
        <w:t xml:space="preserve">, </w:t>
      </w:r>
      <w:r w:rsidRPr="003262A5">
        <w:t>ATC-kode: L</w:t>
      </w:r>
      <w:r>
        <w:t xml:space="preserve"> </w:t>
      </w:r>
      <w:r w:rsidRPr="003262A5">
        <w:t>01</w:t>
      </w:r>
      <w:r>
        <w:t xml:space="preserve"> EX </w:t>
      </w:r>
      <w:r w:rsidRPr="003262A5">
        <w:t>0</w:t>
      </w:r>
      <w:r>
        <w:t>2.</w:t>
      </w:r>
    </w:p>
    <w:p w:rsidR="00215185" w:rsidRDefault="00215185" w:rsidP="005B4E3C">
      <w:pPr>
        <w:pStyle w:val="Default"/>
        <w:ind w:left="851"/>
      </w:pPr>
    </w:p>
    <w:p w:rsidR="005B4E3C" w:rsidRPr="003262A5" w:rsidRDefault="005B4E3C" w:rsidP="005B4E3C">
      <w:pPr>
        <w:pStyle w:val="Default"/>
        <w:ind w:left="851"/>
      </w:pPr>
      <w:proofErr w:type="spellStart"/>
      <w:r w:rsidRPr="003262A5">
        <w:t>Sorafenib</w:t>
      </w:r>
      <w:proofErr w:type="spellEnd"/>
      <w:r w:rsidRPr="003262A5">
        <w:t xml:space="preserve"> er en </w:t>
      </w:r>
      <w:proofErr w:type="spellStart"/>
      <w:r w:rsidRPr="003262A5">
        <w:t>multikinasehæmmer</w:t>
      </w:r>
      <w:proofErr w:type="spellEnd"/>
      <w:r w:rsidRPr="003262A5">
        <w:t xml:space="preserve">, som har vist både </w:t>
      </w:r>
      <w:proofErr w:type="spellStart"/>
      <w:r w:rsidRPr="003262A5">
        <w:t>anti-proliferativ</w:t>
      </w:r>
      <w:proofErr w:type="spellEnd"/>
      <w:r w:rsidRPr="003262A5">
        <w:t xml:space="preserve"> og </w:t>
      </w:r>
      <w:proofErr w:type="spellStart"/>
      <w:r w:rsidRPr="003262A5">
        <w:t>anti-angiogenetiske</w:t>
      </w:r>
      <w:proofErr w:type="spellEnd"/>
      <w:r w:rsidRPr="003262A5">
        <w:t xml:space="preserve"> egenskaber </w:t>
      </w:r>
      <w:r w:rsidRPr="003262A5">
        <w:rPr>
          <w:i/>
          <w:iCs/>
        </w:rPr>
        <w:t xml:space="preserve">in </w:t>
      </w:r>
      <w:proofErr w:type="spellStart"/>
      <w:r w:rsidRPr="003262A5">
        <w:rPr>
          <w:i/>
          <w:iCs/>
        </w:rPr>
        <w:t>vitro</w:t>
      </w:r>
      <w:proofErr w:type="spellEnd"/>
      <w:r w:rsidRPr="003262A5">
        <w:rPr>
          <w:i/>
          <w:iCs/>
        </w:rPr>
        <w:t xml:space="preserve"> </w:t>
      </w:r>
      <w:r w:rsidRPr="003262A5">
        <w:t xml:space="preserve">og </w:t>
      </w:r>
      <w:r w:rsidRPr="003262A5">
        <w:rPr>
          <w:i/>
          <w:iCs/>
        </w:rPr>
        <w:t xml:space="preserve">in </w:t>
      </w:r>
      <w:proofErr w:type="spellStart"/>
      <w:r w:rsidRPr="003262A5">
        <w:rPr>
          <w:i/>
          <w:iCs/>
        </w:rPr>
        <w:t>vivo</w:t>
      </w:r>
      <w:proofErr w:type="spellEnd"/>
      <w:r w:rsidRPr="003262A5">
        <w:t xml:space="preserve">. </w:t>
      </w:r>
    </w:p>
    <w:p w:rsidR="005B4E3C" w:rsidRPr="003262A5" w:rsidRDefault="005B4E3C" w:rsidP="005B4E3C">
      <w:pPr>
        <w:pStyle w:val="Default"/>
        <w:ind w:left="851"/>
      </w:pPr>
    </w:p>
    <w:p w:rsidR="005B4E3C" w:rsidRPr="003262A5" w:rsidRDefault="005B4E3C" w:rsidP="005B4E3C">
      <w:pPr>
        <w:autoSpaceDE w:val="0"/>
        <w:autoSpaceDN w:val="0"/>
        <w:adjustRightInd w:val="0"/>
        <w:ind w:left="851"/>
        <w:rPr>
          <w:color w:val="000000"/>
          <w:sz w:val="24"/>
          <w:szCs w:val="24"/>
          <w:u w:val="single"/>
        </w:rPr>
      </w:pPr>
      <w:r w:rsidRPr="003262A5">
        <w:rPr>
          <w:color w:val="000000"/>
          <w:sz w:val="24"/>
          <w:szCs w:val="24"/>
          <w:u w:val="single"/>
        </w:rPr>
        <w:t xml:space="preserve">Virkningsmekanisme og </w:t>
      </w:r>
      <w:proofErr w:type="spellStart"/>
      <w:r w:rsidRPr="003262A5">
        <w:rPr>
          <w:color w:val="000000"/>
          <w:sz w:val="24"/>
          <w:szCs w:val="24"/>
          <w:u w:val="single"/>
        </w:rPr>
        <w:t>farmakodynamisk</w:t>
      </w:r>
      <w:proofErr w:type="spellEnd"/>
      <w:r w:rsidRPr="003262A5">
        <w:rPr>
          <w:color w:val="000000"/>
          <w:sz w:val="24"/>
          <w:szCs w:val="24"/>
          <w:u w:val="single"/>
        </w:rPr>
        <w:t xml:space="preserve"> effekt</w:t>
      </w:r>
    </w:p>
    <w:p w:rsidR="005B4E3C" w:rsidRPr="003262A5" w:rsidRDefault="005B4E3C" w:rsidP="005B4E3C">
      <w:pPr>
        <w:pStyle w:val="Default"/>
        <w:ind w:left="851"/>
      </w:pPr>
      <w:proofErr w:type="spellStart"/>
      <w:r w:rsidRPr="003262A5">
        <w:t>Sorafenib</w:t>
      </w:r>
      <w:proofErr w:type="spellEnd"/>
      <w:r w:rsidRPr="003262A5">
        <w:t xml:space="preserve"> er en </w:t>
      </w:r>
      <w:proofErr w:type="spellStart"/>
      <w:r w:rsidRPr="003262A5">
        <w:t>multikinasehæmmer</w:t>
      </w:r>
      <w:proofErr w:type="spellEnd"/>
      <w:r w:rsidRPr="003262A5">
        <w:t xml:space="preserve">, som nedsætter </w:t>
      </w:r>
      <w:proofErr w:type="spellStart"/>
      <w:r w:rsidRPr="003262A5">
        <w:t>proliferationen</w:t>
      </w:r>
      <w:proofErr w:type="spellEnd"/>
      <w:r w:rsidRPr="003262A5">
        <w:t xml:space="preserve"> af tumorceller </w:t>
      </w:r>
      <w:r w:rsidRPr="003262A5">
        <w:rPr>
          <w:i/>
          <w:iCs/>
        </w:rPr>
        <w:t xml:space="preserve">in </w:t>
      </w:r>
      <w:proofErr w:type="spellStart"/>
      <w:r w:rsidRPr="003262A5">
        <w:rPr>
          <w:i/>
          <w:iCs/>
        </w:rPr>
        <w:t>vitro</w:t>
      </w:r>
      <w:proofErr w:type="spellEnd"/>
      <w:r w:rsidRPr="003262A5">
        <w:t xml:space="preserve">. </w:t>
      </w:r>
      <w:proofErr w:type="spellStart"/>
      <w:r w:rsidRPr="003262A5">
        <w:t>Sorafenib</w:t>
      </w:r>
      <w:proofErr w:type="spellEnd"/>
      <w:r w:rsidRPr="003262A5">
        <w:t xml:space="preserve"> hæmmer tumorvækst i et bredt spektrum af humant tumorvæv implanteret i mus uden </w:t>
      </w:r>
      <w:proofErr w:type="spellStart"/>
      <w:r w:rsidRPr="003262A5">
        <w:t>tymus</w:t>
      </w:r>
      <w:proofErr w:type="spellEnd"/>
      <w:r w:rsidRPr="003262A5">
        <w:t xml:space="preserve"> fulgt af en reduktion af </w:t>
      </w:r>
      <w:proofErr w:type="spellStart"/>
      <w:r w:rsidRPr="003262A5">
        <w:t>tumorangiogenese</w:t>
      </w:r>
      <w:proofErr w:type="spellEnd"/>
      <w:r w:rsidRPr="003262A5">
        <w:t xml:space="preserve">. </w:t>
      </w:r>
      <w:proofErr w:type="spellStart"/>
      <w:r w:rsidRPr="003262A5">
        <w:t>Sorafenib</w:t>
      </w:r>
      <w:proofErr w:type="spellEnd"/>
      <w:r w:rsidRPr="003262A5">
        <w:t xml:space="preserve"> hæmmer aktiviteten af målfaktorer, som findes i tumorceller (CRAF, BRAF, V600E BRAF, c-KIT og FLT-3) og i tumorens kar (CRAF, VEGFR-2, VEGFR-3 og PDGFR-β). RAF-</w:t>
      </w:r>
      <w:proofErr w:type="spellStart"/>
      <w:r w:rsidRPr="003262A5">
        <w:t>kinaser</w:t>
      </w:r>
      <w:proofErr w:type="spellEnd"/>
      <w:r w:rsidRPr="003262A5">
        <w:t xml:space="preserve"> er </w:t>
      </w:r>
      <w:proofErr w:type="spellStart"/>
      <w:r w:rsidRPr="003262A5">
        <w:t>serin</w:t>
      </w:r>
      <w:proofErr w:type="spellEnd"/>
      <w:r w:rsidRPr="003262A5">
        <w:t>/</w:t>
      </w:r>
      <w:proofErr w:type="spellStart"/>
      <w:r w:rsidRPr="003262A5">
        <w:t>threonin-kinaser</w:t>
      </w:r>
      <w:proofErr w:type="spellEnd"/>
      <w:r w:rsidRPr="003262A5">
        <w:t>, hvorimod c-KIT, FLT-3, VEGFR-2, VEGFR-3 og PDGFR-β er receptor-</w:t>
      </w:r>
      <w:proofErr w:type="spellStart"/>
      <w:r w:rsidRPr="003262A5">
        <w:t>tyrosinkinaser</w:t>
      </w:r>
      <w:proofErr w:type="spellEnd"/>
      <w:r w:rsidRPr="003262A5">
        <w:t xml:space="preserve">. </w:t>
      </w:r>
    </w:p>
    <w:p w:rsidR="005B4E3C" w:rsidRPr="003262A5" w:rsidRDefault="005B4E3C" w:rsidP="005B4E3C">
      <w:pPr>
        <w:pStyle w:val="Default"/>
        <w:ind w:left="851"/>
      </w:pPr>
    </w:p>
    <w:p w:rsidR="005B4E3C" w:rsidRPr="003262A5" w:rsidRDefault="005B4E3C" w:rsidP="005B4E3C">
      <w:pPr>
        <w:autoSpaceDE w:val="0"/>
        <w:autoSpaceDN w:val="0"/>
        <w:adjustRightInd w:val="0"/>
        <w:ind w:left="851"/>
        <w:rPr>
          <w:color w:val="000000"/>
          <w:sz w:val="24"/>
          <w:szCs w:val="24"/>
          <w:u w:val="single"/>
        </w:rPr>
      </w:pPr>
      <w:r w:rsidRPr="003262A5">
        <w:rPr>
          <w:color w:val="000000"/>
          <w:sz w:val="24"/>
          <w:szCs w:val="24"/>
          <w:u w:val="single"/>
        </w:rPr>
        <w:t xml:space="preserve">Klinisk virkning </w:t>
      </w:r>
    </w:p>
    <w:p w:rsidR="005B4E3C" w:rsidRPr="003262A5" w:rsidRDefault="005B4E3C" w:rsidP="005B4E3C">
      <w:pPr>
        <w:pStyle w:val="Default"/>
        <w:ind w:left="851"/>
      </w:pPr>
      <w:proofErr w:type="spellStart"/>
      <w:r w:rsidRPr="003262A5">
        <w:t>Sorafenibs</w:t>
      </w:r>
      <w:proofErr w:type="spellEnd"/>
      <w:r w:rsidRPr="003262A5">
        <w:t xml:space="preserve"> kliniske virkning og sikkerhed er undersøgt hos patienter med </w:t>
      </w:r>
      <w:proofErr w:type="spellStart"/>
      <w:r w:rsidRPr="003262A5">
        <w:t>hepatocellulært</w:t>
      </w:r>
      <w:proofErr w:type="spellEnd"/>
      <w:r w:rsidRPr="003262A5">
        <w:t xml:space="preserve"> karcinom (HCC), hos patienter med fremskredent </w:t>
      </w:r>
      <w:proofErr w:type="spellStart"/>
      <w:r w:rsidRPr="003262A5">
        <w:t>renalcellekarcinom</w:t>
      </w:r>
      <w:proofErr w:type="spellEnd"/>
      <w:r w:rsidRPr="003262A5">
        <w:t xml:space="preserve"> (RCC) og hos patienter med differentieret </w:t>
      </w:r>
      <w:proofErr w:type="spellStart"/>
      <w:r w:rsidRPr="003262A5">
        <w:t>thyreoideacancer</w:t>
      </w:r>
      <w:proofErr w:type="spellEnd"/>
      <w:r w:rsidRPr="003262A5">
        <w:t xml:space="preserve"> (DTC).</w:t>
      </w:r>
    </w:p>
    <w:p w:rsidR="005B4E3C" w:rsidRPr="003262A5" w:rsidRDefault="005B4E3C" w:rsidP="005B4E3C">
      <w:pPr>
        <w:pStyle w:val="Default"/>
        <w:ind w:left="851"/>
      </w:pPr>
    </w:p>
    <w:p w:rsidR="005B4E3C" w:rsidRPr="003262A5" w:rsidRDefault="005B4E3C" w:rsidP="005B4E3C">
      <w:pPr>
        <w:autoSpaceDE w:val="0"/>
        <w:autoSpaceDN w:val="0"/>
        <w:adjustRightInd w:val="0"/>
        <w:ind w:left="851"/>
        <w:rPr>
          <w:color w:val="000000"/>
          <w:sz w:val="24"/>
          <w:szCs w:val="24"/>
          <w:u w:val="single"/>
        </w:rPr>
      </w:pPr>
      <w:proofErr w:type="spellStart"/>
      <w:r w:rsidRPr="003262A5">
        <w:rPr>
          <w:color w:val="000000"/>
          <w:sz w:val="24"/>
          <w:szCs w:val="24"/>
          <w:u w:val="single"/>
        </w:rPr>
        <w:t>Hepatocellulært</w:t>
      </w:r>
      <w:proofErr w:type="spellEnd"/>
      <w:r w:rsidRPr="003262A5">
        <w:rPr>
          <w:color w:val="000000"/>
          <w:sz w:val="24"/>
          <w:szCs w:val="24"/>
          <w:u w:val="single"/>
        </w:rPr>
        <w:t xml:space="preserve"> karcinom </w:t>
      </w:r>
    </w:p>
    <w:p w:rsidR="005B4E3C" w:rsidRPr="003262A5" w:rsidRDefault="005B4E3C" w:rsidP="005B4E3C">
      <w:pPr>
        <w:autoSpaceDE w:val="0"/>
        <w:autoSpaceDN w:val="0"/>
        <w:adjustRightInd w:val="0"/>
        <w:ind w:left="851"/>
        <w:rPr>
          <w:color w:val="000000"/>
          <w:sz w:val="24"/>
          <w:szCs w:val="24"/>
        </w:rPr>
      </w:pPr>
      <w:r w:rsidRPr="003262A5">
        <w:rPr>
          <w:color w:val="000000"/>
          <w:sz w:val="24"/>
          <w:szCs w:val="24"/>
        </w:rPr>
        <w:t xml:space="preserve">Studie 3 (studie 100554) var et fase III, internationalt, multicenter, randomiseret, dobbeltblindt, placebokontrolleret studie med 602 patienter med </w:t>
      </w:r>
      <w:proofErr w:type="spellStart"/>
      <w:r w:rsidRPr="003262A5">
        <w:rPr>
          <w:color w:val="000000"/>
          <w:sz w:val="24"/>
          <w:szCs w:val="24"/>
        </w:rPr>
        <w:t>hepatocellulært</w:t>
      </w:r>
      <w:proofErr w:type="spellEnd"/>
      <w:r w:rsidRPr="003262A5">
        <w:rPr>
          <w:color w:val="000000"/>
          <w:sz w:val="24"/>
          <w:szCs w:val="24"/>
        </w:rPr>
        <w:t xml:space="preserve"> karcinom. Demografi og baseline sygdomskarakteristika var sammenlignelige mellem </w:t>
      </w:r>
      <w:proofErr w:type="spellStart"/>
      <w:r w:rsidRPr="003262A5">
        <w:rPr>
          <w:color w:val="000000"/>
          <w:sz w:val="24"/>
          <w:szCs w:val="24"/>
        </w:rPr>
        <w:t>sorafenib</w:t>
      </w:r>
      <w:proofErr w:type="spellEnd"/>
      <w:r w:rsidRPr="003262A5">
        <w:rPr>
          <w:color w:val="000000"/>
          <w:sz w:val="24"/>
          <w:szCs w:val="24"/>
        </w:rPr>
        <w:t xml:space="preserve">- og </w:t>
      </w:r>
      <w:r w:rsidRPr="003262A5">
        <w:rPr>
          <w:color w:val="000000"/>
          <w:sz w:val="24"/>
          <w:szCs w:val="24"/>
        </w:rPr>
        <w:lastRenderedPageBreak/>
        <w:t xml:space="preserve">placebogruppen med hensyn til ECOG status (status 0: 54 % vs. 54 %; status 1: 38 % vs. 39 %; status 2: 8 % vs. 7 %), TNM stadie (stadie I: &lt; 1 % vs. &lt; 1 %; stadie II: 10,4 % vs. 8,3 %; stadie III: 37,8 % vs. 43,6 %; stadie IV: 50,8 % vs. 46,9 %), og BCLC stadie (stadie B: 18,1 % vs. 16,8 %; stadie C: 81,6 % vs. 83,2%; stadie D: &lt; 1 % vs. 0 %). </w:t>
      </w:r>
    </w:p>
    <w:p w:rsidR="005B4E3C" w:rsidRPr="003262A5" w:rsidRDefault="005B4E3C" w:rsidP="005B4E3C">
      <w:pPr>
        <w:autoSpaceDE w:val="0"/>
        <w:autoSpaceDN w:val="0"/>
        <w:adjustRightInd w:val="0"/>
        <w:ind w:left="851"/>
        <w:rPr>
          <w:color w:val="000000"/>
          <w:sz w:val="24"/>
          <w:szCs w:val="24"/>
        </w:rPr>
      </w:pPr>
    </w:p>
    <w:p w:rsidR="00215185" w:rsidRPr="003262A5" w:rsidRDefault="00215185" w:rsidP="00215185">
      <w:pPr>
        <w:autoSpaceDE w:val="0"/>
        <w:autoSpaceDN w:val="0"/>
        <w:adjustRightInd w:val="0"/>
        <w:ind w:left="851"/>
        <w:rPr>
          <w:color w:val="000000"/>
          <w:sz w:val="24"/>
          <w:szCs w:val="24"/>
        </w:rPr>
      </w:pPr>
      <w:r w:rsidRPr="003262A5">
        <w:rPr>
          <w:color w:val="000000"/>
          <w:sz w:val="24"/>
          <w:szCs w:val="24"/>
        </w:rPr>
        <w:t xml:space="preserve">Studiet blev stoppet efter, at en planlagt </w:t>
      </w:r>
      <w:proofErr w:type="spellStart"/>
      <w:r w:rsidRPr="003262A5">
        <w:rPr>
          <w:color w:val="000000"/>
          <w:sz w:val="24"/>
          <w:szCs w:val="24"/>
        </w:rPr>
        <w:t>interimanalyse</w:t>
      </w:r>
      <w:proofErr w:type="spellEnd"/>
      <w:r w:rsidRPr="003262A5">
        <w:rPr>
          <w:color w:val="000000"/>
          <w:sz w:val="24"/>
          <w:szCs w:val="24"/>
        </w:rPr>
        <w:t xml:space="preserve"> af OS havde overskredet den præspecificerede effektgrænse. Denne OS-analyse viste en statistisk signifikant fordel for </w:t>
      </w:r>
      <w:proofErr w:type="spellStart"/>
      <w:r w:rsidRPr="003262A5">
        <w:rPr>
          <w:color w:val="000000"/>
          <w:sz w:val="24"/>
          <w:szCs w:val="24"/>
        </w:rPr>
        <w:t>sorafenib</w:t>
      </w:r>
      <w:proofErr w:type="spellEnd"/>
      <w:r w:rsidRPr="003262A5">
        <w:rPr>
          <w:color w:val="000000"/>
          <w:sz w:val="24"/>
          <w:szCs w:val="24"/>
        </w:rPr>
        <w:t xml:space="preserve"> i forhold til placebo for OS (HR: 0,69, p = 0,00058, se tabel</w:t>
      </w:r>
      <w:r>
        <w:rPr>
          <w:color w:val="000000"/>
          <w:sz w:val="24"/>
          <w:szCs w:val="24"/>
        </w:rPr>
        <w:t> 3</w:t>
      </w:r>
      <w:r w:rsidRPr="003262A5">
        <w:rPr>
          <w:color w:val="000000"/>
          <w:sz w:val="24"/>
          <w:szCs w:val="24"/>
        </w:rPr>
        <w:t xml:space="preserve">). </w:t>
      </w:r>
    </w:p>
    <w:p w:rsidR="005B4E3C" w:rsidRPr="003262A5" w:rsidRDefault="005B4E3C" w:rsidP="005B4E3C">
      <w:pPr>
        <w:autoSpaceDE w:val="0"/>
        <w:autoSpaceDN w:val="0"/>
        <w:adjustRightInd w:val="0"/>
        <w:ind w:left="851"/>
        <w:rPr>
          <w:color w:val="000000"/>
          <w:sz w:val="24"/>
          <w:szCs w:val="24"/>
        </w:rPr>
      </w:pPr>
    </w:p>
    <w:p w:rsidR="00215185" w:rsidRPr="003262A5" w:rsidRDefault="00215185" w:rsidP="00255CFB">
      <w:pPr>
        <w:pStyle w:val="Default"/>
        <w:ind w:left="851"/>
      </w:pPr>
      <w:r w:rsidRPr="003262A5">
        <w:t>Der er begrænsede data fra dette studie for patienter med Child-</w:t>
      </w:r>
      <w:proofErr w:type="spellStart"/>
      <w:r w:rsidRPr="003262A5">
        <w:t>Pugh</w:t>
      </w:r>
      <w:proofErr w:type="spellEnd"/>
      <w:r w:rsidRPr="003262A5">
        <w:t xml:space="preserve"> B nedsat leverfunktion og kun </w:t>
      </w:r>
      <w:r>
        <w:t>en</w:t>
      </w:r>
      <w:r w:rsidRPr="003262A5">
        <w:t xml:space="preserve"> patient med Child-</w:t>
      </w:r>
      <w:proofErr w:type="spellStart"/>
      <w:r w:rsidRPr="003262A5">
        <w:t>Pugh</w:t>
      </w:r>
      <w:proofErr w:type="spellEnd"/>
      <w:r w:rsidRPr="003262A5">
        <w:t xml:space="preserve"> C havde været inkluderet. </w:t>
      </w:r>
    </w:p>
    <w:p w:rsidR="00215185" w:rsidRDefault="00215185" w:rsidP="00255CFB">
      <w:pPr>
        <w:keepNext/>
        <w:ind w:left="851"/>
        <w:rPr>
          <w:b/>
          <w:bCs/>
          <w:sz w:val="24"/>
          <w:szCs w:val="24"/>
        </w:rPr>
      </w:pPr>
    </w:p>
    <w:p w:rsidR="00215185" w:rsidRDefault="00215185" w:rsidP="00255CFB">
      <w:pPr>
        <w:keepNext/>
        <w:ind w:left="851"/>
        <w:rPr>
          <w:b/>
          <w:bCs/>
          <w:sz w:val="24"/>
          <w:szCs w:val="24"/>
        </w:rPr>
      </w:pPr>
      <w:r w:rsidRPr="003262A5">
        <w:rPr>
          <w:b/>
          <w:bCs/>
          <w:sz w:val="24"/>
          <w:szCs w:val="24"/>
        </w:rPr>
        <w:t>Tabel</w:t>
      </w:r>
      <w:r>
        <w:rPr>
          <w:b/>
          <w:bCs/>
          <w:sz w:val="24"/>
          <w:szCs w:val="24"/>
        </w:rPr>
        <w:t> 3</w:t>
      </w:r>
      <w:r w:rsidRPr="003262A5">
        <w:rPr>
          <w:b/>
          <w:bCs/>
          <w:sz w:val="24"/>
          <w:szCs w:val="24"/>
        </w:rPr>
        <w:t xml:space="preserve">: Effektresultater fra studie 3 (studie 100554) i </w:t>
      </w:r>
      <w:proofErr w:type="spellStart"/>
      <w:r w:rsidRPr="003262A5">
        <w:rPr>
          <w:b/>
          <w:bCs/>
          <w:sz w:val="24"/>
          <w:szCs w:val="24"/>
        </w:rPr>
        <w:t>hepatocellulært</w:t>
      </w:r>
      <w:proofErr w:type="spellEnd"/>
      <w:r w:rsidRPr="003262A5">
        <w:rPr>
          <w:b/>
          <w:bCs/>
          <w:sz w:val="24"/>
          <w:szCs w:val="24"/>
        </w:rPr>
        <w:t xml:space="preserve"> karcinom</w:t>
      </w:r>
    </w:p>
    <w:p w:rsidR="00215185" w:rsidRPr="003262A5" w:rsidRDefault="00215185" w:rsidP="00215185">
      <w:pPr>
        <w:keepNext/>
        <w:ind w:left="851"/>
        <w:rPr>
          <w:sz w:val="24"/>
          <w:szCs w:val="24"/>
        </w:rPr>
      </w:pPr>
    </w:p>
    <w:tbl>
      <w:tblPr>
        <w:tblW w:w="9212"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701"/>
        <w:gridCol w:w="1701"/>
        <w:gridCol w:w="1842"/>
        <w:gridCol w:w="1733"/>
      </w:tblGrid>
      <w:tr w:rsidR="005B4E3C" w:rsidRPr="003262A5" w:rsidTr="00BF2E84">
        <w:tc>
          <w:tcPr>
            <w:tcW w:w="2235" w:type="dxa"/>
            <w:shd w:val="clear" w:color="auto" w:fill="auto"/>
          </w:tcPr>
          <w:p w:rsidR="005B4E3C" w:rsidRPr="003262A5" w:rsidRDefault="005B4E3C" w:rsidP="00BF2E84">
            <w:pPr>
              <w:pStyle w:val="Default"/>
              <w:keepNext/>
            </w:pPr>
            <w:r w:rsidRPr="003262A5">
              <w:t xml:space="preserve">Effektparameter </w:t>
            </w:r>
          </w:p>
        </w:tc>
        <w:tc>
          <w:tcPr>
            <w:tcW w:w="1701" w:type="dxa"/>
            <w:shd w:val="clear" w:color="auto" w:fill="auto"/>
          </w:tcPr>
          <w:p w:rsidR="005B4E3C" w:rsidRPr="003262A5" w:rsidRDefault="005B4E3C" w:rsidP="00BF2E84">
            <w:pPr>
              <w:pStyle w:val="Default"/>
            </w:pPr>
            <w:proofErr w:type="spellStart"/>
            <w:r w:rsidRPr="003262A5">
              <w:t>Sorafenib</w:t>
            </w:r>
            <w:proofErr w:type="spellEnd"/>
            <w:r w:rsidRPr="003262A5">
              <w:t xml:space="preserve"> </w:t>
            </w:r>
          </w:p>
          <w:p w:rsidR="005B4E3C" w:rsidRPr="003262A5" w:rsidRDefault="005B4E3C" w:rsidP="00BF2E84">
            <w:pPr>
              <w:keepNext/>
              <w:rPr>
                <w:rFonts w:eastAsia="Calibri"/>
                <w:sz w:val="24"/>
                <w:szCs w:val="24"/>
              </w:rPr>
            </w:pPr>
            <w:r w:rsidRPr="003262A5">
              <w:rPr>
                <w:rFonts w:eastAsia="Calibri"/>
                <w:sz w:val="24"/>
                <w:szCs w:val="24"/>
              </w:rPr>
              <w:t xml:space="preserve">(N=299) </w:t>
            </w:r>
          </w:p>
        </w:tc>
        <w:tc>
          <w:tcPr>
            <w:tcW w:w="1701" w:type="dxa"/>
            <w:shd w:val="clear" w:color="auto" w:fill="auto"/>
          </w:tcPr>
          <w:p w:rsidR="005B4E3C" w:rsidRPr="003262A5" w:rsidRDefault="005B4E3C" w:rsidP="00BF2E84">
            <w:pPr>
              <w:pStyle w:val="Default"/>
            </w:pPr>
            <w:r w:rsidRPr="003262A5">
              <w:t xml:space="preserve">Placebo </w:t>
            </w:r>
          </w:p>
          <w:p w:rsidR="005B4E3C" w:rsidRPr="003262A5" w:rsidRDefault="005B4E3C" w:rsidP="00BF2E84">
            <w:pPr>
              <w:keepNext/>
              <w:rPr>
                <w:rFonts w:eastAsia="Calibri"/>
                <w:sz w:val="24"/>
                <w:szCs w:val="24"/>
              </w:rPr>
            </w:pPr>
            <w:r w:rsidRPr="003262A5">
              <w:rPr>
                <w:rFonts w:eastAsia="Calibri"/>
                <w:sz w:val="24"/>
                <w:szCs w:val="24"/>
              </w:rPr>
              <w:t xml:space="preserve">(N=303) </w:t>
            </w:r>
          </w:p>
        </w:tc>
        <w:tc>
          <w:tcPr>
            <w:tcW w:w="1842" w:type="dxa"/>
            <w:shd w:val="clear" w:color="auto" w:fill="auto"/>
          </w:tcPr>
          <w:p w:rsidR="005B4E3C" w:rsidRPr="003262A5" w:rsidRDefault="005B4E3C" w:rsidP="00BF2E84">
            <w:pPr>
              <w:keepNext/>
              <w:rPr>
                <w:rFonts w:eastAsia="Calibri"/>
                <w:sz w:val="24"/>
                <w:szCs w:val="24"/>
              </w:rPr>
            </w:pPr>
            <w:proofErr w:type="spellStart"/>
            <w:r w:rsidRPr="003262A5">
              <w:rPr>
                <w:rFonts w:eastAsia="Calibri"/>
                <w:sz w:val="24"/>
                <w:szCs w:val="24"/>
              </w:rPr>
              <w:t>P-værdi</w:t>
            </w:r>
            <w:proofErr w:type="spellEnd"/>
            <w:r w:rsidRPr="003262A5">
              <w:rPr>
                <w:rFonts w:eastAsia="Calibri"/>
                <w:sz w:val="24"/>
                <w:szCs w:val="24"/>
              </w:rPr>
              <w:t xml:space="preserve"> </w:t>
            </w:r>
          </w:p>
        </w:tc>
        <w:tc>
          <w:tcPr>
            <w:tcW w:w="1733" w:type="dxa"/>
            <w:shd w:val="clear" w:color="auto" w:fill="auto"/>
          </w:tcPr>
          <w:p w:rsidR="005B4E3C" w:rsidRPr="003262A5" w:rsidRDefault="005B4E3C" w:rsidP="00BF2E84">
            <w:pPr>
              <w:pStyle w:val="Default"/>
            </w:pPr>
            <w:r w:rsidRPr="003262A5">
              <w:t xml:space="preserve">HR </w:t>
            </w:r>
          </w:p>
          <w:p w:rsidR="005B4E3C" w:rsidRPr="003262A5" w:rsidRDefault="005B4E3C" w:rsidP="00BF2E84">
            <w:pPr>
              <w:keepNext/>
              <w:rPr>
                <w:rFonts w:eastAsia="Calibri"/>
                <w:sz w:val="24"/>
                <w:szCs w:val="24"/>
              </w:rPr>
            </w:pPr>
            <w:r w:rsidRPr="003262A5">
              <w:rPr>
                <w:rFonts w:eastAsia="Calibri"/>
                <w:sz w:val="24"/>
                <w:szCs w:val="24"/>
              </w:rPr>
              <w:t xml:space="preserve">(95 % CI) </w:t>
            </w:r>
          </w:p>
        </w:tc>
      </w:tr>
      <w:tr w:rsidR="005B4E3C" w:rsidRPr="003262A5" w:rsidTr="00BF2E84">
        <w:tc>
          <w:tcPr>
            <w:tcW w:w="2235" w:type="dxa"/>
            <w:shd w:val="clear" w:color="auto" w:fill="auto"/>
          </w:tcPr>
          <w:p w:rsidR="005B4E3C" w:rsidRPr="003262A5" w:rsidRDefault="005B4E3C" w:rsidP="00BF2E84">
            <w:pPr>
              <w:pStyle w:val="Default"/>
              <w:keepNext/>
            </w:pPr>
            <w:r w:rsidRPr="003262A5">
              <w:t xml:space="preserve">Total overlevelse (OS) [median, uger (95 % CI)] </w:t>
            </w:r>
          </w:p>
        </w:tc>
        <w:tc>
          <w:tcPr>
            <w:tcW w:w="1701" w:type="dxa"/>
            <w:shd w:val="clear" w:color="auto" w:fill="auto"/>
          </w:tcPr>
          <w:p w:rsidR="005B4E3C" w:rsidRPr="003262A5" w:rsidRDefault="005B4E3C" w:rsidP="00BF2E84">
            <w:pPr>
              <w:pStyle w:val="Default"/>
            </w:pPr>
            <w:r w:rsidRPr="003262A5">
              <w:t xml:space="preserve">46,3 </w:t>
            </w:r>
          </w:p>
          <w:p w:rsidR="005B4E3C" w:rsidRPr="003262A5" w:rsidRDefault="005B4E3C" w:rsidP="00BF2E84">
            <w:pPr>
              <w:keepNext/>
              <w:rPr>
                <w:rFonts w:eastAsia="Calibri"/>
                <w:sz w:val="24"/>
                <w:szCs w:val="24"/>
              </w:rPr>
            </w:pPr>
            <w:r w:rsidRPr="003262A5">
              <w:rPr>
                <w:rFonts w:eastAsia="Calibri"/>
                <w:sz w:val="24"/>
                <w:szCs w:val="24"/>
              </w:rPr>
              <w:t xml:space="preserve">(40,9, 57,9) </w:t>
            </w:r>
          </w:p>
        </w:tc>
        <w:tc>
          <w:tcPr>
            <w:tcW w:w="1701" w:type="dxa"/>
            <w:shd w:val="clear" w:color="auto" w:fill="auto"/>
          </w:tcPr>
          <w:p w:rsidR="005B4E3C" w:rsidRPr="003262A5" w:rsidRDefault="005B4E3C" w:rsidP="00BF2E84">
            <w:pPr>
              <w:pStyle w:val="Default"/>
            </w:pPr>
            <w:r w:rsidRPr="003262A5">
              <w:t xml:space="preserve">34,4 </w:t>
            </w:r>
          </w:p>
          <w:p w:rsidR="005B4E3C" w:rsidRPr="003262A5" w:rsidRDefault="005B4E3C" w:rsidP="00BF2E84">
            <w:pPr>
              <w:keepNext/>
              <w:rPr>
                <w:rFonts w:eastAsia="Calibri"/>
                <w:sz w:val="24"/>
                <w:szCs w:val="24"/>
              </w:rPr>
            </w:pPr>
            <w:r w:rsidRPr="003262A5">
              <w:rPr>
                <w:rFonts w:eastAsia="Calibri"/>
                <w:sz w:val="24"/>
                <w:szCs w:val="24"/>
              </w:rPr>
              <w:t xml:space="preserve">(29,4, 39,4) </w:t>
            </w:r>
          </w:p>
        </w:tc>
        <w:tc>
          <w:tcPr>
            <w:tcW w:w="1842" w:type="dxa"/>
            <w:shd w:val="clear" w:color="auto" w:fill="auto"/>
          </w:tcPr>
          <w:p w:rsidR="005B4E3C" w:rsidRPr="003262A5" w:rsidRDefault="005B4E3C" w:rsidP="00BF2E84">
            <w:pPr>
              <w:pStyle w:val="Default"/>
              <w:keepNext/>
            </w:pPr>
            <w:r w:rsidRPr="003262A5">
              <w:t xml:space="preserve">0,00058* </w:t>
            </w:r>
          </w:p>
        </w:tc>
        <w:tc>
          <w:tcPr>
            <w:tcW w:w="1733" w:type="dxa"/>
            <w:shd w:val="clear" w:color="auto" w:fill="auto"/>
          </w:tcPr>
          <w:p w:rsidR="005B4E3C" w:rsidRPr="003262A5" w:rsidRDefault="005B4E3C" w:rsidP="00BF2E84">
            <w:pPr>
              <w:pStyle w:val="Default"/>
            </w:pPr>
            <w:r w:rsidRPr="003262A5">
              <w:t xml:space="preserve">0,69 </w:t>
            </w:r>
          </w:p>
          <w:p w:rsidR="005B4E3C" w:rsidRPr="003262A5" w:rsidRDefault="005B4E3C" w:rsidP="00BF2E84">
            <w:pPr>
              <w:keepNext/>
              <w:rPr>
                <w:rFonts w:eastAsia="Calibri"/>
                <w:sz w:val="24"/>
                <w:szCs w:val="24"/>
              </w:rPr>
            </w:pPr>
            <w:r w:rsidRPr="003262A5">
              <w:rPr>
                <w:rFonts w:eastAsia="Calibri"/>
                <w:sz w:val="24"/>
                <w:szCs w:val="24"/>
              </w:rPr>
              <w:t xml:space="preserve">(0,55, 0,87) </w:t>
            </w:r>
          </w:p>
        </w:tc>
      </w:tr>
      <w:tr w:rsidR="005B4E3C" w:rsidRPr="003262A5" w:rsidTr="00BF2E84">
        <w:tc>
          <w:tcPr>
            <w:tcW w:w="2235" w:type="dxa"/>
            <w:shd w:val="clear" w:color="auto" w:fill="auto"/>
          </w:tcPr>
          <w:p w:rsidR="005B4E3C" w:rsidRPr="003262A5" w:rsidRDefault="005B4E3C" w:rsidP="00BF2E84">
            <w:pPr>
              <w:pStyle w:val="Default"/>
              <w:keepNext/>
            </w:pPr>
            <w:r w:rsidRPr="003262A5">
              <w:t>Tid til progression (TTP) [median, uger (95 % CI</w:t>
            </w:r>
            <w:proofErr w:type="gramStart"/>
            <w:r w:rsidRPr="003262A5">
              <w:t>)]*</w:t>
            </w:r>
            <w:proofErr w:type="gramEnd"/>
            <w:r w:rsidRPr="003262A5">
              <w:t xml:space="preserve">* </w:t>
            </w:r>
          </w:p>
        </w:tc>
        <w:tc>
          <w:tcPr>
            <w:tcW w:w="1701" w:type="dxa"/>
            <w:shd w:val="clear" w:color="auto" w:fill="auto"/>
          </w:tcPr>
          <w:p w:rsidR="005B4E3C" w:rsidRPr="003262A5" w:rsidRDefault="005B4E3C" w:rsidP="00BF2E84">
            <w:pPr>
              <w:pStyle w:val="Default"/>
            </w:pPr>
            <w:r w:rsidRPr="003262A5">
              <w:t xml:space="preserve">24,0 </w:t>
            </w:r>
          </w:p>
          <w:p w:rsidR="005B4E3C" w:rsidRPr="003262A5" w:rsidRDefault="005B4E3C" w:rsidP="00BF2E84">
            <w:pPr>
              <w:keepNext/>
              <w:rPr>
                <w:rFonts w:eastAsia="Calibri"/>
                <w:sz w:val="24"/>
                <w:szCs w:val="24"/>
              </w:rPr>
            </w:pPr>
            <w:r w:rsidRPr="003262A5">
              <w:rPr>
                <w:rFonts w:eastAsia="Calibri"/>
                <w:sz w:val="24"/>
                <w:szCs w:val="24"/>
              </w:rPr>
              <w:t xml:space="preserve">(18,0, 30,0) </w:t>
            </w:r>
          </w:p>
        </w:tc>
        <w:tc>
          <w:tcPr>
            <w:tcW w:w="1701" w:type="dxa"/>
            <w:shd w:val="clear" w:color="auto" w:fill="auto"/>
          </w:tcPr>
          <w:p w:rsidR="005B4E3C" w:rsidRPr="003262A5" w:rsidRDefault="005B4E3C" w:rsidP="00BF2E84">
            <w:pPr>
              <w:pStyle w:val="Default"/>
            </w:pPr>
            <w:r w:rsidRPr="003262A5">
              <w:t xml:space="preserve">12,3 </w:t>
            </w:r>
          </w:p>
          <w:p w:rsidR="005B4E3C" w:rsidRPr="003262A5" w:rsidRDefault="005B4E3C" w:rsidP="00BF2E84">
            <w:pPr>
              <w:keepNext/>
              <w:rPr>
                <w:rFonts w:eastAsia="Calibri"/>
                <w:sz w:val="24"/>
                <w:szCs w:val="24"/>
              </w:rPr>
            </w:pPr>
            <w:r w:rsidRPr="003262A5">
              <w:rPr>
                <w:rFonts w:eastAsia="Calibri"/>
                <w:sz w:val="24"/>
                <w:szCs w:val="24"/>
              </w:rPr>
              <w:t xml:space="preserve">(11,7, 17,1) </w:t>
            </w:r>
          </w:p>
        </w:tc>
        <w:tc>
          <w:tcPr>
            <w:tcW w:w="1842" w:type="dxa"/>
            <w:shd w:val="clear" w:color="auto" w:fill="auto"/>
          </w:tcPr>
          <w:p w:rsidR="005B4E3C" w:rsidRPr="003262A5" w:rsidRDefault="005B4E3C" w:rsidP="00BF2E84">
            <w:pPr>
              <w:pStyle w:val="Default"/>
              <w:keepNext/>
            </w:pPr>
            <w:r w:rsidRPr="003262A5">
              <w:t xml:space="preserve">0,000007 </w:t>
            </w:r>
          </w:p>
        </w:tc>
        <w:tc>
          <w:tcPr>
            <w:tcW w:w="1733" w:type="dxa"/>
            <w:shd w:val="clear" w:color="auto" w:fill="auto"/>
          </w:tcPr>
          <w:p w:rsidR="005B4E3C" w:rsidRPr="003262A5" w:rsidRDefault="005B4E3C" w:rsidP="00BF2E84">
            <w:pPr>
              <w:pStyle w:val="Default"/>
            </w:pPr>
            <w:r w:rsidRPr="003262A5">
              <w:t xml:space="preserve">0,58 </w:t>
            </w:r>
          </w:p>
          <w:p w:rsidR="005B4E3C" w:rsidRPr="003262A5" w:rsidRDefault="005B4E3C" w:rsidP="00BF2E84">
            <w:pPr>
              <w:keepNext/>
              <w:rPr>
                <w:rFonts w:eastAsia="Calibri"/>
                <w:sz w:val="24"/>
                <w:szCs w:val="24"/>
              </w:rPr>
            </w:pPr>
            <w:r w:rsidRPr="003262A5">
              <w:rPr>
                <w:rFonts w:eastAsia="Calibri"/>
                <w:sz w:val="24"/>
                <w:szCs w:val="24"/>
              </w:rPr>
              <w:t xml:space="preserve">(0,45, 0,74) </w:t>
            </w:r>
          </w:p>
        </w:tc>
      </w:tr>
    </w:tbl>
    <w:p w:rsidR="005B4E3C" w:rsidRPr="005B7F4D" w:rsidRDefault="005B4E3C" w:rsidP="005B4E3C">
      <w:pPr>
        <w:pStyle w:val="Default"/>
        <w:ind w:left="1134" w:hanging="283"/>
        <w:rPr>
          <w:sz w:val="22"/>
          <w:szCs w:val="22"/>
        </w:rPr>
      </w:pPr>
      <w:r w:rsidRPr="005B7F4D">
        <w:rPr>
          <w:sz w:val="22"/>
          <w:szCs w:val="22"/>
        </w:rPr>
        <w:t>CI=Konfidensinterval, HR=</w:t>
      </w:r>
      <w:proofErr w:type="spellStart"/>
      <w:r w:rsidRPr="005B7F4D">
        <w:rPr>
          <w:i/>
          <w:iCs/>
          <w:sz w:val="22"/>
          <w:szCs w:val="22"/>
        </w:rPr>
        <w:t>Hazard</w:t>
      </w:r>
      <w:proofErr w:type="spellEnd"/>
      <w:r w:rsidRPr="005B7F4D">
        <w:rPr>
          <w:i/>
          <w:iCs/>
          <w:sz w:val="22"/>
          <w:szCs w:val="22"/>
        </w:rPr>
        <w:t xml:space="preserve"> </w:t>
      </w:r>
      <w:r w:rsidRPr="005B7F4D">
        <w:rPr>
          <w:i/>
          <w:sz w:val="22"/>
          <w:szCs w:val="22"/>
        </w:rPr>
        <w:t>ratio</w:t>
      </w:r>
      <w:r w:rsidRPr="005B7F4D">
        <w:rPr>
          <w:sz w:val="22"/>
          <w:szCs w:val="22"/>
        </w:rPr>
        <w:t xml:space="preserve"> (</w:t>
      </w:r>
      <w:proofErr w:type="spellStart"/>
      <w:r w:rsidRPr="005B7F4D">
        <w:rPr>
          <w:sz w:val="22"/>
          <w:szCs w:val="22"/>
        </w:rPr>
        <w:t>sorafenib</w:t>
      </w:r>
      <w:proofErr w:type="spellEnd"/>
      <w:r w:rsidRPr="005B7F4D">
        <w:rPr>
          <w:sz w:val="22"/>
          <w:szCs w:val="22"/>
        </w:rPr>
        <w:t xml:space="preserve"> over for placebo). </w:t>
      </w:r>
    </w:p>
    <w:p w:rsidR="005B4E3C" w:rsidRPr="005B7F4D" w:rsidRDefault="005B4E3C" w:rsidP="005B4E3C">
      <w:pPr>
        <w:pStyle w:val="Default"/>
        <w:tabs>
          <w:tab w:val="left" w:pos="1418"/>
        </w:tabs>
        <w:ind w:left="1134" w:hanging="283"/>
        <w:rPr>
          <w:sz w:val="22"/>
          <w:szCs w:val="22"/>
        </w:rPr>
      </w:pPr>
      <w:r w:rsidRPr="005B7F4D">
        <w:rPr>
          <w:sz w:val="22"/>
          <w:szCs w:val="22"/>
        </w:rPr>
        <w:t>*</w:t>
      </w:r>
      <w:r w:rsidRPr="005B7F4D">
        <w:rPr>
          <w:sz w:val="22"/>
          <w:szCs w:val="22"/>
        </w:rPr>
        <w:tab/>
        <w:t xml:space="preserve">Statistisk signifikant, da </w:t>
      </w:r>
      <w:proofErr w:type="spellStart"/>
      <w:r w:rsidRPr="005B7F4D">
        <w:rPr>
          <w:sz w:val="22"/>
          <w:szCs w:val="22"/>
        </w:rPr>
        <w:t>p-værdien</w:t>
      </w:r>
      <w:proofErr w:type="spellEnd"/>
      <w:r w:rsidRPr="005B7F4D">
        <w:rPr>
          <w:sz w:val="22"/>
          <w:szCs w:val="22"/>
        </w:rPr>
        <w:t xml:space="preserve"> var under den præspecificerede O’Brien Fleming stopgrænse på 0,0077.</w:t>
      </w:r>
    </w:p>
    <w:p w:rsidR="005B4E3C" w:rsidRPr="005B7F4D" w:rsidRDefault="005B4E3C" w:rsidP="005B4E3C">
      <w:pPr>
        <w:tabs>
          <w:tab w:val="left" w:pos="1418"/>
        </w:tabs>
        <w:ind w:left="1134" w:hanging="283"/>
        <w:rPr>
          <w:sz w:val="22"/>
          <w:szCs w:val="22"/>
        </w:rPr>
      </w:pPr>
      <w:r w:rsidRPr="005B7F4D">
        <w:rPr>
          <w:sz w:val="22"/>
          <w:szCs w:val="22"/>
        </w:rPr>
        <w:t>**</w:t>
      </w:r>
      <w:r w:rsidRPr="005B7F4D">
        <w:rPr>
          <w:sz w:val="22"/>
          <w:szCs w:val="22"/>
        </w:rPr>
        <w:tab/>
        <w:t>Uafhængig radiologisk redegørelse.</w:t>
      </w:r>
    </w:p>
    <w:p w:rsidR="005B4E3C" w:rsidRPr="003262A5" w:rsidRDefault="005B4E3C" w:rsidP="005B4E3C">
      <w:pPr>
        <w:tabs>
          <w:tab w:val="left" w:pos="1418"/>
        </w:tabs>
        <w:ind w:left="1418" w:hanging="567"/>
        <w:rPr>
          <w:sz w:val="24"/>
          <w:szCs w:val="24"/>
        </w:rPr>
      </w:pPr>
    </w:p>
    <w:p w:rsidR="005B4E3C" w:rsidRPr="003262A5" w:rsidRDefault="005B4E3C" w:rsidP="005B4E3C">
      <w:pPr>
        <w:pStyle w:val="Default"/>
        <w:ind w:left="851"/>
      </w:pPr>
      <w:r w:rsidRPr="003262A5">
        <w:t>Et andet fase III, internationalt, multicenter, randomiseret, dobbeltblind</w:t>
      </w:r>
      <w:r>
        <w:t>e</w:t>
      </w:r>
      <w:r w:rsidRPr="003262A5">
        <w:t xml:space="preserve">t, placebokontrolleret studie (studie 4, 11849) evaluerede den kliniske fordel af </w:t>
      </w:r>
      <w:proofErr w:type="spellStart"/>
      <w:r w:rsidRPr="003262A5">
        <w:t>sorafenib</w:t>
      </w:r>
      <w:proofErr w:type="spellEnd"/>
      <w:r w:rsidRPr="003262A5">
        <w:t xml:space="preserve"> hos 226 patienter med fremskredent </w:t>
      </w:r>
      <w:proofErr w:type="spellStart"/>
      <w:r w:rsidRPr="003262A5">
        <w:t>hepatocellulært</w:t>
      </w:r>
      <w:proofErr w:type="spellEnd"/>
      <w:r w:rsidRPr="003262A5">
        <w:t xml:space="preserve"> karcinom. Studiet, som blev udført i Kina, Korea og Taiwan, bekræftede fundene fra studie 3, hvad angår den favorable </w:t>
      </w:r>
      <w:proofErr w:type="spellStart"/>
      <w:r w:rsidRPr="003262A5">
        <w:t>risk</w:t>
      </w:r>
      <w:proofErr w:type="spellEnd"/>
      <w:r w:rsidRPr="003262A5">
        <w:t xml:space="preserve">-benefit profil for </w:t>
      </w:r>
      <w:proofErr w:type="spellStart"/>
      <w:r w:rsidRPr="003262A5">
        <w:t>sorafenib</w:t>
      </w:r>
      <w:proofErr w:type="spellEnd"/>
      <w:r w:rsidRPr="003262A5">
        <w:t xml:space="preserve"> (HR (OS): 0,68, p=0,01414).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I de forud specificerede stratifikationsfaktorer (ECOG-status, tilstedeværelse eller fravær af makroskopisk </w:t>
      </w:r>
      <w:proofErr w:type="spellStart"/>
      <w:r w:rsidRPr="003262A5">
        <w:t>vaskulær</w:t>
      </w:r>
      <w:proofErr w:type="spellEnd"/>
      <w:r w:rsidRPr="003262A5">
        <w:t xml:space="preserve"> invasion og/eller </w:t>
      </w:r>
      <w:proofErr w:type="spellStart"/>
      <w:r w:rsidRPr="003262A5">
        <w:t>ekstrahepatisk</w:t>
      </w:r>
      <w:proofErr w:type="spellEnd"/>
      <w:r w:rsidRPr="003262A5">
        <w:t xml:space="preserve"> tumorspredning) i både studie 3 og 4, favoriserede HR konsekvent </w:t>
      </w:r>
      <w:proofErr w:type="spellStart"/>
      <w:r w:rsidRPr="003262A5">
        <w:t>sorafenib</w:t>
      </w:r>
      <w:proofErr w:type="spellEnd"/>
      <w:r w:rsidRPr="003262A5">
        <w:t xml:space="preserve"> over placebo. </w:t>
      </w:r>
      <w:proofErr w:type="spellStart"/>
      <w:r w:rsidRPr="003262A5">
        <w:t>Eksploratoriske</w:t>
      </w:r>
      <w:proofErr w:type="spellEnd"/>
      <w:r w:rsidRPr="003262A5">
        <w:t xml:space="preserve"> undergruppeanalyser antydede, at patienter med fjernmetastaser ved basislinje opnåede en mindre udtalt behandlingseffekt.</w:t>
      </w:r>
    </w:p>
    <w:p w:rsidR="005B4E3C" w:rsidRPr="003262A5" w:rsidRDefault="005B4E3C" w:rsidP="005B4E3C">
      <w:pPr>
        <w:pStyle w:val="Default"/>
        <w:ind w:left="851"/>
      </w:pPr>
    </w:p>
    <w:p w:rsidR="005B4E3C" w:rsidRPr="003262A5" w:rsidRDefault="005B4E3C" w:rsidP="005B4E3C">
      <w:pPr>
        <w:pStyle w:val="Default"/>
        <w:ind w:left="851"/>
        <w:rPr>
          <w:u w:val="single"/>
        </w:rPr>
      </w:pPr>
      <w:proofErr w:type="spellStart"/>
      <w:r w:rsidRPr="003262A5">
        <w:rPr>
          <w:u w:val="single"/>
        </w:rPr>
        <w:t>Renalcellekarcinom</w:t>
      </w:r>
      <w:proofErr w:type="spellEnd"/>
      <w:r w:rsidRPr="003262A5">
        <w:rPr>
          <w:u w:val="single"/>
        </w:rPr>
        <w:t xml:space="preserve"> </w:t>
      </w:r>
    </w:p>
    <w:p w:rsidR="005B4E3C" w:rsidRPr="003262A5" w:rsidRDefault="005B4E3C" w:rsidP="005B4E3C">
      <w:pPr>
        <w:pStyle w:val="Default"/>
        <w:ind w:left="851"/>
      </w:pPr>
      <w:r w:rsidRPr="003262A5">
        <w:t xml:space="preserve">Sikkerhed og effekt af </w:t>
      </w:r>
      <w:proofErr w:type="spellStart"/>
      <w:r w:rsidRPr="003262A5">
        <w:t>sorafenib</w:t>
      </w:r>
      <w:proofErr w:type="spellEnd"/>
      <w:r w:rsidRPr="003262A5">
        <w:t xml:space="preserve"> ved behandling af fremskredent </w:t>
      </w:r>
      <w:proofErr w:type="spellStart"/>
      <w:r w:rsidRPr="003262A5">
        <w:t>renalcellekarcinom</w:t>
      </w:r>
      <w:proofErr w:type="spellEnd"/>
      <w:r w:rsidRPr="003262A5">
        <w:t xml:space="preserve"> (RCC) blev undersøgt i to kliniske studier: </w:t>
      </w:r>
    </w:p>
    <w:p w:rsidR="005B4E3C" w:rsidRPr="003262A5" w:rsidRDefault="005B4E3C" w:rsidP="005B4E3C">
      <w:pPr>
        <w:pStyle w:val="Default"/>
        <w:ind w:left="851"/>
      </w:pPr>
    </w:p>
    <w:p w:rsidR="005B4E3C" w:rsidRPr="003262A5" w:rsidRDefault="005B4E3C" w:rsidP="005B4E3C">
      <w:pPr>
        <w:pStyle w:val="Default"/>
        <w:ind w:left="851"/>
      </w:pPr>
      <w:r w:rsidRPr="003262A5">
        <w:t>Studie 1 (studie 11213) var et fase III, multicenter, randomiseret, dobbeltblind</w:t>
      </w:r>
      <w:r>
        <w:t>et</w:t>
      </w:r>
      <w:r w:rsidRPr="003262A5">
        <w:t xml:space="preserve">, placebokontrolleret studie med 903 patienter. Kun patienter med klar fremskredent </w:t>
      </w:r>
      <w:proofErr w:type="spellStart"/>
      <w:r w:rsidRPr="003262A5">
        <w:t>renalcellekarcinom</w:t>
      </w:r>
      <w:proofErr w:type="spellEnd"/>
      <w:r w:rsidRPr="003262A5">
        <w:t xml:space="preserve"> og lav og mellem risiko MSKCC (</w:t>
      </w:r>
      <w:r w:rsidRPr="003262A5">
        <w:rPr>
          <w:i/>
          <w:iCs/>
        </w:rPr>
        <w:t xml:space="preserve">Memorial </w:t>
      </w:r>
      <w:proofErr w:type="spellStart"/>
      <w:r w:rsidRPr="003262A5">
        <w:rPr>
          <w:i/>
          <w:iCs/>
        </w:rPr>
        <w:t>Sloan</w:t>
      </w:r>
      <w:proofErr w:type="spellEnd"/>
      <w:r w:rsidRPr="003262A5">
        <w:rPr>
          <w:i/>
          <w:iCs/>
        </w:rPr>
        <w:t xml:space="preserve"> </w:t>
      </w:r>
      <w:proofErr w:type="spellStart"/>
      <w:r w:rsidRPr="003262A5">
        <w:rPr>
          <w:i/>
          <w:iCs/>
        </w:rPr>
        <w:t>Kettering</w:t>
      </w:r>
      <w:proofErr w:type="spellEnd"/>
      <w:r w:rsidRPr="003262A5">
        <w:rPr>
          <w:i/>
          <w:iCs/>
        </w:rPr>
        <w:t xml:space="preserve"> Cancer Center</w:t>
      </w:r>
      <w:r w:rsidRPr="003262A5">
        <w:t xml:space="preserve">) var inkluderet. De primære endepunkter var samlet overlevelse og progressionsfri overlevelse (PFS). </w:t>
      </w:r>
    </w:p>
    <w:p w:rsidR="005B4E3C" w:rsidRPr="003262A5" w:rsidRDefault="005B4E3C" w:rsidP="005B4E3C">
      <w:pPr>
        <w:pStyle w:val="Default"/>
        <w:ind w:left="851"/>
      </w:pPr>
      <w:r w:rsidRPr="003262A5">
        <w:t xml:space="preserve">Cirka halvdelen af patienterne havde præstationskapacitet svarende til ECOG 0, og halvdelen af patienterne var i den lave MSKCC-prognosegruppe. </w:t>
      </w:r>
    </w:p>
    <w:p w:rsidR="005B4E3C" w:rsidRPr="003262A5" w:rsidRDefault="005B4E3C" w:rsidP="005B4E3C">
      <w:pPr>
        <w:pStyle w:val="Default"/>
        <w:ind w:left="851"/>
      </w:pPr>
      <w:r w:rsidRPr="003262A5">
        <w:lastRenderedPageBreak/>
        <w:t xml:space="preserve">PFS blev evalueret ved blindet uafhængig radiologisk undersøgelse ved brug af RECIST-kriterier. PFS-analysen var udført på 342 resultater hos 769 patienter. Den gennemsnitlige PFS var 167 dage for patienter randomiseret til </w:t>
      </w:r>
      <w:proofErr w:type="spellStart"/>
      <w:r w:rsidRPr="003262A5">
        <w:t>sorafenib</w:t>
      </w:r>
      <w:proofErr w:type="spellEnd"/>
      <w:r w:rsidRPr="003262A5">
        <w:t xml:space="preserve"> sammenlignet med 84 dage for placebopatienter (HR = 0,44; 95 % CI: 0,35-0,55; p &lt; 0,000001). Alder, MSKCC-prognosegruppe, ECOG PS og tidligere behandling påvirkede ikke størrelsen af behandlingens effekt.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En </w:t>
      </w:r>
      <w:proofErr w:type="spellStart"/>
      <w:r w:rsidRPr="003262A5">
        <w:t>interimanalyse</w:t>
      </w:r>
      <w:proofErr w:type="spellEnd"/>
      <w:r w:rsidRPr="003262A5">
        <w:t xml:space="preserve"> (anden </w:t>
      </w:r>
      <w:proofErr w:type="spellStart"/>
      <w:r w:rsidRPr="003262A5">
        <w:t>interimanalyse</w:t>
      </w:r>
      <w:proofErr w:type="spellEnd"/>
      <w:r w:rsidRPr="003262A5">
        <w:t xml:space="preserve">) af samlet overlevelse var udført på 367 dødsfald hos 903 patienter. Den nominelle alfa-værdi for denne analyse var 0,0094. Den gennemsnitlige overlevelse var 19,3 måneder for patienter randomiseret til </w:t>
      </w:r>
      <w:proofErr w:type="spellStart"/>
      <w:r w:rsidRPr="003262A5">
        <w:t>sorafenib</w:t>
      </w:r>
      <w:proofErr w:type="spellEnd"/>
      <w:r w:rsidRPr="003262A5">
        <w:t xml:space="preserve"> sammenlignet med 15,9 måneder for placebopatienterne (HR = 0,77; 95 % CI: 0,63-0,95; p = 0,015). På dette tidspunkt i denne analyse havde cirka 200 patienter skiftet til </w:t>
      </w:r>
      <w:proofErr w:type="spellStart"/>
      <w:r w:rsidRPr="003262A5">
        <w:t>sorafenib</w:t>
      </w:r>
      <w:proofErr w:type="spellEnd"/>
      <w:r w:rsidRPr="003262A5">
        <w:t xml:space="preserve"> fra placebogruppen. </w:t>
      </w:r>
    </w:p>
    <w:p w:rsidR="005B4E3C" w:rsidRPr="003262A5" w:rsidRDefault="005B4E3C" w:rsidP="005B4E3C">
      <w:pPr>
        <w:pStyle w:val="Default"/>
        <w:ind w:left="851"/>
      </w:pPr>
    </w:p>
    <w:p w:rsidR="00215185" w:rsidRDefault="00215185" w:rsidP="00215185">
      <w:pPr>
        <w:pStyle w:val="Default"/>
        <w:ind w:left="851"/>
      </w:pPr>
      <w:r w:rsidRPr="003262A5">
        <w:t xml:space="preserve">Studie 2 var et fase II diskontinuerligt studie hos patienter med metastatisk ondartede tumorer, inklusive RCC. Patienter med stabil sygdom i behandling med </w:t>
      </w:r>
      <w:proofErr w:type="spellStart"/>
      <w:r w:rsidRPr="003262A5">
        <w:t>sorafenib</w:t>
      </w:r>
      <w:proofErr w:type="spellEnd"/>
      <w:r w:rsidRPr="003262A5">
        <w:t xml:space="preserve"> var randomiseret til placebo eller fortsat behandling med </w:t>
      </w:r>
      <w:proofErr w:type="spellStart"/>
      <w:r w:rsidRPr="003262A5">
        <w:t>sorafenib</w:t>
      </w:r>
      <w:proofErr w:type="spellEnd"/>
      <w:r w:rsidRPr="003262A5">
        <w:t xml:space="preserve">. Progressionsfri overlevelse hos patienter med RCC var signifikant længere i </w:t>
      </w:r>
      <w:proofErr w:type="spellStart"/>
      <w:r w:rsidRPr="003262A5">
        <w:t>sorafenib</w:t>
      </w:r>
      <w:proofErr w:type="spellEnd"/>
      <w:r w:rsidRPr="003262A5">
        <w:t xml:space="preserve"> gruppen (163 dage) end i placebogruppen (41 dage) (p = 0,0001, HR = 0,29).</w:t>
      </w:r>
    </w:p>
    <w:p w:rsidR="00215185" w:rsidRDefault="00215185" w:rsidP="00215185">
      <w:pPr>
        <w:pStyle w:val="Default"/>
        <w:ind w:left="851"/>
      </w:pPr>
    </w:p>
    <w:p w:rsidR="00215185" w:rsidRDefault="00215185" w:rsidP="00215185">
      <w:pPr>
        <w:pStyle w:val="Default"/>
        <w:ind w:left="851"/>
      </w:pPr>
      <w:r w:rsidRPr="00255CFB">
        <w:rPr>
          <w:u w:val="single"/>
        </w:rPr>
        <w:t xml:space="preserve">Differentieret </w:t>
      </w:r>
      <w:proofErr w:type="spellStart"/>
      <w:r w:rsidRPr="00255CFB">
        <w:rPr>
          <w:u w:val="single"/>
        </w:rPr>
        <w:t>thyreoideacancer</w:t>
      </w:r>
      <w:proofErr w:type="spellEnd"/>
      <w:r w:rsidRPr="00255CFB">
        <w:rPr>
          <w:u w:val="single"/>
        </w:rPr>
        <w:t xml:space="preserve"> (DTC)</w:t>
      </w:r>
      <w:r w:rsidRPr="00021D50">
        <w:t xml:space="preserve"> </w:t>
      </w:r>
    </w:p>
    <w:p w:rsidR="00215185" w:rsidRDefault="00215185" w:rsidP="00215185">
      <w:pPr>
        <w:pStyle w:val="Default"/>
        <w:ind w:left="851"/>
      </w:pPr>
      <w:r w:rsidRPr="00021D50">
        <w:t>Studie</w:t>
      </w:r>
      <w:r>
        <w:t> </w:t>
      </w:r>
      <w:r w:rsidRPr="00021D50">
        <w:t>5 (studie</w:t>
      </w:r>
      <w:r>
        <w:t> </w:t>
      </w:r>
      <w:r w:rsidRPr="00021D50">
        <w:t>14295) var et fase</w:t>
      </w:r>
      <w:r>
        <w:t> </w:t>
      </w:r>
      <w:r w:rsidRPr="00021D50">
        <w:t>III, internationalt, randomiseret, dobbeltblindet, placebokontrolleret multicenterstudie med 417</w:t>
      </w:r>
      <w:r>
        <w:t> </w:t>
      </w:r>
      <w:r w:rsidRPr="00021D50">
        <w:t xml:space="preserve">patienter med lokalt fremskreden eller metastatisk DTC refraktær over for radioaktivt </w:t>
      </w:r>
      <w:proofErr w:type="spellStart"/>
      <w:r w:rsidRPr="00021D50">
        <w:t>iod</w:t>
      </w:r>
      <w:proofErr w:type="spellEnd"/>
      <w:r w:rsidRPr="00021D50">
        <w:t>. Progressionsfri overlevelse (</w:t>
      </w:r>
      <w:r w:rsidRPr="00255CFB">
        <w:rPr>
          <w:i/>
          <w:iCs/>
        </w:rPr>
        <w:t>progression-</w:t>
      </w:r>
      <w:proofErr w:type="spellStart"/>
      <w:r w:rsidRPr="00255CFB">
        <w:rPr>
          <w:i/>
          <w:iCs/>
        </w:rPr>
        <w:t>free</w:t>
      </w:r>
      <w:proofErr w:type="spellEnd"/>
      <w:r w:rsidRPr="00255CFB">
        <w:rPr>
          <w:i/>
          <w:iCs/>
        </w:rPr>
        <w:t xml:space="preserve"> </w:t>
      </w:r>
      <w:proofErr w:type="spellStart"/>
      <w:r w:rsidRPr="00255CFB">
        <w:rPr>
          <w:i/>
          <w:iCs/>
        </w:rPr>
        <w:t>survival</w:t>
      </w:r>
      <w:proofErr w:type="spellEnd"/>
      <w:r w:rsidRPr="00021D50">
        <w:t>, PFS), vurderet ved en blindet, uafhængig, radiologisk evaluering baseret på RECIST-kriterierne, var studiets primære endepunkt. Sekundære endepunkter omfattede samlet overlevelse (</w:t>
      </w:r>
      <w:r w:rsidRPr="00255CFB">
        <w:rPr>
          <w:i/>
          <w:iCs/>
        </w:rPr>
        <w:t xml:space="preserve">overall </w:t>
      </w:r>
      <w:proofErr w:type="spellStart"/>
      <w:r w:rsidRPr="00255CFB">
        <w:rPr>
          <w:i/>
          <w:iCs/>
        </w:rPr>
        <w:t>survival</w:t>
      </w:r>
      <w:proofErr w:type="spellEnd"/>
      <w:r w:rsidRPr="00021D50">
        <w:t xml:space="preserve">, OS), tumorresponsrate og responsvarighed. Efter progression kunne patienterne få </w:t>
      </w:r>
      <w:r w:rsidRPr="00255CFB">
        <w:rPr>
          <w:i/>
          <w:iCs/>
        </w:rPr>
        <w:t>open-label</w:t>
      </w:r>
      <w:r w:rsidRPr="00021D50">
        <w:t>-</w:t>
      </w:r>
      <w:proofErr w:type="spellStart"/>
      <w:r w:rsidRPr="00021D50">
        <w:t>sorafenib</w:t>
      </w:r>
      <w:proofErr w:type="spellEnd"/>
      <w:r w:rsidRPr="00021D50">
        <w:t xml:space="preserve">. </w:t>
      </w:r>
    </w:p>
    <w:p w:rsidR="00215185" w:rsidRDefault="00215185" w:rsidP="00215185">
      <w:pPr>
        <w:pStyle w:val="Default"/>
        <w:ind w:left="851"/>
      </w:pPr>
      <w:r w:rsidRPr="00021D50">
        <w:t>Patienterne blev inkluderet i studiet, hvis de oplevede progression inden for 14</w:t>
      </w:r>
      <w:r>
        <w:t> </w:t>
      </w:r>
      <w:r w:rsidRPr="00021D50">
        <w:t xml:space="preserve">måneder, inden de indgik i studiet, og havde DTC refraktær over for radioaktivt </w:t>
      </w:r>
      <w:proofErr w:type="spellStart"/>
      <w:r w:rsidRPr="00021D50">
        <w:t>iod</w:t>
      </w:r>
      <w:proofErr w:type="spellEnd"/>
      <w:r w:rsidRPr="00021D50">
        <w:t xml:space="preserve"> (RAI). </w:t>
      </w:r>
      <w:proofErr w:type="spellStart"/>
      <w:r w:rsidRPr="00021D50">
        <w:t>Iod</w:t>
      </w:r>
      <w:proofErr w:type="spellEnd"/>
      <w:r w:rsidRPr="00021D50">
        <w:t xml:space="preserve">-refraktær DTC blev defineret som én læsion uden </w:t>
      </w:r>
      <w:proofErr w:type="spellStart"/>
      <w:r w:rsidRPr="00021D50">
        <w:t>iodoptagelse</w:t>
      </w:r>
      <w:proofErr w:type="spellEnd"/>
      <w:r w:rsidRPr="00021D50">
        <w:t xml:space="preserve"> på en RAI-scanning, kumulativ RAI ≥</w:t>
      </w:r>
      <w:r>
        <w:t> </w:t>
      </w:r>
      <w:r w:rsidRPr="00021D50">
        <w:t>22,2</w:t>
      </w:r>
      <w:r>
        <w:t> </w:t>
      </w:r>
      <w:r w:rsidRPr="00021D50">
        <w:t>GBq eller progression &lt;</w:t>
      </w:r>
      <w:r>
        <w:t> </w:t>
      </w:r>
      <w:r w:rsidRPr="00021D50">
        <w:t>16</w:t>
      </w:r>
      <w:r>
        <w:t> </w:t>
      </w:r>
      <w:r w:rsidRPr="00021D50">
        <w:t>måneder efter RAI-behandlingen eller efter to på hinanden følgende RAI</w:t>
      </w:r>
      <w:r>
        <w:t>-</w:t>
      </w:r>
      <w:r w:rsidRPr="00021D50">
        <w:t>behandlinger inden for et interval på 16</w:t>
      </w:r>
      <w:r>
        <w:t> </w:t>
      </w:r>
      <w:r w:rsidRPr="00021D50">
        <w:t xml:space="preserve">måneder. </w:t>
      </w:r>
    </w:p>
    <w:p w:rsidR="00215185" w:rsidRDefault="00215185" w:rsidP="00215185">
      <w:pPr>
        <w:pStyle w:val="Default"/>
        <w:ind w:left="851"/>
      </w:pPr>
    </w:p>
    <w:p w:rsidR="00215185" w:rsidRDefault="00215185" w:rsidP="00215185">
      <w:pPr>
        <w:pStyle w:val="Default"/>
        <w:ind w:left="851"/>
      </w:pPr>
      <w:r w:rsidRPr="00255CFB">
        <w:rPr>
          <w:i/>
          <w:iCs/>
        </w:rPr>
        <w:t>Baseline</w:t>
      </w:r>
      <w:r w:rsidRPr="00021D50">
        <w:t>-demografi og patientkarakteristika var afbalancerede mellem de 2</w:t>
      </w:r>
      <w:r>
        <w:t> </w:t>
      </w:r>
      <w:r w:rsidRPr="00021D50">
        <w:t>behandlingsgrupper. 86</w:t>
      </w:r>
      <w:r>
        <w:t> </w:t>
      </w:r>
      <w:r w:rsidRPr="00021D50">
        <w:t>% af patienterne havde metastaser i lungerne, 51</w:t>
      </w:r>
      <w:r>
        <w:t> </w:t>
      </w:r>
      <w:r w:rsidRPr="00021D50">
        <w:t>% i lymfeknuderne og 27</w:t>
      </w:r>
      <w:r>
        <w:t> </w:t>
      </w:r>
      <w:r w:rsidRPr="00021D50">
        <w:t xml:space="preserve">% i knoglerne. Den </w:t>
      </w:r>
      <w:proofErr w:type="spellStart"/>
      <w:r w:rsidRPr="00021D50">
        <w:t>mediane</w:t>
      </w:r>
      <w:proofErr w:type="spellEnd"/>
      <w:r w:rsidRPr="00021D50">
        <w:t xml:space="preserve"> kumulative radioaktive </w:t>
      </w:r>
      <w:proofErr w:type="spellStart"/>
      <w:r w:rsidRPr="00021D50">
        <w:t>iodaktivitet</w:t>
      </w:r>
      <w:proofErr w:type="spellEnd"/>
      <w:r w:rsidRPr="00021D50">
        <w:t>, givet før patienten indgik i studiet, var ca. 14,8</w:t>
      </w:r>
      <w:r>
        <w:t> </w:t>
      </w:r>
      <w:r w:rsidRPr="00021D50">
        <w:t>GBq. Størstedelen af patienterne havde papillært karcinom (56,8</w:t>
      </w:r>
      <w:r>
        <w:t> </w:t>
      </w:r>
      <w:r w:rsidRPr="00021D50">
        <w:t xml:space="preserve">%) efterfulgt af </w:t>
      </w:r>
      <w:proofErr w:type="spellStart"/>
      <w:r w:rsidRPr="00021D50">
        <w:t>follikulært</w:t>
      </w:r>
      <w:proofErr w:type="spellEnd"/>
      <w:r w:rsidRPr="00021D50">
        <w:t xml:space="preserve"> karcinom (25,4</w:t>
      </w:r>
      <w:r>
        <w:t> </w:t>
      </w:r>
      <w:r w:rsidRPr="00021D50">
        <w:t>%) og ringe differentieret karcinom (9,6</w:t>
      </w:r>
      <w:r>
        <w:t> </w:t>
      </w:r>
      <w:r w:rsidRPr="00021D50">
        <w:t xml:space="preserve">%). </w:t>
      </w:r>
    </w:p>
    <w:p w:rsidR="00215185" w:rsidRDefault="00215185" w:rsidP="00215185">
      <w:pPr>
        <w:pStyle w:val="Default"/>
        <w:ind w:left="851"/>
      </w:pPr>
    </w:p>
    <w:p w:rsidR="00215185" w:rsidRDefault="00215185" w:rsidP="00215185">
      <w:pPr>
        <w:pStyle w:val="Default"/>
        <w:ind w:left="851"/>
      </w:pPr>
      <w:r w:rsidRPr="00021D50">
        <w:t xml:space="preserve">Den </w:t>
      </w:r>
      <w:proofErr w:type="spellStart"/>
      <w:r w:rsidRPr="00021D50">
        <w:t>mediane</w:t>
      </w:r>
      <w:proofErr w:type="spellEnd"/>
      <w:r w:rsidRPr="00021D50">
        <w:t xml:space="preserve"> PFS-tid var 10,8</w:t>
      </w:r>
      <w:r>
        <w:t> </w:t>
      </w:r>
      <w:r w:rsidRPr="00021D50">
        <w:t xml:space="preserve">måneder i </w:t>
      </w:r>
      <w:proofErr w:type="spellStart"/>
      <w:r w:rsidRPr="00021D50">
        <w:t>sorafenib</w:t>
      </w:r>
      <w:proofErr w:type="spellEnd"/>
      <w:r w:rsidRPr="00021D50">
        <w:t>-gruppen sammenlignet med 5,8</w:t>
      </w:r>
      <w:r>
        <w:t> </w:t>
      </w:r>
      <w:r w:rsidRPr="00021D50">
        <w:t>måneder i placebogruppen (HR</w:t>
      </w:r>
      <w:r>
        <w:t> </w:t>
      </w:r>
      <w:r w:rsidRPr="00021D50">
        <w:t>=</w:t>
      </w:r>
      <w:r>
        <w:t> </w:t>
      </w:r>
      <w:r w:rsidRPr="00021D50">
        <w:t>0,587, 95</w:t>
      </w:r>
      <w:r>
        <w:t> </w:t>
      </w:r>
      <w:r w:rsidRPr="00021D50">
        <w:t>% konfidensinterval (CI): 0,454-0,758, ensidet p</w:t>
      </w:r>
      <w:r>
        <w:t> </w:t>
      </w:r>
      <w:r w:rsidRPr="00021D50">
        <w:t>&lt;</w:t>
      </w:r>
      <w:r>
        <w:t> </w:t>
      </w:r>
      <w:r w:rsidRPr="00021D50">
        <w:t xml:space="preserve">0,0001). </w:t>
      </w:r>
    </w:p>
    <w:p w:rsidR="00215185" w:rsidRDefault="00215185" w:rsidP="00215185">
      <w:pPr>
        <w:pStyle w:val="Default"/>
        <w:ind w:left="851"/>
      </w:pPr>
      <w:proofErr w:type="spellStart"/>
      <w:r w:rsidRPr="00021D50">
        <w:t>Sorafenibs</w:t>
      </w:r>
      <w:proofErr w:type="spellEnd"/>
      <w:r w:rsidRPr="00021D50">
        <w:t xml:space="preserve"> virkning på PFS var konsistent og uafhængig af geografisk region, alder over eller under 60</w:t>
      </w:r>
      <w:r>
        <w:t> </w:t>
      </w:r>
      <w:r w:rsidRPr="00021D50">
        <w:t xml:space="preserve">år, køn, histologisk undertype samt tilstedeværelse eller fravær af knoglemetastaser. </w:t>
      </w:r>
    </w:p>
    <w:p w:rsidR="00215185" w:rsidRDefault="00215185" w:rsidP="00215185">
      <w:pPr>
        <w:pStyle w:val="Default"/>
        <w:ind w:left="851"/>
      </w:pPr>
    </w:p>
    <w:p w:rsidR="00215185" w:rsidRDefault="00215185" w:rsidP="00215185">
      <w:pPr>
        <w:pStyle w:val="Default"/>
        <w:ind w:left="851"/>
      </w:pPr>
      <w:r w:rsidRPr="00021D50">
        <w:t>I en samlet overlevelsesanalyse foretaget 9</w:t>
      </w:r>
      <w:r>
        <w:t> </w:t>
      </w:r>
      <w:r w:rsidRPr="00021D50">
        <w:t>måneder efter dataafslutning for den endelige PFS-analyse, var der ingen statistisk signifikant forskel i samlet overlevelse mellem behandlingsgrupperne (HR</w:t>
      </w:r>
      <w:r>
        <w:t> </w:t>
      </w:r>
      <w:r w:rsidRPr="00021D50">
        <w:t>=</w:t>
      </w:r>
      <w:r>
        <w:t> </w:t>
      </w:r>
      <w:r w:rsidRPr="00021D50">
        <w:t>0,884; 95</w:t>
      </w:r>
      <w:r>
        <w:t> </w:t>
      </w:r>
      <w:r w:rsidRPr="00021D50">
        <w:t xml:space="preserve">% CI: 0,633-1,236, ensidet </w:t>
      </w:r>
      <w:proofErr w:type="spellStart"/>
      <w:r w:rsidRPr="00021D50">
        <w:t>p-værdi</w:t>
      </w:r>
      <w:proofErr w:type="spellEnd"/>
      <w:r w:rsidRPr="00021D50">
        <w:t xml:space="preserve"> på 0,236). Den </w:t>
      </w:r>
      <w:proofErr w:type="spellStart"/>
      <w:r w:rsidRPr="00021D50">
        <w:lastRenderedPageBreak/>
        <w:t>mediane</w:t>
      </w:r>
      <w:proofErr w:type="spellEnd"/>
      <w:r w:rsidRPr="00021D50">
        <w:t xml:space="preserve"> OS blev ikke nået i </w:t>
      </w:r>
      <w:proofErr w:type="spellStart"/>
      <w:r w:rsidRPr="00021D50">
        <w:t>sorafenib</w:t>
      </w:r>
      <w:proofErr w:type="spellEnd"/>
      <w:r w:rsidRPr="00021D50">
        <w:t>-armen, og var 36,5</w:t>
      </w:r>
      <w:r>
        <w:t> </w:t>
      </w:r>
      <w:r w:rsidRPr="00021D50">
        <w:t>måneder i placebo-armen. 157</w:t>
      </w:r>
      <w:r>
        <w:t xml:space="preserve"> </w:t>
      </w:r>
      <w:r w:rsidRPr="00021D50">
        <w:t>(75</w:t>
      </w:r>
      <w:r>
        <w:t> </w:t>
      </w:r>
      <w:r w:rsidRPr="00021D50">
        <w:t>%)</w:t>
      </w:r>
      <w:r>
        <w:t> </w:t>
      </w:r>
      <w:r w:rsidRPr="00021D50">
        <w:t>patienter, der var randomiseret til placebo, og 61 (30</w:t>
      </w:r>
      <w:r>
        <w:t> </w:t>
      </w:r>
      <w:r w:rsidRPr="00021D50">
        <w:t>%)</w:t>
      </w:r>
      <w:r>
        <w:t> </w:t>
      </w:r>
      <w:r w:rsidRPr="00021D50">
        <w:t xml:space="preserve">patienter randomiseret til </w:t>
      </w:r>
      <w:proofErr w:type="spellStart"/>
      <w:r w:rsidRPr="00021D50">
        <w:t>sorafenib</w:t>
      </w:r>
      <w:proofErr w:type="spellEnd"/>
      <w:r w:rsidRPr="00021D50">
        <w:t xml:space="preserve"> fik </w:t>
      </w:r>
      <w:r w:rsidRPr="00255CFB">
        <w:rPr>
          <w:i/>
          <w:iCs/>
        </w:rPr>
        <w:t>open-label</w:t>
      </w:r>
      <w:r w:rsidRPr="00021D50">
        <w:t>-</w:t>
      </w:r>
      <w:proofErr w:type="spellStart"/>
      <w:r w:rsidRPr="00021D50">
        <w:t>sorafenib</w:t>
      </w:r>
      <w:proofErr w:type="spellEnd"/>
      <w:r w:rsidRPr="00021D50">
        <w:t xml:space="preserve">. </w:t>
      </w:r>
    </w:p>
    <w:p w:rsidR="00215185" w:rsidRDefault="00215185" w:rsidP="00215185">
      <w:pPr>
        <w:pStyle w:val="Default"/>
        <w:ind w:left="851"/>
      </w:pPr>
    </w:p>
    <w:p w:rsidR="00215185" w:rsidRDefault="00215185" w:rsidP="00215185">
      <w:pPr>
        <w:pStyle w:val="Default"/>
        <w:ind w:left="851"/>
      </w:pPr>
      <w:r w:rsidRPr="00021D50">
        <w:t xml:space="preserve">Den </w:t>
      </w:r>
      <w:proofErr w:type="spellStart"/>
      <w:r w:rsidRPr="00021D50">
        <w:t>mediane</w:t>
      </w:r>
      <w:proofErr w:type="spellEnd"/>
      <w:r w:rsidRPr="00021D50">
        <w:t xml:space="preserve"> behandlingsvarighed i den dobbeltblindede periode var 46</w:t>
      </w:r>
      <w:r>
        <w:t> </w:t>
      </w:r>
      <w:r w:rsidRPr="00021D50">
        <w:t xml:space="preserve">uger (interval 0,3-135) for patienter, der fik </w:t>
      </w:r>
      <w:proofErr w:type="spellStart"/>
      <w:r w:rsidRPr="00021D50">
        <w:t>sorafenib</w:t>
      </w:r>
      <w:proofErr w:type="spellEnd"/>
      <w:r w:rsidRPr="00021D50">
        <w:t>, og 28</w:t>
      </w:r>
      <w:r>
        <w:t> </w:t>
      </w:r>
      <w:r w:rsidRPr="00021D50">
        <w:t xml:space="preserve">uger (interval 1,7-132) for patienter, der fik placebo. </w:t>
      </w:r>
    </w:p>
    <w:p w:rsidR="00215185" w:rsidRDefault="00215185" w:rsidP="00215185">
      <w:pPr>
        <w:pStyle w:val="Default"/>
        <w:ind w:left="851"/>
      </w:pPr>
    </w:p>
    <w:p w:rsidR="00215185" w:rsidRDefault="00215185" w:rsidP="00215185">
      <w:pPr>
        <w:pStyle w:val="Default"/>
        <w:ind w:left="851"/>
      </w:pPr>
      <w:r w:rsidRPr="00021D50">
        <w:t>Der blev ikke observeret tilfælde med fuldstændigt respons (</w:t>
      </w:r>
      <w:proofErr w:type="spellStart"/>
      <w:r w:rsidRPr="00255CFB">
        <w:rPr>
          <w:i/>
          <w:iCs/>
        </w:rPr>
        <w:t>complete</w:t>
      </w:r>
      <w:proofErr w:type="spellEnd"/>
      <w:r w:rsidRPr="00255CFB">
        <w:rPr>
          <w:i/>
          <w:iCs/>
        </w:rPr>
        <w:t xml:space="preserve"> </w:t>
      </w:r>
      <w:proofErr w:type="spellStart"/>
      <w:r w:rsidRPr="00255CFB">
        <w:rPr>
          <w:i/>
          <w:iCs/>
        </w:rPr>
        <w:t>response</w:t>
      </w:r>
      <w:proofErr w:type="spellEnd"/>
      <w:r w:rsidRPr="00021D50">
        <w:t xml:space="preserve">, CR) i henhold til RECIST. Den samlede responsrate (CR + partiel respons (PR)) ved uafhængig radiologisk vurdering var højere i </w:t>
      </w:r>
      <w:proofErr w:type="spellStart"/>
      <w:r w:rsidRPr="00021D50">
        <w:t>sorafenib</w:t>
      </w:r>
      <w:proofErr w:type="spellEnd"/>
      <w:r w:rsidRPr="00021D50">
        <w:t>-gruppen (24</w:t>
      </w:r>
      <w:r>
        <w:t> </w:t>
      </w:r>
      <w:r w:rsidRPr="00021D50">
        <w:t>patienter, 12,2</w:t>
      </w:r>
      <w:r>
        <w:t> </w:t>
      </w:r>
      <w:r w:rsidRPr="00021D50">
        <w:t>%) end i placebogruppen (1</w:t>
      </w:r>
      <w:r>
        <w:t> </w:t>
      </w:r>
      <w:r w:rsidRPr="00021D50">
        <w:t>patient, 0,5</w:t>
      </w:r>
      <w:r>
        <w:t> </w:t>
      </w:r>
      <w:r w:rsidRPr="00021D50">
        <w:t>%), ensidet p</w:t>
      </w:r>
      <w:r>
        <w:t> </w:t>
      </w:r>
      <w:r w:rsidRPr="00021D50">
        <w:t>&lt;</w:t>
      </w:r>
      <w:r>
        <w:t> </w:t>
      </w:r>
      <w:r w:rsidRPr="00021D50">
        <w:t xml:space="preserve">0,0001. Den </w:t>
      </w:r>
      <w:proofErr w:type="spellStart"/>
      <w:r w:rsidRPr="00021D50">
        <w:t>mediane</w:t>
      </w:r>
      <w:proofErr w:type="spellEnd"/>
      <w:r w:rsidRPr="00021D50">
        <w:t xml:space="preserve"> responsvarighed var 309</w:t>
      </w:r>
      <w:r>
        <w:t> </w:t>
      </w:r>
      <w:r w:rsidRPr="00021D50">
        <w:t>dage (95</w:t>
      </w:r>
      <w:r>
        <w:t> </w:t>
      </w:r>
      <w:r w:rsidRPr="00021D50">
        <w:t>% CI: 226-505</w:t>
      </w:r>
      <w:r>
        <w:t> </w:t>
      </w:r>
      <w:r w:rsidRPr="00021D50">
        <w:t xml:space="preserve">dage) hos </w:t>
      </w:r>
      <w:proofErr w:type="spellStart"/>
      <w:r w:rsidRPr="00021D50">
        <w:t>sorafenib</w:t>
      </w:r>
      <w:proofErr w:type="spellEnd"/>
      <w:r>
        <w:t>-</w:t>
      </w:r>
      <w:r w:rsidRPr="00021D50">
        <w:t xml:space="preserve">behandlede patienter, der oplevede PR. </w:t>
      </w:r>
    </w:p>
    <w:p w:rsidR="00215185" w:rsidRDefault="00215185" w:rsidP="00215185">
      <w:pPr>
        <w:pStyle w:val="Default"/>
        <w:ind w:left="851"/>
      </w:pPr>
    </w:p>
    <w:p w:rsidR="00215185" w:rsidRDefault="00215185" w:rsidP="00215185">
      <w:pPr>
        <w:pStyle w:val="Default"/>
        <w:ind w:left="851"/>
      </w:pPr>
      <w:r w:rsidRPr="00021D50">
        <w:t xml:space="preserve">En post-hoc-undergruppeanalyse i forhold til maksimal tumorstørrelse viste en bedre behandlingseffekt (PFS) for </w:t>
      </w:r>
      <w:proofErr w:type="spellStart"/>
      <w:r w:rsidRPr="00021D50">
        <w:t>sorafenib</w:t>
      </w:r>
      <w:proofErr w:type="spellEnd"/>
      <w:r w:rsidRPr="00021D50">
        <w:t xml:space="preserve"> i forhold til placebo for patienter med maksimal tumorstørrelse på 1,5</w:t>
      </w:r>
      <w:r>
        <w:t> </w:t>
      </w:r>
      <w:r w:rsidRPr="00021D50">
        <w:t>cm eller derover (HR 0,54 (95</w:t>
      </w:r>
      <w:r>
        <w:t> </w:t>
      </w:r>
      <w:r w:rsidRPr="00021D50">
        <w:t>% CI: 0,41-0,71)), hvorimod en numerisk mindre virkning blev rapporteret hos patienter med en maksimal tumorstørrelse på under 1,5</w:t>
      </w:r>
      <w:r>
        <w:t> </w:t>
      </w:r>
      <w:r w:rsidRPr="00021D50">
        <w:t>cm (HR 0,87 (</w:t>
      </w:r>
      <w:r>
        <w:t xml:space="preserve">95 % </w:t>
      </w:r>
      <w:r w:rsidRPr="00021D50">
        <w:t>CI: 0,40-1,89)).</w:t>
      </w:r>
    </w:p>
    <w:p w:rsidR="00215185" w:rsidRDefault="00215185" w:rsidP="00215185">
      <w:pPr>
        <w:pStyle w:val="Default"/>
        <w:ind w:left="851"/>
      </w:pPr>
    </w:p>
    <w:p w:rsidR="00215185" w:rsidRPr="003262A5" w:rsidRDefault="00215185" w:rsidP="00215185">
      <w:pPr>
        <w:pStyle w:val="Default"/>
        <w:ind w:left="851"/>
      </w:pPr>
      <w:r w:rsidRPr="00021D50">
        <w:t xml:space="preserve">En post-hoc-undergruppeanalyse i forhold til </w:t>
      </w:r>
      <w:proofErr w:type="spellStart"/>
      <w:r w:rsidRPr="00021D50">
        <w:t>thyreoideacancersymptomer</w:t>
      </w:r>
      <w:proofErr w:type="spellEnd"/>
      <w:r w:rsidRPr="00021D50">
        <w:t xml:space="preserve"> ved </w:t>
      </w:r>
      <w:r w:rsidRPr="00255CFB">
        <w:rPr>
          <w:i/>
          <w:iCs/>
        </w:rPr>
        <w:t>baseline</w:t>
      </w:r>
      <w:r w:rsidRPr="00021D50">
        <w:t xml:space="preserve"> viste en bedre behandlingseffekt (PFS) for </w:t>
      </w:r>
      <w:proofErr w:type="spellStart"/>
      <w:r w:rsidRPr="00021D50">
        <w:t>sorafenib</w:t>
      </w:r>
      <w:proofErr w:type="spellEnd"/>
      <w:r w:rsidRPr="00021D50">
        <w:t xml:space="preserve"> i forhold til placebo hos både symptomatiske og asymptomatiske patienter. HR for progressionsfri overlevelse var 0,39 (95</w:t>
      </w:r>
      <w:r>
        <w:t> </w:t>
      </w:r>
      <w:r w:rsidRPr="00021D50">
        <w:t xml:space="preserve">% CI: 0,21-0,72) for patienter med symptomer ved </w:t>
      </w:r>
      <w:r w:rsidRPr="00255CFB">
        <w:rPr>
          <w:i/>
          <w:iCs/>
        </w:rPr>
        <w:t>baseline</w:t>
      </w:r>
      <w:r w:rsidRPr="00021D50">
        <w:t xml:space="preserve"> og 0,60 (95</w:t>
      </w:r>
      <w:r>
        <w:t> </w:t>
      </w:r>
      <w:r w:rsidRPr="00021D50">
        <w:t xml:space="preserve">% CI: 0,45-1,81) for patienter uden symptomer ved </w:t>
      </w:r>
      <w:r w:rsidRPr="00255CFB">
        <w:rPr>
          <w:i/>
          <w:iCs/>
        </w:rPr>
        <w:t>baseline</w:t>
      </w:r>
      <w:r w:rsidRPr="00021D50">
        <w:t>.</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Forlænget QT-interval </w:t>
      </w:r>
    </w:p>
    <w:p w:rsidR="005B4E3C" w:rsidRPr="003262A5" w:rsidRDefault="005B4E3C" w:rsidP="005B4E3C">
      <w:pPr>
        <w:pStyle w:val="Default"/>
        <w:ind w:left="851"/>
      </w:pPr>
      <w:r w:rsidRPr="003262A5">
        <w:t>I et klinisk farmakologisk studie blev QT/</w:t>
      </w:r>
      <w:proofErr w:type="spellStart"/>
      <w:r w:rsidRPr="003262A5">
        <w:t>QTc</w:t>
      </w:r>
      <w:proofErr w:type="spellEnd"/>
      <w:r w:rsidRPr="003262A5">
        <w:t xml:space="preserve">-målinger registreret hos 31 patienter ved baseline (før behandlingen) og efter behandlingen. Efter </w:t>
      </w:r>
      <w:r>
        <w:t>en</w:t>
      </w:r>
      <w:r w:rsidRPr="003262A5">
        <w:t xml:space="preserve"> 28 dages behandlingscyklus, hvor koncentrationen af </w:t>
      </w:r>
      <w:proofErr w:type="spellStart"/>
      <w:r w:rsidRPr="003262A5">
        <w:t>sorafenib</w:t>
      </w:r>
      <w:proofErr w:type="spellEnd"/>
      <w:r w:rsidRPr="003262A5">
        <w:t xml:space="preserve"> er højest, var </w:t>
      </w:r>
      <w:proofErr w:type="spellStart"/>
      <w:r w:rsidRPr="003262A5">
        <w:t>QTcB</w:t>
      </w:r>
      <w:proofErr w:type="spellEnd"/>
      <w:r w:rsidRPr="003262A5">
        <w:t xml:space="preserve"> forlænget med 4 ±19 </w:t>
      </w:r>
      <w:proofErr w:type="spellStart"/>
      <w:r w:rsidRPr="003262A5">
        <w:t>msek</w:t>
      </w:r>
      <w:proofErr w:type="spellEnd"/>
      <w:r w:rsidRPr="003262A5">
        <w:t xml:space="preserve">. og </w:t>
      </w:r>
      <w:proofErr w:type="spellStart"/>
      <w:r w:rsidRPr="003262A5">
        <w:t>QTcF</w:t>
      </w:r>
      <w:proofErr w:type="spellEnd"/>
      <w:r w:rsidRPr="003262A5">
        <w:t xml:space="preserve"> med 9 ±18 </w:t>
      </w:r>
      <w:proofErr w:type="spellStart"/>
      <w:r w:rsidRPr="003262A5">
        <w:t>msek</w:t>
      </w:r>
      <w:proofErr w:type="spellEnd"/>
      <w:r w:rsidRPr="003262A5">
        <w:t xml:space="preserve">. sammenlignet med placebobehandling ved baseline. Ingen af patienterne viste et </w:t>
      </w:r>
      <w:proofErr w:type="spellStart"/>
      <w:r w:rsidRPr="003262A5">
        <w:t>QTcB</w:t>
      </w:r>
      <w:proofErr w:type="spellEnd"/>
      <w:r w:rsidRPr="003262A5">
        <w:t xml:space="preserve"> eller </w:t>
      </w:r>
      <w:proofErr w:type="spellStart"/>
      <w:r w:rsidRPr="003262A5">
        <w:t>QTcF</w:t>
      </w:r>
      <w:proofErr w:type="spellEnd"/>
      <w:r w:rsidRPr="003262A5">
        <w:t xml:space="preserve"> på &gt;500 </w:t>
      </w:r>
      <w:proofErr w:type="spellStart"/>
      <w:r w:rsidRPr="003262A5">
        <w:t>msek</w:t>
      </w:r>
      <w:proofErr w:type="spellEnd"/>
      <w:r w:rsidRPr="003262A5">
        <w:t>. under ekg-monitoreringen efter behandlingen (se pkt. 4.4).</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Pædiatrisk population </w:t>
      </w:r>
    </w:p>
    <w:p w:rsidR="005B4E3C" w:rsidRPr="003262A5" w:rsidRDefault="005B4E3C" w:rsidP="005B4E3C">
      <w:pPr>
        <w:pStyle w:val="Default"/>
        <w:ind w:left="851"/>
      </w:pPr>
      <w:r w:rsidRPr="003262A5">
        <w:t xml:space="preserve">Det Europæiske Lægemiddelagentur har dispenseret fra kravet om at fremlægge resultaterne af studier med </w:t>
      </w:r>
      <w:proofErr w:type="spellStart"/>
      <w:r>
        <w:t>Nevaxar</w:t>
      </w:r>
      <w:proofErr w:type="spellEnd"/>
      <w:r>
        <w:t xml:space="preserve">, som indeholder </w:t>
      </w:r>
      <w:proofErr w:type="spellStart"/>
      <w:r w:rsidRPr="003262A5">
        <w:t>sorafenib</w:t>
      </w:r>
      <w:proofErr w:type="spellEnd"/>
      <w:r>
        <w:t>,</w:t>
      </w:r>
      <w:r w:rsidRPr="003262A5">
        <w:t xml:space="preserve"> i alle undergrupper af den pædiatriske population med nyre- og nyre-bækken-karcinom (undtagen </w:t>
      </w:r>
      <w:proofErr w:type="spellStart"/>
      <w:r w:rsidRPr="003262A5">
        <w:t>nefroblastom</w:t>
      </w:r>
      <w:proofErr w:type="spellEnd"/>
      <w:r w:rsidRPr="003262A5">
        <w:t xml:space="preserve">, </w:t>
      </w:r>
      <w:proofErr w:type="spellStart"/>
      <w:r w:rsidRPr="003262A5">
        <w:t>nefroblastomatose</w:t>
      </w:r>
      <w:proofErr w:type="spellEnd"/>
      <w:r w:rsidRPr="003262A5">
        <w:t xml:space="preserve">, clear cell-sarkom, </w:t>
      </w:r>
      <w:proofErr w:type="spellStart"/>
      <w:r w:rsidRPr="003262A5">
        <w:t>mesoblastisk</w:t>
      </w:r>
      <w:proofErr w:type="spellEnd"/>
      <w:r w:rsidRPr="003262A5">
        <w:t xml:space="preserve"> </w:t>
      </w:r>
      <w:proofErr w:type="spellStart"/>
      <w:r w:rsidRPr="003262A5">
        <w:t>nefrom</w:t>
      </w:r>
      <w:proofErr w:type="spellEnd"/>
      <w:r w:rsidRPr="003262A5">
        <w:t xml:space="preserve">, </w:t>
      </w:r>
      <w:proofErr w:type="spellStart"/>
      <w:r w:rsidRPr="003262A5">
        <w:t>renal</w:t>
      </w:r>
      <w:proofErr w:type="spellEnd"/>
      <w:r w:rsidRPr="003262A5">
        <w:t xml:space="preserve"> </w:t>
      </w:r>
      <w:proofErr w:type="spellStart"/>
      <w:r w:rsidRPr="003262A5">
        <w:t>medullært</w:t>
      </w:r>
      <w:proofErr w:type="spellEnd"/>
      <w:r w:rsidRPr="003262A5">
        <w:t xml:space="preserve"> karcinom og </w:t>
      </w:r>
      <w:proofErr w:type="spellStart"/>
      <w:r w:rsidRPr="003262A5">
        <w:t>rabdoid</w:t>
      </w:r>
      <w:proofErr w:type="spellEnd"/>
      <w:r w:rsidRPr="003262A5">
        <w:t xml:space="preserve"> tumor i nyrerne) og lever- og </w:t>
      </w:r>
      <w:proofErr w:type="spellStart"/>
      <w:r w:rsidRPr="003262A5">
        <w:t>intrahepatisk</w:t>
      </w:r>
      <w:proofErr w:type="spellEnd"/>
      <w:r w:rsidRPr="003262A5">
        <w:t xml:space="preserve"> galdegangskarcinom (undtagen </w:t>
      </w:r>
      <w:proofErr w:type="spellStart"/>
      <w:r w:rsidRPr="003262A5">
        <w:t>hepatoblastom</w:t>
      </w:r>
      <w:proofErr w:type="spellEnd"/>
      <w:r w:rsidRPr="003262A5">
        <w:t xml:space="preserve">) og differentieret </w:t>
      </w:r>
      <w:proofErr w:type="spellStart"/>
      <w:r w:rsidRPr="003262A5">
        <w:t>thyreoideacancer</w:t>
      </w:r>
      <w:proofErr w:type="spellEnd"/>
      <w:r w:rsidRPr="003262A5">
        <w:t xml:space="preserve"> (se pkt. 4.2 for oplysninger om pædiatrisk anvendelse).</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5.2</w:t>
      </w:r>
      <w:r w:rsidRPr="003262A5">
        <w:rPr>
          <w:b/>
          <w:sz w:val="24"/>
          <w:szCs w:val="24"/>
        </w:rPr>
        <w:tab/>
      </w:r>
      <w:proofErr w:type="spellStart"/>
      <w:r w:rsidRPr="003262A5">
        <w:rPr>
          <w:b/>
          <w:sz w:val="24"/>
          <w:szCs w:val="24"/>
        </w:rPr>
        <w:t>Farmakokinetiske</w:t>
      </w:r>
      <w:proofErr w:type="spellEnd"/>
      <w:r w:rsidRPr="003262A5">
        <w:rPr>
          <w:b/>
          <w:sz w:val="24"/>
          <w:szCs w:val="24"/>
        </w:rPr>
        <w:t xml:space="preserve"> egenskaber</w:t>
      </w:r>
    </w:p>
    <w:p w:rsidR="005B4E3C" w:rsidRDefault="005B4E3C" w:rsidP="005B4E3C">
      <w:pPr>
        <w:pStyle w:val="Default"/>
        <w:ind w:left="851"/>
        <w:rPr>
          <w:u w:val="single"/>
        </w:rPr>
      </w:pPr>
    </w:p>
    <w:p w:rsidR="005B4E3C" w:rsidRPr="003262A5" w:rsidRDefault="005B4E3C" w:rsidP="005B4E3C">
      <w:pPr>
        <w:pStyle w:val="Default"/>
        <w:ind w:left="851"/>
        <w:rPr>
          <w:u w:val="single"/>
        </w:rPr>
      </w:pPr>
      <w:r w:rsidRPr="003262A5">
        <w:rPr>
          <w:u w:val="single"/>
        </w:rPr>
        <w:t xml:space="preserve">Absorption og fordeling </w:t>
      </w:r>
    </w:p>
    <w:p w:rsidR="005B4E3C" w:rsidRPr="003262A5" w:rsidRDefault="005B4E3C" w:rsidP="005B4E3C">
      <w:pPr>
        <w:pStyle w:val="Default"/>
        <w:ind w:left="851"/>
      </w:pPr>
      <w:r w:rsidRPr="003262A5">
        <w:t xml:space="preserve">Efter administration af </w:t>
      </w:r>
      <w:proofErr w:type="spellStart"/>
      <w:r w:rsidRPr="003262A5">
        <w:t>sorafenib</w:t>
      </w:r>
      <w:proofErr w:type="spellEnd"/>
      <w:r w:rsidRPr="003262A5">
        <w:t xml:space="preserve">-tabletter er den gennemsnitlige, relative biotilgængelighed 38-49 % ved sammenligning med en oral opløsning. Den absolutte biotilgængelighed er ikke kendt. Efter oral administration når </w:t>
      </w:r>
      <w:proofErr w:type="spellStart"/>
      <w:r w:rsidRPr="003262A5">
        <w:t>sorafenib</w:t>
      </w:r>
      <w:proofErr w:type="spellEnd"/>
      <w:r w:rsidRPr="003262A5">
        <w:t xml:space="preserve"> højeste plasmakoncentrationer i løbet af ca. 3 timer. Når </w:t>
      </w:r>
      <w:proofErr w:type="spellStart"/>
      <w:r w:rsidRPr="003262A5">
        <w:t>sorafenib</w:t>
      </w:r>
      <w:proofErr w:type="spellEnd"/>
      <w:r w:rsidRPr="003262A5">
        <w:t xml:space="preserve"> gives samtidig med et måltid </w:t>
      </w:r>
      <w:r w:rsidRPr="003262A5">
        <w:lastRenderedPageBreak/>
        <w:t xml:space="preserve">med højt fedtindhold reduceres absorptionen med 30 % sammenlignet med administration til fastende tilstand. </w:t>
      </w:r>
    </w:p>
    <w:p w:rsidR="005B4E3C" w:rsidRPr="003262A5" w:rsidRDefault="005B4E3C" w:rsidP="005B4E3C">
      <w:pPr>
        <w:pStyle w:val="Default"/>
        <w:ind w:left="851"/>
      </w:pPr>
      <w:r w:rsidRPr="003262A5">
        <w:t xml:space="preserve">Middeltallet for </w:t>
      </w:r>
      <w:proofErr w:type="spellStart"/>
      <w:r w:rsidRPr="003262A5">
        <w:t>C</w:t>
      </w:r>
      <w:r w:rsidRPr="003262A5">
        <w:rPr>
          <w:vertAlign w:val="subscript"/>
        </w:rPr>
        <w:t>max</w:t>
      </w:r>
      <w:proofErr w:type="spellEnd"/>
      <w:r w:rsidRPr="003262A5">
        <w:t xml:space="preserve"> og AUC øges mindre end proportionelt for doser over 400 mg givet 2 gange </w:t>
      </w:r>
      <w:r>
        <w:t>daglig</w:t>
      </w:r>
      <w:r w:rsidRPr="003262A5">
        <w:t xml:space="preserve">. In </w:t>
      </w:r>
      <w:proofErr w:type="spellStart"/>
      <w:r w:rsidRPr="003262A5">
        <w:t>vitro</w:t>
      </w:r>
      <w:proofErr w:type="spellEnd"/>
      <w:r w:rsidRPr="003262A5">
        <w:t xml:space="preserve"> er bindingen til humane plasmaproteiner 99,5 %. </w:t>
      </w:r>
    </w:p>
    <w:p w:rsidR="005B4E3C" w:rsidRPr="003262A5" w:rsidRDefault="005B4E3C" w:rsidP="005B4E3C">
      <w:pPr>
        <w:pStyle w:val="Default"/>
        <w:ind w:left="851"/>
      </w:pPr>
      <w:r w:rsidRPr="003262A5">
        <w:t xml:space="preserve">Gentagen dosering med </w:t>
      </w:r>
      <w:proofErr w:type="spellStart"/>
      <w:r w:rsidRPr="003262A5">
        <w:t>sorafenib</w:t>
      </w:r>
      <w:proofErr w:type="spellEnd"/>
      <w:r w:rsidRPr="003262A5">
        <w:t xml:space="preserve"> i 7 dage resulterede i en 2,5- til 7-gange akkumulering sammenlignet med en enkeltdosis. </w:t>
      </w:r>
      <w:proofErr w:type="spellStart"/>
      <w:r w:rsidRPr="003262A5">
        <w:t>Steady</w:t>
      </w:r>
      <w:proofErr w:type="spellEnd"/>
      <w:r w:rsidRPr="003262A5">
        <w:t xml:space="preserve"> </w:t>
      </w:r>
      <w:proofErr w:type="spellStart"/>
      <w:r w:rsidRPr="003262A5">
        <w:t>state</w:t>
      </w:r>
      <w:proofErr w:type="spellEnd"/>
      <w:r w:rsidRPr="003262A5">
        <w:t xml:space="preserve">-plasmakoncentrationer for </w:t>
      </w:r>
      <w:proofErr w:type="spellStart"/>
      <w:r w:rsidRPr="003262A5">
        <w:t>sorafenib</w:t>
      </w:r>
      <w:proofErr w:type="spellEnd"/>
      <w:r w:rsidRPr="003262A5">
        <w:t xml:space="preserve"> opnås i løbet af 7 dage med en top, hvor forholdet mellem de gennemsnitlige koncentrationer var mindre end 2. </w:t>
      </w:r>
    </w:p>
    <w:p w:rsidR="005B4E3C" w:rsidRPr="003262A5" w:rsidRDefault="005B4E3C" w:rsidP="005B4E3C">
      <w:pPr>
        <w:pStyle w:val="Default"/>
        <w:ind w:left="851"/>
      </w:pPr>
    </w:p>
    <w:p w:rsidR="005B4E3C" w:rsidRPr="003262A5" w:rsidRDefault="005B4E3C" w:rsidP="005B4E3C">
      <w:pPr>
        <w:pStyle w:val="Default"/>
        <w:ind w:left="851"/>
      </w:pPr>
      <w:proofErr w:type="spellStart"/>
      <w:r w:rsidRPr="003262A5">
        <w:t>Steady</w:t>
      </w:r>
      <w:proofErr w:type="spellEnd"/>
      <w:r w:rsidRPr="003262A5">
        <w:t xml:space="preserve"> state-koncentrationer af </w:t>
      </w:r>
      <w:proofErr w:type="spellStart"/>
      <w:r w:rsidRPr="003262A5">
        <w:t>sorafenib</w:t>
      </w:r>
      <w:proofErr w:type="spellEnd"/>
      <w:r w:rsidRPr="003262A5">
        <w:t xml:space="preserve"> administreret med 400 mg to gange </w:t>
      </w:r>
      <w:r>
        <w:t>daglig</w:t>
      </w:r>
      <w:r w:rsidRPr="003262A5">
        <w:t xml:space="preserve"> blev evalueret hos patienter med DTC, RCC og HCC. Den højeste gennemsnitlige koncentration blev observeret hos patienter med DTC (ca. dobbelt så stor som observeret hos patienter med RCC og HCC), selvom variabiliteten var høj for alle tumortyper. Årsagen til den højere koncentration hos patienter med DTC er ukendt.</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Biotransformation og elimination</w:t>
      </w:r>
    </w:p>
    <w:p w:rsidR="005B4E3C" w:rsidRPr="003262A5" w:rsidRDefault="005B4E3C" w:rsidP="005B4E3C">
      <w:pPr>
        <w:pStyle w:val="Default"/>
        <w:ind w:left="851"/>
      </w:pPr>
      <w:r w:rsidRPr="003262A5">
        <w:t xml:space="preserve">Eliminationshalveringstiden af </w:t>
      </w:r>
      <w:proofErr w:type="spellStart"/>
      <w:r w:rsidRPr="003262A5">
        <w:t>sorafenib</w:t>
      </w:r>
      <w:proofErr w:type="spellEnd"/>
      <w:r w:rsidRPr="003262A5">
        <w:t xml:space="preserve"> er ca. 25-48 timer. </w:t>
      </w:r>
      <w:proofErr w:type="spellStart"/>
      <w:r w:rsidRPr="003262A5">
        <w:t>Sorafenib</w:t>
      </w:r>
      <w:proofErr w:type="spellEnd"/>
      <w:r w:rsidRPr="003262A5">
        <w:t xml:space="preserve"> </w:t>
      </w:r>
      <w:proofErr w:type="spellStart"/>
      <w:r w:rsidRPr="003262A5">
        <w:t>metaboliseres</w:t>
      </w:r>
      <w:proofErr w:type="spellEnd"/>
      <w:r w:rsidRPr="003262A5">
        <w:t xml:space="preserve"> primært i leveren og gennemgår </w:t>
      </w:r>
      <w:proofErr w:type="spellStart"/>
      <w:r w:rsidRPr="003262A5">
        <w:t>oxidativ</w:t>
      </w:r>
      <w:proofErr w:type="spellEnd"/>
      <w:r w:rsidRPr="003262A5">
        <w:t xml:space="preserve"> metabolisme medieret af CYP 3A4 såvel som </w:t>
      </w:r>
      <w:proofErr w:type="spellStart"/>
      <w:r w:rsidRPr="003262A5">
        <w:t>glucuronidation</w:t>
      </w:r>
      <w:proofErr w:type="spellEnd"/>
      <w:r w:rsidRPr="003262A5">
        <w:t xml:space="preserve"> medieret af UGT1A9. </w:t>
      </w:r>
      <w:proofErr w:type="spellStart"/>
      <w:r w:rsidRPr="003262A5">
        <w:t>Sorafenib-konjugater</w:t>
      </w:r>
      <w:proofErr w:type="spellEnd"/>
      <w:r w:rsidRPr="003262A5">
        <w:t xml:space="preserve"> kan spaltes i mave-tarm-kanalen via bakteriel </w:t>
      </w:r>
      <w:proofErr w:type="spellStart"/>
      <w:r w:rsidRPr="003262A5">
        <w:t>glukuronidaseaktivitet</w:t>
      </w:r>
      <w:proofErr w:type="spellEnd"/>
      <w:r w:rsidRPr="003262A5">
        <w:t xml:space="preserve">, hvilket medfører </w:t>
      </w:r>
      <w:proofErr w:type="spellStart"/>
      <w:r w:rsidRPr="003262A5">
        <w:t>reabsorption</w:t>
      </w:r>
      <w:proofErr w:type="spellEnd"/>
      <w:r w:rsidRPr="003262A5">
        <w:t xml:space="preserve"> af </w:t>
      </w:r>
      <w:proofErr w:type="spellStart"/>
      <w:r w:rsidRPr="003262A5">
        <w:t>ukonjugeret</w:t>
      </w:r>
      <w:proofErr w:type="spellEnd"/>
      <w:r w:rsidRPr="003262A5">
        <w:t xml:space="preserve"> aktivt stof. Samtidig indgift af </w:t>
      </w:r>
      <w:proofErr w:type="spellStart"/>
      <w:r w:rsidRPr="003262A5">
        <w:t>neomycin</w:t>
      </w:r>
      <w:proofErr w:type="spellEnd"/>
      <w:r w:rsidRPr="003262A5">
        <w:t xml:space="preserve"> har vist sig at påvirke denne proces og nedsætte </w:t>
      </w:r>
      <w:proofErr w:type="spellStart"/>
      <w:r w:rsidRPr="003262A5">
        <w:t>sorafenibs</w:t>
      </w:r>
      <w:proofErr w:type="spellEnd"/>
      <w:r w:rsidRPr="003262A5">
        <w:t xml:space="preserve"> gennemsnitlige biotilgængelighed med 54 %. </w:t>
      </w:r>
    </w:p>
    <w:p w:rsidR="005B4E3C" w:rsidRPr="003262A5" w:rsidRDefault="005B4E3C" w:rsidP="005B4E3C">
      <w:pPr>
        <w:pStyle w:val="Default"/>
        <w:ind w:left="851"/>
      </w:pPr>
    </w:p>
    <w:p w:rsidR="005B4E3C" w:rsidRPr="003262A5" w:rsidRDefault="005B4E3C" w:rsidP="005B4E3C">
      <w:pPr>
        <w:pStyle w:val="Default"/>
        <w:ind w:left="851"/>
      </w:pPr>
      <w:proofErr w:type="spellStart"/>
      <w:r w:rsidRPr="003262A5">
        <w:t>Sorafenib</w:t>
      </w:r>
      <w:proofErr w:type="spellEnd"/>
      <w:r w:rsidRPr="003262A5">
        <w:t xml:space="preserve"> udgør ca. 70-85 % af de cirkulerende analyserede metabolitter i plasmaet ved </w:t>
      </w:r>
      <w:proofErr w:type="spellStart"/>
      <w:r w:rsidRPr="003262A5">
        <w:t>steady</w:t>
      </w:r>
      <w:proofErr w:type="spellEnd"/>
      <w:r w:rsidRPr="003262A5">
        <w:t xml:space="preserve"> </w:t>
      </w:r>
      <w:proofErr w:type="spellStart"/>
      <w:r w:rsidRPr="003262A5">
        <w:t>state</w:t>
      </w:r>
      <w:proofErr w:type="spellEnd"/>
      <w:r w:rsidRPr="003262A5">
        <w:t xml:space="preserve">. Otte metabolitter af </w:t>
      </w:r>
      <w:proofErr w:type="spellStart"/>
      <w:r w:rsidRPr="003262A5">
        <w:t>sorafenib</w:t>
      </w:r>
      <w:proofErr w:type="spellEnd"/>
      <w:r w:rsidRPr="003262A5">
        <w:t xml:space="preserve"> er identificeret, hvoraf fem er påvist i plasma. Den cirkulerende hovedmetabolit af </w:t>
      </w:r>
      <w:proofErr w:type="spellStart"/>
      <w:r w:rsidRPr="003262A5">
        <w:t>sorafenib</w:t>
      </w:r>
      <w:proofErr w:type="spellEnd"/>
      <w:r w:rsidRPr="003262A5">
        <w:t xml:space="preserve"> i plasma, </w:t>
      </w:r>
      <w:proofErr w:type="spellStart"/>
      <w:r w:rsidRPr="003262A5">
        <w:t>pyridin</w:t>
      </w:r>
      <w:proofErr w:type="spellEnd"/>
      <w:r w:rsidRPr="003262A5">
        <w:t xml:space="preserve"> N-oxid, viser </w:t>
      </w:r>
      <w:r w:rsidRPr="003262A5">
        <w:rPr>
          <w:i/>
          <w:iCs/>
        </w:rPr>
        <w:t xml:space="preserve">in </w:t>
      </w:r>
      <w:proofErr w:type="spellStart"/>
      <w:r w:rsidRPr="003262A5">
        <w:rPr>
          <w:i/>
          <w:iCs/>
        </w:rPr>
        <w:t>vitro</w:t>
      </w:r>
      <w:proofErr w:type="spellEnd"/>
      <w:r w:rsidRPr="003262A5">
        <w:rPr>
          <w:i/>
          <w:iCs/>
        </w:rPr>
        <w:t xml:space="preserve"> </w:t>
      </w:r>
      <w:r w:rsidRPr="003262A5">
        <w:t xml:space="preserve">den samme effekt som den for </w:t>
      </w:r>
      <w:proofErr w:type="spellStart"/>
      <w:r w:rsidRPr="003262A5">
        <w:t>sorafenib</w:t>
      </w:r>
      <w:proofErr w:type="spellEnd"/>
      <w:r w:rsidRPr="003262A5">
        <w:t xml:space="preserve">. Denne metabolit udgør ca. 9-16 % af de cirkulerende analyserede metabolitter ved </w:t>
      </w:r>
      <w:proofErr w:type="spellStart"/>
      <w:r w:rsidRPr="003262A5">
        <w:t>steady</w:t>
      </w:r>
      <w:proofErr w:type="spellEnd"/>
      <w:r w:rsidRPr="003262A5">
        <w:t xml:space="preserve"> </w:t>
      </w:r>
      <w:proofErr w:type="spellStart"/>
      <w:r w:rsidRPr="003262A5">
        <w:t>state</w:t>
      </w:r>
      <w:proofErr w:type="spellEnd"/>
      <w:r w:rsidRPr="003262A5">
        <w:t xml:space="preserve">. </w:t>
      </w:r>
    </w:p>
    <w:p w:rsidR="005B4E3C" w:rsidRPr="003262A5" w:rsidRDefault="005B4E3C" w:rsidP="005B4E3C">
      <w:pPr>
        <w:pStyle w:val="Default"/>
        <w:ind w:left="851"/>
      </w:pPr>
    </w:p>
    <w:p w:rsidR="005B4E3C" w:rsidRPr="003262A5" w:rsidRDefault="005B4E3C" w:rsidP="005B4E3C">
      <w:pPr>
        <w:pStyle w:val="Default"/>
        <w:ind w:left="851"/>
      </w:pPr>
      <w:r w:rsidRPr="003262A5">
        <w:t>Efter oral administration af en 100 mg</w:t>
      </w:r>
      <w:r>
        <w:t xml:space="preserve"> </w:t>
      </w:r>
      <w:r w:rsidRPr="003262A5">
        <w:t xml:space="preserve">dosis af en </w:t>
      </w:r>
      <w:proofErr w:type="spellStart"/>
      <w:r w:rsidRPr="003262A5">
        <w:t>sorafenib</w:t>
      </w:r>
      <w:proofErr w:type="spellEnd"/>
      <w:r w:rsidRPr="003262A5">
        <w:t xml:space="preserve">-opløsning blev 96 % af dosis genfundet i løbet af 14 dage. Heraf blev 77 % af dosis udskilt via fæces, og 19 % af dosis blev udskilt via urinen som </w:t>
      </w:r>
      <w:proofErr w:type="spellStart"/>
      <w:r w:rsidRPr="003262A5">
        <w:t>glucuroniderede</w:t>
      </w:r>
      <w:proofErr w:type="spellEnd"/>
      <w:r w:rsidRPr="003262A5">
        <w:t xml:space="preserve"> metabolitter. </w:t>
      </w:r>
      <w:proofErr w:type="spellStart"/>
      <w:r w:rsidRPr="003262A5">
        <w:t>Uomdannet</w:t>
      </w:r>
      <w:proofErr w:type="spellEnd"/>
      <w:r w:rsidRPr="003262A5">
        <w:t xml:space="preserve"> </w:t>
      </w:r>
      <w:proofErr w:type="spellStart"/>
      <w:r w:rsidRPr="003262A5">
        <w:t>sorafenib</w:t>
      </w:r>
      <w:proofErr w:type="spellEnd"/>
      <w:r w:rsidRPr="003262A5">
        <w:t xml:space="preserve">, som udgjorde 51 % af dosis, blev fundet i fæces men ikke i urinen, hvilket indikerer, at biliær udskillelse af </w:t>
      </w:r>
      <w:proofErr w:type="spellStart"/>
      <w:r w:rsidRPr="003262A5">
        <w:t>uomdannet</w:t>
      </w:r>
      <w:proofErr w:type="spellEnd"/>
      <w:r w:rsidRPr="003262A5">
        <w:t xml:space="preserve"> aktivt stof kan medvirke til eliminationen af </w:t>
      </w:r>
      <w:proofErr w:type="spellStart"/>
      <w:r w:rsidRPr="003262A5">
        <w:t>sorafenib</w:t>
      </w:r>
      <w:proofErr w:type="spellEnd"/>
      <w:r w:rsidRPr="003262A5">
        <w:t xml:space="preserve">.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Farmakokinetik i specielle populationer </w:t>
      </w:r>
    </w:p>
    <w:p w:rsidR="005B4E3C" w:rsidRPr="003262A5" w:rsidRDefault="005B4E3C" w:rsidP="005B4E3C">
      <w:pPr>
        <w:pStyle w:val="Default"/>
        <w:ind w:left="851"/>
      </w:pPr>
      <w:r w:rsidRPr="003262A5">
        <w:t xml:space="preserve">Analyser af demografiske data viser, at der ikke er nogen relation mellem farmakokinetik og alder (op til 65 år), køn eller kropsvægt.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Pædiatrisk population</w:t>
      </w:r>
    </w:p>
    <w:p w:rsidR="005B4E3C" w:rsidRPr="003262A5" w:rsidRDefault="005B4E3C" w:rsidP="005B4E3C">
      <w:pPr>
        <w:pStyle w:val="Default"/>
        <w:ind w:left="851"/>
      </w:pPr>
      <w:r w:rsidRPr="003262A5">
        <w:t xml:space="preserve">Der er ikke foretaget studier for at undersøge farmakokinetikken af </w:t>
      </w:r>
      <w:proofErr w:type="spellStart"/>
      <w:r w:rsidRPr="003262A5">
        <w:t>sorafenib</w:t>
      </w:r>
      <w:proofErr w:type="spellEnd"/>
      <w:r w:rsidRPr="003262A5">
        <w:t xml:space="preserve"> hos børn.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Race </w:t>
      </w:r>
    </w:p>
    <w:p w:rsidR="005B4E3C" w:rsidRPr="003262A5" w:rsidRDefault="005B4E3C" w:rsidP="005B4E3C">
      <w:pPr>
        <w:pStyle w:val="Default"/>
        <w:ind w:left="851"/>
      </w:pPr>
      <w:r w:rsidRPr="003262A5">
        <w:t xml:space="preserve">Der er ingen klinisk relevante forskelle i farmakokinetikken mellem kaukasiske og asiatiske patienter. </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Nedsat nyrefunktion</w:t>
      </w:r>
    </w:p>
    <w:p w:rsidR="005B4E3C" w:rsidRPr="003262A5" w:rsidRDefault="005B4E3C" w:rsidP="005B4E3C">
      <w:pPr>
        <w:pStyle w:val="Default"/>
        <w:ind w:left="851"/>
      </w:pPr>
      <w:r w:rsidRPr="003262A5">
        <w:t xml:space="preserve">I fire fase-I kliniske studier var </w:t>
      </w:r>
      <w:proofErr w:type="spellStart"/>
      <w:r w:rsidRPr="003262A5">
        <w:t>steady</w:t>
      </w:r>
      <w:proofErr w:type="spellEnd"/>
      <w:r w:rsidRPr="003262A5">
        <w:t xml:space="preserve"> state-eksponering af </w:t>
      </w:r>
      <w:proofErr w:type="spellStart"/>
      <w:r w:rsidRPr="003262A5">
        <w:t>sorafenib</w:t>
      </w:r>
      <w:proofErr w:type="spellEnd"/>
      <w:r w:rsidRPr="003262A5">
        <w:t xml:space="preserve"> ens hos patienter med let til moderat nedsat nyrefunktion sammenlignet med eksponeringen af patienter med normal nyrefunktion. I et klinisk farmakologistudie (enkeltdosis på 400 mg </w:t>
      </w:r>
      <w:proofErr w:type="spellStart"/>
      <w:r w:rsidRPr="003262A5">
        <w:t>sorafenib</w:t>
      </w:r>
      <w:proofErr w:type="spellEnd"/>
      <w:r w:rsidRPr="003262A5">
        <w:t xml:space="preserve">) blev der ikke observeret nogen sammenhæng mellem </w:t>
      </w:r>
      <w:proofErr w:type="spellStart"/>
      <w:r w:rsidRPr="003262A5">
        <w:t>sorafenib</w:t>
      </w:r>
      <w:proofErr w:type="spellEnd"/>
      <w:r w:rsidRPr="003262A5">
        <w:t xml:space="preserve">-eksponering og nyrefunktion </w:t>
      </w:r>
      <w:r w:rsidRPr="003262A5">
        <w:lastRenderedPageBreak/>
        <w:t>hos forsøgspersoner med normal nyrefunktion, let, moderat eller svært nedsat nyrefunktion. Der er ingen tilgængelig data for dialysekrævende patienter.</w:t>
      </w:r>
    </w:p>
    <w:p w:rsidR="005B4E3C" w:rsidRPr="003262A5" w:rsidRDefault="005B4E3C" w:rsidP="005B4E3C">
      <w:pPr>
        <w:pStyle w:val="Default"/>
        <w:ind w:left="851"/>
      </w:pPr>
    </w:p>
    <w:p w:rsidR="005B4E3C" w:rsidRPr="003262A5" w:rsidRDefault="005B4E3C" w:rsidP="005B4E3C">
      <w:pPr>
        <w:pStyle w:val="Default"/>
        <w:ind w:left="851"/>
        <w:rPr>
          <w:u w:val="single"/>
        </w:rPr>
      </w:pPr>
      <w:r w:rsidRPr="003262A5">
        <w:rPr>
          <w:u w:val="single"/>
        </w:rPr>
        <w:t xml:space="preserve">Nedsat leverfunktion </w:t>
      </w:r>
    </w:p>
    <w:p w:rsidR="005B4E3C" w:rsidRPr="003262A5" w:rsidRDefault="005B4E3C" w:rsidP="005B4E3C">
      <w:pPr>
        <w:pStyle w:val="Default"/>
        <w:ind w:left="851"/>
      </w:pPr>
      <w:r w:rsidRPr="003262A5">
        <w:t xml:space="preserve">Hos patienter med </w:t>
      </w:r>
      <w:proofErr w:type="spellStart"/>
      <w:r w:rsidRPr="003262A5">
        <w:t>hepatocellulært</w:t>
      </w:r>
      <w:proofErr w:type="spellEnd"/>
      <w:r w:rsidRPr="003262A5">
        <w:t xml:space="preserve"> karcinom </w:t>
      </w:r>
      <w:r w:rsidRPr="003262A5">
        <w:rPr>
          <w:i/>
          <w:iCs/>
        </w:rPr>
        <w:t xml:space="preserve">(HCC) </w:t>
      </w:r>
      <w:r w:rsidRPr="003262A5">
        <w:t>og Child-</w:t>
      </w:r>
      <w:proofErr w:type="spellStart"/>
      <w:r w:rsidRPr="003262A5">
        <w:t>Pugh</w:t>
      </w:r>
      <w:proofErr w:type="spellEnd"/>
      <w:r w:rsidRPr="003262A5">
        <w:t xml:space="preserve"> A eller B (let til moderat) nedsat leverfunktion var eksponeringsværdierne sammenlignelige og inden for det interval, der blev observeret hos patienter uden nedsat leverfunktion. </w:t>
      </w:r>
      <w:proofErr w:type="spellStart"/>
      <w:r w:rsidRPr="003262A5">
        <w:t>Farmakokinetiken</w:t>
      </w:r>
      <w:proofErr w:type="spellEnd"/>
      <w:r w:rsidRPr="003262A5">
        <w:t xml:space="preserve"> (PK) for </w:t>
      </w:r>
      <w:proofErr w:type="spellStart"/>
      <w:r w:rsidRPr="003262A5">
        <w:t>sorafenib</w:t>
      </w:r>
      <w:proofErr w:type="spellEnd"/>
      <w:r w:rsidRPr="003262A5">
        <w:t xml:space="preserve"> hos non-HCC-patienter med Child-</w:t>
      </w:r>
      <w:proofErr w:type="spellStart"/>
      <w:r w:rsidRPr="003262A5">
        <w:t>Pugh</w:t>
      </w:r>
      <w:proofErr w:type="spellEnd"/>
      <w:r w:rsidRPr="003262A5">
        <w:t xml:space="preserve"> A og B svarer til PK hos raske frivillige. Der er ingen data for patienter med Child-</w:t>
      </w:r>
      <w:proofErr w:type="spellStart"/>
      <w:r w:rsidRPr="003262A5">
        <w:t>Pugh</w:t>
      </w:r>
      <w:proofErr w:type="spellEnd"/>
      <w:r w:rsidRPr="003262A5">
        <w:t xml:space="preserve"> C (svært) nedsat leverfunktion. </w:t>
      </w:r>
      <w:proofErr w:type="spellStart"/>
      <w:r w:rsidRPr="003262A5">
        <w:t>Sorafenib</w:t>
      </w:r>
      <w:proofErr w:type="spellEnd"/>
      <w:r w:rsidRPr="003262A5">
        <w:t xml:space="preserve"> elimineres hovedsageligt via leveren, og eksponeringen kan være øget i disse patientpopulationer.</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5.3</w:t>
      </w:r>
      <w:r w:rsidRPr="003262A5">
        <w:rPr>
          <w:b/>
          <w:sz w:val="24"/>
          <w:szCs w:val="24"/>
        </w:rPr>
        <w:tab/>
      </w:r>
      <w:r w:rsidR="00215185">
        <w:rPr>
          <w:b/>
          <w:sz w:val="24"/>
          <w:szCs w:val="24"/>
        </w:rPr>
        <w:t>Non-</w:t>
      </w:r>
      <w:r w:rsidRPr="003262A5">
        <w:rPr>
          <w:b/>
          <w:sz w:val="24"/>
          <w:szCs w:val="24"/>
        </w:rPr>
        <w:t>kliniske sikkerhedsdata</w:t>
      </w:r>
    </w:p>
    <w:p w:rsidR="005B4E3C" w:rsidRPr="003262A5" w:rsidRDefault="005B4E3C" w:rsidP="005B4E3C">
      <w:pPr>
        <w:pStyle w:val="Default"/>
        <w:ind w:left="851"/>
      </w:pPr>
      <w:proofErr w:type="spellStart"/>
      <w:r w:rsidRPr="003262A5">
        <w:t>Sorafenibs</w:t>
      </w:r>
      <w:proofErr w:type="spellEnd"/>
      <w:r w:rsidRPr="003262A5">
        <w:t xml:space="preserve"> </w:t>
      </w:r>
      <w:r w:rsidR="00215185">
        <w:t>non-</w:t>
      </w:r>
      <w:r w:rsidRPr="003262A5">
        <w:t xml:space="preserve">kliniske sikkerhedsprofil er blevet bestemt i mus, rotter, hunde og kaniner. </w:t>
      </w:r>
    </w:p>
    <w:p w:rsidR="005B4E3C" w:rsidRPr="003262A5" w:rsidRDefault="005B4E3C" w:rsidP="005B4E3C">
      <w:pPr>
        <w:pStyle w:val="Default"/>
        <w:ind w:left="851"/>
      </w:pPr>
      <w:r w:rsidRPr="003262A5">
        <w:t xml:space="preserve">Toksicitetsstudier med gentagen dosering viste forandringer (degenerationer og regenerationer) i forskellige organer ved eksponering under den forventede kliniske eksponering (baseret på AUC-sammenligninger). </w:t>
      </w:r>
    </w:p>
    <w:p w:rsidR="005B4E3C" w:rsidRPr="003262A5" w:rsidRDefault="005B4E3C" w:rsidP="005B4E3C">
      <w:pPr>
        <w:pStyle w:val="Default"/>
        <w:ind w:left="851"/>
      </w:pPr>
      <w:r w:rsidRPr="003262A5">
        <w:t xml:space="preserve">Efter gentagen dosering til unge og voksende hunde blev effekter på skelet og tænder observeret ved eksponering under den kliniske eksponering. Forandringerne bestod af irregulær fortykkelse af den femorale </w:t>
      </w:r>
      <w:proofErr w:type="spellStart"/>
      <w:r w:rsidRPr="003262A5">
        <w:t>epifyseskive</w:t>
      </w:r>
      <w:proofErr w:type="spellEnd"/>
      <w:r w:rsidRPr="003262A5">
        <w:t xml:space="preserve">, </w:t>
      </w:r>
      <w:proofErr w:type="spellStart"/>
      <w:r w:rsidRPr="003262A5">
        <w:t>hypocellularitet</w:t>
      </w:r>
      <w:proofErr w:type="spellEnd"/>
      <w:r w:rsidRPr="003262A5">
        <w:t xml:space="preserve"> af knoglemarven ved siden af den fortykkede </w:t>
      </w:r>
      <w:proofErr w:type="spellStart"/>
      <w:r w:rsidRPr="003262A5">
        <w:t>epifyseskive</w:t>
      </w:r>
      <w:proofErr w:type="spellEnd"/>
      <w:r w:rsidRPr="003262A5">
        <w:t xml:space="preserve"> og forandringer af dentinsammensætningen. Lignende effekter opstod ikke i voksne hunde.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Standardprogrammet af </w:t>
      </w:r>
      <w:proofErr w:type="spellStart"/>
      <w:r w:rsidRPr="003262A5">
        <w:t>genotoksicitetsstudier</w:t>
      </w:r>
      <w:proofErr w:type="spellEnd"/>
      <w:r w:rsidRPr="003262A5">
        <w:t xml:space="preserve"> blev udført og positive resultater var opnået, da der blev set en stigning i strukturel kromosomal afvigelse i en </w:t>
      </w:r>
      <w:r w:rsidRPr="003262A5">
        <w:rPr>
          <w:i/>
          <w:iCs/>
        </w:rPr>
        <w:t xml:space="preserve">in </w:t>
      </w:r>
      <w:proofErr w:type="spellStart"/>
      <w:r w:rsidRPr="003262A5">
        <w:rPr>
          <w:i/>
          <w:iCs/>
        </w:rPr>
        <w:t>vitro</w:t>
      </w:r>
      <w:proofErr w:type="spellEnd"/>
      <w:r w:rsidRPr="003262A5">
        <w:rPr>
          <w:iCs/>
        </w:rPr>
        <w:t>-</w:t>
      </w:r>
      <w:r w:rsidRPr="003262A5">
        <w:t xml:space="preserve">celletest på pattedyrsceller (ovarier fra kinesiske hamstere) for </w:t>
      </w:r>
      <w:proofErr w:type="spellStart"/>
      <w:r w:rsidRPr="003262A5">
        <w:t>klastogenicitet</w:t>
      </w:r>
      <w:proofErr w:type="spellEnd"/>
      <w:r w:rsidRPr="003262A5">
        <w:t xml:space="preserve"> under metabolisk aktivering. </w:t>
      </w:r>
      <w:proofErr w:type="spellStart"/>
      <w:r w:rsidRPr="003262A5">
        <w:t>Sorafenib</w:t>
      </w:r>
      <w:proofErr w:type="spellEnd"/>
      <w:r w:rsidRPr="003262A5">
        <w:t xml:space="preserve"> var ikke genotoksisk i </w:t>
      </w:r>
      <w:proofErr w:type="spellStart"/>
      <w:r w:rsidRPr="003262A5">
        <w:t>Ames</w:t>
      </w:r>
      <w:proofErr w:type="spellEnd"/>
      <w:r w:rsidRPr="003262A5">
        <w:t xml:space="preserve"> test eller i </w:t>
      </w:r>
      <w:proofErr w:type="spellStart"/>
      <w:r w:rsidRPr="003262A5">
        <w:t>mikronukleus</w:t>
      </w:r>
      <w:proofErr w:type="spellEnd"/>
      <w:r w:rsidRPr="003262A5">
        <w:t xml:space="preserve">-testen </w:t>
      </w:r>
      <w:r w:rsidRPr="003262A5">
        <w:rPr>
          <w:i/>
          <w:iCs/>
        </w:rPr>
        <w:t xml:space="preserve">in </w:t>
      </w:r>
      <w:proofErr w:type="spellStart"/>
      <w:r w:rsidRPr="003262A5">
        <w:rPr>
          <w:i/>
          <w:iCs/>
        </w:rPr>
        <w:t>vivo</w:t>
      </w:r>
      <w:proofErr w:type="spellEnd"/>
      <w:r w:rsidRPr="003262A5">
        <w:rPr>
          <w:i/>
          <w:iCs/>
        </w:rPr>
        <w:t xml:space="preserve"> </w:t>
      </w:r>
      <w:r w:rsidRPr="003262A5">
        <w:t xml:space="preserve">på mus. Et </w:t>
      </w:r>
      <w:proofErr w:type="spellStart"/>
      <w:r w:rsidRPr="003262A5">
        <w:t>intermediat</w:t>
      </w:r>
      <w:proofErr w:type="spellEnd"/>
      <w:r w:rsidRPr="003262A5">
        <w:t xml:space="preserve"> fra fremstillingsprocessen, som også findes i det endelige aktive stof (&lt; 0,15 %), var positiv for </w:t>
      </w:r>
      <w:proofErr w:type="spellStart"/>
      <w:r w:rsidRPr="003262A5">
        <w:t>mutagenese</w:t>
      </w:r>
      <w:proofErr w:type="spellEnd"/>
      <w:r w:rsidRPr="003262A5">
        <w:t xml:space="preserve"> i en </w:t>
      </w:r>
      <w:r w:rsidRPr="003262A5">
        <w:rPr>
          <w:i/>
          <w:iCs/>
        </w:rPr>
        <w:t xml:space="preserve">in </w:t>
      </w:r>
      <w:proofErr w:type="spellStart"/>
      <w:r w:rsidRPr="003262A5">
        <w:rPr>
          <w:i/>
          <w:iCs/>
        </w:rPr>
        <w:t>vitro</w:t>
      </w:r>
      <w:proofErr w:type="spellEnd"/>
      <w:r w:rsidRPr="003262A5">
        <w:rPr>
          <w:iCs/>
        </w:rPr>
        <w:t>-</w:t>
      </w:r>
      <w:r w:rsidRPr="003262A5">
        <w:t>test på bakterieceller (</w:t>
      </w:r>
      <w:proofErr w:type="spellStart"/>
      <w:r w:rsidRPr="003262A5">
        <w:t>Ames</w:t>
      </w:r>
      <w:proofErr w:type="spellEnd"/>
      <w:r w:rsidRPr="003262A5">
        <w:t xml:space="preserve"> test). Den </w:t>
      </w:r>
      <w:proofErr w:type="spellStart"/>
      <w:r w:rsidRPr="003262A5">
        <w:t>sorafenib</w:t>
      </w:r>
      <w:proofErr w:type="spellEnd"/>
      <w:r w:rsidRPr="003262A5">
        <w:t xml:space="preserve">-batch, der blev testet i standardserien af </w:t>
      </w:r>
      <w:proofErr w:type="spellStart"/>
      <w:r w:rsidRPr="003262A5">
        <w:t>genotoksicitetstudierne</w:t>
      </w:r>
      <w:proofErr w:type="spellEnd"/>
      <w:r w:rsidRPr="003262A5">
        <w:t xml:space="preserve">, inkluderede desuden 0,34 % PAPE. </w:t>
      </w:r>
    </w:p>
    <w:p w:rsidR="005B4E3C" w:rsidRPr="003262A5" w:rsidRDefault="005B4E3C" w:rsidP="005B4E3C">
      <w:pPr>
        <w:pStyle w:val="Default"/>
        <w:ind w:left="851"/>
      </w:pPr>
      <w:proofErr w:type="spellStart"/>
      <w:r w:rsidRPr="003262A5">
        <w:t>Karcinogenicitetsstudier</w:t>
      </w:r>
      <w:proofErr w:type="spellEnd"/>
      <w:r w:rsidRPr="003262A5">
        <w:t xml:space="preserve"> er ikke blevet udført med </w:t>
      </w:r>
      <w:proofErr w:type="spellStart"/>
      <w:r w:rsidRPr="003262A5">
        <w:t>sorafenib</w:t>
      </w:r>
      <w:proofErr w:type="spellEnd"/>
      <w:r w:rsidRPr="003262A5">
        <w:t xml:space="preserve">.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Der er ikke udført nogen specifikke studier med </w:t>
      </w:r>
      <w:proofErr w:type="spellStart"/>
      <w:r w:rsidRPr="003262A5">
        <w:t>sorafenib</w:t>
      </w:r>
      <w:proofErr w:type="spellEnd"/>
      <w:r w:rsidRPr="003262A5">
        <w:t xml:space="preserve"> på dyr for at evaluere effekten på fertilitet. En uønsket effekt på mandlig og kvindelig fertilitet kan dog forventes, eftersom studier på dyr med gentagen dosering har vist forandringer i mandlige og kvindelige reproduktive organer ved eksponeringer under den forventede kliniske eksponering (baseret på AUC). Typiske forandringer består af tegn på degeneration og retardering i testikler, bitestikler, prostata og sædblærer på rotter. Hunrotter viste central nekrose af </w:t>
      </w:r>
      <w:proofErr w:type="spellStart"/>
      <w:r w:rsidRPr="003262A5">
        <w:t>corpora</w:t>
      </w:r>
      <w:proofErr w:type="spellEnd"/>
      <w:r w:rsidRPr="003262A5">
        <w:t xml:space="preserve"> </w:t>
      </w:r>
      <w:proofErr w:type="spellStart"/>
      <w:r w:rsidRPr="003262A5">
        <w:t>lutea</w:t>
      </w:r>
      <w:proofErr w:type="spellEnd"/>
      <w:r w:rsidRPr="003262A5">
        <w:t xml:space="preserve"> og standsede </w:t>
      </w:r>
      <w:proofErr w:type="spellStart"/>
      <w:r w:rsidRPr="003262A5">
        <w:t>folliculær</w:t>
      </w:r>
      <w:proofErr w:type="spellEnd"/>
      <w:r w:rsidRPr="003262A5">
        <w:t xml:space="preserve"> udvikling i ovarierne. Hunde viste </w:t>
      </w:r>
      <w:proofErr w:type="spellStart"/>
      <w:r w:rsidRPr="003262A5">
        <w:t>tubulær</w:t>
      </w:r>
      <w:proofErr w:type="spellEnd"/>
      <w:r w:rsidRPr="003262A5">
        <w:t xml:space="preserve"> degeneration i testiklerne og </w:t>
      </w:r>
      <w:proofErr w:type="spellStart"/>
      <w:r w:rsidRPr="003262A5">
        <w:t>oligospermi</w:t>
      </w:r>
      <w:proofErr w:type="spellEnd"/>
      <w:r w:rsidRPr="003262A5">
        <w:t xml:space="preserve">. </w:t>
      </w:r>
    </w:p>
    <w:p w:rsidR="005B4E3C" w:rsidRPr="003262A5" w:rsidRDefault="005B4E3C" w:rsidP="005B4E3C">
      <w:pPr>
        <w:pStyle w:val="Default"/>
        <w:ind w:left="851"/>
      </w:pPr>
    </w:p>
    <w:p w:rsidR="005B4E3C" w:rsidRPr="003262A5" w:rsidRDefault="005B4E3C" w:rsidP="005B4E3C">
      <w:pPr>
        <w:pStyle w:val="Default"/>
        <w:ind w:left="851"/>
      </w:pPr>
      <w:proofErr w:type="spellStart"/>
      <w:r w:rsidRPr="003262A5">
        <w:t>Sorafenib</w:t>
      </w:r>
      <w:proofErr w:type="spellEnd"/>
      <w:r w:rsidRPr="003262A5">
        <w:t xml:space="preserve"> har vist sig at være embryotoksisk og </w:t>
      </w:r>
      <w:proofErr w:type="spellStart"/>
      <w:r w:rsidRPr="003262A5">
        <w:t>teratogent</w:t>
      </w:r>
      <w:proofErr w:type="spellEnd"/>
      <w:r w:rsidRPr="003262A5">
        <w:t xml:space="preserve">, når det administreres til rotter og kaniner ved eksponering under den kliniske eksponering. Observerede effekter inkluderede reduktion i </w:t>
      </w:r>
      <w:proofErr w:type="spellStart"/>
      <w:r w:rsidRPr="003262A5">
        <w:t>maternel</w:t>
      </w:r>
      <w:proofErr w:type="spellEnd"/>
      <w:r w:rsidRPr="003262A5">
        <w:t xml:space="preserve"> og </w:t>
      </w:r>
      <w:proofErr w:type="spellStart"/>
      <w:r w:rsidRPr="003262A5">
        <w:t>føtal</w:t>
      </w:r>
      <w:proofErr w:type="spellEnd"/>
      <w:r w:rsidRPr="003262A5">
        <w:t xml:space="preserve"> kropsvægt, stigning i antallet af </w:t>
      </w:r>
      <w:proofErr w:type="spellStart"/>
      <w:r w:rsidRPr="003262A5">
        <w:t>føtale</w:t>
      </w:r>
      <w:proofErr w:type="spellEnd"/>
      <w:r w:rsidRPr="003262A5">
        <w:t xml:space="preserve"> resorptioner og et øget antal af ydre og </w:t>
      </w:r>
      <w:proofErr w:type="spellStart"/>
      <w:r w:rsidRPr="003262A5">
        <w:t>viscerale</w:t>
      </w:r>
      <w:proofErr w:type="spellEnd"/>
      <w:r w:rsidRPr="003262A5">
        <w:t xml:space="preserve"> misdannelser. </w:t>
      </w:r>
    </w:p>
    <w:p w:rsidR="005B4E3C" w:rsidRPr="003262A5" w:rsidRDefault="005B4E3C" w:rsidP="005B4E3C">
      <w:pPr>
        <w:pStyle w:val="Default"/>
        <w:ind w:left="851"/>
      </w:pPr>
    </w:p>
    <w:p w:rsidR="005B4E3C" w:rsidRPr="003262A5" w:rsidRDefault="005B4E3C" w:rsidP="005B4E3C">
      <w:pPr>
        <w:pStyle w:val="Default"/>
        <w:ind w:left="851"/>
      </w:pPr>
      <w:r w:rsidRPr="003262A5">
        <w:t xml:space="preserve">Miljørisikovurderingsstudier har vist, at </w:t>
      </w:r>
      <w:proofErr w:type="spellStart"/>
      <w:r w:rsidRPr="003262A5">
        <w:t>sorafenibtosylat</w:t>
      </w:r>
      <w:proofErr w:type="spellEnd"/>
      <w:r w:rsidRPr="003262A5">
        <w:t xml:space="preserve"> har potentialet til at være </w:t>
      </w:r>
      <w:proofErr w:type="spellStart"/>
      <w:r w:rsidRPr="003262A5">
        <w:t>persistent</w:t>
      </w:r>
      <w:proofErr w:type="spellEnd"/>
      <w:r w:rsidRPr="003262A5">
        <w:t>, bioakkumulerende og toksisk for miljøet. Informationen vedrørende miljørisikovurdering findes i EPAR for dette lægemiddel (se pkt. 6.6).</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w:t>
      </w:r>
      <w:r w:rsidRPr="003262A5">
        <w:rPr>
          <w:b/>
          <w:sz w:val="24"/>
          <w:szCs w:val="24"/>
        </w:rPr>
        <w:tab/>
        <w:t>FARMACEUTISKE OPLYSNINGER</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6.1</w:t>
      </w:r>
      <w:r w:rsidRPr="003262A5">
        <w:rPr>
          <w:b/>
          <w:sz w:val="24"/>
          <w:szCs w:val="24"/>
        </w:rPr>
        <w:tab/>
        <w:t>Hjælpestoffer</w:t>
      </w:r>
    </w:p>
    <w:p w:rsidR="005B4E3C" w:rsidRDefault="005B4E3C" w:rsidP="005B4E3C">
      <w:pPr>
        <w:pStyle w:val="Default"/>
        <w:ind w:left="851"/>
        <w:rPr>
          <w:u w:val="single"/>
        </w:rPr>
      </w:pPr>
    </w:p>
    <w:p w:rsidR="005B4E3C" w:rsidRPr="003262A5" w:rsidRDefault="005B4E3C" w:rsidP="005B4E3C">
      <w:pPr>
        <w:pStyle w:val="Default"/>
        <w:ind w:left="851"/>
        <w:rPr>
          <w:u w:val="single"/>
        </w:rPr>
      </w:pPr>
      <w:r>
        <w:rPr>
          <w:u w:val="single"/>
        </w:rPr>
        <w:t>Tabletkerne</w:t>
      </w:r>
    </w:p>
    <w:p w:rsidR="005B4E3C" w:rsidRPr="003262A5" w:rsidRDefault="005B4E3C" w:rsidP="005B4E3C">
      <w:pPr>
        <w:pStyle w:val="Default"/>
        <w:ind w:left="851"/>
      </w:pPr>
      <w:r w:rsidRPr="003262A5">
        <w:t>Mikrokrystallinsk cellulose</w:t>
      </w:r>
    </w:p>
    <w:p w:rsidR="005B4E3C" w:rsidRPr="003262A5" w:rsidRDefault="005B4E3C" w:rsidP="005B4E3C">
      <w:pPr>
        <w:pStyle w:val="Default"/>
        <w:ind w:left="851"/>
      </w:pPr>
      <w:proofErr w:type="spellStart"/>
      <w:r w:rsidRPr="003262A5">
        <w:t>Natriumlaurilsulfat</w:t>
      </w:r>
      <w:proofErr w:type="spellEnd"/>
      <w:r w:rsidRPr="003262A5">
        <w:t xml:space="preserve"> </w:t>
      </w:r>
    </w:p>
    <w:p w:rsidR="005B4E3C" w:rsidRPr="003262A5" w:rsidRDefault="005B4E3C" w:rsidP="005B4E3C">
      <w:pPr>
        <w:pStyle w:val="Default"/>
        <w:ind w:left="851"/>
      </w:pPr>
      <w:proofErr w:type="spellStart"/>
      <w:r w:rsidRPr="003262A5">
        <w:t>Croscarmellosenatrium</w:t>
      </w:r>
      <w:proofErr w:type="spellEnd"/>
      <w:r w:rsidRPr="003262A5">
        <w:t xml:space="preserve"> </w:t>
      </w:r>
    </w:p>
    <w:p w:rsidR="005B4E3C" w:rsidRPr="003262A5" w:rsidRDefault="005B4E3C" w:rsidP="005B4E3C">
      <w:pPr>
        <w:pStyle w:val="Default"/>
        <w:ind w:left="851"/>
      </w:pPr>
      <w:proofErr w:type="spellStart"/>
      <w:r w:rsidRPr="003262A5">
        <w:t>Hypromellose</w:t>
      </w:r>
      <w:proofErr w:type="spellEnd"/>
      <w:r w:rsidRPr="003262A5">
        <w:t xml:space="preserve"> </w:t>
      </w:r>
    </w:p>
    <w:p w:rsidR="005B4E3C" w:rsidRPr="003262A5" w:rsidRDefault="005B4E3C" w:rsidP="005B4E3C">
      <w:pPr>
        <w:pStyle w:val="Default"/>
        <w:ind w:left="851"/>
      </w:pPr>
      <w:proofErr w:type="spellStart"/>
      <w:r w:rsidRPr="003262A5">
        <w:t>Magnesiumstearat</w:t>
      </w:r>
      <w:proofErr w:type="spellEnd"/>
      <w:r w:rsidRPr="003262A5">
        <w:t xml:space="preserve"> (vegetabilsk) </w:t>
      </w:r>
    </w:p>
    <w:p w:rsidR="005B4E3C" w:rsidRPr="003262A5" w:rsidRDefault="005B4E3C" w:rsidP="005B4E3C">
      <w:pPr>
        <w:pStyle w:val="Default"/>
        <w:ind w:left="851"/>
      </w:pPr>
    </w:p>
    <w:p w:rsidR="005B4E3C" w:rsidRPr="003262A5" w:rsidRDefault="005B4E3C" w:rsidP="005B4E3C">
      <w:pPr>
        <w:pStyle w:val="Default"/>
        <w:ind w:left="851"/>
        <w:rPr>
          <w:u w:val="single"/>
        </w:rPr>
      </w:pPr>
      <w:r>
        <w:rPr>
          <w:u w:val="single"/>
        </w:rPr>
        <w:t>Filmovertræk</w:t>
      </w:r>
    </w:p>
    <w:p w:rsidR="005B4E3C" w:rsidRPr="003262A5" w:rsidRDefault="005B4E3C" w:rsidP="005B4E3C">
      <w:pPr>
        <w:pStyle w:val="Default"/>
        <w:ind w:left="851"/>
      </w:pPr>
      <w:proofErr w:type="spellStart"/>
      <w:r w:rsidRPr="003262A5">
        <w:t>Hypromellose</w:t>
      </w:r>
      <w:proofErr w:type="spellEnd"/>
      <w:r w:rsidRPr="003262A5">
        <w:t xml:space="preserve"> </w:t>
      </w:r>
    </w:p>
    <w:p w:rsidR="005B4E3C" w:rsidRPr="003262A5" w:rsidRDefault="005B4E3C" w:rsidP="005B4E3C">
      <w:pPr>
        <w:pStyle w:val="Default"/>
        <w:ind w:left="851"/>
      </w:pPr>
      <w:proofErr w:type="spellStart"/>
      <w:r w:rsidRPr="003262A5">
        <w:t>Macrogol</w:t>
      </w:r>
      <w:proofErr w:type="spellEnd"/>
    </w:p>
    <w:p w:rsidR="005B4E3C" w:rsidRPr="003262A5" w:rsidRDefault="005B4E3C" w:rsidP="005B4E3C">
      <w:pPr>
        <w:pStyle w:val="Default"/>
        <w:ind w:left="851"/>
      </w:pPr>
      <w:r w:rsidRPr="003262A5">
        <w:t>Titan</w:t>
      </w:r>
      <w:r>
        <w:t>di</w:t>
      </w:r>
      <w:r w:rsidRPr="003262A5">
        <w:t xml:space="preserve">oxid (E171) </w:t>
      </w:r>
    </w:p>
    <w:p w:rsidR="005B4E3C" w:rsidRPr="003262A5" w:rsidRDefault="005B4E3C" w:rsidP="005B4E3C">
      <w:pPr>
        <w:pStyle w:val="Default"/>
        <w:ind w:left="851"/>
      </w:pPr>
      <w:r>
        <w:t>Rød j</w:t>
      </w:r>
      <w:r w:rsidRPr="003262A5">
        <w:t>ernoxid (E172)</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6.2</w:t>
      </w:r>
      <w:r w:rsidRPr="003262A5">
        <w:rPr>
          <w:b/>
          <w:sz w:val="24"/>
          <w:szCs w:val="24"/>
        </w:rPr>
        <w:tab/>
        <w:t>Uforligeligheder</w:t>
      </w:r>
    </w:p>
    <w:p w:rsidR="005B4E3C" w:rsidRPr="003262A5" w:rsidRDefault="005B4E3C" w:rsidP="005B4E3C">
      <w:pPr>
        <w:pStyle w:val="Default"/>
        <w:ind w:left="851"/>
      </w:pPr>
      <w:r w:rsidRPr="003262A5">
        <w:t>Ikke relevant.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6.3</w:t>
      </w:r>
      <w:r w:rsidRPr="003262A5">
        <w:rPr>
          <w:b/>
          <w:sz w:val="24"/>
          <w:szCs w:val="24"/>
        </w:rPr>
        <w:tab/>
        <w:t>Opbevaringstid</w:t>
      </w:r>
    </w:p>
    <w:p w:rsidR="005B4E3C" w:rsidRPr="003262A5" w:rsidRDefault="00F35A99" w:rsidP="005B4E3C">
      <w:pPr>
        <w:tabs>
          <w:tab w:val="left" w:pos="851"/>
        </w:tabs>
        <w:ind w:left="851"/>
        <w:rPr>
          <w:sz w:val="24"/>
          <w:szCs w:val="24"/>
        </w:rPr>
      </w:pPr>
      <w:r>
        <w:rPr>
          <w:sz w:val="24"/>
          <w:szCs w:val="24"/>
        </w:rPr>
        <w:t>3</w:t>
      </w:r>
      <w:r w:rsidR="005B4E3C" w:rsidRPr="003262A5">
        <w:rPr>
          <w:sz w:val="24"/>
          <w:szCs w:val="24"/>
        </w:rPr>
        <w:t xml:space="preserve"> år.</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6.4</w:t>
      </w:r>
      <w:r w:rsidRPr="003262A5">
        <w:rPr>
          <w:b/>
          <w:sz w:val="24"/>
          <w:szCs w:val="24"/>
        </w:rPr>
        <w:tab/>
        <w:t>Særlige opbevaringsforhold</w:t>
      </w:r>
    </w:p>
    <w:p w:rsidR="00215185" w:rsidRPr="003262A5" w:rsidRDefault="00215185" w:rsidP="00215185">
      <w:pPr>
        <w:tabs>
          <w:tab w:val="left" w:pos="851"/>
        </w:tabs>
        <w:ind w:left="851"/>
        <w:rPr>
          <w:sz w:val="24"/>
          <w:szCs w:val="24"/>
        </w:rPr>
      </w:pPr>
      <w:r w:rsidRPr="003262A5">
        <w:rPr>
          <w:sz w:val="24"/>
          <w:szCs w:val="24"/>
        </w:rPr>
        <w:t>Der er ingen særlige krav vedrørende opbevaringstemperaturer for dette lægemiddel. Opbevar lægemidlet i</w:t>
      </w:r>
      <w:r>
        <w:rPr>
          <w:sz w:val="24"/>
          <w:szCs w:val="24"/>
        </w:rPr>
        <w:t xml:space="preserve"> den</w:t>
      </w:r>
      <w:r w:rsidRPr="003262A5">
        <w:rPr>
          <w:sz w:val="24"/>
          <w:szCs w:val="24"/>
        </w:rPr>
        <w:t xml:space="preserve"> original</w:t>
      </w:r>
      <w:r>
        <w:rPr>
          <w:sz w:val="24"/>
          <w:szCs w:val="24"/>
        </w:rPr>
        <w:t>e</w:t>
      </w:r>
      <w:r w:rsidRPr="003262A5">
        <w:rPr>
          <w:sz w:val="24"/>
          <w:szCs w:val="24"/>
        </w:rPr>
        <w:t xml:space="preserve"> emballage for at beskytte mod fugt.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6.5</w:t>
      </w:r>
      <w:r w:rsidRPr="003262A5">
        <w:rPr>
          <w:b/>
          <w:sz w:val="24"/>
          <w:szCs w:val="24"/>
        </w:rPr>
        <w:tab/>
        <w:t>Emballagetype og pakningsstørrelser</w:t>
      </w:r>
    </w:p>
    <w:p w:rsidR="005B4E3C" w:rsidRDefault="005B4E3C" w:rsidP="005B4E3C">
      <w:pPr>
        <w:ind w:left="851"/>
        <w:rPr>
          <w:sz w:val="24"/>
          <w:szCs w:val="24"/>
        </w:rPr>
      </w:pPr>
    </w:p>
    <w:p w:rsidR="005B4E3C" w:rsidRPr="00540208" w:rsidRDefault="005B4E3C" w:rsidP="005B4E3C">
      <w:pPr>
        <w:ind w:left="851"/>
        <w:rPr>
          <w:sz w:val="24"/>
          <w:szCs w:val="24"/>
          <w:u w:val="single"/>
        </w:rPr>
      </w:pPr>
      <w:r w:rsidRPr="00540208">
        <w:rPr>
          <w:sz w:val="24"/>
          <w:szCs w:val="24"/>
          <w:u w:val="single"/>
        </w:rPr>
        <w:t>PVC/</w:t>
      </w:r>
      <w:proofErr w:type="spellStart"/>
      <w:r w:rsidRPr="00540208">
        <w:rPr>
          <w:sz w:val="24"/>
          <w:szCs w:val="24"/>
          <w:u w:val="single"/>
        </w:rPr>
        <w:t>Aclar</w:t>
      </w:r>
      <w:proofErr w:type="spellEnd"/>
      <w:r w:rsidRPr="00540208">
        <w:rPr>
          <w:sz w:val="24"/>
          <w:szCs w:val="24"/>
          <w:u w:val="single"/>
        </w:rPr>
        <w:t>/PVC-Al blister</w:t>
      </w:r>
    </w:p>
    <w:p w:rsidR="005B4E3C" w:rsidRPr="00540208" w:rsidRDefault="005B4E3C" w:rsidP="005B4E3C">
      <w:pPr>
        <w:ind w:left="851"/>
        <w:rPr>
          <w:i/>
          <w:sz w:val="24"/>
          <w:szCs w:val="24"/>
        </w:rPr>
      </w:pPr>
      <w:r w:rsidRPr="00540208">
        <w:rPr>
          <w:i/>
          <w:sz w:val="24"/>
          <w:szCs w:val="24"/>
        </w:rPr>
        <w:t>Pakningsstørrelser</w:t>
      </w:r>
    </w:p>
    <w:p w:rsidR="005B4E3C" w:rsidRDefault="005B4E3C" w:rsidP="005B4E3C">
      <w:pPr>
        <w:ind w:left="851"/>
        <w:rPr>
          <w:sz w:val="24"/>
          <w:szCs w:val="24"/>
        </w:rPr>
      </w:pPr>
      <w:r w:rsidRPr="003262A5">
        <w:rPr>
          <w:sz w:val="24"/>
          <w:szCs w:val="24"/>
        </w:rPr>
        <w:t xml:space="preserve">28, 30, 56 </w:t>
      </w:r>
      <w:r>
        <w:rPr>
          <w:sz w:val="24"/>
          <w:szCs w:val="24"/>
        </w:rPr>
        <w:t>og</w:t>
      </w:r>
      <w:r w:rsidRPr="003262A5">
        <w:rPr>
          <w:sz w:val="24"/>
          <w:szCs w:val="24"/>
        </w:rPr>
        <w:t xml:space="preserve"> 112 filmovertrukne tabletter i blister</w:t>
      </w:r>
      <w:r>
        <w:rPr>
          <w:sz w:val="24"/>
          <w:szCs w:val="24"/>
        </w:rPr>
        <w:t>.</w:t>
      </w:r>
    </w:p>
    <w:p w:rsidR="005B4E3C" w:rsidRPr="003262A5" w:rsidRDefault="005B4E3C" w:rsidP="005B4E3C">
      <w:pPr>
        <w:ind w:left="851"/>
        <w:rPr>
          <w:sz w:val="24"/>
          <w:szCs w:val="24"/>
        </w:rPr>
      </w:pPr>
      <w:r w:rsidRPr="003262A5">
        <w:rPr>
          <w:sz w:val="24"/>
          <w:szCs w:val="24"/>
        </w:rPr>
        <w:t>112</w:t>
      </w:r>
      <w:r>
        <w:rPr>
          <w:sz w:val="24"/>
          <w:szCs w:val="24"/>
        </w:rPr>
        <w:t>×</w:t>
      </w:r>
      <w:r w:rsidRPr="003262A5">
        <w:rPr>
          <w:sz w:val="24"/>
          <w:szCs w:val="24"/>
        </w:rPr>
        <w:t>1 filmovertruk</w:t>
      </w:r>
      <w:r>
        <w:rPr>
          <w:sz w:val="24"/>
          <w:szCs w:val="24"/>
        </w:rPr>
        <w:t>ket tablet</w:t>
      </w:r>
      <w:r w:rsidRPr="003262A5">
        <w:rPr>
          <w:sz w:val="24"/>
          <w:szCs w:val="24"/>
        </w:rPr>
        <w:t xml:space="preserve"> i perforeret enkeltdosisblister.</w:t>
      </w:r>
    </w:p>
    <w:p w:rsidR="005B4E3C" w:rsidRDefault="005B4E3C" w:rsidP="005B4E3C">
      <w:pPr>
        <w:ind w:left="851"/>
        <w:rPr>
          <w:sz w:val="24"/>
          <w:szCs w:val="24"/>
        </w:rPr>
      </w:pPr>
    </w:p>
    <w:p w:rsidR="005B4E3C" w:rsidRPr="00540208" w:rsidRDefault="005B4E3C" w:rsidP="005B4E3C">
      <w:pPr>
        <w:ind w:left="851"/>
        <w:rPr>
          <w:sz w:val="24"/>
          <w:szCs w:val="24"/>
          <w:u w:val="single"/>
        </w:rPr>
      </w:pPr>
      <w:r>
        <w:rPr>
          <w:sz w:val="24"/>
          <w:szCs w:val="24"/>
          <w:u w:val="single"/>
        </w:rPr>
        <w:t>OPA/Al/PVC-Al blister</w:t>
      </w:r>
    </w:p>
    <w:p w:rsidR="005B4E3C" w:rsidRPr="00540208" w:rsidRDefault="005B4E3C" w:rsidP="005B4E3C">
      <w:pPr>
        <w:ind w:left="851"/>
        <w:rPr>
          <w:i/>
          <w:sz w:val="24"/>
          <w:szCs w:val="24"/>
        </w:rPr>
      </w:pPr>
      <w:r w:rsidRPr="00540208">
        <w:rPr>
          <w:i/>
          <w:sz w:val="24"/>
          <w:szCs w:val="24"/>
        </w:rPr>
        <w:t>Pakningsstørrelser</w:t>
      </w:r>
    </w:p>
    <w:p w:rsidR="005B4E3C" w:rsidRDefault="005B4E3C" w:rsidP="005B4E3C">
      <w:pPr>
        <w:ind w:left="851"/>
        <w:rPr>
          <w:sz w:val="24"/>
          <w:szCs w:val="24"/>
        </w:rPr>
      </w:pPr>
      <w:r w:rsidRPr="003262A5">
        <w:rPr>
          <w:sz w:val="24"/>
          <w:szCs w:val="24"/>
        </w:rPr>
        <w:t xml:space="preserve">28, 30, 56 </w:t>
      </w:r>
      <w:r>
        <w:rPr>
          <w:sz w:val="24"/>
          <w:szCs w:val="24"/>
        </w:rPr>
        <w:t>og</w:t>
      </w:r>
      <w:r w:rsidRPr="003262A5">
        <w:rPr>
          <w:sz w:val="24"/>
          <w:szCs w:val="24"/>
        </w:rPr>
        <w:t xml:space="preserve"> 112 filmovertrukne tabletter i blister</w:t>
      </w:r>
      <w:r>
        <w:rPr>
          <w:sz w:val="24"/>
          <w:szCs w:val="24"/>
        </w:rPr>
        <w:t>.</w:t>
      </w:r>
    </w:p>
    <w:p w:rsidR="005B4E3C" w:rsidRPr="003262A5" w:rsidRDefault="005B4E3C" w:rsidP="005B4E3C">
      <w:pPr>
        <w:ind w:left="851"/>
        <w:rPr>
          <w:sz w:val="24"/>
          <w:szCs w:val="24"/>
        </w:rPr>
      </w:pPr>
      <w:r w:rsidRPr="003262A5">
        <w:rPr>
          <w:sz w:val="24"/>
          <w:szCs w:val="24"/>
        </w:rPr>
        <w:t>112</w:t>
      </w:r>
      <w:r>
        <w:rPr>
          <w:sz w:val="24"/>
          <w:szCs w:val="24"/>
        </w:rPr>
        <w:t>×</w:t>
      </w:r>
      <w:r w:rsidRPr="003262A5">
        <w:rPr>
          <w:sz w:val="24"/>
          <w:szCs w:val="24"/>
        </w:rPr>
        <w:t>1 filmovertruk</w:t>
      </w:r>
      <w:r>
        <w:rPr>
          <w:sz w:val="24"/>
          <w:szCs w:val="24"/>
        </w:rPr>
        <w:t>ket tablet</w:t>
      </w:r>
      <w:r w:rsidRPr="003262A5">
        <w:rPr>
          <w:sz w:val="24"/>
          <w:szCs w:val="24"/>
        </w:rPr>
        <w:t xml:space="preserve"> i perforeret enkeltdosisblister.</w:t>
      </w:r>
    </w:p>
    <w:p w:rsidR="005B4E3C" w:rsidRPr="003262A5" w:rsidRDefault="005B4E3C" w:rsidP="005B4E3C">
      <w:pPr>
        <w:ind w:left="851"/>
        <w:rPr>
          <w:sz w:val="24"/>
          <w:szCs w:val="24"/>
        </w:rPr>
      </w:pPr>
    </w:p>
    <w:p w:rsidR="005B4E3C" w:rsidRPr="003262A5" w:rsidRDefault="005B4E3C" w:rsidP="005B4E3C">
      <w:pPr>
        <w:ind w:left="851"/>
        <w:rPr>
          <w:sz w:val="24"/>
          <w:szCs w:val="24"/>
        </w:rPr>
      </w:pPr>
      <w:r w:rsidRPr="003262A5">
        <w:rPr>
          <w:sz w:val="24"/>
          <w:szCs w:val="24"/>
        </w:rPr>
        <w:t>Ikke alle pakningsstørrelser er nødvendigvis markedsført.</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6.6</w:t>
      </w:r>
      <w:r w:rsidRPr="003262A5">
        <w:rPr>
          <w:b/>
          <w:sz w:val="24"/>
          <w:szCs w:val="24"/>
        </w:rPr>
        <w:tab/>
        <w:t xml:space="preserve">Regler for </w:t>
      </w:r>
      <w:r w:rsidR="00215185">
        <w:rPr>
          <w:b/>
          <w:sz w:val="24"/>
          <w:szCs w:val="24"/>
        </w:rPr>
        <w:t>bortskaffelse</w:t>
      </w:r>
      <w:r w:rsidRPr="003262A5">
        <w:rPr>
          <w:b/>
          <w:sz w:val="24"/>
          <w:szCs w:val="24"/>
        </w:rPr>
        <w:t xml:space="preserve"> og anden håndtering</w:t>
      </w:r>
    </w:p>
    <w:p w:rsidR="005B4E3C" w:rsidRDefault="005B4E3C" w:rsidP="005B4E3C">
      <w:pPr>
        <w:ind w:left="851"/>
        <w:rPr>
          <w:sz w:val="24"/>
          <w:szCs w:val="24"/>
        </w:rPr>
      </w:pPr>
      <w:r w:rsidRPr="003262A5">
        <w:rPr>
          <w:sz w:val="24"/>
          <w:szCs w:val="24"/>
        </w:rPr>
        <w:t>Dette lægemiddel kan udgøre en mulig miljørisiko.</w:t>
      </w:r>
    </w:p>
    <w:p w:rsidR="005B4E3C" w:rsidRPr="003262A5" w:rsidRDefault="005B4E3C" w:rsidP="005B4E3C">
      <w:pPr>
        <w:ind w:left="851"/>
        <w:rPr>
          <w:sz w:val="24"/>
          <w:szCs w:val="24"/>
        </w:rPr>
      </w:pPr>
      <w:r w:rsidRPr="003262A5">
        <w:rPr>
          <w:sz w:val="24"/>
          <w:szCs w:val="24"/>
        </w:rPr>
        <w:t>Ikke anvendt lægemiddel samt affald heraf skal bortskaffes i henhold til lokale retningslinjer.</w:t>
      </w:r>
    </w:p>
    <w:p w:rsidR="005B4E3C" w:rsidRDefault="005B4E3C" w:rsidP="005B4E3C">
      <w:pPr>
        <w:tabs>
          <w:tab w:val="left" w:pos="851"/>
        </w:tabs>
        <w:ind w:left="851"/>
        <w:jc w:val="both"/>
        <w:rPr>
          <w:sz w:val="24"/>
          <w:szCs w:val="24"/>
        </w:rPr>
      </w:pPr>
    </w:p>
    <w:p w:rsidR="00215185" w:rsidRDefault="00215185" w:rsidP="005B4E3C">
      <w:pPr>
        <w:tabs>
          <w:tab w:val="left" w:pos="851"/>
        </w:tabs>
        <w:ind w:left="851"/>
        <w:jc w:val="both"/>
        <w:rPr>
          <w:sz w:val="24"/>
          <w:szCs w:val="24"/>
        </w:rPr>
      </w:pPr>
    </w:p>
    <w:p w:rsidR="00215185" w:rsidRDefault="00215185" w:rsidP="005B4E3C">
      <w:pPr>
        <w:tabs>
          <w:tab w:val="left" w:pos="851"/>
        </w:tabs>
        <w:ind w:left="851"/>
        <w:jc w:val="both"/>
        <w:rPr>
          <w:sz w:val="24"/>
          <w:szCs w:val="24"/>
        </w:rPr>
      </w:pPr>
    </w:p>
    <w:p w:rsidR="00215185" w:rsidRDefault="00215185" w:rsidP="005B4E3C">
      <w:pPr>
        <w:tabs>
          <w:tab w:val="left" w:pos="851"/>
        </w:tabs>
        <w:ind w:left="851"/>
        <w:jc w:val="both"/>
        <w:rPr>
          <w:sz w:val="24"/>
          <w:szCs w:val="24"/>
        </w:rPr>
      </w:pPr>
    </w:p>
    <w:p w:rsidR="00215185" w:rsidRPr="003262A5" w:rsidRDefault="00215185" w:rsidP="005B4E3C">
      <w:pPr>
        <w:tabs>
          <w:tab w:val="left" w:pos="851"/>
        </w:tabs>
        <w:ind w:left="851"/>
        <w:jc w:val="both"/>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lastRenderedPageBreak/>
        <w:t>7.</w:t>
      </w:r>
      <w:r w:rsidRPr="003262A5">
        <w:rPr>
          <w:b/>
          <w:sz w:val="24"/>
          <w:szCs w:val="24"/>
        </w:rPr>
        <w:tab/>
        <w:t>INDEHAVER AF MARKEDSFØRINGSTILLADELSEN</w:t>
      </w:r>
    </w:p>
    <w:p w:rsidR="005B4E3C" w:rsidRPr="003262A5" w:rsidRDefault="005B4E3C" w:rsidP="005B4E3C">
      <w:pPr>
        <w:ind w:left="851"/>
        <w:rPr>
          <w:sz w:val="24"/>
          <w:szCs w:val="24"/>
        </w:rPr>
      </w:pPr>
      <w:proofErr w:type="spellStart"/>
      <w:r w:rsidRPr="003262A5">
        <w:rPr>
          <w:sz w:val="24"/>
          <w:szCs w:val="24"/>
        </w:rPr>
        <w:t>Teva</w:t>
      </w:r>
      <w:proofErr w:type="spellEnd"/>
      <w:r w:rsidRPr="003262A5">
        <w:rPr>
          <w:sz w:val="24"/>
          <w:szCs w:val="24"/>
        </w:rPr>
        <w:t xml:space="preserve"> B.V.</w:t>
      </w:r>
      <w:r w:rsidRPr="003262A5">
        <w:rPr>
          <w:sz w:val="24"/>
          <w:szCs w:val="24"/>
        </w:rPr>
        <w:tab/>
      </w:r>
      <w:r w:rsidRPr="003262A5">
        <w:rPr>
          <w:sz w:val="24"/>
          <w:szCs w:val="24"/>
        </w:rPr>
        <w:tab/>
      </w:r>
      <w:r w:rsidRPr="003262A5">
        <w:rPr>
          <w:sz w:val="24"/>
          <w:szCs w:val="24"/>
        </w:rPr>
        <w:tab/>
      </w:r>
      <w:r w:rsidRPr="003262A5">
        <w:rPr>
          <w:sz w:val="24"/>
          <w:szCs w:val="24"/>
        </w:rPr>
        <w:tab/>
      </w:r>
      <w:r w:rsidRPr="003262A5">
        <w:rPr>
          <w:sz w:val="24"/>
          <w:szCs w:val="24"/>
        </w:rPr>
        <w:tab/>
      </w:r>
      <w:r w:rsidRPr="003262A5">
        <w:rPr>
          <w:sz w:val="24"/>
          <w:szCs w:val="24"/>
        </w:rPr>
        <w:tab/>
        <w:t xml:space="preserve">                 </w:t>
      </w:r>
      <w:proofErr w:type="spellStart"/>
      <w:r w:rsidRPr="003262A5">
        <w:rPr>
          <w:sz w:val="24"/>
          <w:szCs w:val="24"/>
        </w:rPr>
        <w:t>Swensweg</w:t>
      </w:r>
      <w:proofErr w:type="spellEnd"/>
      <w:r w:rsidRPr="003262A5">
        <w:rPr>
          <w:sz w:val="24"/>
          <w:szCs w:val="24"/>
        </w:rPr>
        <w:t xml:space="preserve"> 5</w:t>
      </w:r>
    </w:p>
    <w:p w:rsidR="005B4E3C" w:rsidRPr="003262A5" w:rsidRDefault="005B4E3C" w:rsidP="005B4E3C">
      <w:pPr>
        <w:ind w:left="851"/>
        <w:rPr>
          <w:sz w:val="24"/>
          <w:szCs w:val="24"/>
        </w:rPr>
      </w:pPr>
      <w:r w:rsidRPr="003262A5">
        <w:rPr>
          <w:sz w:val="24"/>
          <w:szCs w:val="24"/>
        </w:rPr>
        <w:t xml:space="preserve">2031 GA </w:t>
      </w:r>
      <w:proofErr w:type="spellStart"/>
      <w:r w:rsidRPr="003262A5">
        <w:rPr>
          <w:sz w:val="24"/>
          <w:szCs w:val="24"/>
        </w:rPr>
        <w:t>Haarlem</w:t>
      </w:r>
      <w:proofErr w:type="spellEnd"/>
      <w:r w:rsidRPr="003262A5">
        <w:rPr>
          <w:sz w:val="24"/>
          <w:szCs w:val="24"/>
        </w:rPr>
        <w:tab/>
      </w:r>
      <w:r w:rsidRPr="003262A5">
        <w:rPr>
          <w:sz w:val="24"/>
          <w:szCs w:val="24"/>
        </w:rPr>
        <w:tab/>
      </w:r>
      <w:r w:rsidRPr="003262A5">
        <w:rPr>
          <w:sz w:val="24"/>
          <w:szCs w:val="24"/>
        </w:rPr>
        <w:tab/>
      </w:r>
      <w:r w:rsidRPr="003262A5">
        <w:rPr>
          <w:sz w:val="24"/>
          <w:szCs w:val="24"/>
        </w:rPr>
        <w:tab/>
        <w:t xml:space="preserve">                       Holland</w:t>
      </w:r>
    </w:p>
    <w:p w:rsidR="005B4E3C" w:rsidRPr="003262A5" w:rsidRDefault="005B4E3C" w:rsidP="005B4E3C">
      <w:pPr>
        <w:tabs>
          <w:tab w:val="left" w:pos="851"/>
        </w:tabs>
        <w:ind w:left="851"/>
        <w:rPr>
          <w:sz w:val="24"/>
          <w:szCs w:val="24"/>
        </w:rPr>
      </w:pPr>
    </w:p>
    <w:p w:rsidR="005B4E3C" w:rsidRPr="00B24C29" w:rsidRDefault="005B4E3C" w:rsidP="005B4E3C">
      <w:pPr>
        <w:tabs>
          <w:tab w:val="left" w:pos="851"/>
        </w:tabs>
        <w:ind w:left="851"/>
        <w:rPr>
          <w:b/>
          <w:sz w:val="24"/>
          <w:szCs w:val="24"/>
        </w:rPr>
      </w:pPr>
      <w:r w:rsidRPr="00B24C29">
        <w:rPr>
          <w:b/>
          <w:sz w:val="24"/>
          <w:szCs w:val="24"/>
        </w:rPr>
        <w:t>Repræsentant</w:t>
      </w:r>
    </w:p>
    <w:p w:rsidR="005B4E3C" w:rsidRPr="003262A5" w:rsidRDefault="005B4E3C" w:rsidP="005B4E3C">
      <w:pPr>
        <w:tabs>
          <w:tab w:val="left" w:pos="851"/>
        </w:tabs>
        <w:ind w:left="851"/>
        <w:rPr>
          <w:sz w:val="24"/>
          <w:szCs w:val="24"/>
        </w:rPr>
      </w:pPr>
      <w:proofErr w:type="spellStart"/>
      <w:r w:rsidRPr="003262A5">
        <w:rPr>
          <w:sz w:val="24"/>
          <w:szCs w:val="24"/>
        </w:rPr>
        <w:t>Teva</w:t>
      </w:r>
      <w:proofErr w:type="spellEnd"/>
      <w:r w:rsidRPr="003262A5">
        <w:rPr>
          <w:sz w:val="24"/>
          <w:szCs w:val="24"/>
        </w:rPr>
        <w:t xml:space="preserve"> Denmark A/S</w:t>
      </w:r>
    </w:p>
    <w:p w:rsidR="005B4E3C" w:rsidRPr="003262A5" w:rsidRDefault="005B4E3C" w:rsidP="005B4E3C">
      <w:pPr>
        <w:tabs>
          <w:tab w:val="left" w:pos="851"/>
        </w:tabs>
        <w:ind w:left="851"/>
        <w:rPr>
          <w:sz w:val="24"/>
          <w:szCs w:val="24"/>
        </w:rPr>
      </w:pPr>
      <w:r w:rsidRPr="003262A5">
        <w:rPr>
          <w:sz w:val="24"/>
          <w:szCs w:val="24"/>
        </w:rPr>
        <w:t>Vandtårnsvej 83A</w:t>
      </w:r>
    </w:p>
    <w:p w:rsidR="005B4E3C" w:rsidRPr="003262A5" w:rsidRDefault="005B4E3C" w:rsidP="005B4E3C">
      <w:pPr>
        <w:tabs>
          <w:tab w:val="left" w:pos="851"/>
        </w:tabs>
        <w:ind w:left="851"/>
        <w:rPr>
          <w:sz w:val="24"/>
          <w:szCs w:val="24"/>
        </w:rPr>
      </w:pPr>
      <w:r w:rsidRPr="003262A5">
        <w:rPr>
          <w:sz w:val="24"/>
          <w:szCs w:val="24"/>
        </w:rPr>
        <w:t>2860 Søborg</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8.</w:t>
      </w:r>
      <w:r w:rsidRPr="003262A5">
        <w:rPr>
          <w:b/>
          <w:sz w:val="24"/>
          <w:szCs w:val="24"/>
        </w:rPr>
        <w:tab/>
        <w:t>MARKEDSFØRINGSTILLADELSESNUMMER (</w:t>
      </w:r>
      <w:r w:rsidR="00BF2E84">
        <w:rPr>
          <w:b/>
          <w:sz w:val="24"/>
          <w:szCs w:val="24"/>
        </w:rPr>
        <w:t>-</w:t>
      </w:r>
      <w:r w:rsidRPr="003262A5">
        <w:rPr>
          <w:b/>
          <w:sz w:val="24"/>
          <w:szCs w:val="24"/>
        </w:rPr>
        <w:t>NUMRE)</w:t>
      </w:r>
    </w:p>
    <w:p w:rsidR="005B4E3C" w:rsidRPr="003262A5" w:rsidRDefault="005B4E3C" w:rsidP="005B4E3C">
      <w:pPr>
        <w:tabs>
          <w:tab w:val="left" w:pos="851"/>
        </w:tabs>
        <w:ind w:left="851"/>
        <w:rPr>
          <w:sz w:val="24"/>
          <w:szCs w:val="24"/>
        </w:rPr>
      </w:pPr>
      <w:r>
        <w:rPr>
          <w:sz w:val="24"/>
          <w:szCs w:val="24"/>
        </w:rPr>
        <w:t>60386</w:t>
      </w:r>
    </w:p>
    <w:p w:rsidR="005B4E3C" w:rsidRPr="003262A5" w:rsidRDefault="005B4E3C" w:rsidP="005B4E3C">
      <w:pPr>
        <w:tabs>
          <w:tab w:val="left" w:pos="851"/>
        </w:tabs>
        <w:ind w:left="851"/>
        <w:jc w:val="both"/>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9.</w:t>
      </w:r>
      <w:r w:rsidRPr="003262A5">
        <w:rPr>
          <w:b/>
          <w:sz w:val="24"/>
          <w:szCs w:val="24"/>
        </w:rPr>
        <w:tab/>
        <w:t>DATO FOR FØRSTE MARKEDSFØRINGSTILLADELSE</w:t>
      </w:r>
    </w:p>
    <w:p w:rsidR="005B4E3C" w:rsidRPr="003262A5" w:rsidRDefault="005B4E3C" w:rsidP="005B4E3C">
      <w:pPr>
        <w:tabs>
          <w:tab w:val="left" w:pos="851"/>
        </w:tabs>
        <w:ind w:left="851"/>
        <w:rPr>
          <w:sz w:val="24"/>
          <w:szCs w:val="24"/>
        </w:rPr>
      </w:pPr>
      <w:r>
        <w:rPr>
          <w:sz w:val="24"/>
          <w:szCs w:val="24"/>
        </w:rPr>
        <w:t>10. januar 2019</w:t>
      </w:r>
    </w:p>
    <w:p w:rsidR="005B4E3C" w:rsidRPr="003262A5" w:rsidRDefault="005B4E3C" w:rsidP="005B4E3C">
      <w:pPr>
        <w:tabs>
          <w:tab w:val="left" w:pos="851"/>
        </w:tabs>
        <w:ind w:left="851"/>
        <w:rPr>
          <w:sz w:val="24"/>
          <w:szCs w:val="24"/>
        </w:rPr>
      </w:pPr>
    </w:p>
    <w:p w:rsidR="005B4E3C" w:rsidRPr="003262A5" w:rsidRDefault="005B4E3C" w:rsidP="005B4E3C">
      <w:pPr>
        <w:tabs>
          <w:tab w:val="left" w:pos="851"/>
        </w:tabs>
        <w:ind w:left="851" w:hanging="851"/>
        <w:rPr>
          <w:b/>
          <w:sz w:val="24"/>
          <w:szCs w:val="24"/>
        </w:rPr>
      </w:pPr>
      <w:r w:rsidRPr="003262A5">
        <w:rPr>
          <w:b/>
          <w:sz w:val="24"/>
          <w:szCs w:val="24"/>
        </w:rPr>
        <w:t>10.</w:t>
      </w:r>
      <w:r w:rsidRPr="003262A5">
        <w:rPr>
          <w:b/>
          <w:sz w:val="24"/>
          <w:szCs w:val="24"/>
        </w:rPr>
        <w:tab/>
        <w:t>DATO FOR ÆNDRING AF TEKSTEN</w:t>
      </w:r>
    </w:p>
    <w:p w:rsidR="005B4E3C" w:rsidRPr="003262A5" w:rsidRDefault="00BF2E84" w:rsidP="005B4E3C">
      <w:pPr>
        <w:tabs>
          <w:tab w:val="left" w:pos="851"/>
        </w:tabs>
        <w:ind w:left="851"/>
        <w:rPr>
          <w:sz w:val="24"/>
          <w:szCs w:val="24"/>
        </w:rPr>
      </w:pPr>
      <w:r>
        <w:rPr>
          <w:sz w:val="24"/>
          <w:szCs w:val="24"/>
        </w:rPr>
        <w:t>29. januar 2025</w:t>
      </w:r>
    </w:p>
    <w:p w:rsidR="005B4E3C" w:rsidRPr="00BB5A99" w:rsidRDefault="005B4E3C" w:rsidP="005B4E3C"/>
    <w:p w:rsidR="005B4E3C" w:rsidRPr="006913E3" w:rsidRDefault="005B4E3C" w:rsidP="005B4E3C"/>
    <w:p w:rsidR="009260DE" w:rsidRPr="005B4E3C" w:rsidRDefault="009260DE" w:rsidP="005B4E3C"/>
    <w:sectPr w:rsidR="009260DE" w:rsidRPr="005B4E3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E84" w:rsidRDefault="00BF2E84">
      <w:r>
        <w:separator/>
      </w:r>
    </w:p>
  </w:endnote>
  <w:endnote w:type="continuationSeparator" w:id="0">
    <w:p w:rsidR="00BF2E84" w:rsidRDefault="00BF2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2E84" w:rsidRDefault="00BF2E84">
    <w:pPr>
      <w:pStyle w:val="Sidefod"/>
      <w:pBdr>
        <w:bottom w:val="single" w:sz="6" w:space="1" w:color="auto"/>
      </w:pBdr>
    </w:pPr>
  </w:p>
  <w:p w:rsidR="00BF2E84" w:rsidRDefault="00BF2E84" w:rsidP="00C42586">
    <w:pPr>
      <w:pStyle w:val="Sidefod"/>
      <w:tabs>
        <w:tab w:val="clear" w:pos="4819"/>
        <w:tab w:val="left" w:pos="8505"/>
      </w:tabs>
      <w:rPr>
        <w:i/>
        <w:sz w:val="18"/>
        <w:szCs w:val="18"/>
      </w:rPr>
    </w:pPr>
  </w:p>
  <w:p w:rsidR="00BF2E84" w:rsidRPr="00B373D7" w:rsidRDefault="00BF2E8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Sorafenib Teva, filmovertrukne tabletter 200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E84" w:rsidRDefault="00BF2E84">
      <w:r>
        <w:separator/>
      </w:r>
    </w:p>
  </w:footnote>
  <w:footnote w:type="continuationSeparator" w:id="0">
    <w:p w:rsidR="00BF2E84" w:rsidRDefault="00BF2E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20FD4"/>
    <w:multiLevelType w:val="hybridMultilevel"/>
    <w:tmpl w:val="06BE28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E3C"/>
    <w:rsid w:val="000259B9"/>
    <w:rsid w:val="00041491"/>
    <w:rsid w:val="00050D16"/>
    <w:rsid w:val="00074F2A"/>
    <w:rsid w:val="000A1CA8"/>
    <w:rsid w:val="000A466B"/>
    <w:rsid w:val="000B058C"/>
    <w:rsid w:val="000E4EE6"/>
    <w:rsid w:val="00132C7B"/>
    <w:rsid w:val="001454E2"/>
    <w:rsid w:val="001C499F"/>
    <w:rsid w:val="001F7E75"/>
    <w:rsid w:val="00206CE8"/>
    <w:rsid w:val="00215185"/>
    <w:rsid w:val="0021526C"/>
    <w:rsid w:val="002556C4"/>
    <w:rsid w:val="00283A2B"/>
    <w:rsid w:val="002A12B0"/>
    <w:rsid w:val="002B30AD"/>
    <w:rsid w:val="002C2C01"/>
    <w:rsid w:val="002C51AA"/>
    <w:rsid w:val="002F28A2"/>
    <w:rsid w:val="003A29AE"/>
    <w:rsid w:val="003A32D7"/>
    <w:rsid w:val="003B4074"/>
    <w:rsid w:val="003C769A"/>
    <w:rsid w:val="003F1838"/>
    <w:rsid w:val="0045746C"/>
    <w:rsid w:val="0049104B"/>
    <w:rsid w:val="004E3B12"/>
    <w:rsid w:val="00532310"/>
    <w:rsid w:val="00560ECC"/>
    <w:rsid w:val="00565F0F"/>
    <w:rsid w:val="005768D9"/>
    <w:rsid w:val="00583375"/>
    <w:rsid w:val="00594A86"/>
    <w:rsid w:val="00596D86"/>
    <w:rsid w:val="005B4E3C"/>
    <w:rsid w:val="00637F5A"/>
    <w:rsid w:val="006560B1"/>
    <w:rsid w:val="006756DD"/>
    <w:rsid w:val="006C461B"/>
    <w:rsid w:val="00737275"/>
    <w:rsid w:val="00740EEC"/>
    <w:rsid w:val="0076289E"/>
    <w:rsid w:val="0078011A"/>
    <w:rsid w:val="00782AF4"/>
    <w:rsid w:val="00790EE7"/>
    <w:rsid w:val="007B6649"/>
    <w:rsid w:val="0081546F"/>
    <w:rsid w:val="0082576E"/>
    <w:rsid w:val="008B7104"/>
    <w:rsid w:val="00907F75"/>
    <w:rsid w:val="009260DE"/>
    <w:rsid w:val="0093258A"/>
    <w:rsid w:val="009C7BA3"/>
    <w:rsid w:val="009D1F5A"/>
    <w:rsid w:val="009F7FC7"/>
    <w:rsid w:val="00A0493E"/>
    <w:rsid w:val="00A43F68"/>
    <w:rsid w:val="00A846EB"/>
    <w:rsid w:val="00B003BF"/>
    <w:rsid w:val="00B373D7"/>
    <w:rsid w:val="00BF2E84"/>
    <w:rsid w:val="00C36276"/>
    <w:rsid w:val="00C42586"/>
    <w:rsid w:val="00C60CCD"/>
    <w:rsid w:val="00C84483"/>
    <w:rsid w:val="00C95551"/>
    <w:rsid w:val="00CB20D7"/>
    <w:rsid w:val="00CC45E1"/>
    <w:rsid w:val="00D020B0"/>
    <w:rsid w:val="00D11748"/>
    <w:rsid w:val="00D366CF"/>
    <w:rsid w:val="00E108AA"/>
    <w:rsid w:val="00E31812"/>
    <w:rsid w:val="00E3749A"/>
    <w:rsid w:val="00E7437F"/>
    <w:rsid w:val="00E865B8"/>
    <w:rsid w:val="00EC0B9B"/>
    <w:rsid w:val="00EC454D"/>
    <w:rsid w:val="00ED5E9F"/>
    <w:rsid w:val="00F35A99"/>
    <w:rsid w:val="00F6297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6E252"/>
  <w15:chartTrackingRefBased/>
  <w15:docId w15:val="{EEF486FF-F30C-4F9D-9C26-D163F5BC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B4E3C"/>
    <w:pPr>
      <w:autoSpaceDE w:val="0"/>
      <w:autoSpaceDN w:val="0"/>
      <w:adjustRightInd w:val="0"/>
    </w:pPr>
    <w:rPr>
      <w:rFonts w:eastAsia="Calibri"/>
      <w:color w:val="000000"/>
      <w:sz w:val="24"/>
      <w:szCs w:val="24"/>
      <w:lang w:eastAsia="en-US"/>
    </w:rPr>
  </w:style>
  <w:style w:type="paragraph" w:customStyle="1" w:styleId="EMEAEnBodyText">
    <w:name w:val="EMEA En Body Text"/>
    <w:basedOn w:val="Normal"/>
    <w:rsid w:val="005B4E3C"/>
    <w:pPr>
      <w:spacing w:before="120" w:after="120"/>
      <w:jc w:val="both"/>
    </w:pPr>
    <w:rPr>
      <w:sz w:val="22"/>
      <w:lang w:val="en-US"/>
    </w:rPr>
  </w:style>
  <w:style w:type="paragraph" w:customStyle="1" w:styleId="TableParagraph">
    <w:name w:val="Table Paragraph"/>
    <w:basedOn w:val="Normal"/>
    <w:uiPriority w:val="1"/>
    <w:qFormat/>
    <w:rsid w:val="00215185"/>
    <w:pPr>
      <w:widowControl w:val="0"/>
      <w:autoSpaceDE w:val="0"/>
      <w:autoSpaceDN w:val="0"/>
      <w:ind w:left="-1"/>
    </w:pPr>
    <w:rPr>
      <w:sz w:val="22"/>
      <w:szCs w:val="22"/>
      <w:lang w:val="en-US" w:bidi="en-US"/>
    </w:rPr>
  </w:style>
  <w:style w:type="character" w:styleId="Hyperlink">
    <w:name w:val="Hyperlink"/>
    <w:basedOn w:val="Standardskrifttypeiafsnit"/>
    <w:uiPriority w:val="99"/>
    <w:unhideWhenUsed/>
    <w:rsid w:val="00215185"/>
    <w:rPr>
      <w:color w:val="0563C1" w:themeColor="hyperlink"/>
      <w:u w:val="single"/>
    </w:rPr>
  </w:style>
  <w:style w:type="character" w:styleId="Ulstomtale">
    <w:name w:val="Unresolved Mention"/>
    <w:basedOn w:val="Standardskrifttypeiafsnit"/>
    <w:uiPriority w:val="99"/>
    <w:semiHidden/>
    <w:unhideWhenUsed/>
    <w:rsid w:val="002151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491216413">
      <w:bodyDiv w:val="1"/>
      <w:marLeft w:val="0"/>
      <w:marRight w:val="0"/>
      <w:marTop w:val="0"/>
      <w:marBottom w:val="0"/>
      <w:divBdr>
        <w:top w:val="none" w:sz="0" w:space="0" w:color="auto"/>
        <w:left w:val="none" w:sz="0" w:space="0" w:color="auto"/>
        <w:bottom w:val="none" w:sz="0" w:space="0" w:color="auto"/>
        <w:right w:val="none" w:sz="0" w:space="0" w:color="auto"/>
      </w:divBdr>
    </w:div>
    <w:div w:id="1577474483">
      <w:bodyDiv w:val="1"/>
      <w:marLeft w:val="0"/>
      <w:marRight w:val="0"/>
      <w:marTop w:val="0"/>
      <w:marBottom w:val="0"/>
      <w:divBdr>
        <w:top w:val="none" w:sz="0" w:space="0" w:color="auto"/>
        <w:left w:val="none" w:sz="0" w:space="0" w:color="auto"/>
        <w:bottom w:val="none" w:sz="0" w:space="0" w:color="auto"/>
        <w:right w:val="none" w:sz="0" w:space="0" w:color="auto"/>
      </w:divBdr>
    </w:div>
    <w:div w:id="174063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20</Pages>
  <Words>6635</Words>
  <Characters>42466</Characters>
  <Application>Microsoft Office Word</Application>
  <DocSecurity>0</DocSecurity>
  <Lines>353</Lines>
  <Paragraphs>98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2024054212_x000d_
SPC opdat. pkt. 2., 4.1, 4.2, 4.4, 4.5, 4.8, 5.1, 5.3 + QRD tekster</dc:description>
  <cp:lastModifiedBy>Marianne Ott Jensen</cp:lastModifiedBy>
  <cp:revision>3</cp:revision>
  <cp:lastPrinted>2012-08-22T08:53:00Z</cp:lastPrinted>
  <dcterms:created xsi:type="dcterms:W3CDTF">2025-01-27T10:16:00Z</dcterms:created>
  <dcterms:modified xsi:type="dcterms:W3CDTF">2025-01-27T10:31:00Z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