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6A0" w:rsidRDefault="00E926A0" w:rsidP="00E926A0">
      <w:pPr>
        <w:rPr>
          <w:sz w:val="24"/>
          <w:szCs w:val="24"/>
        </w:rPr>
      </w:pPr>
      <w:r>
        <w:rPr>
          <w:noProof/>
          <w:sz w:val="24"/>
          <w:szCs w:val="24"/>
          <w:lang w:eastAsia="da-DK"/>
        </w:rPr>
        <w:drawing>
          <wp:inline distT="0" distB="0" distL="0" distR="0" wp14:anchorId="2BA26582" wp14:editId="101D0698">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E926A0" w:rsidRDefault="00E926A0" w:rsidP="00E926A0">
      <w:pPr>
        <w:rPr>
          <w:sz w:val="24"/>
          <w:szCs w:val="24"/>
        </w:rPr>
      </w:pPr>
    </w:p>
    <w:p w:rsidR="00E926A0" w:rsidRPr="00BC0FAF" w:rsidRDefault="00E926A0" w:rsidP="00E926A0">
      <w:pPr>
        <w:pStyle w:val="Titel"/>
        <w:tabs>
          <w:tab w:val="right" w:pos="9356"/>
        </w:tabs>
        <w:jc w:val="left"/>
        <w:rPr>
          <w:szCs w:val="24"/>
        </w:rPr>
      </w:pPr>
      <w:r w:rsidRPr="008C5CD5">
        <w:rPr>
          <w:b w:val="0"/>
          <w:szCs w:val="24"/>
          <w:lang w:eastAsia="en-US"/>
        </w:rPr>
        <w:tab/>
      </w:r>
      <w:r w:rsidR="00324E94">
        <w:rPr>
          <w:szCs w:val="24"/>
          <w:lang w:eastAsia="en-US"/>
        </w:rPr>
        <w:t>7</w:t>
      </w:r>
      <w:r w:rsidR="00223179">
        <w:rPr>
          <w:szCs w:val="24"/>
          <w:lang w:eastAsia="en-US"/>
        </w:rPr>
        <w:t xml:space="preserve">. </w:t>
      </w:r>
      <w:proofErr w:type="spellStart"/>
      <w:r w:rsidR="00223179">
        <w:rPr>
          <w:szCs w:val="24"/>
          <w:lang w:eastAsia="en-US"/>
        </w:rPr>
        <w:t>j</w:t>
      </w:r>
      <w:r w:rsidR="00324E94">
        <w:rPr>
          <w:szCs w:val="24"/>
          <w:lang w:eastAsia="en-US"/>
        </w:rPr>
        <w:t>anuary</w:t>
      </w:r>
      <w:proofErr w:type="spellEnd"/>
      <w:r w:rsidR="00223179">
        <w:rPr>
          <w:szCs w:val="24"/>
          <w:lang w:eastAsia="en-US"/>
        </w:rPr>
        <w:t xml:space="preserve"> 202</w:t>
      </w:r>
      <w:r w:rsidR="00324E94">
        <w:rPr>
          <w:szCs w:val="24"/>
          <w:lang w:eastAsia="en-US"/>
        </w:rPr>
        <w:t>5</w:t>
      </w:r>
    </w:p>
    <w:p w:rsidR="00E926A0" w:rsidRPr="008C5CD5" w:rsidRDefault="00E926A0" w:rsidP="00E926A0">
      <w:pPr>
        <w:pStyle w:val="Titel"/>
        <w:tabs>
          <w:tab w:val="left" w:pos="8222"/>
        </w:tabs>
        <w:jc w:val="left"/>
        <w:rPr>
          <w:b w:val="0"/>
          <w:szCs w:val="24"/>
        </w:rPr>
      </w:pPr>
    </w:p>
    <w:p w:rsidR="00E926A0" w:rsidRPr="008C5CD5" w:rsidRDefault="00E926A0" w:rsidP="00E926A0">
      <w:pPr>
        <w:pStyle w:val="Titel"/>
        <w:jc w:val="left"/>
        <w:rPr>
          <w:b w:val="0"/>
          <w:szCs w:val="24"/>
        </w:rPr>
      </w:pPr>
    </w:p>
    <w:p w:rsidR="00E926A0" w:rsidRPr="008C5CD5" w:rsidRDefault="00E926A0" w:rsidP="00E926A0">
      <w:pPr>
        <w:pStyle w:val="Titel"/>
        <w:jc w:val="left"/>
        <w:rPr>
          <w:b w:val="0"/>
          <w:szCs w:val="24"/>
        </w:rPr>
      </w:pPr>
    </w:p>
    <w:p w:rsidR="00E926A0" w:rsidRPr="008C5CD5" w:rsidRDefault="00E926A0" w:rsidP="00E926A0">
      <w:pPr>
        <w:jc w:val="center"/>
        <w:rPr>
          <w:b/>
          <w:sz w:val="24"/>
          <w:szCs w:val="24"/>
        </w:rPr>
      </w:pPr>
      <w:r w:rsidRPr="008C5CD5">
        <w:rPr>
          <w:b/>
          <w:sz w:val="24"/>
          <w:szCs w:val="24"/>
        </w:rPr>
        <w:t>PRODUKTRESUMÉ</w:t>
      </w:r>
    </w:p>
    <w:p w:rsidR="00E926A0" w:rsidRPr="008C5CD5" w:rsidRDefault="00E926A0" w:rsidP="00E926A0">
      <w:pPr>
        <w:jc w:val="center"/>
        <w:rPr>
          <w:b/>
          <w:sz w:val="24"/>
          <w:szCs w:val="24"/>
        </w:rPr>
      </w:pPr>
    </w:p>
    <w:p w:rsidR="00E926A0" w:rsidRPr="008C5CD5" w:rsidRDefault="00E926A0" w:rsidP="00E926A0">
      <w:pPr>
        <w:jc w:val="center"/>
        <w:rPr>
          <w:b/>
          <w:sz w:val="24"/>
          <w:szCs w:val="24"/>
        </w:rPr>
      </w:pPr>
      <w:r w:rsidRPr="008C5CD5">
        <w:rPr>
          <w:b/>
          <w:sz w:val="24"/>
          <w:szCs w:val="24"/>
        </w:rPr>
        <w:t>for</w:t>
      </w:r>
    </w:p>
    <w:p w:rsidR="00E926A0" w:rsidRPr="008C5CD5" w:rsidRDefault="00E926A0" w:rsidP="00E926A0">
      <w:pPr>
        <w:jc w:val="center"/>
        <w:rPr>
          <w:b/>
          <w:sz w:val="24"/>
          <w:szCs w:val="24"/>
        </w:rPr>
      </w:pPr>
    </w:p>
    <w:p w:rsidR="00E926A0" w:rsidRPr="008C5CD5" w:rsidRDefault="00E926A0" w:rsidP="00E926A0">
      <w:pPr>
        <w:jc w:val="center"/>
        <w:rPr>
          <w:b/>
          <w:sz w:val="24"/>
          <w:szCs w:val="24"/>
        </w:rPr>
      </w:pPr>
      <w:proofErr w:type="spellStart"/>
      <w:r>
        <w:rPr>
          <w:b/>
          <w:sz w:val="24"/>
          <w:szCs w:val="24"/>
        </w:rPr>
        <w:t>Spiron</w:t>
      </w:r>
      <w:proofErr w:type="spellEnd"/>
      <w:r w:rsidRPr="008C5CD5">
        <w:rPr>
          <w:b/>
          <w:sz w:val="24"/>
          <w:szCs w:val="24"/>
        </w:rPr>
        <w:t>, tabletter</w:t>
      </w:r>
    </w:p>
    <w:p w:rsidR="00E926A0" w:rsidRPr="008C5CD5" w:rsidRDefault="00E926A0" w:rsidP="00E926A0">
      <w:pPr>
        <w:jc w:val="both"/>
        <w:rPr>
          <w:sz w:val="24"/>
          <w:szCs w:val="24"/>
        </w:rPr>
      </w:pPr>
    </w:p>
    <w:p w:rsidR="00E926A0" w:rsidRPr="008C5CD5" w:rsidRDefault="00E926A0" w:rsidP="00E926A0">
      <w:pPr>
        <w:ind w:left="851" w:hanging="851"/>
        <w:jc w:val="both"/>
        <w:rPr>
          <w:sz w:val="24"/>
          <w:szCs w:val="24"/>
        </w:rPr>
      </w:pPr>
    </w:p>
    <w:p w:rsidR="00E926A0" w:rsidRPr="008C5CD5" w:rsidRDefault="00E926A0" w:rsidP="00E926A0">
      <w:pPr>
        <w:numPr>
          <w:ilvl w:val="0"/>
          <w:numId w:val="1"/>
        </w:numPr>
        <w:tabs>
          <w:tab w:val="clear" w:pos="855"/>
        </w:tabs>
        <w:ind w:left="851" w:hanging="851"/>
        <w:rPr>
          <w:b/>
          <w:sz w:val="24"/>
          <w:szCs w:val="24"/>
        </w:rPr>
      </w:pPr>
      <w:r w:rsidRPr="008C5CD5">
        <w:rPr>
          <w:b/>
          <w:sz w:val="24"/>
          <w:szCs w:val="24"/>
        </w:rPr>
        <w:t>D.SP.NR.</w:t>
      </w:r>
    </w:p>
    <w:p w:rsidR="00E926A0" w:rsidRPr="008C5CD5" w:rsidRDefault="00E926A0" w:rsidP="00E926A0">
      <w:pPr>
        <w:ind w:left="851" w:hanging="851"/>
        <w:rPr>
          <w:sz w:val="24"/>
          <w:szCs w:val="24"/>
        </w:rPr>
      </w:pPr>
      <w:r w:rsidRPr="008C5CD5">
        <w:rPr>
          <w:sz w:val="24"/>
          <w:szCs w:val="24"/>
        </w:rPr>
        <w:tab/>
        <w:t>27959</w:t>
      </w:r>
    </w:p>
    <w:p w:rsidR="00E926A0" w:rsidRPr="008C5CD5" w:rsidRDefault="00E926A0" w:rsidP="00E926A0">
      <w:pPr>
        <w:ind w:left="851" w:hanging="851"/>
        <w:rPr>
          <w:sz w:val="24"/>
          <w:szCs w:val="24"/>
        </w:rPr>
      </w:pPr>
    </w:p>
    <w:p w:rsidR="00E926A0" w:rsidRPr="008C5CD5" w:rsidRDefault="00E926A0" w:rsidP="00E926A0">
      <w:pPr>
        <w:numPr>
          <w:ilvl w:val="0"/>
          <w:numId w:val="1"/>
        </w:numPr>
        <w:tabs>
          <w:tab w:val="clear" w:pos="855"/>
        </w:tabs>
        <w:ind w:left="851" w:hanging="851"/>
        <w:rPr>
          <w:b/>
          <w:sz w:val="24"/>
          <w:szCs w:val="24"/>
        </w:rPr>
      </w:pPr>
      <w:r w:rsidRPr="008C5CD5">
        <w:rPr>
          <w:b/>
          <w:sz w:val="24"/>
          <w:szCs w:val="24"/>
        </w:rPr>
        <w:t>LÆGEMIDLETS NAVN</w:t>
      </w:r>
    </w:p>
    <w:p w:rsidR="00E926A0" w:rsidRPr="008C5CD5" w:rsidRDefault="00E926A0" w:rsidP="00E926A0">
      <w:pPr>
        <w:ind w:left="851" w:hanging="851"/>
        <w:rPr>
          <w:sz w:val="24"/>
          <w:szCs w:val="24"/>
        </w:rPr>
      </w:pPr>
      <w:r w:rsidRPr="008C5CD5">
        <w:rPr>
          <w:sz w:val="24"/>
          <w:szCs w:val="24"/>
        </w:rPr>
        <w:tab/>
      </w:r>
      <w:proofErr w:type="spellStart"/>
      <w:r>
        <w:rPr>
          <w:sz w:val="24"/>
          <w:szCs w:val="24"/>
        </w:rPr>
        <w:t>Spiron</w:t>
      </w:r>
      <w:proofErr w:type="spellEnd"/>
    </w:p>
    <w:p w:rsidR="00E926A0" w:rsidRPr="008C5CD5" w:rsidRDefault="00E926A0" w:rsidP="00E926A0">
      <w:pPr>
        <w:ind w:left="851" w:hanging="851"/>
        <w:rPr>
          <w:sz w:val="24"/>
          <w:szCs w:val="24"/>
        </w:rPr>
      </w:pPr>
      <w:r w:rsidRPr="008C5CD5">
        <w:rPr>
          <w:sz w:val="24"/>
          <w:szCs w:val="24"/>
        </w:rPr>
        <w:tab/>
      </w:r>
    </w:p>
    <w:p w:rsidR="00E926A0" w:rsidRPr="008C5CD5" w:rsidRDefault="00E926A0" w:rsidP="00E926A0">
      <w:pPr>
        <w:numPr>
          <w:ilvl w:val="0"/>
          <w:numId w:val="1"/>
        </w:numPr>
        <w:tabs>
          <w:tab w:val="clear" w:pos="855"/>
        </w:tabs>
        <w:ind w:left="851" w:hanging="851"/>
        <w:rPr>
          <w:b/>
          <w:sz w:val="24"/>
          <w:szCs w:val="24"/>
        </w:rPr>
      </w:pPr>
      <w:r w:rsidRPr="008C5CD5">
        <w:rPr>
          <w:b/>
          <w:sz w:val="24"/>
          <w:szCs w:val="24"/>
        </w:rPr>
        <w:t>KVALITATIV OG KVANTITATIV SAMMENSÆTNING</w:t>
      </w:r>
    </w:p>
    <w:p w:rsidR="00324E94" w:rsidRPr="00324E94" w:rsidRDefault="00324E94" w:rsidP="00324E94">
      <w:pPr>
        <w:pStyle w:val="Listeafsnit"/>
        <w:ind w:left="855"/>
        <w:rPr>
          <w:sz w:val="24"/>
          <w:szCs w:val="24"/>
          <w:lang w:val="da-DK"/>
        </w:rPr>
      </w:pPr>
      <w:r w:rsidRPr="00324E94">
        <w:rPr>
          <w:sz w:val="24"/>
          <w:szCs w:val="24"/>
          <w:lang w:val="da-DK"/>
        </w:rPr>
        <w:t xml:space="preserve">Hver tablet indeholder henholdsvis 25 mg, 50 mg og 100 mg </w:t>
      </w:r>
      <w:proofErr w:type="spellStart"/>
      <w:r w:rsidRPr="00324E94">
        <w:rPr>
          <w:sz w:val="24"/>
          <w:szCs w:val="24"/>
          <w:lang w:val="da-DK"/>
        </w:rPr>
        <w:t>spironolacton</w:t>
      </w:r>
      <w:proofErr w:type="spellEnd"/>
      <w:r w:rsidRPr="00324E94">
        <w:rPr>
          <w:sz w:val="24"/>
          <w:szCs w:val="24"/>
          <w:lang w:val="da-DK"/>
        </w:rPr>
        <w:t>.</w:t>
      </w:r>
    </w:p>
    <w:p w:rsidR="00324E94" w:rsidRPr="00324E94" w:rsidRDefault="00324E94" w:rsidP="00324E94">
      <w:pPr>
        <w:pStyle w:val="Listeafsnit"/>
        <w:ind w:left="855"/>
        <w:rPr>
          <w:sz w:val="24"/>
          <w:szCs w:val="24"/>
          <w:lang w:val="da-DK"/>
        </w:rPr>
      </w:pPr>
    </w:p>
    <w:p w:rsidR="00324E94" w:rsidRPr="00324E94" w:rsidRDefault="00324E94" w:rsidP="00324E94">
      <w:pPr>
        <w:pStyle w:val="Listeafsnit"/>
        <w:ind w:left="855"/>
        <w:rPr>
          <w:sz w:val="24"/>
          <w:szCs w:val="24"/>
          <w:lang w:val="da-DK"/>
        </w:rPr>
      </w:pPr>
      <w:r w:rsidRPr="00324E94">
        <w:rPr>
          <w:sz w:val="24"/>
          <w:szCs w:val="24"/>
          <w:lang w:val="da-DK"/>
        </w:rPr>
        <w:t xml:space="preserve">Hjælpestof, som behandleren skal være opmærksom på: </w:t>
      </w:r>
    </w:p>
    <w:p w:rsidR="00324E94" w:rsidRPr="00324E94" w:rsidRDefault="00324E94" w:rsidP="00324E94">
      <w:pPr>
        <w:pStyle w:val="Listeafsnit"/>
        <w:ind w:left="855"/>
        <w:rPr>
          <w:sz w:val="24"/>
          <w:szCs w:val="24"/>
          <w:lang w:val="da-DK"/>
        </w:rPr>
      </w:pPr>
      <w:r w:rsidRPr="00324E94">
        <w:rPr>
          <w:sz w:val="24"/>
          <w:szCs w:val="24"/>
          <w:lang w:val="da-DK"/>
        </w:rPr>
        <w:t xml:space="preserve">Hver tablet indeholder </w:t>
      </w:r>
      <w:proofErr w:type="spellStart"/>
      <w:r w:rsidRPr="00324E94">
        <w:rPr>
          <w:sz w:val="24"/>
          <w:szCs w:val="24"/>
          <w:lang w:val="da-DK"/>
        </w:rPr>
        <w:t>lactosemonohydrat</w:t>
      </w:r>
      <w:proofErr w:type="spellEnd"/>
      <w:r w:rsidRPr="00324E94">
        <w:rPr>
          <w:sz w:val="24"/>
          <w:szCs w:val="24"/>
          <w:lang w:val="da-DK"/>
        </w:rPr>
        <w:t xml:space="preserve"> svarende til 57 mg </w:t>
      </w:r>
      <w:proofErr w:type="spellStart"/>
      <w:r w:rsidRPr="00324E94">
        <w:rPr>
          <w:sz w:val="24"/>
          <w:szCs w:val="24"/>
          <w:lang w:val="da-DK"/>
        </w:rPr>
        <w:t>lactose</w:t>
      </w:r>
      <w:proofErr w:type="spellEnd"/>
      <w:r w:rsidRPr="00324E94">
        <w:rPr>
          <w:sz w:val="24"/>
          <w:szCs w:val="24"/>
          <w:lang w:val="da-DK"/>
        </w:rPr>
        <w:t xml:space="preserve"> (25 mg tablet), 114 mg </w:t>
      </w:r>
      <w:proofErr w:type="spellStart"/>
      <w:r w:rsidRPr="00324E94">
        <w:rPr>
          <w:sz w:val="24"/>
          <w:szCs w:val="24"/>
          <w:lang w:val="da-DK"/>
        </w:rPr>
        <w:t>lactose</w:t>
      </w:r>
      <w:proofErr w:type="spellEnd"/>
      <w:r w:rsidRPr="00324E94">
        <w:rPr>
          <w:sz w:val="24"/>
          <w:szCs w:val="24"/>
          <w:lang w:val="da-DK"/>
        </w:rPr>
        <w:t xml:space="preserve"> (50 mg tablet) eller 228 mg </w:t>
      </w:r>
      <w:proofErr w:type="spellStart"/>
      <w:r w:rsidRPr="00324E94">
        <w:rPr>
          <w:sz w:val="24"/>
          <w:szCs w:val="24"/>
          <w:lang w:val="da-DK"/>
        </w:rPr>
        <w:t>lactose</w:t>
      </w:r>
      <w:proofErr w:type="spellEnd"/>
      <w:r w:rsidRPr="00324E94">
        <w:rPr>
          <w:sz w:val="24"/>
          <w:szCs w:val="24"/>
          <w:lang w:val="da-DK"/>
        </w:rPr>
        <w:t xml:space="preserve"> (100 mg tablet).</w:t>
      </w:r>
    </w:p>
    <w:p w:rsidR="00324E94" w:rsidRPr="00324E94" w:rsidRDefault="00324E94" w:rsidP="00324E94">
      <w:pPr>
        <w:pStyle w:val="Listeafsnit"/>
        <w:ind w:left="855"/>
        <w:rPr>
          <w:sz w:val="24"/>
          <w:szCs w:val="24"/>
          <w:lang w:val="da-DK"/>
        </w:rPr>
      </w:pPr>
    </w:p>
    <w:p w:rsidR="00324E94" w:rsidRPr="00324E94" w:rsidRDefault="00324E94" w:rsidP="00324E94">
      <w:pPr>
        <w:pStyle w:val="Listeafsnit"/>
        <w:ind w:left="855"/>
        <w:rPr>
          <w:sz w:val="24"/>
          <w:szCs w:val="24"/>
          <w:lang w:val="da-DK"/>
        </w:rPr>
      </w:pPr>
      <w:r w:rsidRPr="00324E94">
        <w:rPr>
          <w:sz w:val="24"/>
          <w:szCs w:val="24"/>
          <w:lang w:val="da-DK"/>
        </w:rPr>
        <w:t>Alle hjælpestoffer er anført under pkt. 6.1.</w:t>
      </w:r>
    </w:p>
    <w:p w:rsidR="00E926A0" w:rsidRPr="008C5CD5" w:rsidRDefault="00E926A0" w:rsidP="00E926A0">
      <w:pPr>
        <w:ind w:left="851" w:hanging="851"/>
        <w:rPr>
          <w:sz w:val="24"/>
          <w:szCs w:val="24"/>
        </w:rPr>
      </w:pPr>
    </w:p>
    <w:p w:rsidR="00E926A0" w:rsidRPr="008C5CD5" w:rsidRDefault="00E926A0" w:rsidP="00E926A0">
      <w:pPr>
        <w:numPr>
          <w:ilvl w:val="0"/>
          <w:numId w:val="1"/>
        </w:numPr>
        <w:tabs>
          <w:tab w:val="clear" w:pos="855"/>
        </w:tabs>
        <w:ind w:left="851" w:hanging="851"/>
        <w:rPr>
          <w:b/>
          <w:sz w:val="24"/>
          <w:szCs w:val="24"/>
        </w:rPr>
      </w:pPr>
      <w:r w:rsidRPr="008C5CD5">
        <w:rPr>
          <w:b/>
          <w:sz w:val="24"/>
          <w:szCs w:val="24"/>
        </w:rPr>
        <w:t>LÆGEMIDDELFORM</w:t>
      </w:r>
    </w:p>
    <w:p w:rsidR="00E926A0" w:rsidRPr="008C5CD5" w:rsidRDefault="00E926A0" w:rsidP="00E926A0">
      <w:pPr>
        <w:pStyle w:val="Sidehoved"/>
        <w:tabs>
          <w:tab w:val="clear" w:pos="4819"/>
          <w:tab w:val="clear" w:pos="9638"/>
        </w:tabs>
        <w:suppressAutoHyphens/>
        <w:ind w:left="851" w:hanging="851"/>
        <w:rPr>
          <w:szCs w:val="24"/>
        </w:rPr>
      </w:pPr>
      <w:r w:rsidRPr="008C5CD5">
        <w:rPr>
          <w:szCs w:val="24"/>
        </w:rPr>
        <w:tab/>
      </w:r>
      <w:r w:rsidRPr="008C5CD5">
        <w:rPr>
          <w:spacing w:val="-3"/>
          <w:szCs w:val="24"/>
        </w:rPr>
        <w:t>Tablet.</w:t>
      </w:r>
    </w:p>
    <w:p w:rsidR="00E926A0" w:rsidRPr="008C5CD5" w:rsidRDefault="00E926A0" w:rsidP="00E926A0">
      <w:pPr>
        <w:suppressAutoHyphens/>
        <w:ind w:left="851" w:hanging="851"/>
        <w:rPr>
          <w:sz w:val="24"/>
          <w:szCs w:val="24"/>
        </w:rPr>
      </w:pPr>
    </w:p>
    <w:p w:rsidR="00E926A0" w:rsidRPr="008C5CD5" w:rsidRDefault="00E926A0" w:rsidP="00E926A0">
      <w:pPr>
        <w:ind w:left="851"/>
        <w:rPr>
          <w:sz w:val="24"/>
          <w:szCs w:val="24"/>
        </w:rPr>
      </w:pPr>
      <w:r w:rsidRPr="008C5CD5">
        <w:rPr>
          <w:sz w:val="24"/>
          <w:szCs w:val="24"/>
        </w:rPr>
        <w:t>25 mg tablet: hvid eller råhvid, rund, flad tablet med skrå kanter og delekærv, Ø 7 mm, præget ORN85.</w:t>
      </w:r>
    </w:p>
    <w:p w:rsidR="00E926A0" w:rsidRPr="008C5CD5" w:rsidRDefault="00E926A0" w:rsidP="00E926A0">
      <w:pPr>
        <w:ind w:left="851"/>
        <w:rPr>
          <w:sz w:val="24"/>
          <w:szCs w:val="24"/>
        </w:rPr>
      </w:pPr>
      <w:r w:rsidRPr="008C5CD5">
        <w:rPr>
          <w:sz w:val="24"/>
          <w:szCs w:val="24"/>
        </w:rPr>
        <w:t>50 mg tablet: hvid eller råhvid, rund, flad tablet med skrå kanter og delekærv, Ø 9 mm, præget ORN213.</w:t>
      </w:r>
    </w:p>
    <w:p w:rsidR="00E926A0" w:rsidRPr="008C5CD5" w:rsidRDefault="00E926A0" w:rsidP="00E926A0">
      <w:pPr>
        <w:ind w:left="851"/>
        <w:rPr>
          <w:sz w:val="24"/>
          <w:szCs w:val="24"/>
        </w:rPr>
      </w:pPr>
      <w:r w:rsidRPr="008C5CD5">
        <w:rPr>
          <w:sz w:val="24"/>
          <w:szCs w:val="24"/>
        </w:rPr>
        <w:t>100 mg tablet: hvid eller råhvid, rund, let hvælvet tablet med skrå kanter og delekærv, Ø 11 mm, præget ORN352.</w:t>
      </w:r>
    </w:p>
    <w:p w:rsidR="00E926A0" w:rsidRPr="008C5CD5" w:rsidRDefault="00E926A0" w:rsidP="00E926A0">
      <w:pPr>
        <w:suppressAutoHyphens/>
        <w:ind w:left="851" w:hanging="851"/>
        <w:rPr>
          <w:sz w:val="24"/>
          <w:szCs w:val="24"/>
        </w:rPr>
      </w:pPr>
    </w:p>
    <w:p w:rsidR="00E926A0" w:rsidRPr="008C5CD5" w:rsidRDefault="00E926A0" w:rsidP="00B66F68">
      <w:pPr>
        <w:suppressAutoHyphens/>
        <w:ind w:left="851"/>
        <w:rPr>
          <w:sz w:val="24"/>
          <w:szCs w:val="24"/>
        </w:rPr>
      </w:pPr>
      <w:r w:rsidRPr="008C5CD5">
        <w:rPr>
          <w:sz w:val="24"/>
          <w:szCs w:val="24"/>
        </w:rPr>
        <w:t>Tabletten kan deles i to lige store doser.</w:t>
      </w:r>
    </w:p>
    <w:p w:rsidR="00E926A0" w:rsidRDefault="00E926A0" w:rsidP="00E926A0">
      <w:pPr>
        <w:ind w:left="851" w:hanging="851"/>
        <w:rPr>
          <w:sz w:val="24"/>
          <w:szCs w:val="24"/>
        </w:rPr>
      </w:pPr>
    </w:p>
    <w:p w:rsidR="00A97E79" w:rsidRPr="008C5CD5" w:rsidRDefault="00A97E79" w:rsidP="00E926A0">
      <w:pPr>
        <w:ind w:left="851" w:hanging="851"/>
        <w:rPr>
          <w:sz w:val="24"/>
          <w:szCs w:val="24"/>
        </w:rPr>
      </w:pPr>
    </w:p>
    <w:p w:rsidR="00E926A0" w:rsidRPr="008C5CD5" w:rsidRDefault="00E926A0" w:rsidP="00E926A0">
      <w:pPr>
        <w:numPr>
          <w:ilvl w:val="0"/>
          <w:numId w:val="1"/>
        </w:numPr>
        <w:tabs>
          <w:tab w:val="clear" w:pos="855"/>
        </w:tabs>
        <w:ind w:left="851" w:hanging="851"/>
        <w:rPr>
          <w:b/>
          <w:sz w:val="24"/>
          <w:szCs w:val="24"/>
        </w:rPr>
      </w:pPr>
      <w:r w:rsidRPr="008C5CD5">
        <w:rPr>
          <w:b/>
          <w:sz w:val="24"/>
          <w:szCs w:val="24"/>
        </w:rPr>
        <w:t>KLINISKE OPLYSNINGER</w:t>
      </w:r>
    </w:p>
    <w:p w:rsidR="00E926A0" w:rsidRPr="008C5CD5" w:rsidRDefault="00E926A0" w:rsidP="00E926A0">
      <w:pPr>
        <w:ind w:left="851" w:hanging="851"/>
        <w:rPr>
          <w:b/>
          <w:sz w:val="24"/>
          <w:szCs w:val="24"/>
        </w:rPr>
      </w:pPr>
    </w:p>
    <w:p w:rsidR="000B5D94" w:rsidRPr="000B5D94" w:rsidRDefault="00E926A0" w:rsidP="000B5D94">
      <w:pPr>
        <w:numPr>
          <w:ilvl w:val="1"/>
          <w:numId w:val="1"/>
        </w:numPr>
        <w:tabs>
          <w:tab w:val="clear" w:pos="855"/>
        </w:tabs>
        <w:ind w:left="851" w:hanging="851"/>
        <w:rPr>
          <w:b/>
          <w:sz w:val="24"/>
          <w:szCs w:val="24"/>
          <w:u w:val="single"/>
        </w:rPr>
      </w:pPr>
      <w:r w:rsidRPr="008C5CD5">
        <w:rPr>
          <w:b/>
          <w:sz w:val="24"/>
          <w:szCs w:val="24"/>
        </w:rPr>
        <w:t>Terapeutiske indikationer</w:t>
      </w:r>
    </w:p>
    <w:p w:rsidR="000B5D94" w:rsidRDefault="000B5D94" w:rsidP="000B5D94">
      <w:pPr>
        <w:pStyle w:val="Listeafsnit"/>
        <w:numPr>
          <w:ilvl w:val="0"/>
          <w:numId w:val="12"/>
        </w:numPr>
        <w:tabs>
          <w:tab w:val="clear" w:pos="567"/>
          <w:tab w:val="left" w:pos="1304"/>
        </w:tabs>
        <w:ind w:left="1276" w:hanging="425"/>
        <w:rPr>
          <w:sz w:val="24"/>
          <w:szCs w:val="24"/>
          <w:lang w:val="da-DK"/>
        </w:rPr>
      </w:pPr>
      <w:r>
        <w:rPr>
          <w:sz w:val="24"/>
          <w:szCs w:val="24"/>
          <w:lang w:val="da-DK"/>
        </w:rPr>
        <w:t>behandling af kronisk systolisk hjertesvigt (</w:t>
      </w:r>
      <w:proofErr w:type="gramStart"/>
      <w:r>
        <w:rPr>
          <w:sz w:val="24"/>
          <w:szCs w:val="24"/>
          <w:lang w:val="da-DK"/>
        </w:rPr>
        <w:t>NYHA klasse</w:t>
      </w:r>
      <w:proofErr w:type="gramEnd"/>
      <w:r>
        <w:rPr>
          <w:sz w:val="24"/>
          <w:szCs w:val="24"/>
          <w:lang w:val="da-DK"/>
        </w:rPr>
        <w:t xml:space="preserve"> III-IV) som tillæg til standardbehandling</w:t>
      </w:r>
    </w:p>
    <w:p w:rsidR="000B5D94" w:rsidRDefault="000B5D94" w:rsidP="000B5D94">
      <w:pPr>
        <w:pStyle w:val="Listeafsnit"/>
        <w:numPr>
          <w:ilvl w:val="0"/>
          <w:numId w:val="12"/>
        </w:numPr>
        <w:tabs>
          <w:tab w:val="clear" w:pos="567"/>
          <w:tab w:val="left" w:pos="1304"/>
        </w:tabs>
        <w:ind w:left="1276" w:hanging="425"/>
        <w:rPr>
          <w:sz w:val="24"/>
          <w:szCs w:val="24"/>
          <w:lang w:val="da-DK"/>
        </w:rPr>
      </w:pPr>
      <w:r>
        <w:rPr>
          <w:sz w:val="24"/>
          <w:szCs w:val="24"/>
          <w:lang w:val="da-DK"/>
        </w:rPr>
        <w:t xml:space="preserve">behandling af ødemer forårsaget af </w:t>
      </w:r>
      <w:proofErr w:type="spellStart"/>
      <w:r>
        <w:rPr>
          <w:sz w:val="24"/>
          <w:szCs w:val="24"/>
          <w:lang w:val="da-DK"/>
        </w:rPr>
        <w:t>nefrose</w:t>
      </w:r>
      <w:proofErr w:type="spellEnd"/>
      <w:r>
        <w:rPr>
          <w:sz w:val="24"/>
          <w:szCs w:val="24"/>
          <w:lang w:val="da-DK"/>
        </w:rPr>
        <w:t xml:space="preserve">, når anden behandling af ødemer ikke har nogen virkning og især, når der er mistanke om </w:t>
      </w:r>
      <w:proofErr w:type="spellStart"/>
      <w:r>
        <w:rPr>
          <w:sz w:val="24"/>
          <w:szCs w:val="24"/>
          <w:lang w:val="da-DK"/>
        </w:rPr>
        <w:t>hyperaldosteronisme</w:t>
      </w:r>
      <w:proofErr w:type="spellEnd"/>
    </w:p>
    <w:p w:rsidR="000B5D94" w:rsidRDefault="000B5D94" w:rsidP="000B5D94">
      <w:pPr>
        <w:pStyle w:val="Listeafsnit"/>
        <w:numPr>
          <w:ilvl w:val="0"/>
          <w:numId w:val="12"/>
        </w:numPr>
        <w:tabs>
          <w:tab w:val="clear" w:pos="567"/>
          <w:tab w:val="left" w:pos="1304"/>
        </w:tabs>
        <w:ind w:left="1276" w:hanging="425"/>
        <w:rPr>
          <w:sz w:val="24"/>
          <w:szCs w:val="24"/>
          <w:lang w:val="da-DK"/>
        </w:rPr>
      </w:pPr>
      <w:r>
        <w:rPr>
          <w:sz w:val="24"/>
          <w:szCs w:val="24"/>
          <w:lang w:val="da-DK"/>
        </w:rPr>
        <w:lastRenderedPageBreak/>
        <w:t xml:space="preserve">behandling af </w:t>
      </w:r>
      <w:proofErr w:type="spellStart"/>
      <w:r>
        <w:rPr>
          <w:sz w:val="24"/>
          <w:szCs w:val="24"/>
          <w:lang w:val="da-DK"/>
        </w:rPr>
        <w:t>ascites</w:t>
      </w:r>
      <w:proofErr w:type="spellEnd"/>
      <w:r>
        <w:rPr>
          <w:sz w:val="24"/>
          <w:szCs w:val="24"/>
          <w:lang w:val="da-DK"/>
        </w:rPr>
        <w:t xml:space="preserve"> og ødem associeret med </w:t>
      </w:r>
      <w:proofErr w:type="spellStart"/>
      <w:r>
        <w:rPr>
          <w:sz w:val="24"/>
          <w:szCs w:val="24"/>
          <w:lang w:val="da-DK"/>
        </w:rPr>
        <w:t>dekompenseret</w:t>
      </w:r>
      <w:proofErr w:type="spellEnd"/>
      <w:r>
        <w:rPr>
          <w:sz w:val="24"/>
          <w:szCs w:val="24"/>
          <w:lang w:val="da-DK"/>
        </w:rPr>
        <w:t xml:space="preserve"> levercirrose eller portal hypertension og andre leversygdomme, når anden behandling af ødemer ikke har nogen virkning og især, når der er mistanke om </w:t>
      </w:r>
      <w:proofErr w:type="spellStart"/>
      <w:r>
        <w:rPr>
          <w:sz w:val="24"/>
          <w:szCs w:val="24"/>
          <w:lang w:val="da-DK"/>
        </w:rPr>
        <w:t>hyperaldosteronisme</w:t>
      </w:r>
      <w:proofErr w:type="spellEnd"/>
      <w:r>
        <w:rPr>
          <w:sz w:val="24"/>
          <w:szCs w:val="24"/>
          <w:lang w:val="da-DK"/>
        </w:rPr>
        <w:t xml:space="preserve"> </w:t>
      </w:r>
    </w:p>
    <w:p w:rsidR="000B5D94" w:rsidRDefault="000B5D94" w:rsidP="000B5D94">
      <w:pPr>
        <w:pStyle w:val="Listeafsnit"/>
        <w:numPr>
          <w:ilvl w:val="0"/>
          <w:numId w:val="12"/>
        </w:numPr>
        <w:tabs>
          <w:tab w:val="clear" w:pos="567"/>
          <w:tab w:val="left" w:pos="1304"/>
        </w:tabs>
        <w:ind w:left="1276" w:hanging="425"/>
        <w:rPr>
          <w:sz w:val="24"/>
          <w:szCs w:val="24"/>
          <w:lang w:val="da-DK"/>
        </w:rPr>
      </w:pPr>
      <w:r>
        <w:rPr>
          <w:sz w:val="24"/>
          <w:szCs w:val="24"/>
          <w:lang w:val="da-DK"/>
        </w:rPr>
        <w:t xml:space="preserve">behandling af hypertension, som tillægsbehandling hos patienter, der ikke responderer tilstrækkeligt på andre </w:t>
      </w:r>
      <w:proofErr w:type="spellStart"/>
      <w:r>
        <w:rPr>
          <w:sz w:val="24"/>
          <w:szCs w:val="24"/>
          <w:lang w:val="da-DK"/>
        </w:rPr>
        <w:t>antihypertensiva</w:t>
      </w:r>
      <w:proofErr w:type="spellEnd"/>
    </w:p>
    <w:p w:rsidR="000B5D94" w:rsidRDefault="000B5D94" w:rsidP="000B5D94">
      <w:pPr>
        <w:pStyle w:val="Listeafsnit"/>
        <w:numPr>
          <w:ilvl w:val="0"/>
          <w:numId w:val="12"/>
        </w:numPr>
        <w:tabs>
          <w:tab w:val="clear" w:pos="567"/>
          <w:tab w:val="left" w:pos="1304"/>
        </w:tabs>
        <w:ind w:left="1276" w:hanging="425"/>
        <w:rPr>
          <w:sz w:val="24"/>
          <w:szCs w:val="24"/>
          <w:lang w:val="sv-SE"/>
        </w:rPr>
      </w:pPr>
      <w:proofErr w:type="spellStart"/>
      <w:r>
        <w:rPr>
          <w:sz w:val="24"/>
          <w:szCs w:val="24"/>
          <w:lang w:val="sv-SE"/>
        </w:rPr>
        <w:t>primær</w:t>
      </w:r>
      <w:proofErr w:type="spellEnd"/>
      <w:r>
        <w:rPr>
          <w:sz w:val="24"/>
          <w:szCs w:val="24"/>
          <w:lang w:val="sv-SE"/>
        </w:rPr>
        <w:t xml:space="preserve"> </w:t>
      </w:r>
      <w:proofErr w:type="spellStart"/>
      <w:r>
        <w:rPr>
          <w:sz w:val="24"/>
          <w:szCs w:val="24"/>
          <w:lang w:val="sv-SE"/>
        </w:rPr>
        <w:t>hyperaldosteronisme</w:t>
      </w:r>
      <w:proofErr w:type="spellEnd"/>
      <w:r>
        <w:rPr>
          <w:sz w:val="24"/>
          <w:szCs w:val="24"/>
          <w:lang w:val="sv-SE"/>
        </w:rPr>
        <w:t>.</w:t>
      </w:r>
    </w:p>
    <w:p w:rsidR="00E926A0" w:rsidRDefault="00E926A0" w:rsidP="00E926A0">
      <w:pPr>
        <w:ind w:left="851" w:hanging="851"/>
        <w:rPr>
          <w:sz w:val="24"/>
          <w:szCs w:val="24"/>
        </w:rPr>
      </w:pPr>
    </w:p>
    <w:p w:rsidR="00223179" w:rsidRDefault="00223179" w:rsidP="00A97E79">
      <w:pPr>
        <w:ind w:left="851"/>
        <w:rPr>
          <w:sz w:val="24"/>
          <w:szCs w:val="24"/>
        </w:rPr>
      </w:pPr>
      <w:r>
        <w:rPr>
          <w:sz w:val="24"/>
          <w:szCs w:val="24"/>
        </w:rPr>
        <w:t>Børn bør kun behandles under vejledning af en pædiatrisk specialist. Der er begrænsede pædiatriske data</w:t>
      </w:r>
      <w:r>
        <w:rPr>
          <w:bCs/>
          <w:iCs/>
          <w:sz w:val="24"/>
          <w:szCs w:val="24"/>
        </w:rPr>
        <w:t xml:space="preserve"> (se pkt. 5.1 og 5.2).</w:t>
      </w:r>
    </w:p>
    <w:p w:rsidR="00223179" w:rsidRPr="008C5CD5" w:rsidRDefault="00223179" w:rsidP="00E926A0">
      <w:pPr>
        <w:ind w:left="851" w:hanging="851"/>
        <w:rPr>
          <w:sz w:val="24"/>
          <w:szCs w:val="24"/>
        </w:rPr>
      </w:pPr>
    </w:p>
    <w:p w:rsidR="00E926A0" w:rsidRPr="008C5CD5" w:rsidRDefault="00E926A0" w:rsidP="00E926A0">
      <w:pPr>
        <w:numPr>
          <w:ilvl w:val="1"/>
          <w:numId w:val="1"/>
        </w:numPr>
        <w:tabs>
          <w:tab w:val="clear" w:pos="855"/>
        </w:tabs>
        <w:ind w:left="851" w:hanging="851"/>
        <w:rPr>
          <w:b/>
          <w:sz w:val="24"/>
          <w:szCs w:val="24"/>
        </w:rPr>
      </w:pPr>
      <w:r w:rsidRPr="008C5CD5">
        <w:rPr>
          <w:b/>
          <w:sz w:val="24"/>
          <w:szCs w:val="24"/>
        </w:rPr>
        <w:t xml:space="preserve">Dosering og </w:t>
      </w:r>
      <w:r w:rsidR="00223179">
        <w:rPr>
          <w:b/>
          <w:sz w:val="24"/>
          <w:szCs w:val="24"/>
        </w:rPr>
        <w:t>administration</w:t>
      </w:r>
    </w:p>
    <w:p w:rsidR="00223179" w:rsidRDefault="00223179" w:rsidP="000B5D94">
      <w:pPr>
        <w:ind w:left="851"/>
        <w:rPr>
          <w:noProof/>
          <w:sz w:val="24"/>
          <w:szCs w:val="24"/>
        </w:rPr>
      </w:pPr>
    </w:p>
    <w:p w:rsidR="00223179" w:rsidRDefault="00223179" w:rsidP="00223179">
      <w:pPr>
        <w:ind w:left="851"/>
        <w:rPr>
          <w:noProof/>
          <w:sz w:val="24"/>
          <w:szCs w:val="24"/>
        </w:rPr>
      </w:pPr>
      <w:r>
        <w:rPr>
          <w:noProof/>
          <w:sz w:val="24"/>
          <w:szCs w:val="24"/>
          <w:u w:val="single"/>
        </w:rPr>
        <w:t>Dosering</w:t>
      </w:r>
    </w:p>
    <w:p w:rsidR="000B5D94" w:rsidRDefault="000B5D94" w:rsidP="000B5D94">
      <w:pPr>
        <w:ind w:left="851"/>
        <w:rPr>
          <w:noProof/>
          <w:sz w:val="24"/>
          <w:szCs w:val="24"/>
        </w:rPr>
      </w:pPr>
      <w:r>
        <w:rPr>
          <w:noProof/>
          <w:sz w:val="24"/>
          <w:szCs w:val="24"/>
        </w:rPr>
        <w:t>Den daglige dosis kan administreres som en enkelt dosis eller fordeles på 2 doser. Tabletterne bør tages sammen med et måltid (for bedre absorption). Serumelektrolytter og kreatininkoncentrationer skal monitoreres under behandlingen (se pkt. 4.4).</w:t>
      </w:r>
    </w:p>
    <w:p w:rsidR="000B5D94" w:rsidRDefault="000B5D94" w:rsidP="000B5D94">
      <w:pPr>
        <w:ind w:left="851" w:hanging="851"/>
        <w:rPr>
          <w:noProof/>
          <w:sz w:val="24"/>
          <w:szCs w:val="24"/>
        </w:rPr>
      </w:pPr>
    </w:p>
    <w:p w:rsidR="00223179" w:rsidRPr="00A97E79" w:rsidRDefault="00223179" w:rsidP="00223179">
      <w:pPr>
        <w:ind w:left="851"/>
        <w:rPr>
          <w:i/>
          <w:iCs/>
          <w:noProof/>
          <w:sz w:val="24"/>
          <w:szCs w:val="24"/>
        </w:rPr>
      </w:pPr>
      <w:r w:rsidRPr="00A97E79">
        <w:rPr>
          <w:i/>
          <w:iCs/>
          <w:noProof/>
          <w:sz w:val="24"/>
          <w:szCs w:val="24"/>
        </w:rPr>
        <w:t>Voksne:</w:t>
      </w:r>
    </w:p>
    <w:p w:rsidR="00223179" w:rsidRDefault="00223179" w:rsidP="00223179">
      <w:pPr>
        <w:pStyle w:val="Listeafsnit"/>
        <w:numPr>
          <w:ilvl w:val="0"/>
          <w:numId w:val="18"/>
        </w:numPr>
        <w:tabs>
          <w:tab w:val="clear" w:pos="567"/>
          <w:tab w:val="left" w:pos="1304"/>
        </w:tabs>
        <w:suppressAutoHyphens/>
        <w:ind w:left="1276" w:hanging="425"/>
        <w:rPr>
          <w:sz w:val="24"/>
          <w:szCs w:val="24"/>
          <w:lang w:val="da-DK"/>
        </w:rPr>
      </w:pPr>
      <w:r>
        <w:rPr>
          <w:sz w:val="24"/>
          <w:szCs w:val="24"/>
          <w:lang w:val="da-DK"/>
        </w:rPr>
        <w:t>kronisk hjertesvigt (</w:t>
      </w:r>
      <w:proofErr w:type="gramStart"/>
      <w:r>
        <w:rPr>
          <w:sz w:val="24"/>
          <w:szCs w:val="24"/>
          <w:lang w:val="da-DK"/>
        </w:rPr>
        <w:t>NYHA klasse</w:t>
      </w:r>
      <w:proofErr w:type="gramEnd"/>
      <w:r>
        <w:rPr>
          <w:sz w:val="24"/>
          <w:szCs w:val="24"/>
          <w:lang w:val="da-DK"/>
        </w:rPr>
        <w:t xml:space="preserve"> III til IV): Initialdosis hos patienter med alvorlig hjertesvigt (NYHA III til IV) er sædvanligvis 25 mg/dag, i kombination med standardbehandling hos patienter med serumkalium ≤ 5 mmol/L og </w:t>
      </w:r>
      <w:proofErr w:type="spellStart"/>
      <w:r>
        <w:rPr>
          <w:sz w:val="24"/>
          <w:szCs w:val="24"/>
          <w:lang w:val="da-DK"/>
        </w:rPr>
        <w:t>serumkreatinin</w:t>
      </w:r>
      <w:proofErr w:type="spellEnd"/>
      <w:r>
        <w:rPr>
          <w:sz w:val="24"/>
          <w:szCs w:val="24"/>
          <w:lang w:val="da-DK"/>
        </w:rPr>
        <w:t xml:space="preserve"> ≤ 220 mikromol/L. Hvis der opstår væskeophobning og denne stadig er til stede 8 uger efter initiering og hvis serumkalium forbliver &lt; 5 mmol/L, kan </w:t>
      </w:r>
      <w:proofErr w:type="spellStart"/>
      <w:r>
        <w:rPr>
          <w:sz w:val="24"/>
          <w:szCs w:val="24"/>
          <w:lang w:val="da-DK"/>
        </w:rPr>
        <w:t>spironolactondosis</w:t>
      </w:r>
      <w:proofErr w:type="spellEnd"/>
      <w:r>
        <w:rPr>
          <w:sz w:val="24"/>
          <w:szCs w:val="24"/>
          <w:lang w:val="da-DK"/>
        </w:rPr>
        <w:t xml:space="preserve"> øges til 50 mg én gang dagligt. Kalium- og </w:t>
      </w:r>
      <w:proofErr w:type="spellStart"/>
      <w:r>
        <w:rPr>
          <w:sz w:val="24"/>
          <w:szCs w:val="24"/>
          <w:lang w:val="da-DK"/>
        </w:rPr>
        <w:t>kreatininniveauer</w:t>
      </w:r>
      <w:proofErr w:type="spellEnd"/>
      <w:r>
        <w:rPr>
          <w:sz w:val="24"/>
          <w:szCs w:val="24"/>
          <w:lang w:val="da-DK"/>
        </w:rPr>
        <w:t xml:space="preserve"> skal kontrolleres 1 uge senere. Hvis serumkalium stiger til 5,5 mmol/L eller </w:t>
      </w:r>
      <w:proofErr w:type="spellStart"/>
      <w:r>
        <w:rPr>
          <w:sz w:val="24"/>
          <w:szCs w:val="24"/>
          <w:lang w:val="da-DK"/>
        </w:rPr>
        <w:t>serumkreatinin</w:t>
      </w:r>
      <w:proofErr w:type="spellEnd"/>
      <w:r>
        <w:rPr>
          <w:sz w:val="24"/>
          <w:szCs w:val="24"/>
          <w:lang w:val="da-DK"/>
        </w:rPr>
        <w:t xml:space="preserve"> stiger til mere end 220 mikromol/L, skal </w:t>
      </w:r>
      <w:proofErr w:type="spellStart"/>
      <w:r>
        <w:rPr>
          <w:sz w:val="24"/>
          <w:szCs w:val="24"/>
          <w:lang w:val="da-DK"/>
        </w:rPr>
        <w:t>spironolactondosis</w:t>
      </w:r>
      <w:proofErr w:type="spellEnd"/>
      <w:r>
        <w:rPr>
          <w:sz w:val="24"/>
          <w:szCs w:val="24"/>
          <w:lang w:val="da-DK"/>
        </w:rPr>
        <w:t xml:space="preserve"> nedsættes til 25 mg hver anden dag eller seponeres. Se pkt. 4.4: ”</w:t>
      </w:r>
      <w:proofErr w:type="spellStart"/>
      <w:r>
        <w:rPr>
          <w:sz w:val="24"/>
          <w:szCs w:val="24"/>
          <w:lang w:val="da-DK"/>
        </w:rPr>
        <w:t>Hyperkaliæmi</w:t>
      </w:r>
      <w:proofErr w:type="spellEnd"/>
      <w:r>
        <w:rPr>
          <w:sz w:val="24"/>
          <w:szCs w:val="24"/>
          <w:lang w:val="da-DK"/>
        </w:rPr>
        <w:t xml:space="preserve"> hos patienter med kronisk hjertesvigt” for vejledning om kontrol af serumkalium og </w:t>
      </w:r>
      <w:proofErr w:type="spellStart"/>
      <w:r>
        <w:rPr>
          <w:sz w:val="24"/>
          <w:szCs w:val="24"/>
          <w:lang w:val="da-DK"/>
        </w:rPr>
        <w:t>serumkreatinin</w:t>
      </w:r>
      <w:proofErr w:type="spellEnd"/>
      <w:r>
        <w:rPr>
          <w:sz w:val="24"/>
          <w:szCs w:val="24"/>
          <w:lang w:val="da-DK"/>
        </w:rPr>
        <w:t>.</w:t>
      </w:r>
    </w:p>
    <w:p w:rsidR="00223179" w:rsidRDefault="00223179" w:rsidP="00223179">
      <w:pPr>
        <w:pStyle w:val="Listeafsnit"/>
        <w:numPr>
          <w:ilvl w:val="0"/>
          <w:numId w:val="19"/>
        </w:numPr>
        <w:tabs>
          <w:tab w:val="clear" w:pos="567"/>
          <w:tab w:val="left" w:pos="1304"/>
        </w:tabs>
        <w:spacing w:line="240" w:lineRule="auto"/>
        <w:ind w:left="1276" w:hanging="425"/>
        <w:rPr>
          <w:sz w:val="24"/>
          <w:szCs w:val="24"/>
          <w:lang w:val="da-DK"/>
        </w:rPr>
      </w:pPr>
      <w:proofErr w:type="spellStart"/>
      <w:r>
        <w:rPr>
          <w:sz w:val="24"/>
          <w:szCs w:val="24"/>
          <w:lang w:val="da-DK"/>
        </w:rPr>
        <w:t>ødematøse</w:t>
      </w:r>
      <w:proofErr w:type="spellEnd"/>
      <w:r>
        <w:rPr>
          <w:sz w:val="24"/>
          <w:szCs w:val="24"/>
          <w:lang w:val="da-DK"/>
        </w:rPr>
        <w:t xml:space="preserve"> tilstande: dosis er sædvanligvis 25-100 mg/dag. I alvorlige tilfælde kan dosis øges til 200 mg/dag. Ved alvorlige </w:t>
      </w:r>
      <w:proofErr w:type="spellStart"/>
      <w:r>
        <w:rPr>
          <w:sz w:val="24"/>
          <w:szCs w:val="24"/>
          <w:lang w:val="da-DK"/>
        </w:rPr>
        <w:t>ødematøse</w:t>
      </w:r>
      <w:proofErr w:type="spellEnd"/>
      <w:r>
        <w:rPr>
          <w:sz w:val="24"/>
          <w:szCs w:val="24"/>
          <w:lang w:val="da-DK"/>
        </w:rPr>
        <w:t xml:space="preserve"> tilstande f.eks. i forbindelse med levercirrose, kan korttidsadministration af daglige doser på 200-400 mg være indiceret.</w:t>
      </w:r>
    </w:p>
    <w:p w:rsidR="00223179" w:rsidRDefault="00223179" w:rsidP="00223179">
      <w:pPr>
        <w:pStyle w:val="Listeafsnit"/>
        <w:numPr>
          <w:ilvl w:val="0"/>
          <w:numId w:val="19"/>
        </w:numPr>
        <w:tabs>
          <w:tab w:val="clear" w:pos="567"/>
          <w:tab w:val="left" w:pos="1304"/>
        </w:tabs>
        <w:spacing w:line="240" w:lineRule="auto"/>
        <w:ind w:left="1276" w:hanging="425"/>
        <w:rPr>
          <w:sz w:val="24"/>
          <w:szCs w:val="24"/>
          <w:lang w:val="da-DK"/>
        </w:rPr>
      </w:pPr>
      <w:r>
        <w:rPr>
          <w:sz w:val="24"/>
          <w:szCs w:val="24"/>
          <w:lang w:val="da-DK"/>
        </w:rPr>
        <w:t>behandling af hypertension: den sædvanlige dosis er 50-100 mg/dag. Fuld terapeutisk virkning opnås sædvanligvis i løbet af ca. 2 uger, hvilket der bør tages højde for, når dosis justeres.</w:t>
      </w:r>
    </w:p>
    <w:p w:rsidR="00223179" w:rsidRDefault="00223179" w:rsidP="00223179">
      <w:pPr>
        <w:pStyle w:val="Listeafsnit"/>
        <w:numPr>
          <w:ilvl w:val="0"/>
          <w:numId w:val="19"/>
        </w:numPr>
        <w:tabs>
          <w:tab w:val="clear" w:pos="567"/>
          <w:tab w:val="left" w:pos="1304"/>
        </w:tabs>
        <w:spacing w:line="240" w:lineRule="auto"/>
        <w:ind w:left="1276" w:hanging="425"/>
        <w:rPr>
          <w:sz w:val="24"/>
          <w:szCs w:val="24"/>
          <w:lang w:val="da-DK"/>
        </w:rPr>
      </w:pPr>
      <w:r>
        <w:rPr>
          <w:sz w:val="24"/>
          <w:szCs w:val="24"/>
          <w:lang w:val="da-DK"/>
        </w:rPr>
        <w:t xml:space="preserve">behandling af primær </w:t>
      </w:r>
      <w:proofErr w:type="spellStart"/>
      <w:r>
        <w:rPr>
          <w:sz w:val="24"/>
          <w:szCs w:val="24"/>
          <w:lang w:val="da-DK"/>
        </w:rPr>
        <w:t>hyperaldosteronisme</w:t>
      </w:r>
      <w:proofErr w:type="spellEnd"/>
      <w:r>
        <w:rPr>
          <w:sz w:val="24"/>
          <w:szCs w:val="24"/>
          <w:lang w:val="da-DK"/>
        </w:rPr>
        <w:t>: 100-400 mg/dag præoperativt. I non-kirurgiske tilfælde skal den terapeutiske dosis reduceres til den laveste effektive dosis.</w:t>
      </w:r>
    </w:p>
    <w:p w:rsidR="00223179" w:rsidRDefault="00223179" w:rsidP="00223179">
      <w:pPr>
        <w:ind w:left="851" w:hanging="851"/>
        <w:rPr>
          <w:noProof/>
          <w:sz w:val="24"/>
          <w:szCs w:val="24"/>
        </w:rPr>
      </w:pPr>
    </w:p>
    <w:p w:rsidR="00223179" w:rsidRPr="00A97E79" w:rsidRDefault="00223179" w:rsidP="00223179">
      <w:pPr>
        <w:ind w:left="851"/>
        <w:rPr>
          <w:i/>
          <w:iCs/>
          <w:noProof/>
          <w:sz w:val="24"/>
          <w:szCs w:val="24"/>
        </w:rPr>
      </w:pPr>
      <w:r w:rsidRPr="00A97E79">
        <w:rPr>
          <w:i/>
          <w:iCs/>
          <w:noProof/>
          <w:sz w:val="24"/>
          <w:szCs w:val="24"/>
        </w:rPr>
        <w:t>Ældre:</w:t>
      </w:r>
    </w:p>
    <w:p w:rsidR="00223179" w:rsidRDefault="00223179" w:rsidP="00223179">
      <w:pPr>
        <w:pStyle w:val="Listeafsnit"/>
        <w:numPr>
          <w:ilvl w:val="0"/>
          <w:numId w:val="19"/>
        </w:numPr>
        <w:tabs>
          <w:tab w:val="clear" w:pos="567"/>
          <w:tab w:val="left" w:pos="1304"/>
        </w:tabs>
        <w:spacing w:line="240" w:lineRule="auto"/>
        <w:ind w:left="1276" w:hanging="425"/>
        <w:rPr>
          <w:sz w:val="24"/>
          <w:szCs w:val="24"/>
          <w:lang w:val="da-DK"/>
        </w:rPr>
      </w:pPr>
      <w:r>
        <w:rPr>
          <w:sz w:val="24"/>
          <w:szCs w:val="24"/>
          <w:lang w:val="da-DK"/>
        </w:rPr>
        <w:t>dosisjustering kræves sædvanligvis ikke, medmindre patienten lider af nyre- eller leversvigt.</w:t>
      </w:r>
    </w:p>
    <w:p w:rsidR="00223179" w:rsidRDefault="00223179" w:rsidP="00223179">
      <w:pPr>
        <w:ind w:left="851" w:hanging="851"/>
        <w:rPr>
          <w:sz w:val="24"/>
          <w:szCs w:val="24"/>
        </w:rPr>
      </w:pPr>
    </w:p>
    <w:p w:rsidR="00223179" w:rsidRPr="00A97E79" w:rsidRDefault="00223179" w:rsidP="00223179">
      <w:pPr>
        <w:ind w:left="851"/>
        <w:rPr>
          <w:bCs/>
          <w:i/>
          <w:sz w:val="24"/>
          <w:szCs w:val="24"/>
        </w:rPr>
      </w:pPr>
      <w:r w:rsidRPr="00A97E79">
        <w:rPr>
          <w:bCs/>
          <w:i/>
          <w:sz w:val="24"/>
          <w:szCs w:val="24"/>
        </w:rPr>
        <w:t>Pædiatrisk population:</w:t>
      </w:r>
    </w:p>
    <w:p w:rsidR="00223179" w:rsidRDefault="00223179" w:rsidP="00A97E79">
      <w:pPr>
        <w:pStyle w:val="Listeafsnit"/>
        <w:numPr>
          <w:ilvl w:val="0"/>
          <w:numId w:val="19"/>
        </w:numPr>
        <w:tabs>
          <w:tab w:val="clear" w:pos="567"/>
          <w:tab w:val="left" w:pos="1276"/>
          <w:tab w:val="left" w:pos="1304"/>
        </w:tabs>
        <w:spacing w:line="240" w:lineRule="auto"/>
        <w:ind w:left="1276" w:hanging="425"/>
        <w:rPr>
          <w:bCs/>
          <w:iCs/>
          <w:sz w:val="24"/>
          <w:szCs w:val="24"/>
          <w:lang w:val="da-DK"/>
        </w:rPr>
      </w:pPr>
      <w:r>
        <w:rPr>
          <w:bCs/>
          <w:iCs/>
          <w:sz w:val="24"/>
          <w:szCs w:val="24"/>
          <w:lang w:val="da-DK"/>
        </w:rPr>
        <w:t xml:space="preserve">ødem hos børn: Initial daglig dosis bør være 1-3 mg </w:t>
      </w:r>
      <w:proofErr w:type="spellStart"/>
      <w:r>
        <w:rPr>
          <w:bCs/>
          <w:iCs/>
          <w:sz w:val="24"/>
          <w:szCs w:val="24"/>
          <w:lang w:val="da-DK"/>
        </w:rPr>
        <w:t>spironolacton</w:t>
      </w:r>
      <w:proofErr w:type="spellEnd"/>
      <w:r>
        <w:rPr>
          <w:bCs/>
          <w:iCs/>
          <w:sz w:val="24"/>
          <w:szCs w:val="24"/>
          <w:lang w:val="da-DK"/>
        </w:rPr>
        <w:t xml:space="preserve"> pr. kg legemsvægt,</w:t>
      </w:r>
      <w:r w:rsidRPr="00A97E79">
        <w:rPr>
          <w:bCs/>
          <w:iCs/>
          <w:sz w:val="24"/>
          <w:szCs w:val="24"/>
          <w:lang w:val="da-DK"/>
        </w:rPr>
        <w:t xml:space="preserve"> </w:t>
      </w:r>
      <w:r>
        <w:rPr>
          <w:bCs/>
          <w:iCs/>
          <w:sz w:val="24"/>
          <w:szCs w:val="24"/>
          <w:lang w:val="da-DK"/>
        </w:rPr>
        <w:t>givet i opdelte</w:t>
      </w:r>
      <w:r w:rsidRPr="00A97E79">
        <w:rPr>
          <w:bCs/>
          <w:iCs/>
          <w:sz w:val="24"/>
          <w:szCs w:val="24"/>
          <w:lang w:val="da-DK"/>
        </w:rPr>
        <w:t xml:space="preserve"> doser. Dosis </w:t>
      </w:r>
      <w:r>
        <w:rPr>
          <w:bCs/>
          <w:iCs/>
          <w:sz w:val="24"/>
          <w:szCs w:val="24"/>
          <w:lang w:val="da-DK"/>
        </w:rPr>
        <w:t xml:space="preserve">skal justeres på baggrund af </w:t>
      </w:r>
      <w:r w:rsidRPr="00A97E79">
        <w:rPr>
          <w:bCs/>
          <w:iCs/>
          <w:sz w:val="24"/>
          <w:szCs w:val="24"/>
          <w:lang w:val="da-DK"/>
        </w:rPr>
        <w:t>respons og tolerance (se pkt. 4.3 og 4.4).</w:t>
      </w:r>
    </w:p>
    <w:p w:rsidR="00223179" w:rsidRDefault="00223179" w:rsidP="00223179">
      <w:pPr>
        <w:pStyle w:val="Listeafsnit"/>
        <w:tabs>
          <w:tab w:val="clear" w:pos="567"/>
          <w:tab w:val="left" w:pos="1276"/>
          <w:tab w:val="left" w:pos="1304"/>
        </w:tabs>
        <w:spacing w:line="240" w:lineRule="auto"/>
        <w:ind w:left="1276"/>
        <w:rPr>
          <w:sz w:val="24"/>
          <w:szCs w:val="24"/>
          <w:lang w:val="da-DK"/>
        </w:rPr>
      </w:pPr>
    </w:p>
    <w:p w:rsidR="00223179" w:rsidRPr="00223179" w:rsidRDefault="00223179" w:rsidP="00A97E79">
      <w:pPr>
        <w:pStyle w:val="Listeafsnit"/>
        <w:tabs>
          <w:tab w:val="clear" w:pos="567"/>
          <w:tab w:val="left" w:pos="1418"/>
          <w:tab w:val="left" w:pos="1560"/>
        </w:tabs>
        <w:spacing w:line="240" w:lineRule="auto"/>
        <w:ind w:left="851"/>
        <w:rPr>
          <w:sz w:val="24"/>
          <w:szCs w:val="24"/>
          <w:lang w:val="da-DK"/>
        </w:rPr>
      </w:pPr>
      <w:r>
        <w:rPr>
          <w:sz w:val="24"/>
          <w:szCs w:val="24"/>
          <w:lang w:val="da-DK"/>
        </w:rPr>
        <w:t>Børn bør kun behandles under vejledning af en pædiatrisk specialist. Der er begrænset pædiatrisk data (se pkt. 5.1 og 5.2).</w:t>
      </w:r>
    </w:p>
    <w:p w:rsidR="00223179" w:rsidRDefault="00223179" w:rsidP="00223179">
      <w:pPr>
        <w:ind w:left="851"/>
        <w:rPr>
          <w:bCs/>
          <w:iCs/>
          <w:sz w:val="24"/>
          <w:szCs w:val="24"/>
        </w:rPr>
      </w:pPr>
    </w:p>
    <w:p w:rsidR="00223179" w:rsidRPr="00A97E79" w:rsidRDefault="00223179" w:rsidP="00A97E79">
      <w:pPr>
        <w:keepNext/>
        <w:ind w:left="851"/>
        <w:rPr>
          <w:bCs/>
          <w:i/>
          <w:sz w:val="24"/>
          <w:szCs w:val="24"/>
        </w:rPr>
      </w:pPr>
      <w:r w:rsidRPr="00A97E79">
        <w:rPr>
          <w:bCs/>
          <w:i/>
          <w:sz w:val="24"/>
          <w:szCs w:val="24"/>
        </w:rPr>
        <w:lastRenderedPageBreak/>
        <w:t>Nyresvigt (se også pkt. 4.4):</w:t>
      </w:r>
    </w:p>
    <w:p w:rsidR="00223179" w:rsidRDefault="00223179" w:rsidP="00223179">
      <w:pPr>
        <w:pStyle w:val="Listeafsnit"/>
        <w:numPr>
          <w:ilvl w:val="0"/>
          <w:numId w:val="20"/>
        </w:numPr>
        <w:tabs>
          <w:tab w:val="clear" w:pos="567"/>
          <w:tab w:val="left" w:pos="1304"/>
        </w:tabs>
        <w:spacing w:line="240" w:lineRule="auto"/>
        <w:ind w:left="1276" w:hanging="425"/>
        <w:rPr>
          <w:bCs/>
          <w:iCs/>
          <w:sz w:val="24"/>
          <w:szCs w:val="24"/>
          <w:lang w:val="da-DK"/>
        </w:rPr>
      </w:pPr>
      <w:r>
        <w:rPr>
          <w:bCs/>
          <w:iCs/>
          <w:sz w:val="24"/>
          <w:szCs w:val="24"/>
          <w:lang w:val="da-DK"/>
        </w:rPr>
        <w:t xml:space="preserve">forsigtighed tilrådes ved administration af </w:t>
      </w:r>
      <w:proofErr w:type="spellStart"/>
      <w:r>
        <w:rPr>
          <w:bCs/>
          <w:iCs/>
          <w:sz w:val="24"/>
          <w:szCs w:val="24"/>
          <w:lang w:val="da-DK"/>
        </w:rPr>
        <w:t>spironolacton</w:t>
      </w:r>
      <w:proofErr w:type="spellEnd"/>
      <w:r>
        <w:rPr>
          <w:bCs/>
          <w:iCs/>
          <w:sz w:val="24"/>
          <w:szCs w:val="24"/>
          <w:lang w:val="da-DK"/>
        </w:rPr>
        <w:t xml:space="preserve"> til patienter med moderat nyresvigt (</w:t>
      </w:r>
      <w:proofErr w:type="spellStart"/>
      <w:r>
        <w:rPr>
          <w:bCs/>
          <w:iCs/>
          <w:sz w:val="24"/>
          <w:szCs w:val="24"/>
          <w:lang w:val="da-DK"/>
        </w:rPr>
        <w:t>kreatininclearance</w:t>
      </w:r>
      <w:proofErr w:type="spellEnd"/>
      <w:r>
        <w:rPr>
          <w:bCs/>
          <w:iCs/>
          <w:sz w:val="24"/>
          <w:szCs w:val="24"/>
          <w:lang w:val="da-DK"/>
        </w:rPr>
        <w:t xml:space="preserve"> 30-50 ml/min)</w:t>
      </w:r>
    </w:p>
    <w:p w:rsidR="00223179" w:rsidRDefault="00223179" w:rsidP="00223179">
      <w:pPr>
        <w:pStyle w:val="Listeafsnit"/>
        <w:numPr>
          <w:ilvl w:val="0"/>
          <w:numId w:val="20"/>
        </w:numPr>
        <w:tabs>
          <w:tab w:val="clear" w:pos="567"/>
          <w:tab w:val="left" w:pos="1304"/>
        </w:tabs>
        <w:spacing w:line="240" w:lineRule="auto"/>
        <w:ind w:left="1276" w:hanging="425"/>
        <w:rPr>
          <w:bCs/>
          <w:iCs/>
          <w:sz w:val="24"/>
          <w:szCs w:val="24"/>
          <w:lang w:val="da-DK"/>
        </w:rPr>
      </w:pPr>
      <w:proofErr w:type="spellStart"/>
      <w:r>
        <w:rPr>
          <w:bCs/>
          <w:iCs/>
          <w:sz w:val="24"/>
          <w:szCs w:val="24"/>
          <w:lang w:val="da-DK"/>
        </w:rPr>
        <w:t>spironolacton</w:t>
      </w:r>
      <w:proofErr w:type="spellEnd"/>
      <w:r>
        <w:rPr>
          <w:bCs/>
          <w:iCs/>
          <w:sz w:val="24"/>
          <w:szCs w:val="24"/>
          <w:lang w:val="da-DK"/>
        </w:rPr>
        <w:t xml:space="preserve"> bør ikke administreres til patienter med alvorligt nyresvigt (</w:t>
      </w:r>
      <w:proofErr w:type="spellStart"/>
      <w:r>
        <w:rPr>
          <w:bCs/>
          <w:iCs/>
          <w:sz w:val="24"/>
          <w:szCs w:val="24"/>
          <w:lang w:val="da-DK"/>
        </w:rPr>
        <w:t>kreatininclearance</w:t>
      </w:r>
      <w:proofErr w:type="spellEnd"/>
      <w:r>
        <w:rPr>
          <w:bCs/>
          <w:iCs/>
          <w:sz w:val="24"/>
          <w:szCs w:val="24"/>
          <w:lang w:val="da-DK"/>
        </w:rPr>
        <w:t xml:space="preserve"> mindre end 30 ml/min).</w:t>
      </w:r>
    </w:p>
    <w:p w:rsidR="00223179" w:rsidRDefault="00223179" w:rsidP="00223179">
      <w:pPr>
        <w:ind w:left="851" w:hanging="851"/>
        <w:rPr>
          <w:sz w:val="24"/>
          <w:szCs w:val="24"/>
        </w:rPr>
      </w:pPr>
    </w:p>
    <w:p w:rsidR="00223179" w:rsidRPr="00A97E79" w:rsidRDefault="00223179" w:rsidP="00223179">
      <w:pPr>
        <w:ind w:left="851"/>
        <w:rPr>
          <w:bCs/>
          <w:i/>
          <w:sz w:val="24"/>
          <w:szCs w:val="24"/>
        </w:rPr>
      </w:pPr>
      <w:r w:rsidRPr="00A97E79">
        <w:rPr>
          <w:bCs/>
          <w:i/>
          <w:sz w:val="24"/>
          <w:szCs w:val="24"/>
        </w:rPr>
        <w:t>Leversvigt (se også pkt. 4.4):</w:t>
      </w:r>
    </w:p>
    <w:p w:rsidR="00223179" w:rsidRDefault="00223179" w:rsidP="00223179">
      <w:pPr>
        <w:pStyle w:val="Listeafsnit"/>
        <w:numPr>
          <w:ilvl w:val="0"/>
          <w:numId w:val="21"/>
        </w:numPr>
        <w:tabs>
          <w:tab w:val="clear" w:pos="567"/>
          <w:tab w:val="left" w:pos="1304"/>
        </w:tabs>
        <w:spacing w:line="240" w:lineRule="auto"/>
        <w:ind w:left="1276" w:hanging="425"/>
        <w:rPr>
          <w:sz w:val="24"/>
          <w:szCs w:val="24"/>
          <w:lang w:val="da-DK"/>
        </w:rPr>
      </w:pPr>
      <w:proofErr w:type="spellStart"/>
      <w:r>
        <w:rPr>
          <w:bCs/>
          <w:iCs/>
          <w:sz w:val="24"/>
          <w:szCs w:val="24"/>
          <w:lang w:val="da-DK"/>
        </w:rPr>
        <w:t>spironolactons</w:t>
      </w:r>
      <w:proofErr w:type="spellEnd"/>
      <w:r>
        <w:rPr>
          <w:bCs/>
          <w:iCs/>
          <w:sz w:val="24"/>
          <w:szCs w:val="24"/>
          <w:lang w:val="da-DK"/>
        </w:rPr>
        <w:t xml:space="preserve"> biotransformation og elimination er forsinket ved leversvigt. Hos patienter med leversvigt er initial dosisjustering ikke nødvendig. </w:t>
      </w:r>
    </w:p>
    <w:p w:rsidR="00223179" w:rsidRDefault="00223179" w:rsidP="00223179">
      <w:pPr>
        <w:tabs>
          <w:tab w:val="left" w:pos="1304"/>
        </w:tabs>
        <w:ind w:left="851"/>
        <w:rPr>
          <w:sz w:val="24"/>
          <w:szCs w:val="24"/>
        </w:rPr>
      </w:pPr>
    </w:p>
    <w:p w:rsidR="00223179" w:rsidRDefault="00223179" w:rsidP="00223179">
      <w:pPr>
        <w:tabs>
          <w:tab w:val="left" w:pos="1304"/>
        </w:tabs>
        <w:ind w:left="851"/>
        <w:rPr>
          <w:sz w:val="24"/>
          <w:szCs w:val="24"/>
        </w:rPr>
      </w:pPr>
      <w:r w:rsidRPr="00A97E79">
        <w:rPr>
          <w:sz w:val="24"/>
          <w:szCs w:val="24"/>
          <w:u w:val="single"/>
        </w:rPr>
        <w:t>Administration</w:t>
      </w:r>
    </w:p>
    <w:p w:rsidR="00223179" w:rsidRDefault="00223179" w:rsidP="00223179">
      <w:pPr>
        <w:tabs>
          <w:tab w:val="left" w:pos="1304"/>
        </w:tabs>
        <w:ind w:left="851"/>
        <w:rPr>
          <w:sz w:val="24"/>
          <w:szCs w:val="24"/>
        </w:rPr>
      </w:pPr>
      <w:r>
        <w:rPr>
          <w:sz w:val="24"/>
          <w:szCs w:val="24"/>
        </w:rPr>
        <w:t>Oral anvendelse.</w:t>
      </w:r>
    </w:p>
    <w:p w:rsidR="00223179" w:rsidRDefault="00223179" w:rsidP="00223179">
      <w:pPr>
        <w:keepNext/>
        <w:ind w:left="851"/>
        <w:rPr>
          <w:b/>
          <w:sz w:val="24"/>
          <w:szCs w:val="24"/>
        </w:rPr>
      </w:pPr>
    </w:p>
    <w:p w:rsidR="000B5D94" w:rsidRPr="000B5D94" w:rsidRDefault="00E926A0" w:rsidP="000B5D94">
      <w:pPr>
        <w:keepNext/>
        <w:numPr>
          <w:ilvl w:val="1"/>
          <w:numId w:val="1"/>
        </w:numPr>
        <w:tabs>
          <w:tab w:val="clear" w:pos="855"/>
        </w:tabs>
        <w:ind w:left="851" w:hanging="851"/>
        <w:rPr>
          <w:b/>
          <w:sz w:val="24"/>
          <w:szCs w:val="24"/>
        </w:rPr>
      </w:pPr>
      <w:r w:rsidRPr="008C5CD5">
        <w:rPr>
          <w:b/>
          <w:sz w:val="24"/>
          <w:szCs w:val="24"/>
        </w:rPr>
        <w:t>Kontraindikationer</w:t>
      </w:r>
    </w:p>
    <w:p w:rsidR="00223179" w:rsidRPr="00223179" w:rsidRDefault="00223179" w:rsidP="00223179">
      <w:pPr>
        <w:keepNext/>
        <w:ind w:firstLine="851"/>
        <w:rPr>
          <w:sz w:val="24"/>
          <w:szCs w:val="24"/>
        </w:rPr>
      </w:pPr>
      <w:proofErr w:type="spellStart"/>
      <w:r w:rsidRPr="00223179">
        <w:rPr>
          <w:sz w:val="24"/>
          <w:szCs w:val="24"/>
        </w:rPr>
        <w:t>Spironolacton</w:t>
      </w:r>
      <w:proofErr w:type="spellEnd"/>
      <w:r w:rsidRPr="00223179">
        <w:rPr>
          <w:sz w:val="24"/>
          <w:szCs w:val="24"/>
        </w:rPr>
        <w:t xml:space="preserve"> er kontraindiceret hos voksne og børn i følgende tilfælde:</w:t>
      </w:r>
    </w:p>
    <w:p w:rsidR="00223179" w:rsidRDefault="00223179" w:rsidP="00223179">
      <w:pPr>
        <w:ind w:left="851"/>
        <w:rPr>
          <w:sz w:val="24"/>
          <w:szCs w:val="24"/>
        </w:rPr>
      </w:pPr>
    </w:p>
    <w:p w:rsidR="000B5D94" w:rsidRDefault="000B5D94" w:rsidP="000B5D94">
      <w:pPr>
        <w:numPr>
          <w:ilvl w:val="0"/>
          <w:numId w:val="17"/>
        </w:numPr>
        <w:ind w:left="1276" w:hanging="425"/>
        <w:rPr>
          <w:sz w:val="24"/>
          <w:szCs w:val="24"/>
        </w:rPr>
      </w:pPr>
      <w:r>
        <w:rPr>
          <w:sz w:val="24"/>
          <w:szCs w:val="24"/>
        </w:rPr>
        <w:t>overfølsomhed over for det aktive stof eller over for et eller flere af hjælpestofferne anført i pkt. 6.1.</w:t>
      </w:r>
    </w:p>
    <w:p w:rsidR="000B5D94" w:rsidRDefault="000B5D94" w:rsidP="000B5D94">
      <w:pPr>
        <w:numPr>
          <w:ilvl w:val="0"/>
          <w:numId w:val="17"/>
        </w:numPr>
        <w:ind w:left="1276" w:hanging="425"/>
        <w:rPr>
          <w:sz w:val="24"/>
          <w:szCs w:val="24"/>
        </w:rPr>
      </w:pPr>
      <w:proofErr w:type="spellStart"/>
      <w:r>
        <w:rPr>
          <w:sz w:val="24"/>
          <w:szCs w:val="24"/>
        </w:rPr>
        <w:t>hyperkaliæmi</w:t>
      </w:r>
      <w:proofErr w:type="spellEnd"/>
    </w:p>
    <w:p w:rsidR="000B5D94" w:rsidRDefault="000B5D94" w:rsidP="000B5D94">
      <w:pPr>
        <w:numPr>
          <w:ilvl w:val="0"/>
          <w:numId w:val="17"/>
        </w:numPr>
        <w:ind w:left="1276" w:hanging="425"/>
        <w:rPr>
          <w:sz w:val="24"/>
          <w:szCs w:val="24"/>
        </w:rPr>
      </w:pPr>
      <w:proofErr w:type="spellStart"/>
      <w:r>
        <w:rPr>
          <w:sz w:val="24"/>
          <w:szCs w:val="24"/>
        </w:rPr>
        <w:t>hyponatriæmi</w:t>
      </w:r>
      <w:proofErr w:type="spellEnd"/>
    </w:p>
    <w:p w:rsidR="000B5D94" w:rsidRDefault="000B5D94" w:rsidP="000B5D94">
      <w:pPr>
        <w:numPr>
          <w:ilvl w:val="0"/>
          <w:numId w:val="17"/>
        </w:numPr>
        <w:ind w:left="1276" w:hanging="425"/>
        <w:rPr>
          <w:sz w:val="24"/>
          <w:szCs w:val="24"/>
        </w:rPr>
      </w:pPr>
      <w:proofErr w:type="spellStart"/>
      <w:r>
        <w:rPr>
          <w:sz w:val="24"/>
          <w:szCs w:val="24"/>
        </w:rPr>
        <w:t>addisons</w:t>
      </w:r>
      <w:proofErr w:type="spellEnd"/>
      <w:r>
        <w:rPr>
          <w:sz w:val="24"/>
          <w:szCs w:val="24"/>
        </w:rPr>
        <w:t xml:space="preserve"> krise</w:t>
      </w:r>
    </w:p>
    <w:p w:rsidR="000B5D94" w:rsidRDefault="000B5D94" w:rsidP="000B5D94">
      <w:pPr>
        <w:numPr>
          <w:ilvl w:val="0"/>
          <w:numId w:val="17"/>
        </w:numPr>
        <w:ind w:left="1276" w:hanging="425"/>
        <w:rPr>
          <w:sz w:val="24"/>
          <w:szCs w:val="24"/>
        </w:rPr>
      </w:pPr>
      <w:r>
        <w:rPr>
          <w:sz w:val="24"/>
          <w:szCs w:val="24"/>
        </w:rPr>
        <w:t xml:space="preserve">akut og kronisk nyreinsufficiens, </w:t>
      </w:r>
      <w:proofErr w:type="spellStart"/>
      <w:r>
        <w:rPr>
          <w:sz w:val="24"/>
          <w:szCs w:val="24"/>
        </w:rPr>
        <w:t>kreatininclearance</w:t>
      </w:r>
      <w:proofErr w:type="spellEnd"/>
      <w:r>
        <w:rPr>
          <w:sz w:val="24"/>
          <w:szCs w:val="24"/>
        </w:rPr>
        <w:t xml:space="preserve"> under 30 ml/min.</w:t>
      </w:r>
    </w:p>
    <w:p w:rsidR="000B5D94" w:rsidRDefault="000B5D94" w:rsidP="000B5D94">
      <w:pPr>
        <w:numPr>
          <w:ilvl w:val="0"/>
          <w:numId w:val="17"/>
        </w:numPr>
        <w:ind w:left="1276" w:hanging="425"/>
        <w:rPr>
          <w:sz w:val="24"/>
          <w:szCs w:val="24"/>
        </w:rPr>
      </w:pPr>
      <w:proofErr w:type="spellStart"/>
      <w:r>
        <w:rPr>
          <w:sz w:val="24"/>
          <w:szCs w:val="24"/>
        </w:rPr>
        <w:t>anuri</w:t>
      </w:r>
      <w:proofErr w:type="spellEnd"/>
    </w:p>
    <w:p w:rsidR="000B5D94" w:rsidRDefault="000B5D94" w:rsidP="000B5D94">
      <w:pPr>
        <w:numPr>
          <w:ilvl w:val="0"/>
          <w:numId w:val="17"/>
        </w:numPr>
        <w:ind w:left="1276" w:hanging="425"/>
        <w:rPr>
          <w:sz w:val="24"/>
          <w:szCs w:val="24"/>
        </w:rPr>
      </w:pPr>
      <w:proofErr w:type="spellStart"/>
      <w:r>
        <w:rPr>
          <w:sz w:val="24"/>
          <w:szCs w:val="24"/>
        </w:rPr>
        <w:t>porfyri</w:t>
      </w:r>
      <w:proofErr w:type="spellEnd"/>
      <w:r>
        <w:rPr>
          <w:sz w:val="24"/>
          <w:szCs w:val="24"/>
        </w:rPr>
        <w:t>.</w:t>
      </w:r>
    </w:p>
    <w:p w:rsidR="00E926A0" w:rsidRDefault="00E926A0" w:rsidP="00E926A0">
      <w:pPr>
        <w:ind w:left="851" w:hanging="851"/>
        <w:rPr>
          <w:sz w:val="24"/>
          <w:szCs w:val="24"/>
        </w:rPr>
      </w:pPr>
    </w:p>
    <w:p w:rsidR="00223179" w:rsidRDefault="00223179" w:rsidP="00223179">
      <w:pPr>
        <w:ind w:left="1702" w:hanging="851"/>
        <w:rPr>
          <w:sz w:val="24"/>
          <w:szCs w:val="24"/>
        </w:rPr>
      </w:pPr>
      <w:proofErr w:type="spellStart"/>
      <w:r>
        <w:rPr>
          <w:sz w:val="24"/>
          <w:szCs w:val="24"/>
        </w:rPr>
        <w:t>Spironolacton</w:t>
      </w:r>
      <w:proofErr w:type="spellEnd"/>
      <w:r>
        <w:rPr>
          <w:sz w:val="24"/>
          <w:szCs w:val="24"/>
        </w:rPr>
        <w:t xml:space="preserve"> er kontraindiceret hos børn med moderat til svært nedsat nyrefunktion. </w:t>
      </w:r>
    </w:p>
    <w:p w:rsidR="00223179" w:rsidRPr="008C5CD5" w:rsidRDefault="00223179" w:rsidP="00E926A0">
      <w:pPr>
        <w:ind w:left="851" w:hanging="851"/>
        <w:rPr>
          <w:sz w:val="24"/>
          <w:szCs w:val="24"/>
        </w:rPr>
      </w:pPr>
    </w:p>
    <w:p w:rsidR="00E926A0" w:rsidRPr="008C5CD5" w:rsidRDefault="00E926A0" w:rsidP="00E926A0">
      <w:pPr>
        <w:numPr>
          <w:ilvl w:val="1"/>
          <w:numId w:val="1"/>
        </w:numPr>
        <w:tabs>
          <w:tab w:val="clear" w:pos="855"/>
        </w:tabs>
        <w:ind w:left="851" w:hanging="851"/>
        <w:rPr>
          <w:b/>
          <w:sz w:val="24"/>
          <w:szCs w:val="24"/>
        </w:rPr>
      </w:pPr>
      <w:r w:rsidRPr="008C5CD5">
        <w:rPr>
          <w:b/>
          <w:sz w:val="24"/>
          <w:szCs w:val="24"/>
        </w:rPr>
        <w:t>Særlige advarsler og forsigtighedsregler vedrørende brugen</w:t>
      </w:r>
    </w:p>
    <w:p w:rsidR="00E926A0" w:rsidRDefault="00E926A0" w:rsidP="00E926A0">
      <w:pPr>
        <w:ind w:left="851" w:hanging="851"/>
        <w:rPr>
          <w:sz w:val="24"/>
          <w:szCs w:val="24"/>
        </w:rPr>
      </w:pPr>
      <w:r w:rsidRPr="008C5CD5">
        <w:rPr>
          <w:sz w:val="24"/>
          <w:szCs w:val="24"/>
        </w:rPr>
        <w:tab/>
      </w:r>
      <w:r>
        <w:rPr>
          <w:sz w:val="24"/>
          <w:szCs w:val="24"/>
        </w:rPr>
        <w:t xml:space="preserve">Serumelektrolytkoncentrationer og nyrefunktion bør monitoreres regelmæssigt under behandling med </w:t>
      </w:r>
      <w:proofErr w:type="spellStart"/>
      <w:r>
        <w:rPr>
          <w:sz w:val="24"/>
          <w:szCs w:val="24"/>
        </w:rPr>
        <w:t>Spiron</w:t>
      </w:r>
      <w:proofErr w:type="spellEnd"/>
      <w:r>
        <w:rPr>
          <w:sz w:val="24"/>
          <w:szCs w:val="24"/>
        </w:rPr>
        <w:t>.</w:t>
      </w:r>
    </w:p>
    <w:p w:rsidR="00E926A0" w:rsidRDefault="00E926A0" w:rsidP="00E926A0">
      <w:pPr>
        <w:ind w:left="851" w:hanging="851"/>
        <w:rPr>
          <w:sz w:val="24"/>
          <w:szCs w:val="24"/>
        </w:rPr>
      </w:pPr>
    </w:p>
    <w:p w:rsidR="00E926A0" w:rsidRDefault="00E926A0" w:rsidP="00E926A0">
      <w:pPr>
        <w:ind w:left="851" w:hanging="851"/>
        <w:rPr>
          <w:sz w:val="24"/>
          <w:szCs w:val="24"/>
        </w:rPr>
      </w:pPr>
      <w:r>
        <w:rPr>
          <w:sz w:val="24"/>
          <w:szCs w:val="24"/>
        </w:rPr>
        <w:tab/>
        <w:t xml:space="preserve">Samtidig anvendelse af lægemidler, der vides at forårsage </w:t>
      </w:r>
      <w:proofErr w:type="spellStart"/>
      <w:r>
        <w:rPr>
          <w:sz w:val="24"/>
          <w:szCs w:val="24"/>
        </w:rPr>
        <w:t>hyperkaliæmi</w:t>
      </w:r>
      <w:proofErr w:type="spellEnd"/>
      <w:r>
        <w:rPr>
          <w:sz w:val="24"/>
          <w:szCs w:val="24"/>
        </w:rPr>
        <w:t xml:space="preserve">, og </w:t>
      </w:r>
      <w:proofErr w:type="spellStart"/>
      <w:r>
        <w:rPr>
          <w:sz w:val="24"/>
          <w:szCs w:val="24"/>
        </w:rPr>
        <w:t>spironolacton</w:t>
      </w:r>
      <w:proofErr w:type="spellEnd"/>
      <w:r>
        <w:rPr>
          <w:sz w:val="24"/>
          <w:szCs w:val="24"/>
        </w:rPr>
        <w:t xml:space="preserve"> kan føre til svær </w:t>
      </w:r>
      <w:proofErr w:type="spellStart"/>
      <w:r>
        <w:rPr>
          <w:sz w:val="24"/>
          <w:szCs w:val="24"/>
        </w:rPr>
        <w:t>hyperkaliæmi</w:t>
      </w:r>
      <w:proofErr w:type="spellEnd"/>
      <w:r>
        <w:rPr>
          <w:sz w:val="24"/>
          <w:szCs w:val="24"/>
        </w:rPr>
        <w:t>.</w:t>
      </w:r>
    </w:p>
    <w:p w:rsidR="00E926A0" w:rsidRPr="008C5CD5" w:rsidRDefault="00E926A0" w:rsidP="00E926A0">
      <w:pPr>
        <w:ind w:left="851" w:hanging="851"/>
        <w:rPr>
          <w:sz w:val="24"/>
          <w:szCs w:val="24"/>
        </w:rPr>
      </w:pPr>
    </w:p>
    <w:p w:rsidR="00E926A0" w:rsidRPr="008C5CD5" w:rsidRDefault="00E926A0" w:rsidP="00E926A0">
      <w:pPr>
        <w:ind w:left="851"/>
        <w:rPr>
          <w:sz w:val="24"/>
          <w:szCs w:val="24"/>
        </w:rPr>
      </w:pPr>
      <w:r w:rsidRPr="008C5CD5">
        <w:rPr>
          <w:sz w:val="24"/>
          <w:szCs w:val="24"/>
        </w:rPr>
        <w:t xml:space="preserve">Risikoen for </w:t>
      </w:r>
      <w:proofErr w:type="spellStart"/>
      <w:r w:rsidRPr="008C5CD5">
        <w:rPr>
          <w:sz w:val="24"/>
          <w:szCs w:val="24"/>
        </w:rPr>
        <w:t>hyperkaliæmi</w:t>
      </w:r>
      <w:proofErr w:type="spellEnd"/>
      <w:r w:rsidRPr="008C5CD5">
        <w:rPr>
          <w:sz w:val="24"/>
          <w:szCs w:val="24"/>
        </w:rPr>
        <w:t xml:space="preserve"> er højere hos ældre patienter og hos patienter med nyre- eller leversvigt samt ved samtidig anvendelse af </w:t>
      </w:r>
      <w:proofErr w:type="spellStart"/>
      <w:r w:rsidRPr="008C5CD5">
        <w:rPr>
          <w:sz w:val="24"/>
          <w:szCs w:val="24"/>
        </w:rPr>
        <w:t>spironolacton</w:t>
      </w:r>
      <w:proofErr w:type="spellEnd"/>
      <w:r w:rsidRPr="008C5CD5">
        <w:rPr>
          <w:sz w:val="24"/>
          <w:szCs w:val="24"/>
        </w:rPr>
        <w:t xml:space="preserve"> og ACE-</w:t>
      </w:r>
      <w:proofErr w:type="spellStart"/>
      <w:r w:rsidRPr="008C5CD5">
        <w:rPr>
          <w:sz w:val="24"/>
          <w:szCs w:val="24"/>
        </w:rPr>
        <w:t>hæmmere</w:t>
      </w:r>
      <w:proofErr w:type="spellEnd"/>
      <w:r w:rsidRPr="008C5CD5">
        <w:rPr>
          <w:sz w:val="24"/>
          <w:szCs w:val="24"/>
        </w:rPr>
        <w:t xml:space="preserve"> eller </w:t>
      </w:r>
      <w:proofErr w:type="spellStart"/>
      <w:r w:rsidRPr="008C5CD5">
        <w:rPr>
          <w:sz w:val="24"/>
          <w:szCs w:val="24"/>
        </w:rPr>
        <w:t>angiotensin</w:t>
      </w:r>
      <w:proofErr w:type="spellEnd"/>
      <w:r w:rsidRPr="008C5CD5">
        <w:rPr>
          <w:sz w:val="24"/>
          <w:szCs w:val="24"/>
        </w:rPr>
        <w:t xml:space="preserve"> II-receptorantagonister (</w:t>
      </w:r>
      <w:proofErr w:type="spellStart"/>
      <w:r w:rsidRPr="008C5CD5">
        <w:rPr>
          <w:sz w:val="24"/>
          <w:szCs w:val="24"/>
        </w:rPr>
        <w:t>ARB’ere</w:t>
      </w:r>
      <w:proofErr w:type="spellEnd"/>
      <w:r w:rsidRPr="008C5CD5">
        <w:rPr>
          <w:sz w:val="24"/>
          <w:szCs w:val="24"/>
        </w:rPr>
        <w:t xml:space="preserve">) eller andre </w:t>
      </w:r>
      <w:proofErr w:type="spellStart"/>
      <w:r w:rsidRPr="008C5CD5">
        <w:rPr>
          <w:sz w:val="24"/>
          <w:szCs w:val="24"/>
        </w:rPr>
        <w:t>diuretika</w:t>
      </w:r>
      <w:proofErr w:type="spellEnd"/>
      <w:r w:rsidRPr="008C5CD5">
        <w:rPr>
          <w:sz w:val="24"/>
          <w:szCs w:val="24"/>
        </w:rPr>
        <w:t>. Hos disse patienter bør kaliumkoncentrationen monitoreres omhyggeligt (se også pkt. 4.5).</w:t>
      </w:r>
    </w:p>
    <w:p w:rsidR="00E926A0" w:rsidRPr="008C5CD5" w:rsidRDefault="00E926A0" w:rsidP="00E926A0">
      <w:pPr>
        <w:ind w:left="851" w:hanging="851"/>
        <w:rPr>
          <w:sz w:val="24"/>
          <w:szCs w:val="24"/>
        </w:rPr>
      </w:pPr>
    </w:p>
    <w:p w:rsidR="00E926A0" w:rsidRPr="008C5CD5" w:rsidRDefault="00E926A0" w:rsidP="00E926A0">
      <w:pPr>
        <w:ind w:left="851"/>
        <w:rPr>
          <w:sz w:val="24"/>
          <w:szCs w:val="24"/>
        </w:rPr>
      </w:pPr>
      <w:proofErr w:type="spellStart"/>
      <w:r w:rsidRPr="008C5CD5">
        <w:rPr>
          <w:sz w:val="24"/>
          <w:szCs w:val="24"/>
        </w:rPr>
        <w:t>Hyperkaliæmi</w:t>
      </w:r>
      <w:proofErr w:type="spellEnd"/>
      <w:r w:rsidRPr="008C5CD5">
        <w:rPr>
          <w:sz w:val="24"/>
          <w:szCs w:val="24"/>
        </w:rPr>
        <w:t xml:space="preserve"> kan være dødeligt. Det er kritisk at monitorere og justere serumkalium hos patienter med kronisk hjertesvigt, som behandles med </w:t>
      </w:r>
      <w:proofErr w:type="spellStart"/>
      <w:r w:rsidRPr="008C5CD5">
        <w:rPr>
          <w:sz w:val="24"/>
          <w:szCs w:val="24"/>
        </w:rPr>
        <w:t>spironolacton</w:t>
      </w:r>
      <w:proofErr w:type="spellEnd"/>
      <w:r w:rsidRPr="008C5CD5">
        <w:rPr>
          <w:sz w:val="24"/>
          <w:szCs w:val="24"/>
        </w:rPr>
        <w:t xml:space="preserve">. Undgå anvendelse af andre kaliumbesparende </w:t>
      </w:r>
      <w:proofErr w:type="spellStart"/>
      <w:r w:rsidRPr="008C5CD5">
        <w:rPr>
          <w:sz w:val="24"/>
          <w:szCs w:val="24"/>
        </w:rPr>
        <w:t>diuretika</w:t>
      </w:r>
      <w:proofErr w:type="spellEnd"/>
      <w:r w:rsidRPr="008C5CD5">
        <w:rPr>
          <w:sz w:val="24"/>
          <w:szCs w:val="24"/>
        </w:rPr>
        <w:t>. Undgå anvendelse af orale kaliumtilskud hos patienter med serumkalium &gt;</w:t>
      </w:r>
      <w:r w:rsidR="00223179">
        <w:rPr>
          <w:sz w:val="24"/>
          <w:szCs w:val="24"/>
        </w:rPr>
        <w:t xml:space="preserve"> </w:t>
      </w:r>
      <w:r w:rsidRPr="008C5CD5">
        <w:rPr>
          <w:sz w:val="24"/>
          <w:szCs w:val="24"/>
        </w:rPr>
        <w:t>3,5 mmol/</w:t>
      </w:r>
      <w:r>
        <w:rPr>
          <w:sz w:val="24"/>
          <w:szCs w:val="24"/>
        </w:rPr>
        <w:t>L</w:t>
      </w:r>
      <w:r w:rsidRPr="008C5CD5">
        <w:rPr>
          <w:sz w:val="24"/>
          <w:szCs w:val="24"/>
        </w:rPr>
        <w:t xml:space="preserve">. Den anbefalede monitorering af kalium og </w:t>
      </w:r>
      <w:proofErr w:type="spellStart"/>
      <w:r w:rsidRPr="008C5CD5">
        <w:rPr>
          <w:sz w:val="24"/>
          <w:szCs w:val="24"/>
        </w:rPr>
        <w:t>kreatinin</w:t>
      </w:r>
      <w:proofErr w:type="spellEnd"/>
      <w:r w:rsidRPr="008C5CD5">
        <w:rPr>
          <w:sz w:val="24"/>
          <w:szCs w:val="24"/>
        </w:rPr>
        <w:t xml:space="preserve"> er 1</w:t>
      </w:r>
      <w:r w:rsidR="00223179">
        <w:rPr>
          <w:sz w:val="24"/>
          <w:szCs w:val="24"/>
        </w:rPr>
        <w:t> </w:t>
      </w:r>
      <w:r w:rsidRPr="008C5CD5">
        <w:rPr>
          <w:sz w:val="24"/>
          <w:szCs w:val="24"/>
        </w:rPr>
        <w:t xml:space="preserve">uge efter initiering eller øgning af </w:t>
      </w:r>
      <w:proofErr w:type="spellStart"/>
      <w:r w:rsidRPr="008C5CD5">
        <w:rPr>
          <w:sz w:val="24"/>
          <w:szCs w:val="24"/>
        </w:rPr>
        <w:t>spironolactondosis</w:t>
      </w:r>
      <w:proofErr w:type="spellEnd"/>
      <w:r w:rsidRPr="008C5CD5">
        <w:rPr>
          <w:sz w:val="24"/>
          <w:szCs w:val="24"/>
        </w:rPr>
        <w:t>, 1 gang månedligt i de første 3</w:t>
      </w:r>
      <w:r w:rsidR="00223179">
        <w:rPr>
          <w:sz w:val="24"/>
          <w:szCs w:val="24"/>
        </w:rPr>
        <w:t> </w:t>
      </w:r>
      <w:r w:rsidRPr="008C5CD5">
        <w:rPr>
          <w:sz w:val="24"/>
          <w:szCs w:val="24"/>
        </w:rPr>
        <w:t>måneder, herefter hver 3. måned i et år og derefter hver 6. måned. Ved serumkalium &gt;</w:t>
      </w:r>
      <w:r w:rsidR="00223179">
        <w:rPr>
          <w:sz w:val="24"/>
          <w:szCs w:val="24"/>
        </w:rPr>
        <w:t> </w:t>
      </w:r>
      <w:r w:rsidRPr="008C5CD5">
        <w:rPr>
          <w:sz w:val="24"/>
          <w:szCs w:val="24"/>
        </w:rPr>
        <w:t>5</w:t>
      </w:r>
      <w:r w:rsidR="00223179">
        <w:rPr>
          <w:sz w:val="24"/>
          <w:szCs w:val="24"/>
        </w:rPr>
        <w:t> </w:t>
      </w:r>
      <w:r w:rsidRPr="008C5CD5">
        <w:rPr>
          <w:sz w:val="24"/>
          <w:szCs w:val="24"/>
        </w:rPr>
        <w:t>mmol/</w:t>
      </w:r>
      <w:r>
        <w:rPr>
          <w:sz w:val="24"/>
          <w:szCs w:val="24"/>
        </w:rPr>
        <w:t>L</w:t>
      </w:r>
      <w:r w:rsidRPr="008C5CD5">
        <w:rPr>
          <w:sz w:val="24"/>
          <w:szCs w:val="24"/>
        </w:rPr>
        <w:t xml:space="preserve"> eller </w:t>
      </w:r>
      <w:proofErr w:type="spellStart"/>
      <w:r w:rsidRPr="008C5CD5">
        <w:rPr>
          <w:sz w:val="24"/>
          <w:szCs w:val="24"/>
        </w:rPr>
        <w:t>serumkreatinin</w:t>
      </w:r>
      <w:proofErr w:type="spellEnd"/>
      <w:r w:rsidRPr="008C5CD5">
        <w:rPr>
          <w:sz w:val="24"/>
          <w:szCs w:val="24"/>
        </w:rPr>
        <w:t xml:space="preserve"> &gt;</w:t>
      </w:r>
      <w:r>
        <w:rPr>
          <w:sz w:val="24"/>
          <w:szCs w:val="24"/>
        </w:rPr>
        <w:t xml:space="preserve"> </w:t>
      </w:r>
      <w:r w:rsidRPr="008C5CD5">
        <w:rPr>
          <w:sz w:val="24"/>
          <w:szCs w:val="24"/>
        </w:rPr>
        <w:t>220 mikromol/</w:t>
      </w:r>
      <w:r>
        <w:rPr>
          <w:sz w:val="24"/>
          <w:szCs w:val="24"/>
        </w:rPr>
        <w:t>L</w:t>
      </w:r>
      <w:r w:rsidRPr="008C5CD5">
        <w:rPr>
          <w:sz w:val="24"/>
          <w:szCs w:val="24"/>
        </w:rPr>
        <w:t xml:space="preserve"> seponeres eller afbrydes behandlingen.</w:t>
      </w:r>
    </w:p>
    <w:p w:rsidR="00E926A0" w:rsidRPr="008C5CD5" w:rsidRDefault="00E926A0" w:rsidP="00E926A0">
      <w:pPr>
        <w:ind w:left="851" w:hanging="851"/>
        <w:rPr>
          <w:sz w:val="24"/>
          <w:szCs w:val="24"/>
        </w:rPr>
      </w:pPr>
    </w:p>
    <w:p w:rsidR="00E926A0" w:rsidRPr="008C5CD5" w:rsidRDefault="00E926A0" w:rsidP="00E926A0">
      <w:pPr>
        <w:ind w:left="851"/>
        <w:rPr>
          <w:sz w:val="24"/>
          <w:szCs w:val="24"/>
        </w:rPr>
      </w:pPr>
      <w:r w:rsidRPr="008C5CD5">
        <w:rPr>
          <w:sz w:val="24"/>
          <w:szCs w:val="24"/>
        </w:rPr>
        <w:t xml:space="preserve">Kaliumtilskud, kaliumholdige salterstatninger eller kaliumrig diæt frarådes som følge af risiko for </w:t>
      </w:r>
      <w:proofErr w:type="spellStart"/>
      <w:r w:rsidRPr="008C5CD5">
        <w:rPr>
          <w:sz w:val="24"/>
          <w:szCs w:val="24"/>
        </w:rPr>
        <w:t>hyperkaliæmi</w:t>
      </w:r>
      <w:proofErr w:type="spellEnd"/>
      <w:r w:rsidRPr="008C5CD5">
        <w:rPr>
          <w:sz w:val="24"/>
          <w:szCs w:val="24"/>
        </w:rPr>
        <w:t xml:space="preserve"> (se også pkt</w:t>
      </w:r>
      <w:r>
        <w:rPr>
          <w:sz w:val="24"/>
          <w:szCs w:val="24"/>
        </w:rPr>
        <w:t>.</w:t>
      </w:r>
      <w:r w:rsidRPr="008C5CD5">
        <w:rPr>
          <w:sz w:val="24"/>
          <w:szCs w:val="24"/>
        </w:rPr>
        <w:t xml:space="preserve"> 4.5).</w:t>
      </w:r>
    </w:p>
    <w:p w:rsidR="00E926A0" w:rsidRPr="008C5CD5" w:rsidRDefault="00E926A0" w:rsidP="00E926A0">
      <w:pPr>
        <w:ind w:left="851" w:hanging="851"/>
        <w:rPr>
          <w:sz w:val="24"/>
          <w:szCs w:val="24"/>
        </w:rPr>
      </w:pPr>
    </w:p>
    <w:p w:rsidR="00E926A0" w:rsidRPr="008C5CD5" w:rsidRDefault="00E926A0" w:rsidP="00E926A0">
      <w:pPr>
        <w:ind w:left="851"/>
        <w:rPr>
          <w:sz w:val="24"/>
          <w:szCs w:val="24"/>
        </w:rPr>
      </w:pPr>
      <w:r w:rsidRPr="008C5CD5">
        <w:rPr>
          <w:sz w:val="24"/>
          <w:szCs w:val="24"/>
        </w:rPr>
        <w:lastRenderedPageBreak/>
        <w:t xml:space="preserve">Hos patienter med levercirrose er </w:t>
      </w:r>
      <w:proofErr w:type="spellStart"/>
      <w:r w:rsidRPr="008C5CD5">
        <w:rPr>
          <w:sz w:val="24"/>
          <w:szCs w:val="24"/>
        </w:rPr>
        <w:t>hypochloræmisk</w:t>
      </w:r>
      <w:proofErr w:type="spellEnd"/>
      <w:r w:rsidRPr="008C5CD5">
        <w:rPr>
          <w:sz w:val="24"/>
          <w:szCs w:val="24"/>
        </w:rPr>
        <w:t xml:space="preserve"> metabolisk </w:t>
      </w:r>
      <w:proofErr w:type="spellStart"/>
      <w:r w:rsidRPr="008C5CD5">
        <w:rPr>
          <w:sz w:val="24"/>
          <w:szCs w:val="24"/>
        </w:rPr>
        <w:t>acidose</w:t>
      </w:r>
      <w:proofErr w:type="spellEnd"/>
      <w:r w:rsidRPr="008C5CD5">
        <w:rPr>
          <w:sz w:val="24"/>
          <w:szCs w:val="24"/>
        </w:rPr>
        <w:t xml:space="preserve"> med </w:t>
      </w:r>
      <w:proofErr w:type="spellStart"/>
      <w:r w:rsidRPr="008C5CD5">
        <w:rPr>
          <w:sz w:val="24"/>
          <w:szCs w:val="24"/>
        </w:rPr>
        <w:t>hyperkaliæmi</w:t>
      </w:r>
      <w:proofErr w:type="spellEnd"/>
      <w:r w:rsidRPr="008C5CD5">
        <w:rPr>
          <w:sz w:val="24"/>
          <w:szCs w:val="24"/>
        </w:rPr>
        <w:t xml:space="preserve"> blevet rapporteret under behandling med </w:t>
      </w:r>
      <w:proofErr w:type="spellStart"/>
      <w:r w:rsidRPr="008C5CD5">
        <w:rPr>
          <w:sz w:val="24"/>
          <w:szCs w:val="24"/>
        </w:rPr>
        <w:t>spironolacton</w:t>
      </w:r>
      <w:proofErr w:type="spellEnd"/>
      <w:r w:rsidRPr="008C5CD5">
        <w:rPr>
          <w:sz w:val="24"/>
          <w:szCs w:val="24"/>
        </w:rPr>
        <w:t xml:space="preserve"> trods normal nyrefunktion. Patienter med levercirrose samt andre patienter med risiko for </w:t>
      </w:r>
      <w:proofErr w:type="spellStart"/>
      <w:r w:rsidRPr="008C5CD5">
        <w:rPr>
          <w:sz w:val="24"/>
          <w:szCs w:val="24"/>
        </w:rPr>
        <w:t>acidose</w:t>
      </w:r>
      <w:proofErr w:type="spellEnd"/>
      <w:r w:rsidRPr="008C5CD5">
        <w:rPr>
          <w:sz w:val="24"/>
          <w:szCs w:val="24"/>
        </w:rPr>
        <w:t xml:space="preserve"> skal monitoreres omhyggeligt.</w:t>
      </w:r>
    </w:p>
    <w:p w:rsidR="00E926A0" w:rsidRPr="008C5CD5" w:rsidRDefault="00E926A0" w:rsidP="00E926A0">
      <w:pPr>
        <w:ind w:left="851" w:hanging="851"/>
        <w:rPr>
          <w:sz w:val="24"/>
          <w:szCs w:val="24"/>
        </w:rPr>
      </w:pPr>
    </w:p>
    <w:p w:rsidR="00E926A0" w:rsidRPr="008C5CD5" w:rsidRDefault="00E926A0" w:rsidP="00E926A0">
      <w:pPr>
        <w:ind w:left="851"/>
        <w:rPr>
          <w:sz w:val="24"/>
          <w:szCs w:val="24"/>
        </w:rPr>
      </w:pPr>
      <w:r w:rsidRPr="008C5CD5">
        <w:rPr>
          <w:sz w:val="24"/>
          <w:szCs w:val="24"/>
        </w:rPr>
        <w:t>Særlig forsigtighed tilrådes ved behandling af patienter med diabetes med nedsat nyrefunktion.</w:t>
      </w:r>
    </w:p>
    <w:p w:rsidR="00E926A0" w:rsidRPr="008C5CD5" w:rsidRDefault="00E926A0" w:rsidP="00E926A0">
      <w:pPr>
        <w:ind w:left="851" w:hanging="851"/>
        <w:rPr>
          <w:sz w:val="24"/>
          <w:szCs w:val="24"/>
        </w:rPr>
      </w:pPr>
    </w:p>
    <w:p w:rsidR="00E926A0" w:rsidRPr="008C5CD5" w:rsidRDefault="00E926A0" w:rsidP="00E926A0">
      <w:pPr>
        <w:ind w:left="851"/>
        <w:rPr>
          <w:sz w:val="24"/>
          <w:szCs w:val="24"/>
        </w:rPr>
      </w:pPr>
      <w:r w:rsidRPr="008C5CD5">
        <w:rPr>
          <w:sz w:val="24"/>
          <w:szCs w:val="24"/>
        </w:rPr>
        <w:t xml:space="preserve">Forsigtighed tilrådes ved behandling af </w:t>
      </w:r>
      <w:proofErr w:type="spellStart"/>
      <w:r w:rsidRPr="008C5CD5">
        <w:rPr>
          <w:sz w:val="24"/>
          <w:szCs w:val="24"/>
        </w:rPr>
        <w:t>ascites</w:t>
      </w:r>
      <w:proofErr w:type="spellEnd"/>
      <w:r w:rsidRPr="008C5CD5">
        <w:rPr>
          <w:sz w:val="24"/>
          <w:szCs w:val="24"/>
        </w:rPr>
        <w:t xml:space="preserve"> således at patientens legemsvægt ikke reduceres mere end 1 kg/dag (på grund af øget diurese).</w:t>
      </w:r>
    </w:p>
    <w:p w:rsidR="00E926A0" w:rsidRPr="008C5CD5" w:rsidRDefault="00E926A0" w:rsidP="00E926A0">
      <w:pPr>
        <w:ind w:left="851" w:hanging="851"/>
        <w:rPr>
          <w:sz w:val="24"/>
          <w:szCs w:val="24"/>
        </w:rPr>
      </w:pPr>
    </w:p>
    <w:p w:rsidR="00E926A0" w:rsidRPr="008C5CD5" w:rsidRDefault="00E926A0" w:rsidP="00E926A0">
      <w:pPr>
        <w:ind w:left="851"/>
        <w:rPr>
          <w:sz w:val="24"/>
          <w:szCs w:val="24"/>
        </w:rPr>
      </w:pPr>
      <w:r w:rsidRPr="008C5CD5">
        <w:rPr>
          <w:sz w:val="24"/>
          <w:szCs w:val="24"/>
        </w:rPr>
        <w:t xml:space="preserve">Hos patienter med mavesår kan </w:t>
      </w:r>
      <w:proofErr w:type="spellStart"/>
      <w:r w:rsidRPr="008C5CD5">
        <w:rPr>
          <w:sz w:val="24"/>
          <w:szCs w:val="24"/>
        </w:rPr>
        <w:t>spironolacton</w:t>
      </w:r>
      <w:proofErr w:type="spellEnd"/>
      <w:r w:rsidRPr="008C5CD5">
        <w:rPr>
          <w:sz w:val="24"/>
          <w:szCs w:val="24"/>
        </w:rPr>
        <w:t xml:space="preserve"> nedsætte </w:t>
      </w:r>
      <w:proofErr w:type="spellStart"/>
      <w:r w:rsidRPr="008C5CD5">
        <w:rPr>
          <w:sz w:val="24"/>
          <w:szCs w:val="24"/>
        </w:rPr>
        <w:t>ophelingen</w:t>
      </w:r>
      <w:proofErr w:type="spellEnd"/>
      <w:r w:rsidRPr="008C5CD5">
        <w:rPr>
          <w:sz w:val="24"/>
          <w:szCs w:val="24"/>
        </w:rPr>
        <w:t xml:space="preserve"> af såret og bør derfor kun anvendes efter omhyggelig vurdering.</w:t>
      </w:r>
    </w:p>
    <w:p w:rsidR="00E926A0" w:rsidRPr="008C5CD5" w:rsidRDefault="00E926A0" w:rsidP="00E926A0">
      <w:pPr>
        <w:ind w:left="851" w:hanging="851"/>
        <w:rPr>
          <w:sz w:val="24"/>
          <w:szCs w:val="24"/>
        </w:rPr>
      </w:pPr>
    </w:p>
    <w:p w:rsidR="00E926A0" w:rsidRPr="008C5CD5" w:rsidRDefault="00E926A0" w:rsidP="00E926A0">
      <w:pPr>
        <w:ind w:left="851"/>
        <w:rPr>
          <w:sz w:val="24"/>
          <w:szCs w:val="24"/>
        </w:rPr>
      </w:pPr>
      <w:proofErr w:type="spellStart"/>
      <w:r w:rsidRPr="008C5CD5">
        <w:rPr>
          <w:sz w:val="24"/>
          <w:szCs w:val="24"/>
        </w:rPr>
        <w:t>Spironolacton</w:t>
      </w:r>
      <w:proofErr w:type="spellEnd"/>
      <w:r w:rsidRPr="008C5CD5">
        <w:rPr>
          <w:sz w:val="24"/>
          <w:szCs w:val="24"/>
        </w:rPr>
        <w:t xml:space="preserve"> har medført eller stimuleret tumorvækst hos forsøgsdyr. Dette skal tages i betragtning når produktet anvendes. Virkningen kan skyldes hormonændringer af samme karakter, som </w:t>
      </w:r>
      <w:proofErr w:type="spellStart"/>
      <w:r w:rsidRPr="008C5CD5">
        <w:rPr>
          <w:sz w:val="24"/>
          <w:szCs w:val="24"/>
        </w:rPr>
        <w:t>spironolacton</w:t>
      </w:r>
      <w:proofErr w:type="spellEnd"/>
      <w:r w:rsidRPr="008C5CD5">
        <w:rPr>
          <w:sz w:val="24"/>
          <w:szCs w:val="24"/>
        </w:rPr>
        <w:t xml:space="preserve"> medfører hos mennesker (se pkt. 5.3).</w:t>
      </w:r>
    </w:p>
    <w:p w:rsidR="00223179" w:rsidRDefault="00223179" w:rsidP="00223179">
      <w:pPr>
        <w:ind w:left="851"/>
        <w:rPr>
          <w:sz w:val="24"/>
          <w:szCs w:val="24"/>
        </w:rPr>
      </w:pPr>
    </w:p>
    <w:p w:rsidR="00223179" w:rsidRDefault="00223179" w:rsidP="00223179">
      <w:pPr>
        <w:ind w:left="851"/>
        <w:rPr>
          <w:sz w:val="24"/>
          <w:szCs w:val="24"/>
        </w:rPr>
      </w:pPr>
      <w:r w:rsidRPr="00A97E79">
        <w:rPr>
          <w:noProof/>
          <w:sz w:val="24"/>
          <w:szCs w:val="24"/>
          <w:u w:val="single"/>
        </w:rPr>
        <w:t>Pædiatrisk population</w:t>
      </w:r>
    </w:p>
    <w:p w:rsidR="00223179" w:rsidRDefault="00223179" w:rsidP="00223179">
      <w:pPr>
        <w:ind w:left="851" w:right="115"/>
        <w:rPr>
          <w:sz w:val="24"/>
          <w:szCs w:val="24"/>
        </w:rPr>
      </w:pPr>
      <w:r>
        <w:rPr>
          <w:sz w:val="24"/>
          <w:szCs w:val="24"/>
        </w:rPr>
        <w:t xml:space="preserve">Kaliumbesparende </w:t>
      </w:r>
      <w:proofErr w:type="spellStart"/>
      <w:r>
        <w:rPr>
          <w:sz w:val="24"/>
          <w:szCs w:val="24"/>
        </w:rPr>
        <w:t>diuretika</w:t>
      </w:r>
      <w:proofErr w:type="spellEnd"/>
      <w:r>
        <w:rPr>
          <w:sz w:val="24"/>
          <w:szCs w:val="24"/>
        </w:rPr>
        <w:t xml:space="preserve"> bør anvendes med forsigtighed hos </w:t>
      </w:r>
      <w:proofErr w:type="spellStart"/>
      <w:r>
        <w:rPr>
          <w:sz w:val="24"/>
          <w:szCs w:val="24"/>
        </w:rPr>
        <w:t>hypertensive</w:t>
      </w:r>
      <w:proofErr w:type="spellEnd"/>
      <w:r>
        <w:rPr>
          <w:sz w:val="24"/>
          <w:szCs w:val="24"/>
        </w:rPr>
        <w:t xml:space="preserve"> pædiatriske patienter med mild nyreinsufficiens på grund af risikoen for </w:t>
      </w:r>
      <w:proofErr w:type="spellStart"/>
      <w:r>
        <w:rPr>
          <w:sz w:val="24"/>
          <w:szCs w:val="24"/>
        </w:rPr>
        <w:t>hyperkaliæmi</w:t>
      </w:r>
      <w:proofErr w:type="spellEnd"/>
      <w:r>
        <w:rPr>
          <w:sz w:val="24"/>
          <w:szCs w:val="24"/>
        </w:rPr>
        <w:t>. (</w:t>
      </w:r>
      <w:proofErr w:type="spellStart"/>
      <w:r>
        <w:rPr>
          <w:sz w:val="24"/>
          <w:szCs w:val="24"/>
        </w:rPr>
        <w:t>Spironolacton</w:t>
      </w:r>
      <w:proofErr w:type="spellEnd"/>
      <w:r>
        <w:rPr>
          <w:sz w:val="24"/>
          <w:szCs w:val="24"/>
        </w:rPr>
        <w:t xml:space="preserve"> er kontraindiceret til brug hos pædiatriske patienter med moderat eller svært nedsat nyrefunktion; se pkt. 4.3).</w:t>
      </w:r>
    </w:p>
    <w:p w:rsidR="00223179" w:rsidRDefault="00223179" w:rsidP="00223179">
      <w:pPr>
        <w:ind w:left="851" w:right="115"/>
        <w:rPr>
          <w:sz w:val="24"/>
          <w:szCs w:val="24"/>
        </w:rPr>
      </w:pPr>
    </w:p>
    <w:p w:rsidR="00223179" w:rsidRDefault="00223179" w:rsidP="00223179">
      <w:pPr>
        <w:ind w:left="851" w:right="115"/>
        <w:rPr>
          <w:sz w:val="24"/>
          <w:szCs w:val="24"/>
        </w:rPr>
      </w:pPr>
      <w:r>
        <w:rPr>
          <w:sz w:val="24"/>
          <w:szCs w:val="24"/>
          <w:u w:val="single"/>
        </w:rPr>
        <w:t>Hjælpestoffer</w:t>
      </w:r>
    </w:p>
    <w:p w:rsidR="00223179" w:rsidRPr="00A97E79" w:rsidRDefault="00223179" w:rsidP="00223179">
      <w:pPr>
        <w:ind w:left="851" w:hanging="851"/>
        <w:rPr>
          <w:sz w:val="24"/>
          <w:szCs w:val="24"/>
        </w:rPr>
      </w:pPr>
      <w:r>
        <w:rPr>
          <w:sz w:val="24"/>
          <w:szCs w:val="24"/>
        </w:rPr>
        <w:tab/>
      </w:r>
      <w:proofErr w:type="spellStart"/>
      <w:r>
        <w:rPr>
          <w:sz w:val="24"/>
          <w:szCs w:val="24"/>
        </w:rPr>
        <w:t>Spiron</w:t>
      </w:r>
      <w:proofErr w:type="spellEnd"/>
      <w:r>
        <w:rPr>
          <w:sz w:val="24"/>
          <w:szCs w:val="24"/>
        </w:rPr>
        <w:t xml:space="preserve"> indeholder </w:t>
      </w:r>
      <w:proofErr w:type="spellStart"/>
      <w:r>
        <w:rPr>
          <w:sz w:val="24"/>
          <w:szCs w:val="24"/>
        </w:rPr>
        <w:t>lactose</w:t>
      </w:r>
      <w:proofErr w:type="spellEnd"/>
      <w:r>
        <w:rPr>
          <w:sz w:val="24"/>
          <w:szCs w:val="24"/>
        </w:rPr>
        <w:t xml:space="preserve">. </w:t>
      </w:r>
      <w:r w:rsidRPr="00A97E79">
        <w:rPr>
          <w:sz w:val="24"/>
          <w:szCs w:val="24"/>
        </w:rPr>
        <w:t xml:space="preserve">Bør ikke anvendes til patienter med hereditær </w:t>
      </w:r>
      <w:proofErr w:type="spellStart"/>
      <w:r w:rsidRPr="00A97E79">
        <w:rPr>
          <w:sz w:val="24"/>
          <w:szCs w:val="24"/>
        </w:rPr>
        <w:t>galactose</w:t>
      </w:r>
      <w:r>
        <w:rPr>
          <w:sz w:val="24"/>
          <w:szCs w:val="24"/>
        </w:rPr>
        <w:softHyphen/>
      </w:r>
      <w:r w:rsidRPr="00A97E79">
        <w:rPr>
          <w:sz w:val="24"/>
          <w:szCs w:val="24"/>
        </w:rPr>
        <w:t>intolerans</w:t>
      </w:r>
      <w:proofErr w:type="spellEnd"/>
      <w:r w:rsidRPr="00A97E79">
        <w:rPr>
          <w:sz w:val="24"/>
          <w:szCs w:val="24"/>
        </w:rPr>
        <w:t xml:space="preserve">, total </w:t>
      </w:r>
      <w:proofErr w:type="spellStart"/>
      <w:r w:rsidRPr="00A97E79">
        <w:rPr>
          <w:sz w:val="24"/>
          <w:szCs w:val="24"/>
        </w:rPr>
        <w:t>lactasemangel</w:t>
      </w:r>
      <w:proofErr w:type="spellEnd"/>
      <w:r w:rsidRPr="00A97E79">
        <w:rPr>
          <w:sz w:val="24"/>
          <w:szCs w:val="24"/>
        </w:rPr>
        <w:t xml:space="preserve"> </w:t>
      </w:r>
      <w:r>
        <w:rPr>
          <w:sz w:val="24"/>
          <w:szCs w:val="24"/>
        </w:rPr>
        <w:t xml:space="preserve">(Lapp </w:t>
      </w:r>
      <w:proofErr w:type="spellStart"/>
      <w:r>
        <w:rPr>
          <w:sz w:val="24"/>
          <w:szCs w:val="24"/>
        </w:rPr>
        <w:t>Lactase</w:t>
      </w:r>
      <w:proofErr w:type="spellEnd"/>
      <w:r>
        <w:rPr>
          <w:sz w:val="24"/>
          <w:szCs w:val="24"/>
        </w:rPr>
        <w:t xml:space="preserve"> </w:t>
      </w:r>
      <w:proofErr w:type="spellStart"/>
      <w:r>
        <w:rPr>
          <w:sz w:val="24"/>
          <w:szCs w:val="24"/>
        </w:rPr>
        <w:t>deficiency</w:t>
      </w:r>
      <w:proofErr w:type="spellEnd"/>
      <w:r>
        <w:rPr>
          <w:sz w:val="24"/>
          <w:szCs w:val="24"/>
        </w:rPr>
        <w:t xml:space="preserve">) </w:t>
      </w:r>
      <w:r w:rsidRPr="00A97E79">
        <w:rPr>
          <w:sz w:val="24"/>
          <w:szCs w:val="24"/>
        </w:rPr>
        <w:t xml:space="preserve">eller </w:t>
      </w:r>
      <w:proofErr w:type="spellStart"/>
      <w:r w:rsidRPr="00A97E79">
        <w:rPr>
          <w:sz w:val="24"/>
          <w:szCs w:val="24"/>
        </w:rPr>
        <w:t>glucose</w:t>
      </w:r>
      <w:proofErr w:type="spellEnd"/>
      <w:r w:rsidRPr="00A97E79">
        <w:rPr>
          <w:sz w:val="24"/>
          <w:szCs w:val="24"/>
        </w:rPr>
        <w:t>/</w:t>
      </w:r>
      <w:proofErr w:type="spellStart"/>
      <w:r w:rsidRPr="00A97E79">
        <w:rPr>
          <w:sz w:val="24"/>
          <w:szCs w:val="24"/>
        </w:rPr>
        <w:t>galactose</w:t>
      </w:r>
      <w:r>
        <w:rPr>
          <w:sz w:val="24"/>
          <w:szCs w:val="24"/>
        </w:rPr>
        <w:softHyphen/>
      </w:r>
      <w:r w:rsidRPr="00A97E79">
        <w:rPr>
          <w:sz w:val="24"/>
          <w:szCs w:val="24"/>
        </w:rPr>
        <w:t>malabsorption</w:t>
      </w:r>
      <w:proofErr w:type="spellEnd"/>
      <w:r w:rsidRPr="00A97E79">
        <w:rPr>
          <w:sz w:val="24"/>
          <w:szCs w:val="24"/>
        </w:rPr>
        <w:t>.</w:t>
      </w:r>
    </w:p>
    <w:p w:rsidR="000B5D94" w:rsidRPr="008C5CD5" w:rsidRDefault="000B5D94" w:rsidP="000B5D94">
      <w:pPr>
        <w:ind w:left="851" w:hanging="851"/>
        <w:rPr>
          <w:sz w:val="24"/>
          <w:szCs w:val="24"/>
        </w:rPr>
      </w:pPr>
    </w:p>
    <w:p w:rsidR="00E926A0" w:rsidRPr="008C5CD5" w:rsidRDefault="00E926A0" w:rsidP="00E926A0">
      <w:pPr>
        <w:numPr>
          <w:ilvl w:val="1"/>
          <w:numId w:val="1"/>
        </w:numPr>
        <w:tabs>
          <w:tab w:val="clear" w:pos="855"/>
        </w:tabs>
        <w:ind w:left="851" w:hanging="851"/>
        <w:rPr>
          <w:b/>
          <w:sz w:val="24"/>
          <w:szCs w:val="24"/>
        </w:rPr>
      </w:pPr>
      <w:r w:rsidRPr="008C5CD5">
        <w:rPr>
          <w:b/>
          <w:sz w:val="24"/>
          <w:szCs w:val="24"/>
        </w:rPr>
        <w:t>Interaktion med andre lægemidler og andre former for interaktion</w:t>
      </w:r>
    </w:p>
    <w:p w:rsidR="00E926A0" w:rsidRPr="008C5CD5" w:rsidRDefault="00E926A0" w:rsidP="00E926A0">
      <w:pPr>
        <w:ind w:left="851"/>
        <w:rPr>
          <w:sz w:val="24"/>
          <w:szCs w:val="24"/>
        </w:rPr>
      </w:pPr>
      <w:proofErr w:type="spellStart"/>
      <w:r w:rsidRPr="008C5CD5">
        <w:rPr>
          <w:sz w:val="24"/>
          <w:szCs w:val="24"/>
        </w:rPr>
        <w:t>Spironolacton</w:t>
      </w:r>
      <w:proofErr w:type="spellEnd"/>
      <w:r w:rsidRPr="008C5CD5">
        <w:rPr>
          <w:sz w:val="24"/>
          <w:szCs w:val="24"/>
        </w:rPr>
        <w:t xml:space="preserve"> reducerer risikoen for </w:t>
      </w:r>
      <w:proofErr w:type="spellStart"/>
      <w:r w:rsidRPr="008C5CD5">
        <w:rPr>
          <w:sz w:val="24"/>
          <w:szCs w:val="24"/>
        </w:rPr>
        <w:t>hypokaliæmi</w:t>
      </w:r>
      <w:proofErr w:type="spellEnd"/>
      <w:r w:rsidRPr="008C5CD5">
        <w:rPr>
          <w:sz w:val="24"/>
          <w:szCs w:val="24"/>
        </w:rPr>
        <w:t xml:space="preserve"> forårsaget af andre </w:t>
      </w:r>
      <w:proofErr w:type="spellStart"/>
      <w:r w:rsidRPr="008C5CD5">
        <w:rPr>
          <w:sz w:val="24"/>
          <w:szCs w:val="24"/>
        </w:rPr>
        <w:t>diuretika</w:t>
      </w:r>
      <w:proofErr w:type="spellEnd"/>
      <w:r w:rsidRPr="008C5CD5">
        <w:rPr>
          <w:sz w:val="24"/>
          <w:szCs w:val="24"/>
        </w:rPr>
        <w:t xml:space="preserve"> og om nødvendigt, kan det således kombineres med en anden diuretisk behandling. </w:t>
      </w:r>
    </w:p>
    <w:p w:rsidR="00E926A0" w:rsidRPr="008C5CD5" w:rsidRDefault="00E926A0" w:rsidP="00E926A0">
      <w:pPr>
        <w:ind w:left="851" w:hanging="851"/>
        <w:rPr>
          <w:sz w:val="24"/>
          <w:szCs w:val="24"/>
        </w:rPr>
      </w:pPr>
    </w:p>
    <w:p w:rsidR="00E926A0" w:rsidRPr="008C5CD5" w:rsidRDefault="00E926A0" w:rsidP="00E926A0">
      <w:pPr>
        <w:ind w:left="851"/>
        <w:rPr>
          <w:sz w:val="24"/>
          <w:szCs w:val="24"/>
        </w:rPr>
      </w:pPr>
      <w:r w:rsidRPr="008C5CD5">
        <w:rPr>
          <w:sz w:val="24"/>
          <w:szCs w:val="24"/>
        </w:rPr>
        <w:t xml:space="preserve">Forsigtighed tilrådes ved anæstesi af patienter, som anvender </w:t>
      </w:r>
      <w:proofErr w:type="spellStart"/>
      <w:r w:rsidRPr="008C5CD5">
        <w:rPr>
          <w:sz w:val="24"/>
          <w:szCs w:val="24"/>
        </w:rPr>
        <w:t>spironolacton</w:t>
      </w:r>
      <w:proofErr w:type="spellEnd"/>
      <w:r w:rsidRPr="008C5CD5">
        <w:rPr>
          <w:sz w:val="24"/>
          <w:szCs w:val="24"/>
        </w:rPr>
        <w:t xml:space="preserve">. </w:t>
      </w:r>
      <w:proofErr w:type="spellStart"/>
      <w:r w:rsidRPr="008C5CD5">
        <w:rPr>
          <w:sz w:val="24"/>
          <w:szCs w:val="24"/>
        </w:rPr>
        <w:t>Spironolacton</w:t>
      </w:r>
      <w:proofErr w:type="spellEnd"/>
      <w:r w:rsidRPr="008C5CD5">
        <w:rPr>
          <w:sz w:val="24"/>
          <w:szCs w:val="24"/>
        </w:rPr>
        <w:t xml:space="preserve"> nedsætter noradrenalins </w:t>
      </w:r>
      <w:proofErr w:type="spellStart"/>
      <w:r w:rsidRPr="008C5CD5">
        <w:rPr>
          <w:sz w:val="24"/>
          <w:szCs w:val="24"/>
        </w:rPr>
        <w:t>vaskulære</w:t>
      </w:r>
      <w:proofErr w:type="spellEnd"/>
      <w:r w:rsidRPr="008C5CD5">
        <w:rPr>
          <w:sz w:val="24"/>
          <w:szCs w:val="24"/>
        </w:rPr>
        <w:t xml:space="preserve"> virkning. Virkningen af ikke-</w:t>
      </w:r>
      <w:proofErr w:type="spellStart"/>
      <w:r w:rsidRPr="008C5CD5">
        <w:rPr>
          <w:sz w:val="24"/>
          <w:szCs w:val="24"/>
        </w:rPr>
        <w:t>depolariserende</w:t>
      </w:r>
      <w:proofErr w:type="spellEnd"/>
      <w:r w:rsidRPr="008C5CD5">
        <w:rPr>
          <w:sz w:val="24"/>
          <w:szCs w:val="24"/>
        </w:rPr>
        <w:t xml:space="preserve"> muskelafslappende lægemidler kan forstærkes.</w:t>
      </w:r>
    </w:p>
    <w:p w:rsidR="00E926A0" w:rsidRPr="008C5CD5" w:rsidRDefault="00E926A0" w:rsidP="00E926A0">
      <w:pPr>
        <w:ind w:left="851" w:hanging="851"/>
        <w:rPr>
          <w:sz w:val="24"/>
          <w:szCs w:val="24"/>
        </w:rPr>
      </w:pPr>
    </w:p>
    <w:p w:rsidR="00E926A0" w:rsidRPr="008C5CD5" w:rsidRDefault="00E926A0" w:rsidP="00E926A0">
      <w:pPr>
        <w:ind w:left="851"/>
        <w:rPr>
          <w:sz w:val="24"/>
          <w:szCs w:val="24"/>
        </w:rPr>
      </w:pPr>
      <w:proofErr w:type="spellStart"/>
      <w:r w:rsidRPr="008C5CD5">
        <w:rPr>
          <w:sz w:val="24"/>
          <w:szCs w:val="24"/>
        </w:rPr>
        <w:t>Spironolacton</w:t>
      </w:r>
      <w:proofErr w:type="spellEnd"/>
      <w:r w:rsidRPr="008C5CD5">
        <w:rPr>
          <w:sz w:val="24"/>
          <w:szCs w:val="24"/>
        </w:rPr>
        <w:t xml:space="preserve"> har en </w:t>
      </w:r>
      <w:proofErr w:type="spellStart"/>
      <w:r w:rsidRPr="008C5CD5">
        <w:rPr>
          <w:sz w:val="24"/>
          <w:szCs w:val="24"/>
        </w:rPr>
        <w:t>synergistisk</w:t>
      </w:r>
      <w:proofErr w:type="spellEnd"/>
      <w:r w:rsidRPr="008C5CD5">
        <w:rPr>
          <w:sz w:val="24"/>
          <w:szCs w:val="24"/>
        </w:rPr>
        <w:t xml:space="preserve"> virkning med andre </w:t>
      </w:r>
      <w:proofErr w:type="spellStart"/>
      <w:r w:rsidRPr="008C5CD5">
        <w:rPr>
          <w:sz w:val="24"/>
          <w:szCs w:val="24"/>
        </w:rPr>
        <w:t>antihypertensiva</w:t>
      </w:r>
      <w:proofErr w:type="spellEnd"/>
      <w:r w:rsidRPr="008C5CD5">
        <w:rPr>
          <w:sz w:val="24"/>
          <w:szCs w:val="24"/>
        </w:rPr>
        <w:t>.</w:t>
      </w:r>
    </w:p>
    <w:p w:rsidR="00E926A0" w:rsidRPr="008C5CD5" w:rsidRDefault="00E926A0" w:rsidP="00E926A0">
      <w:pPr>
        <w:ind w:left="851" w:hanging="851"/>
        <w:rPr>
          <w:sz w:val="24"/>
          <w:szCs w:val="24"/>
        </w:rPr>
      </w:pPr>
    </w:p>
    <w:p w:rsidR="00E926A0" w:rsidRPr="008C5CD5" w:rsidRDefault="00E926A0" w:rsidP="00E926A0">
      <w:pPr>
        <w:ind w:left="851"/>
        <w:rPr>
          <w:sz w:val="24"/>
          <w:szCs w:val="24"/>
        </w:rPr>
      </w:pPr>
      <w:r w:rsidRPr="008C5CD5">
        <w:rPr>
          <w:sz w:val="24"/>
          <w:szCs w:val="24"/>
        </w:rPr>
        <w:t xml:space="preserve">Samtidig anvendelse af kaliumtilskud (produkter med kaliumholdige mineraler, kaliumrig diæt eller bordsalterstatninger), andre kaliumbesparende </w:t>
      </w:r>
      <w:proofErr w:type="spellStart"/>
      <w:r w:rsidRPr="008C5CD5">
        <w:rPr>
          <w:sz w:val="24"/>
          <w:szCs w:val="24"/>
        </w:rPr>
        <w:t>diuretika</w:t>
      </w:r>
      <w:proofErr w:type="spellEnd"/>
      <w:r w:rsidRPr="008C5CD5">
        <w:rPr>
          <w:sz w:val="24"/>
          <w:szCs w:val="24"/>
        </w:rPr>
        <w:t>, ACE-</w:t>
      </w:r>
      <w:proofErr w:type="spellStart"/>
      <w:r w:rsidRPr="008C5CD5">
        <w:rPr>
          <w:sz w:val="24"/>
          <w:szCs w:val="24"/>
        </w:rPr>
        <w:t>hæmmere</w:t>
      </w:r>
      <w:proofErr w:type="spellEnd"/>
      <w:r w:rsidRPr="008C5CD5">
        <w:rPr>
          <w:sz w:val="24"/>
          <w:szCs w:val="24"/>
        </w:rPr>
        <w:t xml:space="preserve">, </w:t>
      </w:r>
      <w:proofErr w:type="spellStart"/>
      <w:r w:rsidRPr="008C5CD5">
        <w:rPr>
          <w:sz w:val="24"/>
          <w:szCs w:val="24"/>
        </w:rPr>
        <w:t>ARB’ere</w:t>
      </w:r>
      <w:proofErr w:type="spellEnd"/>
      <w:r w:rsidRPr="008C5CD5">
        <w:rPr>
          <w:sz w:val="24"/>
          <w:szCs w:val="24"/>
        </w:rPr>
        <w:t xml:space="preserve">, </w:t>
      </w:r>
      <w:proofErr w:type="spellStart"/>
      <w:r w:rsidRPr="008C5CD5">
        <w:rPr>
          <w:sz w:val="24"/>
          <w:szCs w:val="24"/>
        </w:rPr>
        <w:t>aldosteronblokkere</w:t>
      </w:r>
      <w:proofErr w:type="spellEnd"/>
      <w:r w:rsidRPr="008C5CD5">
        <w:rPr>
          <w:sz w:val="24"/>
          <w:szCs w:val="24"/>
        </w:rPr>
        <w:t xml:space="preserve">, </w:t>
      </w:r>
      <w:proofErr w:type="spellStart"/>
      <w:r w:rsidRPr="008C5CD5">
        <w:rPr>
          <w:sz w:val="24"/>
          <w:szCs w:val="24"/>
        </w:rPr>
        <w:t>heparin</w:t>
      </w:r>
      <w:proofErr w:type="spellEnd"/>
      <w:r w:rsidRPr="008C5CD5">
        <w:rPr>
          <w:sz w:val="24"/>
          <w:szCs w:val="24"/>
        </w:rPr>
        <w:t xml:space="preserve">, eller lav-molekylær </w:t>
      </w:r>
      <w:proofErr w:type="spellStart"/>
      <w:r w:rsidRPr="008C5CD5">
        <w:rPr>
          <w:sz w:val="24"/>
          <w:szCs w:val="24"/>
        </w:rPr>
        <w:t>heparin</w:t>
      </w:r>
      <w:proofErr w:type="spellEnd"/>
      <w:r w:rsidRPr="008C5CD5">
        <w:rPr>
          <w:sz w:val="24"/>
          <w:szCs w:val="24"/>
        </w:rPr>
        <w:t xml:space="preserve"> kan medføre alvorlig </w:t>
      </w:r>
      <w:proofErr w:type="spellStart"/>
      <w:r w:rsidRPr="008C5CD5">
        <w:rPr>
          <w:sz w:val="24"/>
          <w:szCs w:val="24"/>
        </w:rPr>
        <w:t>hyperkaliæmi</w:t>
      </w:r>
      <w:proofErr w:type="spellEnd"/>
      <w:r w:rsidRPr="008C5CD5">
        <w:rPr>
          <w:sz w:val="24"/>
          <w:szCs w:val="24"/>
        </w:rPr>
        <w:t xml:space="preserve"> (se pkt. 4.4).</w:t>
      </w:r>
    </w:p>
    <w:p w:rsidR="00E926A0" w:rsidRPr="008C5CD5" w:rsidRDefault="00E926A0" w:rsidP="00E926A0">
      <w:pPr>
        <w:ind w:left="851" w:hanging="851"/>
        <w:rPr>
          <w:sz w:val="24"/>
          <w:szCs w:val="24"/>
        </w:rPr>
      </w:pPr>
    </w:p>
    <w:p w:rsidR="00E926A0" w:rsidRPr="008C5CD5" w:rsidRDefault="00E926A0" w:rsidP="00E926A0">
      <w:pPr>
        <w:ind w:left="851"/>
        <w:rPr>
          <w:sz w:val="24"/>
          <w:szCs w:val="24"/>
        </w:rPr>
      </w:pPr>
      <w:r w:rsidRPr="008C5CD5">
        <w:rPr>
          <w:sz w:val="24"/>
          <w:szCs w:val="24"/>
        </w:rPr>
        <w:t xml:space="preserve">Hos patienter med hjertesvigt </w:t>
      </w:r>
      <w:proofErr w:type="gramStart"/>
      <w:r w:rsidRPr="008C5CD5">
        <w:rPr>
          <w:sz w:val="24"/>
          <w:szCs w:val="24"/>
        </w:rPr>
        <w:t>NYHA klasse</w:t>
      </w:r>
      <w:proofErr w:type="gramEnd"/>
      <w:r w:rsidRPr="008C5CD5">
        <w:rPr>
          <w:sz w:val="24"/>
          <w:szCs w:val="24"/>
        </w:rPr>
        <w:t xml:space="preserve"> III til IV er en kombinationen af </w:t>
      </w:r>
      <w:proofErr w:type="spellStart"/>
      <w:r w:rsidRPr="008C5CD5">
        <w:rPr>
          <w:sz w:val="24"/>
          <w:szCs w:val="24"/>
        </w:rPr>
        <w:t>spironolacton</w:t>
      </w:r>
      <w:proofErr w:type="spellEnd"/>
      <w:r w:rsidRPr="008C5CD5">
        <w:rPr>
          <w:sz w:val="24"/>
          <w:szCs w:val="24"/>
        </w:rPr>
        <w:t xml:space="preserve"> og ACE-hæmmer mulig, hvis denne kombination har vist sig at være effektiv og hvis serumkalium og </w:t>
      </w:r>
      <w:proofErr w:type="spellStart"/>
      <w:r w:rsidRPr="008C5CD5">
        <w:rPr>
          <w:sz w:val="24"/>
          <w:szCs w:val="24"/>
        </w:rPr>
        <w:t>serumkreatinin</w:t>
      </w:r>
      <w:proofErr w:type="spellEnd"/>
      <w:r w:rsidRPr="008C5CD5">
        <w:rPr>
          <w:sz w:val="24"/>
          <w:szCs w:val="24"/>
        </w:rPr>
        <w:t xml:space="preserve"> monitoreres tæt.</w:t>
      </w:r>
    </w:p>
    <w:p w:rsidR="00E926A0" w:rsidRPr="008C5CD5" w:rsidRDefault="00E926A0" w:rsidP="00E926A0">
      <w:pPr>
        <w:ind w:left="851" w:hanging="851"/>
        <w:rPr>
          <w:sz w:val="24"/>
          <w:szCs w:val="24"/>
        </w:rPr>
      </w:pPr>
    </w:p>
    <w:p w:rsidR="00E926A0" w:rsidRPr="008C5CD5" w:rsidRDefault="00E926A0" w:rsidP="00E926A0">
      <w:pPr>
        <w:ind w:left="851"/>
        <w:rPr>
          <w:sz w:val="24"/>
          <w:szCs w:val="24"/>
        </w:rPr>
      </w:pPr>
      <w:r w:rsidRPr="008C5CD5">
        <w:rPr>
          <w:sz w:val="24"/>
          <w:szCs w:val="24"/>
        </w:rPr>
        <w:t xml:space="preserve">Acetylsalicylsyre (dog ikke i </w:t>
      </w:r>
      <w:proofErr w:type="spellStart"/>
      <w:r w:rsidRPr="008C5CD5">
        <w:rPr>
          <w:sz w:val="24"/>
          <w:szCs w:val="24"/>
        </w:rPr>
        <w:t>antitrombotiske</w:t>
      </w:r>
      <w:proofErr w:type="spellEnd"/>
      <w:r w:rsidRPr="008C5CD5">
        <w:rPr>
          <w:sz w:val="24"/>
          <w:szCs w:val="24"/>
        </w:rPr>
        <w:t xml:space="preserve"> doser) og antiinflammatoriske lægemidler (</w:t>
      </w:r>
      <w:proofErr w:type="spellStart"/>
      <w:r w:rsidRPr="008C5CD5">
        <w:rPr>
          <w:sz w:val="24"/>
          <w:szCs w:val="24"/>
        </w:rPr>
        <w:t>NSAID’ere</w:t>
      </w:r>
      <w:proofErr w:type="spellEnd"/>
      <w:r w:rsidRPr="008C5CD5">
        <w:rPr>
          <w:sz w:val="24"/>
          <w:szCs w:val="24"/>
        </w:rPr>
        <w:t xml:space="preserve">) kan ved en kombineret anvendelse forsinke eliminationen af </w:t>
      </w:r>
      <w:proofErr w:type="spellStart"/>
      <w:r w:rsidRPr="008C5CD5">
        <w:rPr>
          <w:sz w:val="24"/>
          <w:szCs w:val="24"/>
        </w:rPr>
        <w:t>spironolactons</w:t>
      </w:r>
      <w:proofErr w:type="spellEnd"/>
      <w:r w:rsidRPr="008C5CD5">
        <w:rPr>
          <w:sz w:val="24"/>
          <w:szCs w:val="24"/>
        </w:rPr>
        <w:t xml:space="preserve"> metabolitter, svække den diuretiske virkning af </w:t>
      </w:r>
      <w:proofErr w:type="spellStart"/>
      <w:r w:rsidRPr="008C5CD5">
        <w:rPr>
          <w:sz w:val="24"/>
          <w:szCs w:val="24"/>
        </w:rPr>
        <w:t>spironolacton</w:t>
      </w:r>
      <w:proofErr w:type="spellEnd"/>
      <w:r w:rsidRPr="008C5CD5">
        <w:rPr>
          <w:sz w:val="24"/>
          <w:szCs w:val="24"/>
        </w:rPr>
        <w:t xml:space="preserve"> og forårsage </w:t>
      </w:r>
      <w:proofErr w:type="spellStart"/>
      <w:r w:rsidRPr="008C5CD5">
        <w:rPr>
          <w:sz w:val="24"/>
          <w:szCs w:val="24"/>
        </w:rPr>
        <w:t>hyperkaliæmi</w:t>
      </w:r>
      <w:proofErr w:type="spellEnd"/>
      <w:r w:rsidRPr="008C5CD5">
        <w:rPr>
          <w:sz w:val="24"/>
          <w:szCs w:val="24"/>
        </w:rPr>
        <w:t>.</w:t>
      </w:r>
    </w:p>
    <w:p w:rsidR="00E926A0" w:rsidRPr="008C5CD5" w:rsidRDefault="00E926A0" w:rsidP="00E926A0">
      <w:pPr>
        <w:ind w:left="851" w:hanging="851"/>
        <w:rPr>
          <w:sz w:val="24"/>
          <w:szCs w:val="24"/>
        </w:rPr>
      </w:pPr>
    </w:p>
    <w:p w:rsidR="00E926A0" w:rsidRPr="008C5CD5" w:rsidRDefault="00E926A0" w:rsidP="00E926A0">
      <w:pPr>
        <w:ind w:left="851"/>
        <w:rPr>
          <w:sz w:val="24"/>
          <w:szCs w:val="24"/>
        </w:rPr>
      </w:pPr>
      <w:r w:rsidRPr="008C5CD5">
        <w:rPr>
          <w:sz w:val="24"/>
          <w:szCs w:val="24"/>
        </w:rPr>
        <w:t xml:space="preserve">Virkningen af </w:t>
      </w:r>
      <w:proofErr w:type="spellStart"/>
      <w:r w:rsidRPr="008C5CD5">
        <w:rPr>
          <w:sz w:val="24"/>
          <w:szCs w:val="24"/>
        </w:rPr>
        <w:t>warfarin</w:t>
      </w:r>
      <w:proofErr w:type="spellEnd"/>
      <w:r w:rsidRPr="008C5CD5">
        <w:rPr>
          <w:sz w:val="24"/>
          <w:szCs w:val="24"/>
        </w:rPr>
        <w:t xml:space="preserve"> kan svækkes under behandling med </w:t>
      </w:r>
      <w:proofErr w:type="spellStart"/>
      <w:r w:rsidRPr="008C5CD5">
        <w:rPr>
          <w:sz w:val="24"/>
          <w:szCs w:val="24"/>
        </w:rPr>
        <w:t>spironolacton</w:t>
      </w:r>
      <w:proofErr w:type="spellEnd"/>
      <w:r w:rsidRPr="008C5CD5">
        <w:rPr>
          <w:sz w:val="24"/>
          <w:szCs w:val="24"/>
        </w:rPr>
        <w:t>.</w:t>
      </w:r>
    </w:p>
    <w:p w:rsidR="00E926A0" w:rsidRPr="008C5CD5" w:rsidRDefault="00E926A0" w:rsidP="00E926A0">
      <w:pPr>
        <w:ind w:left="851" w:hanging="851"/>
        <w:rPr>
          <w:sz w:val="24"/>
          <w:szCs w:val="24"/>
        </w:rPr>
      </w:pPr>
    </w:p>
    <w:p w:rsidR="00E926A0" w:rsidRPr="008C5CD5" w:rsidRDefault="00E926A0" w:rsidP="00E926A0">
      <w:pPr>
        <w:ind w:left="851"/>
        <w:rPr>
          <w:sz w:val="24"/>
          <w:szCs w:val="24"/>
        </w:rPr>
      </w:pPr>
      <w:proofErr w:type="spellStart"/>
      <w:r w:rsidRPr="008C5CD5">
        <w:rPr>
          <w:sz w:val="24"/>
          <w:szCs w:val="24"/>
        </w:rPr>
        <w:t>Digoxinclearance</w:t>
      </w:r>
      <w:proofErr w:type="spellEnd"/>
      <w:r w:rsidRPr="008C5CD5">
        <w:rPr>
          <w:sz w:val="24"/>
          <w:szCs w:val="24"/>
        </w:rPr>
        <w:t xml:space="preserve"> nedsættes og halveringstiden øges under behandling med </w:t>
      </w:r>
      <w:proofErr w:type="spellStart"/>
      <w:r w:rsidRPr="008C5CD5">
        <w:rPr>
          <w:sz w:val="24"/>
          <w:szCs w:val="24"/>
        </w:rPr>
        <w:t>spironolacton</w:t>
      </w:r>
      <w:proofErr w:type="spellEnd"/>
      <w:r w:rsidRPr="008C5CD5">
        <w:rPr>
          <w:sz w:val="24"/>
          <w:szCs w:val="24"/>
        </w:rPr>
        <w:t xml:space="preserve">. Forsigtighed tilrådes ved kombineret anvendelse af </w:t>
      </w:r>
      <w:proofErr w:type="spellStart"/>
      <w:r w:rsidRPr="008C5CD5">
        <w:rPr>
          <w:sz w:val="24"/>
          <w:szCs w:val="24"/>
        </w:rPr>
        <w:t>digoxin</w:t>
      </w:r>
      <w:proofErr w:type="spellEnd"/>
      <w:r w:rsidRPr="008C5CD5">
        <w:rPr>
          <w:sz w:val="24"/>
          <w:szCs w:val="24"/>
        </w:rPr>
        <w:t xml:space="preserve"> og </w:t>
      </w:r>
      <w:proofErr w:type="spellStart"/>
      <w:r w:rsidRPr="008C5CD5">
        <w:rPr>
          <w:sz w:val="24"/>
          <w:szCs w:val="24"/>
        </w:rPr>
        <w:t>spironolacton</w:t>
      </w:r>
      <w:proofErr w:type="spellEnd"/>
      <w:r w:rsidRPr="008C5CD5">
        <w:rPr>
          <w:sz w:val="24"/>
          <w:szCs w:val="24"/>
        </w:rPr>
        <w:t xml:space="preserve">, da </w:t>
      </w:r>
      <w:proofErr w:type="spellStart"/>
      <w:r w:rsidRPr="008C5CD5">
        <w:rPr>
          <w:sz w:val="24"/>
          <w:szCs w:val="24"/>
        </w:rPr>
        <w:t>spironolacton</w:t>
      </w:r>
      <w:proofErr w:type="spellEnd"/>
      <w:r w:rsidRPr="008C5CD5">
        <w:rPr>
          <w:sz w:val="24"/>
          <w:szCs w:val="24"/>
        </w:rPr>
        <w:t xml:space="preserve"> til en vis grad kan forfalske resultater fra målinger af </w:t>
      </w:r>
      <w:proofErr w:type="spellStart"/>
      <w:r w:rsidRPr="008C5CD5">
        <w:rPr>
          <w:sz w:val="24"/>
          <w:szCs w:val="24"/>
        </w:rPr>
        <w:t>serumdigoxin</w:t>
      </w:r>
      <w:proofErr w:type="spellEnd"/>
      <w:r w:rsidRPr="008C5CD5">
        <w:rPr>
          <w:sz w:val="24"/>
          <w:szCs w:val="24"/>
        </w:rPr>
        <w:t>.</w:t>
      </w:r>
    </w:p>
    <w:p w:rsidR="00E926A0" w:rsidRPr="008C5CD5" w:rsidRDefault="00E926A0" w:rsidP="00E926A0">
      <w:pPr>
        <w:ind w:left="851" w:hanging="851"/>
        <w:rPr>
          <w:sz w:val="24"/>
          <w:szCs w:val="24"/>
        </w:rPr>
      </w:pPr>
    </w:p>
    <w:p w:rsidR="00E926A0" w:rsidRPr="008C5CD5" w:rsidRDefault="00E926A0" w:rsidP="00E926A0">
      <w:pPr>
        <w:ind w:left="851"/>
        <w:rPr>
          <w:sz w:val="24"/>
          <w:szCs w:val="24"/>
        </w:rPr>
      </w:pPr>
      <w:r w:rsidRPr="008C5CD5">
        <w:rPr>
          <w:sz w:val="24"/>
          <w:szCs w:val="24"/>
        </w:rPr>
        <w:t xml:space="preserve">Elimination af </w:t>
      </w:r>
      <w:proofErr w:type="spellStart"/>
      <w:r w:rsidRPr="008C5CD5">
        <w:rPr>
          <w:sz w:val="24"/>
          <w:szCs w:val="24"/>
        </w:rPr>
        <w:t>lithium</w:t>
      </w:r>
      <w:proofErr w:type="spellEnd"/>
      <w:r w:rsidRPr="008C5CD5">
        <w:rPr>
          <w:sz w:val="24"/>
          <w:szCs w:val="24"/>
        </w:rPr>
        <w:t xml:space="preserve"> kan ændres under anvendelse af </w:t>
      </w:r>
      <w:proofErr w:type="spellStart"/>
      <w:r w:rsidRPr="008C5CD5">
        <w:rPr>
          <w:sz w:val="24"/>
          <w:szCs w:val="24"/>
        </w:rPr>
        <w:t>spironolacton</w:t>
      </w:r>
      <w:proofErr w:type="spellEnd"/>
      <w:r w:rsidRPr="008C5CD5">
        <w:rPr>
          <w:sz w:val="24"/>
          <w:szCs w:val="24"/>
        </w:rPr>
        <w:t>, og målinger af lægemiddelkoncentrationer anbefales.</w:t>
      </w:r>
    </w:p>
    <w:p w:rsidR="00E926A0" w:rsidRPr="008C5CD5" w:rsidRDefault="00E926A0" w:rsidP="00E926A0">
      <w:pPr>
        <w:ind w:left="851" w:hanging="851"/>
        <w:rPr>
          <w:sz w:val="24"/>
          <w:szCs w:val="24"/>
        </w:rPr>
      </w:pPr>
    </w:p>
    <w:p w:rsidR="00E926A0" w:rsidRPr="008C5CD5" w:rsidRDefault="00E926A0" w:rsidP="00E926A0">
      <w:pPr>
        <w:ind w:left="851"/>
        <w:rPr>
          <w:sz w:val="24"/>
          <w:szCs w:val="24"/>
        </w:rPr>
      </w:pPr>
      <w:proofErr w:type="spellStart"/>
      <w:r w:rsidRPr="008C5CD5">
        <w:rPr>
          <w:sz w:val="24"/>
          <w:szCs w:val="24"/>
        </w:rPr>
        <w:t>Tacrolimus</w:t>
      </w:r>
      <w:proofErr w:type="spellEnd"/>
      <w:r w:rsidRPr="008C5CD5">
        <w:rPr>
          <w:sz w:val="24"/>
          <w:szCs w:val="24"/>
        </w:rPr>
        <w:t xml:space="preserve"> kan medføre </w:t>
      </w:r>
      <w:proofErr w:type="spellStart"/>
      <w:r w:rsidRPr="008C5CD5">
        <w:rPr>
          <w:sz w:val="24"/>
          <w:szCs w:val="24"/>
        </w:rPr>
        <w:t>hyperkaliæmi</w:t>
      </w:r>
      <w:proofErr w:type="spellEnd"/>
      <w:r w:rsidRPr="008C5CD5">
        <w:rPr>
          <w:sz w:val="24"/>
          <w:szCs w:val="24"/>
        </w:rPr>
        <w:t xml:space="preserve">, som </w:t>
      </w:r>
      <w:proofErr w:type="spellStart"/>
      <w:r w:rsidRPr="008C5CD5">
        <w:rPr>
          <w:sz w:val="24"/>
          <w:szCs w:val="24"/>
        </w:rPr>
        <w:t>spironolacton</w:t>
      </w:r>
      <w:proofErr w:type="spellEnd"/>
      <w:r w:rsidRPr="008C5CD5">
        <w:rPr>
          <w:sz w:val="24"/>
          <w:szCs w:val="24"/>
        </w:rPr>
        <w:t xml:space="preserve"> kan forværre. Ved kombineret behandling, bør serumkaliumkoncentrationen monitoreres omhyggeligt.</w:t>
      </w:r>
    </w:p>
    <w:p w:rsidR="00E926A0" w:rsidRPr="008C5CD5" w:rsidRDefault="00E926A0" w:rsidP="00E926A0">
      <w:pPr>
        <w:ind w:left="851" w:hanging="851"/>
        <w:rPr>
          <w:sz w:val="24"/>
          <w:szCs w:val="24"/>
        </w:rPr>
      </w:pPr>
    </w:p>
    <w:p w:rsidR="00E926A0" w:rsidRDefault="00E926A0" w:rsidP="00E926A0">
      <w:pPr>
        <w:ind w:left="851"/>
        <w:rPr>
          <w:sz w:val="24"/>
          <w:szCs w:val="24"/>
        </w:rPr>
      </w:pPr>
      <w:r>
        <w:rPr>
          <w:sz w:val="24"/>
          <w:szCs w:val="24"/>
        </w:rPr>
        <w:t xml:space="preserve">Ud over andre lægemidler, der er kendt for at forårsage </w:t>
      </w:r>
      <w:proofErr w:type="spellStart"/>
      <w:r>
        <w:rPr>
          <w:sz w:val="24"/>
          <w:szCs w:val="24"/>
        </w:rPr>
        <w:t>hyperkaliæmi</w:t>
      </w:r>
      <w:proofErr w:type="spellEnd"/>
      <w:r>
        <w:rPr>
          <w:sz w:val="24"/>
          <w:szCs w:val="24"/>
        </w:rPr>
        <w:t xml:space="preserve">, kan samtidig anvendelse af </w:t>
      </w:r>
      <w:proofErr w:type="spellStart"/>
      <w:r>
        <w:rPr>
          <w:sz w:val="24"/>
          <w:szCs w:val="24"/>
        </w:rPr>
        <w:t>trimethoprim</w:t>
      </w:r>
      <w:proofErr w:type="spellEnd"/>
      <w:r>
        <w:rPr>
          <w:sz w:val="24"/>
          <w:szCs w:val="24"/>
        </w:rPr>
        <w:t>/</w:t>
      </w:r>
      <w:proofErr w:type="spellStart"/>
      <w:r>
        <w:rPr>
          <w:sz w:val="24"/>
          <w:szCs w:val="24"/>
        </w:rPr>
        <w:t>sulfamethoxazol</w:t>
      </w:r>
      <w:proofErr w:type="spellEnd"/>
      <w:r>
        <w:rPr>
          <w:sz w:val="24"/>
          <w:szCs w:val="24"/>
        </w:rPr>
        <w:t xml:space="preserve"> (</w:t>
      </w:r>
      <w:proofErr w:type="spellStart"/>
      <w:r>
        <w:rPr>
          <w:sz w:val="24"/>
          <w:szCs w:val="24"/>
        </w:rPr>
        <w:t>co-trimoxazol</w:t>
      </w:r>
      <w:proofErr w:type="spellEnd"/>
      <w:r>
        <w:rPr>
          <w:sz w:val="24"/>
          <w:szCs w:val="24"/>
        </w:rPr>
        <w:t xml:space="preserve">) og </w:t>
      </w:r>
      <w:proofErr w:type="spellStart"/>
      <w:r>
        <w:rPr>
          <w:sz w:val="24"/>
          <w:szCs w:val="24"/>
        </w:rPr>
        <w:t>spironolacton</w:t>
      </w:r>
      <w:proofErr w:type="spellEnd"/>
      <w:r>
        <w:rPr>
          <w:sz w:val="24"/>
          <w:szCs w:val="24"/>
        </w:rPr>
        <w:t xml:space="preserve"> føre til klinisk relevant </w:t>
      </w:r>
      <w:proofErr w:type="spellStart"/>
      <w:r>
        <w:rPr>
          <w:sz w:val="24"/>
          <w:szCs w:val="24"/>
        </w:rPr>
        <w:t>hyperkaliæmi</w:t>
      </w:r>
      <w:proofErr w:type="spellEnd"/>
      <w:r>
        <w:rPr>
          <w:sz w:val="24"/>
          <w:szCs w:val="24"/>
        </w:rPr>
        <w:t>.</w:t>
      </w:r>
    </w:p>
    <w:p w:rsidR="00E926A0" w:rsidRDefault="00E926A0" w:rsidP="00E926A0">
      <w:pPr>
        <w:ind w:left="851" w:hanging="851"/>
        <w:rPr>
          <w:sz w:val="24"/>
          <w:szCs w:val="24"/>
        </w:rPr>
      </w:pPr>
    </w:p>
    <w:p w:rsidR="00E926A0" w:rsidRDefault="00E926A0" w:rsidP="00E926A0">
      <w:pPr>
        <w:ind w:left="851"/>
        <w:rPr>
          <w:sz w:val="24"/>
          <w:szCs w:val="24"/>
        </w:rPr>
      </w:pPr>
      <w:proofErr w:type="spellStart"/>
      <w:r>
        <w:rPr>
          <w:sz w:val="24"/>
          <w:szCs w:val="24"/>
        </w:rPr>
        <w:t>Spironolactons</w:t>
      </w:r>
      <w:proofErr w:type="spellEnd"/>
      <w:r>
        <w:rPr>
          <w:sz w:val="24"/>
          <w:szCs w:val="24"/>
        </w:rPr>
        <w:t xml:space="preserve"> metabolitter fluorescerer, så </w:t>
      </w:r>
      <w:proofErr w:type="spellStart"/>
      <w:r>
        <w:rPr>
          <w:sz w:val="24"/>
          <w:szCs w:val="24"/>
        </w:rPr>
        <w:t>fluorometriske</w:t>
      </w:r>
      <w:proofErr w:type="spellEnd"/>
      <w:r>
        <w:rPr>
          <w:sz w:val="24"/>
          <w:szCs w:val="24"/>
        </w:rPr>
        <w:t xml:space="preserve"> målinger (f.eks. målinger af </w:t>
      </w:r>
      <w:proofErr w:type="spellStart"/>
      <w:r>
        <w:rPr>
          <w:sz w:val="24"/>
          <w:szCs w:val="24"/>
        </w:rPr>
        <w:t>cortisol</w:t>
      </w:r>
      <w:proofErr w:type="spellEnd"/>
      <w:r>
        <w:rPr>
          <w:sz w:val="24"/>
          <w:szCs w:val="24"/>
        </w:rPr>
        <w:t>) kan give forkerte resultater.</w:t>
      </w:r>
    </w:p>
    <w:p w:rsidR="00E926A0" w:rsidRDefault="00E926A0" w:rsidP="00E926A0">
      <w:pPr>
        <w:ind w:left="851" w:hanging="851"/>
        <w:rPr>
          <w:sz w:val="24"/>
          <w:szCs w:val="24"/>
        </w:rPr>
      </w:pPr>
    </w:p>
    <w:p w:rsidR="00031B79" w:rsidRDefault="00031B79" w:rsidP="00031B79">
      <w:pPr>
        <w:ind w:left="851"/>
        <w:rPr>
          <w:sz w:val="24"/>
          <w:szCs w:val="24"/>
        </w:rPr>
      </w:pPr>
      <w:proofErr w:type="spellStart"/>
      <w:r>
        <w:rPr>
          <w:sz w:val="24"/>
          <w:szCs w:val="24"/>
        </w:rPr>
        <w:t>Spironolacton</w:t>
      </w:r>
      <w:proofErr w:type="spellEnd"/>
      <w:r>
        <w:rPr>
          <w:sz w:val="24"/>
          <w:szCs w:val="24"/>
        </w:rPr>
        <w:t xml:space="preserve"> har </w:t>
      </w:r>
      <w:proofErr w:type="spellStart"/>
      <w:r>
        <w:rPr>
          <w:sz w:val="24"/>
          <w:szCs w:val="24"/>
        </w:rPr>
        <w:t>antagoniseret</w:t>
      </w:r>
      <w:proofErr w:type="spellEnd"/>
      <w:r>
        <w:rPr>
          <w:sz w:val="24"/>
          <w:szCs w:val="24"/>
        </w:rPr>
        <w:t xml:space="preserve"> </w:t>
      </w:r>
      <w:proofErr w:type="spellStart"/>
      <w:r>
        <w:rPr>
          <w:sz w:val="24"/>
          <w:szCs w:val="24"/>
        </w:rPr>
        <w:t>mitotans</w:t>
      </w:r>
      <w:proofErr w:type="spellEnd"/>
      <w:r>
        <w:rPr>
          <w:sz w:val="24"/>
          <w:szCs w:val="24"/>
        </w:rPr>
        <w:t xml:space="preserve"> </w:t>
      </w:r>
      <w:proofErr w:type="spellStart"/>
      <w:r>
        <w:rPr>
          <w:sz w:val="24"/>
          <w:szCs w:val="24"/>
        </w:rPr>
        <w:t>antineoplastiske</w:t>
      </w:r>
      <w:proofErr w:type="spellEnd"/>
      <w:r>
        <w:rPr>
          <w:sz w:val="24"/>
          <w:szCs w:val="24"/>
        </w:rPr>
        <w:t xml:space="preserve"> virkning.</w:t>
      </w:r>
      <w:r>
        <w:rPr>
          <w:sz w:val="24"/>
          <w:szCs w:val="24"/>
        </w:rPr>
        <w:tab/>
      </w:r>
    </w:p>
    <w:p w:rsidR="00031B79" w:rsidRDefault="00031B79" w:rsidP="00031B79">
      <w:pPr>
        <w:ind w:left="851"/>
        <w:rPr>
          <w:sz w:val="24"/>
          <w:szCs w:val="24"/>
        </w:rPr>
      </w:pPr>
    </w:p>
    <w:p w:rsidR="00E926A0" w:rsidRDefault="00031B79" w:rsidP="00031B79">
      <w:pPr>
        <w:ind w:left="851"/>
        <w:rPr>
          <w:sz w:val="24"/>
          <w:szCs w:val="24"/>
        </w:rPr>
      </w:pPr>
      <w:proofErr w:type="spellStart"/>
      <w:r w:rsidRPr="00950B25">
        <w:rPr>
          <w:sz w:val="24"/>
          <w:szCs w:val="24"/>
        </w:rPr>
        <w:t>Spironolacton</w:t>
      </w:r>
      <w:proofErr w:type="spellEnd"/>
      <w:r w:rsidRPr="00950B25">
        <w:rPr>
          <w:sz w:val="24"/>
          <w:szCs w:val="24"/>
        </w:rPr>
        <w:t xml:space="preserve"> binder sig til </w:t>
      </w:r>
      <w:proofErr w:type="spellStart"/>
      <w:r w:rsidRPr="00950B25">
        <w:rPr>
          <w:sz w:val="24"/>
          <w:szCs w:val="24"/>
        </w:rPr>
        <w:t>androgenreceptoren</w:t>
      </w:r>
      <w:proofErr w:type="spellEnd"/>
      <w:r w:rsidRPr="00950B25">
        <w:rPr>
          <w:sz w:val="24"/>
          <w:szCs w:val="24"/>
        </w:rPr>
        <w:t xml:space="preserve"> og kan øge niveauerne af prostataspecifikt antigen (PSA) hos </w:t>
      </w:r>
      <w:proofErr w:type="spellStart"/>
      <w:r w:rsidRPr="00950B25">
        <w:rPr>
          <w:sz w:val="24"/>
          <w:szCs w:val="24"/>
        </w:rPr>
        <w:t>abirateron</w:t>
      </w:r>
      <w:proofErr w:type="spellEnd"/>
      <w:r w:rsidRPr="00950B25">
        <w:rPr>
          <w:sz w:val="24"/>
          <w:szCs w:val="24"/>
        </w:rPr>
        <w:t xml:space="preserve">-behandlede prostatacancerpatienter. Anvendelse sammen med </w:t>
      </w:r>
      <w:proofErr w:type="spellStart"/>
      <w:r w:rsidRPr="00950B25">
        <w:rPr>
          <w:sz w:val="24"/>
          <w:szCs w:val="24"/>
        </w:rPr>
        <w:t>abirateron</w:t>
      </w:r>
      <w:proofErr w:type="spellEnd"/>
      <w:r w:rsidRPr="00950B25">
        <w:rPr>
          <w:sz w:val="24"/>
          <w:szCs w:val="24"/>
        </w:rPr>
        <w:t xml:space="preserve"> frarådes.</w:t>
      </w:r>
    </w:p>
    <w:p w:rsidR="00223179" w:rsidRPr="008C5CD5" w:rsidRDefault="00223179" w:rsidP="00031B79">
      <w:pPr>
        <w:ind w:left="851"/>
        <w:rPr>
          <w:sz w:val="24"/>
          <w:szCs w:val="24"/>
        </w:rPr>
      </w:pPr>
    </w:p>
    <w:p w:rsidR="00E926A0" w:rsidRPr="008C5CD5" w:rsidRDefault="00223179" w:rsidP="00E926A0">
      <w:pPr>
        <w:keepNext/>
        <w:numPr>
          <w:ilvl w:val="1"/>
          <w:numId w:val="1"/>
        </w:numPr>
        <w:tabs>
          <w:tab w:val="clear" w:pos="855"/>
        </w:tabs>
        <w:ind w:left="851" w:hanging="851"/>
        <w:rPr>
          <w:b/>
          <w:sz w:val="24"/>
          <w:szCs w:val="24"/>
        </w:rPr>
      </w:pPr>
      <w:r>
        <w:rPr>
          <w:b/>
          <w:sz w:val="24"/>
          <w:szCs w:val="24"/>
        </w:rPr>
        <w:t>Fertili</w:t>
      </w:r>
      <w:r w:rsidR="00A97E79">
        <w:rPr>
          <w:b/>
          <w:sz w:val="24"/>
          <w:szCs w:val="24"/>
        </w:rPr>
        <w:t>t</w:t>
      </w:r>
      <w:r>
        <w:rPr>
          <w:b/>
          <w:sz w:val="24"/>
          <w:szCs w:val="24"/>
        </w:rPr>
        <w:t>et, g</w:t>
      </w:r>
      <w:r w:rsidR="00E926A0" w:rsidRPr="008C5CD5">
        <w:rPr>
          <w:b/>
          <w:sz w:val="24"/>
          <w:szCs w:val="24"/>
        </w:rPr>
        <w:t>raviditet og amning</w:t>
      </w:r>
    </w:p>
    <w:p w:rsidR="000B5D94" w:rsidRDefault="000B5D94" w:rsidP="000B5D94">
      <w:pPr>
        <w:keepNext/>
        <w:ind w:left="851"/>
        <w:rPr>
          <w:sz w:val="24"/>
          <w:szCs w:val="24"/>
        </w:rPr>
      </w:pPr>
    </w:p>
    <w:p w:rsidR="000B5D94" w:rsidRDefault="000B5D94" w:rsidP="000B5D94">
      <w:pPr>
        <w:keepNext/>
        <w:ind w:left="851"/>
        <w:rPr>
          <w:sz w:val="24"/>
          <w:szCs w:val="24"/>
        </w:rPr>
      </w:pPr>
      <w:r>
        <w:rPr>
          <w:sz w:val="24"/>
          <w:szCs w:val="24"/>
          <w:u w:val="single"/>
        </w:rPr>
        <w:t>Fertilitet</w:t>
      </w:r>
      <w:r>
        <w:rPr>
          <w:sz w:val="24"/>
          <w:szCs w:val="24"/>
        </w:rPr>
        <w:t xml:space="preserve"> </w:t>
      </w:r>
    </w:p>
    <w:p w:rsidR="000B5D94" w:rsidRDefault="000B5D94" w:rsidP="000B5D94">
      <w:pPr>
        <w:ind w:left="851"/>
        <w:rPr>
          <w:sz w:val="24"/>
          <w:szCs w:val="24"/>
        </w:rPr>
      </w:pPr>
      <w:r>
        <w:rPr>
          <w:sz w:val="24"/>
          <w:szCs w:val="24"/>
        </w:rPr>
        <w:t xml:space="preserve">Der findes ingen kliniske data for </w:t>
      </w:r>
      <w:proofErr w:type="spellStart"/>
      <w:r>
        <w:rPr>
          <w:sz w:val="24"/>
          <w:szCs w:val="24"/>
        </w:rPr>
        <w:t>spironolactons</w:t>
      </w:r>
      <w:proofErr w:type="spellEnd"/>
      <w:r>
        <w:rPr>
          <w:sz w:val="24"/>
          <w:szCs w:val="24"/>
        </w:rPr>
        <w:t xml:space="preserve"> virkning på fertiliteten. Dyreforsøg har vist nedsat fertilitet hos hunner (se pkt. 5.3), mens der ikke findes data fra dyr vedrørende fertiliteten hos hanner.</w:t>
      </w:r>
    </w:p>
    <w:p w:rsidR="000B5D94" w:rsidRDefault="000B5D94" w:rsidP="000B5D94">
      <w:pPr>
        <w:ind w:left="851" w:hanging="851"/>
        <w:rPr>
          <w:sz w:val="24"/>
          <w:szCs w:val="24"/>
        </w:rPr>
      </w:pPr>
    </w:p>
    <w:p w:rsidR="000B5D94" w:rsidRDefault="000B5D94" w:rsidP="000B5D94">
      <w:pPr>
        <w:ind w:left="851"/>
        <w:rPr>
          <w:sz w:val="24"/>
          <w:szCs w:val="24"/>
        </w:rPr>
      </w:pPr>
      <w:r>
        <w:rPr>
          <w:sz w:val="24"/>
          <w:szCs w:val="24"/>
          <w:u w:val="single"/>
        </w:rPr>
        <w:t>Graviditet</w:t>
      </w:r>
      <w:r>
        <w:rPr>
          <w:sz w:val="24"/>
          <w:szCs w:val="24"/>
        </w:rPr>
        <w:t xml:space="preserve"> </w:t>
      </w:r>
    </w:p>
    <w:p w:rsidR="000B5D94" w:rsidRDefault="000B5D94" w:rsidP="000B5D94">
      <w:pPr>
        <w:ind w:left="851"/>
        <w:rPr>
          <w:sz w:val="24"/>
          <w:szCs w:val="24"/>
        </w:rPr>
      </w:pPr>
      <w:r>
        <w:rPr>
          <w:sz w:val="24"/>
          <w:szCs w:val="24"/>
        </w:rPr>
        <w:t xml:space="preserve">Data for anvendelse og sikkerhed af </w:t>
      </w:r>
      <w:proofErr w:type="spellStart"/>
      <w:r>
        <w:rPr>
          <w:sz w:val="24"/>
          <w:szCs w:val="24"/>
        </w:rPr>
        <w:t>spironolacton</w:t>
      </w:r>
      <w:proofErr w:type="spellEnd"/>
      <w:r>
        <w:rPr>
          <w:sz w:val="24"/>
          <w:szCs w:val="24"/>
        </w:rPr>
        <w:t xml:space="preserve"> under graviditet er ikke tilstrækkelige. I dyrestudier med rotter, viste det sig, at </w:t>
      </w:r>
      <w:proofErr w:type="spellStart"/>
      <w:r>
        <w:rPr>
          <w:sz w:val="24"/>
          <w:szCs w:val="24"/>
        </w:rPr>
        <w:t>spironolacton</w:t>
      </w:r>
      <w:proofErr w:type="spellEnd"/>
      <w:r>
        <w:rPr>
          <w:sz w:val="24"/>
          <w:szCs w:val="24"/>
        </w:rPr>
        <w:t xml:space="preserve"> forårsager en feminisering af afkom af hankøn. Anvendelsen af </w:t>
      </w:r>
      <w:proofErr w:type="spellStart"/>
      <w:r>
        <w:rPr>
          <w:sz w:val="24"/>
          <w:szCs w:val="24"/>
        </w:rPr>
        <w:t>spironolacton</w:t>
      </w:r>
      <w:proofErr w:type="spellEnd"/>
      <w:r>
        <w:rPr>
          <w:sz w:val="24"/>
          <w:szCs w:val="24"/>
        </w:rPr>
        <w:t xml:space="preserve"> under graviditet bør undgås.</w:t>
      </w:r>
    </w:p>
    <w:p w:rsidR="000B5D94" w:rsidRDefault="000B5D94" w:rsidP="000B5D94">
      <w:pPr>
        <w:ind w:left="851" w:hanging="851"/>
        <w:rPr>
          <w:sz w:val="24"/>
          <w:szCs w:val="24"/>
        </w:rPr>
      </w:pPr>
    </w:p>
    <w:p w:rsidR="000B5D94" w:rsidRDefault="000B5D94" w:rsidP="000B5D94">
      <w:pPr>
        <w:ind w:left="851"/>
        <w:rPr>
          <w:sz w:val="24"/>
          <w:szCs w:val="24"/>
          <w:u w:val="single"/>
        </w:rPr>
      </w:pPr>
      <w:r>
        <w:rPr>
          <w:sz w:val="24"/>
          <w:szCs w:val="24"/>
          <w:u w:val="single"/>
        </w:rPr>
        <w:t xml:space="preserve">Amning </w:t>
      </w:r>
    </w:p>
    <w:p w:rsidR="000B5D94" w:rsidRDefault="000B5D94" w:rsidP="000B5D94">
      <w:pPr>
        <w:ind w:left="851"/>
        <w:rPr>
          <w:sz w:val="24"/>
          <w:szCs w:val="24"/>
        </w:rPr>
      </w:pPr>
      <w:proofErr w:type="spellStart"/>
      <w:r>
        <w:rPr>
          <w:sz w:val="24"/>
          <w:szCs w:val="24"/>
        </w:rPr>
        <w:t>Spironolactons</w:t>
      </w:r>
      <w:proofErr w:type="spellEnd"/>
      <w:r>
        <w:rPr>
          <w:sz w:val="24"/>
          <w:szCs w:val="24"/>
        </w:rPr>
        <w:t xml:space="preserve"> aktive metabolit, </w:t>
      </w:r>
      <w:proofErr w:type="spellStart"/>
      <w:r>
        <w:rPr>
          <w:sz w:val="24"/>
          <w:szCs w:val="24"/>
        </w:rPr>
        <w:t>kanrenon</w:t>
      </w:r>
      <w:proofErr w:type="spellEnd"/>
      <w:r>
        <w:rPr>
          <w:sz w:val="24"/>
          <w:szCs w:val="24"/>
        </w:rPr>
        <w:t>, udskilles i modermælken i lave koncentrationer.</w:t>
      </w:r>
    </w:p>
    <w:p w:rsidR="000B5D94" w:rsidRDefault="000B5D94" w:rsidP="000B5D94">
      <w:pPr>
        <w:ind w:left="851" w:hanging="851"/>
        <w:rPr>
          <w:sz w:val="24"/>
          <w:szCs w:val="24"/>
        </w:rPr>
      </w:pPr>
    </w:p>
    <w:p w:rsidR="000B5D94" w:rsidRDefault="000B5D94" w:rsidP="000B5D94">
      <w:pPr>
        <w:ind w:left="851"/>
        <w:rPr>
          <w:sz w:val="24"/>
          <w:szCs w:val="24"/>
        </w:rPr>
      </w:pPr>
      <w:r>
        <w:rPr>
          <w:sz w:val="24"/>
          <w:szCs w:val="24"/>
        </w:rPr>
        <w:t xml:space="preserve">Virkningen af </w:t>
      </w:r>
      <w:proofErr w:type="spellStart"/>
      <w:r>
        <w:rPr>
          <w:sz w:val="24"/>
          <w:szCs w:val="24"/>
        </w:rPr>
        <w:t>Spiron</w:t>
      </w:r>
      <w:proofErr w:type="spellEnd"/>
      <w:r>
        <w:rPr>
          <w:sz w:val="24"/>
          <w:szCs w:val="24"/>
        </w:rPr>
        <w:t xml:space="preserve"> hos nyfødte/småbørn er ukendt. Der skal træffes en afgørelse om amningen skal afsluttes eller behandling med </w:t>
      </w:r>
      <w:proofErr w:type="spellStart"/>
      <w:r>
        <w:rPr>
          <w:sz w:val="24"/>
          <w:szCs w:val="24"/>
        </w:rPr>
        <w:t>Spiron</w:t>
      </w:r>
      <w:proofErr w:type="spellEnd"/>
      <w:r>
        <w:rPr>
          <w:sz w:val="24"/>
          <w:szCs w:val="24"/>
        </w:rPr>
        <w:t xml:space="preserve"> seponeres/stoppes, under hensyntagen til barnets fordel ved amning og behandlingens fordel for moderen.</w:t>
      </w:r>
    </w:p>
    <w:p w:rsidR="00E926A0" w:rsidRPr="008C5CD5" w:rsidRDefault="00E926A0" w:rsidP="00E926A0">
      <w:pPr>
        <w:ind w:left="851" w:hanging="851"/>
        <w:rPr>
          <w:sz w:val="24"/>
          <w:szCs w:val="24"/>
        </w:rPr>
      </w:pPr>
    </w:p>
    <w:p w:rsidR="00E926A0" w:rsidRPr="008C5CD5" w:rsidRDefault="00E926A0" w:rsidP="00E926A0">
      <w:pPr>
        <w:numPr>
          <w:ilvl w:val="1"/>
          <w:numId w:val="1"/>
        </w:numPr>
        <w:tabs>
          <w:tab w:val="clear" w:pos="855"/>
        </w:tabs>
        <w:ind w:left="851" w:hanging="851"/>
        <w:rPr>
          <w:b/>
          <w:sz w:val="24"/>
          <w:szCs w:val="24"/>
        </w:rPr>
      </w:pPr>
      <w:r w:rsidRPr="008C5CD5">
        <w:rPr>
          <w:b/>
          <w:sz w:val="24"/>
          <w:szCs w:val="24"/>
        </w:rPr>
        <w:t>Virkning</w:t>
      </w:r>
      <w:r w:rsidR="00223179">
        <w:rPr>
          <w:b/>
          <w:sz w:val="24"/>
          <w:szCs w:val="24"/>
        </w:rPr>
        <w:t xml:space="preserve"> </w:t>
      </w:r>
      <w:r w:rsidRPr="008C5CD5">
        <w:rPr>
          <w:b/>
          <w:sz w:val="24"/>
          <w:szCs w:val="24"/>
        </w:rPr>
        <w:t xml:space="preserve">på evnen til at føre motorkøretøj </w:t>
      </w:r>
      <w:r w:rsidR="00223179">
        <w:rPr>
          <w:b/>
          <w:sz w:val="24"/>
          <w:szCs w:val="24"/>
        </w:rPr>
        <w:t xml:space="preserve">og </w:t>
      </w:r>
      <w:r w:rsidRPr="008C5CD5">
        <w:rPr>
          <w:b/>
          <w:sz w:val="24"/>
          <w:szCs w:val="24"/>
        </w:rPr>
        <w:t>betjene maskiner</w:t>
      </w:r>
    </w:p>
    <w:p w:rsidR="00E926A0" w:rsidRPr="008C5CD5" w:rsidRDefault="00E926A0" w:rsidP="00E926A0">
      <w:pPr>
        <w:ind w:left="851"/>
        <w:rPr>
          <w:sz w:val="24"/>
          <w:szCs w:val="24"/>
        </w:rPr>
      </w:pPr>
      <w:r w:rsidRPr="008C5CD5">
        <w:rPr>
          <w:sz w:val="24"/>
          <w:szCs w:val="24"/>
        </w:rPr>
        <w:t>Ikke mærkning.</w:t>
      </w:r>
    </w:p>
    <w:p w:rsidR="00E926A0" w:rsidRPr="008C5CD5" w:rsidRDefault="00E926A0" w:rsidP="00E926A0">
      <w:pPr>
        <w:ind w:left="851"/>
        <w:rPr>
          <w:sz w:val="24"/>
          <w:szCs w:val="24"/>
        </w:rPr>
      </w:pPr>
      <w:r w:rsidRPr="008C5CD5">
        <w:rPr>
          <w:sz w:val="24"/>
          <w:szCs w:val="24"/>
        </w:rPr>
        <w:t xml:space="preserve">Svimmelhed eller træthed, som kan svække evnen til at føre motorkøretøj </w:t>
      </w:r>
      <w:r>
        <w:rPr>
          <w:sz w:val="24"/>
          <w:szCs w:val="24"/>
        </w:rPr>
        <w:t>og/</w:t>
      </w:r>
      <w:r w:rsidRPr="008C5CD5">
        <w:rPr>
          <w:sz w:val="24"/>
          <w:szCs w:val="24"/>
        </w:rPr>
        <w:t>eller betjene maskiner, kan især vise sig i begyndelsen af behandlingen og efter dosisjustering.</w:t>
      </w:r>
    </w:p>
    <w:p w:rsidR="00E926A0" w:rsidRPr="008C5CD5" w:rsidRDefault="00E926A0" w:rsidP="00E926A0">
      <w:pPr>
        <w:ind w:left="851" w:hanging="851"/>
        <w:rPr>
          <w:sz w:val="24"/>
          <w:szCs w:val="24"/>
        </w:rPr>
      </w:pPr>
    </w:p>
    <w:p w:rsidR="000B5D94" w:rsidRPr="000B5D94" w:rsidRDefault="00E926A0" w:rsidP="000B5D94">
      <w:pPr>
        <w:numPr>
          <w:ilvl w:val="1"/>
          <w:numId w:val="1"/>
        </w:numPr>
        <w:tabs>
          <w:tab w:val="clear" w:pos="855"/>
        </w:tabs>
        <w:ind w:left="851" w:hanging="851"/>
        <w:rPr>
          <w:b/>
          <w:sz w:val="24"/>
          <w:szCs w:val="24"/>
        </w:rPr>
      </w:pPr>
      <w:r w:rsidRPr="008C5CD5">
        <w:rPr>
          <w:b/>
          <w:sz w:val="24"/>
          <w:szCs w:val="24"/>
        </w:rPr>
        <w:lastRenderedPageBreak/>
        <w:t>Bivirkninger</w:t>
      </w:r>
    </w:p>
    <w:p w:rsidR="000B5D94" w:rsidRDefault="000B5D94" w:rsidP="000B5D94">
      <w:pPr>
        <w:ind w:left="851"/>
        <w:rPr>
          <w:sz w:val="24"/>
          <w:szCs w:val="24"/>
        </w:rPr>
      </w:pPr>
      <w:r>
        <w:rPr>
          <w:sz w:val="24"/>
          <w:szCs w:val="24"/>
        </w:rPr>
        <w:t xml:space="preserve">Der bør tages højde for risikoen for alvorlig </w:t>
      </w:r>
      <w:proofErr w:type="spellStart"/>
      <w:r>
        <w:rPr>
          <w:sz w:val="24"/>
          <w:szCs w:val="24"/>
        </w:rPr>
        <w:t>hyperkaliæmi</w:t>
      </w:r>
      <w:proofErr w:type="spellEnd"/>
      <w:r>
        <w:rPr>
          <w:sz w:val="24"/>
          <w:szCs w:val="24"/>
        </w:rPr>
        <w:t xml:space="preserve"> især ved langtidsbehandling. Hos patienter med levercirrose er der forekommet </w:t>
      </w:r>
      <w:proofErr w:type="spellStart"/>
      <w:r>
        <w:rPr>
          <w:sz w:val="24"/>
          <w:szCs w:val="24"/>
        </w:rPr>
        <w:t>hypochloræmisk</w:t>
      </w:r>
      <w:proofErr w:type="spellEnd"/>
      <w:r>
        <w:rPr>
          <w:sz w:val="24"/>
          <w:szCs w:val="24"/>
        </w:rPr>
        <w:t xml:space="preserve"> metabolisk </w:t>
      </w:r>
      <w:proofErr w:type="spellStart"/>
      <w:r>
        <w:rPr>
          <w:sz w:val="24"/>
          <w:szCs w:val="24"/>
        </w:rPr>
        <w:t>acidose</w:t>
      </w:r>
      <w:proofErr w:type="spellEnd"/>
      <w:r>
        <w:rPr>
          <w:sz w:val="24"/>
          <w:szCs w:val="24"/>
        </w:rPr>
        <w:t xml:space="preserve">. En behandling med høje </w:t>
      </w:r>
      <w:proofErr w:type="spellStart"/>
      <w:r>
        <w:rPr>
          <w:sz w:val="24"/>
          <w:szCs w:val="24"/>
        </w:rPr>
        <w:t>spironolactondoser</w:t>
      </w:r>
      <w:proofErr w:type="spellEnd"/>
      <w:r>
        <w:rPr>
          <w:sz w:val="24"/>
          <w:szCs w:val="24"/>
        </w:rPr>
        <w:t xml:space="preserve"> kan medføre </w:t>
      </w:r>
      <w:proofErr w:type="spellStart"/>
      <w:r>
        <w:rPr>
          <w:sz w:val="24"/>
          <w:szCs w:val="24"/>
        </w:rPr>
        <w:t>hyponatriæmi</w:t>
      </w:r>
      <w:proofErr w:type="spellEnd"/>
      <w:r>
        <w:rPr>
          <w:sz w:val="24"/>
          <w:szCs w:val="24"/>
        </w:rPr>
        <w:t xml:space="preserve"> og dehydrering. Hos patienter med nyresvigt kan </w:t>
      </w:r>
      <w:proofErr w:type="spellStart"/>
      <w:r>
        <w:rPr>
          <w:sz w:val="24"/>
          <w:szCs w:val="24"/>
        </w:rPr>
        <w:t>spironolacton</w:t>
      </w:r>
      <w:proofErr w:type="spellEnd"/>
      <w:r>
        <w:rPr>
          <w:sz w:val="24"/>
          <w:szCs w:val="24"/>
        </w:rPr>
        <w:t xml:space="preserve"> nedsætte nyrefunktionen yderligere. Urinsyrekoncentrationen kan nedsættes til en vis grad under behandling med </w:t>
      </w:r>
      <w:proofErr w:type="spellStart"/>
      <w:r>
        <w:rPr>
          <w:sz w:val="24"/>
          <w:szCs w:val="24"/>
        </w:rPr>
        <w:t>spironolacton</w:t>
      </w:r>
      <w:proofErr w:type="spellEnd"/>
      <w:r>
        <w:rPr>
          <w:sz w:val="24"/>
          <w:szCs w:val="24"/>
        </w:rPr>
        <w:t>. Neurologiske bivirkninger såsom forvirring, hovedpine og apati, forekommer hovedsageligt hos patienter med levercirrose.</w:t>
      </w:r>
    </w:p>
    <w:p w:rsidR="000B5D94" w:rsidRDefault="000B5D94" w:rsidP="000B5D94">
      <w:pPr>
        <w:ind w:left="851" w:hanging="851"/>
        <w:rPr>
          <w:sz w:val="24"/>
          <w:szCs w:val="24"/>
        </w:rPr>
      </w:pPr>
    </w:p>
    <w:p w:rsidR="000B5D94" w:rsidRDefault="000B5D94" w:rsidP="000B5D94">
      <w:pPr>
        <w:ind w:left="851"/>
        <w:rPr>
          <w:sz w:val="24"/>
          <w:szCs w:val="24"/>
        </w:rPr>
      </w:pPr>
      <w:r>
        <w:rPr>
          <w:sz w:val="24"/>
          <w:szCs w:val="24"/>
        </w:rPr>
        <w:t>Hyppighedsfrekvenser defineres som følgende:</w:t>
      </w:r>
    </w:p>
    <w:p w:rsidR="00223179" w:rsidRDefault="00223179" w:rsidP="00223179">
      <w:pPr>
        <w:ind w:left="851"/>
        <w:rPr>
          <w:sz w:val="24"/>
          <w:szCs w:val="24"/>
        </w:rPr>
      </w:pPr>
      <w:r>
        <w:rPr>
          <w:sz w:val="24"/>
          <w:szCs w:val="24"/>
        </w:rPr>
        <w:t>Meget almindelig (≥ 1/10)</w:t>
      </w:r>
    </w:p>
    <w:p w:rsidR="00223179" w:rsidRDefault="00223179" w:rsidP="00223179">
      <w:pPr>
        <w:ind w:left="851"/>
        <w:rPr>
          <w:sz w:val="24"/>
          <w:szCs w:val="24"/>
        </w:rPr>
      </w:pPr>
      <w:r>
        <w:rPr>
          <w:sz w:val="24"/>
          <w:szCs w:val="24"/>
        </w:rPr>
        <w:t>Almindelig (≥ 1/100 til &lt; 1/10)</w:t>
      </w:r>
    </w:p>
    <w:p w:rsidR="00223179" w:rsidRDefault="00223179" w:rsidP="00223179">
      <w:pPr>
        <w:ind w:left="851"/>
        <w:rPr>
          <w:sz w:val="24"/>
          <w:szCs w:val="24"/>
        </w:rPr>
      </w:pPr>
      <w:r>
        <w:rPr>
          <w:sz w:val="24"/>
          <w:szCs w:val="24"/>
        </w:rPr>
        <w:t>Ikke almindelig (≥ 1/1 000 til &lt; 1/100)</w:t>
      </w:r>
    </w:p>
    <w:p w:rsidR="00223179" w:rsidRDefault="00223179" w:rsidP="00223179">
      <w:pPr>
        <w:ind w:left="851"/>
        <w:rPr>
          <w:sz w:val="24"/>
          <w:szCs w:val="24"/>
        </w:rPr>
      </w:pPr>
      <w:r>
        <w:rPr>
          <w:sz w:val="24"/>
          <w:szCs w:val="24"/>
        </w:rPr>
        <w:t>Sjælden ((≥ 1/10 000 til &lt; 1/1 000)</w:t>
      </w:r>
    </w:p>
    <w:p w:rsidR="00223179" w:rsidRDefault="00223179" w:rsidP="00223179">
      <w:pPr>
        <w:ind w:left="851"/>
        <w:rPr>
          <w:sz w:val="24"/>
          <w:szCs w:val="24"/>
        </w:rPr>
      </w:pPr>
      <w:r>
        <w:rPr>
          <w:sz w:val="24"/>
          <w:szCs w:val="24"/>
        </w:rPr>
        <w:t>Meget sjælden (&lt; 1/10 000)</w:t>
      </w:r>
    </w:p>
    <w:p w:rsidR="000B5D94" w:rsidRDefault="000B5D94" w:rsidP="000B5D94">
      <w:pPr>
        <w:ind w:left="851"/>
        <w:rPr>
          <w:sz w:val="24"/>
          <w:szCs w:val="24"/>
        </w:rPr>
      </w:pPr>
      <w:r>
        <w:rPr>
          <w:sz w:val="24"/>
          <w:szCs w:val="24"/>
        </w:rPr>
        <w:t>Ikke kendt (kan ikke estimeres ud fra forhåndenværende data).</w:t>
      </w:r>
    </w:p>
    <w:p w:rsidR="000B5D94" w:rsidRDefault="000B5D94" w:rsidP="000B5D94">
      <w:pPr>
        <w:ind w:left="851" w:hanging="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1E0" w:firstRow="1" w:lastRow="1" w:firstColumn="1" w:lastColumn="1" w:noHBand="0" w:noVBand="0"/>
      </w:tblPr>
      <w:tblGrid>
        <w:gridCol w:w="1663"/>
        <w:gridCol w:w="1533"/>
        <w:gridCol w:w="1442"/>
        <w:gridCol w:w="1637"/>
        <w:gridCol w:w="1350"/>
        <w:gridCol w:w="2003"/>
      </w:tblGrid>
      <w:tr w:rsidR="000B5D94" w:rsidTr="00A97E79">
        <w:tc>
          <w:tcPr>
            <w:tcW w:w="1663"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1533"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Almindelig</w:t>
            </w:r>
          </w:p>
        </w:tc>
        <w:tc>
          <w:tcPr>
            <w:tcW w:w="1442"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Ikke almindelig</w:t>
            </w:r>
          </w:p>
        </w:tc>
        <w:tc>
          <w:tcPr>
            <w:tcW w:w="1637"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Sjælden</w:t>
            </w:r>
          </w:p>
        </w:tc>
        <w:tc>
          <w:tcPr>
            <w:tcW w:w="1350"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Meget sjælden</w:t>
            </w:r>
          </w:p>
        </w:tc>
        <w:tc>
          <w:tcPr>
            <w:tcW w:w="2003"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Ikke kendt</w:t>
            </w:r>
          </w:p>
        </w:tc>
      </w:tr>
      <w:tr w:rsidR="000B5D94" w:rsidTr="00A97E79">
        <w:tc>
          <w:tcPr>
            <w:tcW w:w="1663"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Benigne, maligne og uspecificerede tumorer (inkl. cyster og polypper)</w:t>
            </w:r>
          </w:p>
        </w:tc>
        <w:tc>
          <w:tcPr>
            <w:tcW w:w="1533"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1637"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Godartede bryst</w:t>
            </w:r>
            <w:r w:rsidR="00A97E79">
              <w:rPr>
                <w:sz w:val="24"/>
                <w:szCs w:val="24"/>
              </w:rPr>
              <w:softHyphen/>
            </w:r>
            <w:r>
              <w:rPr>
                <w:sz w:val="24"/>
                <w:szCs w:val="24"/>
              </w:rPr>
              <w:t>tumorer</w:t>
            </w:r>
          </w:p>
        </w:tc>
        <w:tc>
          <w:tcPr>
            <w:tcW w:w="2003"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r>
      <w:tr w:rsidR="000B5D94" w:rsidTr="00A97E79">
        <w:tc>
          <w:tcPr>
            <w:tcW w:w="1663" w:type="dxa"/>
            <w:tcBorders>
              <w:top w:val="single" w:sz="4" w:space="0" w:color="auto"/>
              <w:left w:val="single" w:sz="4" w:space="0" w:color="auto"/>
              <w:bottom w:val="single" w:sz="4" w:space="0" w:color="auto"/>
              <w:right w:val="single" w:sz="4" w:space="0" w:color="auto"/>
            </w:tcBorders>
            <w:hideMark/>
          </w:tcPr>
          <w:p w:rsidR="000B5D94" w:rsidRDefault="000B5D94">
            <w:pPr>
              <w:keepNext/>
              <w:rPr>
                <w:sz w:val="24"/>
                <w:szCs w:val="24"/>
              </w:rPr>
            </w:pPr>
            <w:r>
              <w:rPr>
                <w:sz w:val="24"/>
                <w:szCs w:val="24"/>
              </w:rPr>
              <w:t>Blod og lymfesystem</w:t>
            </w:r>
          </w:p>
        </w:tc>
        <w:tc>
          <w:tcPr>
            <w:tcW w:w="1533" w:type="dxa"/>
            <w:tcBorders>
              <w:top w:val="single" w:sz="4" w:space="0" w:color="auto"/>
              <w:left w:val="single" w:sz="4" w:space="0" w:color="auto"/>
              <w:bottom w:val="single" w:sz="4" w:space="0" w:color="auto"/>
              <w:right w:val="single" w:sz="4" w:space="0" w:color="auto"/>
            </w:tcBorders>
          </w:tcPr>
          <w:p w:rsidR="000B5D94" w:rsidRDefault="000B5D94">
            <w:pPr>
              <w:keepNext/>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0B5D94" w:rsidRDefault="000B5D94">
            <w:pPr>
              <w:keepNext/>
              <w:rPr>
                <w:sz w:val="24"/>
                <w:szCs w:val="24"/>
              </w:rPr>
            </w:pPr>
          </w:p>
        </w:tc>
        <w:tc>
          <w:tcPr>
            <w:tcW w:w="1637"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proofErr w:type="spellStart"/>
            <w:r>
              <w:rPr>
                <w:sz w:val="24"/>
                <w:szCs w:val="24"/>
              </w:rPr>
              <w:t>Trombocyto</w:t>
            </w:r>
            <w:r>
              <w:rPr>
                <w:sz w:val="24"/>
                <w:szCs w:val="24"/>
              </w:rPr>
              <w:softHyphen/>
              <w:t>peni</w:t>
            </w:r>
            <w:proofErr w:type="spellEnd"/>
            <w:r>
              <w:rPr>
                <w:sz w:val="24"/>
                <w:szCs w:val="24"/>
              </w:rPr>
              <w:t xml:space="preserve">, </w:t>
            </w:r>
          </w:p>
          <w:p w:rsidR="000B5D94" w:rsidRDefault="000B5D94">
            <w:pPr>
              <w:rPr>
                <w:sz w:val="24"/>
                <w:szCs w:val="24"/>
              </w:rPr>
            </w:pPr>
            <w:proofErr w:type="spellStart"/>
            <w:r>
              <w:rPr>
                <w:sz w:val="24"/>
                <w:szCs w:val="24"/>
              </w:rPr>
              <w:t>leukopeni</w:t>
            </w:r>
            <w:proofErr w:type="spellEnd"/>
            <w:r>
              <w:rPr>
                <w:sz w:val="24"/>
                <w:szCs w:val="24"/>
              </w:rPr>
              <w:t xml:space="preserve"> (også </w:t>
            </w:r>
            <w:proofErr w:type="spellStart"/>
            <w:r>
              <w:rPr>
                <w:sz w:val="24"/>
                <w:szCs w:val="24"/>
              </w:rPr>
              <w:t>agranulo</w:t>
            </w:r>
            <w:r w:rsidR="00A97E79">
              <w:rPr>
                <w:sz w:val="24"/>
                <w:szCs w:val="24"/>
              </w:rPr>
              <w:softHyphen/>
            </w:r>
            <w:r>
              <w:rPr>
                <w:sz w:val="24"/>
                <w:szCs w:val="24"/>
              </w:rPr>
              <w:t>cytose</w:t>
            </w:r>
            <w:proofErr w:type="spellEnd"/>
            <w:r>
              <w:rPr>
                <w:sz w:val="24"/>
                <w:szCs w:val="24"/>
              </w:rPr>
              <w:t>)</w:t>
            </w:r>
          </w:p>
        </w:tc>
        <w:tc>
          <w:tcPr>
            <w:tcW w:w="1350"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2003"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r>
      <w:tr w:rsidR="000B5D94" w:rsidTr="00A97E79">
        <w:tc>
          <w:tcPr>
            <w:tcW w:w="1663"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Metabolisme og ernæring</w:t>
            </w:r>
          </w:p>
        </w:tc>
        <w:tc>
          <w:tcPr>
            <w:tcW w:w="1533"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1442"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Elektrolytfor</w:t>
            </w:r>
            <w:r>
              <w:rPr>
                <w:sz w:val="24"/>
                <w:szCs w:val="24"/>
              </w:rPr>
              <w:softHyphen/>
              <w:t xml:space="preserve">styrrelser som </w:t>
            </w:r>
            <w:proofErr w:type="spellStart"/>
            <w:r>
              <w:rPr>
                <w:sz w:val="24"/>
                <w:szCs w:val="24"/>
              </w:rPr>
              <w:t>hyper</w:t>
            </w:r>
            <w:r w:rsidR="00A97E79">
              <w:rPr>
                <w:sz w:val="24"/>
                <w:szCs w:val="24"/>
              </w:rPr>
              <w:softHyphen/>
            </w:r>
            <w:r>
              <w:rPr>
                <w:sz w:val="24"/>
                <w:szCs w:val="24"/>
              </w:rPr>
              <w:t>kaliæmi</w:t>
            </w:r>
            <w:proofErr w:type="spellEnd"/>
            <w:r>
              <w:rPr>
                <w:sz w:val="24"/>
                <w:szCs w:val="24"/>
              </w:rPr>
              <w:t xml:space="preserve"> og </w:t>
            </w:r>
            <w:proofErr w:type="spellStart"/>
            <w:r>
              <w:rPr>
                <w:sz w:val="24"/>
                <w:szCs w:val="24"/>
              </w:rPr>
              <w:t>hypo</w:t>
            </w:r>
            <w:r w:rsidR="00A97E79">
              <w:rPr>
                <w:sz w:val="24"/>
                <w:szCs w:val="24"/>
              </w:rPr>
              <w:softHyphen/>
            </w:r>
            <w:r>
              <w:rPr>
                <w:sz w:val="24"/>
                <w:szCs w:val="24"/>
              </w:rPr>
              <w:t>natriæmi</w:t>
            </w:r>
            <w:proofErr w:type="spellEnd"/>
          </w:p>
        </w:tc>
        <w:tc>
          <w:tcPr>
            <w:tcW w:w="1637"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Dehydrering</w:t>
            </w:r>
          </w:p>
        </w:tc>
        <w:tc>
          <w:tcPr>
            <w:tcW w:w="1350"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2003"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r>
      <w:tr w:rsidR="000B5D94" w:rsidTr="00A97E79">
        <w:tc>
          <w:tcPr>
            <w:tcW w:w="1663"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Psykiske forstyrrelser</w:t>
            </w:r>
          </w:p>
        </w:tc>
        <w:tc>
          <w:tcPr>
            <w:tcW w:w="1533"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1442"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Forvirring</w:t>
            </w:r>
          </w:p>
        </w:tc>
        <w:tc>
          <w:tcPr>
            <w:tcW w:w="1637"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 xml:space="preserve">Apati, </w:t>
            </w:r>
          </w:p>
          <w:p w:rsidR="000B5D94" w:rsidRDefault="000B5D94">
            <w:pPr>
              <w:rPr>
                <w:sz w:val="24"/>
                <w:szCs w:val="24"/>
              </w:rPr>
            </w:pPr>
            <w:r>
              <w:rPr>
                <w:sz w:val="24"/>
                <w:szCs w:val="24"/>
              </w:rPr>
              <w:t>libido</w:t>
            </w:r>
            <w:r>
              <w:rPr>
                <w:sz w:val="24"/>
                <w:szCs w:val="24"/>
              </w:rPr>
              <w:softHyphen/>
              <w:t>forandringer</w:t>
            </w:r>
          </w:p>
        </w:tc>
        <w:tc>
          <w:tcPr>
            <w:tcW w:w="1350"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2003"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r>
      <w:tr w:rsidR="000B5D94" w:rsidTr="00A97E79">
        <w:tc>
          <w:tcPr>
            <w:tcW w:w="1663"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Nervesystemet</w:t>
            </w:r>
          </w:p>
        </w:tc>
        <w:tc>
          <w:tcPr>
            <w:tcW w:w="1533"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Hovedpine</w:t>
            </w:r>
          </w:p>
        </w:tc>
        <w:tc>
          <w:tcPr>
            <w:tcW w:w="1442"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proofErr w:type="spellStart"/>
            <w:r>
              <w:rPr>
                <w:sz w:val="24"/>
                <w:szCs w:val="24"/>
              </w:rPr>
              <w:t>Paræstesier</w:t>
            </w:r>
            <w:proofErr w:type="spellEnd"/>
          </w:p>
        </w:tc>
        <w:tc>
          <w:tcPr>
            <w:tcW w:w="1637"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Svimmelhed</w:t>
            </w:r>
          </w:p>
        </w:tc>
        <w:tc>
          <w:tcPr>
            <w:tcW w:w="1350"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2003"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r>
      <w:tr w:rsidR="000B5D94" w:rsidTr="00A97E79">
        <w:tc>
          <w:tcPr>
            <w:tcW w:w="1663"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Mave-tarm-kanalen</w:t>
            </w:r>
          </w:p>
        </w:tc>
        <w:tc>
          <w:tcPr>
            <w:tcW w:w="1533"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proofErr w:type="spellStart"/>
            <w:r>
              <w:rPr>
                <w:sz w:val="24"/>
                <w:szCs w:val="24"/>
              </w:rPr>
              <w:t>Gastrointesti</w:t>
            </w:r>
            <w:r>
              <w:rPr>
                <w:sz w:val="24"/>
                <w:szCs w:val="24"/>
              </w:rPr>
              <w:softHyphen/>
              <w:t>nale</w:t>
            </w:r>
            <w:proofErr w:type="spellEnd"/>
            <w:r>
              <w:rPr>
                <w:sz w:val="24"/>
                <w:szCs w:val="24"/>
              </w:rPr>
              <w:t xml:space="preserve"> forstyrrelser,</w:t>
            </w:r>
          </w:p>
          <w:p w:rsidR="000B5D94" w:rsidRDefault="000B5D94">
            <w:pPr>
              <w:rPr>
                <w:sz w:val="24"/>
                <w:szCs w:val="24"/>
              </w:rPr>
            </w:pPr>
            <w:r>
              <w:rPr>
                <w:sz w:val="24"/>
                <w:szCs w:val="24"/>
              </w:rPr>
              <w:t>kvalme,</w:t>
            </w:r>
          </w:p>
          <w:p w:rsidR="000B5D94" w:rsidRDefault="000B5D94">
            <w:pPr>
              <w:rPr>
                <w:sz w:val="24"/>
                <w:szCs w:val="24"/>
              </w:rPr>
            </w:pPr>
            <w:r>
              <w:rPr>
                <w:sz w:val="24"/>
                <w:szCs w:val="24"/>
              </w:rPr>
              <w:t>diarré, opkastning</w:t>
            </w:r>
          </w:p>
        </w:tc>
        <w:tc>
          <w:tcPr>
            <w:tcW w:w="1442"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1637"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2003"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r>
      <w:tr w:rsidR="000B5D94" w:rsidTr="00A97E79">
        <w:tc>
          <w:tcPr>
            <w:tcW w:w="1663"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Lever og galdeveje</w:t>
            </w:r>
          </w:p>
        </w:tc>
        <w:tc>
          <w:tcPr>
            <w:tcW w:w="1533"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1637"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proofErr w:type="spellStart"/>
            <w:r>
              <w:rPr>
                <w:sz w:val="24"/>
                <w:szCs w:val="24"/>
              </w:rPr>
              <w:t>Hepatisk</w:t>
            </w:r>
            <w:proofErr w:type="spellEnd"/>
            <w:r>
              <w:rPr>
                <w:sz w:val="24"/>
                <w:szCs w:val="24"/>
              </w:rPr>
              <w:t xml:space="preserve"> dysfunktion</w:t>
            </w:r>
          </w:p>
        </w:tc>
        <w:tc>
          <w:tcPr>
            <w:tcW w:w="2003" w:type="dxa"/>
            <w:tcBorders>
              <w:top w:val="single" w:sz="4" w:space="0" w:color="auto"/>
              <w:left w:val="single" w:sz="4" w:space="0" w:color="auto"/>
              <w:bottom w:val="single" w:sz="4" w:space="0" w:color="auto"/>
              <w:right w:val="single" w:sz="4" w:space="0" w:color="auto"/>
            </w:tcBorders>
          </w:tcPr>
          <w:p w:rsidR="000B5D94" w:rsidRPr="000B5D94" w:rsidRDefault="000B5D94">
            <w:pPr>
              <w:rPr>
                <w:sz w:val="24"/>
                <w:szCs w:val="24"/>
              </w:rPr>
            </w:pPr>
          </w:p>
        </w:tc>
      </w:tr>
      <w:tr w:rsidR="000B5D94" w:rsidTr="00A97E79">
        <w:tc>
          <w:tcPr>
            <w:tcW w:w="1663"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Hud og subkutane væv</w:t>
            </w:r>
          </w:p>
        </w:tc>
        <w:tc>
          <w:tcPr>
            <w:tcW w:w="1533"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Tør hud</w:t>
            </w:r>
          </w:p>
        </w:tc>
        <w:tc>
          <w:tcPr>
            <w:tcW w:w="1442"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 xml:space="preserve">Hududslæt, </w:t>
            </w:r>
            <w:proofErr w:type="spellStart"/>
            <w:r>
              <w:rPr>
                <w:sz w:val="24"/>
                <w:szCs w:val="24"/>
              </w:rPr>
              <w:t>pruritus</w:t>
            </w:r>
            <w:proofErr w:type="spellEnd"/>
            <w:r>
              <w:rPr>
                <w:sz w:val="24"/>
                <w:szCs w:val="24"/>
              </w:rPr>
              <w:t xml:space="preserve">, </w:t>
            </w:r>
            <w:proofErr w:type="spellStart"/>
            <w:r>
              <w:rPr>
                <w:sz w:val="24"/>
                <w:szCs w:val="24"/>
              </w:rPr>
              <w:t>urtikaria</w:t>
            </w:r>
            <w:proofErr w:type="spellEnd"/>
          </w:p>
        </w:tc>
        <w:tc>
          <w:tcPr>
            <w:tcW w:w="1637"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proofErr w:type="spellStart"/>
            <w:r>
              <w:rPr>
                <w:sz w:val="24"/>
                <w:szCs w:val="24"/>
              </w:rPr>
              <w:t>Alopeci</w:t>
            </w:r>
            <w:proofErr w:type="spellEnd"/>
            <w:r>
              <w:rPr>
                <w:sz w:val="24"/>
                <w:szCs w:val="24"/>
              </w:rPr>
              <w:t xml:space="preserve">, </w:t>
            </w:r>
            <w:proofErr w:type="spellStart"/>
            <w:r>
              <w:rPr>
                <w:sz w:val="24"/>
                <w:szCs w:val="24"/>
              </w:rPr>
              <w:t>hypertrikose</w:t>
            </w:r>
            <w:proofErr w:type="spellEnd"/>
          </w:p>
        </w:tc>
        <w:tc>
          <w:tcPr>
            <w:tcW w:w="2003" w:type="dxa"/>
            <w:tcBorders>
              <w:top w:val="single" w:sz="4" w:space="0" w:color="auto"/>
              <w:left w:val="single" w:sz="4" w:space="0" w:color="auto"/>
              <w:bottom w:val="single" w:sz="4" w:space="0" w:color="auto"/>
              <w:right w:val="single" w:sz="4" w:space="0" w:color="auto"/>
            </w:tcBorders>
            <w:hideMark/>
          </w:tcPr>
          <w:p w:rsidR="000B5D94" w:rsidRPr="000B5D94" w:rsidRDefault="000B5D94">
            <w:pPr>
              <w:rPr>
                <w:sz w:val="24"/>
                <w:szCs w:val="24"/>
                <w:lang w:val="nb-NO"/>
              </w:rPr>
            </w:pPr>
            <w:r w:rsidRPr="000B5D94">
              <w:rPr>
                <w:sz w:val="24"/>
                <w:szCs w:val="24"/>
                <w:lang w:val="nb-NO"/>
              </w:rPr>
              <w:t xml:space="preserve">Toksisk epidermal nekrolyse (TEN), Stevens-Johnsons </w:t>
            </w:r>
            <w:r w:rsidRPr="000B5D94">
              <w:rPr>
                <w:sz w:val="24"/>
                <w:szCs w:val="24"/>
                <w:lang w:val="nb-NO"/>
              </w:rPr>
              <w:lastRenderedPageBreak/>
              <w:t>syndrom, lægemiddelreaktion med eosinofili og systemiske symptomer (DRESS), pemfigoid</w:t>
            </w:r>
          </w:p>
        </w:tc>
      </w:tr>
      <w:tr w:rsidR="000B5D94" w:rsidTr="00A97E79">
        <w:tc>
          <w:tcPr>
            <w:tcW w:w="1663"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lastRenderedPageBreak/>
              <w:t>Knogler, led muskler og bindevæv</w:t>
            </w:r>
          </w:p>
        </w:tc>
        <w:tc>
          <w:tcPr>
            <w:tcW w:w="1533"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1442"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Kramper i benene</w:t>
            </w:r>
          </w:p>
        </w:tc>
        <w:tc>
          <w:tcPr>
            <w:tcW w:w="1637"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2003"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r>
      <w:tr w:rsidR="000B5D94" w:rsidTr="00A97E79">
        <w:tc>
          <w:tcPr>
            <w:tcW w:w="1663"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Nyrer og urinveje</w:t>
            </w:r>
          </w:p>
        </w:tc>
        <w:tc>
          <w:tcPr>
            <w:tcW w:w="1533"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1442"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 xml:space="preserve">Forhøjet </w:t>
            </w:r>
            <w:proofErr w:type="spellStart"/>
            <w:r>
              <w:rPr>
                <w:sz w:val="24"/>
                <w:szCs w:val="24"/>
              </w:rPr>
              <w:t>serum</w:t>
            </w:r>
            <w:r>
              <w:rPr>
                <w:sz w:val="24"/>
                <w:szCs w:val="24"/>
              </w:rPr>
              <w:softHyphen/>
              <w:t>kreatinin-koncentra</w:t>
            </w:r>
            <w:r w:rsidR="00A97E79">
              <w:rPr>
                <w:sz w:val="24"/>
                <w:szCs w:val="24"/>
              </w:rPr>
              <w:softHyphen/>
            </w:r>
            <w:r w:rsidR="00A97E79">
              <w:rPr>
                <w:sz w:val="24"/>
                <w:szCs w:val="24"/>
              </w:rPr>
              <w:softHyphen/>
            </w:r>
            <w:r>
              <w:rPr>
                <w:sz w:val="24"/>
                <w:szCs w:val="24"/>
              </w:rPr>
              <w:t>tion</w:t>
            </w:r>
            <w:proofErr w:type="spellEnd"/>
          </w:p>
        </w:tc>
        <w:tc>
          <w:tcPr>
            <w:tcW w:w="1637"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Akut nyresvigt</w:t>
            </w:r>
          </w:p>
        </w:tc>
        <w:tc>
          <w:tcPr>
            <w:tcW w:w="1350"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2003"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r>
      <w:tr w:rsidR="000B5D94" w:rsidTr="00A97E79">
        <w:tc>
          <w:tcPr>
            <w:tcW w:w="1663"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Det reproduktive system og mammae</w:t>
            </w:r>
          </w:p>
        </w:tc>
        <w:tc>
          <w:tcPr>
            <w:tcW w:w="1533"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proofErr w:type="spellStart"/>
            <w:r>
              <w:rPr>
                <w:sz w:val="24"/>
                <w:szCs w:val="24"/>
              </w:rPr>
              <w:t>Gynækomasti</w:t>
            </w:r>
            <w:proofErr w:type="spellEnd"/>
            <w:r>
              <w:rPr>
                <w:sz w:val="24"/>
                <w:szCs w:val="24"/>
              </w:rPr>
              <w:t>, brystømhed, menstruations-forstyrrelser, impotens</w:t>
            </w:r>
          </w:p>
        </w:tc>
        <w:tc>
          <w:tcPr>
            <w:tcW w:w="1442"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1637"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2003"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r>
      <w:tr w:rsidR="000B5D94" w:rsidTr="00A97E79">
        <w:tc>
          <w:tcPr>
            <w:tcW w:w="1663"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Almene symptomer og reaktioner på administrations-stedet</w:t>
            </w:r>
          </w:p>
        </w:tc>
        <w:tc>
          <w:tcPr>
            <w:tcW w:w="1533"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proofErr w:type="spellStart"/>
            <w:r>
              <w:rPr>
                <w:sz w:val="24"/>
                <w:szCs w:val="24"/>
              </w:rPr>
              <w:t>Somnolens</w:t>
            </w:r>
            <w:proofErr w:type="spellEnd"/>
          </w:p>
        </w:tc>
        <w:tc>
          <w:tcPr>
            <w:tcW w:w="1442"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1637"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2003"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r>
      <w:tr w:rsidR="000B5D94" w:rsidTr="00A97E79">
        <w:tc>
          <w:tcPr>
            <w:tcW w:w="1663"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Undersøgelser</w:t>
            </w:r>
          </w:p>
        </w:tc>
        <w:tc>
          <w:tcPr>
            <w:tcW w:w="1533"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1442" w:type="dxa"/>
            <w:tcBorders>
              <w:top w:val="single" w:sz="4" w:space="0" w:color="auto"/>
              <w:left w:val="single" w:sz="4" w:space="0" w:color="auto"/>
              <w:bottom w:val="single" w:sz="4" w:space="0" w:color="auto"/>
              <w:right w:val="single" w:sz="4" w:space="0" w:color="auto"/>
            </w:tcBorders>
            <w:hideMark/>
          </w:tcPr>
          <w:p w:rsidR="000B5D94" w:rsidRDefault="000B5D94">
            <w:pPr>
              <w:rPr>
                <w:sz w:val="24"/>
                <w:szCs w:val="24"/>
              </w:rPr>
            </w:pPr>
            <w:r>
              <w:rPr>
                <w:sz w:val="24"/>
                <w:szCs w:val="24"/>
              </w:rPr>
              <w:t xml:space="preserve">Forhøjet </w:t>
            </w:r>
            <w:proofErr w:type="spellStart"/>
            <w:r>
              <w:rPr>
                <w:sz w:val="24"/>
                <w:szCs w:val="24"/>
              </w:rPr>
              <w:t>reninkoncen</w:t>
            </w:r>
            <w:r>
              <w:rPr>
                <w:sz w:val="24"/>
                <w:szCs w:val="24"/>
              </w:rPr>
              <w:softHyphen/>
              <w:t>tration</w:t>
            </w:r>
            <w:proofErr w:type="spellEnd"/>
          </w:p>
        </w:tc>
        <w:tc>
          <w:tcPr>
            <w:tcW w:w="1637"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c>
          <w:tcPr>
            <w:tcW w:w="2003" w:type="dxa"/>
            <w:tcBorders>
              <w:top w:val="single" w:sz="4" w:space="0" w:color="auto"/>
              <w:left w:val="single" w:sz="4" w:space="0" w:color="auto"/>
              <w:bottom w:val="single" w:sz="4" w:space="0" w:color="auto"/>
              <w:right w:val="single" w:sz="4" w:space="0" w:color="auto"/>
            </w:tcBorders>
          </w:tcPr>
          <w:p w:rsidR="000B5D94" w:rsidRDefault="000B5D94">
            <w:pPr>
              <w:rPr>
                <w:sz w:val="24"/>
                <w:szCs w:val="24"/>
              </w:rPr>
            </w:pPr>
          </w:p>
        </w:tc>
      </w:tr>
    </w:tbl>
    <w:p w:rsidR="000B5D94" w:rsidRDefault="000B5D94" w:rsidP="000B5D94">
      <w:pPr>
        <w:pStyle w:val="Sidehoved"/>
        <w:tabs>
          <w:tab w:val="left" w:pos="1304"/>
        </w:tabs>
        <w:ind w:left="851" w:hanging="851"/>
        <w:rPr>
          <w:szCs w:val="24"/>
        </w:rPr>
      </w:pPr>
    </w:p>
    <w:p w:rsidR="000B5D94" w:rsidRDefault="000B5D94" w:rsidP="000B5D94">
      <w:pPr>
        <w:ind w:left="851"/>
        <w:rPr>
          <w:noProof/>
          <w:sz w:val="24"/>
          <w:szCs w:val="24"/>
          <w:u w:val="single"/>
          <w:lang w:eastAsia="da-DK"/>
        </w:rPr>
      </w:pPr>
      <w:r>
        <w:rPr>
          <w:noProof/>
          <w:sz w:val="24"/>
          <w:szCs w:val="24"/>
          <w:u w:val="single"/>
          <w:lang w:eastAsia="da-DK"/>
        </w:rPr>
        <w:t xml:space="preserve">Indberetning af </w:t>
      </w:r>
      <w:r w:rsidR="009E27C1">
        <w:rPr>
          <w:noProof/>
          <w:sz w:val="24"/>
          <w:szCs w:val="24"/>
          <w:u w:val="single"/>
          <w:lang w:eastAsia="da-DK"/>
        </w:rPr>
        <w:t>formodede</w:t>
      </w:r>
      <w:r>
        <w:rPr>
          <w:noProof/>
          <w:sz w:val="24"/>
          <w:szCs w:val="24"/>
          <w:u w:val="single"/>
          <w:lang w:eastAsia="da-DK"/>
        </w:rPr>
        <w:t xml:space="preserve"> bivirkninger</w:t>
      </w:r>
    </w:p>
    <w:p w:rsidR="000B5D94" w:rsidRDefault="000B5D94" w:rsidP="000B5D94">
      <w:pPr>
        <w:ind w:left="851"/>
        <w:rPr>
          <w:noProof/>
          <w:sz w:val="24"/>
          <w:szCs w:val="24"/>
          <w:lang w:eastAsia="da-DK"/>
        </w:rPr>
      </w:pPr>
      <w:r>
        <w:rPr>
          <w:noProof/>
          <w:sz w:val="24"/>
          <w:szCs w:val="24"/>
          <w:lang w:eastAsia="da-DK"/>
        </w:rPr>
        <w:t>Når lægemidlet er godkendt, er indberetning af formodede bivirkninger vigtig. Det muliggør løbende overvågning af benefit/risk-forholdet for lægemidlet. Sundhedspersoner anmodes om at indberette alle formodede bivirkninger via:</w:t>
      </w:r>
    </w:p>
    <w:p w:rsidR="000B5D94" w:rsidRDefault="000B5D94" w:rsidP="000B5D94">
      <w:pPr>
        <w:ind w:left="851"/>
        <w:rPr>
          <w:noProof/>
          <w:sz w:val="24"/>
          <w:szCs w:val="24"/>
          <w:lang w:eastAsia="da-DK"/>
        </w:rPr>
      </w:pPr>
    </w:p>
    <w:p w:rsidR="000B5D94" w:rsidRDefault="000B5D94" w:rsidP="000B5D94">
      <w:pPr>
        <w:keepNext/>
        <w:ind w:left="851"/>
        <w:rPr>
          <w:noProof/>
          <w:sz w:val="24"/>
          <w:szCs w:val="24"/>
          <w:lang w:eastAsia="da-DK"/>
        </w:rPr>
      </w:pPr>
      <w:r>
        <w:rPr>
          <w:noProof/>
          <w:sz w:val="24"/>
          <w:szCs w:val="24"/>
          <w:lang w:eastAsia="da-DK"/>
        </w:rPr>
        <w:t>Lægemiddelstyrelsen</w:t>
      </w:r>
    </w:p>
    <w:p w:rsidR="000B5D94" w:rsidRDefault="000B5D94" w:rsidP="000B5D94">
      <w:pPr>
        <w:ind w:left="851"/>
        <w:rPr>
          <w:noProof/>
          <w:sz w:val="24"/>
          <w:szCs w:val="24"/>
          <w:lang w:eastAsia="da-DK"/>
        </w:rPr>
      </w:pPr>
      <w:r>
        <w:rPr>
          <w:noProof/>
          <w:sz w:val="24"/>
          <w:szCs w:val="24"/>
          <w:lang w:eastAsia="da-DK"/>
        </w:rPr>
        <w:t>Axel Heides Gade 1</w:t>
      </w:r>
    </w:p>
    <w:p w:rsidR="000B5D94" w:rsidRDefault="000B5D94" w:rsidP="000B5D94">
      <w:pPr>
        <w:ind w:left="851"/>
        <w:rPr>
          <w:noProof/>
          <w:sz w:val="24"/>
          <w:szCs w:val="24"/>
          <w:lang w:eastAsia="da-DK"/>
        </w:rPr>
      </w:pPr>
      <w:r>
        <w:rPr>
          <w:noProof/>
          <w:sz w:val="24"/>
          <w:szCs w:val="24"/>
          <w:lang w:eastAsia="da-DK"/>
        </w:rPr>
        <w:t>DK-2300 København S</w:t>
      </w:r>
    </w:p>
    <w:p w:rsidR="000B5D94" w:rsidRPr="009E27C1" w:rsidRDefault="000B5D94" w:rsidP="000B5D94">
      <w:pPr>
        <w:ind w:left="851"/>
        <w:rPr>
          <w:noProof/>
          <w:sz w:val="24"/>
          <w:szCs w:val="24"/>
          <w:lang w:eastAsia="da-DK"/>
        </w:rPr>
      </w:pPr>
      <w:r w:rsidRPr="009E27C1">
        <w:rPr>
          <w:noProof/>
          <w:sz w:val="24"/>
          <w:szCs w:val="24"/>
          <w:lang w:eastAsia="da-DK"/>
        </w:rPr>
        <w:t xml:space="preserve">Websted: </w:t>
      </w:r>
      <w:hyperlink r:id="rId8" w:history="1">
        <w:r w:rsidRPr="009E27C1">
          <w:rPr>
            <w:rStyle w:val="Hyperlink"/>
            <w:noProof/>
            <w:color w:val="0000FF"/>
            <w:sz w:val="24"/>
            <w:szCs w:val="24"/>
            <w:lang w:eastAsia="da-DK"/>
          </w:rPr>
          <w:t>www.meldenbivirkning.dk</w:t>
        </w:r>
      </w:hyperlink>
    </w:p>
    <w:p w:rsidR="00E926A0" w:rsidRPr="009E27C1" w:rsidRDefault="00E926A0" w:rsidP="00E926A0">
      <w:pPr>
        <w:pStyle w:val="Sidehoved"/>
        <w:tabs>
          <w:tab w:val="clear" w:pos="4819"/>
          <w:tab w:val="clear" w:pos="9638"/>
        </w:tabs>
        <w:ind w:left="851" w:hanging="851"/>
        <w:rPr>
          <w:szCs w:val="24"/>
        </w:rPr>
      </w:pPr>
    </w:p>
    <w:p w:rsidR="00E926A0" w:rsidRPr="008C5CD5" w:rsidRDefault="00E926A0" w:rsidP="00E926A0">
      <w:pPr>
        <w:numPr>
          <w:ilvl w:val="1"/>
          <w:numId w:val="1"/>
        </w:numPr>
        <w:tabs>
          <w:tab w:val="clear" w:pos="855"/>
        </w:tabs>
        <w:ind w:left="851" w:hanging="851"/>
        <w:rPr>
          <w:b/>
          <w:sz w:val="24"/>
          <w:szCs w:val="24"/>
        </w:rPr>
      </w:pPr>
      <w:r w:rsidRPr="008C5CD5">
        <w:rPr>
          <w:b/>
          <w:sz w:val="24"/>
          <w:szCs w:val="24"/>
        </w:rPr>
        <w:t>Overdosering</w:t>
      </w:r>
    </w:p>
    <w:p w:rsidR="00E926A0" w:rsidRPr="008C5CD5" w:rsidRDefault="00E926A0" w:rsidP="00E926A0">
      <w:pPr>
        <w:ind w:left="851"/>
        <w:rPr>
          <w:noProof/>
          <w:sz w:val="24"/>
          <w:szCs w:val="24"/>
        </w:rPr>
      </w:pPr>
      <w:r w:rsidRPr="008C5CD5">
        <w:rPr>
          <w:noProof/>
          <w:sz w:val="24"/>
          <w:szCs w:val="24"/>
        </w:rPr>
        <w:t>Akut overdosering af spironolaction kan medføre træthed, forvirring, opkastning, ataksi, svimmelhed, hududslæt og diarré. Kronisk overdosering kan medføre hyperkaliæmi og hyponatriæmi. En enkelt dosis på 625 mg har medført let intoksikation efter mavetømning. Nødbehandling af overdosering består af administration af aktivt kul, om nødvendigt flere gange. Hvis overdosering er sket kort tid inden og den indtagne mængde spironolacton er stor, kan mavetømning ved hjælp af maveskylning overvejes. Behandling af overdosering er hovedsageligt symptomatisk: monitorering af hjertefunktion, elektrolytbalance og nyrefunktion er indiceret. Der kendes intet specifikt antidot mod spironolacton.</w:t>
      </w:r>
    </w:p>
    <w:p w:rsidR="00E926A0" w:rsidRPr="008C5CD5" w:rsidRDefault="00E926A0" w:rsidP="00E926A0">
      <w:pPr>
        <w:ind w:left="851" w:hanging="851"/>
        <w:rPr>
          <w:sz w:val="24"/>
          <w:szCs w:val="24"/>
        </w:rPr>
      </w:pPr>
    </w:p>
    <w:p w:rsidR="00E926A0" w:rsidRPr="008C5CD5" w:rsidRDefault="00E926A0" w:rsidP="00E926A0">
      <w:pPr>
        <w:numPr>
          <w:ilvl w:val="1"/>
          <w:numId w:val="1"/>
        </w:numPr>
        <w:tabs>
          <w:tab w:val="clear" w:pos="855"/>
        </w:tabs>
        <w:ind w:left="851" w:hanging="851"/>
        <w:rPr>
          <w:b/>
          <w:sz w:val="24"/>
          <w:szCs w:val="24"/>
        </w:rPr>
      </w:pPr>
      <w:r w:rsidRPr="008C5CD5">
        <w:rPr>
          <w:b/>
          <w:sz w:val="24"/>
          <w:szCs w:val="24"/>
        </w:rPr>
        <w:t>Udlevering</w:t>
      </w:r>
    </w:p>
    <w:p w:rsidR="00E926A0" w:rsidRPr="008C5CD5" w:rsidRDefault="00E926A0" w:rsidP="00E926A0">
      <w:pPr>
        <w:ind w:left="851" w:hanging="851"/>
        <w:rPr>
          <w:sz w:val="24"/>
          <w:szCs w:val="24"/>
        </w:rPr>
      </w:pPr>
      <w:r w:rsidRPr="008C5CD5">
        <w:rPr>
          <w:sz w:val="24"/>
          <w:szCs w:val="24"/>
        </w:rPr>
        <w:tab/>
      </w:r>
      <w:r>
        <w:rPr>
          <w:sz w:val="24"/>
          <w:szCs w:val="24"/>
        </w:rPr>
        <w:t>B</w:t>
      </w:r>
    </w:p>
    <w:p w:rsidR="00E926A0" w:rsidRPr="008C5CD5" w:rsidRDefault="00E926A0" w:rsidP="00E926A0">
      <w:pPr>
        <w:ind w:left="851" w:hanging="851"/>
        <w:rPr>
          <w:sz w:val="24"/>
          <w:szCs w:val="24"/>
        </w:rPr>
      </w:pPr>
    </w:p>
    <w:p w:rsidR="00E926A0" w:rsidRPr="008C5CD5" w:rsidRDefault="00E926A0" w:rsidP="00E926A0">
      <w:pPr>
        <w:ind w:left="851" w:hanging="851"/>
        <w:rPr>
          <w:sz w:val="24"/>
          <w:szCs w:val="24"/>
        </w:rPr>
      </w:pPr>
    </w:p>
    <w:p w:rsidR="00E926A0" w:rsidRPr="008C5CD5" w:rsidRDefault="00E926A0" w:rsidP="00E926A0">
      <w:pPr>
        <w:numPr>
          <w:ilvl w:val="0"/>
          <w:numId w:val="1"/>
        </w:numPr>
        <w:tabs>
          <w:tab w:val="clear" w:pos="855"/>
        </w:tabs>
        <w:ind w:left="851" w:hanging="851"/>
        <w:rPr>
          <w:b/>
          <w:sz w:val="24"/>
          <w:szCs w:val="24"/>
        </w:rPr>
      </w:pPr>
      <w:r w:rsidRPr="008C5CD5">
        <w:rPr>
          <w:b/>
          <w:sz w:val="24"/>
          <w:szCs w:val="24"/>
        </w:rPr>
        <w:t>FARMAKOLOGISKE EGENSKABER</w:t>
      </w:r>
    </w:p>
    <w:p w:rsidR="00E926A0" w:rsidRPr="008C5CD5" w:rsidRDefault="00E926A0" w:rsidP="00E926A0">
      <w:pPr>
        <w:suppressAutoHyphens/>
        <w:ind w:left="851" w:hanging="851"/>
        <w:rPr>
          <w:noProof/>
          <w:sz w:val="24"/>
          <w:szCs w:val="24"/>
        </w:rPr>
      </w:pPr>
    </w:p>
    <w:p w:rsidR="00E926A0" w:rsidRPr="008C5CD5" w:rsidRDefault="00E926A0" w:rsidP="00E926A0">
      <w:pPr>
        <w:numPr>
          <w:ilvl w:val="1"/>
          <w:numId w:val="2"/>
        </w:numPr>
        <w:tabs>
          <w:tab w:val="clear" w:pos="2159"/>
        </w:tabs>
        <w:ind w:left="851" w:hanging="851"/>
        <w:rPr>
          <w:b/>
          <w:sz w:val="24"/>
          <w:szCs w:val="24"/>
        </w:rPr>
      </w:pPr>
      <w:proofErr w:type="spellStart"/>
      <w:r w:rsidRPr="008C5CD5">
        <w:rPr>
          <w:b/>
          <w:sz w:val="24"/>
          <w:szCs w:val="24"/>
        </w:rPr>
        <w:t>Farmakodynamiske</w:t>
      </w:r>
      <w:proofErr w:type="spellEnd"/>
      <w:r w:rsidRPr="008C5CD5">
        <w:rPr>
          <w:b/>
          <w:sz w:val="24"/>
          <w:szCs w:val="24"/>
        </w:rPr>
        <w:t xml:space="preserve"> egenskaber</w:t>
      </w:r>
    </w:p>
    <w:p w:rsidR="00223179" w:rsidRDefault="00223179" w:rsidP="00A97E79">
      <w:pPr>
        <w:ind w:left="851"/>
        <w:rPr>
          <w:sz w:val="24"/>
          <w:szCs w:val="24"/>
        </w:rPr>
      </w:pPr>
      <w:proofErr w:type="spellStart"/>
      <w:r w:rsidRPr="00223179">
        <w:rPr>
          <w:sz w:val="24"/>
          <w:szCs w:val="24"/>
        </w:rPr>
        <w:t>Farmakoterapeutisk</w:t>
      </w:r>
      <w:proofErr w:type="spellEnd"/>
      <w:r w:rsidRPr="00223179">
        <w:rPr>
          <w:sz w:val="24"/>
          <w:szCs w:val="24"/>
        </w:rPr>
        <w:t xml:space="preserve"> klassifikation</w:t>
      </w:r>
      <w:r>
        <w:rPr>
          <w:sz w:val="24"/>
          <w:szCs w:val="24"/>
        </w:rPr>
        <w:t xml:space="preserve">: </w:t>
      </w:r>
      <w:proofErr w:type="spellStart"/>
      <w:r>
        <w:rPr>
          <w:sz w:val="24"/>
          <w:szCs w:val="24"/>
        </w:rPr>
        <w:t>Diuretika</w:t>
      </w:r>
      <w:proofErr w:type="spellEnd"/>
      <w:r>
        <w:rPr>
          <w:sz w:val="24"/>
          <w:szCs w:val="24"/>
        </w:rPr>
        <w:t xml:space="preserve">, </w:t>
      </w:r>
      <w:proofErr w:type="spellStart"/>
      <w:r w:rsidRPr="008C5CD5">
        <w:rPr>
          <w:sz w:val="24"/>
          <w:szCs w:val="24"/>
        </w:rPr>
        <w:t>aldosteronantagonister</w:t>
      </w:r>
      <w:proofErr w:type="spellEnd"/>
      <w:r w:rsidRPr="008C5CD5">
        <w:rPr>
          <w:sz w:val="24"/>
          <w:szCs w:val="24"/>
        </w:rPr>
        <w:t xml:space="preserve"> ATC-kode: C03DA01</w:t>
      </w:r>
      <w:r>
        <w:rPr>
          <w:sz w:val="24"/>
          <w:szCs w:val="24"/>
        </w:rPr>
        <w:t>.</w:t>
      </w:r>
    </w:p>
    <w:p w:rsidR="00223179" w:rsidRDefault="00223179" w:rsidP="00E926A0">
      <w:pPr>
        <w:suppressAutoHyphens/>
        <w:ind w:left="851" w:hanging="851"/>
        <w:rPr>
          <w:sz w:val="24"/>
          <w:szCs w:val="24"/>
        </w:rPr>
      </w:pPr>
    </w:p>
    <w:p w:rsidR="00E926A0" w:rsidRPr="008C5CD5" w:rsidRDefault="00E926A0" w:rsidP="00A97E79">
      <w:pPr>
        <w:suppressAutoHyphens/>
        <w:ind w:left="851"/>
        <w:rPr>
          <w:sz w:val="24"/>
          <w:szCs w:val="24"/>
        </w:rPr>
      </w:pPr>
      <w:proofErr w:type="spellStart"/>
      <w:r w:rsidRPr="008C5CD5">
        <w:rPr>
          <w:sz w:val="24"/>
          <w:szCs w:val="24"/>
        </w:rPr>
        <w:t>Spironolacton</w:t>
      </w:r>
      <w:proofErr w:type="spellEnd"/>
      <w:r w:rsidRPr="008C5CD5">
        <w:rPr>
          <w:sz w:val="24"/>
          <w:szCs w:val="24"/>
        </w:rPr>
        <w:t xml:space="preserve"> er en </w:t>
      </w:r>
      <w:proofErr w:type="spellStart"/>
      <w:r w:rsidRPr="008C5CD5">
        <w:rPr>
          <w:sz w:val="24"/>
          <w:szCs w:val="24"/>
        </w:rPr>
        <w:t>kompetitiv</w:t>
      </w:r>
      <w:proofErr w:type="spellEnd"/>
      <w:r w:rsidRPr="008C5CD5">
        <w:rPr>
          <w:sz w:val="24"/>
          <w:szCs w:val="24"/>
        </w:rPr>
        <w:t xml:space="preserve"> </w:t>
      </w:r>
      <w:proofErr w:type="spellStart"/>
      <w:r w:rsidRPr="008C5CD5">
        <w:rPr>
          <w:sz w:val="24"/>
          <w:szCs w:val="24"/>
        </w:rPr>
        <w:t>aldosteron</w:t>
      </w:r>
      <w:proofErr w:type="spellEnd"/>
      <w:r w:rsidRPr="008C5CD5">
        <w:rPr>
          <w:sz w:val="24"/>
          <w:szCs w:val="24"/>
        </w:rPr>
        <w:t xml:space="preserve"> receptor antagonist: den binder sig </w:t>
      </w:r>
      <w:proofErr w:type="spellStart"/>
      <w:r w:rsidRPr="008C5CD5">
        <w:rPr>
          <w:sz w:val="24"/>
          <w:szCs w:val="24"/>
        </w:rPr>
        <w:t>kompetitivt</w:t>
      </w:r>
      <w:proofErr w:type="spellEnd"/>
      <w:r w:rsidRPr="008C5CD5">
        <w:rPr>
          <w:sz w:val="24"/>
          <w:szCs w:val="24"/>
        </w:rPr>
        <w:t xml:space="preserve"> til receptorerne i de </w:t>
      </w:r>
      <w:proofErr w:type="spellStart"/>
      <w:r w:rsidRPr="008C5CD5">
        <w:rPr>
          <w:sz w:val="24"/>
          <w:szCs w:val="24"/>
        </w:rPr>
        <w:t>distale</w:t>
      </w:r>
      <w:proofErr w:type="spellEnd"/>
      <w:r w:rsidRPr="008C5CD5">
        <w:rPr>
          <w:sz w:val="24"/>
          <w:szCs w:val="24"/>
        </w:rPr>
        <w:t xml:space="preserve"> </w:t>
      </w:r>
      <w:proofErr w:type="spellStart"/>
      <w:r w:rsidRPr="008C5CD5">
        <w:rPr>
          <w:sz w:val="24"/>
          <w:szCs w:val="24"/>
        </w:rPr>
        <w:t>renale</w:t>
      </w:r>
      <w:proofErr w:type="spellEnd"/>
      <w:r w:rsidRPr="008C5CD5">
        <w:rPr>
          <w:sz w:val="24"/>
          <w:szCs w:val="24"/>
        </w:rPr>
        <w:t xml:space="preserve"> </w:t>
      </w:r>
      <w:proofErr w:type="spellStart"/>
      <w:r w:rsidRPr="008C5CD5">
        <w:rPr>
          <w:sz w:val="24"/>
          <w:szCs w:val="24"/>
        </w:rPr>
        <w:t>tubuli</w:t>
      </w:r>
      <w:proofErr w:type="spellEnd"/>
      <w:r w:rsidRPr="008C5CD5">
        <w:rPr>
          <w:sz w:val="24"/>
          <w:szCs w:val="24"/>
        </w:rPr>
        <w:t xml:space="preserve"> og forhindrer derved proteinsyntesen, der er afgørende for transporten af K+ og Na+ ioner.</w:t>
      </w:r>
    </w:p>
    <w:p w:rsidR="00E926A0" w:rsidRPr="008C5CD5" w:rsidRDefault="00E926A0" w:rsidP="00E926A0">
      <w:pPr>
        <w:suppressAutoHyphens/>
        <w:ind w:left="851" w:hanging="851"/>
        <w:rPr>
          <w:sz w:val="24"/>
          <w:szCs w:val="24"/>
        </w:rPr>
      </w:pPr>
    </w:p>
    <w:p w:rsidR="00E926A0" w:rsidRPr="008C5CD5" w:rsidRDefault="00E926A0" w:rsidP="00E926A0">
      <w:pPr>
        <w:suppressAutoHyphens/>
        <w:ind w:left="851"/>
        <w:rPr>
          <w:sz w:val="24"/>
          <w:szCs w:val="24"/>
        </w:rPr>
      </w:pPr>
      <w:proofErr w:type="spellStart"/>
      <w:r w:rsidRPr="008C5CD5">
        <w:rPr>
          <w:sz w:val="24"/>
          <w:szCs w:val="24"/>
        </w:rPr>
        <w:t>Spironolacton</w:t>
      </w:r>
      <w:proofErr w:type="spellEnd"/>
      <w:r w:rsidRPr="008C5CD5">
        <w:rPr>
          <w:sz w:val="24"/>
          <w:szCs w:val="24"/>
        </w:rPr>
        <w:t xml:space="preserve"> har en diuretisk og kaliumbesparende virkning. Det øger udskillelse af natrium og vand, mens kalium og magnesium tilbageholdes. </w:t>
      </w:r>
      <w:proofErr w:type="spellStart"/>
      <w:r w:rsidRPr="008C5CD5">
        <w:rPr>
          <w:sz w:val="24"/>
          <w:szCs w:val="24"/>
        </w:rPr>
        <w:t>Spironolacton</w:t>
      </w:r>
      <w:proofErr w:type="spellEnd"/>
      <w:r w:rsidRPr="008C5CD5">
        <w:rPr>
          <w:sz w:val="24"/>
          <w:szCs w:val="24"/>
        </w:rPr>
        <w:t xml:space="preserve"> hæmmer ligeledes binyrebarkens biosyntese af </w:t>
      </w:r>
      <w:proofErr w:type="spellStart"/>
      <w:r w:rsidRPr="008C5CD5">
        <w:rPr>
          <w:sz w:val="24"/>
          <w:szCs w:val="24"/>
        </w:rPr>
        <w:t>aldosteron</w:t>
      </w:r>
      <w:proofErr w:type="spellEnd"/>
      <w:r w:rsidRPr="008C5CD5">
        <w:rPr>
          <w:sz w:val="24"/>
          <w:szCs w:val="24"/>
        </w:rPr>
        <w:t xml:space="preserve"> hos patienter med primær </w:t>
      </w:r>
      <w:proofErr w:type="spellStart"/>
      <w:r w:rsidRPr="008C5CD5">
        <w:rPr>
          <w:sz w:val="24"/>
          <w:szCs w:val="24"/>
        </w:rPr>
        <w:t>hyperaldosteronisme</w:t>
      </w:r>
      <w:proofErr w:type="spellEnd"/>
      <w:r w:rsidRPr="008C5CD5">
        <w:rPr>
          <w:sz w:val="24"/>
          <w:szCs w:val="24"/>
        </w:rPr>
        <w:t xml:space="preserve">. </w:t>
      </w:r>
      <w:proofErr w:type="spellStart"/>
      <w:r w:rsidRPr="008C5CD5">
        <w:rPr>
          <w:sz w:val="24"/>
          <w:szCs w:val="24"/>
        </w:rPr>
        <w:t>Spironolactons</w:t>
      </w:r>
      <w:proofErr w:type="spellEnd"/>
      <w:r w:rsidRPr="008C5CD5">
        <w:rPr>
          <w:sz w:val="24"/>
          <w:szCs w:val="24"/>
        </w:rPr>
        <w:t xml:space="preserve"> virkning afhænger af </w:t>
      </w:r>
      <w:proofErr w:type="spellStart"/>
      <w:r w:rsidRPr="008C5CD5">
        <w:rPr>
          <w:sz w:val="24"/>
          <w:szCs w:val="24"/>
        </w:rPr>
        <w:t>aldosteron</w:t>
      </w:r>
      <w:proofErr w:type="spellEnd"/>
      <w:r w:rsidRPr="008C5CD5">
        <w:rPr>
          <w:sz w:val="24"/>
          <w:szCs w:val="24"/>
        </w:rPr>
        <w:t xml:space="preserve">: jo højere </w:t>
      </w:r>
      <w:proofErr w:type="spellStart"/>
      <w:r w:rsidRPr="008C5CD5">
        <w:rPr>
          <w:sz w:val="24"/>
          <w:szCs w:val="24"/>
        </w:rPr>
        <w:t>aldosteronkoncentration</w:t>
      </w:r>
      <w:proofErr w:type="spellEnd"/>
      <w:r w:rsidRPr="008C5CD5">
        <w:rPr>
          <w:sz w:val="24"/>
          <w:szCs w:val="24"/>
        </w:rPr>
        <w:t xml:space="preserve"> i kroppen, desto mere effektivt er responset på </w:t>
      </w:r>
      <w:proofErr w:type="spellStart"/>
      <w:r w:rsidRPr="008C5CD5">
        <w:rPr>
          <w:sz w:val="24"/>
          <w:szCs w:val="24"/>
        </w:rPr>
        <w:t>spironolacton</w:t>
      </w:r>
      <w:proofErr w:type="spellEnd"/>
      <w:r w:rsidRPr="008C5CD5">
        <w:rPr>
          <w:sz w:val="24"/>
          <w:szCs w:val="24"/>
        </w:rPr>
        <w:t xml:space="preserve">. </w:t>
      </w:r>
    </w:p>
    <w:p w:rsidR="00E926A0" w:rsidRPr="008C5CD5" w:rsidRDefault="00E926A0" w:rsidP="00E926A0">
      <w:pPr>
        <w:suppressAutoHyphens/>
        <w:ind w:left="851" w:hanging="851"/>
        <w:rPr>
          <w:sz w:val="24"/>
          <w:szCs w:val="24"/>
        </w:rPr>
      </w:pPr>
    </w:p>
    <w:p w:rsidR="00E926A0" w:rsidRPr="008C5CD5" w:rsidRDefault="00E926A0" w:rsidP="00E926A0">
      <w:pPr>
        <w:suppressAutoHyphens/>
        <w:ind w:left="851"/>
        <w:rPr>
          <w:sz w:val="24"/>
          <w:szCs w:val="24"/>
        </w:rPr>
      </w:pPr>
      <w:proofErr w:type="spellStart"/>
      <w:r w:rsidRPr="008C5CD5">
        <w:rPr>
          <w:sz w:val="24"/>
          <w:szCs w:val="24"/>
        </w:rPr>
        <w:t>Spironolactons</w:t>
      </w:r>
      <w:proofErr w:type="spellEnd"/>
      <w:r w:rsidRPr="008C5CD5">
        <w:rPr>
          <w:sz w:val="24"/>
          <w:szCs w:val="24"/>
        </w:rPr>
        <w:t xml:space="preserve"> virkninger baseres både på det oprindelige lægemiddel og de aktive metabolitter, som f.eks. </w:t>
      </w:r>
      <w:proofErr w:type="spellStart"/>
      <w:r w:rsidRPr="008C5CD5">
        <w:rPr>
          <w:sz w:val="24"/>
          <w:szCs w:val="24"/>
        </w:rPr>
        <w:t>kanrenon</w:t>
      </w:r>
      <w:proofErr w:type="spellEnd"/>
      <w:r w:rsidRPr="008C5CD5">
        <w:rPr>
          <w:sz w:val="24"/>
          <w:szCs w:val="24"/>
        </w:rPr>
        <w:t xml:space="preserve">. Når udskillelsen af </w:t>
      </w:r>
      <w:proofErr w:type="spellStart"/>
      <w:r w:rsidRPr="008C5CD5">
        <w:rPr>
          <w:sz w:val="24"/>
          <w:szCs w:val="24"/>
        </w:rPr>
        <w:t>aldosteron</w:t>
      </w:r>
      <w:proofErr w:type="spellEnd"/>
      <w:r w:rsidRPr="008C5CD5">
        <w:rPr>
          <w:sz w:val="24"/>
          <w:szCs w:val="24"/>
        </w:rPr>
        <w:t xml:space="preserve"> er usædvanlig stor, f.eks. på grund af levercirrose eller brug af </w:t>
      </w:r>
      <w:proofErr w:type="spellStart"/>
      <w:r w:rsidRPr="008C5CD5">
        <w:rPr>
          <w:sz w:val="24"/>
          <w:szCs w:val="24"/>
        </w:rPr>
        <w:t>diuretika</w:t>
      </w:r>
      <w:proofErr w:type="spellEnd"/>
      <w:r w:rsidRPr="008C5CD5">
        <w:rPr>
          <w:sz w:val="24"/>
          <w:szCs w:val="24"/>
        </w:rPr>
        <w:t xml:space="preserve">, øger </w:t>
      </w:r>
      <w:proofErr w:type="spellStart"/>
      <w:r w:rsidRPr="008C5CD5">
        <w:rPr>
          <w:sz w:val="24"/>
          <w:szCs w:val="24"/>
        </w:rPr>
        <w:t>spironolacton</w:t>
      </w:r>
      <w:proofErr w:type="spellEnd"/>
      <w:r w:rsidRPr="008C5CD5">
        <w:rPr>
          <w:sz w:val="24"/>
          <w:szCs w:val="24"/>
        </w:rPr>
        <w:t xml:space="preserve"> udskillelsen af natrium og vand, mens det nedsætter den for kalium. Når udskillelse af </w:t>
      </w:r>
      <w:proofErr w:type="spellStart"/>
      <w:r w:rsidRPr="008C5CD5">
        <w:rPr>
          <w:sz w:val="24"/>
          <w:szCs w:val="24"/>
        </w:rPr>
        <w:t>aldosteron</w:t>
      </w:r>
      <w:proofErr w:type="spellEnd"/>
      <w:r w:rsidRPr="008C5CD5">
        <w:rPr>
          <w:sz w:val="24"/>
          <w:szCs w:val="24"/>
        </w:rPr>
        <w:t xml:space="preserve"> er normal, er </w:t>
      </w:r>
      <w:proofErr w:type="spellStart"/>
      <w:r w:rsidRPr="008C5CD5">
        <w:rPr>
          <w:sz w:val="24"/>
          <w:szCs w:val="24"/>
        </w:rPr>
        <w:t>aldosterons</w:t>
      </w:r>
      <w:proofErr w:type="spellEnd"/>
      <w:r w:rsidRPr="008C5CD5">
        <w:rPr>
          <w:sz w:val="24"/>
          <w:szCs w:val="24"/>
        </w:rPr>
        <w:t xml:space="preserve"> diuretiske og kaliumbesparende virkning svag. Blodsukker, kolesterol- og triglyceridkoncentrationer forandrer sig ikke. </w:t>
      </w:r>
      <w:proofErr w:type="spellStart"/>
      <w:r w:rsidRPr="008C5CD5">
        <w:rPr>
          <w:sz w:val="24"/>
          <w:szCs w:val="24"/>
        </w:rPr>
        <w:t>Spironolacton</w:t>
      </w:r>
      <w:proofErr w:type="spellEnd"/>
      <w:r w:rsidRPr="008C5CD5">
        <w:rPr>
          <w:sz w:val="24"/>
          <w:szCs w:val="24"/>
        </w:rPr>
        <w:t xml:space="preserve"> har endda en </w:t>
      </w:r>
      <w:proofErr w:type="spellStart"/>
      <w:r w:rsidRPr="008C5CD5">
        <w:rPr>
          <w:sz w:val="24"/>
          <w:szCs w:val="24"/>
        </w:rPr>
        <w:t>androgen</w:t>
      </w:r>
      <w:proofErr w:type="spellEnd"/>
      <w:r w:rsidRPr="008C5CD5">
        <w:rPr>
          <w:sz w:val="24"/>
          <w:szCs w:val="24"/>
        </w:rPr>
        <w:t xml:space="preserve">-hæmmende virkning: det hæmmer </w:t>
      </w:r>
      <w:proofErr w:type="spellStart"/>
      <w:r w:rsidRPr="008C5CD5">
        <w:rPr>
          <w:sz w:val="24"/>
          <w:szCs w:val="24"/>
        </w:rPr>
        <w:t>androgener</w:t>
      </w:r>
      <w:proofErr w:type="spellEnd"/>
      <w:r w:rsidRPr="008C5CD5">
        <w:rPr>
          <w:sz w:val="24"/>
          <w:szCs w:val="24"/>
        </w:rPr>
        <w:t xml:space="preserve"> i at binde sig til deres receptorer en smule og det hæmmer 17-α-hydroxylase, der er afgørende for </w:t>
      </w:r>
      <w:proofErr w:type="spellStart"/>
      <w:r w:rsidRPr="008C5CD5">
        <w:rPr>
          <w:sz w:val="24"/>
          <w:szCs w:val="24"/>
        </w:rPr>
        <w:t>androgensyntesen</w:t>
      </w:r>
      <w:proofErr w:type="spellEnd"/>
      <w:r w:rsidRPr="008C5CD5">
        <w:rPr>
          <w:sz w:val="24"/>
          <w:szCs w:val="24"/>
        </w:rPr>
        <w:t xml:space="preserve"> </w:t>
      </w:r>
    </w:p>
    <w:p w:rsidR="00E926A0" w:rsidRPr="008C5CD5" w:rsidRDefault="00E926A0" w:rsidP="00E926A0">
      <w:pPr>
        <w:ind w:left="851" w:hanging="851"/>
        <w:rPr>
          <w:sz w:val="24"/>
          <w:szCs w:val="24"/>
        </w:rPr>
      </w:pPr>
    </w:p>
    <w:p w:rsidR="00E926A0" w:rsidRPr="008C5CD5" w:rsidRDefault="00E926A0" w:rsidP="00E926A0">
      <w:pPr>
        <w:ind w:left="851"/>
        <w:rPr>
          <w:sz w:val="24"/>
          <w:szCs w:val="24"/>
        </w:rPr>
      </w:pPr>
      <w:r w:rsidRPr="008C5CD5">
        <w:rPr>
          <w:sz w:val="24"/>
          <w:szCs w:val="24"/>
        </w:rPr>
        <w:t xml:space="preserve">Kronisk hjertesvigt: The </w:t>
      </w:r>
      <w:proofErr w:type="spellStart"/>
      <w:r w:rsidRPr="008C5CD5">
        <w:rPr>
          <w:sz w:val="24"/>
          <w:szCs w:val="24"/>
        </w:rPr>
        <w:t>Randomized</w:t>
      </w:r>
      <w:proofErr w:type="spellEnd"/>
      <w:r w:rsidRPr="008C5CD5">
        <w:rPr>
          <w:sz w:val="24"/>
          <w:szCs w:val="24"/>
        </w:rPr>
        <w:t xml:space="preserve"> </w:t>
      </w:r>
      <w:proofErr w:type="spellStart"/>
      <w:r w:rsidRPr="008C5CD5">
        <w:rPr>
          <w:sz w:val="24"/>
          <w:szCs w:val="24"/>
        </w:rPr>
        <w:t>Aldactone</w:t>
      </w:r>
      <w:proofErr w:type="spellEnd"/>
      <w:r w:rsidRPr="008C5CD5">
        <w:rPr>
          <w:sz w:val="24"/>
          <w:szCs w:val="24"/>
        </w:rPr>
        <w:t xml:space="preserve"> </w:t>
      </w:r>
      <w:proofErr w:type="spellStart"/>
      <w:r w:rsidRPr="008C5CD5">
        <w:rPr>
          <w:sz w:val="24"/>
          <w:szCs w:val="24"/>
        </w:rPr>
        <w:t>Evalution</w:t>
      </w:r>
      <w:proofErr w:type="spellEnd"/>
      <w:r w:rsidRPr="008C5CD5">
        <w:rPr>
          <w:sz w:val="24"/>
          <w:szCs w:val="24"/>
        </w:rPr>
        <w:t xml:space="preserve"> Studie (RALES) var et multinationalt dobbeltblindt studie med 1663 patienter med en uddrivningsfraktion på ≤</w:t>
      </w:r>
      <w:r>
        <w:rPr>
          <w:sz w:val="24"/>
          <w:szCs w:val="24"/>
        </w:rPr>
        <w:t xml:space="preserve"> </w:t>
      </w:r>
      <w:r w:rsidRPr="008C5CD5">
        <w:rPr>
          <w:sz w:val="24"/>
          <w:szCs w:val="24"/>
        </w:rPr>
        <w:t>35</w:t>
      </w:r>
      <w:r>
        <w:rPr>
          <w:sz w:val="24"/>
          <w:szCs w:val="24"/>
        </w:rPr>
        <w:t xml:space="preserve"> </w:t>
      </w:r>
      <w:r w:rsidRPr="008C5CD5">
        <w:rPr>
          <w:sz w:val="24"/>
          <w:szCs w:val="24"/>
        </w:rPr>
        <w:t xml:space="preserve">%, og i anamnesen New York Heart Association (NYHA) klasse IV hjertesvigt indenfor 6 måneder og klasse III-IV hjertesvigt på tidspunktet for </w:t>
      </w:r>
      <w:proofErr w:type="spellStart"/>
      <w:r w:rsidRPr="008C5CD5">
        <w:rPr>
          <w:sz w:val="24"/>
          <w:szCs w:val="24"/>
        </w:rPr>
        <w:t>randomiseringen</w:t>
      </w:r>
      <w:proofErr w:type="spellEnd"/>
      <w:r w:rsidRPr="008C5CD5">
        <w:rPr>
          <w:sz w:val="24"/>
          <w:szCs w:val="24"/>
        </w:rPr>
        <w:t xml:space="preserve">. Det var et krav, at alle patienter blev behandlet med et loop </w:t>
      </w:r>
      <w:proofErr w:type="spellStart"/>
      <w:r w:rsidRPr="008C5CD5">
        <w:rPr>
          <w:sz w:val="24"/>
          <w:szCs w:val="24"/>
        </w:rPr>
        <w:t>diuretikum</w:t>
      </w:r>
      <w:proofErr w:type="spellEnd"/>
      <w:r w:rsidRPr="008C5CD5">
        <w:rPr>
          <w:sz w:val="24"/>
          <w:szCs w:val="24"/>
        </w:rPr>
        <w:t xml:space="preserve"> og, hvis de tålte det, en ACE-hæmmer. Patienter med en baseline </w:t>
      </w:r>
      <w:proofErr w:type="spellStart"/>
      <w:r w:rsidRPr="008C5CD5">
        <w:rPr>
          <w:sz w:val="24"/>
          <w:szCs w:val="24"/>
        </w:rPr>
        <w:t>serumkreatinin</w:t>
      </w:r>
      <w:proofErr w:type="spellEnd"/>
      <w:r w:rsidRPr="008C5CD5">
        <w:rPr>
          <w:sz w:val="24"/>
          <w:szCs w:val="24"/>
        </w:rPr>
        <w:t xml:space="preserve"> på &gt;</w:t>
      </w:r>
      <w:r>
        <w:rPr>
          <w:sz w:val="24"/>
          <w:szCs w:val="24"/>
        </w:rPr>
        <w:t xml:space="preserve"> </w:t>
      </w:r>
      <w:r w:rsidRPr="008C5CD5">
        <w:rPr>
          <w:sz w:val="24"/>
          <w:szCs w:val="24"/>
        </w:rPr>
        <w:t>220 mikromol/</w:t>
      </w:r>
      <w:r>
        <w:rPr>
          <w:sz w:val="24"/>
          <w:szCs w:val="24"/>
        </w:rPr>
        <w:t>L</w:t>
      </w:r>
      <w:r w:rsidRPr="008C5CD5">
        <w:rPr>
          <w:sz w:val="24"/>
          <w:szCs w:val="24"/>
        </w:rPr>
        <w:t xml:space="preserve"> eller en nylig stigning på 25</w:t>
      </w:r>
      <w:r w:rsidR="00A97E79">
        <w:rPr>
          <w:sz w:val="24"/>
          <w:szCs w:val="24"/>
        </w:rPr>
        <w:t xml:space="preserve"> </w:t>
      </w:r>
      <w:r w:rsidRPr="008C5CD5">
        <w:rPr>
          <w:sz w:val="24"/>
          <w:szCs w:val="24"/>
        </w:rPr>
        <w:t>% eller med en basis serumkalium på &gt;</w:t>
      </w:r>
      <w:r>
        <w:rPr>
          <w:sz w:val="24"/>
          <w:szCs w:val="24"/>
        </w:rPr>
        <w:t xml:space="preserve"> </w:t>
      </w:r>
      <w:r w:rsidRPr="008C5CD5">
        <w:rPr>
          <w:sz w:val="24"/>
          <w:szCs w:val="24"/>
        </w:rPr>
        <w:t>5,0 mmol/</w:t>
      </w:r>
      <w:r>
        <w:rPr>
          <w:sz w:val="24"/>
          <w:szCs w:val="24"/>
        </w:rPr>
        <w:t>L</w:t>
      </w:r>
      <w:r w:rsidRPr="008C5CD5">
        <w:rPr>
          <w:sz w:val="24"/>
          <w:szCs w:val="24"/>
        </w:rPr>
        <w:t xml:space="preserve"> blev udelukket. Patienterne blev randomiseret 1:1 til peroral </w:t>
      </w:r>
      <w:proofErr w:type="spellStart"/>
      <w:r w:rsidRPr="008C5CD5">
        <w:rPr>
          <w:sz w:val="24"/>
          <w:szCs w:val="24"/>
        </w:rPr>
        <w:t>spironolacton</w:t>
      </w:r>
      <w:proofErr w:type="spellEnd"/>
      <w:r w:rsidRPr="008C5CD5">
        <w:rPr>
          <w:sz w:val="24"/>
          <w:szCs w:val="24"/>
        </w:rPr>
        <w:t xml:space="preserve"> 25 mg dagligt eller tilsvarende placebo. Patienter, som tålte 25 mg én gang dagligt, fik deres dosis øget til 50 mg én gang dagligt, som klinisk indiceret. Patienter, som ikke tålte 25 mg én gang dagligt fik deres dosis nedsat til 25 mg hver anden dag. Effektmål for RALES var tiden til død af alle årsager. RALES blev afsluttet tidligt efter en gennemsnitlig opfølgning på 24 måneder, på grund af en signifikant nedsat dødelighed, som blev konstateret ved en planlagt foreløbig analyse.</w:t>
      </w:r>
    </w:p>
    <w:p w:rsidR="00E926A0" w:rsidRPr="008C5CD5" w:rsidRDefault="00E926A0" w:rsidP="00E926A0">
      <w:pPr>
        <w:ind w:left="851" w:hanging="851"/>
        <w:rPr>
          <w:sz w:val="24"/>
          <w:szCs w:val="24"/>
        </w:rPr>
      </w:pPr>
    </w:p>
    <w:p w:rsidR="00A97E79" w:rsidRDefault="00A97E79" w:rsidP="00A97E79">
      <w:pPr>
        <w:ind w:left="851"/>
        <w:rPr>
          <w:sz w:val="24"/>
          <w:szCs w:val="24"/>
        </w:rPr>
      </w:pPr>
      <w:proofErr w:type="spellStart"/>
      <w:r>
        <w:rPr>
          <w:sz w:val="24"/>
          <w:szCs w:val="24"/>
        </w:rPr>
        <w:t>Spironolacton</w:t>
      </w:r>
      <w:proofErr w:type="spellEnd"/>
      <w:r>
        <w:rPr>
          <w:sz w:val="24"/>
          <w:szCs w:val="24"/>
        </w:rPr>
        <w:t xml:space="preserve"> reducerede risikoen for død med 30 % sammenlignet med placebo (p &lt; 0,001, 95 % konfidensinterval 18 % til 40 %). </w:t>
      </w:r>
      <w:proofErr w:type="spellStart"/>
      <w:r>
        <w:rPr>
          <w:sz w:val="24"/>
          <w:szCs w:val="24"/>
        </w:rPr>
        <w:t>Spironolacton</w:t>
      </w:r>
      <w:proofErr w:type="spellEnd"/>
      <w:r>
        <w:rPr>
          <w:sz w:val="24"/>
          <w:szCs w:val="24"/>
        </w:rPr>
        <w:t xml:space="preserve"> reducerede risikoen for </w:t>
      </w:r>
      <w:proofErr w:type="spellStart"/>
      <w:r>
        <w:rPr>
          <w:sz w:val="24"/>
          <w:szCs w:val="24"/>
        </w:rPr>
        <w:t>kardiel</w:t>
      </w:r>
      <w:proofErr w:type="spellEnd"/>
      <w:r>
        <w:rPr>
          <w:sz w:val="24"/>
          <w:szCs w:val="24"/>
        </w:rPr>
        <w:t xml:space="preserve"> død, primært pludselig død og død som følge af progressivt hjertesvigt med 31 % sammenlignet med placebo (p &lt; 0,001, 95 % konfidensinterval 18 % til 42 %).</w:t>
      </w:r>
    </w:p>
    <w:p w:rsidR="00A97E79" w:rsidRDefault="00A97E79" w:rsidP="00A97E79">
      <w:pPr>
        <w:ind w:left="851" w:hanging="851"/>
        <w:rPr>
          <w:sz w:val="24"/>
          <w:szCs w:val="24"/>
        </w:rPr>
      </w:pPr>
    </w:p>
    <w:p w:rsidR="00A97E79" w:rsidRDefault="00A97E79" w:rsidP="00A97E79">
      <w:pPr>
        <w:ind w:left="851"/>
        <w:rPr>
          <w:sz w:val="24"/>
          <w:szCs w:val="24"/>
        </w:rPr>
      </w:pPr>
      <w:proofErr w:type="spellStart"/>
      <w:r>
        <w:rPr>
          <w:sz w:val="24"/>
          <w:szCs w:val="24"/>
        </w:rPr>
        <w:t>Spironolacton</w:t>
      </w:r>
      <w:proofErr w:type="spellEnd"/>
      <w:r>
        <w:rPr>
          <w:sz w:val="24"/>
          <w:szCs w:val="24"/>
        </w:rPr>
        <w:t xml:space="preserve"> reducerede ligeledes risiko for indlæggelse på grund af </w:t>
      </w:r>
      <w:proofErr w:type="spellStart"/>
      <w:r>
        <w:rPr>
          <w:sz w:val="24"/>
          <w:szCs w:val="24"/>
        </w:rPr>
        <w:t>kardielle</w:t>
      </w:r>
      <w:proofErr w:type="spellEnd"/>
      <w:r>
        <w:rPr>
          <w:sz w:val="24"/>
          <w:szCs w:val="24"/>
        </w:rPr>
        <w:t xml:space="preserve"> årsager (defineret som forværring af hjertesvigt, angina, </w:t>
      </w:r>
      <w:proofErr w:type="spellStart"/>
      <w:r>
        <w:rPr>
          <w:sz w:val="24"/>
          <w:szCs w:val="24"/>
        </w:rPr>
        <w:t>ventrikulære</w:t>
      </w:r>
      <w:proofErr w:type="spellEnd"/>
      <w:r>
        <w:rPr>
          <w:sz w:val="24"/>
          <w:szCs w:val="24"/>
        </w:rPr>
        <w:t xml:space="preserve"> </w:t>
      </w:r>
      <w:proofErr w:type="spellStart"/>
      <w:r>
        <w:rPr>
          <w:sz w:val="24"/>
          <w:szCs w:val="24"/>
        </w:rPr>
        <w:t>arytmier</w:t>
      </w:r>
      <w:proofErr w:type="spellEnd"/>
      <w:r>
        <w:rPr>
          <w:sz w:val="24"/>
          <w:szCs w:val="24"/>
        </w:rPr>
        <w:t xml:space="preserve"> eller myokardieinfarkt) med 30 % (p &lt; 0,001 95 % konfidensinterval 18 % til 41 %). I </w:t>
      </w:r>
      <w:proofErr w:type="spellStart"/>
      <w:r>
        <w:rPr>
          <w:sz w:val="24"/>
          <w:szCs w:val="24"/>
        </w:rPr>
        <w:t>spironolactongruppen</w:t>
      </w:r>
      <w:proofErr w:type="spellEnd"/>
      <w:r>
        <w:rPr>
          <w:sz w:val="24"/>
          <w:szCs w:val="24"/>
        </w:rPr>
        <w:t xml:space="preserve"> forbedredes NYHA klasse hos 41 % af patienterne ved slutningen af </w:t>
      </w:r>
      <w:r>
        <w:rPr>
          <w:sz w:val="24"/>
          <w:szCs w:val="24"/>
        </w:rPr>
        <w:lastRenderedPageBreak/>
        <w:t>studiet og forværredes hos 38 % sammenlignet med placebogruppen, hvor der fandtes forbedring hos 33 % og forværring hos 48 % i placebogruppen (p &lt; 0,001).</w:t>
      </w:r>
    </w:p>
    <w:p w:rsidR="00A97E79" w:rsidRDefault="00A97E79" w:rsidP="00A97E79">
      <w:pPr>
        <w:ind w:left="851"/>
        <w:rPr>
          <w:sz w:val="24"/>
          <w:szCs w:val="24"/>
        </w:rPr>
      </w:pPr>
    </w:p>
    <w:p w:rsidR="00A97E79" w:rsidRDefault="00A97E79" w:rsidP="00A97E79">
      <w:pPr>
        <w:ind w:left="851"/>
        <w:rPr>
          <w:sz w:val="24"/>
          <w:szCs w:val="24"/>
        </w:rPr>
      </w:pPr>
      <w:r w:rsidRPr="00A97E79">
        <w:rPr>
          <w:bCs/>
          <w:noProof/>
          <w:sz w:val="24"/>
          <w:szCs w:val="24"/>
          <w:u w:val="single"/>
        </w:rPr>
        <w:t>Pædiatrisk population</w:t>
      </w:r>
    </w:p>
    <w:p w:rsidR="00A97E79" w:rsidRDefault="00A97E79" w:rsidP="00A97E79">
      <w:pPr>
        <w:ind w:left="851"/>
        <w:rPr>
          <w:sz w:val="24"/>
          <w:szCs w:val="24"/>
        </w:rPr>
      </w:pPr>
      <w:r>
        <w:rPr>
          <w:sz w:val="24"/>
          <w:szCs w:val="24"/>
        </w:rPr>
        <w:t xml:space="preserve">Der er mangel på væsentlige oplysninger fra kliniske studier af brugen af </w:t>
      </w:r>
      <w:proofErr w:type="spellStart"/>
      <w:r>
        <w:rPr>
          <w:sz w:val="24"/>
          <w:szCs w:val="24"/>
        </w:rPr>
        <w:t>spironolacton</w:t>
      </w:r>
      <w:proofErr w:type="spellEnd"/>
      <w:r>
        <w:rPr>
          <w:sz w:val="24"/>
          <w:szCs w:val="24"/>
        </w:rPr>
        <w:t xml:space="preserve"> hos børn. Dette er et resultat af flere faktorer: de få studier, der er blevet udført i den pædiatriske population, brug af </w:t>
      </w:r>
      <w:proofErr w:type="spellStart"/>
      <w:r>
        <w:rPr>
          <w:sz w:val="24"/>
          <w:szCs w:val="24"/>
        </w:rPr>
        <w:t>spironolacton</w:t>
      </w:r>
      <w:proofErr w:type="spellEnd"/>
      <w:r>
        <w:rPr>
          <w:sz w:val="24"/>
          <w:szCs w:val="24"/>
        </w:rPr>
        <w:t xml:space="preserve"> i kombination med andre midler, det begrænsede antal patienter evalueret i hvert studie og de forskellige undersøgte indikationer. Doseringsanbefalingerne for pædiatri er baseret på klinisk erfaring og casestudier dokumenteret i den videnskabelige litteratur.</w:t>
      </w:r>
    </w:p>
    <w:p w:rsidR="00E926A0" w:rsidRPr="008C5CD5" w:rsidRDefault="00E926A0" w:rsidP="00E926A0">
      <w:pPr>
        <w:ind w:left="851" w:hanging="851"/>
        <w:rPr>
          <w:sz w:val="24"/>
          <w:szCs w:val="24"/>
        </w:rPr>
      </w:pPr>
    </w:p>
    <w:p w:rsidR="00E926A0" w:rsidRPr="008C5CD5" w:rsidRDefault="00E926A0" w:rsidP="00E926A0">
      <w:pPr>
        <w:numPr>
          <w:ilvl w:val="1"/>
          <w:numId w:val="3"/>
        </w:numPr>
        <w:tabs>
          <w:tab w:val="clear" w:pos="855"/>
        </w:tabs>
        <w:ind w:left="851" w:hanging="851"/>
        <w:rPr>
          <w:b/>
          <w:sz w:val="24"/>
          <w:szCs w:val="24"/>
        </w:rPr>
      </w:pPr>
      <w:proofErr w:type="spellStart"/>
      <w:r w:rsidRPr="008C5CD5">
        <w:rPr>
          <w:b/>
          <w:sz w:val="24"/>
          <w:szCs w:val="24"/>
        </w:rPr>
        <w:t>Farmakokinetiske</w:t>
      </w:r>
      <w:proofErr w:type="spellEnd"/>
      <w:r w:rsidRPr="008C5CD5">
        <w:rPr>
          <w:b/>
          <w:sz w:val="24"/>
          <w:szCs w:val="24"/>
        </w:rPr>
        <w:t xml:space="preserve"> egenskaber</w:t>
      </w:r>
    </w:p>
    <w:p w:rsidR="00A97E79" w:rsidRPr="00A97E79" w:rsidRDefault="00A97E79" w:rsidP="00A97E79">
      <w:pPr>
        <w:ind w:left="851"/>
        <w:rPr>
          <w:sz w:val="24"/>
          <w:szCs w:val="24"/>
        </w:rPr>
      </w:pPr>
      <w:proofErr w:type="spellStart"/>
      <w:r w:rsidRPr="00A97E79">
        <w:rPr>
          <w:sz w:val="24"/>
          <w:szCs w:val="24"/>
        </w:rPr>
        <w:t>Spironolacton</w:t>
      </w:r>
      <w:proofErr w:type="spellEnd"/>
      <w:r w:rsidRPr="00A97E79">
        <w:rPr>
          <w:sz w:val="24"/>
          <w:szCs w:val="24"/>
        </w:rPr>
        <w:t xml:space="preserve"> absorberes godt (70 til 80 %) fra mave-tarm-kanalen. Dets biotilgængelighed er større efter fødeindtagelse end i fastende tilstand og strækker sig fra 25 til 70 %. Den maksimale koncentration opnås gennemsnitligt 1-2 timer efter administration. Distributionsvolumenet er 14,4 L/kg. Graden for proteinbinding er over 90 % og </w:t>
      </w:r>
      <w:proofErr w:type="spellStart"/>
      <w:r w:rsidRPr="00A97E79">
        <w:rPr>
          <w:sz w:val="24"/>
          <w:szCs w:val="24"/>
        </w:rPr>
        <w:t>clearance</w:t>
      </w:r>
      <w:proofErr w:type="spellEnd"/>
      <w:r w:rsidRPr="00A97E79">
        <w:rPr>
          <w:sz w:val="24"/>
          <w:szCs w:val="24"/>
        </w:rPr>
        <w:t xml:space="preserve"> </w:t>
      </w:r>
      <w:r w:rsidRPr="00A97E79">
        <w:rPr>
          <w:bCs/>
          <w:iCs/>
          <w:sz w:val="24"/>
          <w:szCs w:val="24"/>
        </w:rPr>
        <w:t>100 ml/kg/min</w:t>
      </w:r>
      <w:r w:rsidRPr="00A97E79">
        <w:rPr>
          <w:sz w:val="24"/>
          <w:szCs w:val="24"/>
        </w:rPr>
        <w:t xml:space="preserve">. </w:t>
      </w:r>
      <w:proofErr w:type="spellStart"/>
      <w:r w:rsidRPr="00A97E79">
        <w:rPr>
          <w:sz w:val="24"/>
          <w:szCs w:val="24"/>
        </w:rPr>
        <w:t>Spironolactons</w:t>
      </w:r>
      <w:proofErr w:type="spellEnd"/>
      <w:r w:rsidRPr="00A97E79">
        <w:rPr>
          <w:sz w:val="24"/>
          <w:szCs w:val="24"/>
        </w:rPr>
        <w:t xml:space="preserve"> eliminationshalveringstid er 1,3-2 timer. </w:t>
      </w:r>
    </w:p>
    <w:p w:rsidR="00A97E79" w:rsidRPr="00A97E79" w:rsidRDefault="00A97E79" w:rsidP="00A97E79">
      <w:pPr>
        <w:ind w:left="851"/>
        <w:rPr>
          <w:sz w:val="24"/>
          <w:szCs w:val="24"/>
        </w:rPr>
      </w:pPr>
    </w:p>
    <w:p w:rsidR="00A97E79" w:rsidRPr="00A97E79" w:rsidRDefault="00A97E79" w:rsidP="00A97E79">
      <w:pPr>
        <w:ind w:left="851"/>
        <w:rPr>
          <w:sz w:val="24"/>
          <w:szCs w:val="24"/>
        </w:rPr>
      </w:pPr>
      <w:proofErr w:type="spellStart"/>
      <w:r w:rsidRPr="00A97E79">
        <w:rPr>
          <w:sz w:val="24"/>
          <w:szCs w:val="24"/>
        </w:rPr>
        <w:t>Spironolacton</w:t>
      </w:r>
      <w:proofErr w:type="spellEnd"/>
      <w:r w:rsidRPr="00A97E79">
        <w:rPr>
          <w:sz w:val="24"/>
          <w:szCs w:val="24"/>
        </w:rPr>
        <w:t xml:space="preserve"> undergår en udtalt første-passage metabolisme. </w:t>
      </w:r>
      <w:proofErr w:type="spellStart"/>
      <w:r w:rsidRPr="00A97E79">
        <w:rPr>
          <w:sz w:val="24"/>
          <w:szCs w:val="24"/>
        </w:rPr>
        <w:t>Spironolacton</w:t>
      </w:r>
      <w:proofErr w:type="spellEnd"/>
      <w:r w:rsidRPr="00A97E79">
        <w:rPr>
          <w:sz w:val="24"/>
          <w:szCs w:val="24"/>
        </w:rPr>
        <w:t xml:space="preserve"> </w:t>
      </w:r>
      <w:proofErr w:type="spellStart"/>
      <w:r w:rsidRPr="00A97E79">
        <w:rPr>
          <w:sz w:val="24"/>
          <w:szCs w:val="24"/>
        </w:rPr>
        <w:t>metaboliseres</w:t>
      </w:r>
      <w:proofErr w:type="spellEnd"/>
      <w:r w:rsidRPr="00A97E79">
        <w:rPr>
          <w:sz w:val="24"/>
          <w:szCs w:val="24"/>
        </w:rPr>
        <w:t xml:space="preserve"> til </w:t>
      </w:r>
      <w:proofErr w:type="spellStart"/>
      <w:r w:rsidRPr="00A97E79">
        <w:rPr>
          <w:sz w:val="24"/>
          <w:szCs w:val="24"/>
        </w:rPr>
        <w:t>kanrenon</w:t>
      </w:r>
      <w:proofErr w:type="spellEnd"/>
      <w:r w:rsidRPr="00A97E79">
        <w:rPr>
          <w:sz w:val="24"/>
          <w:szCs w:val="24"/>
        </w:rPr>
        <w:t>, 7α-</w:t>
      </w:r>
      <w:proofErr w:type="spellStart"/>
      <w:r w:rsidRPr="00A97E79">
        <w:rPr>
          <w:sz w:val="24"/>
          <w:szCs w:val="24"/>
        </w:rPr>
        <w:t>thiomethyl-spironolacton</w:t>
      </w:r>
      <w:proofErr w:type="spellEnd"/>
      <w:r w:rsidRPr="00A97E79">
        <w:rPr>
          <w:sz w:val="24"/>
          <w:szCs w:val="24"/>
        </w:rPr>
        <w:t xml:space="preserve"> og andre delvist aktive metabolitter. Eliminationshalveringstiden af disse metabolitter er cirka 15 timer, som signifikant forlænger lægemidlets virkningsvarighed.</w:t>
      </w:r>
    </w:p>
    <w:p w:rsidR="00A97E79" w:rsidRPr="00A97E79" w:rsidRDefault="00A97E79" w:rsidP="00A97E79">
      <w:pPr>
        <w:ind w:left="851"/>
        <w:rPr>
          <w:sz w:val="24"/>
          <w:szCs w:val="24"/>
        </w:rPr>
      </w:pPr>
      <w:proofErr w:type="spellStart"/>
      <w:r w:rsidRPr="00A97E79">
        <w:rPr>
          <w:sz w:val="24"/>
          <w:szCs w:val="24"/>
        </w:rPr>
        <w:t>Spironolacton</w:t>
      </w:r>
      <w:proofErr w:type="spellEnd"/>
      <w:r w:rsidRPr="00A97E79">
        <w:rPr>
          <w:sz w:val="24"/>
          <w:szCs w:val="24"/>
        </w:rPr>
        <w:t xml:space="preserve"> udskilles hovedsageligt med urinen og til en vis grad med galden i fæces, hovedsageligt som metabolitter.</w:t>
      </w:r>
    </w:p>
    <w:p w:rsidR="00A97E79" w:rsidRPr="00A97E79" w:rsidRDefault="00A97E79" w:rsidP="00A97E79">
      <w:pPr>
        <w:ind w:left="851"/>
        <w:rPr>
          <w:sz w:val="24"/>
          <w:szCs w:val="24"/>
        </w:rPr>
      </w:pPr>
    </w:p>
    <w:p w:rsidR="00A97E79" w:rsidRPr="00A97E79" w:rsidRDefault="00A97E79" w:rsidP="00A97E79">
      <w:pPr>
        <w:ind w:left="851"/>
        <w:rPr>
          <w:sz w:val="24"/>
          <w:szCs w:val="24"/>
        </w:rPr>
      </w:pPr>
      <w:proofErr w:type="spellStart"/>
      <w:r w:rsidRPr="00A97E79">
        <w:rPr>
          <w:sz w:val="24"/>
          <w:szCs w:val="24"/>
        </w:rPr>
        <w:t>Spironolactons</w:t>
      </w:r>
      <w:proofErr w:type="spellEnd"/>
      <w:r w:rsidRPr="00A97E79">
        <w:rPr>
          <w:sz w:val="24"/>
          <w:szCs w:val="24"/>
        </w:rPr>
        <w:t xml:space="preserve"> fulde diuretiske virkning opnås sædvanligvis inden for 2 til 3 dage fra start af behandlingen. Diuresen vedvarer i yderligere 2-3 dage efter, at behandlingen er afsluttet. Hos ældre kan </w:t>
      </w:r>
      <w:proofErr w:type="spellStart"/>
      <w:r w:rsidRPr="00A97E79">
        <w:rPr>
          <w:sz w:val="24"/>
          <w:szCs w:val="24"/>
        </w:rPr>
        <w:t>spironolactonclearance</w:t>
      </w:r>
      <w:proofErr w:type="spellEnd"/>
      <w:r w:rsidRPr="00A97E79">
        <w:rPr>
          <w:sz w:val="24"/>
          <w:szCs w:val="24"/>
        </w:rPr>
        <w:t xml:space="preserve"> være nedsat og halveringstiden øget. </w:t>
      </w:r>
    </w:p>
    <w:p w:rsidR="00A97E79" w:rsidRPr="00A97E79" w:rsidRDefault="00A97E79" w:rsidP="00A97E79">
      <w:pPr>
        <w:ind w:left="851"/>
        <w:rPr>
          <w:sz w:val="24"/>
          <w:szCs w:val="24"/>
        </w:rPr>
      </w:pPr>
    </w:p>
    <w:p w:rsidR="00A97E79" w:rsidRPr="00A97E79" w:rsidRDefault="00A97E79" w:rsidP="00A97E79">
      <w:pPr>
        <w:ind w:left="851"/>
        <w:rPr>
          <w:sz w:val="24"/>
          <w:szCs w:val="24"/>
        </w:rPr>
      </w:pPr>
      <w:r w:rsidRPr="00A97E79">
        <w:rPr>
          <w:bCs/>
          <w:noProof/>
          <w:sz w:val="24"/>
          <w:szCs w:val="24"/>
          <w:u w:val="single"/>
        </w:rPr>
        <w:t>Pædiatrisk population</w:t>
      </w:r>
    </w:p>
    <w:p w:rsidR="000B5D94" w:rsidRPr="00A97E79" w:rsidRDefault="00A97E79" w:rsidP="00A97E79">
      <w:pPr>
        <w:pStyle w:val="Listeafsnit"/>
        <w:ind w:left="851"/>
        <w:rPr>
          <w:lang w:val="da-DK"/>
        </w:rPr>
      </w:pPr>
      <w:r w:rsidRPr="00A97E79">
        <w:rPr>
          <w:sz w:val="24"/>
          <w:szCs w:val="24"/>
          <w:lang w:val="da-DK"/>
        </w:rPr>
        <w:t xml:space="preserve">Der er ingen </w:t>
      </w:r>
      <w:proofErr w:type="spellStart"/>
      <w:r w:rsidRPr="00A97E79">
        <w:rPr>
          <w:sz w:val="24"/>
          <w:szCs w:val="24"/>
          <w:lang w:val="da-DK"/>
        </w:rPr>
        <w:t>farmakokinetiske</w:t>
      </w:r>
      <w:proofErr w:type="spellEnd"/>
      <w:r w:rsidRPr="00A97E79">
        <w:rPr>
          <w:sz w:val="24"/>
          <w:szCs w:val="24"/>
          <w:lang w:val="da-DK"/>
        </w:rPr>
        <w:t xml:space="preserve"> data vedrørende brug i pædiatrisk population. Doseringsanbefalingerne for pædiatri er baseret på klinisk erfaring og casestudier dokumenteret i den videnskabelige litteratur.</w:t>
      </w:r>
    </w:p>
    <w:p w:rsidR="00E926A0" w:rsidRPr="008C5CD5" w:rsidRDefault="00E926A0" w:rsidP="00E926A0">
      <w:pPr>
        <w:suppressAutoHyphens/>
        <w:ind w:left="851" w:hanging="851"/>
        <w:rPr>
          <w:sz w:val="24"/>
          <w:szCs w:val="24"/>
        </w:rPr>
      </w:pPr>
    </w:p>
    <w:p w:rsidR="00E926A0" w:rsidRPr="008C5CD5" w:rsidRDefault="00A97E79" w:rsidP="00E926A0">
      <w:pPr>
        <w:numPr>
          <w:ilvl w:val="1"/>
          <w:numId w:val="4"/>
        </w:numPr>
        <w:tabs>
          <w:tab w:val="clear" w:pos="855"/>
        </w:tabs>
        <w:ind w:left="851" w:hanging="851"/>
        <w:rPr>
          <w:b/>
          <w:sz w:val="24"/>
          <w:szCs w:val="24"/>
        </w:rPr>
      </w:pPr>
      <w:r>
        <w:rPr>
          <w:b/>
          <w:sz w:val="24"/>
          <w:szCs w:val="24"/>
        </w:rPr>
        <w:t>Non-</w:t>
      </w:r>
      <w:r w:rsidR="00E926A0" w:rsidRPr="008C5CD5">
        <w:rPr>
          <w:b/>
          <w:sz w:val="24"/>
          <w:szCs w:val="24"/>
        </w:rPr>
        <w:t>kliniske sikkerhedsdata</w:t>
      </w:r>
    </w:p>
    <w:p w:rsidR="00E926A0" w:rsidRPr="008C5CD5" w:rsidRDefault="00E926A0" w:rsidP="00E926A0">
      <w:pPr>
        <w:numPr>
          <w:ilvl w:val="12"/>
          <w:numId w:val="0"/>
        </w:numPr>
        <w:ind w:left="851" w:right="11"/>
        <w:rPr>
          <w:sz w:val="24"/>
          <w:szCs w:val="24"/>
        </w:rPr>
      </w:pPr>
      <w:proofErr w:type="spellStart"/>
      <w:r w:rsidRPr="008C5CD5">
        <w:rPr>
          <w:sz w:val="24"/>
          <w:szCs w:val="24"/>
        </w:rPr>
        <w:t>Spironolacton</w:t>
      </w:r>
      <w:proofErr w:type="spellEnd"/>
      <w:r w:rsidRPr="008C5CD5">
        <w:rPr>
          <w:sz w:val="24"/>
          <w:szCs w:val="24"/>
        </w:rPr>
        <w:t xml:space="preserve"> og dets metabolitter kan krydse placentabarrieren. Administration af </w:t>
      </w:r>
      <w:proofErr w:type="spellStart"/>
      <w:r w:rsidRPr="008C5CD5">
        <w:rPr>
          <w:sz w:val="24"/>
          <w:szCs w:val="24"/>
        </w:rPr>
        <w:t>spironolacton</w:t>
      </w:r>
      <w:proofErr w:type="spellEnd"/>
      <w:r w:rsidRPr="008C5CD5">
        <w:rPr>
          <w:sz w:val="24"/>
          <w:szCs w:val="24"/>
        </w:rPr>
        <w:t xml:space="preserve"> til hunrotter under drægtighed medførte feminisering af afkom af hankøn.  </w:t>
      </w:r>
    </w:p>
    <w:p w:rsidR="00E926A0" w:rsidRPr="008C5CD5" w:rsidRDefault="00E926A0" w:rsidP="00E926A0">
      <w:pPr>
        <w:numPr>
          <w:ilvl w:val="12"/>
          <w:numId w:val="0"/>
        </w:numPr>
        <w:ind w:left="851" w:right="11" w:hanging="851"/>
        <w:rPr>
          <w:sz w:val="24"/>
          <w:szCs w:val="24"/>
        </w:rPr>
      </w:pPr>
    </w:p>
    <w:p w:rsidR="00E926A0" w:rsidRPr="008C5CD5" w:rsidRDefault="00E926A0" w:rsidP="00E926A0">
      <w:pPr>
        <w:numPr>
          <w:ilvl w:val="12"/>
          <w:numId w:val="0"/>
        </w:numPr>
        <w:ind w:left="851" w:right="11"/>
        <w:rPr>
          <w:sz w:val="24"/>
          <w:szCs w:val="24"/>
        </w:rPr>
      </w:pPr>
      <w:r w:rsidRPr="008C5CD5">
        <w:rPr>
          <w:sz w:val="24"/>
          <w:szCs w:val="24"/>
        </w:rPr>
        <w:t>I e</w:t>
      </w:r>
      <w:r>
        <w:rPr>
          <w:sz w:val="24"/>
          <w:szCs w:val="24"/>
        </w:rPr>
        <w:t>t</w:t>
      </w:r>
      <w:r w:rsidRPr="008C5CD5">
        <w:rPr>
          <w:sz w:val="24"/>
          <w:szCs w:val="24"/>
        </w:rPr>
        <w:t xml:space="preserve"> reproduktions</w:t>
      </w:r>
      <w:r>
        <w:rPr>
          <w:sz w:val="24"/>
          <w:szCs w:val="24"/>
        </w:rPr>
        <w:t>studie</w:t>
      </w:r>
      <w:r w:rsidRPr="008C5CD5">
        <w:rPr>
          <w:sz w:val="24"/>
          <w:szCs w:val="24"/>
        </w:rPr>
        <w:t xml:space="preserve"> med 3-kuld, hvor hunrotter fik doser på 15 og 50 mg </w:t>
      </w:r>
      <w:proofErr w:type="spellStart"/>
      <w:r w:rsidRPr="008C5CD5">
        <w:rPr>
          <w:sz w:val="24"/>
          <w:szCs w:val="24"/>
        </w:rPr>
        <w:t>spironolacton</w:t>
      </w:r>
      <w:proofErr w:type="spellEnd"/>
      <w:r w:rsidRPr="008C5CD5">
        <w:rPr>
          <w:sz w:val="24"/>
          <w:szCs w:val="24"/>
        </w:rPr>
        <w:t xml:space="preserve">/kg/dag i foderet var der ingen virkning på parring eller fertilitet, men der var en lille øgning i forekomsten af dødfødte unger ved 50 mg/kg/dag. Ved indsprøjtning hos hunrotter (100 mg/kg/dag i 7 dage </w:t>
      </w:r>
      <w:proofErr w:type="spellStart"/>
      <w:r w:rsidRPr="008C5CD5">
        <w:rPr>
          <w:sz w:val="24"/>
          <w:szCs w:val="24"/>
        </w:rPr>
        <w:t>i.p</w:t>
      </w:r>
      <w:proofErr w:type="spellEnd"/>
      <w:r w:rsidRPr="008C5CD5">
        <w:rPr>
          <w:sz w:val="24"/>
          <w:szCs w:val="24"/>
        </w:rPr>
        <w:t xml:space="preserve">) viste det sig, at </w:t>
      </w:r>
      <w:proofErr w:type="spellStart"/>
      <w:r w:rsidRPr="008C5CD5">
        <w:rPr>
          <w:sz w:val="24"/>
          <w:szCs w:val="24"/>
        </w:rPr>
        <w:t>spironolacton</w:t>
      </w:r>
      <w:proofErr w:type="spellEnd"/>
      <w:r w:rsidRPr="008C5CD5">
        <w:rPr>
          <w:sz w:val="24"/>
          <w:szCs w:val="24"/>
        </w:rPr>
        <w:t xml:space="preserve"> øgede østrogencyklus ved at forlænge </w:t>
      </w:r>
      <w:proofErr w:type="spellStart"/>
      <w:r w:rsidRPr="008C5CD5">
        <w:rPr>
          <w:sz w:val="24"/>
          <w:szCs w:val="24"/>
        </w:rPr>
        <w:t>diøstrus</w:t>
      </w:r>
      <w:proofErr w:type="spellEnd"/>
      <w:r w:rsidRPr="008C5CD5">
        <w:rPr>
          <w:sz w:val="24"/>
          <w:szCs w:val="24"/>
        </w:rPr>
        <w:t xml:space="preserve"> under behandlingen og medførte konstant </w:t>
      </w:r>
      <w:proofErr w:type="spellStart"/>
      <w:r w:rsidRPr="008C5CD5">
        <w:rPr>
          <w:sz w:val="24"/>
          <w:szCs w:val="24"/>
        </w:rPr>
        <w:t>diøstrus</w:t>
      </w:r>
      <w:proofErr w:type="spellEnd"/>
      <w:r w:rsidRPr="008C5CD5">
        <w:rPr>
          <w:sz w:val="24"/>
          <w:szCs w:val="24"/>
        </w:rPr>
        <w:t xml:space="preserve"> i en 2-ugers observationsperiode efter behandling. Disse virkninger var associeret med forsinket udvikling af ovariefollikler og en reduktion af cirkulerende østrogen, som kan forventes at hæmme parring, fertilitet og </w:t>
      </w:r>
      <w:proofErr w:type="spellStart"/>
      <w:r w:rsidRPr="008C5CD5">
        <w:rPr>
          <w:sz w:val="24"/>
          <w:szCs w:val="24"/>
        </w:rPr>
        <w:t>fekunditet</w:t>
      </w:r>
      <w:proofErr w:type="spellEnd"/>
      <w:r w:rsidRPr="008C5CD5">
        <w:rPr>
          <w:sz w:val="24"/>
          <w:szCs w:val="24"/>
        </w:rPr>
        <w:t xml:space="preserve">. </w:t>
      </w:r>
      <w:proofErr w:type="spellStart"/>
      <w:r w:rsidRPr="008C5CD5">
        <w:rPr>
          <w:sz w:val="24"/>
          <w:szCs w:val="24"/>
        </w:rPr>
        <w:t>Spironolacton</w:t>
      </w:r>
      <w:proofErr w:type="spellEnd"/>
      <w:r w:rsidRPr="008C5CD5">
        <w:rPr>
          <w:sz w:val="24"/>
          <w:szCs w:val="24"/>
        </w:rPr>
        <w:t xml:space="preserve"> (100 mg/kg/dag) administreret </w:t>
      </w:r>
      <w:proofErr w:type="spellStart"/>
      <w:r w:rsidRPr="008C5CD5">
        <w:rPr>
          <w:sz w:val="24"/>
          <w:szCs w:val="24"/>
        </w:rPr>
        <w:t>i.p</w:t>
      </w:r>
      <w:proofErr w:type="spellEnd"/>
      <w:r w:rsidRPr="008C5CD5">
        <w:rPr>
          <w:sz w:val="24"/>
          <w:szCs w:val="24"/>
        </w:rPr>
        <w:t xml:space="preserve"> hos </w:t>
      </w:r>
      <w:proofErr w:type="spellStart"/>
      <w:r w:rsidRPr="008C5CD5">
        <w:rPr>
          <w:sz w:val="24"/>
          <w:szCs w:val="24"/>
        </w:rPr>
        <w:t>hunmus</w:t>
      </w:r>
      <w:proofErr w:type="spellEnd"/>
      <w:r w:rsidRPr="008C5CD5">
        <w:rPr>
          <w:sz w:val="24"/>
          <w:szCs w:val="24"/>
        </w:rPr>
        <w:t xml:space="preserve"> i en 2-ugers </w:t>
      </w:r>
      <w:proofErr w:type="spellStart"/>
      <w:r w:rsidRPr="008C5CD5">
        <w:rPr>
          <w:sz w:val="24"/>
          <w:szCs w:val="24"/>
        </w:rPr>
        <w:t>kohabitations</w:t>
      </w:r>
      <w:proofErr w:type="spellEnd"/>
      <w:r w:rsidRPr="008C5CD5">
        <w:rPr>
          <w:sz w:val="24"/>
          <w:szCs w:val="24"/>
        </w:rPr>
        <w:t xml:space="preserve">-periode med ubehandlede hanner, nedsatte antallet af parrede mus, som blev befrugtet (virkning som viste sig at være forårsaget af hæmmet ægløsning) og nedsatte antallet af implanterede embryoer hos dem, der blev drægtige (virkning forårsaget af implantationshæmning) og 200 mg/kg øgede desuden latenstiden for parring. </w:t>
      </w:r>
    </w:p>
    <w:p w:rsidR="00E926A0" w:rsidRPr="008C5CD5" w:rsidRDefault="00E926A0" w:rsidP="00E926A0">
      <w:pPr>
        <w:numPr>
          <w:ilvl w:val="12"/>
          <w:numId w:val="0"/>
        </w:numPr>
        <w:ind w:left="851" w:right="11" w:hanging="851"/>
        <w:rPr>
          <w:sz w:val="24"/>
          <w:szCs w:val="24"/>
        </w:rPr>
      </w:pPr>
    </w:p>
    <w:p w:rsidR="00E926A0" w:rsidRPr="00351465" w:rsidRDefault="00E926A0" w:rsidP="00E926A0">
      <w:pPr>
        <w:numPr>
          <w:ilvl w:val="12"/>
          <w:numId w:val="0"/>
        </w:numPr>
        <w:ind w:left="851" w:right="11"/>
        <w:rPr>
          <w:sz w:val="24"/>
          <w:szCs w:val="24"/>
        </w:rPr>
      </w:pPr>
      <w:r w:rsidRPr="00351465">
        <w:rPr>
          <w:sz w:val="24"/>
          <w:szCs w:val="24"/>
        </w:rPr>
        <w:t xml:space="preserve">Resultaterne af studier af genotoksicitet og </w:t>
      </w:r>
      <w:proofErr w:type="spellStart"/>
      <w:r w:rsidRPr="00351465">
        <w:rPr>
          <w:sz w:val="24"/>
          <w:szCs w:val="24"/>
        </w:rPr>
        <w:t>mutagenicitet</w:t>
      </w:r>
      <w:proofErr w:type="spellEnd"/>
      <w:r w:rsidRPr="00351465">
        <w:rPr>
          <w:sz w:val="24"/>
          <w:szCs w:val="24"/>
        </w:rPr>
        <w:t xml:space="preserve"> var let inkonsistente. Ved tilstedeværelse af metabolisk aktivering har </w:t>
      </w:r>
      <w:proofErr w:type="spellStart"/>
      <w:r w:rsidRPr="00351465">
        <w:rPr>
          <w:sz w:val="24"/>
          <w:szCs w:val="24"/>
        </w:rPr>
        <w:t>spironolacton</w:t>
      </w:r>
      <w:proofErr w:type="spellEnd"/>
      <w:r w:rsidRPr="00351465">
        <w:rPr>
          <w:sz w:val="24"/>
          <w:szCs w:val="24"/>
        </w:rPr>
        <w:t xml:space="preserve"> været rapporteret negativ i nogle studier af </w:t>
      </w:r>
      <w:proofErr w:type="spellStart"/>
      <w:r w:rsidRPr="00351465">
        <w:rPr>
          <w:sz w:val="24"/>
          <w:szCs w:val="24"/>
        </w:rPr>
        <w:t>mutagenicitet</w:t>
      </w:r>
      <w:proofErr w:type="spellEnd"/>
      <w:r w:rsidRPr="00351465">
        <w:rPr>
          <w:sz w:val="24"/>
          <w:szCs w:val="24"/>
        </w:rPr>
        <w:t xml:space="preserve"> hos pattedyr </w:t>
      </w:r>
      <w:r w:rsidRPr="00351465">
        <w:rPr>
          <w:i/>
          <w:sz w:val="24"/>
          <w:szCs w:val="24"/>
        </w:rPr>
        <w:t xml:space="preserve">in </w:t>
      </w:r>
      <w:proofErr w:type="spellStart"/>
      <w:r w:rsidRPr="00351465">
        <w:rPr>
          <w:i/>
          <w:sz w:val="24"/>
          <w:szCs w:val="24"/>
        </w:rPr>
        <w:t>vitro</w:t>
      </w:r>
      <w:proofErr w:type="spellEnd"/>
      <w:r w:rsidRPr="00351465">
        <w:rPr>
          <w:sz w:val="24"/>
          <w:szCs w:val="24"/>
        </w:rPr>
        <w:t xml:space="preserve">, og </w:t>
      </w:r>
      <w:proofErr w:type="spellStart"/>
      <w:r w:rsidRPr="00351465">
        <w:rPr>
          <w:sz w:val="24"/>
          <w:szCs w:val="24"/>
        </w:rPr>
        <w:t>inkonklusiv</w:t>
      </w:r>
      <w:proofErr w:type="spellEnd"/>
      <w:r w:rsidRPr="00351465">
        <w:rPr>
          <w:sz w:val="24"/>
          <w:szCs w:val="24"/>
        </w:rPr>
        <w:t xml:space="preserve"> (men let positiv) for </w:t>
      </w:r>
      <w:proofErr w:type="spellStart"/>
      <w:r w:rsidRPr="00351465">
        <w:rPr>
          <w:sz w:val="24"/>
          <w:szCs w:val="24"/>
        </w:rPr>
        <w:t>mutagenicitet</w:t>
      </w:r>
      <w:proofErr w:type="spellEnd"/>
      <w:r w:rsidRPr="00351465">
        <w:rPr>
          <w:sz w:val="24"/>
          <w:szCs w:val="24"/>
        </w:rPr>
        <w:t xml:space="preserve"> i andre studier hos pattedyr </w:t>
      </w:r>
      <w:r w:rsidRPr="00351465">
        <w:rPr>
          <w:i/>
          <w:sz w:val="24"/>
          <w:szCs w:val="24"/>
        </w:rPr>
        <w:t xml:space="preserve">in </w:t>
      </w:r>
      <w:proofErr w:type="spellStart"/>
      <w:r w:rsidRPr="00351465">
        <w:rPr>
          <w:i/>
          <w:sz w:val="24"/>
          <w:szCs w:val="24"/>
        </w:rPr>
        <w:t>vitro</w:t>
      </w:r>
      <w:proofErr w:type="spellEnd"/>
      <w:r w:rsidRPr="00351465">
        <w:rPr>
          <w:sz w:val="24"/>
          <w:szCs w:val="24"/>
        </w:rPr>
        <w:t xml:space="preserve">. Ved tilstedeværelse af metabolisk aktivering har </w:t>
      </w:r>
      <w:proofErr w:type="spellStart"/>
      <w:r w:rsidRPr="00351465">
        <w:rPr>
          <w:sz w:val="24"/>
          <w:szCs w:val="24"/>
        </w:rPr>
        <w:t>kaliumkanrenoat</w:t>
      </w:r>
      <w:proofErr w:type="spellEnd"/>
      <w:r w:rsidRPr="00351465">
        <w:rPr>
          <w:sz w:val="24"/>
          <w:szCs w:val="24"/>
        </w:rPr>
        <w:t xml:space="preserve"> været rapporteret positiv for </w:t>
      </w:r>
      <w:proofErr w:type="spellStart"/>
      <w:r w:rsidRPr="00351465">
        <w:rPr>
          <w:sz w:val="24"/>
          <w:szCs w:val="24"/>
        </w:rPr>
        <w:t>mutagenicitet</w:t>
      </w:r>
      <w:proofErr w:type="spellEnd"/>
      <w:r w:rsidRPr="00351465">
        <w:rPr>
          <w:sz w:val="24"/>
          <w:szCs w:val="24"/>
        </w:rPr>
        <w:t xml:space="preserve"> i nogle studier hos pattedyr </w:t>
      </w:r>
      <w:r w:rsidRPr="00351465">
        <w:rPr>
          <w:i/>
          <w:sz w:val="24"/>
          <w:szCs w:val="24"/>
        </w:rPr>
        <w:t xml:space="preserve">in </w:t>
      </w:r>
      <w:proofErr w:type="spellStart"/>
      <w:r w:rsidRPr="00351465">
        <w:rPr>
          <w:i/>
          <w:sz w:val="24"/>
          <w:szCs w:val="24"/>
        </w:rPr>
        <w:t>vitro</w:t>
      </w:r>
      <w:proofErr w:type="spellEnd"/>
      <w:r w:rsidRPr="00351465">
        <w:rPr>
          <w:sz w:val="24"/>
          <w:szCs w:val="24"/>
        </w:rPr>
        <w:t xml:space="preserve">, </w:t>
      </w:r>
      <w:proofErr w:type="spellStart"/>
      <w:r w:rsidRPr="00351465">
        <w:rPr>
          <w:sz w:val="24"/>
          <w:szCs w:val="24"/>
        </w:rPr>
        <w:t>inkonklusiv</w:t>
      </w:r>
      <w:proofErr w:type="spellEnd"/>
      <w:r w:rsidRPr="00351465">
        <w:rPr>
          <w:sz w:val="24"/>
          <w:szCs w:val="24"/>
        </w:rPr>
        <w:t xml:space="preserve"> i andre og negativ i andre igen.</w:t>
      </w:r>
    </w:p>
    <w:p w:rsidR="00E926A0" w:rsidRPr="008C5CD5" w:rsidRDefault="00E926A0" w:rsidP="00E926A0">
      <w:pPr>
        <w:numPr>
          <w:ilvl w:val="12"/>
          <w:numId w:val="0"/>
        </w:numPr>
        <w:ind w:left="851" w:right="11" w:hanging="851"/>
        <w:rPr>
          <w:sz w:val="24"/>
          <w:szCs w:val="24"/>
        </w:rPr>
      </w:pPr>
    </w:p>
    <w:p w:rsidR="00E926A0" w:rsidRPr="008C5CD5" w:rsidRDefault="00E926A0" w:rsidP="00E926A0">
      <w:pPr>
        <w:numPr>
          <w:ilvl w:val="12"/>
          <w:numId w:val="0"/>
        </w:numPr>
        <w:ind w:left="851" w:right="11"/>
        <w:rPr>
          <w:sz w:val="24"/>
          <w:szCs w:val="24"/>
        </w:rPr>
      </w:pPr>
      <w:r w:rsidRPr="008C5CD5">
        <w:rPr>
          <w:sz w:val="24"/>
          <w:szCs w:val="24"/>
        </w:rPr>
        <w:t xml:space="preserve">Det har vist sig, at </w:t>
      </w:r>
      <w:proofErr w:type="spellStart"/>
      <w:r w:rsidRPr="008C5CD5">
        <w:rPr>
          <w:sz w:val="24"/>
          <w:szCs w:val="24"/>
        </w:rPr>
        <w:t>spironolacton</w:t>
      </w:r>
      <w:proofErr w:type="spellEnd"/>
      <w:r w:rsidRPr="008C5CD5">
        <w:rPr>
          <w:sz w:val="24"/>
          <w:szCs w:val="24"/>
        </w:rPr>
        <w:t xml:space="preserve"> danner tumorer hos rotter, når det administreres i høje doser over en lang tidsperiode. Signifikansen af disse resultater med hensyn til klinisk anvendelse er usikker. </w:t>
      </w:r>
    </w:p>
    <w:p w:rsidR="00E926A0" w:rsidRDefault="00E926A0" w:rsidP="00E926A0">
      <w:pPr>
        <w:rPr>
          <w:sz w:val="24"/>
          <w:szCs w:val="24"/>
        </w:rPr>
      </w:pPr>
    </w:p>
    <w:p w:rsidR="00E926A0" w:rsidRPr="008C5CD5" w:rsidRDefault="00E926A0" w:rsidP="00E926A0">
      <w:pPr>
        <w:ind w:left="851" w:hanging="851"/>
        <w:rPr>
          <w:sz w:val="24"/>
          <w:szCs w:val="24"/>
        </w:rPr>
      </w:pPr>
    </w:p>
    <w:p w:rsidR="00E926A0" w:rsidRPr="008C5CD5" w:rsidRDefault="00E926A0" w:rsidP="00E926A0">
      <w:pPr>
        <w:numPr>
          <w:ilvl w:val="0"/>
          <w:numId w:val="3"/>
        </w:numPr>
        <w:tabs>
          <w:tab w:val="clear" w:pos="855"/>
        </w:tabs>
        <w:ind w:left="851" w:hanging="851"/>
        <w:rPr>
          <w:b/>
          <w:sz w:val="24"/>
          <w:szCs w:val="24"/>
        </w:rPr>
      </w:pPr>
      <w:r w:rsidRPr="008C5CD5">
        <w:rPr>
          <w:b/>
          <w:sz w:val="24"/>
          <w:szCs w:val="24"/>
        </w:rPr>
        <w:t>FARMACEUTISKE OPLYSNINGER</w:t>
      </w:r>
    </w:p>
    <w:p w:rsidR="00E926A0" w:rsidRPr="008C5CD5" w:rsidRDefault="00E926A0" w:rsidP="00E926A0">
      <w:pPr>
        <w:ind w:left="851" w:hanging="851"/>
        <w:rPr>
          <w:b/>
          <w:sz w:val="24"/>
          <w:szCs w:val="24"/>
        </w:rPr>
      </w:pPr>
    </w:p>
    <w:p w:rsidR="00E926A0" w:rsidRPr="008C5CD5" w:rsidRDefault="00E926A0" w:rsidP="00E926A0">
      <w:pPr>
        <w:numPr>
          <w:ilvl w:val="1"/>
          <w:numId w:val="5"/>
        </w:numPr>
        <w:tabs>
          <w:tab w:val="clear" w:pos="855"/>
        </w:tabs>
        <w:ind w:left="851" w:hanging="851"/>
        <w:rPr>
          <w:b/>
          <w:sz w:val="24"/>
          <w:szCs w:val="24"/>
        </w:rPr>
      </w:pPr>
      <w:r w:rsidRPr="008C5CD5">
        <w:rPr>
          <w:b/>
          <w:sz w:val="24"/>
          <w:szCs w:val="24"/>
        </w:rPr>
        <w:t>Hjælpestoffer</w:t>
      </w:r>
    </w:p>
    <w:p w:rsidR="00E926A0" w:rsidRPr="008C5CD5" w:rsidRDefault="00E926A0" w:rsidP="00E926A0">
      <w:pPr>
        <w:ind w:left="851"/>
        <w:rPr>
          <w:sz w:val="24"/>
          <w:szCs w:val="24"/>
        </w:rPr>
      </w:pPr>
      <w:proofErr w:type="spellStart"/>
      <w:r w:rsidRPr="008C5CD5">
        <w:rPr>
          <w:sz w:val="24"/>
          <w:szCs w:val="24"/>
        </w:rPr>
        <w:t>Lactosemonohydrat</w:t>
      </w:r>
      <w:proofErr w:type="spellEnd"/>
    </w:p>
    <w:p w:rsidR="00E926A0" w:rsidRPr="008C5CD5" w:rsidRDefault="00E926A0" w:rsidP="00E926A0">
      <w:pPr>
        <w:ind w:left="851"/>
        <w:rPr>
          <w:sz w:val="24"/>
          <w:szCs w:val="24"/>
        </w:rPr>
      </w:pPr>
      <w:r w:rsidRPr="008C5CD5">
        <w:rPr>
          <w:sz w:val="24"/>
          <w:szCs w:val="24"/>
        </w:rPr>
        <w:t>Majsstivelse</w:t>
      </w:r>
    </w:p>
    <w:p w:rsidR="00E926A0" w:rsidRPr="008C5CD5" w:rsidRDefault="00E926A0" w:rsidP="00E926A0">
      <w:pPr>
        <w:ind w:left="851"/>
        <w:rPr>
          <w:sz w:val="24"/>
          <w:szCs w:val="24"/>
        </w:rPr>
      </w:pPr>
      <w:proofErr w:type="spellStart"/>
      <w:r w:rsidRPr="008C5CD5">
        <w:rPr>
          <w:sz w:val="24"/>
          <w:szCs w:val="24"/>
        </w:rPr>
        <w:t>Povidon</w:t>
      </w:r>
      <w:proofErr w:type="spellEnd"/>
    </w:p>
    <w:p w:rsidR="00E926A0" w:rsidRPr="008C5CD5" w:rsidRDefault="00E926A0" w:rsidP="00E926A0">
      <w:pPr>
        <w:ind w:left="851"/>
        <w:rPr>
          <w:sz w:val="24"/>
          <w:szCs w:val="24"/>
        </w:rPr>
      </w:pPr>
      <w:proofErr w:type="spellStart"/>
      <w:r w:rsidRPr="008C5CD5">
        <w:rPr>
          <w:sz w:val="24"/>
          <w:szCs w:val="24"/>
        </w:rPr>
        <w:t>Polysorbat</w:t>
      </w:r>
      <w:proofErr w:type="spellEnd"/>
      <w:r w:rsidRPr="008C5CD5">
        <w:rPr>
          <w:sz w:val="24"/>
          <w:szCs w:val="24"/>
        </w:rPr>
        <w:t xml:space="preserve"> 80</w:t>
      </w:r>
    </w:p>
    <w:p w:rsidR="00E926A0" w:rsidRPr="008C5CD5" w:rsidRDefault="00E926A0" w:rsidP="00E926A0">
      <w:pPr>
        <w:ind w:left="851"/>
        <w:rPr>
          <w:sz w:val="24"/>
          <w:szCs w:val="24"/>
        </w:rPr>
      </w:pPr>
      <w:r w:rsidRPr="008C5CD5">
        <w:rPr>
          <w:sz w:val="24"/>
          <w:szCs w:val="24"/>
        </w:rPr>
        <w:t>Pebermynteolie</w:t>
      </w:r>
    </w:p>
    <w:p w:rsidR="00E926A0" w:rsidRPr="008C5CD5" w:rsidRDefault="00E926A0" w:rsidP="00E926A0">
      <w:pPr>
        <w:ind w:left="851"/>
        <w:rPr>
          <w:sz w:val="24"/>
          <w:szCs w:val="24"/>
        </w:rPr>
      </w:pPr>
      <w:proofErr w:type="spellStart"/>
      <w:r w:rsidRPr="008C5CD5">
        <w:rPr>
          <w:sz w:val="24"/>
          <w:szCs w:val="24"/>
        </w:rPr>
        <w:t>Silica</w:t>
      </w:r>
      <w:proofErr w:type="spellEnd"/>
      <w:r w:rsidRPr="008C5CD5">
        <w:rPr>
          <w:sz w:val="24"/>
          <w:szCs w:val="24"/>
        </w:rPr>
        <w:t>, kolloid vandfri</w:t>
      </w:r>
    </w:p>
    <w:p w:rsidR="00E926A0" w:rsidRPr="008C5CD5" w:rsidRDefault="00E926A0" w:rsidP="00E926A0">
      <w:pPr>
        <w:ind w:left="851"/>
        <w:rPr>
          <w:sz w:val="24"/>
          <w:szCs w:val="24"/>
        </w:rPr>
      </w:pPr>
      <w:proofErr w:type="spellStart"/>
      <w:r w:rsidRPr="008C5CD5">
        <w:rPr>
          <w:sz w:val="24"/>
          <w:szCs w:val="24"/>
        </w:rPr>
        <w:t>Magnesiumstearat</w:t>
      </w:r>
      <w:proofErr w:type="spellEnd"/>
    </w:p>
    <w:p w:rsidR="00E926A0" w:rsidRPr="008C5CD5" w:rsidRDefault="00E926A0" w:rsidP="00E926A0">
      <w:pPr>
        <w:ind w:left="851" w:hanging="851"/>
        <w:rPr>
          <w:sz w:val="24"/>
          <w:szCs w:val="24"/>
        </w:rPr>
      </w:pPr>
    </w:p>
    <w:p w:rsidR="00E926A0" w:rsidRPr="008C5CD5" w:rsidRDefault="00E926A0" w:rsidP="00E926A0">
      <w:pPr>
        <w:numPr>
          <w:ilvl w:val="1"/>
          <w:numId w:val="5"/>
        </w:numPr>
        <w:tabs>
          <w:tab w:val="clear" w:pos="855"/>
        </w:tabs>
        <w:ind w:left="851" w:hanging="851"/>
        <w:rPr>
          <w:b/>
          <w:sz w:val="24"/>
          <w:szCs w:val="24"/>
        </w:rPr>
      </w:pPr>
      <w:r w:rsidRPr="008C5CD5">
        <w:rPr>
          <w:b/>
          <w:sz w:val="24"/>
          <w:szCs w:val="24"/>
        </w:rPr>
        <w:t>Uforligeligheder</w:t>
      </w:r>
    </w:p>
    <w:p w:rsidR="00E926A0" w:rsidRPr="008C5CD5" w:rsidRDefault="00E926A0" w:rsidP="00E926A0">
      <w:pPr>
        <w:ind w:left="851"/>
        <w:rPr>
          <w:sz w:val="24"/>
          <w:szCs w:val="24"/>
        </w:rPr>
      </w:pPr>
      <w:r w:rsidRPr="008C5CD5">
        <w:rPr>
          <w:sz w:val="24"/>
          <w:szCs w:val="24"/>
        </w:rPr>
        <w:t>Ikke relevant.</w:t>
      </w:r>
    </w:p>
    <w:p w:rsidR="00E926A0" w:rsidRPr="008C5CD5" w:rsidRDefault="00E926A0" w:rsidP="00E926A0">
      <w:pPr>
        <w:ind w:left="851" w:hanging="851"/>
        <w:rPr>
          <w:sz w:val="24"/>
          <w:szCs w:val="24"/>
        </w:rPr>
      </w:pPr>
    </w:p>
    <w:p w:rsidR="00E926A0" w:rsidRPr="008C5CD5" w:rsidRDefault="00E926A0" w:rsidP="00E926A0">
      <w:pPr>
        <w:numPr>
          <w:ilvl w:val="1"/>
          <w:numId w:val="5"/>
        </w:numPr>
        <w:tabs>
          <w:tab w:val="clear" w:pos="855"/>
        </w:tabs>
        <w:ind w:left="851" w:hanging="851"/>
        <w:rPr>
          <w:b/>
          <w:sz w:val="24"/>
          <w:szCs w:val="24"/>
        </w:rPr>
      </w:pPr>
      <w:r w:rsidRPr="008C5CD5">
        <w:rPr>
          <w:b/>
          <w:sz w:val="24"/>
          <w:szCs w:val="24"/>
        </w:rPr>
        <w:t>Opbevaringstid</w:t>
      </w:r>
    </w:p>
    <w:p w:rsidR="00E926A0" w:rsidRPr="008C5CD5" w:rsidRDefault="00E926A0" w:rsidP="00E926A0">
      <w:pPr>
        <w:ind w:left="851" w:hanging="851"/>
        <w:rPr>
          <w:sz w:val="24"/>
          <w:szCs w:val="24"/>
        </w:rPr>
      </w:pPr>
      <w:r w:rsidRPr="008C5CD5">
        <w:rPr>
          <w:sz w:val="24"/>
          <w:szCs w:val="24"/>
        </w:rPr>
        <w:tab/>
        <w:t>3 år.</w:t>
      </w:r>
    </w:p>
    <w:p w:rsidR="00E926A0" w:rsidRPr="008C5CD5" w:rsidRDefault="00E926A0" w:rsidP="00E926A0">
      <w:pPr>
        <w:ind w:left="851" w:hanging="851"/>
        <w:rPr>
          <w:sz w:val="24"/>
          <w:szCs w:val="24"/>
        </w:rPr>
      </w:pPr>
    </w:p>
    <w:p w:rsidR="00E926A0" w:rsidRPr="008C5CD5" w:rsidRDefault="00E926A0" w:rsidP="00E926A0">
      <w:pPr>
        <w:numPr>
          <w:ilvl w:val="1"/>
          <w:numId w:val="5"/>
        </w:numPr>
        <w:tabs>
          <w:tab w:val="clear" w:pos="855"/>
        </w:tabs>
        <w:ind w:left="851" w:hanging="851"/>
        <w:rPr>
          <w:b/>
          <w:sz w:val="24"/>
          <w:szCs w:val="24"/>
        </w:rPr>
      </w:pPr>
      <w:r w:rsidRPr="008C5CD5">
        <w:rPr>
          <w:b/>
          <w:sz w:val="24"/>
          <w:szCs w:val="24"/>
        </w:rPr>
        <w:t>Særlige opbevaringsforhold</w:t>
      </w:r>
    </w:p>
    <w:p w:rsidR="00E926A0" w:rsidRPr="008C5CD5" w:rsidRDefault="00E926A0" w:rsidP="00E926A0">
      <w:pPr>
        <w:ind w:left="851"/>
        <w:rPr>
          <w:sz w:val="24"/>
          <w:szCs w:val="24"/>
        </w:rPr>
      </w:pPr>
      <w:r w:rsidRPr="008C5CD5">
        <w:rPr>
          <w:sz w:val="24"/>
          <w:szCs w:val="24"/>
        </w:rPr>
        <w:t>Dette lægemiddel kræver ingen særlige forholdsregler vedrørende opbevaringen.</w:t>
      </w:r>
    </w:p>
    <w:p w:rsidR="000B5D94" w:rsidRPr="008C5CD5" w:rsidRDefault="000B5D94" w:rsidP="00E926A0">
      <w:pPr>
        <w:ind w:left="851" w:hanging="851"/>
        <w:rPr>
          <w:sz w:val="24"/>
          <w:szCs w:val="24"/>
        </w:rPr>
      </w:pPr>
    </w:p>
    <w:p w:rsidR="00E926A0" w:rsidRPr="008C5CD5" w:rsidRDefault="00E926A0" w:rsidP="00E926A0">
      <w:pPr>
        <w:numPr>
          <w:ilvl w:val="1"/>
          <w:numId w:val="5"/>
        </w:numPr>
        <w:tabs>
          <w:tab w:val="clear" w:pos="855"/>
        </w:tabs>
        <w:ind w:left="851" w:hanging="851"/>
        <w:rPr>
          <w:b/>
          <w:sz w:val="24"/>
          <w:szCs w:val="24"/>
        </w:rPr>
      </w:pPr>
      <w:r w:rsidRPr="008C5CD5">
        <w:rPr>
          <w:b/>
          <w:sz w:val="24"/>
          <w:szCs w:val="24"/>
        </w:rPr>
        <w:t>Emballagetype og pakningsstørrelser</w:t>
      </w:r>
    </w:p>
    <w:p w:rsidR="00E926A0" w:rsidRPr="008C5CD5" w:rsidRDefault="00E926A0" w:rsidP="00E926A0">
      <w:pPr>
        <w:suppressAutoHyphens/>
        <w:ind w:left="851" w:hanging="851"/>
        <w:rPr>
          <w:sz w:val="24"/>
          <w:szCs w:val="24"/>
          <w:lang w:val="nb-NO"/>
        </w:rPr>
      </w:pPr>
      <w:r w:rsidRPr="008C5CD5">
        <w:rPr>
          <w:sz w:val="24"/>
          <w:szCs w:val="24"/>
        </w:rPr>
        <w:tab/>
      </w:r>
      <w:r w:rsidRPr="008C5CD5">
        <w:rPr>
          <w:sz w:val="24"/>
          <w:szCs w:val="24"/>
          <w:lang w:val="nb-NO"/>
        </w:rPr>
        <w:t xml:space="preserve">HDPE-plastbeholder </w:t>
      </w:r>
      <w:r w:rsidRPr="008C5CD5">
        <w:rPr>
          <w:sz w:val="24"/>
          <w:szCs w:val="24"/>
        </w:rPr>
        <w:t>og -</w:t>
      </w:r>
      <w:r>
        <w:rPr>
          <w:sz w:val="24"/>
          <w:szCs w:val="24"/>
          <w:lang w:val="nb-NO"/>
        </w:rPr>
        <w:t>låg</w:t>
      </w:r>
    </w:p>
    <w:p w:rsidR="00E926A0" w:rsidRDefault="00E926A0" w:rsidP="00E926A0">
      <w:pPr>
        <w:suppressAutoHyphens/>
        <w:ind w:left="851" w:hanging="851"/>
        <w:rPr>
          <w:sz w:val="24"/>
          <w:szCs w:val="24"/>
          <w:lang w:val="nb-NO"/>
        </w:rPr>
      </w:pPr>
      <w:r>
        <w:rPr>
          <w:sz w:val="24"/>
          <w:szCs w:val="24"/>
          <w:lang w:val="nb-NO"/>
        </w:rPr>
        <w:tab/>
        <w:t>25 mg: 30, 50, 100 og 250 tabletter</w:t>
      </w:r>
    </w:p>
    <w:p w:rsidR="00E926A0" w:rsidRDefault="00E926A0" w:rsidP="00E926A0">
      <w:pPr>
        <w:suppressAutoHyphens/>
        <w:ind w:left="851" w:hanging="851"/>
        <w:rPr>
          <w:sz w:val="24"/>
          <w:szCs w:val="24"/>
          <w:lang w:val="nb-NO"/>
        </w:rPr>
      </w:pPr>
      <w:r>
        <w:rPr>
          <w:sz w:val="24"/>
          <w:szCs w:val="24"/>
          <w:lang w:val="nb-NO"/>
        </w:rPr>
        <w:tab/>
        <w:t>50 mg og 100 mg: 30, 50 og 100 tabletter</w:t>
      </w:r>
    </w:p>
    <w:p w:rsidR="00324E94" w:rsidRDefault="00324E94" w:rsidP="00E926A0">
      <w:pPr>
        <w:suppressAutoHyphens/>
        <w:ind w:left="851" w:hanging="851"/>
        <w:rPr>
          <w:sz w:val="24"/>
          <w:szCs w:val="24"/>
          <w:lang w:val="nb-NO"/>
        </w:rPr>
      </w:pPr>
    </w:p>
    <w:p w:rsidR="00324E94" w:rsidRDefault="00324E94" w:rsidP="00324E94">
      <w:pPr>
        <w:suppressAutoHyphens/>
        <w:ind w:left="851"/>
        <w:rPr>
          <w:sz w:val="24"/>
          <w:szCs w:val="24"/>
        </w:rPr>
      </w:pPr>
      <w:r>
        <w:rPr>
          <w:sz w:val="24"/>
          <w:szCs w:val="24"/>
        </w:rPr>
        <w:t>Blisterpakninger af PVC/AL</w:t>
      </w:r>
    </w:p>
    <w:p w:rsidR="00324E94" w:rsidRDefault="00324E94" w:rsidP="00324E94">
      <w:pPr>
        <w:suppressAutoHyphens/>
        <w:ind w:left="851"/>
        <w:rPr>
          <w:szCs w:val="22"/>
        </w:rPr>
      </w:pPr>
      <w:r>
        <w:rPr>
          <w:sz w:val="24"/>
          <w:szCs w:val="24"/>
        </w:rPr>
        <w:t>25</w:t>
      </w:r>
      <w:r>
        <w:rPr>
          <w:szCs w:val="22"/>
        </w:rPr>
        <w:t> mg: 30 tabletter</w:t>
      </w:r>
    </w:p>
    <w:p w:rsidR="00324E94" w:rsidRDefault="00324E94" w:rsidP="00324E94">
      <w:pPr>
        <w:suppressAutoHyphens/>
        <w:ind w:left="851"/>
        <w:rPr>
          <w:szCs w:val="22"/>
        </w:rPr>
      </w:pPr>
      <w:r>
        <w:rPr>
          <w:sz w:val="24"/>
          <w:szCs w:val="24"/>
        </w:rPr>
        <w:t>50</w:t>
      </w:r>
      <w:r>
        <w:rPr>
          <w:szCs w:val="22"/>
        </w:rPr>
        <w:t> mg og 100 mg: 30 tabletter</w:t>
      </w:r>
    </w:p>
    <w:p w:rsidR="00E926A0" w:rsidRDefault="00E926A0" w:rsidP="00E926A0">
      <w:pPr>
        <w:suppressAutoHyphens/>
        <w:ind w:left="851"/>
        <w:rPr>
          <w:sz w:val="24"/>
          <w:szCs w:val="24"/>
        </w:rPr>
      </w:pPr>
    </w:p>
    <w:p w:rsidR="00E926A0" w:rsidRPr="008C5CD5" w:rsidRDefault="00E926A0" w:rsidP="00E926A0">
      <w:pPr>
        <w:suppressAutoHyphens/>
        <w:ind w:left="851"/>
        <w:rPr>
          <w:sz w:val="24"/>
          <w:szCs w:val="24"/>
        </w:rPr>
      </w:pPr>
      <w:r>
        <w:rPr>
          <w:sz w:val="24"/>
          <w:szCs w:val="24"/>
        </w:rPr>
        <w:t>Ikke alle</w:t>
      </w:r>
      <w:r w:rsidRPr="008C5CD5">
        <w:rPr>
          <w:sz w:val="24"/>
          <w:szCs w:val="24"/>
        </w:rPr>
        <w:t xml:space="preserve"> pakningsstørrelser er nødvendigvis markedsført.</w:t>
      </w:r>
    </w:p>
    <w:p w:rsidR="00E926A0" w:rsidRPr="008C5CD5" w:rsidRDefault="00E926A0" w:rsidP="00E926A0">
      <w:pPr>
        <w:ind w:left="851" w:hanging="851"/>
        <w:rPr>
          <w:sz w:val="24"/>
          <w:szCs w:val="24"/>
        </w:rPr>
      </w:pPr>
    </w:p>
    <w:p w:rsidR="00E926A0" w:rsidRPr="008C5CD5" w:rsidRDefault="00E926A0" w:rsidP="00E926A0">
      <w:pPr>
        <w:numPr>
          <w:ilvl w:val="1"/>
          <w:numId w:val="5"/>
        </w:numPr>
        <w:tabs>
          <w:tab w:val="clear" w:pos="855"/>
        </w:tabs>
        <w:ind w:left="851" w:hanging="851"/>
        <w:rPr>
          <w:b/>
          <w:sz w:val="24"/>
          <w:szCs w:val="24"/>
        </w:rPr>
      </w:pPr>
      <w:r w:rsidRPr="008C5CD5">
        <w:rPr>
          <w:b/>
          <w:sz w:val="24"/>
          <w:szCs w:val="24"/>
        </w:rPr>
        <w:t xml:space="preserve">Regler for </w:t>
      </w:r>
      <w:r w:rsidR="00A97E79">
        <w:rPr>
          <w:b/>
          <w:sz w:val="24"/>
          <w:szCs w:val="24"/>
        </w:rPr>
        <w:t>bortskaffelse</w:t>
      </w:r>
      <w:r w:rsidRPr="008C5CD5">
        <w:rPr>
          <w:b/>
          <w:sz w:val="24"/>
          <w:szCs w:val="24"/>
        </w:rPr>
        <w:t xml:space="preserve"> og anden håndtering</w:t>
      </w:r>
    </w:p>
    <w:p w:rsidR="00E926A0" w:rsidRDefault="00E926A0" w:rsidP="000B5D94">
      <w:pPr>
        <w:ind w:left="851" w:hanging="851"/>
      </w:pPr>
      <w:r w:rsidRPr="008C5CD5">
        <w:rPr>
          <w:sz w:val="24"/>
          <w:szCs w:val="24"/>
        </w:rPr>
        <w:tab/>
      </w:r>
      <w:r w:rsidR="000B5D94">
        <w:t>Ikke anvendt lægemiddel samt affald heraf skal bortskaffes i henhold til lokale retningslinjer.</w:t>
      </w:r>
    </w:p>
    <w:p w:rsidR="000B5D94" w:rsidRPr="008C5CD5" w:rsidRDefault="000B5D94" w:rsidP="000B5D94">
      <w:pPr>
        <w:ind w:left="851" w:hanging="851"/>
        <w:rPr>
          <w:sz w:val="24"/>
          <w:szCs w:val="24"/>
        </w:rPr>
      </w:pPr>
    </w:p>
    <w:p w:rsidR="00E926A0" w:rsidRPr="008C5CD5" w:rsidRDefault="00E926A0" w:rsidP="00E926A0">
      <w:pPr>
        <w:keepNext/>
        <w:ind w:left="851" w:hanging="851"/>
        <w:rPr>
          <w:b/>
          <w:sz w:val="24"/>
          <w:szCs w:val="24"/>
        </w:rPr>
      </w:pPr>
      <w:r w:rsidRPr="008C5CD5">
        <w:rPr>
          <w:b/>
          <w:sz w:val="24"/>
          <w:szCs w:val="24"/>
        </w:rPr>
        <w:t>7.</w:t>
      </w:r>
      <w:r w:rsidRPr="008C5CD5">
        <w:rPr>
          <w:b/>
          <w:sz w:val="24"/>
          <w:szCs w:val="24"/>
        </w:rPr>
        <w:tab/>
        <w:t>INDEHAVER AF MARKEDSFØRINGSTILLADELSEN</w:t>
      </w:r>
    </w:p>
    <w:p w:rsidR="00E926A0" w:rsidRPr="009E27C1" w:rsidRDefault="00E926A0" w:rsidP="00E926A0">
      <w:pPr>
        <w:keepNext/>
        <w:ind w:firstLine="851"/>
        <w:rPr>
          <w:noProof/>
          <w:sz w:val="24"/>
          <w:szCs w:val="24"/>
        </w:rPr>
      </w:pPr>
      <w:r w:rsidRPr="009E27C1">
        <w:rPr>
          <w:noProof/>
          <w:sz w:val="24"/>
          <w:szCs w:val="24"/>
        </w:rPr>
        <w:t>Orion Corporation</w:t>
      </w:r>
    </w:p>
    <w:p w:rsidR="00E926A0" w:rsidRPr="009E27C1" w:rsidRDefault="00E926A0" w:rsidP="00E926A0">
      <w:pPr>
        <w:keepNext/>
        <w:ind w:firstLine="851"/>
        <w:rPr>
          <w:noProof/>
          <w:sz w:val="24"/>
          <w:szCs w:val="24"/>
        </w:rPr>
      </w:pPr>
      <w:r w:rsidRPr="009E27C1">
        <w:rPr>
          <w:noProof/>
          <w:sz w:val="24"/>
          <w:szCs w:val="24"/>
        </w:rPr>
        <w:t>Orionintie 1</w:t>
      </w:r>
    </w:p>
    <w:p w:rsidR="00E926A0" w:rsidRPr="008C5CD5" w:rsidRDefault="00E926A0" w:rsidP="00E926A0">
      <w:pPr>
        <w:ind w:firstLine="851"/>
        <w:rPr>
          <w:noProof/>
          <w:sz w:val="24"/>
          <w:szCs w:val="24"/>
          <w:lang w:val="en-US"/>
        </w:rPr>
      </w:pPr>
      <w:r w:rsidRPr="008C5CD5">
        <w:rPr>
          <w:noProof/>
          <w:sz w:val="24"/>
          <w:szCs w:val="24"/>
          <w:lang w:val="en-US"/>
        </w:rPr>
        <w:t>FI–02200 Espoo</w:t>
      </w:r>
    </w:p>
    <w:p w:rsidR="00E926A0" w:rsidRPr="008C5CD5" w:rsidRDefault="00E926A0" w:rsidP="00E926A0">
      <w:pPr>
        <w:ind w:firstLine="851"/>
        <w:rPr>
          <w:sz w:val="24"/>
          <w:szCs w:val="24"/>
          <w:lang w:val="en-US"/>
        </w:rPr>
      </w:pPr>
      <w:r w:rsidRPr="008C5CD5">
        <w:rPr>
          <w:noProof/>
          <w:sz w:val="24"/>
          <w:szCs w:val="24"/>
          <w:lang w:val="en-US"/>
        </w:rPr>
        <w:lastRenderedPageBreak/>
        <w:t>Finland</w:t>
      </w:r>
      <w:r w:rsidRPr="008C5CD5">
        <w:rPr>
          <w:sz w:val="24"/>
          <w:szCs w:val="24"/>
          <w:lang w:val="en-US"/>
        </w:rPr>
        <w:t xml:space="preserve"> </w:t>
      </w:r>
    </w:p>
    <w:p w:rsidR="00E926A0" w:rsidRPr="008C5CD5" w:rsidRDefault="00E926A0" w:rsidP="00E926A0">
      <w:pPr>
        <w:rPr>
          <w:sz w:val="24"/>
          <w:szCs w:val="24"/>
          <w:lang w:val="en-US"/>
        </w:rPr>
      </w:pPr>
    </w:p>
    <w:p w:rsidR="00E926A0" w:rsidRPr="009E27C1" w:rsidRDefault="00E926A0" w:rsidP="00A97E79">
      <w:pPr>
        <w:keepNext/>
        <w:ind w:firstLine="851"/>
        <w:rPr>
          <w:b/>
          <w:sz w:val="24"/>
          <w:szCs w:val="24"/>
          <w:lang w:val="en-US"/>
        </w:rPr>
      </w:pPr>
      <w:proofErr w:type="spellStart"/>
      <w:r w:rsidRPr="009E27C1">
        <w:rPr>
          <w:b/>
          <w:sz w:val="24"/>
          <w:szCs w:val="24"/>
          <w:lang w:val="en-US"/>
        </w:rPr>
        <w:t>Repræsentant</w:t>
      </w:r>
      <w:proofErr w:type="spellEnd"/>
    </w:p>
    <w:p w:rsidR="00E926A0" w:rsidRPr="009E27C1" w:rsidRDefault="00E926A0" w:rsidP="00A97E79">
      <w:pPr>
        <w:keepNext/>
        <w:ind w:left="851"/>
        <w:rPr>
          <w:rFonts w:eastAsia="MS Mincho"/>
          <w:iCs/>
          <w:sz w:val="24"/>
          <w:szCs w:val="24"/>
          <w:lang w:val="en-US"/>
        </w:rPr>
      </w:pPr>
      <w:r w:rsidRPr="009E27C1">
        <w:rPr>
          <w:rFonts w:eastAsia="MS Mincho"/>
          <w:iCs/>
          <w:sz w:val="24"/>
          <w:szCs w:val="24"/>
          <w:lang w:val="en-US"/>
        </w:rPr>
        <w:t>Orion Pharma A/S</w:t>
      </w:r>
    </w:p>
    <w:p w:rsidR="00E926A0" w:rsidRPr="009C2F6F" w:rsidRDefault="00E926A0" w:rsidP="00E926A0">
      <w:pPr>
        <w:ind w:left="851"/>
        <w:rPr>
          <w:rFonts w:eastAsia="MS Mincho"/>
          <w:iCs/>
          <w:sz w:val="24"/>
          <w:szCs w:val="24"/>
        </w:rPr>
      </w:pPr>
      <w:r w:rsidRPr="009C2F6F">
        <w:rPr>
          <w:rFonts w:eastAsia="MS Mincho"/>
          <w:iCs/>
          <w:sz w:val="24"/>
          <w:szCs w:val="24"/>
        </w:rPr>
        <w:t>Ørestads Boulevard 73</w:t>
      </w:r>
    </w:p>
    <w:p w:rsidR="00E926A0" w:rsidRPr="00AE2D32" w:rsidRDefault="00E926A0" w:rsidP="00E926A0">
      <w:pPr>
        <w:ind w:left="851"/>
        <w:rPr>
          <w:rFonts w:eastAsia="MS Mincho"/>
          <w:iCs/>
          <w:sz w:val="24"/>
          <w:szCs w:val="24"/>
        </w:rPr>
      </w:pPr>
      <w:r>
        <w:rPr>
          <w:rFonts w:eastAsia="MS Mincho"/>
          <w:iCs/>
          <w:sz w:val="24"/>
          <w:szCs w:val="24"/>
        </w:rPr>
        <w:t>2300 København S</w:t>
      </w:r>
    </w:p>
    <w:p w:rsidR="00E926A0" w:rsidRPr="008C5CD5" w:rsidRDefault="00E926A0" w:rsidP="00E926A0">
      <w:pPr>
        <w:ind w:left="851" w:hanging="851"/>
        <w:rPr>
          <w:sz w:val="24"/>
          <w:szCs w:val="24"/>
        </w:rPr>
      </w:pPr>
    </w:p>
    <w:p w:rsidR="00E926A0" w:rsidRPr="008C5CD5" w:rsidRDefault="00E926A0" w:rsidP="00E926A0">
      <w:pPr>
        <w:ind w:left="851" w:hanging="851"/>
        <w:rPr>
          <w:b/>
          <w:sz w:val="24"/>
          <w:szCs w:val="24"/>
        </w:rPr>
      </w:pPr>
      <w:r w:rsidRPr="008C5CD5">
        <w:rPr>
          <w:b/>
          <w:sz w:val="24"/>
          <w:szCs w:val="24"/>
        </w:rPr>
        <w:t>8.</w:t>
      </w:r>
      <w:r w:rsidRPr="008C5CD5">
        <w:rPr>
          <w:b/>
          <w:sz w:val="24"/>
          <w:szCs w:val="24"/>
        </w:rPr>
        <w:tab/>
        <w:t>MARKEDSFØRINGSTILLADELSESNUMMER (</w:t>
      </w:r>
      <w:r w:rsidR="00A97E79">
        <w:rPr>
          <w:b/>
          <w:sz w:val="24"/>
          <w:szCs w:val="24"/>
        </w:rPr>
        <w:t>-</w:t>
      </w:r>
      <w:r w:rsidRPr="008C5CD5">
        <w:rPr>
          <w:b/>
          <w:sz w:val="24"/>
          <w:szCs w:val="24"/>
        </w:rPr>
        <w:t>NUMRE)</w:t>
      </w:r>
    </w:p>
    <w:p w:rsidR="00E926A0" w:rsidRPr="008C5CD5" w:rsidRDefault="00E926A0" w:rsidP="00E926A0">
      <w:pPr>
        <w:ind w:left="851" w:hanging="851"/>
        <w:rPr>
          <w:sz w:val="24"/>
          <w:szCs w:val="24"/>
        </w:rPr>
      </w:pPr>
      <w:r w:rsidRPr="008C5CD5">
        <w:rPr>
          <w:sz w:val="24"/>
          <w:szCs w:val="24"/>
        </w:rPr>
        <w:tab/>
        <w:t xml:space="preserve">25 mg: </w:t>
      </w:r>
      <w:r w:rsidRPr="008C5CD5">
        <w:rPr>
          <w:sz w:val="24"/>
          <w:szCs w:val="24"/>
        </w:rPr>
        <w:tab/>
        <w:t>49256</w:t>
      </w:r>
    </w:p>
    <w:p w:rsidR="00E926A0" w:rsidRPr="008C5CD5" w:rsidRDefault="00E926A0" w:rsidP="00E926A0">
      <w:pPr>
        <w:ind w:left="851"/>
        <w:rPr>
          <w:sz w:val="24"/>
          <w:szCs w:val="24"/>
        </w:rPr>
      </w:pPr>
      <w:r w:rsidRPr="008C5CD5">
        <w:rPr>
          <w:sz w:val="24"/>
          <w:szCs w:val="24"/>
        </w:rPr>
        <w:t xml:space="preserve">50 mg: </w:t>
      </w:r>
      <w:r w:rsidRPr="008C5CD5">
        <w:rPr>
          <w:sz w:val="24"/>
          <w:szCs w:val="24"/>
        </w:rPr>
        <w:tab/>
        <w:t>49257</w:t>
      </w:r>
    </w:p>
    <w:p w:rsidR="00E926A0" w:rsidRPr="008C5CD5" w:rsidRDefault="00E926A0" w:rsidP="00E926A0">
      <w:pPr>
        <w:ind w:left="851"/>
        <w:rPr>
          <w:sz w:val="24"/>
          <w:szCs w:val="24"/>
        </w:rPr>
      </w:pPr>
      <w:r w:rsidRPr="008C5CD5">
        <w:rPr>
          <w:sz w:val="24"/>
          <w:szCs w:val="24"/>
        </w:rPr>
        <w:t xml:space="preserve">100 mg: </w:t>
      </w:r>
      <w:r w:rsidRPr="008C5CD5">
        <w:rPr>
          <w:sz w:val="24"/>
          <w:szCs w:val="24"/>
        </w:rPr>
        <w:tab/>
        <w:t>49258</w:t>
      </w:r>
    </w:p>
    <w:p w:rsidR="00E926A0" w:rsidRPr="008C5CD5" w:rsidRDefault="00E926A0" w:rsidP="00E926A0">
      <w:pPr>
        <w:ind w:left="851" w:hanging="851"/>
        <w:jc w:val="both"/>
        <w:rPr>
          <w:sz w:val="24"/>
          <w:szCs w:val="24"/>
        </w:rPr>
      </w:pPr>
    </w:p>
    <w:p w:rsidR="00E926A0" w:rsidRPr="008C5CD5" w:rsidRDefault="00E926A0" w:rsidP="00E926A0">
      <w:pPr>
        <w:ind w:left="851" w:hanging="851"/>
        <w:rPr>
          <w:b/>
          <w:sz w:val="24"/>
          <w:szCs w:val="24"/>
        </w:rPr>
      </w:pPr>
      <w:r w:rsidRPr="008C5CD5">
        <w:rPr>
          <w:b/>
          <w:sz w:val="24"/>
          <w:szCs w:val="24"/>
        </w:rPr>
        <w:t>9.</w:t>
      </w:r>
      <w:r w:rsidRPr="008C5CD5">
        <w:rPr>
          <w:b/>
          <w:sz w:val="24"/>
          <w:szCs w:val="24"/>
        </w:rPr>
        <w:tab/>
        <w:t>DATO FOR FØRSTE MARKEDSFØRINGSTILLADELSE</w:t>
      </w:r>
    </w:p>
    <w:p w:rsidR="00E926A0" w:rsidRPr="008C5CD5" w:rsidRDefault="00E926A0" w:rsidP="00E926A0">
      <w:pPr>
        <w:ind w:left="851" w:hanging="851"/>
        <w:rPr>
          <w:sz w:val="24"/>
          <w:szCs w:val="24"/>
        </w:rPr>
      </w:pPr>
      <w:r w:rsidRPr="008C5CD5">
        <w:rPr>
          <w:sz w:val="24"/>
          <w:szCs w:val="24"/>
        </w:rPr>
        <w:tab/>
        <w:t>17. januar 2012</w:t>
      </w:r>
    </w:p>
    <w:p w:rsidR="00E926A0" w:rsidRPr="008C5CD5" w:rsidRDefault="00E926A0" w:rsidP="00E926A0">
      <w:pPr>
        <w:ind w:left="851" w:hanging="851"/>
        <w:rPr>
          <w:sz w:val="24"/>
          <w:szCs w:val="24"/>
        </w:rPr>
      </w:pPr>
    </w:p>
    <w:p w:rsidR="00E926A0" w:rsidRPr="008C5CD5" w:rsidRDefault="00E926A0" w:rsidP="00E926A0">
      <w:pPr>
        <w:ind w:left="851" w:hanging="851"/>
        <w:rPr>
          <w:b/>
          <w:sz w:val="24"/>
          <w:szCs w:val="24"/>
        </w:rPr>
      </w:pPr>
      <w:r w:rsidRPr="008C5CD5">
        <w:rPr>
          <w:b/>
          <w:sz w:val="24"/>
          <w:szCs w:val="24"/>
        </w:rPr>
        <w:t>10.</w:t>
      </w:r>
      <w:r w:rsidRPr="008C5CD5">
        <w:rPr>
          <w:b/>
          <w:sz w:val="24"/>
          <w:szCs w:val="24"/>
        </w:rPr>
        <w:tab/>
        <w:t>DATO FOR ÆNDRING AF TEKSTEN</w:t>
      </w:r>
    </w:p>
    <w:p w:rsidR="00E926A0" w:rsidRPr="008C5CD5" w:rsidRDefault="00324E94" w:rsidP="00031B79">
      <w:pPr>
        <w:ind w:left="851"/>
        <w:rPr>
          <w:sz w:val="24"/>
          <w:szCs w:val="24"/>
        </w:rPr>
      </w:pPr>
      <w:r>
        <w:rPr>
          <w:sz w:val="24"/>
          <w:szCs w:val="24"/>
        </w:rPr>
        <w:t>7</w:t>
      </w:r>
      <w:bookmarkStart w:id="0" w:name="_GoBack"/>
      <w:bookmarkEnd w:id="0"/>
      <w:r w:rsidR="00223179" w:rsidRPr="00223179">
        <w:rPr>
          <w:sz w:val="24"/>
          <w:szCs w:val="24"/>
        </w:rPr>
        <w:t xml:space="preserve">. </w:t>
      </w:r>
      <w:proofErr w:type="spellStart"/>
      <w:r w:rsidR="00223179" w:rsidRPr="00223179">
        <w:rPr>
          <w:sz w:val="24"/>
          <w:szCs w:val="24"/>
        </w:rPr>
        <w:t>j</w:t>
      </w:r>
      <w:r>
        <w:rPr>
          <w:sz w:val="24"/>
          <w:szCs w:val="24"/>
        </w:rPr>
        <w:t>anuary</w:t>
      </w:r>
      <w:proofErr w:type="spellEnd"/>
      <w:r w:rsidR="00223179" w:rsidRPr="00223179">
        <w:rPr>
          <w:sz w:val="24"/>
          <w:szCs w:val="24"/>
        </w:rPr>
        <w:t xml:space="preserve"> 202</w:t>
      </w:r>
      <w:r>
        <w:rPr>
          <w:sz w:val="24"/>
          <w:szCs w:val="24"/>
        </w:rPr>
        <w:t>5</w:t>
      </w:r>
    </w:p>
    <w:p w:rsidR="00E926A0" w:rsidRPr="00E102BA" w:rsidRDefault="00E926A0" w:rsidP="00E926A0"/>
    <w:p w:rsidR="00E926A0" w:rsidRPr="00DC7FCA" w:rsidRDefault="00E926A0" w:rsidP="00E926A0"/>
    <w:p w:rsidR="009260DE" w:rsidRPr="00E926A0" w:rsidRDefault="009260DE" w:rsidP="00E926A0"/>
    <w:sectPr w:rsidR="009260DE" w:rsidRPr="00E926A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6A0" w:rsidRDefault="00E926A0">
      <w:r>
        <w:separator/>
      </w:r>
    </w:p>
  </w:endnote>
  <w:endnote w:type="continuationSeparator" w:id="0">
    <w:p w:rsidR="00E926A0" w:rsidRDefault="00E9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0B5D94">
    <w:pPr>
      <w:pStyle w:val="Sidefod"/>
      <w:tabs>
        <w:tab w:val="clear" w:pos="4819"/>
        <w:tab w:val="left" w:pos="1485"/>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B5D94">
      <w:rPr>
        <w:i/>
        <w:noProof/>
        <w:sz w:val="18"/>
        <w:szCs w:val="18"/>
      </w:rPr>
      <w:t>Spiron, tabletter 25 mg, 50 mg og 100 mg</w:t>
    </w:r>
    <w:r w:rsidRPr="00B373D7">
      <w:rPr>
        <w:i/>
        <w:sz w:val="18"/>
        <w:szCs w:val="18"/>
      </w:rPr>
      <w:fldChar w:fldCharType="end"/>
    </w:r>
    <w:r w:rsidR="000259B9" w:rsidRPr="00B373D7">
      <w:rPr>
        <w:i/>
        <w:sz w:val="18"/>
        <w:szCs w:val="18"/>
      </w:rPr>
      <w:tab/>
    </w:r>
    <w:r w:rsidR="000B5D94">
      <w:rPr>
        <w:i/>
        <w:sz w:val="18"/>
        <w:szCs w:val="18"/>
      </w:rPr>
      <w:tab/>
    </w:r>
    <w:r w:rsidR="000259B9" w:rsidRPr="00B373D7">
      <w:rPr>
        <w:i/>
        <w:sz w:val="18"/>
        <w:szCs w:val="18"/>
      </w:rPr>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6A0" w:rsidRDefault="00E926A0">
      <w:r>
        <w:separator/>
      </w:r>
    </w:p>
  </w:footnote>
  <w:footnote w:type="continuationSeparator" w:id="0">
    <w:p w:rsidR="00E926A0" w:rsidRDefault="00E92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3DAA"/>
    <w:multiLevelType w:val="hybridMultilevel"/>
    <w:tmpl w:val="ACD885F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5591F2A"/>
    <w:multiLevelType w:val="hybridMultilevel"/>
    <w:tmpl w:val="AA224ACE"/>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15:restartNumberingAfterBreak="0">
    <w:nsid w:val="471538C7"/>
    <w:multiLevelType w:val="hybridMultilevel"/>
    <w:tmpl w:val="E6D040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81760C2"/>
    <w:multiLevelType w:val="hybridMultilevel"/>
    <w:tmpl w:val="8B4428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CB84499"/>
    <w:multiLevelType w:val="hybridMultilevel"/>
    <w:tmpl w:val="E12856E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74746A2D"/>
    <w:multiLevelType w:val="hybridMultilevel"/>
    <w:tmpl w:val="D50231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A0"/>
    <w:rsid w:val="000259B9"/>
    <w:rsid w:val="00031B79"/>
    <w:rsid w:val="00041491"/>
    <w:rsid w:val="00050D16"/>
    <w:rsid w:val="000610D7"/>
    <w:rsid w:val="00074F2A"/>
    <w:rsid w:val="000A1CA8"/>
    <w:rsid w:val="000A466B"/>
    <w:rsid w:val="000B058C"/>
    <w:rsid w:val="000B5D94"/>
    <w:rsid w:val="000E4EE6"/>
    <w:rsid w:val="001353B7"/>
    <w:rsid w:val="001454E2"/>
    <w:rsid w:val="00206CE8"/>
    <w:rsid w:val="0021526C"/>
    <w:rsid w:val="00223179"/>
    <w:rsid w:val="00283A2B"/>
    <w:rsid w:val="002B30AD"/>
    <w:rsid w:val="002C2C01"/>
    <w:rsid w:val="00324E94"/>
    <w:rsid w:val="003A29AE"/>
    <w:rsid w:val="003A32D7"/>
    <w:rsid w:val="003B4074"/>
    <w:rsid w:val="003C769A"/>
    <w:rsid w:val="003F1838"/>
    <w:rsid w:val="0045746C"/>
    <w:rsid w:val="0049104B"/>
    <w:rsid w:val="004D4666"/>
    <w:rsid w:val="004E3B12"/>
    <w:rsid w:val="00532310"/>
    <w:rsid w:val="00560ECC"/>
    <w:rsid w:val="00565F0F"/>
    <w:rsid w:val="00594A86"/>
    <w:rsid w:val="00596D86"/>
    <w:rsid w:val="00637F5A"/>
    <w:rsid w:val="00650E34"/>
    <w:rsid w:val="006560B1"/>
    <w:rsid w:val="006756DD"/>
    <w:rsid w:val="006E148C"/>
    <w:rsid w:val="00737275"/>
    <w:rsid w:val="00740EEC"/>
    <w:rsid w:val="0078011A"/>
    <w:rsid w:val="00782AF4"/>
    <w:rsid w:val="00790EE7"/>
    <w:rsid w:val="007B6649"/>
    <w:rsid w:val="0081546F"/>
    <w:rsid w:val="0082576E"/>
    <w:rsid w:val="008C51DA"/>
    <w:rsid w:val="00907F75"/>
    <w:rsid w:val="009260DE"/>
    <w:rsid w:val="0093258A"/>
    <w:rsid w:val="009A6F63"/>
    <w:rsid w:val="009C7BA3"/>
    <w:rsid w:val="009D1F5A"/>
    <w:rsid w:val="009E27C1"/>
    <w:rsid w:val="00A97E79"/>
    <w:rsid w:val="00B003BF"/>
    <w:rsid w:val="00B373D7"/>
    <w:rsid w:val="00B66F68"/>
    <w:rsid w:val="00BC0FAF"/>
    <w:rsid w:val="00C36276"/>
    <w:rsid w:val="00C37088"/>
    <w:rsid w:val="00C42586"/>
    <w:rsid w:val="00C60CCD"/>
    <w:rsid w:val="00C84483"/>
    <w:rsid w:val="00C95551"/>
    <w:rsid w:val="00CA4295"/>
    <w:rsid w:val="00CB20D7"/>
    <w:rsid w:val="00CC5D81"/>
    <w:rsid w:val="00D020B0"/>
    <w:rsid w:val="00D11748"/>
    <w:rsid w:val="00D366CF"/>
    <w:rsid w:val="00E108AA"/>
    <w:rsid w:val="00E31812"/>
    <w:rsid w:val="00E3749A"/>
    <w:rsid w:val="00E37968"/>
    <w:rsid w:val="00E7437F"/>
    <w:rsid w:val="00E865AB"/>
    <w:rsid w:val="00E865B8"/>
    <w:rsid w:val="00E926A0"/>
    <w:rsid w:val="00EC0B9B"/>
    <w:rsid w:val="00ED5E9F"/>
    <w:rsid w:val="00EE60F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26A76"/>
  <w15:chartTrackingRefBased/>
  <w15:docId w15:val="{213E9E75-5459-434F-8FD7-9A5C5C42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179"/>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qFormat/>
    <w:rsid w:val="00E926A0"/>
    <w:pPr>
      <w:tabs>
        <w:tab w:val="left" w:pos="567"/>
      </w:tabs>
      <w:spacing w:line="260" w:lineRule="exact"/>
      <w:ind w:left="720"/>
      <w:contextualSpacing/>
    </w:pPr>
    <w:rPr>
      <w:sz w:val="22"/>
      <w:lang w:val="en-GB"/>
    </w:rPr>
  </w:style>
  <w:style w:type="character" w:styleId="Hyperlink">
    <w:name w:val="Hyperlink"/>
    <w:basedOn w:val="Standardskrifttypeiafsnit"/>
    <w:uiPriority w:val="99"/>
    <w:semiHidden/>
    <w:unhideWhenUsed/>
    <w:rsid w:val="000B5D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5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6501325">
      <w:bodyDiv w:val="1"/>
      <w:marLeft w:val="0"/>
      <w:marRight w:val="0"/>
      <w:marTop w:val="0"/>
      <w:marBottom w:val="0"/>
      <w:divBdr>
        <w:top w:val="none" w:sz="0" w:space="0" w:color="auto"/>
        <w:left w:val="none" w:sz="0" w:space="0" w:color="auto"/>
        <w:bottom w:val="none" w:sz="0" w:space="0" w:color="auto"/>
        <w:right w:val="none" w:sz="0" w:space="0" w:color="auto"/>
      </w:divBdr>
    </w:div>
    <w:div w:id="323705056">
      <w:bodyDiv w:val="1"/>
      <w:marLeft w:val="0"/>
      <w:marRight w:val="0"/>
      <w:marTop w:val="0"/>
      <w:marBottom w:val="0"/>
      <w:divBdr>
        <w:top w:val="none" w:sz="0" w:space="0" w:color="auto"/>
        <w:left w:val="none" w:sz="0" w:space="0" w:color="auto"/>
        <w:bottom w:val="none" w:sz="0" w:space="0" w:color="auto"/>
        <w:right w:val="none" w:sz="0" w:space="0" w:color="auto"/>
      </w:divBdr>
    </w:div>
    <w:div w:id="350228277">
      <w:bodyDiv w:val="1"/>
      <w:marLeft w:val="0"/>
      <w:marRight w:val="0"/>
      <w:marTop w:val="0"/>
      <w:marBottom w:val="0"/>
      <w:divBdr>
        <w:top w:val="none" w:sz="0" w:space="0" w:color="auto"/>
        <w:left w:val="none" w:sz="0" w:space="0" w:color="auto"/>
        <w:bottom w:val="none" w:sz="0" w:space="0" w:color="auto"/>
        <w:right w:val="none" w:sz="0" w:space="0" w:color="auto"/>
      </w:divBdr>
    </w:div>
    <w:div w:id="366370453">
      <w:bodyDiv w:val="1"/>
      <w:marLeft w:val="0"/>
      <w:marRight w:val="0"/>
      <w:marTop w:val="0"/>
      <w:marBottom w:val="0"/>
      <w:divBdr>
        <w:top w:val="none" w:sz="0" w:space="0" w:color="auto"/>
        <w:left w:val="none" w:sz="0" w:space="0" w:color="auto"/>
        <w:bottom w:val="none" w:sz="0" w:space="0" w:color="auto"/>
        <w:right w:val="none" w:sz="0" w:space="0" w:color="auto"/>
      </w:divBdr>
    </w:div>
    <w:div w:id="393772456">
      <w:bodyDiv w:val="1"/>
      <w:marLeft w:val="0"/>
      <w:marRight w:val="0"/>
      <w:marTop w:val="0"/>
      <w:marBottom w:val="0"/>
      <w:divBdr>
        <w:top w:val="none" w:sz="0" w:space="0" w:color="auto"/>
        <w:left w:val="none" w:sz="0" w:space="0" w:color="auto"/>
        <w:bottom w:val="none" w:sz="0" w:space="0" w:color="auto"/>
        <w:right w:val="none" w:sz="0" w:space="0" w:color="auto"/>
      </w:divBdr>
    </w:div>
    <w:div w:id="572155621">
      <w:bodyDiv w:val="1"/>
      <w:marLeft w:val="0"/>
      <w:marRight w:val="0"/>
      <w:marTop w:val="0"/>
      <w:marBottom w:val="0"/>
      <w:divBdr>
        <w:top w:val="none" w:sz="0" w:space="0" w:color="auto"/>
        <w:left w:val="none" w:sz="0" w:space="0" w:color="auto"/>
        <w:bottom w:val="none" w:sz="0" w:space="0" w:color="auto"/>
        <w:right w:val="none" w:sz="0" w:space="0" w:color="auto"/>
      </w:divBdr>
    </w:div>
    <w:div w:id="846135437">
      <w:bodyDiv w:val="1"/>
      <w:marLeft w:val="0"/>
      <w:marRight w:val="0"/>
      <w:marTop w:val="0"/>
      <w:marBottom w:val="0"/>
      <w:divBdr>
        <w:top w:val="none" w:sz="0" w:space="0" w:color="auto"/>
        <w:left w:val="none" w:sz="0" w:space="0" w:color="auto"/>
        <w:bottom w:val="none" w:sz="0" w:space="0" w:color="auto"/>
        <w:right w:val="none" w:sz="0" w:space="0" w:color="auto"/>
      </w:divBdr>
    </w:div>
    <w:div w:id="1096095492">
      <w:bodyDiv w:val="1"/>
      <w:marLeft w:val="0"/>
      <w:marRight w:val="0"/>
      <w:marTop w:val="0"/>
      <w:marBottom w:val="0"/>
      <w:divBdr>
        <w:top w:val="none" w:sz="0" w:space="0" w:color="auto"/>
        <w:left w:val="none" w:sz="0" w:space="0" w:color="auto"/>
        <w:bottom w:val="none" w:sz="0" w:space="0" w:color="auto"/>
        <w:right w:val="none" w:sz="0" w:space="0" w:color="auto"/>
      </w:divBdr>
    </w:div>
    <w:div w:id="1126582852">
      <w:bodyDiv w:val="1"/>
      <w:marLeft w:val="0"/>
      <w:marRight w:val="0"/>
      <w:marTop w:val="0"/>
      <w:marBottom w:val="0"/>
      <w:divBdr>
        <w:top w:val="none" w:sz="0" w:space="0" w:color="auto"/>
        <w:left w:val="none" w:sz="0" w:space="0" w:color="auto"/>
        <w:bottom w:val="none" w:sz="0" w:space="0" w:color="auto"/>
        <w:right w:val="none" w:sz="0" w:space="0" w:color="auto"/>
      </w:divBdr>
    </w:div>
    <w:div w:id="1455782791">
      <w:bodyDiv w:val="1"/>
      <w:marLeft w:val="0"/>
      <w:marRight w:val="0"/>
      <w:marTop w:val="0"/>
      <w:marBottom w:val="0"/>
      <w:divBdr>
        <w:top w:val="none" w:sz="0" w:space="0" w:color="auto"/>
        <w:left w:val="none" w:sz="0" w:space="0" w:color="auto"/>
        <w:bottom w:val="none" w:sz="0" w:space="0" w:color="auto"/>
        <w:right w:val="none" w:sz="0" w:space="0" w:color="auto"/>
      </w:divBdr>
    </w:div>
    <w:div w:id="1495680579">
      <w:bodyDiv w:val="1"/>
      <w:marLeft w:val="0"/>
      <w:marRight w:val="0"/>
      <w:marTop w:val="0"/>
      <w:marBottom w:val="0"/>
      <w:divBdr>
        <w:top w:val="none" w:sz="0" w:space="0" w:color="auto"/>
        <w:left w:val="none" w:sz="0" w:space="0" w:color="auto"/>
        <w:bottom w:val="none" w:sz="0" w:space="0" w:color="auto"/>
        <w:right w:val="none" w:sz="0" w:space="0" w:color="auto"/>
      </w:divBdr>
    </w:div>
    <w:div w:id="1502812351">
      <w:bodyDiv w:val="1"/>
      <w:marLeft w:val="0"/>
      <w:marRight w:val="0"/>
      <w:marTop w:val="0"/>
      <w:marBottom w:val="0"/>
      <w:divBdr>
        <w:top w:val="none" w:sz="0" w:space="0" w:color="auto"/>
        <w:left w:val="none" w:sz="0" w:space="0" w:color="auto"/>
        <w:bottom w:val="none" w:sz="0" w:space="0" w:color="auto"/>
        <w:right w:val="none" w:sz="0" w:space="0" w:color="auto"/>
      </w:divBdr>
    </w:div>
    <w:div w:id="1562399156">
      <w:bodyDiv w:val="1"/>
      <w:marLeft w:val="0"/>
      <w:marRight w:val="0"/>
      <w:marTop w:val="0"/>
      <w:marBottom w:val="0"/>
      <w:divBdr>
        <w:top w:val="none" w:sz="0" w:space="0" w:color="auto"/>
        <w:left w:val="none" w:sz="0" w:space="0" w:color="auto"/>
        <w:bottom w:val="none" w:sz="0" w:space="0" w:color="auto"/>
        <w:right w:val="none" w:sz="0" w:space="0" w:color="auto"/>
      </w:divBdr>
    </w:div>
    <w:div w:id="1585143996">
      <w:bodyDiv w:val="1"/>
      <w:marLeft w:val="0"/>
      <w:marRight w:val="0"/>
      <w:marTop w:val="0"/>
      <w:marBottom w:val="0"/>
      <w:divBdr>
        <w:top w:val="none" w:sz="0" w:space="0" w:color="auto"/>
        <w:left w:val="none" w:sz="0" w:space="0" w:color="auto"/>
        <w:bottom w:val="none" w:sz="0" w:space="0" w:color="auto"/>
        <w:right w:val="none" w:sz="0" w:space="0" w:color="auto"/>
      </w:divBdr>
    </w:div>
    <w:div w:id="1659072963">
      <w:bodyDiv w:val="1"/>
      <w:marLeft w:val="0"/>
      <w:marRight w:val="0"/>
      <w:marTop w:val="0"/>
      <w:marBottom w:val="0"/>
      <w:divBdr>
        <w:top w:val="none" w:sz="0" w:space="0" w:color="auto"/>
        <w:left w:val="none" w:sz="0" w:space="0" w:color="auto"/>
        <w:bottom w:val="none" w:sz="0" w:space="0" w:color="auto"/>
        <w:right w:val="none" w:sz="0" w:space="0" w:color="auto"/>
      </w:divBdr>
    </w:div>
    <w:div w:id="1932811798">
      <w:bodyDiv w:val="1"/>
      <w:marLeft w:val="0"/>
      <w:marRight w:val="0"/>
      <w:marTop w:val="0"/>
      <w:marBottom w:val="0"/>
      <w:divBdr>
        <w:top w:val="none" w:sz="0" w:space="0" w:color="auto"/>
        <w:left w:val="none" w:sz="0" w:space="0" w:color="auto"/>
        <w:bottom w:val="none" w:sz="0" w:space="0" w:color="auto"/>
        <w:right w:val="none" w:sz="0" w:space="0" w:color="auto"/>
      </w:divBdr>
    </w:div>
    <w:div w:id="1964455374">
      <w:bodyDiv w:val="1"/>
      <w:marLeft w:val="0"/>
      <w:marRight w:val="0"/>
      <w:marTop w:val="0"/>
      <w:marBottom w:val="0"/>
      <w:divBdr>
        <w:top w:val="none" w:sz="0" w:space="0" w:color="auto"/>
        <w:left w:val="none" w:sz="0" w:space="0" w:color="auto"/>
        <w:bottom w:val="none" w:sz="0" w:space="0" w:color="auto"/>
        <w:right w:val="none" w:sz="0" w:space="0" w:color="auto"/>
      </w:divBdr>
    </w:div>
    <w:div w:id="2049331661">
      <w:bodyDiv w:val="1"/>
      <w:marLeft w:val="0"/>
      <w:marRight w:val="0"/>
      <w:marTop w:val="0"/>
      <w:marBottom w:val="0"/>
      <w:divBdr>
        <w:top w:val="none" w:sz="0" w:space="0" w:color="auto"/>
        <w:left w:val="none" w:sz="0" w:space="0" w:color="auto"/>
        <w:bottom w:val="none" w:sz="0" w:space="0" w:color="auto"/>
        <w:right w:val="none" w:sz="0" w:space="0" w:color="auto"/>
      </w:divBdr>
    </w:div>
    <w:div w:id="20761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2975</Words>
  <Characters>19576</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2024102381 pkt. 6.5</dc:description>
  <cp:lastModifiedBy>Helle Søndersted</cp:lastModifiedBy>
  <cp:revision>2</cp:revision>
  <cp:lastPrinted>2012-08-22T08:53:00Z</cp:lastPrinted>
  <dcterms:created xsi:type="dcterms:W3CDTF">2025-01-07T08:08:00Z</dcterms:created>
  <dcterms:modified xsi:type="dcterms:W3CDTF">2025-01-07T08:08:00Z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