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2E4" w:rsidRPr="00546FA0" w:rsidRDefault="005852E4" w:rsidP="005852E4">
      <w:pPr>
        <w:pStyle w:val="Titel"/>
        <w:tabs>
          <w:tab w:val="right" w:pos="9356"/>
        </w:tabs>
        <w:jc w:val="left"/>
        <w:rPr>
          <w:b w:val="0"/>
          <w:szCs w:val="24"/>
          <w:lang w:eastAsia="en-US"/>
        </w:rPr>
      </w:pPr>
      <w:r w:rsidRPr="00546FA0">
        <w:rPr>
          <w:noProof/>
          <w:szCs w:val="24"/>
        </w:rPr>
        <w:drawing>
          <wp:inline distT="0" distB="0" distL="0" distR="0" wp14:anchorId="3FF042BE" wp14:editId="7F3D5028">
            <wp:extent cx="2466975" cy="685800"/>
            <wp:effectExtent l="0" t="0" r="9525" b="0"/>
            <wp:docPr id="1" name="Billede 1"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852E4" w:rsidRPr="00546FA0" w:rsidRDefault="005852E4" w:rsidP="005852E4">
      <w:pPr>
        <w:pStyle w:val="Titel"/>
        <w:tabs>
          <w:tab w:val="right" w:pos="9356"/>
        </w:tabs>
        <w:jc w:val="left"/>
        <w:rPr>
          <w:szCs w:val="24"/>
        </w:rPr>
      </w:pPr>
      <w:r w:rsidRPr="00546FA0">
        <w:rPr>
          <w:b w:val="0"/>
          <w:szCs w:val="24"/>
          <w:lang w:eastAsia="en-US"/>
        </w:rPr>
        <w:tab/>
      </w:r>
      <w:r w:rsidR="00B63396" w:rsidRPr="00546FA0">
        <w:rPr>
          <w:szCs w:val="24"/>
        </w:rPr>
        <w:t>18. maj 2021</w:t>
      </w:r>
    </w:p>
    <w:p w:rsidR="005852E4" w:rsidRPr="00546FA0" w:rsidRDefault="005852E4" w:rsidP="005852E4">
      <w:pPr>
        <w:pStyle w:val="Titel"/>
        <w:jc w:val="left"/>
        <w:rPr>
          <w:b w:val="0"/>
          <w:szCs w:val="24"/>
        </w:rPr>
      </w:pPr>
    </w:p>
    <w:p w:rsidR="005852E4" w:rsidRPr="00546FA0" w:rsidRDefault="005852E4" w:rsidP="005852E4">
      <w:pPr>
        <w:jc w:val="center"/>
        <w:rPr>
          <w:b/>
          <w:sz w:val="24"/>
          <w:szCs w:val="24"/>
        </w:rPr>
      </w:pPr>
      <w:r w:rsidRPr="00546FA0">
        <w:rPr>
          <w:b/>
          <w:sz w:val="24"/>
          <w:szCs w:val="24"/>
        </w:rPr>
        <w:t>PRODUKTRESUMÉ</w:t>
      </w:r>
    </w:p>
    <w:p w:rsidR="005852E4" w:rsidRPr="00546FA0" w:rsidRDefault="005852E4" w:rsidP="005852E4">
      <w:pPr>
        <w:jc w:val="center"/>
        <w:rPr>
          <w:b/>
          <w:sz w:val="24"/>
          <w:szCs w:val="24"/>
        </w:rPr>
      </w:pPr>
    </w:p>
    <w:p w:rsidR="005852E4" w:rsidRPr="00546FA0" w:rsidRDefault="005852E4" w:rsidP="005852E4">
      <w:pPr>
        <w:jc w:val="center"/>
        <w:rPr>
          <w:b/>
          <w:sz w:val="24"/>
          <w:szCs w:val="24"/>
        </w:rPr>
      </w:pPr>
      <w:r w:rsidRPr="00546FA0">
        <w:rPr>
          <w:b/>
          <w:sz w:val="24"/>
          <w:szCs w:val="24"/>
        </w:rPr>
        <w:t>for</w:t>
      </w:r>
    </w:p>
    <w:p w:rsidR="005852E4" w:rsidRPr="00546FA0" w:rsidRDefault="005852E4" w:rsidP="005852E4">
      <w:pPr>
        <w:jc w:val="center"/>
        <w:rPr>
          <w:b/>
          <w:sz w:val="24"/>
          <w:szCs w:val="24"/>
        </w:rPr>
      </w:pPr>
    </w:p>
    <w:p w:rsidR="005852E4" w:rsidRPr="00546FA0" w:rsidRDefault="005852E4" w:rsidP="005852E4">
      <w:pPr>
        <w:jc w:val="center"/>
        <w:rPr>
          <w:b/>
          <w:sz w:val="24"/>
          <w:szCs w:val="24"/>
        </w:rPr>
      </w:pPr>
      <w:r w:rsidRPr="00546FA0">
        <w:rPr>
          <w:b/>
          <w:sz w:val="24"/>
          <w:szCs w:val="24"/>
        </w:rPr>
        <w:t>Strepsils Citrus Sukkerfri, sugetabletter</w:t>
      </w:r>
    </w:p>
    <w:p w:rsidR="005852E4" w:rsidRPr="00546FA0" w:rsidRDefault="005852E4" w:rsidP="005852E4">
      <w:pPr>
        <w:jc w:val="both"/>
        <w:rPr>
          <w:sz w:val="24"/>
          <w:szCs w:val="24"/>
        </w:rPr>
      </w:pPr>
    </w:p>
    <w:p w:rsidR="005852E4" w:rsidRPr="00546FA0" w:rsidRDefault="005852E4" w:rsidP="005852E4">
      <w:pPr>
        <w:ind w:left="851" w:hanging="851"/>
        <w:jc w:val="both"/>
        <w:rPr>
          <w:sz w:val="24"/>
          <w:szCs w:val="24"/>
        </w:rPr>
      </w:pPr>
    </w:p>
    <w:p w:rsidR="005852E4" w:rsidRPr="00546FA0" w:rsidRDefault="005852E4" w:rsidP="00EC2A98">
      <w:pPr>
        <w:numPr>
          <w:ilvl w:val="0"/>
          <w:numId w:val="1"/>
        </w:numPr>
        <w:tabs>
          <w:tab w:val="clear" w:pos="855"/>
        </w:tabs>
        <w:ind w:left="851" w:hanging="851"/>
        <w:rPr>
          <w:b/>
          <w:sz w:val="24"/>
          <w:szCs w:val="24"/>
        </w:rPr>
      </w:pPr>
      <w:r w:rsidRPr="00546FA0">
        <w:rPr>
          <w:b/>
          <w:sz w:val="24"/>
          <w:szCs w:val="24"/>
        </w:rPr>
        <w:t>D.SP.NR.</w:t>
      </w:r>
    </w:p>
    <w:p w:rsidR="005852E4" w:rsidRPr="00546FA0" w:rsidRDefault="005852E4" w:rsidP="00EC2A98">
      <w:pPr>
        <w:ind w:left="851"/>
        <w:rPr>
          <w:sz w:val="24"/>
          <w:szCs w:val="24"/>
        </w:rPr>
      </w:pPr>
      <w:r w:rsidRPr="00546FA0">
        <w:rPr>
          <w:sz w:val="24"/>
          <w:szCs w:val="24"/>
        </w:rPr>
        <w:t>01854</w:t>
      </w:r>
    </w:p>
    <w:p w:rsidR="005852E4" w:rsidRPr="00546FA0" w:rsidRDefault="005852E4" w:rsidP="00EC2A98">
      <w:pPr>
        <w:ind w:left="851"/>
        <w:rPr>
          <w:sz w:val="24"/>
          <w:szCs w:val="24"/>
        </w:rPr>
      </w:pPr>
    </w:p>
    <w:p w:rsidR="005852E4" w:rsidRPr="00546FA0" w:rsidRDefault="005852E4" w:rsidP="00EC2A98">
      <w:pPr>
        <w:numPr>
          <w:ilvl w:val="0"/>
          <w:numId w:val="1"/>
        </w:numPr>
        <w:tabs>
          <w:tab w:val="clear" w:pos="855"/>
        </w:tabs>
        <w:ind w:left="851" w:hanging="851"/>
        <w:rPr>
          <w:b/>
          <w:sz w:val="24"/>
          <w:szCs w:val="24"/>
        </w:rPr>
      </w:pPr>
      <w:r w:rsidRPr="00546FA0">
        <w:rPr>
          <w:b/>
          <w:sz w:val="24"/>
          <w:szCs w:val="24"/>
        </w:rPr>
        <w:t>LÆGEMIDLETS NAVN</w:t>
      </w:r>
    </w:p>
    <w:p w:rsidR="005852E4" w:rsidRPr="00546FA0" w:rsidRDefault="005852E4" w:rsidP="00EC2A98">
      <w:pPr>
        <w:ind w:left="851"/>
        <w:rPr>
          <w:sz w:val="24"/>
          <w:szCs w:val="24"/>
        </w:rPr>
      </w:pPr>
      <w:r w:rsidRPr="00546FA0">
        <w:rPr>
          <w:sz w:val="24"/>
          <w:szCs w:val="24"/>
        </w:rPr>
        <w:t>Strepsils Citrus Sukkerfri</w:t>
      </w:r>
    </w:p>
    <w:p w:rsidR="005852E4" w:rsidRPr="00546FA0" w:rsidRDefault="005852E4" w:rsidP="00EC2A98">
      <w:pPr>
        <w:ind w:left="851"/>
        <w:rPr>
          <w:sz w:val="24"/>
          <w:szCs w:val="24"/>
        </w:rPr>
      </w:pPr>
      <w:r w:rsidRPr="00546FA0">
        <w:rPr>
          <w:sz w:val="24"/>
          <w:szCs w:val="24"/>
        </w:rPr>
        <w:tab/>
      </w:r>
    </w:p>
    <w:p w:rsidR="005852E4" w:rsidRPr="00546FA0" w:rsidRDefault="005852E4" w:rsidP="00EC2A98">
      <w:pPr>
        <w:numPr>
          <w:ilvl w:val="0"/>
          <w:numId w:val="1"/>
        </w:numPr>
        <w:tabs>
          <w:tab w:val="clear" w:pos="855"/>
        </w:tabs>
        <w:ind w:left="851" w:hanging="851"/>
        <w:rPr>
          <w:b/>
          <w:sz w:val="24"/>
          <w:szCs w:val="24"/>
        </w:rPr>
      </w:pPr>
      <w:r w:rsidRPr="00546FA0">
        <w:rPr>
          <w:b/>
          <w:sz w:val="24"/>
          <w:szCs w:val="24"/>
        </w:rPr>
        <w:t>KVALITATIV OG KVANTITATIV SAMMENSÆTNING</w:t>
      </w:r>
    </w:p>
    <w:p w:rsidR="005852E4" w:rsidRPr="00546FA0" w:rsidRDefault="00EC2A98" w:rsidP="00EC2A98">
      <w:pPr>
        <w:ind w:left="851"/>
        <w:rPr>
          <w:sz w:val="24"/>
          <w:szCs w:val="24"/>
        </w:rPr>
      </w:pPr>
      <w:r w:rsidRPr="00546FA0">
        <w:rPr>
          <w:sz w:val="24"/>
          <w:szCs w:val="24"/>
        </w:rPr>
        <w:t xml:space="preserve">Amylmetakresol 0,6 mg og </w:t>
      </w:r>
      <w:r w:rsidR="005852E4" w:rsidRPr="00546FA0">
        <w:rPr>
          <w:sz w:val="24"/>
          <w:szCs w:val="24"/>
        </w:rPr>
        <w:t>2,4-dichlorbenzylalkohol 1,2 mg.</w:t>
      </w:r>
    </w:p>
    <w:p w:rsidR="005852E4" w:rsidRPr="00546FA0" w:rsidRDefault="005852E4" w:rsidP="00EC2A98">
      <w:pPr>
        <w:ind w:left="851"/>
        <w:rPr>
          <w:sz w:val="24"/>
          <w:szCs w:val="24"/>
        </w:rPr>
      </w:pPr>
    </w:p>
    <w:p w:rsidR="005852E4" w:rsidRPr="00546FA0" w:rsidRDefault="005852E4" w:rsidP="00EC2A98">
      <w:pPr>
        <w:ind w:left="851"/>
        <w:rPr>
          <w:sz w:val="24"/>
          <w:szCs w:val="24"/>
          <w:u w:val="single"/>
        </w:rPr>
      </w:pPr>
      <w:r w:rsidRPr="00546FA0">
        <w:rPr>
          <w:sz w:val="24"/>
          <w:szCs w:val="24"/>
          <w:u w:val="single"/>
        </w:rPr>
        <w:t>Hjælpestoffer, som behandleren skal være opmærksom på</w:t>
      </w:r>
    </w:p>
    <w:p w:rsidR="005852E4" w:rsidRPr="00546FA0" w:rsidRDefault="00546FA0" w:rsidP="00EC2A98">
      <w:pPr>
        <w:ind w:left="851"/>
        <w:rPr>
          <w:sz w:val="24"/>
          <w:szCs w:val="24"/>
        </w:rPr>
      </w:pPr>
      <w:r w:rsidRPr="00546FA0">
        <w:rPr>
          <w:sz w:val="24"/>
          <w:szCs w:val="24"/>
        </w:rPr>
        <w:t>F</w:t>
      </w:r>
      <w:r w:rsidR="005852E4" w:rsidRPr="00546FA0">
        <w:rPr>
          <w:sz w:val="24"/>
          <w:szCs w:val="24"/>
        </w:rPr>
        <w:t xml:space="preserve">lydende </w:t>
      </w:r>
      <w:r w:rsidR="001D684F" w:rsidRPr="00546FA0">
        <w:rPr>
          <w:sz w:val="24"/>
          <w:szCs w:val="24"/>
        </w:rPr>
        <w:t>maltitol</w:t>
      </w:r>
      <w:r w:rsidR="005852E4" w:rsidRPr="00546FA0">
        <w:rPr>
          <w:sz w:val="24"/>
          <w:szCs w:val="24"/>
        </w:rPr>
        <w:t xml:space="preserve"> (E965) og isomalt (E953).</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t>Alle hjælpestoffer er anført under pkt. 6.1.</w:t>
      </w:r>
    </w:p>
    <w:p w:rsidR="005852E4" w:rsidRPr="00546FA0" w:rsidRDefault="005852E4" w:rsidP="00EC2A98">
      <w:pPr>
        <w:ind w:left="851"/>
        <w:rPr>
          <w:sz w:val="24"/>
          <w:szCs w:val="24"/>
        </w:rPr>
      </w:pPr>
    </w:p>
    <w:p w:rsidR="005852E4" w:rsidRPr="00546FA0" w:rsidRDefault="005852E4" w:rsidP="00EC2A98">
      <w:pPr>
        <w:numPr>
          <w:ilvl w:val="0"/>
          <w:numId w:val="1"/>
        </w:numPr>
        <w:tabs>
          <w:tab w:val="clear" w:pos="855"/>
        </w:tabs>
        <w:ind w:left="851" w:hanging="851"/>
        <w:rPr>
          <w:b/>
          <w:sz w:val="24"/>
          <w:szCs w:val="24"/>
        </w:rPr>
      </w:pPr>
      <w:r w:rsidRPr="00546FA0">
        <w:rPr>
          <w:b/>
          <w:sz w:val="24"/>
          <w:szCs w:val="24"/>
        </w:rPr>
        <w:t>LÆGEMIDDELFORM</w:t>
      </w:r>
    </w:p>
    <w:p w:rsidR="005852E4" w:rsidRPr="00546FA0" w:rsidRDefault="005852E4" w:rsidP="00EC2A98">
      <w:pPr>
        <w:ind w:left="851"/>
        <w:rPr>
          <w:sz w:val="24"/>
          <w:szCs w:val="24"/>
        </w:rPr>
      </w:pPr>
      <w:r w:rsidRPr="00546FA0">
        <w:rPr>
          <w:sz w:val="24"/>
          <w:szCs w:val="24"/>
        </w:rPr>
        <w:t>Sugetabletter</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t>Hvid til lysegul, rund sugetablet med et S trykt på hver side af sugetabletten.</w:t>
      </w:r>
    </w:p>
    <w:p w:rsidR="005852E4" w:rsidRPr="00546FA0" w:rsidRDefault="005852E4" w:rsidP="00EC2A98">
      <w:pPr>
        <w:ind w:left="851"/>
        <w:rPr>
          <w:sz w:val="24"/>
          <w:szCs w:val="24"/>
        </w:rPr>
      </w:pPr>
    </w:p>
    <w:p w:rsidR="005852E4" w:rsidRPr="00546FA0" w:rsidRDefault="005852E4" w:rsidP="00EC2A98">
      <w:pPr>
        <w:ind w:left="851"/>
        <w:rPr>
          <w:sz w:val="24"/>
          <w:szCs w:val="24"/>
        </w:rPr>
      </w:pPr>
    </w:p>
    <w:p w:rsidR="005852E4" w:rsidRPr="00546FA0" w:rsidRDefault="005852E4" w:rsidP="00EC2A98">
      <w:pPr>
        <w:numPr>
          <w:ilvl w:val="0"/>
          <w:numId w:val="1"/>
        </w:numPr>
        <w:tabs>
          <w:tab w:val="clear" w:pos="855"/>
        </w:tabs>
        <w:ind w:left="851" w:hanging="851"/>
        <w:rPr>
          <w:b/>
          <w:sz w:val="24"/>
          <w:szCs w:val="24"/>
        </w:rPr>
      </w:pPr>
      <w:r w:rsidRPr="00546FA0">
        <w:rPr>
          <w:b/>
          <w:sz w:val="24"/>
          <w:szCs w:val="24"/>
        </w:rPr>
        <w:t>KLINISKE OPLYSNINGER</w:t>
      </w:r>
    </w:p>
    <w:p w:rsidR="005852E4" w:rsidRPr="00546FA0" w:rsidRDefault="005852E4" w:rsidP="00EC2A98">
      <w:pPr>
        <w:ind w:left="851"/>
        <w:rPr>
          <w:b/>
          <w:sz w:val="24"/>
          <w:szCs w:val="24"/>
        </w:rPr>
      </w:pPr>
    </w:p>
    <w:p w:rsidR="005852E4" w:rsidRPr="00546FA0" w:rsidRDefault="005852E4" w:rsidP="00EC2A98">
      <w:pPr>
        <w:numPr>
          <w:ilvl w:val="1"/>
          <w:numId w:val="1"/>
        </w:numPr>
        <w:tabs>
          <w:tab w:val="clear" w:pos="855"/>
        </w:tabs>
        <w:ind w:left="851" w:hanging="851"/>
        <w:rPr>
          <w:b/>
          <w:sz w:val="24"/>
          <w:szCs w:val="24"/>
          <w:u w:val="single"/>
        </w:rPr>
      </w:pPr>
      <w:r w:rsidRPr="00546FA0">
        <w:rPr>
          <w:b/>
          <w:sz w:val="24"/>
          <w:szCs w:val="24"/>
        </w:rPr>
        <w:t>Terapeutiske indikationer</w:t>
      </w:r>
    </w:p>
    <w:p w:rsidR="005852E4" w:rsidRPr="00546FA0" w:rsidRDefault="005852E4" w:rsidP="00EC2A98">
      <w:pPr>
        <w:ind w:left="851"/>
        <w:rPr>
          <w:sz w:val="24"/>
          <w:szCs w:val="24"/>
        </w:rPr>
      </w:pPr>
      <w:r w:rsidRPr="00546FA0">
        <w:rPr>
          <w:sz w:val="24"/>
          <w:szCs w:val="24"/>
        </w:rPr>
        <w:t>Symptomatisk lindring af øm og irriteret hals. Strepsils Citrus er indiceret til voksne og børn over 6 år.</w:t>
      </w:r>
    </w:p>
    <w:p w:rsidR="005852E4" w:rsidRPr="00546FA0" w:rsidRDefault="005852E4" w:rsidP="00EC2A98">
      <w:pPr>
        <w:ind w:left="851"/>
        <w:rPr>
          <w:sz w:val="24"/>
          <w:szCs w:val="24"/>
        </w:rPr>
      </w:pPr>
    </w:p>
    <w:p w:rsidR="005852E4" w:rsidRPr="00546FA0" w:rsidRDefault="005852E4" w:rsidP="00EC2A98">
      <w:pPr>
        <w:numPr>
          <w:ilvl w:val="1"/>
          <w:numId w:val="1"/>
        </w:numPr>
        <w:tabs>
          <w:tab w:val="clear" w:pos="855"/>
        </w:tabs>
        <w:ind w:left="851" w:hanging="851"/>
        <w:rPr>
          <w:b/>
          <w:sz w:val="24"/>
          <w:szCs w:val="24"/>
        </w:rPr>
      </w:pPr>
      <w:r w:rsidRPr="00546FA0">
        <w:rPr>
          <w:b/>
          <w:sz w:val="24"/>
          <w:szCs w:val="24"/>
        </w:rPr>
        <w:t>Dosering og administration</w:t>
      </w:r>
    </w:p>
    <w:p w:rsidR="00546FA0" w:rsidRPr="00546FA0" w:rsidRDefault="00546FA0" w:rsidP="00EC2A98">
      <w:pPr>
        <w:ind w:left="851"/>
        <w:rPr>
          <w:noProof/>
          <w:sz w:val="24"/>
          <w:szCs w:val="24"/>
          <w:u w:val="single"/>
        </w:rPr>
      </w:pPr>
    </w:p>
    <w:p w:rsidR="005852E4" w:rsidRPr="00546FA0" w:rsidRDefault="005852E4" w:rsidP="00EC2A98">
      <w:pPr>
        <w:ind w:left="851"/>
        <w:rPr>
          <w:b/>
          <w:noProof/>
          <w:sz w:val="24"/>
          <w:szCs w:val="24"/>
        </w:rPr>
      </w:pPr>
      <w:r w:rsidRPr="00546FA0">
        <w:rPr>
          <w:b/>
          <w:noProof/>
          <w:sz w:val="24"/>
          <w:szCs w:val="24"/>
        </w:rPr>
        <w:t>Dosering</w:t>
      </w:r>
    </w:p>
    <w:p w:rsidR="005852E4" w:rsidRPr="00546FA0" w:rsidRDefault="005852E4" w:rsidP="00EC2A98">
      <w:pPr>
        <w:ind w:left="851"/>
        <w:rPr>
          <w:sz w:val="24"/>
          <w:szCs w:val="24"/>
        </w:rPr>
      </w:pPr>
      <w:r w:rsidRPr="00546FA0">
        <w:rPr>
          <w:sz w:val="24"/>
          <w:szCs w:val="24"/>
        </w:rPr>
        <w:t>Den laveste effektive dosis bør bruges i kortest mulig tid.</w:t>
      </w:r>
    </w:p>
    <w:p w:rsidR="005852E4" w:rsidRPr="00546FA0" w:rsidRDefault="005852E4" w:rsidP="00EC2A98">
      <w:pPr>
        <w:ind w:left="851"/>
        <w:rPr>
          <w:sz w:val="24"/>
          <w:szCs w:val="24"/>
          <w:u w:val="single"/>
        </w:rPr>
      </w:pPr>
    </w:p>
    <w:p w:rsidR="005852E4" w:rsidRPr="00546FA0" w:rsidRDefault="005852E4" w:rsidP="00EC2A98">
      <w:pPr>
        <w:ind w:left="851"/>
        <w:rPr>
          <w:sz w:val="24"/>
          <w:szCs w:val="24"/>
        </w:rPr>
      </w:pPr>
      <w:r w:rsidRPr="00546FA0">
        <w:rPr>
          <w:sz w:val="24"/>
          <w:szCs w:val="24"/>
          <w:u w:val="single"/>
        </w:rPr>
        <w:t>Voksne</w:t>
      </w:r>
    </w:p>
    <w:p w:rsidR="005852E4" w:rsidRPr="00546FA0" w:rsidRDefault="005852E4" w:rsidP="00EC2A98">
      <w:pPr>
        <w:ind w:left="851"/>
        <w:rPr>
          <w:noProof/>
          <w:sz w:val="24"/>
          <w:szCs w:val="24"/>
        </w:rPr>
      </w:pPr>
      <w:r w:rsidRPr="00546FA0">
        <w:rPr>
          <w:sz w:val="24"/>
          <w:szCs w:val="24"/>
        </w:rPr>
        <w:t>1 sugetablet hver 2.-3. time. Anvend ikke mere end 12 sugetabletter i en 24 timers periode.</w:t>
      </w:r>
    </w:p>
    <w:p w:rsidR="005852E4" w:rsidRPr="00546FA0" w:rsidRDefault="005852E4" w:rsidP="00EC2A98">
      <w:pPr>
        <w:ind w:left="851"/>
        <w:rPr>
          <w:noProof/>
          <w:sz w:val="24"/>
          <w:szCs w:val="24"/>
        </w:rPr>
      </w:pPr>
    </w:p>
    <w:p w:rsidR="005852E4" w:rsidRPr="00546FA0" w:rsidRDefault="005852E4" w:rsidP="00EC2A98">
      <w:pPr>
        <w:ind w:left="851"/>
        <w:rPr>
          <w:noProof/>
          <w:sz w:val="24"/>
          <w:szCs w:val="24"/>
          <w:u w:val="single"/>
        </w:rPr>
      </w:pPr>
      <w:r w:rsidRPr="00546FA0">
        <w:rPr>
          <w:noProof/>
          <w:sz w:val="24"/>
          <w:szCs w:val="24"/>
          <w:u w:val="single"/>
        </w:rPr>
        <w:t>Pædiatrisk population</w:t>
      </w:r>
    </w:p>
    <w:p w:rsidR="005852E4" w:rsidRPr="00546FA0" w:rsidRDefault="005852E4" w:rsidP="00EC2A98">
      <w:pPr>
        <w:ind w:left="851"/>
        <w:rPr>
          <w:noProof/>
          <w:sz w:val="24"/>
          <w:szCs w:val="24"/>
        </w:rPr>
      </w:pPr>
    </w:p>
    <w:p w:rsidR="005852E4" w:rsidRPr="00546FA0" w:rsidRDefault="005852E4" w:rsidP="00EC2A98">
      <w:pPr>
        <w:ind w:left="851"/>
        <w:rPr>
          <w:i/>
          <w:noProof/>
          <w:sz w:val="24"/>
          <w:szCs w:val="24"/>
        </w:rPr>
      </w:pPr>
      <w:r w:rsidRPr="00546FA0">
        <w:rPr>
          <w:i/>
          <w:noProof/>
          <w:sz w:val="24"/>
          <w:szCs w:val="24"/>
        </w:rPr>
        <w:t>Børn over 6 år</w:t>
      </w:r>
    </w:p>
    <w:p w:rsidR="005852E4" w:rsidRPr="00546FA0" w:rsidRDefault="005852E4" w:rsidP="00EC2A98">
      <w:pPr>
        <w:ind w:left="851"/>
        <w:rPr>
          <w:noProof/>
          <w:sz w:val="24"/>
          <w:szCs w:val="24"/>
        </w:rPr>
      </w:pPr>
      <w:r w:rsidRPr="00546FA0">
        <w:rPr>
          <w:noProof/>
          <w:sz w:val="24"/>
          <w:szCs w:val="24"/>
        </w:rPr>
        <w:t>Samme dosering som voksne: Se ovenfor</w:t>
      </w:r>
      <w:r w:rsidR="00546FA0" w:rsidRPr="00546FA0">
        <w:rPr>
          <w:noProof/>
          <w:sz w:val="24"/>
          <w:szCs w:val="24"/>
        </w:rPr>
        <w:t>.</w:t>
      </w:r>
    </w:p>
    <w:p w:rsidR="005852E4" w:rsidRPr="00546FA0" w:rsidRDefault="005852E4" w:rsidP="00EC2A98">
      <w:pPr>
        <w:ind w:left="851"/>
        <w:rPr>
          <w:noProof/>
          <w:sz w:val="24"/>
          <w:szCs w:val="24"/>
        </w:rPr>
      </w:pPr>
    </w:p>
    <w:p w:rsidR="005852E4" w:rsidRPr="00546FA0" w:rsidRDefault="005852E4" w:rsidP="00EC2A98">
      <w:pPr>
        <w:tabs>
          <w:tab w:val="left" w:pos="851"/>
        </w:tabs>
        <w:ind w:left="851"/>
        <w:rPr>
          <w:i/>
          <w:sz w:val="24"/>
          <w:szCs w:val="24"/>
        </w:rPr>
      </w:pPr>
      <w:r w:rsidRPr="00546FA0">
        <w:rPr>
          <w:i/>
          <w:sz w:val="24"/>
          <w:szCs w:val="24"/>
        </w:rPr>
        <w:t>Børn fra 6-11 år</w:t>
      </w:r>
    </w:p>
    <w:p w:rsidR="005852E4" w:rsidRPr="00546FA0" w:rsidRDefault="005852E4" w:rsidP="00EC2A98">
      <w:pPr>
        <w:tabs>
          <w:tab w:val="left" w:pos="851"/>
        </w:tabs>
        <w:ind w:left="851"/>
        <w:rPr>
          <w:sz w:val="24"/>
          <w:szCs w:val="24"/>
        </w:rPr>
      </w:pPr>
      <w:r w:rsidRPr="00546FA0">
        <w:rPr>
          <w:sz w:val="24"/>
          <w:szCs w:val="24"/>
        </w:rPr>
        <w:t>Lægemidlet bør administreres under en voksens opsyn</w:t>
      </w:r>
      <w:r w:rsidR="00DF36D1">
        <w:rPr>
          <w:sz w:val="24"/>
          <w:szCs w:val="24"/>
        </w:rPr>
        <w:t>.</w:t>
      </w:r>
    </w:p>
    <w:p w:rsidR="005852E4" w:rsidRPr="00546FA0" w:rsidRDefault="005852E4" w:rsidP="00EC2A98">
      <w:pPr>
        <w:tabs>
          <w:tab w:val="left" w:pos="851"/>
        </w:tabs>
        <w:ind w:left="851"/>
        <w:rPr>
          <w:sz w:val="24"/>
          <w:szCs w:val="24"/>
        </w:rPr>
      </w:pPr>
    </w:p>
    <w:p w:rsidR="005852E4" w:rsidRPr="00DF36D1" w:rsidRDefault="005852E4" w:rsidP="00EC2A98">
      <w:pPr>
        <w:tabs>
          <w:tab w:val="left" w:pos="851"/>
        </w:tabs>
        <w:ind w:left="851"/>
        <w:rPr>
          <w:i/>
          <w:sz w:val="24"/>
          <w:szCs w:val="24"/>
        </w:rPr>
      </w:pPr>
      <w:r w:rsidRPr="00DF36D1">
        <w:rPr>
          <w:i/>
          <w:sz w:val="24"/>
          <w:szCs w:val="24"/>
        </w:rPr>
        <w:t>Børn under 6 år</w:t>
      </w:r>
    </w:p>
    <w:p w:rsidR="005852E4" w:rsidRPr="00546FA0" w:rsidRDefault="005852E4" w:rsidP="00EC2A98">
      <w:pPr>
        <w:tabs>
          <w:tab w:val="left" w:pos="851"/>
        </w:tabs>
        <w:ind w:left="851"/>
        <w:rPr>
          <w:sz w:val="24"/>
          <w:szCs w:val="24"/>
        </w:rPr>
      </w:pPr>
      <w:r w:rsidRPr="00546FA0">
        <w:rPr>
          <w:sz w:val="24"/>
          <w:szCs w:val="24"/>
        </w:rPr>
        <w:t>På grund af lægemidlets form skal administration begrænses til børn over 6 år.</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u w:val="single"/>
        </w:rPr>
        <w:t>Ældre</w:t>
      </w:r>
    </w:p>
    <w:p w:rsidR="005852E4" w:rsidRPr="00546FA0" w:rsidRDefault="005852E4" w:rsidP="00EC2A98">
      <w:pPr>
        <w:ind w:left="851"/>
        <w:rPr>
          <w:sz w:val="24"/>
          <w:szCs w:val="24"/>
        </w:rPr>
      </w:pPr>
      <w:r w:rsidRPr="00546FA0">
        <w:rPr>
          <w:sz w:val="24"/>
          <w:szCs w:val="24"/>
        </w:rPr>
        <w:t>Det er ikke nødvendigt at justere dosis til ældre.</w:t>
      </w:r>
    </w:p>
    <w:p w:rsidR="005852E4" w:rsidRPr="00546FA0" w:rsidRDefault="005852E4" w:rsidP="00EC2A98">
      <w:pPr>
        <w:ind w:left="851"/>
        <w:rPr>
          <w:sz w:val="24"/>
          <w:szCs w:val="24"/>
        </w:rPr>
      </w:pPr>
    </w:p>
    <w:p w:rsidR="005852E4" w:rsidRPr="00DF36D1" w:rsidRDefault="005852E4" w:rsidP="00EC2A98">
      <w:pPr>
        <w:ind w:left="851"/>
        <w:rPr>
          <w:b/>
          <w:sz w:val="24"/>
          <w:szCs w:val="24"/>
        </w:rPr>
      </w:pPr>
      <w:r w:rsidRPr="00DF36D1">
        <w:rPr>
          <w:b/>
          <w:sz w:val="24"/>
          <w:szCs w:val="24"/>
        </w:rPr>
        <w:t>Administration</w:t>
      </w:r>
    </w:p>
    <w:p w:rsidR="005852E4" w:rsidRPr="00546FA0" w:rsidRDefault="005852E4" w:rsidP="00EC2A98">
      <w:pPr>
        <w:ind w:left="851"/>
        <w:rPr>
          <w:noProof/>
          <w:sz w:val="24"/>
          <w:szCs w:val="24"/>
        </w:rPr>
      </w:pPr>
      <w:r w:rsidRPr="00546FA0">
        <w:rPr>
          <w:noProof/>
          <w:sz w:val="24"/>
          <w:szCs w:val="24"/>
        </w:rPr>
        <w:t>Til anvendelse i mundhulen. Skal opløses langsomt i munden.</w:t>
      </w:r>
    </w:p>
    <w:p w:rsidR="005852E4" w:rsidRPr="00546FA0" w:rsidRDefault="005852E4" w:rsidP="00EC2A98">
      <w:pPr>
        <w:pStyle w:val="Normalindrykning"/>
        <w:spacing w:after="0"/>
        <w:ind w:left="851"/>
        <w:rPr>
          <w:sz w:val="24"/>
          <w:szCs w:val="24"/>
          <w:lang w:val="da-DK"/>
        </w:rPr>
      </w:pPr>
    </w:p>
    <w:p w:rsidR="005852E4" w:rsidRPr="00546FA0" w:rsidRDefault="005852E4" w:rsidP="00EC2A98">
      <w:pPr>
        <w:numPr>
          <w:ilvl w:val="1"/>
          <w:numId w:val="1"/>
        </w:numPr>
        <w:tabs>
          <w:tab w:val="clear" w:pos="855"/>
        </w:tabs>
        <w:ind w:left="851" w:hanging="851"/>
        <w:rPr>
          <w:b/>
          <w:sz w:val="24"/>
          <w:szCs w:val="24"/>
        </w:rPr>
      </w:pPr>
      <w:r w:rsidRPr="00546FA0">
        <w:rPr>
          <w:b/>
          <w:sz w:val="24"/>
          <w:szCs w:val="24"/>
        </w:rPr>
        <w:t>Kontraindikationer</w:t>
      </w:r>
    </w:p>
    <w:p w:rsidR="005852E4" w:rsidRPr="00546FA0" w:rsidRDefault="005852E4" w:rsidP="00EC2A98">
      <w:pPr>
        <w:ind w:left="851"/>
        <w:rPr>
          <w:sz w:val="24"/>
          <w:szCs w:val="24"/>
        </w:rPr>
      </w:pPr>
      <w:r w:rsidRPr="00546FA0">
        <w:rPr>
          <w:sz w:val="24"/>
          <w:szCs w:val="24"/>
        </w:rPr>
        <w:t>Overfølsomhed over for de aktive stoffer eller over for et eller flere af hjælpestofferne anført i punkt 6.1.</w:t>
      </w:r>
    </w:p>
    <w:p w:rsidR="005852E4" w:rsidRPr="00546FA0" w:rsidRDefault="005852E4" w:rsidP="00EC2A98">
      <w:pPr>
        <w:ind w:left="851"/>
        <w:rPr>
          <w:sz w:val="24"/>
          <w:szCs w:val="24"/>
        </w:rPr>
      </w:pPr>
    </w:p>
    <w:p w:rsidR="005852E4" w:rsidRPr="00546FA0" w:rsidRDefault="005852E4" w:rsidP="00EC2A98">
      <w:pPr>
        <w:numPr>
          <w:ilvl w:val="1"/>
          <w:numId w:val="1"/>
        </w:numPr>
        <w:tabs>
          <w:tab w:val="clear" w:pos="855"/>
        </w:tabs>
        <w:ind w:left="851" w:hanging="851"/>
        <w:rPr>
          <w:b/>
          <w:sz w:val="24"/>
          <w:szCs w:val="24"/>
        </w:rPr>
      </w:pPr>
      <w:r w:rsidRPr="00546FA0">
        <w:rPr>
          <w:b/>
          <w:sz w:val="24"/>
          <w:szCs w:val="24"/>
        </w:rPr>
        <w:t>Særlige advarsler og forsigtighedsregler vedrørende brugen</w:t>
      </w:r>
    </w:p>
    <w:p w:rsidR="001D684F" w:rsidRPr="00546FA0" w:rsidRDefault="001D684F" w:rsidP="00EC2A98">
      <w:pPr>
        <w:ind w:left="851"/>
        <w:rPr>
          <w:sz w:val="24"/>
          <w:szCs w:val="24"/>
        </w:rPr>
      </w:pPr>
      <w:r w:rsidRPr="00546FA0">
        <w:rPr>
          <w:sz w:val="24"/>
          <w:szCs w:val="24"/>
        </w:rPr>
        <w:t>Bør ikke anvendes til patienter med hereditær fructoseintolerans.</w:t>
      </w:r>
    </w:p>
    <w:p w:rsidR="001D684F" w:rsidRPr="00546FA0" w:rsidRDefault="001D684F" w:rsidP="00EC2A98">
      <w:pPr>
        <w:ind w:left="851"/>
        <w:rPr>
          <w:b/>
          <w:sz w:val="24"/>
          <w:szCs w:val="24"/>
        </w:rPr>
      </w:pPr>
    </w:p>
    <w:p w:rsidR="001D684F" w:rsidRPr="00546FA0" w:rsidRDefault="001D684F" w:rsidP="00EC2A98">
      <w:pPr>
        <w:ind w:left="851"/>
        <w:rPr>
          <w:sz w:val="24"/>
          <w:szCs w:val="24"/>
        </w:rPr>
      </w:pPr>
      <w:r w:rsidRPr="00546FA0">
        <w:rPr>
          <w:sz w:val="24"/>
          <w:szCs w:val="24"/>
        </w:rPr>
        <w:t>Dette lægemiddel indeholder mindre end 1 mmol (23 mg) natrium pr. sugetablet, dvs. det er i det væsentlige natriumfrit.</w:t>
      </w:r>
    </w:p>
    <w:p w:rsidR="001D684F" w:rsidRPr="00546FA0" w:rsidRDefault="001D684F" w:rsidP="00EC2A98">
      <w:pPr>
        <w:ind w:left="851"/>
        <w:rPr>
          <w:sz w:val="24"/>
          <w:szCs w:val="24"/>
        </w:rPr>
      </w:pPr>
    </w:p>
    <w:p w:rsidR="001D684F" w:rsidRPr="00546FA0" w:rsidRDefault="001D684F" w:rsidP="00EC2A98">
      <w:pPr>
        <w:ind w:left="851"/>
        <w:rPr>
          <w:sz w:val="24"/>
          <w:szCs w:val="24"/>
        </w:rPr>
      </w:pPr>
      <w:r w:rsidRPr="00546FA0">
        <w:rPr>
          <w:sz w:val="24"/>
          <w:szCs w:val="24"/>
        </w:rPr>
        <w:t>Dette lægemiddel indeholder duftstof med benzylalkohol, citral, citronellol, d-limonen, geraniol og linalool. Benzylalkohol, citral, citronellol, d-limonen, geraniol og linalool kan medføre allergiske reaktioner.</w:t>
      </w:r>
    </w:p>
    <w:p w:rsidR="001D684F" w:rsidRPr="00546FA0" w:rsidRDefault="001D684F" w:rsidP="00EC2A98">
      <w:pPr>
        <w:ind w:left="851"/>
        <w:rPr>
          <w:sz w:val="24"/>
          <w:szCs w:val="24"/>
        </w:rPr>
      </w:pPr>
    </w:p>
    <w:p w:rsidR="001D684F" w:rsidRPr="00546FA0" w:rsidRDefault="001D684F" w:rsidP="00EC2A98">
      <w:pPr>
        <w:ind w:left="851"/>
        <w:rPr>
          <w:sz w:val="24"/>
          <w:szCs w:val="24"/>
        </w:rPr>
      </w:pPr>
      <w:r w:rsidRPr="00546FA0">
        <w:rPr>
          <w:sz w:val="24"/>
          <w:szCs w:val="24"/>
        </w:rPr>
        <w:t>Indeholder isomalt og maltitol, som kan have en mild laksativ effekt.</w:t>
      </w:r>
    </w:p>
    <w:p w:rsidR="005852E4" w:rsidRPr="00546FA0" w:rsidRDefault="005852E4" w:rsidP="00EC2A98">
      <w:pPr>
        <w:ind w:left="851"/>
        <w:rPr>
          <w:sz w:val="24"/>
          <w:szCs w:val="24"/>
        </w:rPr>
      </w:pPr>
    </w:p>
    <w:p w:rsidR="005852E4" w:rsidRPr="00546FA0" w:rsidRDefault="005852E4" w:rsidP="00EC2A98">
      <w:pPr>
        <w:numPr>
          <w:ilvl w:val="1"/>
          <w:numId w:val="1"/>
        </w:numPr>
        <w:tabs>
          <w:tab w:val="clear" w:pos="855"/>
        </w:tabs>
        <w:ind w:left="851" w:hanging="851"/>
        <w:rPr>
          <w:b/>
          <w:sz w:val="24"/>
          <w:szCs w:val="24"/>
        </w:rPr>
      </w:pPr>
      <w:r w:rsidRPr="00546FA0">
        <w:rPr>
          <w:b/>
          <w:sz w:val="24"/>
          <w:szCs w:val="24"/>
        </w:rPr>
        <w:t>Interaktion med andre lægemidler og andre former for interaktion</w:t>
      </w:r>
    </w:p>
    <w:p w:rsidR="005852E4" w:rsidRPr="00546FA0" w:rsidRDefault="005852E4" w:rsidP="00EC2A98">
      <w:pPr>
        <w:ind w:left="851"/>
        <w:rPr>
          <w:sz w:val="24"/>
          <w:szCs w:val="24"/>
        </w:rPr>
      </w:pPr>
      <w:r w:rsidRPr="00546FA0">
        <w:rPr>
          <w:sz w:val="24"/>
          <w:szCs w:val="24"/>
        </w:rPr>
        <w:t>Ingen kendte.</w:t>
      </w:r>
    </w:p>
    <w:p w:rsidR="005852E4" w:rsidRPr="00546FA0" w:rsidRDefault="005852E4" w:rsidP="00EC2A98">
      <w:pPr>
        <w:ind w:left="851"/>
        <w:rPr>
          <w:sz w:val="24"/>
          <w:szCs w:val="24"/>
        </w:rPr>
      </w:pPr>
    </w:p>
    <w:p w:rsidR="005852E4" w:rsidRPr="00546FA0" w:rsidRDefault="005852E4" w:rsidP="00EC2A98">
      <w:pPr>
        <w:numPr>
          <w:ilvl w:val="1"/>
          <w:numId w:val="1"/>
        </w:numPr>
        <w:tabs>
          <w:tab w:val="clear" w:pos="855"/>
        </w:tabs>
        <w:ind w:left="851" w:hanging="851"/>
        <w:rPr>
          <w:b/>
          <w:sz w:val="24"/>
          <w:szCs w:val="24"/>
        </w:rPr>
      </w:pPr>
      <w:r w:rsidRPr="00546FA0">
        <w:rPr>
          <w:b/>
          <w:sz w:val="24"/>
          <w:szCs w:val="24"/>
        </w:rPr>
        <w:t>Graviditet og amning</w:t>
      </w:r>
    </w:p>
    <w:p w:rsidR="00DF36D1" w:rsidRDefault="00DF36D1" w:rsidP="00EC2A98">
      <w:pPr>
        <w:ind w:left="851"/>
        <w:rPr>
          <w:sz w:val="24"/>
          <w:szCs w:val="24"/>
          <w:u w:val="single"/>
          <w:lang w:val="nb-NO"/>
        </w:rPr>
      </w:pPr>
    </w:p>
    <w:p w:rsidR="005852E4" w:rsidRPr="00546FA0" w:rsidRDefault="005852E4" w:rsidP="00EC2A98">
      <w:pPr>
        <w:ind w:left="851"/>
        <w:rPr>
          <w:sz w:val="24"/>
          <w:szCs w:val="24"/>
          <w:u w:val="single"/>
          <w:lang w:val="nb-NO"/>
        </w:rPr>
      </w:pPr>
      <w:r w:rsidRPr="00546FA0">
        <w:rPr>
          <w:sz w:val="24"/>
          <w:szCs w:val="24"/>
          <w:u w:val="single"/>
          <w:lang w:val="nb-NO"/>
        </w:rPr>
        <w:t>Fertilitet</w:t>
      </w:r>
    </w:p>
    <w:p w:rsidR="005852E4" w:rsidRPr="00546FA0" w:rsidRDefault="005852E4" w:rsidP="00EC2A98">
      <w:pPr>
        <w:ind w:left="851"/>
        <w:rPr>
          <w:sz w:val="24"/>
          <w:szCs w:val="24"/>
          <w:lang w:val="nb-NO"/>
        </w:rPr>
      </w:pPr>
      <w:r w:rsidRPr="00546FA0">
        <w:rPr>
          <w:sz w:val="24"/>
          <w:szCs w:val="24"/>
          <w:lang w:val="nb-NO"/>
        </w:rPr>
        <w:t>Der findes ikke tilgængelig data angående virkning på fertiliteten.</w:t>
      </w:r>
    </w:p>
    <w:p w:rsidR="005852E4" w:rsidRPr="00546FA0" w:rsidRDefault="005852E4" w:rsidP="00EC2A98">
      <w:pPr>
        <w:ind w:left="851"/>
        <w:rPr>
          <w:sz w:val="24"/>
          <w:szCs w:val="24"/>
        </w:rPr>
      </w:pPr>
    </w:p>
    <w:p w:rsidR="005852E4" w:rsidRPr="00546FA0" w:rsidRDefault="005852E4" w:rsidP="00EC2A98">
      <w:pPr>
        <w:ind w:left="851"/>
        <w:rPr>
          <w:sz w:val="24"/>
          <w:szCs w:val="24"/>
          <w:u w:val="single"/>
        </w:rPr>
      </w:pPr>
      <w:r w:rsidRPr="00546FA0">
        <w:rPr>
          <w:sz w:val="24"/>
          <w:szCs w:val="24"/>
          <w:u w:val="single"/>
        </w:rPr>
        <w:t>Graviditet</w:t>
      </w:r>
    </w:p>
    <w:p w:rsidR="005852E4" w:rsidRPr="00546FA0" w:rsidRDefault="005852E4" w:rsidP="00EC2A98">
      <w:pPr>
        <w:ind w:left="851"/>
        <w:rPr>
          <w:sz w:val="24"/>
          <w:szCs w:val="24"/>
        </w:rPr>
      </w:pPr>
      <w:r w:rsidRPr="00546FA0">
        <w:rPr>
          <w:sz w:val="24"/>
          <w:szCs w:val="24"/>
        </w:rPr>
        <w:t>Der er ingen eller begrænset mængde data for brug af 2,4-dichlorbenzylalkohol og</w:t>
      </w:r>
      <w:r w:rsidR="001D684F" w:rsidRPr="00546FA0">
        <w:rPr>
          <w:sz w:val="24"/>
          <w:szCs w:val="24"/>
        </w:rPr>
        <w:t xml:space="preserve"> </w:t>
      </w:r>
      <w:r w:rsidRPr="00546FA0">
        <w:rPr>
          <w:sz w:val="24"/>
          <w:szCs w:val="24"/>
        </w:rPr>
        <w:t>amylmetakresol.</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t>Der er ikke rapporteret om teratogen effekt.</w:t>
      </w:r>
    </w:p>
    <w:p w:rsidR="005852E4" w:rsidRPr="00546FA0" w:rsidRDefault="005852E4" w:rsidP="00EC2A98">
      <w:pPr>
        <w:ind w:left="851"/>
        <w:rPr>
          <w:sz w:val="24"/>
          <w:szCs w:val="24"/>
        </w:rPr>
      </w:pPr>
      <w:r w:rsidRPr="00546FA0">
        <w:rPr>
          <w:sz w:val="24"/>
          <w:szCs w:val="24"/>
        </w:rPr>
        <w:t>Absorberes i ringe grad.</w:t>
      </w:r>
    </w:p>
    <w:p w:rsidR="005852E4" w:rsidRPr="00546FA0" w:rsidRDefault="005852E4" w:rsidP="00EC2A98">
      <w:pPr>
        <w:ind w:left="851"/>
        <w:rPr>
          <w:sz w:val="24"/>
          <w:szCs w:val="24"/>
        </w:rPr>
      </w:pPr>
      <w:r w:rsidRPr="00546FA0">
        <w:rPr>
          <w:sz w:val="24"/>
          <w:szCs w:val="24"/>
        </w:rPr>
        <w:t>Strepsils kan anvendes til gravide.</w:t>
      </w:r>
    </w:p>
    <w:p w:rsidR="005852E4" w:rsidRPr="00546FA0" w:rsidRDefault="005852E4" w:rsidP="00EC2A98">
      <w:pPr>
        <w:ind w:left="851"/>
        <w:rPr>
          <w:i/>
          <w:sz w:val="24"/>
          <w:szCs w:val="24"/>
        </w:rPr>
      </w:pPr>
    </w:p>
    <w:p w:rsidR="005852E4" w:rsidRPr="00546FA0" w:rsidRDefault="005852E4" w:rsidP="00EC2A98">
      <w:pPr>
        <w:ind w:left="851"/>
        <w:rPr>
          <w:sz w:val="24"/>
          <w:szCs w:val="24"/>
          <w:u w:val="single"/>
        </w:rPr>
      </w:pPr>
      <w:r w:rsidRPr="00546FA0">
        <w:rPr>
          <w:sz w:val="24"/>
          <w:szCs w:val="24"/>
          <w:u w:val="single"/>
        </w:rPr>
        <w:t>Amning</w:t>
      </w:r>
    </w:p>
    <w:p w:rsidR="005852E4" w:rsidRPr="00546FA0" w:rsidRDefault="005852E4" w:rsidP="00EC2A98">
      <w:pPr>
        <w:ind w:left="851"/>
        <w:rPr>
          <w:sz w:val="24"/>
          <w:szCs w:val="24"/>
        </w:rPr>
      </w:pPr>
      <w:r w:rsidRPr="00546FA0">
        <w:rPr>
          <w:sz w:val="24"/>
          <w:szCs w:val="24"/>
        </w:rPr>
        <w:t>Strepsils kan anvendes i ammeperioden. Det vides ikke om 2,4- dichlorbenzylalkohol, amylmetakresol eller metabolitter heraf udskilles i modermælk. Det kan ikke udelukkes, at der kan være en risiko for nyfødte/spædbørn.</w:t>
      </w:r>
    </w:p>
    <w:p w:rsidR="00DF36D1" w:rsidRDefault="00DF36D1">
      <w:pPr>
        <w:rPr>
          <w:sz w:val="24"/>
          <w:szCs w:val="24"/>
        </w:rPr>
      </w:pPr>
      <w:r>
        <w:rPr>
          <w:sz w:val="24"/>
          <w:szCs w:val="24"/>
        </w:rPr>
        <w:br w:type="page"/>
      </w:r>
    </w:p>
    <w:p w:rsidR="005852E4" w:rsidRPr="00546FA0" w:rsidRDefault="005852E4" w:rsidP="00EC2A98">
      <w:pPr>
        <w:ind w:left="851"/>
        <w:rPr>
          <w:sz w:val="24"/>
          <w:szCs w:val="24"/>
        </w:rPr>
      </w:pPr>
    </w:p>
    <w:p w:rsidR="005852E4" w:rsidRPr="00546FA0" w:rsidRDefault="005852E4" w:rsidP="00EC2A98">
      <w:pPr>
        <w:numPr>
          <w:ilvl w:val="1"/>
          <w:numId w:val="1"/>
        </w:numPr>
        <w:tabs>
          <w:tab w:val="clear" w:pos="855"/>
        </w:tabs>
        <w:ind w:left="851" w:hanging="851"/>
        <w:rPr>
          <w:b/>
          <w:sz w:val="24"/>
          <w:szCs w:val="24"/>
        </w:rPr>
      </w:pPr>
      <w:r w:rsidRPr="00546FA0">
        <w:rPr>
          <w:b/>
          <w:sz w:val="24"/>
          <w:szCs w:val="24"/>
        </w:rPr>
        <w:t>Virkninger på evnen til at føre motorkøretøj eller betjene maskiner</w:t>
      </w:r>
    </w:p>
    <w:p w:rsidR="00DF36D1" w:rsidRDefault="00DF36D1" w:rsidP="00EC2A98">
      <w:pPr>
        <w:ind w:left="851"/>
        <w:rPr>
          <w:sz w:val="24"/>
          <w:szCs w:val="24"/>
        </w:rPr>
      </w:pPr>
      <w:r>
        <w:rPr>
          <w:sz w:val="24"/>
          <w:szCs w:val="24"/>
        </w:rPr>
        <w:t>Ikke mærkning.</w:t>
      </w:r>
    </w:p>
    <w:p w:rsidR="005852E4" w:rsidRPr="00546FA0" w:rsidRDefault="005852E4" w:rsidP="00EC2A98">
      <w:pPr>
        <w:ind w:left="851"/>
        <w:rPr>
          <w:sz w:val="24"/>
          <w:szCs w:val="24"/>
        </w:rPr>
      </w:pPr>
      <w:r w:rsidRPr="00546FA0">
        <w:rPr>
          <w:sz w:val="24"/>
          <w:szCs w:val="24"/>
        </w:rPr>
        <w:t>Strepsils påvirker ikke eller kun i ubetydelig grad evnen til at føre motorkøretøj og betjene maskiner.</w:t>
      </w:r>
    </w:p>
    <w:p w:rsidR="005852E4" w:rsidRPr="00546FA0" w:rsidRDefault="005852E4" w:rsidP="00EC2A98">
      <w:pPr>
        <w:ind w:left="851"/>
        <w:rPr>
          <w:sz w:val="24"/>
          <w:szCs w:val="24"/>
        </w:rPr>
      </w:pPr>
    </w:p>
    <w:p w:rsidR="005852E4" w:rsidRPr="00546FA0" w:rsidRDefault="005852E4" w:rsidP="00EC2A98">
      <w:pPr>
        <w:numPr>
          <w:ilvl w:val="1"/>
          <w:numId w:val="1"/>
        </w:numPr>
        <w:tabs>
          <w:tab w:val="clear" w:pos="855"/>
        </w:tabs>
        <w:ind w:left="851" w:hanging="851"/>
        <w:rPr>
          <w:b/>
          <w:sz w:val="24"/>
          <w:szCs w:val="24"/>
        </w:rPr>
      </w:pPr>
      <w:r w:rsidRPr="00546FA0">
        <w:rPr>
          <w:b/>
          <w:sz w:val="24"/>
          <w:szCs w:val="24"/>
        </w:rPr>
        <w:t>Bivirkninger</w:t>
      </w:r>
    </w:p>
    <w:p w:rsidR="005852E4" w:rsidRPr="00546FA0" w:rsidRDefault="005852E4" w:rsidP="00EC2A98">
      <w:pPr>
        <w:ind w:left="851"/>
        <w:rPr>
          <w:sz w:val="24"/>
          <w:szCs w:val="24"/>
        </w:rPr>
      </w:pPr>
      <w:r w:rsidRPr="00546FA0">
        <w:rPr>
          <w:sz w:val="24"/>
          <w:szCs w:val="24"/>
        </w:rPr>
        <w:t xml:space="preserve">Under 0,1 % af de behandlede patienter kan forvente at få bivirkninger. De mest almindelige bivirkninger er overfølsomhedsreaktioner. </w:t>
      </w:r>
    </w:p>
    <w:p w:rsidR="005852E4" w:rsidRPr="00546FA0" w:rsidRDefault="005852E4" w:rsidP="00EC2A98">
      <w:pPr>
        <w:ind w:left="851"/>
        <w:rPr>
          <w:sz w:val="24"/>
          <w:szCs w:val="24"/>
        </w:rPr>
      </w:pPr>
      <w:r w:rsidRPr="00546FA0">
        <w:rPr>
          <w:sz w:val="24"/>
          <w:szCs w:val="24"/>
        </w:rPr>
        <w:t>Slimhindeirritation kan udvikles ved længere tids brug.</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t>Listen med de følgende bivirkninger relaterer sig til bivirkninger, der er opstået ved håndkøbsdoseing af 2,4- dichlorbenzylalkohol og amylmetakresol ved korttidsbrug. Ved langtidsbehandling af kroniske tilstande kan der opstå yderligere bivirkninger.</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t>Bivirkninger som er associeret med 2,4- dichlorbenzylalkohol og amylmetakresol, er angivet nedenfor i tabelform efter systemorganklasse og hyppighed. Hyppighed er defineret som:</w:t>
      </w:r>
    </w:p>
    <w:p w:rsidR="005852E4" w:rsidRPr="00546FA0" w:rsidRDefault="005852E4" w:rsidP="00EC2A98">
      <w:pPr>
        <w:ind w:left="851"/>
        <w:rPr>
          <w:sz w:val="24"/>
          <w:szCs w:val="24"/>
        </w:rPr>
      </w:pPr>
      <w:r w:rsidRPr="00546FA0">
        <w:rPr>
          <w:sz w:val="24"/>
          <w:szCs w:val="24"/>
        </w:rPr>
        <w:t>Meget almindelig (≥ 1/10); Almindelig (≥ 1/100 til &lt; 1/10); Ikke almindelig (≥1/1.000 til &lt;1/100); Sjælden (≥1/10.000 til &lt;1/1.000); og Meget sjælden (&lt;1/10.000). Ikke kendt (kan ikke estimeres ud fra forhåndenværende data).</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t>Inden for hver hyppighedsgruppe er bivirkningerne nævnt i faldende sværhedsgrad.</w:t>
      </w:r>
    </w:p>
    <w:p w:rsidR="001D684F" w:rsidRPr="00546FA0" w:rsidRDefault="001D684F" w:rsidP="00EC2A98">
      <w:pPr>
        <w:ind w:left="851"/>
        <w:rPr>
          <w:sz w:val="24"/>
          <w:szCs w:val="24"/>
        </w:rPr>
      </w:pPr>
    </w:p>
    <w:tbl>
      <w:tblPr>
        <w:tblW w:w="92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3068"/>
        <w:gridCol w:w="3069"/>
      </w:tblGrid>
      <w:tr w:rsidR="001D684F" w:rsidRPr="00546FA0" w:rsidTr="001D684F">
        <w:tc>
          <w:tcPr>
            <w:tcW w:w="3068"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ind w:left="33"/>
              <w:rPr>
                <w:b/>
                <w:sz w:val="24"/>
                <w:szCs w:val="24"/>
              </w:rPr>
            </w:pPr>
            <w:r w:rsidRPr="00546FA0">
              <w:rPr>
                <w:b/>
                <w:sz w:val="24"/>
                <w:szCs w:val="24"/>
              </w:rPr>
              <w:t>Systemorganklasse</w:t>
            </w:r>
          </w:p>
        </w:tc>
        <w:tc>
          <w:tcPr>
            <w:tcW w:w="3068"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rPr>
                <w:b/>
                <w:sz w:val="24"/>
                <w:szCs w:val="24"/>
              </w:rPr>
            </w:pPr>
            <w:r w:rsidRPr="00546FA0">
              <w:rPr>
                <w:b/>
                <w:sz w:val="24"/>
                <w:szCs w:val="24"/>
              </w:rPr>
              <w:t>Hyppighed</w:t>
            </w:r>
          </w:p>
        </w:tc>
        <w:tc>
          <w:tcPr>
            <w:tcW w:w="3069"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rPr>
                <w:b/>
                <w:sz w:val="24"/>
                <w:szCs w:val="24"/>
              </w:rPr>
            </w:pPr>
            <w:r w:rsidRPr="00546FA0">
              <w:rPr>
                <w:b/>
                <w:sz w:val="24"/>
                <w:szCs w:val="24"/>
              </w:rPr>
              <w:t>Bivirkning</w:t>
            </w:r>
          </w:p>
        </w:tc>
      </w:tr>
      <w:tr w:rsidR="001D684F" w:rsidRPr="00546FA0" w:rsidTr="001D684F">
        <w:tc>
          <w:tcPr>
            <w:tcW w:w="3068"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ind w:left="33"/>
              <w:rPr>
                <w:sz w:val="24"/>
                <w:szCs w:val="24"/>
              </w:rPr>
            </w:pPr>
            <w:r w:rsidRPr="00546FA0">
              <w:rPr>
                <w:sz w:val="24"/>
                <w:szCs w:val="24"/>
              </w:rPr>
              <w:t>Immunsystemet</w:t>
            </w:r>
          </w:p>
        </w:tc>
        <w:tc>
          <w:tcPr>
            <w:tcW w:w="3068"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rPr>
                <w:sz w:val="24"/>
                <w:szCs w:val="24"/>
              </w:rPr>
            </w:pPr>
            <w:r w:rsidRPr="00546FA0">
              <w:rPr>
                <w:sz w:val="24"/>
                <w:szCs w:val="24"/>
              </w:rPr>
              <w:t>Sjælden</w:t>
            </w:r>
          </w:p>
        </w:tc>
        <w:tc>
          <w:tcPr>
            <w:tcW w:w="3069"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rPr>
                <w:sz w:val="24"/>
                <w:szCs w:val="24"/>
              </w:rPr>
            </w:pPr>
            <w:r w:rsidRPr="00546FA0">
              <w:rPr>
                <w:sz w:val="24"/>
                <w:szCs w:val="24"/>
              </w:rPr>
              <w:t>Pharyngeal ødem, hævelse i munden, hypersensitivitet</w:t>
            </w:r>
            <w:r w:rsidRPr="00546FA0">
              <w:rPr>
                <w:sz w:val="24"/>
                <w:szCs w:val="24"/>
                <w:vertAlign w:val="superscript"/>
              </w:rPr>
              <w:t xml:space="preserve">1    </w:t>
            </w:r>
          </w:p>
        </w:tc>
      </w:tr>
      <w:tr w:rsidR="001D684F" w:rsidRPr="00546FA0" w:rsidTr="001D684F">
        <w:tc>
          <w:tcPr>
            <w:tcW w:w="3068" w:type="dxa"/>
            <w:vMerge w:val="restart"/>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ind w:left="33"/>
              <w:rPr>
                <w:sz w:val="24"/>
                <w:szCs w:val="24"/>
              </w:rPr>
            </w:pPr>
            <w:r w:rsidRPr="00546FA0">
              <w:rPr>
                <w:sz w:val="24"/>
                <w:szCs w:val="24"/>
              </w:rPr>
              <w:t>Mave-tarm-kanalen</w:t>
            </w:r>
          </w:p>
        </w:tc>
        <w:tc>
          <w:tcPr>
            <w:tcW w:w="3068"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rPr>
                <w:sz w:val="24"/>
                <w:szCs w:val="24"/>
              </w:rPr>
            </w:pPr>
            <w:r w:rsidRPr="00546FA0">
              <w:rPr>
                <w:sz w:val="24"/>
                <w:szCs w:val="24"/>
              </w:rPr>
              <w:t>Sjælden</w:t>
            </w:r>
          </w:p>
        </w:tc>
        <w:tc>
          <w:tcPr>
            <w:tcW w:w="3069"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rPr>
                <w:sz w:val="24"/>
                <w:szCs w:val="24"/>
              </w:rPr>
            </w:pPr>
            <w:r w:rsidRPr="00546FA0">
              <w:rPr>
                <w:sz w:val="24"/>
                <w:szCs w:val="24"/>
              </w:rPr>
              <w:t>Glossodyni, ubehag/gener i munden, hals irritation, oral paræstesi</w:t>
            </w:r>
          </w:p>
        </w:tc>
      </w:tr>
      <w:tr w:rsidR="001D684F" w:rsidRPr="00546FA0" w:rsidTr="001D684F">
        <w:tc>
          <w:tcPr>
            <w:tcW w:w="0" w:type="auto"/>
            <w:vMerge/>
            <w:tcBorders>
              <w:top w:val="single" w:sz="4" w:space="0" w:color="auto"/>
              <w:left w:val="single" w:sz="4" w:space="0" w:color="auto"/>
              <w:bottom w:val="single" w:sz="4" w:space="0" w:color="auto"/>
              <w:right w:val="single" w:sz="4" w:space="0" w:color="auto"/>
            </w:tcBorders>
            <w:vAlign w:val="center"/>
            <w:hideMark/>
          </w:tcPr>
          <w:p w:rsidR="001D684F" w:rsidRPr="00546FA0" w:rsidRDefault="001D684F" w:rsidP="00180DED">
            <w:pPr>
              <w:ind w:left="33"/>
              <w:rPr>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rPr>
                <w:sz w:val="24"/>
                <w:szCs w:val="24"/>
              </w:rPr>
            </w:pPr>
            <w:r w:rsidRPr="00546FA0">
              <w:rPr>
                <w:sz w:val="24"/>
                <w:szCs w:val="24"/>
              </w:rPr>
              <w:t>Meget sjælden</w:t>
            </w:r>
          </w:p>
        </w:tc>
        <w:tc>
          <w:tcPr>
            <w:tcW w:w="3069"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rPr>
                <w:sz w:val="24"/>
                <w:szCs w:val="24"/>
              </w:rPr>
            </w:pPr>
            <w:r w:rsidRPr="00546FA0">
              <w:rPr>
                <w:sz w:val="24"/>
                <w:szCs w:val="24"/>
              </w:rPr>
              <w:t>Kvalme, dyspepsi</w:t>
            </w:r>
          </w:p>
        </w:tc>
      </w:tr>
      <w:tr w:rsidR="001D684F" w:rsidRPr="00546FA0" w:rsidTr="001D684F">
        <w:tc>
          <w:tcPr>
            <w:tcW w:w="0" w:type="auto"/>
            <w:vMerge/>
            <w:tcBorders>
              <w:top w:val="single" w:sz="4" w:space="0" w:color="auto"/>
              <w:left w:val="single" w:sz="4" w:space="0" w:color="auto"/>
              <w:bottom w:val="single" w:sz="4" w:space="0" w:color="auto"/>
              <w:right w:val="single" w:sz="4" w:space="0" w:color="auto"/>
            </w:tcBorders>
            <w:vAlign w:val="center"/>
            <w:hideMark/>
          </w:tcPr>
          <w:p w:rsidR="001D684F" w:rsidRPr="00546FA0" w:rsidRDefault="001D684F" w:rsidP="00180DED">
            <w:pPr>
              <w:ind w:left="33"/>
              <w:rPr>
                <w:sz w:val="24"/>
                <w:szCs w:val="24"/>
              </w:rPr>
            </w:pPr>
          </w:p>
        </w:tc>
        <w:tc>
          <w:tcPr>
            <w:tcW w:w="3068"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rPr>
                <w:sz w:val="24"/>
                <w:szCs w:val="24"/>
              </w:rPr>
            </w:pPr>
            <w:r w:rsidRPr="00546FA0">
              <w:rPr>
                <w:sz w:val="24"/>
                <w:szCs w:val="24"/>
              </w:rPr>
              <w:t>Ikke kendt</w:t>
            </w:r>
          </w:p>
        </w:tc>
        <w:tc>
          <w:tcPr>
            <w:tcW w:w="3069"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rPr>
                <w:sz w:val="24"/>
                <w:szCs w:val="24"/>
              </w:rPr>
            </w:pPr>
            <w:r w:rsidRPr="00546FA0">
              <w:rPr>
                <w:sz w:val="24"/>
                <w:szCs w:val="24"/>
              </w:rPr>
              <w:t>Mavesmerter</w:t>
            </w:r>
            <w:bookmarkStart w:id="0" w:name="_GoBack"/>
            <w:bookmarkEnd w:id="0"/>
          </w:p>
        </w:tc>
      </w:tr>
      <w:tr w:rsidR="001D684F" w:rsidRPr="00546FA0" w:rsidTr="001D684F">
        <w:tc>
          <w:tcPr>
            <w:tcW w:w="3068"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ind w:left="33"/>
              <w:rPr>
                <w:sz w:val="24"/>
                <w:szCs w:val="24"/>
              </w:rPr>
            </w:pPr>
            <w:r w:rsidRPr="00546FA0">
              <w:rPr>
                <w:sz w:val="24"/>
                <w:szCs w:val="24"/>
              </w:rPr>
              <w:t>Hud og subkutane væv</w:t>
            </w:r>
          </w:p>
        </w:tc>
        <w:tc>
          <w:tcPr>
            <w:tcW w:w="3068"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rPr>
                <w:sz w:val="24"/>
                <w:szCs w:val="24"/>
              </w:rPr>
            </w:pPr>
            <w:r w:rsidRPr="00546FA0">
              <w:rPr>
                <w:sz w:val="24"/>
                <w:szCs w:val="24"/>
              </w:rPr>
              <w:t>Sjælden</w:t>
            </w:r>
          </w:p>
        </w:tc>
        <w:tc>
          <w:tcPr>
            <w:tcW w:w="3069" w:type="dxa"/>
            <w:tcBorders>
              <w:top w:val="single" w:sz="4" w:space="0" w:color="auto"/>
              <w:left w:val="single" w:sz="4" w:space="0" w:color="auto"/>
              <w:bottom w:val="single" w:sz="4" w:space="0" w:color="auto"/>
              <w:right w:val="single" w:sz="4" w:space="0" w:color="auto"/>
            </w:tcBorders>
            <w:hideMark/>
          </w:tcPr>
          <w:p w:rsidR="001D684F" w:rsidRPr="00546FA0" w:rsidRDefault="001D684F" w:rsidP="00180DED">
            <w:pPr>
              <w:rPr>
                <w:sz w:val="24"/>
                <w:szCs w:val="24"/>
              </w:rPr>
            </w:pPr>
            <w:r w:rsidRPr="00546FA0">
              <w:rPr>
                <w:sz w:val="24"/>
                <w:szCs w:val="24"/>
              </w:rPr>
              <w:t>Udslæt</w:t>
            </w:r>
          </w:p>
        </w:tc>
      </w:tr>
      <w:tr w:rsidR="001D684F" w:rsidRPr="00180DED" w:rsidTr="001D684F">
        <w:tc>
          <w:tcPr>
            <w:tcW w:w="9205" w:type="dxa"/>
            <w:gridSpan w:val="3"/>
            <w:tcBorders>
              <w:top w:val="single" w:sz="4" w:space="0" w:color="auto"/>
              <w:left w:val="nil"/>
              <w:bottom w:val="nil"/>
              <w:right w:val="nil"/>
            </w:tcBorders>
          </w:tcPr>
          <w:p w:rsidR="001D684F" w:rsidRPr="00180DED" w:rsidRDefault="001D684F" w:rsidP="00180DED">
            <w:pPr>
              <w:rPr>
                <w:sz w:val="22"/>
                <w:szCs w:val="22"/>
              </w:rPr>
            </w:pPr>
            <w:r w:rsidRPr="00180DED">
              <w:rPr>
                <w:sz w:val="22"/>
                <w:szCs w:val="22"/>
                <w:vertAlign w:val="superscript"/>
              </w:rPr>
              <w:t>1</w:t>
            </w:r>
            <w:r w:rsidRPr="00180DED">
              <w:rPr>
                <w:sz w:val="22"/>
                <w:szCs w:val="22"/>
              </w:rPr>
              <w:t>Hypersensitivitet kan forekomme i form af udslæt, angioødem, urticaria, bronkospasmer, hypotension med synkope og anafylaktisk reaktion/</w:t>
            </w:r>
            <w:r w:rsidR="006F7F85">
              <w:rPr>
                <w:sz w:val="22"/>
                <w:szCs w:val="22"/>
              </w:rPr>
              <w:t>shock</w:t>
            </w:r>
            <w:r w:rsidRPr="00180DED">
              <w:rPr>
                <w:sz w:val="22"/>
                <w:szCs w:val="22"/>
              </w:rPr>
              <w:t>.</w:t>
            </w:r>
          </w:p>
          <w:p w:rsidR="001D684F" w:rsidRPr="00180DED" w:rsidRDefault="001D684F" w:rsidP="00180DED">
            <w:pPr>
              <w:rPr>
                <w:sz w:val="22"/>
                <w:szCs w:val="22"/>
              </w:rPr>
            </w:pPr>
          </w:p>
        </w:tc>
      </w:tr>
    </w:tbl>
    <w:p w:rsidR="005852E4" w:rsidRPr="00180DED" w:rsidRDefault="005852E4" w:rsidP="00EC2A98">
      <w:pPr>
        <w:ind w:left="851"/>
        <w:rPr>
          <w:noProof/>
          <w:sz w:val="24"/>
          <w:szCs w:val="24"/>
          <w:u w:val="single"/>
        </w:rPr>
      </w:pPr>
      <w:r w:rsidRPr="00180DED">
        <w:rPr>
          <w:noProof/>
          <w:sz w:val="24"/>
          <w:szCs w:val="24"/>
          <w:u w:val="single"/>
        </w:rPr>
        <w:t>Pædiatrisk population</w:t>
      </w:r>
    </w:p>
    <w:p w:rsidR="005852E4" w:rsidRPr="00546FA0" w:rsidRDefault="005852E4" w:rsidP="00EC2A98">
      <w:pPr>
        <w:ind w:left="851"/>
        <w:rPr>
          <w:sz w:val="24"/>
          <w:szCs w:val="24"/>
        </w:rPr>
      </w:pPr>
      <w:r w:rsidRPr="00546FA0">
        <w:rPr>
          <w:sz w:val="24"/>
          <w:szCs w:val="24"/>
        </w:rPr>
        <w:t>Hyppighed, type og sværhedsgrad af bivirkninger forventes at være den samme for børn over 6 år som for voksne</w:t>
      </w:r>
    </w:p>
    <w:p w:rsidR="005852E4" w:rsidRPr="00546FA0" w:rsidRDefault="005852E4" w:rsidP="00EC2A98">
      <w:pPr>
        <w:ind w:left="851"/>
        <w:rPr>
          <w:sz w:val="24"/>
          <w:szCs w:val="24"/>
        </w:rPr>
      </w:pPr>
    </w:p>
    <w:p w:rsidR="005852E4" w:rsidRPr="00546FA0" w:rsidRDefault="005852E4" w:rsidP="00EC2A98">
      <w:pPr>
        <w:ind w:left="851"/>
        <w:rPr>
          <w:sz w:val="24"/>
          <w:szCs w:val="24"/>
          <w:u w:val="single"/>
        </w:rPr>
      </w:pPr>
      <w:r w:rsidRPr="00546FA0">
        <w:rPr>
          <w:sz w:val="24"/>
          <w:szCs w:val="24"/>
          <w:u w:val="single"/>
        </w:rPr>
        <w:t>Indberetning af formodede bivirkninger</w:t>
      </w:r>
    </w:p>
    <w:p w:rsidR="005852E4" w:rsidRPr="00546FA0" w:rsidRDefault="005852E4" w:rsidP="00EC2A98">
      <w:pPr>
        <w:ind w:left="851"/>
        <w:rPr>
          <w:sz w:val="24"/>
          <w:szCs w:val="24"/>
        </w:rPr>
      </w:pPr>
      <w:r w:rsidRPr="00546FA0">
        <w:rPr>
          <w:sz w:val="24"/>
          <w:szCs w:val="24"/>
        </w:rPr>
        <w:t xml:space="preserve">Når lægemidlet er godkendt, er indberetning af formodede bivirkninger vigtig. Det muliggør løbende overvågning af benefit/risk-forholdet for lægemidlet. </w:t>
      </w:r>
      <w:r w:rsidR="001D684F" w:rsidRPr="00546FA0">
        <w:rPr>
          <w:sz w:val="24"/>
          <w:szCs w:val="24"/>
        </w:rPr>
        <w:t>S</w:t>
      </w:r>
      <w:r w:rsidRPr="00546FA0">
        <w:rPr>
          <w:sz w:val="24"/>
          <w:szCs w:val="24"/>
        </w:rPr>
        <w:t>undhedspersone</w:t>
      </w:r>
      <w:r w:rsidR="001D684F" w:rsidRPr="00546FA0">
        <w:rPr>
          <w:sz w:val="24"/>
          <w:szCs w:val="24"/>
        </w:rPr>
        <w:t>r</w:t>
      </w:r>
      <w:r w:rsidRPr="00546FA0">
        <w:rPr>
          <w:sz w:val="24"/>
          <w:szCs w:val="24"/>
        </w:rPr>
        <w:t xml:space="preserve"> anmodes om at indberettte alle formodede bivirkninger </w:t>
      </w:r>
      <w:r w:rsidR="001D684F" w:rsidRPr="00546FA0">
        <w:rPr>
          <w:sz w:val="24"/>
          <w:szCs w:val="24"/>
        </w:rPr>
        <w:t>via</w:t>
      </w:r>
      <w:r w:rsidRPr="00546FA0">
        <w:rPr>
          <w:sz w:val="24"/>
          <w:szCs w:val="24"/>
        </w:rPr>
        <w:t>:</w:t>
      </w:r>
    </w:p>
    <w:p w:rsidR="001D684F" w:rsidRPr="00546FA0" w:rsidRDefault="001D684F" w:rsidP="00EC2A98">
      <w:pPr>
        <w:ind w:left="851"/>
        <w:rPr>
          <w:sz w:val="24"/>
          <w:szCs w:val="24"/>
        </w:rPr>
      </w:pPr>
    </w:p>
    <w:p w:rsidR="005852E4" w:rsidRPr="00546FA0" w:rsidRDefault="005852E4" w:rsidP="00EC2A98">
      <w:pPr>
        <w:ind w:left="851"/>
        <w:rPr>
          <w:sz w:val="24"/>
          <w:szCs w:val="24"/>
        </w:rPr>
      </w:pPr>
      <w:r w:rsidRPr="00546FA0">
        <w:rPr>
          <w:sz w:val="24"/>
          <w:szCs w:val="24"/>
        </w:rPr>
        <w:t xml:space="preserve">Lægemiddelstyrelsen </w:t>
      </w:r>
    </w:p>
    <w:p w:rsidR="001D684F" w:rsidRPr="00546FA0" w:rsidRDefault="005852E4" w:rsidP="00EC2A98">
      <w:pPr>
        <w:ind w:left="851"/>
        <w:rPr>
          <w:sz w:val="24"/>
          <w:szCs w:val="24"/>
        </w:rPr>
      </w:pPr>
      <w:r w:rsidRPr="00546FA0">
        <w:rPr>
          <w:sz w:val="24"/>
          <w:szCs w:val="24"/>
        </w:rPr>
        <w:t>Axel Heides Gade 1</w:t>
      </w:r>
    </w:p>
    <w:p w:rsidR="005852E4" w:rsidRPr="00546FA0" w:rsidRDefault="005852E4" w:rsidP="00EC2A98">
      <w:pPr>
        <w:ind w:left="851"/>
        <w:rPr>
          <w:sz w:val="24"/>
          <w:szCs w:val="24"/>
        </w:rPr>
      </w:pPr>
      <w:r w:rsidRPr="00546FA0">
        <w:rPr>
          <w:sz w:val="24"/>
          <w:szCs w:val="24"/>
        </w:rPr>
        <w:t>DK</w:t>
      </w:r>
      <w:r w:rsidR="001D684F" w:rsidRPr="00546FA0">
        <w:rPr>
          <w:sz w:val="24"/>
          <w:szCs w:val="24"/>
        </w:rPr>
        <w:t xml:space="preserve"> </w:t>
      </w:r>
      <w:r w:rsidRPr="00546FA0">
        <w:rPr>
          <w:sz w:val="24"/>
          <w:szCs w:val="24"/>
        </w:rPr>
        <w:t>2300 København S</w:t>
      </w:r>
    </w:p>
    <w:p w:rsidR="005852E4" w:rsidRPr="00546FA0" w:rsidRDefault="005852E4" w:rsidP="00EC2A98">
      <w:pPr>
        <w:ind w:left="851"/>
        <w:rPr>
          <w:sz w:val="24"/>
          <w:szCs w:val="24"/>
        </w:rPr>
      </w:pPr>
      <w:r w:rsidRPr="00546FA0">
        <w:rPr>
          <w:sz w:val="24"/>
          <w:szCs w:val="24"/>
        </w:rPr>
        <w:t>Websted: www.meldenbivirkning.dk</w:t>
      </w:r>
    </w:p>
    <w:p w:rsidR="00180DED" w:rsidRDefault="00180DED">
      <w:pPr>
        <w:rPr>
          <w:sz w:val="24"/>
          <w:szCs w:val="24"/>
          <w:lang w:eastAsia="da-DK"/>
        </w:rPr>
      </w:pPr>
      <w:r>
        <w:rPr>
          <w:szCs w:val="24"/>
        </w:rPr>
        <w:br w:type="page"/>
      </w:r>
    </w:p>
    <w:p w:rsidR="005852E4" w:rsidRPr="00546FA0" w:rsidRDefault="005852E4" w:rsidP="00EC2A98">
      <w:pPr>
        <w:pStyle w:val="Sidehoved"/>
        <w:tabs>
          <w:tab w:val="clear" w:pos="4819"/>
          <w:tab w:val="clear" w:pos="9638"/>
        </w:tabs>
        <w:ind w:left="851"/>
        <w:rPr>
          <w:szCs w:val="24"/>
        </w:rPr>
      </w:pPr>
    </w:p>
    <w:p w:rsidR="005852E4" w:rsidRPr="00546FA0" w:rsidRDefault="005852E4" w:rsidP="00EC2A98">
      <w:pPr>
        <w:numPr>
          <w:ilvl w:val="1"/>
          <w:numId w:val="1"/>
        </w:numPr>
        <w:tabs>
          <w:tab w:val="clear" w:pos="855"/>
        </w:tabs>
        <w:ind w:left="851" w:hanging="851"/>
        <w:rPr>
          <w:b/>
          <w:sz w:val="24"/>
          <w:szCs w:val="24"/>
        </w:rPr>
      </w:pPr>
      <w:r w:rsidRPr="00546FA0">
        <w:rPr>
          <w:b/>
          <w:sz w:val="24"/>
          <w:szCs w:val="24"/>
        </w:rPr>
        <w:t>Overdosering</w:t>
      </w:r>
    </w:p>
    <w:p w:rsidR="005852E4" w:rsidRPr="00546FA0" w:rsidRDefault="005852E4" w:rsidP="00EC2A98">
      <w:pPr>
        <w:ind w:left="851"/>
        <w:rPr>
          <w:sz w:val="24"/>
          <w:szCs w:val="24"/>
        </w:rPr>
      </w:pPr>
      <w:r w:rsidRPr="00546FA0">
        <w:rPr>
          <w:sz w:val="24"/>
          <w:szCs w:val="24"/>
        </w:rPr>
        <w:t>Symptomer: Gastrointestinalt ubehag.</w:t>
      </w:r>
    </w:p>
    <w:p w:rsidR="005852E4" w:rsidRPr="00546FA0" w:rsidRDefault="005852E4" w:rsidP="00EC2A98">
      <w:pPr>
        <w:ind w:left="851"/>
        <w:rPr>
          <w:sz w:val="24"/>
          <w:szCs w:val="24"/>
        </w:rPr>
      </w:pPr>
      <w:r w:rsidRPr="00546FA0">
        <w:rPr>
          <w:sz w:val="24"/>
          <w:szCs w:val="24"/>
        </w:rPr>
        <w:t>Behandling: Symptomatisk behandling.</w:t>
      </w:r>
    </w:p>
    <w:p w:rsidR="005852E4" w:rsidRPr="00546FA0" w:rsidRDefault="005852E4" w:rsidP="00EC2A98">
      <w:pPr>
        <w:ind w:left="851"/>
        <w:rPr>
          <w:sz w:val="24"/>
          <w:szCs w:val="24"/>
        </w:rPr>
      </w:pPr>
    </w:p>
    <w:p w:rsidR="005852E4" w:rsidRPr="00546FA0" w:rsidRDefault="005852E4" w:rsidP="00EC2A98">
      <w:pPr>
        <w:keepNext/>
        <w:numPr>
          <w:ilvl w:val="1"/>
          <w:numId w:val="1"/>
        </w:numPr>
        <w:tabs>
          <w:tab w:val="clear" w:pos="855"/>
        </w:tabs>
        <w:ind w:left="851" w:hanging="851"/>
        <w:rPr>
          <w:b/>
          <w:sz w:val="24"/>
          <w:szCs w:val="24"/>
        </w:rPr>
      </w:pPr>
      <w:r w:rsidRPr="00546FA0">
        <w:rPr>
          <w:b/>
          <w:sz w:val="24"/>
          <w:szCs w:val="24"/>
        </w:rPr>
        <w:t>Udlevering</w:t>
      </w:r>
    </w:p>
    <w:p w:rsidR="005852E4" w:rsidRPr="00546FA0" w:rsidRDefault="005852E4" w:rsidP="00EC2A98">
      <w:pPr>
        <w:ind w:left="851"/>
        <w:rPr>
          <w:sz w:val="24"/>
          <w:szCs w:val="24"/>
        </w:rPr>
      </w:pPr>
      <w:r w:rsidRPr="00546FA0">
        <w:rPr>
          <w:sz w:val="24"/>
          <w:szCs w:val="24"/>
        </w:rPr>
        <w:t>HF</w:t>
      </w:r>
    </w:p>
    <w:p w:rsidR="005852E4" w:rsidRPr="00546FA0" w:rsidRDefault="005852E4" w:rsidP="00EC2A98">
      <w:pPr>
        <w:ind w:left="851"/>
        <w:rPr>
          <w:sz w:val="24"/>
          <w:szCs w:val="24"/>
        </w:rPr>
      </w:pPr>
    </w:p>
    <w:p w:rsidR="005852E4" w:rsidRPr="00546FA0" w:rsidRDefault="005852E4" w:rsidP="00EC2A98">
      <w:pPr>
        <w:ind w:left="851"/>
        <w:rPr>
          <w:sz w:val="24"/>
          <w:szCs w:val="24"/>
        </w:rPr>
      </w:pPr>
    </w:p>
    <w:p w:rsidR="005852E4" w:rsidRPr="00546FA0" w:rsidRDefault="005852E4" w:rsidP="00EC2A98">
      <w:pPr>
        <w:numPr>
          <w:ilvl w:val="0"/>
          <w:numId w:val="1"/>
        </w:numPr>
        <w:tabs>
          <w:tab w:val="clear" w:pos="855"/>
        </w:tabs>
        <w:ind w:left="851" w:hanging="851"/>
        <w:rPr>
          <w:b/>
          <w:sz w:val="24"/>
          <w:szCs w:val="24"/>
        </w:rPr>
      </w:pPr>
      <w:r w:rsidRPr="00546FA0">
        <w:rPr>
          <w:b/>
          <w:sz w:val="24"/>
          <w:szCs w:val="24"/>
        </w:rPr>
        <w:t>FARMAKOLOGISKE EGENSKABER</w:t>
      </w:r>
    </w:p>
    <w:p w:rsidR="001C168A" w:rsidRPr="00546FA0" w:rsidRDefault="001C168A" w:rsidP="00EC2A98">
      <w:pPr>
        <w:ind w:left="851"/>
        <w:rPr>
          <w:sz w:val="24"/>
          <w:szCs w:val="24"/>
        </w:rPr>
      </w:pPr>
    </w:p>
    <w:p w:rsidR="001C168A" w:rsidRPr="00546FA0" w:rsidRDefault="004D1696" w:rsidP="00EC2A98">
      <w:pPr>
        <w:ind w:left="851" w:hanging="851"/>
        <w:rPr>
          <w:b/>
          <w:sz w:val="24"/>
          <w:szCs w:val="24"/>
        </w:rPr>
      </w:pPr>
      <w:r w:rsidRPr="00546FA0">
        <w:rPr>
          <w:b/>
          <w:sz w:val="24"/>
          <w:szCs w:val="24"/>
        </w:rPr>
        <w:t>5.0</w:t>
      </w:r>
      <w:r w:rsidRPr="00546FA0">
        <w:rPr>
          <w:b/>
          <w:sz w:val="24"/>
          <w:szCs w:val="24"/>
        </w:rPr>
        <w:tab/>
      </w:r>
      <w:r w:rsidR="001C168A" w:rsidRPr="00546FA0">
        <w:rPr>
          <w:b/>
          <w:sz w:val="24"/>
          <w:szCs w:val="24"/>
        </w:rPr>
        <w:t>Terapeutisk klassifikation</w:t>
      </w:r>
    </w:p>
    <w:p w:rsidR="004D1696" w:rsidRPr="00546FA0" w:rsidRDefault="004D1696" w:rsidP="00EC2A98">
      <w:pPr>
        <w:ind w:left="851"/>
        <w:rPr>
          <w:sz w:val="24"/>
          <w:szCs w:val="24"/>
        </w:rPr>
      </w:pPr>
      <w:r w:rsidRPr="00546FA0">
        <w:rPr>
          <w:sz w:val="24"/>
          <w:szCs w:val="24"/>
        </w:rPr>
        <w:t>ATC-kode: R</w:t>
      </w:r>
      <w:r w:rsidR="00180DED">
        <w:rPr>
          <w:sz w:val="24"/>
          <w:szCs w:val="24"/>
        </w:rPr>
        <w:t xml:space="preserve"> </w:t>
      </w:r>
      <w:r w:rsidRPr="00546FA0">
        <w:rPr>
          <w:sz w:val="24"/>
          <w:szCs w:val="24"/>
        </w:rPr>
        <w:t>02</w:t>
      </w:r>
      <w:r w:rsidR="00180DED">
        <w:rPr>
          <w:sz w:val="24"/>
          <w:szCs w:val="24"/>
        </w:rPr>
        <w:t xml:space="preserve"> </w:t>
      </w:r>
      <w:r w:rsidRPr="00546FA0">
        <w:rPr>
          <w:sz w:val="24"/>
          <w:szCs w:val="24"/>
        </w:rPr>
        <w:t>AA</w:t>
      </w:r>
      <w:r w:rsidR="00180DED">
        <w:rPr>
          <w:sz w:val="24"/>
          <w:szCs w:val="24"/>
        </w:rPr>
        <w:t xml:space="preserve"> </w:t>
      </w:r>
      <w:r w:rsidRPr="00546FA0">
        <w:rPr>
          <w:sz w:val="24"/>
          <w:szCs w:val="24"/>
        </w:rPr>
        <w:t>03</w:t>
      </w:r>
      <w:r w:rsidR="00180DED">
        <w:rPr>
          <w:sz w:val="24"/>
          <w:szCs w:val="24"/>
        </w:rPr>
        <w:t>.</w:t>
      </w:r>
      <w:r w:rsidRPr="00546FA0">
        <w:rPr>
          <w:sz w:val="24"/>
          <w:szCs w:val="24"/>
        </w:rPr>
        <w:t xml:space="preserve"> Dichlorbenzylalkohol. Halsmidler. Antiseptika</w:t>
      </w:r>
    </w:p>
    <w:p w:rsidR="004D1696" w:rsidRPr="00546FA0" w:rsidRDefault="004D1696" w:rsidP="00EC2A98">
      <w:pPr>
        <w:ind w:left="851"/>
        <w:rPr>
          <w:sz w:val="24"/>
          <w:szCs w:val="24"/>
        </w:rPr>
      </w:pPr>
    </w:p>
    <w:p w:rsidR="005852E4" w:rsidRPr="00546FA0" w:rsidRDefault="005852E4" w:rsidP="00EC2A98">
      <w:pPr>
        <w:numPr>
          <w:ilvl w:val="1"/>
          <w:numId w:val="2"/>
        </w:numPr>
        <w:tabs>
          <w:tab w:val="clear" w:pos="2159"/>
        </w:tabs>
        <w:ind w:left="851" w:hanging="851"/>
        <w:rPr>
          <w:b/>
          <w:sz w:val="24"/>
          <w:szCs w:val="24"/>
        </w:rPr>
      </w:pPr>
      <w:r w:rsidRPr="00546FA0">
        <w:rPr>
          <w:b/>
          <w:sz w:val="24"/>
          <w:szCs w:val="24"/>
        </w:rPr>
        <w:t>Farmakodynamiske egenskaber</w:t>
      </w:r>
    </w:p>
    <w:p w:rsidR="005852E4" w:rsidRPr="00546FA0" w:rsidRDefault="005852E4" w:rsidP="00EC2A98">
      <w:pPr>
        <w:ind w:left="851"/>
        <w:rPr>
          <w:sz w:val="24"/>
          <w:szCs w:val="24"/>
        </w:rPr>
      </w:pPr>
      <w:r w:rsidRPr="00546FA0">
        <w:rPr>
          <w:sz w:val="24"/>
          <w:szCs w:val="24"/>
        </w:rPr>
        <w:t>2,4-dichlorbenzyl alkohol og amylmetakresol har antiseptiske antibakteriele, antimykotiske og antivirale egenskaber. De aktive indholdsstoffer blokerer reversibelt spændingsafhængige ionkanaler på en lignende måde, som lokalt bedøvende midler</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t xml:space="preserve">Kombinationen af de to aktive substanser giver en synergistisk antibakteriel effekt, hvilket medfører det reducerede indhold af de to aktiver i Strepsils sugetabletter. </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t xml:space="preserve">Den antibakteriele og antimykotiske virkning af Strepsils sugetabletter er blevet vist i både in vitro og in vivo-studier. In vitro antiviral effekt mod kappeklædte vira er også blevet demonstreret for Strepsils sugetabletter efter 1 minuts kontakt. Strepsils har været anvendt i mange år, og der er intet der tyder på resistens overfor Strepsils. </w:t>
      </w:r>
    </w:p>
    <w:p w:rsidR="005852E4" w:rsidRPr="00546FA0" w:rsidRDefault="005852E4" w:rsidP="00EC2A98">
      <w:pPr>
        <w:ind w:left="851"/>
        <w:rPr>
          <w:sz w:val="24"/>
          <w:szCs w:val="24"/>
        </w:rPr>
      </w:pPr>
    </w:p>
    <w:p w:rsidR="005852E4" w:rsidRPr="00546FA0" w:rsidRDefault="005852E4" w:rsidP="00EC2A98">
      <w:pPr>
        <w:suppressAutoHyphens/>
        <w:ind w:left="851"/>
        <w:rPr>
          <w:sz w:val="24"/>
          <w:szCs w:val="24"/>
        </w:rPr>
      </w:pPr>
      <w:r w:rsidRPr="00546FA0">
        <w:rPr>
          <w:sz w:val="24"/>
          <w:szCs w:val="24"/>
        </w:rPr>
        <w:t>En fordobling af volumen af saliva blev observeret inden for et minut og niveauer over baseline var opretholdt mens sugetabletten langsomt blev opløst i ca. 6 minutter</w:t>
      </w:r>
    </w:p>
    <w:p w:rsidR="005852E4" w:rsidRPr="00546FA0" w:rsidRDefault="005852E4" w:rsidP="00EC2A98">
      <w:pPr>
        <w:suppressAutoHyphens/>
        <w:ind w:left="851"/>
        <w:rPr>
          <w:sz w:val="24"/>
          <w:szCs w:val="24"/>
        </w:rPr>
      </w:pPr>
    </w:p>
    <w:p w:rsidR="005852E4" w:rsidRPr="00546FA0" w:rsidRDefault="005852E4" w:rsidP="00EC2A98">
      <w:pPr>
        <w:suppressAutoHyphens/>
        <w:ind w:left="851"/>
        <w:rPr>
          <w:sz w:val="24"/>
          <w:szCs w:val="24"/>
        </w:rPr>
      </w:pPr>
      <w:r w:rsidRPr="00546FA0">
        <w:rPr>
          <w:sz w:val="24"/>
          <w:szCs w:val="24"/>
        </w:rPr>
        <w:t>Scintigrafiske studier med Strepsils sugetabletter har vist at den gradvise opløsning af sugetabletten i munden og i halsen, giver en effekt efter 2 minutter og i op til 2 timer efter indtagelse af sugetabletten.</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t xml:space="preserve">Strepsils’ smertestillende effekt på øm hals og effekt på lindring af synkebesvær er blevet påvist i kliniske studier, hvor virkningen indtræffer efter 5 minutter og varer i op til 2 timer. Effekten af op til 3 dages behandling med Strepsils sugetabletter er signifikant bedre end ved brug af ikke-medicinske sugetabletter. </w:t>
      </w:r>
    </w:p>
    <w:p w:rsidR="005852E4" w:rsidRPr="00546FA0" w:rsidRDefault="005852E4" w:rsidP="00EC2A98">
      <w:pPr>
        <w:ind w:left="851"/>
        <w:rPr>
          <w:sz w:val="24"/>
          <w:szCs w:val="24"/>
        </w:rPr>
      </w:pPr>
    </w:p>
    <w:p w:rsidR="005852E4" w:rsidRPr="00546FA0" w:rsidRDefault="005852E4" w:rsidP="00EC2A98">
      <w:pPr>
        <w:numPr>
          <w:ilvl w:val="1"/>
          <w:numId w:val="3"/>
        </w:numPr>
        <w:tabs>
          <w:tab w:val="clear" w:pos="855"/>
        </w:tabs>
        <w:ind w:left="851" w:hanging="851"/>
        <w:rPr>
          <w:b/>
          <w:sz w:val="24"/>
          <w:szCs w:val="24"/>
        </w:rPr>
      </w:pPr>
      <w:r w:rsidRPr="00546FA0">
        <w:rPr>
          <w:b/>
          <w:sz w:val="24"/>
          <w:szCs w:val="24"/>
        </w:rPr>
        <w:t>Farmakokinetiske egenskaber</w:t>
      </w:r>
    </w:p>
    <w:p w:rsidR="005852E4" w:rsidRPr="00546FA0" w:rsidRDefault="005852E4" w:rsidP="00EC2A98">
      <w:pPr>
        <w:ind w:left="851"/>
        <w:rPr>
          <w:sz w:val="24"/>
          <w:szCs w:val="24"/>
        </w:rPr>
      </w:pPr>
      <w:r w:rsidRPr="00546FA0">
        <w:rPr>
          <w:sz w:val="24"/>
          <w:szCs w:val="24"/>
        </w:rPr>
        <w:t xml:space="preserve">Et biotilgængelighedsstudie med Strepsils sugetabletter viste en hurtig frigivelse af 2,4- dichlorbenzylalkohol og amylmetakresol i saliva, og peakkoncentrationer opnået inden for 3-4 minutters sugning på sugetabletten. Kvantificerbare mængder af de aktive stoffer kunne findes i op til 20-30 minutter efter indtagelse af sugetabletten, og samlet genfinding af de aktive substanser antyder en forlænget residens i munden og i slimhinderne i halsen. </w:t>
      </w:r>
    </w:p>
    <w:p w:rsidR="005852E4" w:rsidRPr="00546FA0" w:rsidRDefault="005852E4" w:rsidP="00EC2A98">
      <w:pPr>
        <w:ind w:left="851"/>
        <w:rPr>
          <w:sz w:val="24"/>
          <w:szCs w:val="24"/>
        </w:rPr>
      </w:pPr>
    </w:p>
    <w:p w:rsidR="005852E4" w:rsidRPr="00546FA0" w:rsidRDefault="005852E4" w:rsidP="00EC2A98">
      <w:pPr>
        <w:numPr>
          <w:ilvl w:val="1"/>
          <w:numId w:val="4"/>
        </w:numPr>
        <w:tabs>
          <w:tab w:val="clear" w:pos="855"/>
        </w:tabs>
        <w:ind w:left="851" w:hanging="851"/>
        <w:rPr>
          <w:b/>
          <w:sz w:val="24"/>
          <w:szCs w:val="24"/>
        </w:rPr>
      </w:pPr>
      <w:r w:rsidRPr="00546FA0">
        <w:rPr>
          <w:b/>
          <w:sz w:val="24"/>
          <w:szCs w:val="24"/>
        </w:rPr>
        <w:t>Prækliniske sikkerhedsdata</w:t>
      </w:r>
    </w:p>
    <w:p w:rsidR="005852E4" w:rsidRPr="00546FA0" w:rsidRDefault="005852E4" w:rsidP="00EC2A98">
      <w:pPr>
        <w:ind w:left="851"/>
        <w:rPr>
          <w:sz w:val="24"/>
          <w:szCs w:val="24"/>
        </w:rPr>
      </w:pPr>
      <w:r w:rsidRPr="00546FA0">
        <w:rPr>
          <w:sz w:val="24"/>
          <w:szCs w:val="24"/>
        </w:rPr>
        <w:t>Den akute orale toksicitet af 2, 4-dichlorbenzylalkohol og amylmetakresol er lav med en høj sikkerhedsmargen og toksikologiske studier antyder kun en meget lille skade på nyrerne ved en firedobbelt dosis i forhold til den dagligt anbefalede dosis.</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lastRenderedPageBreak/>
        <w:t xml:space="preserve">I kroniske toksikologiske studier på rotter, er der fundet en forøget lever- og nyrevægt efter behandling med daglig oral dosis på 200 og 400 mg/kg af 2,4-dichlorbenzylalkohol. Dette overstiger langt den anbefalede daglige dosis af Strepsils sugetabletter. Yderligere er der observeret dosisafhængig skade på det gastriske epithel. Ulcerøse erosioner og nekrose samt hyperplasi og hyperkeratose af ephitelet forekom. </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t xml:space="preserve">In vitro og in vivo-test af genetisk toksikologi på de aktive substanser gav ingen beviser på et klinisk relevant genotoksisk potentiale for Strepsils. De genotoksiske data og studier på langvarigt brug, gav ingen karcinogene resultater. </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t>Et embryotoksicitetsstudie i kaniner og et prospektivt humant sikkerhedsstudie gav ingen teratogene resultater. Studiet i kaniner, med 50 gange daglig dosis af Strepsils, viste ingen indflydelse på graviditet, fosterudvikling og medførte ikke fosterskader. Der findes hverken data angående mandlig og kvindelig fertilitet eller data om den præ- og postnatale udvikling.</w:t>
      </w:r>
    </w:p>
    <w:p w:rsidR="005852E4" w:rsidRPr="00546FA0" w:rsidRDefault="005852E4" w:rsidP="00EC2A98">
      <w:pPr>
        <w:ind w:left="851"/>
        <w:rPr>
          <w:sz w:val="24"/>
          <w:szCs w:val="24"/>
        </w:rPr>
      </w:pPr>
    </w:p>
    <w:p w:rsidR="00C35A80" w:rsidRPr="00546FA0" w:rsidRDefault="00C35A80" w:rsidP="00EC2A98">
      <w:pPr>
        <w:ind w:left="851"/>
        <w:rPr>
          <w:sz w:val="24"/>
          <w:szCs w:val="24"/>
        </w:rPr>
      </w:pPr>
    </w:p>
    <w:p w:rsidR="005852E4" w:rsidRPr="00546FA0" w:rsidRDefault="005852E4" w:rsidP="00EC2A98">
      <w:pPr>
        <w:numPr>
          <w:ilvl w:val="0"/>
          <w:numId w:val="3"/>
        </w:numPr>
        <w:tabs>
          <w:tab w:val="clear" w:pos="855"/>
        </w:tabs>
        <w:ind w:left="851" w:hanging="851"/>
        <w:rPr>
          <w:b/>
          <w:sz w:val="24"/>
          <w:szCs w:val="24"/>
        </w:rPr>
      </w:pPr>
      <w:r w:rsidRPr="00546FA0">
        <w:rPr>
          <w:b/>
          <w:sz w:val="24"/>
          <w:szCs w:val="24"/>
        </w:rPr>
        <w:t>FARMACEUTISKE OPLYSNINGER</w:t>
      </w:r>
    </w:p>
    <w:p w:rsidR="005852E4" w:rsidRPr="00546FA0" w:rsidRDefault="005852E4" w:rsidP="00EC2A98">
      <w:pPr>
        <w:ind w:left="851"/>
        <w:rPr>
          <w:b/>
          <w:sz w:val="24"/>
          <w:szCs w:val="24"/>
        </w:rPr>
      </w:pPr>
    </w:p>
    <w:p w:rsidR="005852E4" w:rsidRPr="00546FA0" w:rsidRDefault="005852E4" w:rsidP="00EC2A98">
      <w:pPr>
        <w:numPr>
          <w:ilvl w:val="1"/>
          <w:numId w:val="5"/>
        </w:numPr>
        <w:tabs>
          <w:tab w:val="clear" w:pos="855"/>
        </w:tabs>
        <w:ind w:left="851" w:hanging="851"/>
        <w:rPr>
          <w:b/>
          <w:sz w:val="24"/>
          <w:szCs w:val="24"/>
        </w:rPr>
      </w:pPr>
      <w:r w:rsidRPr="00546FA0">
        <w:rPr>
          <w:b/>
          <w:sz w:val="24"/>
          <w:szCs w:val="24"/>
        </w:rPr>
        <w:t>Hjælpestoffer</w:t>
      </w:r>
    </w:p>
    <w:p w:rsidR="005852E4" w:rsidRPr="00546FA0" w:rsidRDefault="005852E4" w:rsidP="00EC2A98">
      <w:pPr>
        <w:ind w:left="851"/>
        <w:rPr>
          <w:sz w:val="24"/>
          <w:szCs w:val="24"/>
        </w:rPr>
      </w:pPr>
      <w:r w:rsidRPr="00546FA0">
        <w:rPr>
          <w:sz w:val="24"/>
          <w:szCs w:val="24"/>
        </w:rPr>
        <w:t>Isomalt (E953)</w:t>
      </w:r>
    </w:p>
    <w:p w:rsidR="005852E4" w:rsidRPr="00546FA0" w:rsidRDefault="005852E4" w:rsidP="00EC2A98">
      <w:pPr>
        <w:ind w:left="851"/>
        <w:rPr>
          <w:sz w:val="24"/>
          <w:szCs w:val="24"/>
        </w:rPr>
      </w:pPr>
      <w:r w:rsidRPr="00546FA0">
        <w:rPr>
          <w:sz w:val="24"/>
          <w:szCs w:val="24"/>
        </w:rPr>
        <w:t xml:space="preserve">Maltitol, flydende (E965) </w:t>
      </w:r>
    </w:p>
    <w:p w:rsidR="005852E4" w:rsidRPr="00546FA0" w:rsidRDefault="005852E4" w:rsidP="00EC2A98">
      <w:pPr>
        <w:ind w:left="851"/>
        <w:rPr>
          <w:sz w:val="24"/>
          <w:szCs w:val="24"/>
          <w:lang w:val="en-US"/>
        </w:rPr>
      </w:pPr>
      <w:r w:rsidRPr="00546FA0">
        <w:rPr>
          <w:sz w:val="24"/>
          <w:szCs w:val="24"/>
          <w:lang w:val="en-US"/>
        </w:rPr>
        <w:t>Vinsyre (E334)</w:t>
      </w:r>
    </w:p>
    <w:p w:rsidR="005852E4" w:rsidRPr="00546FA0" w:rsidRDefault="005852E4" w:rsidP="00EC2A98">
      <w:pPr>
        <w:ind w:left="851"/>
        <w:rPr>
          <w:sz w:val="24"/>
          <w:szCs w:val="24"/>
          <w:lang w:val="en-US"/>
        </w:rPr>
      </w:pPr>
      <w:r w:rsidRPr="00546FA0">
        <w:rPr>
          <w:sz w:val="24"/>
          <w:szCs w:val="24"/>
          <w:lang w:val="en-US"/>
        </w:rPr>
        <w:t>Citronaroma</w:t>
      </w:r>
    </w:p>
    <w:p w:rsidR="005852E4" w:rsidRPr="00546FA0" w:rsidRDefault="005852E4" w:rsidP="00EC2A98">
      <w:pPr>
        <w:ind w:left="851"/>
        <w:rPr>
          <w:sz w:val="24"/>
          <w:szCs w:val="24"/>
          <w:lang w:val="en-US"/>
        </w:rPr>
      </w:pPr>
      <w:r w:rsidRPr="00546FA0">
        <w:rPr>
          <w:sz w:val="24"/>
          <w:szCs w:val="24"/>
          <w:lang w:val="en-US"/>
        </w:rPr>
        <w:t>Saccharinnatrium (E954)</w:t>
      </w:r>
    </w:p>
    <w:p w:rsidR="005852E4" w:rsidRPr="00546FA0" w:rsidRDefault="005852E4" w:rsidP="00EC2A98">
      <w:pPr>
        <w:ind w:left="851"/>
        <w:rPr>
          <w:sz w:val="24"/>
          <w:szCs w:val="24"/>
          <w:lang w:val="en-US"/>
        </w:rPr>
      </w:pPr>
    </w:p>
    <w:p w:rsidR="005852E4" w:rsidRPr="00546FA0" w:rsidRDefault="005852E4" w:rsidP="00EC2A98">
      <w:pPr>
        <w:numPr>
          <w:ilvl w:val="1"/>
          <w:numId w:val="5"/>
        </w:numPr>
        <w:tabs>
          <w:tab w:val="clear" w:pos="855"/>
        </w:tabs>
        <w:ind w:left="851" w:hanging="851"/>
        <w:rPr>
          <w:b/>
          <w:sz w:val="24"/>
          <w:szCs w:val="24"/>
        </w:rPr>
      </w:pPr>
      <w:r w:rsidRPr="00546FA0">
        <w:rPr>
          <w:b/>
          <w:sz w:val="24"/>
          <w:szCs w:val="24"/>
        </w:rPr>
        <w:t>Uforligeligheder</w:t>
      </w:r>
    </w:p>
    <w:p w:rsidR="005852E4" w:rsidRPr="00546FA0" w:rsidRDefault="005852E4" w:rsidP="00EC2A98">
      <w:pPr>
        <w:ind w:left="851"/>
        <w:rPr>
          <w:sz w:val="24"/>
          <w:szCs w:val="24"/>
        </w:rPr>
      </w:pPr>
      <w:r w:rsidRPr="00546FA0">
        <w:rPr>
          <w:sz w:val="24"/>
          <w:szCs w:val="24"/>
        </w:rPr>
        <w:t>Ingen</w:t>
      </w:r>
    </w:p>
    <w:p w:rsidR="005852E4" w:rsidRPr="00546FA0" w:rsidRDefault="005852E4" w:rsidP="00EC2A98">
      <w:pPr>
        <w:ind w:left="851"/>
        <w:rPr>
          <w:sz w:val="24"/>
          <w:szCs w:val="24"/>
        </w:rPr>
      </w:pPr>
    </w:p>
    <w:p w:rsidR="005852E4" w:rsidRPr="00546FA0" w:rsidRDefault="005852E4" w:rsidP="00EC2A98">
      <w:pPr>
        <w:numPr>
          <w:ilvl w:val="1"/>
          <w:numId w:val="5"/>
        </w:numPr>
        <w:tabs>
          <w:tab w:val="clear" w:pos="855"/>
        </w:tabs>
        <w:ind w:left="851" w:hanging="851"/>
        <w:rPr>
          <w:b/>
          <w:sz w:val="24"/>
          <w:szCs w:val="24"/>
        </w:rPr>
      </w:pPr>
      <w:r w:rsidRPr="00546FA0">
        <w:rPr>
          <w:b/>
          <w:sz w:val="24"/>
          <w:szCs w:val="24"/>
        </w:rPr>
        <w:t>Opbevaringstid</w:t>
      </w:r>
    </w:p>
    <w:p w:rsidR="005852E4" w:rsidRPr="00546FA0" w:rsidRDefault="005852E4" w:rsidP="00EC2A98">
      <w:pPr>
        <w:ind w:left="851"/>
        <w:rPr>
          <w:sz w:val="24"/>
          <w:szCs w:val="24"/>
        </w:rPr>
      </w:pPr>
      <w:r w:rsidRPr="00546FA0">
        <w:rPr>
          <w:sz w:val="24"/>
          <w:szCs w:val="24"/>
        </w:rPr>
        <w:t>18 måneder.</w:t>
      </w:r>
    </w:p>
    <w:p w:rsidR="005852E4" w:rsidRPr="00546FA0" w:rsidRDefault="005852E4" w:rsidP="00EC2A98">
      <w:pPr>
        <w:ind w:left="851"/>
        <w:rPr>
          <w:sz w:val="24"/>
          <w:szCs w:val="24"/>
        </w:rPr>
      </w:pPr>
    </w:p>
    <w:p w:rsidR="005852E4" w:rsidRPr="00546FA0" w:rsidRDefault="005852E4" w:rsidP="00EC2A98">
      <w:pPr>
        <w:numPr>
          <w:ilvl w:val="1"/>
          <w:numId w:val="5"/>
        </w:numPr>
        <w:tabs>
          <w:tab w:val="clear" w:pos="855"/>
        </w:tabs>
        <w:ind w:left="851" w:hanging="851"/>
        <w:rPr>
          <w:b/>
          <w:sz w:val="24"/>
          <w:szCs w:val="24"/>
        </w:rPr>
      </w:pPr>
      <w:r w:rsidRPr="00546FA0">
        <w:rPr>
          <w:b/>
          <w:sz w:val="24"/>
          <w:szCs w:val="24"/>
        </w:rPr>
        <w:t>Særlige opbevaringsforhold</w:t>
      </w:r>
    </w:p>
    <w:p w:rsidR="005852E4" w:rsidRPr="00546FA0" w:rsidRDefault="005852E4" w:rsidP="00EC2A98">
      <w:pPr>
        <w:ind w:left="851"/>
        <w:rPr>
          <w:sz w:val="24"/>
          <w:szCs w:val="24"/>
        </w:rPr>
      </w:pPr>
      <w:r w:rsidRPr="00546FA0">
        <w:rPr>
          <w:sz w:val="24"/>
          <w:szCs w:val="24"/>
        </w:rPr>
        <w:t>Opbevares i original emballage.</w:t>
      </w:r>
    </w:p>
    <w:p w:rsidR="00BC378C" w:rsidRDefault="00BC378C" w:rsidP="00EC2A98">
      <w:pPr>
        <w:ind w:left="851"/>
        <w:rPr>
          <w:sz w:val="24"/>
          <w:szCs w:val="24"/>
        </w:rPr>
      </w:pPr>
    </w:p>
    <w:p w:rsidR="005852E4" w:rsidRPr="00546FA0" w:rsidRDefault="005852E4" w:rsidP="00EC2A98">
      <w:pPr>
        <w:ind w:left="851"/>
        <w:rPr>
          <w:sz w:val="24"/>
          <w:szCs w:val="24"/>
        </w:rPr>
      </w:pPr>
      <w:r w:rsidRPr="00546FA0">
        <w:rPr>
          <w:sz w:val="24"/>
          <w:szCs w:val="24"/>
        </w:rPr>
        <w:t>Må ikke opbevares ved temperaturer over 25</w:t>
      </w:r>
      <w:r w:rsidR="00BC378C">
        <w:rPr>
          <w:sz w:val="24"/>
          <w:szCs w:val="24"/>
        </w:rPr>
        <w:t xml:space="preserve"> </w:t>
      </w:r>
      <w:r w:rsidRPr="00546FA0">
        <w:rPr>
          <w:sz w:val="24"/>
          <w:szCs w:val="24"/>
        </w:rPr>
        <w:sym w:font="Symbol" w:char="00B0"/>
      </w:r>
      <w:r w:rsidRPr="00546FA0">
        <w:rPr>
          <w:sz w:val="24"/>
          <w:szCs w:val="24"/>
        </w:rPr>
        <w:t>C.</w:t>
      </w:r>
    </w:p>
    <w:p w:rsidR="005852E4" w:rsidRPr="00546FA0" w:rsidRDefault="005852E4" w:rsidP="00EC2A98">
      <w:pPr>
        <w:ind w:left="851"/>
        <w:rPr>
          <w:sz w:val="24"/>
          <w:szCs w:val="24"/>
        </w:rPr>
      </w:pPr>
    </w:p>
    <w:p w:rsidR="005852E4" w:rsidRPr="00546FA0" w:rsidRDefault="005852E4" w:rsidP="00EC2A98">
      <w:pPr>
        <w:numPr>
          <w:ilvl w:val="1"/>
          <w:numId w:val="5"/>
        </w:numPr>
        <w:tabs>
          <w:tab w:val="clear" w:pos="855"/>
        </w:tabs>
        <w:ind w:left="851" w:hanging="851"/>
        <w:rPr>
          <w:b/>
          <w:sz w:val="24"/>
          <w:szCs w:val="24"/>
        </w:rPr>
      </w:pPr>
      <w:r w:rsidRPr="00546FA0">
        <w:rPr>
          <w:b/>
          <w:sz w:val="24"/>
          <w:szCs w:val="24"/>
        </w:rPr>
        <w:t>Emballagetyper og pakningsstørrelser</w:t>
      </w:r>
    </w:p>
    <w:p w:rsidR="006C53D7" w:rsidRDefault="006C53D7" w:rsidP="00EC2A98">
      <w:pPr>
        <w:ind w:left="851"/>
        <w:rPr>
          <w:sz w:val="24"/>
          <w:szCs w:val="24"/>
        </w:rPr>
      </w:pPr>
    </w:p>
    <w:p w:rsidR="005852E4" w:rsidRPr="006C53D7" w:rsidRDefault="005852E4" w:rsidP="00EC2A98">
      <w:pPr>
        <w:ind w:left="851"/>
        <w:rPr>
          <w:sz w:val="24"/>
          <w:szCs w:val="24"/>
          <w:u w:val="single"/>
        </w:rPr>
      </w:pPr>
      <w:r w:rsidRPr="006C53D7">
        <w:rPr>
          <w:sz w:val="24"/>
          <w:szCs w:val="24"/>
          <w:u w:val="single"/>
        </w:rPr>
        <w:t>Blisterpakning (PVC/PVDC/Aluminium folie)</w:t>
      </w:r>
    </w:p>
    <w:p w:rsidR="005852E4" w:rsidRPr="00546FA0" w:rsidRDefault="006C53D7" w:rsidP="00EC2A98">
      <w:pPr>
        <w:ind w:left="851"/>
        <w:rPr>
          <w:sz w:val="24"/>
          <w:szCs w:val="24"/>
        </w:rPr>
      </w:pPr>
      <w:r>
        <w:rPr>
          <w:sz w:val="24"/>
          <w:szCs w:val="24"/>
        </w:rPr>
        <w:t xml:space="preserve">Pakningsstørrelser: </w:t>
      </w:r>
      <w:r w:rsidR="005852E4" w:rsidRPr="00546FA0">
        <w:rPr>
          <w:sz w:val="24"/>
          <w:szCs w:val="24"/>
        </w:rPr>
        <w:t>6, 8, 10, 12, 14, 16, 18, 20, 22, 24, 26, 28, 30, 32, 36, 40, 44, 48 og 72 stk.</w:t>
      </w:r>
    </w:p>
    <w:p w:rsidR="005852E4" w:rsidRPr="00546FA0" w:rsidRDefault="005852E4" w:rsidP="00EC2A98">
      <w:pPr>
        <w:ind w:left="851"/>
        <w:rPr>
          <w:sz w:val="24"/>
          <w:szCs w:val="24"/>
        </w:rPr>
      </w:pPr>
    </w:p>
    <w:p w:rsidR="005852E4" w:rsidRPr="00546FA0" w:rsidRDefault="005852E4" w:rsidP="00EC2A98">
      <w:pPr>
        <w:ind w:left="851"/>
        <w:rPr>
          <w:sz w:val="24"/>
          <w:szCs w:val="24"/>
        </w:rPr>
      </w:pPr>
      <w:r w:rsidRPr="00546FA0">
        <w:rPr>
          <w:sz w:val="24"/>
          <w:szCs w:val="24"/>
        </w:rPr>
        <w:t>Ikke alle pakningsstørrelser er nødvendigvis markedsført.</w:t>
      </w:r>
    </w:p>
    <w:p w:rsidR="005852E4" w:rsidRPr="00546FA0" w:rsidRDefault="005852E4" w:rsidP="00EC2A98">
      <w:pPr>
        <w:ind w:left="851"/>
        <w:rPr>
          <w:sz w:val="24"/>
          <w:szCs w:val="24"/>
        </w:rPr>
      </w:pPr>
    </w:p>
    <w:p w:rsidR="005852E4" w:rsidRPr="00546FA0" w:rsidRDefault="005852E4" w:rsidP="00EC2A98">
      <w:pPr>
        <w:numPr>
          <w:ilvl w:val="1"/>
          <w:numId w:val="5"/>
        </w:numPr>
        <w:tabs>
          <w:tab w:val="clear" w:pos="855"/>
        </w:tabs>
        <w:ind w:left="851" w:hanging="851"/>
        <w:rPr>
          <w:b/>
          <w:sz w:val="24"/>
          <w:szCs w:val="24"/>
        </w:rPr>
      </w:pPr>
      <w:r w:rsidRPr="00546FA0">
        <w:rPr>
          <w:b/>
          <w:sz w:val="24"/>
          <w:szCs w:val="24"/>
        </w:rPr>
        <w:t>Regler for bortskaffelse og anden håndtering</w:t>
      </w:r>
    </w:p>
    <w:p w:rsidR="005852E4" w:rsidRPr="00546FA0" w:rsidRDefault="005852E4" w:rsidP="00EC2A98">
      <w:pPr>
        <w:ind w:left="851"/>
        <w:rPr>
          <w:sz w:val="24"/>
          <w:szCs w:val="24"/>
        </w:rPr>
      </w:pPr>
      <w:r w:rsidRPr="00546FA0">
        <w:rPr>
          <w:sz w:val="24"/>
          <w:szCs w:val="24"/>
        </w:rPr>
        <w:t>Ingen særlige forholdsregler.</w:t>
      </w:r>
    </w:p>
    <w:p w:rsidR="006C53D7" w:rsidRDefault="006C53D7">
      <w:pPr>
        <w:rPr>
          <w:sz w:val="24"/>
          <w:szCs w:val="24"/>
        </w:rPr>
      </w:pPr>
      <w:r>
        <w:rPr>
          <w:sz w:val="24"/>
          <w:szCs w:val="24"/>
        </w:rPr>
        <w:br w:type="page"/>
      </w:r>
    </w:p>
    <w:p w:rsidR="005852E4" w:rsidRPr="00546FA0" w:rsidRDefault="005852E4" w:rsidP="00EC2A98">
      <w:pPr>
        <w:ind w:left="851"/>
        <w:rPr>
          <w:sz w:val="24"/>
          <w:szCs w:val="24"/>
        </w:rPr>
      </w:pPr>
    </w:p>
    <w:p w:rsidR="005852E4" w:rsidRPr="00546FA0" w:rsidRDefault="005852E4" w:rsidP="00EC2A98">
      <w:pPr>
        <w:ind w:left="851" w:hanging="851"/>
        <w:rPr>
          <w:b/>
          <w:sz w:val="24"/>
          <w:szCs w:val="24"/>
        </w:rPr>
      </w:pPr>
      <w:r w:rsidRPr="00546FA0">
        <w:rPr>
          <w:b/>
          <w:sz w:val="24"/>
          <w:szCs w:val="24"/>
        </w:rPr>
        <w:t>7.</w:t>
      </w:r>
      <w:r w:rsidRPr="00546FA0">
        <w:rPr>
          <w:b/>
          <w:sz w:val="24"/>
          <w:szCs w:val="24"/>
        </w:rPr>
        <w:tab/>
        <w:t>INDEHAVER AF MARKEDSFØRINGSTILLADELSEN</w:t>
      </w:r>
    </w:p>
    <w:p w:rsidR="005852E4" w:rsidRPr="00546FA0" w:rsidRDefault="005852E4" w:rsidP="00EC2A98">
      <w:pPr>
        <w:ind w:left="851"/>
        <w:rPr>
          <w:sz w:val="24"/>
          <w:szCs w:val="24"/>
          <w:lang w:val="en-US"/>
        </w:rPr>
      </w:pPr>
      <w:r w:rsidRPr="00546FA0">
        <w:rPr>
          <w:sz w:val="24"/>
          <w:szCs w:val="24"/>
          <w:lang w:val="en-US"/>
        </w:rPr>
        <w:t>Reckitt Benckiser Healthcare (Scandinavia) A/S</w:t>
      </w:r>
    </w:p>
    <w:p w:rsidR="005852E4" w:rsidRPr="00546FA0" w:rsidRDefault="005852E4" w:rsidP="00EC2A98">
      <w:pPr>
        <w:ind w:left="851"/>
        <w:rPr>
          <w:sz w:val="24"/>
          <w:szCs w:val="24"/>
        </w:rPr>
      </w:pPr>
      <w:r w:rsidRPr="00546FA0">
        <w:rPr>
          <w:sz w:val="24"/>
          <w:szCs w:val="24"/>
        </w:rPr>
        <w:t>Vandtårnsvej 83A</w:t>
      </w:r>
    </w:p>
    <w:p w:rsidR="005852E4" w:rsidRPr="00546FA0" w:rsidRDefault="005852E4" w:rsidP="00EC2A98">
      <w:pPr>
        <w:ind w:left="851"/>
        <w:rPr>
          <w:sz w:val="24"/>
          <w:szCs w:val="24"/>
        </w:rPr>
      </w:pPr>
      <w:r w:rsidRPr="00546FA0">
        <w:rPr>
          <w:sz w:val="24"/>
          <w:szCs w:val="24"/>
        </w:rPr>
        <w:t>2860 Søborg</w:t>
      </w:r>
    </w:p>
    <w:p w:rsidR="005852E4" w:rsidRPr="00546FA0" w:rsidRDefault="005852E4" w:rsidP="00EC2A98">
      <w:pPr>
        <w:ind w:left="851"/>
        <w:rPr>
          <w:sz w:val="24"/>
          <w:szCs w:val="24"/>
        </w:rPr>
      </w:pPr>
    </w:p>
    <w:p w:rsidR="005852E4" w:rsidRPr="00546FA0" w:rsidRDefault="005852E4" w:rsidP="00EC2A98">
      <w:pPr>
        <w:ind w:left="851" w:hanging="851"/>
        <w:rPr>
          <w:b/>
          <w:sz w:val="24"/>
          <w:szCs w:val="24"/>
        </w:rPr>
      </w:pPr>
      <w:r w:rsidRPr="00546FA0">
        <w:rPr>
          <w:b/>
          <w:sz w:val="24"/>
          <w:szCs w:val="24"/>
        </w:rPr>
        <w:t>8.</w:t>
      </w:r>
      <w:r w:rsidRPr="00546FA0">
        <w:rPr>
          <w:b/>
          <w:sz w:val="24"/>
          <w:szCs w:val="24"/>
        </w:rPr>
        <w:tab/>
        <w:t>MARKEDSFØRINGSTILLADELSESNUMMER (NUMRE)</w:t>
      </w:r>
    </w:p>
    <w:p w:rsidR="005852E4" w:rsidRPr="00546FA0" w:rsidRDefault="005852E4" w:rsidP="00EC2A98">
      <w:pPr>
        <w:ind w:left="851"/>
        <w:rPr>
          <w:sz w:val="24"/>
          <w:szCs w:val="24"/>
        </w:rPr>
      </w:pPr>
      <w:r w:rsidRPr="00546FA0">
        <w:rPr>
          <w:sz w:val="24"/>
          <w:szCs w:val="24"/>
        </w:rPr>
        <w:t>49543</w:t>
      </w:r>
    </w:p>
    <w:p w:rsidR="005852E4" w:rsidRPr="00546FA0" w:rsidRDefault="005852E4" w:rsidP="00EC2A98">
      <w:pPr>
        <w:ind w:left="851"/>
        <w:rPr>
          <w:sz w:val="24"/>
          <w:szCs w:val="24"/>
        </w:rPr>
      </w:pPr>
    </w:p>
    <w:p w:rsidR="005852E4" w:rsidRPr="00546FA0" w:rsidRDefault="005852E4" w:rsidP="00EC2A98">
      <w:pPr>
        <w:ind w:left="851" w:hanging="851"/>
        <w:rPr>
          <w:b/>
          <w:sz w:val="24"/>
          <w:szCs w:val="24"/>
        </w:rPr>
      </w:pPr>
      <w:r w:rsidRPr="00546FA0">
        <w:rPr>
          <w:b/>
          <w:sz w:val="24"/>
          <w:szCs w:val="24"/>
        </w:rPr>
        <w:t>9.</w:t>
      </w:r>
      <w:r w:rsidRPr="00546FA0">
        <w:rPr>
          <w:b/>
          <w:sz w:val="24"/>
          <w:szCs w:val="24"/>
        </w:rPr>
        <w:tab/>
        <w:t>DATO FOR FØRSTE MARKEDSFØRINGSTILLADELSE</w:t>
      </w:r>
    </w:p>
    <w:p w:rsidR="005852E4" w:rsidRPr="00546FA0" w:rsidRDefault="005852E4" w:rsidP="00EC2A98">
      <w:pPr>
        <w:ind w:left="851"/>
        <w:rPr>
          <w:sz w:val="24"/>
          <w:szCs w:val="24"/>
        </w:rPr>
      </w:pPr>
      <w:r w:rsidRPr="00546FA0">
        <w:rPr>
          <w:sz w:val="24"/>
          <w:szCs w:val="24"/>
        </w:rPr>
        <w:t>21. april 1959</w:t>
      </w:r>
    </w:p>
    <w:p w:rsidR="005852E4" w:rsidRPr="00546FA0" w:rsidRDefault="005852E4" w:rsidP="00EC2A98">
      <w:pPr>
        <w:ind w:left="851"/>
        <w:rPr>
          <w:sz w:val="24"/>
          <w:szCs w:val="24"/>
        </w:rPr>
      </w:pPr>
    </w:p>
    <w:p w:rsidR="005852E4" w:rsidRPr="00546FA0" w:rsidRDefault="005852E4" w:rsidP="00EC2A98">
      <w:pPr>
        <w:ind w:left="851" w:hanging="851"/>
        <w:rPr>
          <w:b/>
          <w:sz w:val="24"/>
          <w:szCs w:val="24"/>
        </w:rPr>
      </w:pPr>
      <w:r w:rsidRPr="00546FA0">
        <w:rPr>
          <w:b/>
          <w:sz w:val="24"/>
          <w:szCs w:val="24"/>
        </w:rPr>
        <w:t>10.</w:t>
      </w:r>
      <w:r w:rsidRPr="00546FA0">
        <w:rPr>
          <w:b/>
          <w:sz w:val="24"/>
          <w:szCs w:val="24"/>
        </w:rPr>
        <w:tab/>
        <w:t>DATO FOR ÆNDRING AF TEKSTEN</w:t>
      </w:r>
    </w:p>
    <w:p w:rsidR="009260DE" w:rsidRPr="00546FA0" w:rsidRDefault="005852E4" w:rsidP="00B63396">
      <w:pPr>
        <w:ind w:left="851" w:hanging="851"/>
        <w:rPr>
          <w:sz w:val="24"/>
          <w:szCs w:val="24"/>
        </w:rPr>
      </w:pPr>
      <w:r w:rsidRPr="00546FA0">
        <w:rPr>
          <w:sz w:val="24"/>
          <w:szCs w:val="24"/>
        </w:rPr>
        <w:tab/>
      </w:r>
      <w:r w:rsidR="00B63396" w:rsidRPr="00546FA0">
        <w:rPr>
          <w:sz w:val="24"/>
          <w:szCs w:val="24"/>
        </w:rPr>
        <w:t>18. maj 2021</w:t>
      </w:r>
    </w:p>
    <w:sectPr w:rsidR="009260DE" w:rsidRPr="00546FA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2E4" w:rsidRDefault="005852E4">
      <w:r>
        <w:separator/>
      </w:r>
    </w:p>
  </w:endnote>
  <w:endnote w:type="continuationSeparator" w:id="0">
    <w:p w:rsidR="005852E4" w:rsidRDefault="00585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D684F">
      <w:rPr>
        <w:i/>
        <w:noProof/>
        <w:sz w:val="18"/>
        <w:szCs w:val="18"/>
      </w:rPr>
      <w:t>Strepsils Citrus Sukkerfri, sugetabletter 0,6+1,2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2E4" w:rsidRDefault="005852E4">
      <w:r>
        <w:separator/>
      </w:r>
    </w:p>
  </w:footnote>
  <w:footnote w:type="continuationSeparator" w:id="0">
    <w:p w:rsidR="005852E4" w:rsidRDefault="00585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E4"/>
    <w:rsid w:val="00003A8E"/>
    <w:rsid w:val="000259B9"/>
    <w:rsid w:val="00041491"/>
    <w:rsid w:val="00050D16"/>
    <w:rsid w:val="00074F2A"/>
    <w:rsid w:val="000A1CA8"/>
    <w:rsid w:val="000A466B"/>
    <w:rsid w:val="000B058C"/>
    <w:rsid w:val="000E4EE6"/>
    <w:rsid w:val="00120D51"/>
    <w:rsid w:val="001454E2"/>
    <w:rsid w:val="00180DED"/>
    <w:rsid w:val="001C168A"/>
    <w:rsid w:val="001D684F"/>
    <w:rsid w:val="00206CE8"/>
    <w:rsid w:val="0021526C"/>
    <w:rsid w:val="00283A2B"/>
    <w:rsid w:val="002B30AD"/>
    <w:rsid w:val="002C2C01"/>
    <w:rsid w:val="003A29AE"/>
    <w:rsid w:val="003A32D7"/>
    <w:rsid w:val="003B4074"/>
    <w:rsid w:val="003C0F96"/>
    <w:rsid w:val="003C769A"/>
    <w:rsid w:val="003F1838"/>
    <w:rsid w:val="0045746C"/>
    <w:rsid w:val="0049104B"/>
    <w:rsid w:val="004D1696"/>
    <w:rsid w:val="004E3B12"/>
    <w:rsid w:val="00532310"/>
    <w:rsid w:val="00546FA0"/>
    <w:rsid w:val="00560ECC"/>
    <w:rsid w:val="00565F0F"/>
    <w:rsid w:val="005852E4"/>
    <w:rsid w:val="00594A86"/>
    <w:rsid w:val="00596D86"/>
    <w:rsid w:val="00637F5A"/>
    <w:rsid w:val="006560B1"/>
    <w:rsid w:val="006756DD"/>
    <w:rsid w:val="006C53D7"/>
    <w:rsid w:val="006F7F85"/>
    <w:rsid w:val="00737275"/>
    <w:rsid w:val="00740EEC"/>
    <w:rsid w:val="0078011A"/>
    <w:rsid w:val="00782AF4"/>
    <w:rsid w:val="00790EE7"/>
    <w:rsid w:val="007B6649"/>
    <w:rsid w:val="007D372D"/>
    <w:rsid w:val="0081546F"/>
    <w:rsid w:val="0082576E"/>
    <w:rsid w:val="00907F75"/>
    <w:rsid w:val="009260DE"/>
    <w:rsid w:val="0093258A"/>
    <w:rsid w:val="009C7BA3"/>
    <w:rsid w:val="009D1F5A"/>
    <w:rsid w:val="00B003BF"/>
    <w:rsid w:val="00B373D7"/>
    <w:rsid w:val="00B63396"/>
    <w:rsid w:val="00BC378C"/>
    <w:rsid w:val="00BE37AD"/>
    <w:rsid w:val="00C35A80"/>
    <w:rsid w:val="00C36276"/>
    <w:rsid w:val="00C42586"/>
    <w:rsid w:val="00C60CCD"/>
    <w:rsid w:val="00C84483"/>
    <w:rsid w:val="00C95551"/>
    <w:rsid w:val="00CA40FC"/>
    <w:rsid w:val="00CB20D7"/>
    <w:rsid w:val="00D020B0"/>
    <w:rsid w:val="00D11748"/>
    <w:rsid w:val="00D366CF"/>
    <w:rsid w:val="00DA2521"/>
    <w:rsid w:val="00DF36D1"/>
    <w:rsid w:val="00E108AA"/>
    <w:rsid w:val="00E31812"/>
    <w:rsid w:val="00E3749A"/>
    <w:rsid w:val="00E55578"/>
    <w:rsid w:val="00E7437F"/>
    <w:rsid w:val="00E865B8"/>
    <w:rsid w:val="00EC0B9B"/>
    <w:rsid w:val="00EC2A98"/>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2FF56"/>
  <w15:chartTrackingRefBased/>
  <w15:docId w15:val="{736AED2F-9746-4058-A57F-86B55E2D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iPriority w:val="99"/>
    <w:rsid w:val="005852E4"/>
    <w:pPr>
      <w:spacing w:after="120"/>
      <w:ind w:left="720"/>
    </w:pPr>
    <w:rPr>
      <w:sz w:val="22"/>
      <w:lang w:val="en-GB" w:eastAsia="en-GB"/>
    </w:rPr>
  </w:style>
  <w:style w:type="paragraph" w:styleId="Listeafsnit">
    <w:name w:val="List Paragraph"/>
    <w:basedOn w:val="Normal"/>
    <w:uiPriority w:val="34"/>
    <w:qFormat/>
    <w:rsid w:val="001D6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80267915">
      <w:bodyDiv w:val="1"/>
      <w:marLeft w:val="0"/>
      <w:marRight w:val="0"/>
      <w:marTop w:val="0"/>
      <w:marBottom w:val="0"/>
      <w:divBdr>
        <w:top w:val="none" w:sz="0" w:space="0" w:color="auto"/>
        <w:left w:val="none" w:sz="0" w:space="0" w:color="auto"/>
        <w:bottom w:val="none" w:sz="0" w:space="0" w:color="auto"/>
        <w:right w:val="none" w:sz="0" w:space="0" w:color="auto"/>
      </w:divBdr>
    </w:div>
    <w:div w:id="20425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18</TotalTime>
  <Pages>6</Pages>
  <Words>1226</Words>
  <Characters>7788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Efter aftale med Patrick Sønderskov, Reckitt, i tlf d. 18. maj er filnavnet for de andre Strepsils SmPCer korrigeret (sv.t. styrkeangivelsen i LEOPARD samt SmPC SOP). Layout mv i den forbindelse gennemgået og rettet op på. Derfor er layout mv også gennemgået for dette SmPC.</dc:description>
  <cp:lastModifiedBy>Hanne Thy Iversen</cp:lastModifiedBy>
  <cp:revision>13</cp:revision>
  <cp:lastPrinted>2012-08-22T08:53:00Z</cp:lastPrinted>
  <dcterms:created xsi:type="dcterms:W3CDTF">2021-03-29T11:46:00Z</dcterms:created>
  <dcterms:modified xsi:type="dcterms:W3CDTF">2021-05-19T10:09:00Z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