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44BF0">
        <w:rPr>
          <w:szCs w:val="24"/>
        </w:rPr>
        <w:t>1</w:t>
      </w:r>
      <w:r w:rsidR="00C72CB7">
        <w:rPr>
          <w:szCs w:val="24"/>
        </w:rPr>
        <w:t>4</w:t>
      </w:r>
      <w:r w:rsidR="003517BF">
        <w:rPr>
          <w:szCs w:val="24"/>
        </w:rPr>
        <w:t>. februar</w:t>
      </w:r>
      <w:r w:rsidR="00005AE4">
        <w:rPr>
          <w:szCs w:val="24"/>
        </w:rPr>
        <w:t xml:space="preserve"> 202</w:t>
      </w:r>
      <w:r w:rsidR="003517BF">
        <w:rPr>
          <w:szCs w:val="24"/>
        </w:rPr>
        <w:t>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F8045D" w:rsidP="008A5BC6">
      <w:pPr>
        <w:tabs>
          <w:tab w:val="left" w:pos="614"/>
          <w:tab w:val="left" w:pos="1089"/>
          <w:tab w:val="center" w:pos="4819"/>
        </w:tabs>
        <w:rPr>
          <w:b/>
          <w:sz w:val="24"/>
          <w:szCs w:val="24"/>
        </w:rPr>
      </w:pPr>
      <w:r>
        <w:rPr>
          <w:b/>
          <w:sz w:val="24"/>
          <w:szCs w:val="24"/>
        </w:rPr>
        <w:tab/>
      </w:r>
      <w:r w:rsidR="008A5BC6">
        <w:rPr>
          <w:b/>
          <w:sz w:val="24"/>
          <w:szCs w:val="24"/>
        </w:rPr>
        <w:tab/>
      </w:r>
      <w:r w:rsidR="00E75DE6">
        <w:rPr>
          <w:b/>
          <w:sz w:val="24"/>
          <w:szCs w:val="24"/>
        </w:rPr>
        <w:tab/>
      </w:r>
      <w:r w:rsidR="009260DE" w:rsidRPr="00C84483">
        <w:rPr>
          <w:b/>
          <w:sz w:val="24"/>
          <w:szCs w:val="24"/>
        </w:rPr>
        <w:t>for</w:t>
      </w:r>
    </w:p>
    <w:p w:rsidR="000B058C" w:rsidRPr="00C84483" w:rsidRDefault="000B058C" w:rsidP="009260DE">
      <w:pPr>
        <w:jc w:val="center"/>
        <w:rPr>
          <w:b/>
          <w:sz w:val="24"/>
          <w:szCs w:val="24"/>
        </w:rPr>
      </w:pPr>
    </w:p>
    <w:p w:rsidR="009260DE" w:rsidRPr="00C84483" w:rsidRDefault="00F30A67" w:rsidP="009260DE">
      <w:pPr>
        <w:jc w:val="center"/>
        <w:rPr>
          <w:b/>
          <w:sz w:val="24"/>
          <w:szCs w:val="24"/>
        </w:rPr>
      </w:pPr>
      <w:proofErr w:type="spellStart"/>
      <w:r>
        <w:rPr>
          <w:b/>
          <w:sz w:val="24"/>
          <w:szCs w:val="24"/>
        </w:rPr>
        <w:t>Subutex</w:t>
      </w:r>
      <w:proofErr w:type="spellEnd"/>
      <w:r>
        <w:rPr>
          <w:b/>
          <w:sz w:val="24"/>
          <w:szCs w:val="24"/>
        </w:rPr>
        <w:t>, depotinjektionsvæske,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D020AC" w:rsidP="009260DE">
      <w:pPr>
        <w:tabs>
          <w:tab w:val="left" w:pos="851"/>
        </w:tabs>
        <w:ind w:left="851"/>
        <w:rPr>
          <w:sz w:val="24"/>
          <w:szCs w:val="24"/>
        </w:rPr>
      </w:pPr>
      <w:r>
        <w:rPr>
          <w:sz w:val="24"/>
          <w:szCs w:val="24"/>
        </w:rPr>
        <w:t>09980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D020AC" w:rsidP="009260DE">
      <w:pPr>
        <w:tabs>
          <w:tab w:val="left" w:pos="851"/>
        </w:tabs>
        <w:ind w:left="851"/>
        <w:rPr>
          <w:sz w:val="24"/>
          <w:szCs w:val="24"/>
        </w:rPr>
      </w:pPr>
      <w:proofErr w:type="spellStart"/>
      <w:r>
        <w:rPr>
          <w:sz w:val="24"/>
          <w:szCs w:val="24"/>
        </w:rPr>
        <w:t>Subutex</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020AC" w:rsidRDefault="00D020AC" w:rsidP="0090651F">
      <w:pPr>
        <w:tabs>
          <w:tab w:val="left" w:pos="851"/>
        </w:tabs>
        <w:ind w:left="851"/>
        <w:rPr>
          <w:sz w:val="24"/>
          <w:szCs w:val="24"/>
        </w:rPr>
      </w:pPr>
    </w:p>
    <w:p w:rsidR="003C7B72" w:rsidRPr="003C7B72" w:rsidRDefault="003C7B72" w:rsidP="003C7B72">
      <w:pPr>
        <w:ind w:firstLine="851"/>
        <w:contextualSpacing/>
        <w:rPr>
          <w:rFonts w:asciiTheme="majorBidi" w:hAnsiTheme="majorBidi" w:cstheme="majorBidi"/>
          <w:sz w:val="24"/>
          <w:szCs w:val="24"/>
          <w:u w:val="single"/>
        </w:rPr>
      </w:pPr>
      <w:bookmarkStart w:id="0" w:name="_Hlk507668763"/>
      <w:proofErr w:type="spellStart"/>
      <w:r w:rsidRPr="003C7B72">
        <w:rPr>
          <w:rFonts w:asciiTheme="majorBidi" w:hAnsiTheme="majorBidi" w:cstheme="majorBidi"/>
          <w:sz w:val="24"/>
          <w:szCs w:val="24"/>
          <w:u w:val="single"/>
        </w:rPr>
        <w:t>Subutex</w:t>
      </w:r>
      <w:proofErr w:type="spellEnd"/>
      <w:r w:rsidRPr="003C7B72">
        <w:rPr>
          <w:rFonts w:asciiTheme="majorBidi" w:hAnsiTheme="majorBidi" w:cstheme="majorBidi"/>
          <w:sz w:val="24"/>
          <w:szCs w:val="24"/>
          <w:u w:val="single"/>
        </w:rPr>
        <w:t xml:space="preserve"> 100 mg depotinjektionsvæske, opløsning </w:t>
      </w:r>
    </w:p>
    <w:p w:rsidR="003C7B72" w:rsidRPr="003C7B72" w:rsidRDefault="003C7B72" w:rsidP="003C7B72">
      <w:pPr>
        <w:ind w:left="851"/>
        <w:contextualSpacing/>
        <w:rPr>
          <w:rFonts w:asciiTheme="majorBidi" w:hAnsiTheme="majorBidi" w:cstheme="majorBidi"/>
          <w:sz w:val="24"/>
          <w:szCs w:val="24"/>
        </w:rPr>
      </w:pPr>
      <w:r w:rsidRPr="003C7B72">
        <w:rPr>
          <w:rFonts w:asciiTheme="majorBidi" w:hAnsiTheme="majorBidi" w:cstheme="majorBidi"/>
          <w:sz w:val="24"/>
          <w:szCs w:val="24"/>
        </w:rPr>
        <w:t xml:space="preserve">Hver fyldt sprøjte med 0,5 ml depotinjektionsvæske, opløsning, indeholder 100 mg </w:t>
      </w:r>
      <w:proofErr w:type="spellStart"/>
      <w:r w:rsidRPr="003C7B72">
        <w:rPr>
          <w:rFonts w:asciiTheme="majorBidi" w:hAnsiTheme="majorBidi" w:cstheme="majorBidi"/>
          <w:sz w:val="24"/>
          <w:szCs w:val="24"/>
        </w:rPr>
        <w:t>buprenorphin</w:t>
      </w:r>
      <w:proofErr w:type="spellEnd"/>
      <w:r w:rsidRPr="003C7B72">
        <w:rPr>
          <w:rFonts w:asciiTheme="majorBidi" w:hAnsiTheme="majorBidi" w:cstheme="majorBidi"/>
          <w:sz w:val="24"/>
          <w:szCs w:val="24"/>
        </w:rPr>
        <w:t>.</w:t>
      </w:r>
    </w:p>
    <w:p w:rsidR="003C7B72" w:rsidRPr="003C7B72" w:rsidRDefault="003C7B72" w:rsidP="003C7B72">
      <w:pPr>
        <w:contextualSpacing/>
        <w:rPr>
          <w:rFonts w:asciiTheme="majorBidi" w:hAnsiTheme="majorBidi" w:cstheme="majorBidi"/>
          <w:sz w:val="24"/>
          <w:szCs w:val="24"/>
        </w:rPr>
      </w:pPr>
    </w:p>
    <w:p w:rsidR="003C7B72" w:rsidRPr="003C7B72" w:rsidRDefault="003C7B72" w:rsidP="003C7B72">
      <w:pPr>
        <w:ind w:firstLine="851"/>
        <w:contextualSpacing/>
        <w:rPr>
          <w:rFonts w:asciiTheme="majorBidi" w:hAnsiTheme="majorBidi" w:cstheme="majorBidi"/>
          <w:sz w:val="24"/>
          <w:szCs w:val="24"/>
          <w:u w:val="single"/>
        </w:rPr>
      </w:pPr>
      <w:proofErr w:type="spellStart"/>
      <w:r w:rsidRPr="003C7B72">
        <w:rPr>
          <w:rFonts w:asciiTheme="majorBidi" w:hAnsiTheme="majorBidi" w:cstheme="majorBidi"/>
          <w:sz w:val="24"/>
          <w:szCs w:val="24"/>
          <w:u w:val="single"/>
        </w:rPr>
        <w:t>Subutex</w:t>
      </w:r>
      <w:proofErr w:type="spellEnd"/>
      <w:r w:rsidRPr="003C7B72">
        <w:rPr>
          <w:rFonts w:asciiTheme="majorBidi" w:hAnsiTheme="majorBidi" w:cstheme="majorBidi"/>
          <w:sz w:val="24"/>
          <w:szCs w:val="24"/>
          <w:u w:val="single"/>
        </w:rPr>
        <w:t xml:space="preserve"> 300 mg depotinjektionsvæske, opløsning </w:t>
      </w:r>
    </w:p>
    <w:p w:rsidR="003C7B72" w:rsidRPr="003C7B72" w:rsidRDefault="003C7B72" w:rsidP="003C7B72">
      <w:pPr>
        <w:ind w:left="851"/>
        <w:contextualSpacing/>
        <w:rPr>
          <w:rFonts w:asciiTheme="majorBidi" w:hAnsiTheme="majorBidi" w:cstheme="majorBidi"/>
          <w:sz w:val="24"/>
          <w:szCs w:val="24"/>
        </w:rPr>
      </w:pPr>
      <w:r w:rsidRPr="003C7B72">
        <w:rPr>
          <w:rFonts w:asciiTheme="majorBidi" w:hAnsiTheme="majorBidi" w:cstheme="majorBidi"/>
          <w:sz w:val="24"/>
          <w:szCs w:val="24"/>
        </w:rPr>
        <w:t xml:space="preserve">Hver fyldt sprøjte med 1,5 ml depotinjektionsvæske, opløsning, indeholder 300 mg </w:t>
      </w:r>
      <w:proofErr w:type="spellStart"/>
      <w:r w:rsidRPr="003C7B72">
        <w:rPr>
          <w:rFonts w:asciiTheme="majorBidi" w:hAnsiTheme="majorBidi" w:cstheme="majorBidi"/>
          <w:sz w:val="24"/>
          <w:szCs w:val="24"/>
        </w:rPr>
        <w:t>buprenorphin</w:t>
      </w:r>
      <w:proofErr w:type="spellEnd"/>
      <w:r w:rsidRPr="003C7B72">
        <w:rPr>
          <w:rFonts w:asciiTheme="majorBidi" w:hAnsiTheme="majorBidi" w:cstheme="majorBidi"/>
          <w:sz w:val="24"/>
          <w:szCs w:val="24"/>
        </w:rPr>
        <w:t>.</w:t>
      </w:r>
    </w:p>
    <w:bookmarkEnd w:id="0"/>
    <w:p w:rsidR="0090651F" w:rsidRPr="0090651F" w:rsidRDefault="0090651F" w:rsidP="0090651F">
      <w:pPr>
        <w:tabs>
          <w:tab w:val="left" w:pos="851"/>
        </w:tabs>
        <w:ind w:left="851"/>
        <w:rPr>
          <w:sz w:val="24"/>
          <w:szCs w:val="24"/>
        </w:rPr>
      </w:pPr>
    </w:p>
    <w:p w:rsidR="0090651F" w:rsidRPr="0090651F" w:rsidRDefault="0090651F" w:rsidP="0090651F">
      <w:pPr>
        <w:tabs>
          <w:tab w:val="left" w:pos="851"/>
        </w:tabs>
        <w:ind w:left="851"/>
        <w:rPr>
          <w:sz w:val="24"/>
          <w:szCs w:val="24"/>
        </w:rPr>
      </w:pPr>
      <w:r w:rsidRPr="0090651F">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0403F" w:rsidRDefault="0030403F" w:rsidP="0030403F">
      <w:pPr>
        <w:tabs>
          <w:tab w:val="left" w:pos="851"/>
        </w:tabs>
        <w:ind w:left="851"/>
        <w:rPr>
          <w:sz w:val="24"/>
          <w:szCs w:val="24"/>
        </w:rPr>
      </w:pPr>
      <w:r w:rsidRPr="0030403F">
        <w:rPr>
          <w:sz w:val="24"/>
          <w:szCs w:val="24"/>
        </w:rPr>
        <w:t>Depotinjektionsvæske, opløsning</w:t>
      </w:r>
    </w:p>
    <w:p w:rsidR="0030403F" w:rsidRPr="0030403F" w:rsidRDefault="0030403F" w:rsidP="0030403F">
      <w:pPr>
        <w:tabs>
          <w:tab w:val="left" w:pos="851"/>
        </w:tabs>
        <w:ind w:left="851"/>
        <w:rPr>
          <w:sz w:val="24"/>
          <w:szCs w:val="24"/>
        </w:rPr>
      </w:pPr>
    </w:p>
    <w:p w:rsidR="0030403F" w:rsidRPr="0030403F" w:rsidRDefault="0030403F" w:rsidP="0030403F">
      <w:pPr>
        <w:tabs>
          <w:tab w:val="left" w:pos="851"/>
        </w:tabs>
        <w:ind w:left="851"/>
        <w:rPr>
          <w:sz w:val="24"/>
          <w:szCs w:val="24"/>
        </w:rPr>
      </w:pPr>
      <w:r w:rsidRPr="0030403F">
        <w:rPr>
          <w:sz w:val="24"/>
          <w:szCs w:val="24"/>
        </w:rPr>
        <w:t>Klar, viskøs, farveløs til gul til ravgul steril opløsning.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C7B72" w:rsidRPr="009A1677" w:rsidRDefault="003C7B72" w:rsidP="003C7B72">
      <w:pPr>
        <w:contextualSpacing/>
        <w:rPr>
          <w:rFonts w:asciiTheme="majorBidi" w:hAnsiTheme="majorBidi" w:cstheme="majorBidi"/>
        </w:rPr>
      </w:pPr>
    </w:p>
    <w:p w:rsidR="003C7B72" w:rsidRPr="003C7B72" w:rsidRDefault="003C7B72" w:rsidP="003C7B72">
      <w:pPr>
        <w:ind w:left="851"/>
        <w:contextualSpacing/>
        <w:rPr>
          <w:rFonts w:asciiTheme="majorBidi" w:hAnsiTheme="majorBidi" w:cstheme="majorBidi"/>
          <w:sz w:val="24"/>
          <w:szCs w:val="24"/>
        </w:rPr>
      </w:pPr>
      <w:proofErr w:type="spellStart"/>
      <w:r w:rsidRPr="003C7B72">
        <w:rPr>
          <w:rFonts w:asciiTheme="majorBidi" w:hAnsiTheme="majorBidi" w:cstheme="majorBidi"/>
          <w:sz w:val="24"/>
          <w:szCs w:val="24"/>
        </w:rPr>
        <w:t>Subutex</w:t>
      </w:r>
      <w:proofErr w:type="spellEnd"/>
      <w:r w:rsidRPr="003C7B72">
        <w:rPr>
          <w:rFonts w:asciiTheme="majorBidi" w:hAnsiTheme="majorBidi" w:cstheme="majorBidi"/>
          <w:sz w:val="24"/>
          <w:szCs w:val="24"/>
        </w:rPr>
        <w:t xml:space="preserve"> er beregnet som substitutionsbehandling mod </w:t>
      </w:r>
      <w:proofErr w:type="spellStart"/>
      <w:r w:rsidRPr="003C7B72">
        <w:rPr>
          <w:rFonts w:asciiTheme="majorBidi" w:hAnsiTheme="majorBidi" w:cstheme="majorBidi"/>
          <w:sz w:val="24"/>
          <w:szCs w:val="24"/>
        </w:rPr>
        <w:t>opiodafhængighed</w:t>
      </w:r>
      <w:proofErr w:type="spellEnd"/>
      <w:r w:rsidRPr="003C7B72">
        <w:rPr>
          <w:rFonts w:asciiTheme="majorBidi" w:hAnsiTheme="majorBidi" w:cstheme="majorBidi"/>
          <w:sz w:val="24"/>
          <w:szCs w:val="24"/>
        </w:rPr>
        <w:t xml:space="preserve"> som en del af et program omfattende medicinsk, social og psykologisk behandling til voksne i alderen 18 år og ældre, som har indvilliget i at blive behandlet mod opioidafhængighed.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C7B72">
        <w:rPr>
          <w:b/>
          <w:sz w:val="24"/>
          <w:szCs w:val="24"/>
        </w:rPr>
        <w:t>administration</w:t>
      </w:r>
    </w:p>
    <w:p w:rsidR="003C7B72" w:rsidRPr="00E8426E" w:rsidRDefault="003C7B72" w:rsidP="003C7B72">
      <w:pPr>
        <w:contextualSpacing/>
        <w:rPr>
          <w:rFonts w:asciiTheme="majorBidi" w:hAnsiTheme="majorBidi" w:cstheme="majorBidi"/>
          <w:sz w:val="24"/>
          <w:szCs w:val="24"/>
          <w:u w:val="single"/>
        </w:rPr>
      </w:pPr>
    </w:p>
    <w:p w:rsidR="003C7B72" w:rsidRPr="00E8426E" w:rsidRDefault="003C7B72" w:rsidP="003C7B72">
      <w:pPr>
        <w:ind w:firstLine="851"/>
        <w:contextualSpacing/>
        <w:rPr>
          <w:rFonts w:asciiTheme="majorBidi" w:hAnsiTheme="majorBidi" w:cstheme="majorBidi"/>
          <w:sz w:val="24"/>
          <w:szCs w:val="24"/>
        </w:rPr>
      </w:pP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må kun administreres af en sundhedsperson.</w:t>
      </w:r>
    </w:p>
    <w:p w:rsidR="00232CFA" w:rsidRPr="00232CFA" w:rsidRDefault="00232CFA" w:rsidP="00232CFA">
      <w:pPr>
        <w:tabs>
          <w:tab w:val="left" w:pos="851"/>
        </w:tabs>
        <w:ind w:left="851"/>
        <w:rPr>
          <w:sz w:val="24"/>
          <w:szCs w:val="24"/>
        </w:rPr>
      </w:pPr>
    </w:p>
    <w:p w:rsidR="003C7B72" w:rsidRPr="003C7B72" w:rsidRDefault="003C7B72" w:rsidP="003C7B72">
      <w:pPr>
        <w:ind w:firstLine="851"/>
        <w:contextualSpacing/>
        <w:rPr>
          <w:rFonts w:asciiTheme="majorBidi" w:hAnsiTheme="majorBidi" w:cstheme="majorBidi"/>
          <w:sz w:val="24"/>
          <w:szCs w:val="24"/>
          <w:u w:val="single"/>
        </w:rPr>
      </w:pPr>
      <w:r w:rsidRPr="003C7B72">
        <w:rPr>
          <w:rFonts w:asciiTheme="majorBidi" w:hAnsiTheme="majorBidi" w:cstheme="majorBidi"/>
          <w:sz w:val="24"/>
          <w:szCs w:val="24"/>
          <w:u w:val="single"/>
        </w:rPr>
        <w:lastRenderedPageBreak/>
        <w:t>Dosering</w:t>
      </w:r>
    </w:p>
    <w:p w:rsidR="003C7B72" w:rsidRPr="003C7B72" w:rsidRDefault="003C7B72" w:rsidP="003C7B72">
      <w:pPr>
        <w:contextualSpacing/>
        <w:rPr>
          <w:rFonts w:asciiTheme="majorBidi" w:hAnsiTheme="majorBidi" w:cstheme="majorBidi"/>
          <w:sz w:val="24"/>
          <w:szCs w:val="24"/>
        </w:rPr>
      </w:pPr>
    </w:p>
    <w:p w:rsidR="003517BF" w:rsidRPr="003C7B72" w:rsidRDefault="003517BF" w:rsidP="003517BF">
      <w:pPr>
        <w:ind w:left="851"/>
        <w:contextualSpacing/>
        <w:rPr>
          <w:rFonts w:asciiTheme="majorBidi" w:hAnsiTheme="majorBidi" w:cstheme="majorBidi"/>
          <w:sz w:val="24"/>
          <w:szCs w:val="24"/>
        </w:rPr>
      </w:pPr>
      <w:r w:rsidRPr="003C7B72">
        <w:rPr>
          <w:rFonts w:asciiTheme="majorBidi" w:hAnsiTheme="majorBidi" w:cstheme="majorBidi"/>
          <w:sz w:val="24"/>
          <w:szCs w:val="24"/>
        </w:rPr>
        <w:t xml:space="preserve">Patienterne skal først gennemgå induktion og stabilisering ved at påbegynde et præparat indeholdende </w:t>
      </w:r>
      <w:proofErr w:type="spellStart"/>
      <w:r w:rsidRPr="003C7B72">
        <w:rPr>
          <w:rFonts w:asciiTheme="majorBidi" w:hAnsiTheme="majorBidi" w:cstheme="majorBidi"/>
          <w:sz w:val="24"/>
          <w:szCs w:val="24"/>
        </w:rPr>
        <w:t>buprenorphin</w:t>
      </w:r>
      <w:proofErr w:type="spellEnd"/>
      <w:r w:rsidRPr="003C7B72">
        <w:rPr>
          <w:rFonts w:asciiTheme="majorBidi" w:hAnsiTheme="majorBidi" w:cstheme="majorBidi"/>
          <w:sz w:val="24"/>
          <w:szCs w:val="24"/>
        </w:rPr>
        <w:t xml:space="preserve">, som leverer, hvad der svarer til 8 til 24 mg/dag </w:t>
      </w:r>
      <w:proofErr w:type="spellStart"/>
      <w:r w:rsidRPr="003C7B72">
        <w:rPr>
          <w:rFonts w:asciiTheme="majorBidi" w:hAnsiTheme="majorBidi" w:cstheme="majorBidi"/>
          <w:sz w:val="24"/>
          <w:szCs w:val="24"/>
        </w:rPr>
        <w:t>transmukosal</w:t>
      </w:r>
      <w:proofErr w:type="spellEnd"/>
      <w:r w:rsidRPr="003C7B72">
        <w:rPr>
          <w:rFonts w:asciiTheme="majorBidi" w:hAnsiTheme="majorBidi" w:cstheme="majorBidi"/>
          <w:sz w:val="24"/>
          <w:szCs w:val="24"/>
        </w:rPr>
        <w:t xml:space="preserve"> </w:t>
      </w:r>
      <w:proofErr w:type="spellStart"/>
      <w:r w:rsidRPr="003C7B72">
        <w:rPr>
          <w:rFonts w:asciiTheme="majorBidi" w:hAnsiTheme="majorBidi" w:cstheme="majorBidi"/>
          <w:sz w:val="24"/>
          <w:szCs w:val="24"/>
        </w:rPr>
        <w:t>buprenorphin</w:t>
      </w:r>
      <w:proofErr w:type="spellEnd"/>
      <w:r w:rsidRPr="003C7B72">
        <w:rPr>
          <w:rFonts w:asciiTheme="majorBidi" w:hAnsiTheme="majorBidi" w:cstheme="majorBidi"/>
          <w:sz w:val="24"/>
          <w:szCs w:val="24"/>
        </w:rPr>
        <w:t xml:space="preserve">, i mindst 7 dage. Dosering af og induktion med </w:t>
      </w:r>
      <w:proofErr w:type="spellStart"/>
      <w:r w:rsidRPr="003C7B72">
        <w:rPr>
          <w:rFonts w:asciiTheme="majorBidi" w:hAnsiTheme="majorBidi" w:cstheme="majorBidi"/>
          <w:sz w:val="24"/>
          <w:szCs w:val="24"/>
        </w:rPr>
        <w:t>buprenorphinholdige</w:t>
      </w:r>
      <w:proofErr w:type="spellEnd"/>
      <w:r w:rsidRPr="003C7B72">
        <w:rPr>
          <w:rFonts w:asciiTheme="majorBidi" w:hAnsiTheme="majorBidi" w:cstheme="majorBidi"/>
          <w:sz w:val="24"/>
          <w:szCs w:val="24"/>
        </w:rPr>
        <w:t xml:space="preserve"> præparater bør baseres på vejledningen i deres tilhørende produktinformationen.</w:t>
      </w:r>
    </w:p>
    <w:p w:rsidR="003C7B72" w:rsidRPr="003C7B72" w:rsidRDefault="003C7B72" w:rsidP="003C7B72">
      <w:pPr>
        <w:contextualSpacing/>
        <w:rPr>
          <w:rFonts w:asciiTheme="majorBidi" w:hAnsiTheme="majorBidi" w:cstheme="majorBidi"/>
          <w:sz w:val="24"/>
          <w:szCs w:val="24"/>
        </w:rPr>
      </w:pPr>
    </w:p>
    <w:p w:rsidR="003C7B72" w:rsidRPr="003C7B72" w:rsidRDefault="003C7B72" w:rsidP="003C7B72">
      <w:pPr>
        <w:ind w:left="851"/>
        <w:contextualSpacing/>
        <w:rPr>
          <w:rFonts w:asciiTheme="majorBidi" w:hAnsiTheme="majorBidi" w:cstheme="majorBidi"/>
          <w:sz w:val="24"/>
          <w:szCs w:val="24"/>
        </w:rPr>
      </w:pPr>
      <w:r w:rsidRPr="003C7B72">
        <w:rPr>
          <w:rFonts w:asciiTheme="majorBidi" w:hAnsiTheme="majorBidi" w:cstheme="majorBidi"/>
          <w:sz w:val="24"/>
          <w:szCs w:val="24"/>
        </w:rPr>
        <w:t xml:space="preserve">Det anbefalede doseringsprogram efter induktion med et </w:t>
      </w:r>
      <w:proofErr w:type="spellStart"/>
      <w:r w:rsidRPr="003C7B72">
        <w:rPr>
          <w:rFonts w:asciiTheme="majorBidi" w:hAnsiTheme="majorBidi" w:cstheme="majorBidi"/>
          <w:sz w:val="24"/>
          <w:szCs w:val="24"/>
        </w:rPr>
        <w:t>buprenorphinholdigt</w:t>
      </w:r>
      <w:proofErr w:type="spellEnd"/>
      <w:r w:rsidRPr="003C7B72">
        <w:rPr>
          <w:rFonts w:asciiTheme="majorBidi" w:hAnsiTheme="majorBidi" w:cstheme="majorBidi"/>
          <w:sz w:val="24"/>
          <w:szCs w:val="24"/>
        </w:rPr>
        <w:t xml:space="preserve"> præparat er to indledende månedlige doser på 300 mg </w:t>
      </w:r>
      <w:proofErr w:type="spellStart"/>
      <w:r w:rsidRPr="003C7B72">
        <w:rPr>
          <w:rFonts w:asciiTheme="majorBidi" w:hAnsiTheme="majorBidi" w:cstheme="majorBidi"/>
          <w:sz w:val="24"/>
          <w:szCs w:val="24"/>
        </w:rPr>
        <w:t>buprenorphin</w:t>
      </w:r>
      <w:proofErr w:type="spellEnd"/>
      <w:r w:rsidRPr="003C7B72">
        <w:rPr>
          <w:rFonts w:asciiTheme="majorBidi" w:hAnsiTheme="majorBidi" w:cstheme="majorBidi"/>
          <w:sz w:val="24"/>
          <w:szCs w:val="24"/>
        </w:rPr>
        <w:t xml:space="preserve">, efterfulgt af 100 mg </w:t>
      </w:r>
      <w:proofErr w:type="spellStart"/>
      <w:r w:rsidRPr="003C7B72">
        <w:rPr>
          <w:rFonts w:asciiTheme="majorBidi" w:hAnsiTheme="majorBidi" w:cstheme="majorBidi"/>
          <w:sz w:val="24"/>
          <w:szCs w:val="24"/>
        </w:rPr>
        <w:t>buprenorphin</w:t>
      </w:r>
      <w:proofErr w:type="spellEnd"/>
      <w:r w:rsidRPr="003C7B72">
        <w:rPr>
          <w:rFonts w:asciiTheme="majorBidi" w:hAnsiTheme="majorBidi" w:cstheme="majorBidi"/>
          <w:sz w:val="24"/>
          <w:szCs w:val="24"/>
        </w:rPr>
        <w:t xml:space="preserve"> én gang om måneden.</w:t>
      </w:r>
    </w:p>
    <w:p w:rsidR="003C7B72" w:rsidRPr="003C7B72" w:rsidRDefault="003C7B72" w:rsidP="003C7B72">
      <w:pPr>
        <w:contextualSpacing/>
        <w:rPr>
          <w:rFonts w:asciiTheme="majorBidi" w:hAnsiTheme="majorBidi" w:cstheme="majorBidi"/>
          <w:sz w:val="24"/>
          <w:szCs w:val="24"/>
        </w:rPr>
      </w:pPr>
    </w:p>
    <w:p w:rsidR="003C7B72" w:rsidRPr="003C7B72" w:rsidRDefault="003C7B72" w:rsidP="003C7B72">
      <w:pPr>
        <w:ind w:left="851"/>
        <w:contextualSpacing/>
        <w:rPr>
          <w:rFonts w:asciiTheme="majorBidi" w:hAnsiTheme="majorBidi" w:cstheme="majorBidi"/>
          <w:sz w:val="24"/>
          <w:szCs w:val="24"/>
        </w:rPr>
      </w:pPr>
      <w:r w:rsidRPr="003C7B72">
        <w:rPr>
          <w:rFonts w:asciiTheme="majorBidi" w:hAnsiTheme="majorBidi" w:cstheme="majorBidi"/>
          <w:sz w:val="24"/>
          <w:szCs w:val="24"/>
        </w:rPr>
        <w:t xml:space="preserve">En vedligeholdelsesdosis på 300 mg </w:t>
      </w:r>
      <w:proofErr w:type="spellStart"/>
      <w:r w:rsidRPr="003C7B72">
        <w:rPr>
          <w:rFonts w:asciiTheme="majorBidi" w:hAnsiTheme="majorBidi" w:cstheme="majorBidi"/>
          <w:sz w:val="24"/>
          <w:szCs w:val="24"/>
        </w:rPr>
        <w:t>buprenorphin</w:t>
      </w:r>
      <w:proofErr w:type="spellEnd"/>
      <w:r w:rsidRPr="003C7B72">
        <w:rPr>
          <w:rFonts w:asciiTheme="majorBidi" w:hAnsiTheme="majorBidi" w:cstheme="majorBidi"/>
          <w:sz w:val="24"/>
          <w:szCs w:val="24"/>
        </w:rPr>
        <w:t xml:space="preserve"> én gang om måneden kan overvejes hos patienter, der tolererer 100 mg </w:t>
      </w:r>
      <w:proofErr w:type="spellStart"/>
      <w:r w:rsidRPr="003C7B72">
        <w:rPr>
          <w:rFonts w:asciiTheme="majorBidi" w:hAnsiTheme="majorBidi" w:cstheme="majorBidi"/>
          <w:sz w:val="24"/>
          <w:szCs w:val="24"/>
        </w:rPr>
        <w:t>buprenorphin</w:t>
      </w:r>
      <w:proofErr w:type="spellEnd"/>
      <w:r w:rsidRPr="003C7B72">
        <w:rPr>
          <w:rFonts w:asciiTheme="majorBidi" w:hAnsiTheme="majorBidi" w:cstheme="majorBidi"/>
          <w:sz w:val="24"/>
          <w:szCs w:val="24"/>
        </w:rPr>
        <w:t xml:space="preserve"> én gang om måneden, men ikke viser et tilfredsstillende klinisk respons, vist ved selvrapporteret ulovligt opioidbrug eller screeninger af urinprøver, der er positive for ulovligt opioidbrug. </w:t>
      </w:r>
    </w:p>
    <w:p w:rsidR="003C7B72" w:rsidRPr="003C7B72" w:rsidRDefault="003C7B72" w:rsidP="003C7B72">
      <w:pPr>
        <w:contextualSpacing/>
        <w:rPr>
          <w:rFonts w:asciiTheme="majorBidi" w:hAnsiTheme="majorBidi" w:cstheme="majorBidi"/>
          <w:sz w:val="24"/>
          <w:szCs w:val="24"/>
        </w:rPr>
      </w:pPr>
    </w:p>
    <w:p w:rsidR="003C7B72" w:rsidRPr="003C7B72" w:rsidRDefault="003C7B72" w:rsidP="003C7B72">
      <w:pPr>
        <w:ind w:left="851"/>
        <w:contextualSpacing/>
        <w:rPr>
          <w:rFonts w:asciiTheme="majorBidi" w:hAnsiTheme="majorBidi" w:cstheme="majorBidi"/>
          <w:sz w:val="24"/>
          <w:szCs w:val="24"/>
        </w:rPr>
      </w:pPr>
      <w:bookmarkStart w:id="1" w:name="_Hlk507668968"/>
      <w:r w:rsidRPr="003C7B72">
        <w:rPr>
          <w:rFonts w:asciiTheme="majorBidi" w:hAnsiTheme="majorBidi" w:cstheme="majorBidi"/>
          <w:sz w:val="24"/>
          <w:szCs w:val="24"/>
        </w:rPr>
        <w:t xml:space="preserve">I betragtning af den lange halveringstid bør </w:t>
      </w:r>
      <w:proofErr w:type="spellStart"/>
      <w:r w:rsidRPr="003C7B72">
        <w:rPr>
          <w:rFonts w:asciiTheme="majorBidi" w:hAnsiTheme="majorBidi" w:cstheme="majorBidi"/>
          <w:sz w:val="24"/>
          <w:szCs w:val="24"/>
        </w:rPr>
        <w:t>Subutex</w:t>
      </w:r>
      <w:proofErr w:type="spellEnd"/>
      <w:r w:rsidRPr="003C7B72">
        <w:rPr>
          <w:rFonts w:asciiTheme="majorBidi" w:hAnsiTheme="majorBidi" w:cstheme="majorBidi"/>
          <w:sz w:val="24"/>
          <w:szCs w:val="24"/>
        </w:rPr>
        <w:t xml:space="preserve"> depotinjektion administreres én gang om måneden med mindst 26 dage mellem injektionerne</w:t>
      </w:r>
      <w:bookmarkEnd w:id="1"/>
      <w:r w:rsidRPr="003C7B72">
        <w:rPr>
          <w:rFonts w:asciiTheme="majorBidi" w:hAnsiTheme="majorBidi" w:cstheme="majorBidi"/>
          <w:sz w:val="24"/>
          <w:szCs w:val="24"/>
        </w:rPr>
        <w:t>. Den maksimale dosis er 300 mg månedligt.</w:t>
      </w:r>
    </w:p>
    <w:p w:rsidR="003C7B72" w:rsidRPr="003C7B72" w:rsidRDefault="003C7B72" w:rsidP="003C7B72">
      <w:pPr>
        <w:contextualSpacing/>
        <w:rPr>
          <w:rFonts w:asciiTheme="majorBidi" w:hAnsiTheme="majorBidi" w:cstheme="majorBidi"/>
          <w:sz w:val="24"/>
          <w:szCs w:val="24"/>
        </w:rPr>
      </w:pPr>
    </w:p>
    <w:p w:rsidR="003C7B72" w:rsidRPr="003C7B72" w:rsidRDefault="003C7B72" w:rsidP="003C7B72">
      <w:pPr>
        <w:ind w:firstLine="851"/>
        <w:contextualSpacing/>
        <w:rPr>
          <w:rFonts w:asciiTheme="majorBidi" w:hAnsiTheme="majorBidi" w:cstheme="majorBidi"/>
          <w:bCs/>
          <w:i/>
          <w:iCs/>
          <w:sz w:val="24"/>
          <w:szCs w:val="24"/>
        </w:rPr>
      </w:pPr>
      <w:r w:rsidRPr="003C7B72">
        <w:rPr>
          <w:rFonts w:asciiTheme="majorBidi" w:hAnsiTheme="majorBidi" w:cstheme="majorBidi"/>
          <w:i/>
          <w:sz w:val="24"/>
          <w:szCs w:val="24"/>
        </w:rPr>
        <w:t xml:space="preserve">Overgang af patienter i langtidsbehandling med </w:t>
      </w:r>
      <w:proofErr w:type="spellStart"/>
      <w:r w:rsidRPr="003C7B72">
        <w:rPr>
          <w:rFonts w:asciiTheme="majorBidi" w:hAnsiTheme="majorBidi" w:cstheme="majorBidi"/>
          <w:i/>
          <w:sz w:val="24"/>
          <w:szCs w:val="24"/>
        </w:rPr>
        <w:t>transmukosal</w:t>
      </w:r>
      <w:proofErr w:type="spellEnd"/>
      <w:r w:rsidRPr="003C7B72">
        <w:rPr>
          <w:rFonts w:asciiTheme="majorBidi" w:hAnsiTheme="majorBidi" w:cstheme="majorBidi"/>
          <w:i/>
          <w:sz w:val="24"/>
          <w:szCs w:val="24"/>
        </w:rPr>
        <w:t xml:space="preserve"> </w:t>
      </w:r>
      <w:proofErr w:type="spellStart"/>
      <w:r w:rsidRPr="003C7B72">
        <w:rPr>
          <w:rFonts w:asciiTheme="majorBidi" w:hAnsiTheme="majorBidi" w:cstheme="majorBidi"/>
          <w:i/>
          <w:sz w:val="24"/>
          <w:szCs w:val="24"/>
        </w:rPr>
        <w:t>buprenorphin</w:t>
      </w:r>
      <w:proofErr w:type="spellEnd"/>
      <w:r w:rsidRPr="003C7B72">
        <w:rPr>
          <w:rFonts w:asciiTheme="majorBidi" w:hAnsiTheme="majorBidi" w:cstheme="majorBidi"/>
          <w:i/>
          <w:sz w:val="24"/>
          <w:szCs w:val="24"/>
        </w:rPr>
        <w:t xml:space="preserve"> </w:t>
      </w:r>
    </w:p>
    <w:p w:rsidR="003C7B72" w:rsidRPr="003C7B72" w:rsidRDefault="003C7B72" w:rsidP="003C7B72">
      <w:pPr>
        <w:ind w:left="851"/>
        <w:contextualSpacing/>
        <w:rPr>
          <w:rFonts w:asciiTheme="majorBidi" w:hAnsiTheme="majorBidi" w:cstheme="majorBidi"/>
          <w:sz w:val="24"/>
          <w:szCs w:val="24"/>
        </w:rPr>
      </w:pPr>
      <w:r w:rsidRPr="003C7B72">
        <w:rPr>
          <w:rFonts w:asciiTheme="majorBidi" w:hAnsiTheme="majorBidi" w:cstheme="majorBidi"/>
          <w:sz w:val="24"/>
          <w:szCs w:val="24"/>
        </w:rPr>
        <w:t xml:space="preserve">Patienter, der er i langtidsbehandling med </w:t>
      </w:r>
      <w:proofErr w:type="spellStart"/>
      <w:r w:rsidRPr="003C7B72">
        <w:rPr>
          <w:rFonts w:asciiTheme="majorBidi" w:hAnsiTheme="majorBidi" w:cstheme="majorBidi"/>
          <w:sz w:val="24"/>
          <w:szCs w:val="24"/>
        </w:rPr>
        <w:t>transmukosal</w:t>
      </w:r>
      <w:proofErr w:type="spellEnd"/>
      <w:r w:rsidRPr="003C7B72">
        <w:rPr>
          <w:rFonts w:asciiTheme="majorBidi" w:hAnsiTheme="majorBidi" w:cstheme="majorBidi"/>
          <w:sz w:val="24"/>
          <w:szCs w:val="24"/>
        </w:rPr>
        <w:t xml:space="preserve"> </w:t>
      </w:r>
      <w:proofErr w:type="spellStart"/>
      <w:r w:rsidRPr="003C7B72">
        <w:rPr>
          <w:rFonts w:asciiTheme="majorBidi" w:hAnsiTheme="majorBidi" w:cstheme="majorBidi"/>
          <w:sz w:val="24"/>
          <w:szCs w:val="24"/>
        </w:rPr>
        <w:t>buprenorphin</w:t>
      </w:r>
      <w:proofErr w:type="spellEnd"/>
      <w:r w:rsidRPr="003C7B72">
        <w:rPr>
          <w:rFonts w:asciiTheme="majorBidi" w:hAnsiTheme="majorBidi" w:cstheme="majorBidi"/>
          <w:sz w:val="24"/>
          <w:szCs w:val="24"/>
        </w:rPr>
        <w:t xml:space="preserve"> (8-24 mg/dag), og hvis sygdomssymptomer er kontrollerede, kan skiftes direkte over til </w:t>
      </w:r>
      <w:proofErr w:type="spellStart"/>
      <w:r w:rsidRPr="003C7B72">
        <w:rPr>
          <w:rFonts w:asciiTheme="majorBidi" w:hAnsiTheme="majorBidi" w:cstheme="majorBidi"/>
          <w:sz w:val="24"/>
          <w:szCs w:val="24"/>
        </w:rPr>
        <w:t>Subutex</w:t>
      </w:r>
      <w:proofErr w:type="spellEnd"/>
      <w:r w:rsidRPr="003C7B72">
        <w:rPr>
          <w:rFonts w:asciiTheme="majorBidi" w:hAnsiTheme="majorBidi" w:cstheme="majorBidi"/>
          <w:sz w:val="24"/>
          <w:szCs w:val="24"/>
        </w:rPr>
        <w:t xml:space="preserve"> depotinjektion (se figur 1 under pkt. 5.2 for en sammenligning af </w:t>
      </w:r>
      <w:proofErr w:type="spellStart"/>
      <w:r w:rsidRPr="003C7B72">
        <w:rPr>
          <w:rFonts w:asciiTheme="majorBidi" w:hAnsiTheme="majorBidi" w:cstheme="majorBidi"/>
          <w:i/>
          <w:iCs/>
          <w:sz w:val="24"/>
          <w:szCs w:val="24"/>
        </w:rPr>
        <w:t>steady-state</w:t>
      </w:r>
      <w:proofErr w:type="spellEnd"/>
      <w:r w:rsidRPr="003C7B72">
        <w:rPr>
          <w:rFonts w:asciiTheme="majorBidi" w:hAnsiTheme="majorBidi" w:cstheme="majorBidi"/>
          <w:sz w:val="24"/>
          <w:szCs w:val="24"/>
        </w:rPr>
        <w:t xml:space="preserve"> plasmakoncentrationerne mellem </w:t>
      </w:r>
      <w:proofErr w:type="spellStart"/>
      <w:r w:rsidRPr="003C7B72">
        <w:rPr>
          <w:rFonts w:asciiTheme="majorBidi" w:hAnsiTheme="majorBidi" w:cstheme="majorBidi"/>
          <w:sz w:val="24"/>
          <w:szCs w:val="24"/>
        </w:rPr>
        <w:t>transmukosal</w:t>
      </w:r>
      <w:proofErr w:type="spellEnd"/>
      <w:r w:rsidRPr="003C7B72">
        <w:rPr>
          <w:rFonts w:asciiTheme="majorBidi" w:hAnsiTheme="majorBidi" w:cstheme="majorBidi"/>
          <w:sz w:val="24"/>
          <w:szCs w:val="24"/>
        </w:rPr>
        <w:t xml:space="preserve"> </w:t>
      </w:r>
      <w:proofErr w:type="spellStart"/>
      <w:r w:rsidRPr="003C7B72">
        <w:rPr>
          <w:rFonts w:asciiTheme="majorBidi" w:hAnsiTheme="majorBidi" w:cstheme="majorBidi"/>
          <w:sz w:val="24"/>
          <w:szCs w:val="24"/>
        </w:rPr>
        <w:t>buprenorphin</w:t>
      </w:r>
      <w:proofErr w:type="spellEnd"/>
      <w:r w:rsidRPr="003C7B72">
        <w:rPr>
          <w:rFonts w:asciiTheme="majorBidi" w:hAnsiTheme="majorBidi" w:cstheme="majorBidi"/>
          <w:sz w:val="24"/>
          <w:szCs w:val="24"/>
        </w:rPr>
        <w:t xml:space="preserve"> og </w:t>
      </w:r>
      <w:proofErr w:type="spellStart"/>
      <w:r w:rsidRPr="003C7B72">
        <w:rPr>
          <w:rFonts w:asciiTheme="majorBidi" w:hAnsiTheme="majorBidi" w:cstheme="majorBidi"/>
          <w:sz w:val="24"/>
          <w:szCs w:val="24"/>
        </w:rPr>
        <w:t>buprenorphin</w:t>
      </w:r>
      <w:proofErr w:type="spellEnd"/>
      <w:r w:rsidRPr="003C7B72">
        <w:rPr>
          <w:rFonts w:asciiTheme="majorBidi" w:hAnsiTheme="majorBidi" w:cstheme="majorBidi"/>
          <w:sz w:val="24"/>
          <w:szCs w:val="24"/>
        </w:rPr>
        <w:t xml:space="preserve"> i depotform).</w:t>
      </w:r>
    </w:p>
    <w:p w:rsidR="00232CFA" w:rsidRPr="00232CFA" w:rsidRDefault="00232CFA" w:rsidP="00232CFA">
      <w:pPr>
        <w:tabs>
          <w:tab w:val="left" w:pos="851"/>
        </w:tabs>
        <w:ind w:left="851"/>
        <w:rPr>
          <w:sz w:val="24"/>
          <w:szCs w:val="24"/>
        </w:rPr>
      </w:pPr>
    </w:p>
    <w:p w:rsidR="003C7B72" w:rsidRPr="00E8426E" w:rsidRDefault="003C7B72" w:rsidP="003C7B72">
      <w:pPr>
        <w:ind w:firstLine="851"/>
        <w:contextualSpacing/>
        <w:rPr>
          <w:rFonts w:asciiTheme="majorBidi" w:hAnsiTheme="majorBidi" w:cstheme="majorBidi"/>
          <w:i/>
          <w:sz w:val="24"/>
          <w:szCs w:val="24"/>
        </w:rPr>
      </w:pPr>
      <w:r w:rsidRPr="00E8426E">
        <w:rPr>
          <w:rFonts w:asciiTheme="majorBidi" w:hAnsiTheme="majorBidi" w:cstheme="majorBidi"/>
          <w:i/>
          <w:sz w:val="24"/>
          <w:szCs w:val="24"/>
        </w:rPr>
        <w:t xml:space="preserve">Supplerende </w:t>
      </w:r>
      <w:proofErr w:type="spellStart"/>
      <w:r w:rsidRPr="00E8426E">
        <w:rPr>
          <w:rFonts w:asciiTheme="majorBidi" w:hAnsiTheme="majorBidi" w:cstheme="majorBidi"/>
          <w:i/>
          <w:sz w:val="24"/>
          <w:szCs w:val="24"/>
        </w:rPr>
        <w:t>buprenorphin</w:t>
      </w:r>
      <w:proofErr w:type="spellEnd"/>
      <w:r w:rsidRPr="00E8426E">
        <w:rPr>
          <w:rFonts w:asciiTheme="majorBidi" w:hAnsiTheme="majorBidi" w:cstheme="majorBidi"/>
          <w:i/>
          <w:sz w:val="24"/>
          <w:szCs w:val="24"/>
        </w:rPr>
        <w:t xml:space="preserve"> ved initiering af behandlingen</w:t>
      </w:r>
    </w:p>
    <w:p w:rsidR="003C7B72" w:rsidRPr="00E8426E" w:rsidRDefault="003C7B72" w:rsidP="003C7B72">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Patienterne behøver generelt ikke ekstra dosering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ved initieringen af behandlingen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depotinjektion. Skulle det dog blive nødvendigt, kan der ordineres kortvarige ekstra doser af </w:t>
      </w:r>
      <w:proofErr w:type="spellStart"/>
      <w:r w:rsidRPr="00E8426E">
        <w:rPr>
          <w:rFonts w:asciiTheme="majorBidi" w:hAnsiTheme="majorBidi" w:cstheme="majorBidi"/>
          <w:sz w:val="24"/>
          <w:szCs w:val="24"/>
        </w:rPr>
        <w:t>transmukosal</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på ikke over 8 mg/dag.</w:t>
      </w:r>
    </w:p>
    <w:p w:rsidR="003C7B72" w:rsidRPr="00E8426E" w:rsidRDefault="003C7B72" w:rsidP="003C7B72">
      <w:pPr>
        <w:contextualSpacing/>
        <w:rPr>
          <w:rFonts w:asciiTheme="majorBidi" w:hAnsiTheme="majorBidi" w:cstheme="majorBidi"/>
          <w:sz w:val="24"/>
          <w:szCs w:val="24"/>
        </w:rPr>
      </w:pPr>
      <w:r w:rsidRPr="00E8426E">
        <w:rPr>
          <w:rFonts w:asciiTheme="majorBidi" w:hAnsiTheme="majorBidi" w:cstheme="majorBidi"/>
          <w:sz w:val="24"/>
          <w:szCs w:val="24"/>
        </w:rPr>
        <w:t xml:space="preserve"> </w:t>
      </w:r>
    </w:p>
    <w:p w:rsidR="003C7B72" w:rsidRPr="00E8426E" w:rsidRDefault="003C7B72" w:rsidP="003C7B72">
      <w:pPr>
        <w:ind w:firstLine="851"/>
        <w:contextualSpacing/>
        <w:rPr>
          <w:rFonts w:asciiTheme="majorBidi" w:hAnsiTheme="majorBidi" w:cstheme="majorBidi"/>
          <w:i/>
          <w:sz w:val="24"/>
          <w:szCs w:val="24"/>
        </w:rPr>
      </w:pPr>
      <w:r w:rsidRPr="00E8426E">
        <w:rPr>
          <w:rFonts w:asciiTheme="majorBidi" w:hAnsiTheme="majorBidi" w:cstheme="majorBidi"/>
          <w:i/>
          <w:sz w:val="24"/>
          <w:szCs w:val="24"/>
        </w:rPr>
        <w:t>Glemte doser</w:t>
      </w:r>
    </w:p>
    <w:p w:rsidR="003C7B72" w:rsidRPr="00E8426E" w:rsidRDefault="003C7B72" w:rsidP="003C7B72">
      <w:pPr>
        <w:ind w:left="851"/>
        <w:contextualSpacing/>
        <w:rPr>
          <w:rFonts w:asciiTheme="majorBidi" w:hAnsiTheme="majorBidi" w:cstheme="majorBidi"/>
          <w:sz w:val="24"/>
          <w:szCs w:val="24"/>
        </w:rPr>
      </w:pPr>
      <w:r w:rsidRPr="00E8426E">
        <w:rPr>
          <w:rFonts w:asciiTheme="majorBidi" w:hAnsiTheme="majorBidi" w:cstheme="majorBidi"/>
          <w:sz w:val="24"/>
          <w:szCs w:val="24"/>
        </w:rPr>
        <w:t>Hvis en patient ikke har fået sin dosis, skal vedkommende have den næste dosis snarest muligt. Lejlighedsvise forsinkelser i doseringen, som ikke kan undgås, på op til 2 uger forventes ikke at have nogen klinisk signifikant påvirkning på behandlingens virkning.</w:t>
      </w:r>
    </w:p>
    <w:p w:rsidR="003C7B72" w:rsidRPr="00E8426E" w:rsidRDefault="003C7B72" w:rsidP="003C7B72">
      <w:pPr>
        <w:contextualSpacing/>
        <w:rPr>
          <w:rFonts w:asciiTheme="majorBidi" w:hAnsiTheme="majorBidi" w:cstheme="majorBidi"/>
          <w:sz w:val="24"/>
          <w:szCs w:val="24"/>
        </w:rPr>
      </w:pPr>
    </w:p>
    <w:p w:rsidR="003517BF" w:rsidRPr="000753AC" w:rsidRDefault="003517BF" w:rsidP="003517BF">
      <w:pPr>
        <w:ind w:left="851"/>
        <w:contextualSpacing/>
        <w:rPr>
          <w:bCs/>
          <w:i/>
          <w:sz w:val="24"/>
          <w:szCs w:val="24"/>
        </w:rPr>
      </w:pPr>
      <w:r w:rsidRPr="000753AC">
        <w:rPr>
          <w:bCs/>
          <w:i/>
          <w:sz w:val="24"/>
          <w:szCs w:val="24"/>
        </w:rPr>
        <w:t xml:space="preserve">Behandlingsmål og </w:t>
      </w:r>
      <w:r>
        <w:rPr>
          <w:bCs/>
          <w:i/>
          <w:sz w:val="24"/>
          <w:szCs w:val="24"/>
        </w:rPr>
        <w:t>afslutning</w:t>
      </w:r>
    </w:p>
    <w:p w:rsidR="003517BF" w:rsidRPr="00EE7B41" w:rsidRDefault="003517BF" w:rsidP="003517BF">
      <w:pPr>
        <w:ind w:left="851"/>
        <w:contextualSpacing/>
        <w:rPr>
          <w:rFonts w:asciiTheme="majorBidi" w:hAnsiTheme="majorBidi" w:cstheme="majorBidi"/>
          <w:sz w:val="24"/>
          <w:szCs w:val="24"/>
        </w:rPr>
      </w:pPr>
      <w:r w:rsidRPr="000753AC">
        <w:rPr>
          <w:sz w:val="24"/>
          <w:szCs w:val="24"/>
        </w:rPr>
        <w:t xml:space="preserve">Før behandling med </w:t>
      </w:r>
      <w:proofErr w:type="spellStart"/>
      <w:r w:rsidRPr="000753AC">
        <w:rPr>
          <w:sz w:val="24"/>
          <w:szCs w:val="24"/>
        </w:rPr>
        <w:t>Subutex</w:t>
      </w:r>
      <w:proofErr w:type="spellEnd"/>
      <w:r w:rsidRPr="000753AC">
        <w:rPr>
          <w:sz w:val="24"/>
          <w:szCs w:val="24"/>
        </w:rPr>
        <w:t xml:space="preserve"> </w:t>
      </w:r>
      <w:r>
        <w:rPr>
          <w:sz w:val="24"/>
          <w:szCs w:val="24"/>
        </w:rPr>
        <w:t>påbegyndes, bør</w:t>
      </w:r>
      <w:r w:rsidRPr="000753AC">
        <w:rPr>
          <w:sz w:val="24"/>
          <w:szCs w:val="24"/>
        </w:rPr>
        <w:t xml:space="preserve"> en behandlingsstrategi, herunder behandlingsvarighed og behandlingsmål, </w:t>
      </w:r>
      <w:r>
        <w:rPr>
          <w:sz w:val="24"/>
          <w:szCs w:val="24"/>
        </w:rPr>
        <w:t xml:space="preserve">aftales </w:t>
      </w:r>
      <w:r w:rsidRPr="000753AC">
        <w:rPr>
          <w:sz w:val="24"/>
          <w:szCs w:val="24"/>
        </w:rPr>
        <w:t xml:space="preserve">med patienten. </w:t>
      </w:r>
      <w:r>
        <w:rPr>
          <w:sz w:val="24"/>
          <w:szCs w:val="24"/>
        </w:rPr>
        <w:t>U</w:t>
      </w:r>
      <w:r w:rsidRPr="000753AC">
        <w:rPr>
          <w:sz w:val="24"/>
          <w:szCs w:val="24"/>
        </w:rPr>
        <w:t xml:space="preserve">nder behandlingen </w:t>
      </w:r>
      <w:r>
        <w:rPr>
          <w:sz w:val="24"/>
          <w:szCs w:val="24"/>
        </w:rPr>
        <w:t xml:space="preserve">bør der </w:t>
      </w:r>
      <w:r w:rsidRPr="000753AC">
        <w:rPr>
          <w:sz w:val="24"/>
          <w:szCs w:val="24"/>
        </w:rPr>
        <w:t>være hyppig kontakt mellem lægen og patienten for at evaluere behov</w:t>
      </w:r>
      <w:r>
        <w:rPr>
          <w:sz w:val="24"/>
          <w:szCs w:val="24"/>
        </w:rPr>
        <w:t>et</w:t>
      </w:r>
      <w:r w:rsidRPr="000753AC">
        <w:rPr>
          <w:sz w:val="24"/>
          <w:szCs w:val="24"/>
        </w:rPr>
        <w:t xml:space="preserve"> for fortsat behandling, overveje </w:t>
      </w:r>
      <w:proofErr w:type="spellStart"/>
      <w:r>
        <w:rPr>
          <w:sz w:val="24"/>
          <w:szCs w:val="24"/>
        </w:rPr>
        <w:t>seponeri</w:t>
      </w:r>
      <w:r w:rsidRPr="000753AC">
        <w:rPr>
          <w:sz w:val="24"/>
          <w:szCs w:val="24"/>
        </w:rPr>
        <w:t>ng</w:t>
      </w:r>
      <w:proofErr w:type="spellEnd"/>
      <w:r w:rsidRPr="000753AC">
        <w:rPr>
          <w:sz w:val="24"/>
          <w:szCs w:val="24"/>
        </w:rPr>
        <w:t xml:space="preserve"> og justere dosis</w:t>
      </w:r>
      <w:r>
        <w:rPr>
          <w:sz w:val="24"/>
          <w:szCs w:val="24"/>
        </w:rPr>
        <w:t xml:space="preserve"> efter</w:t>
      </w:r>
      <w:r w:rsidRPr="000753AC">
        <w:rPr>
          <w:sz w:val="24"/>
          <w:szCs w:val="24"/>
        </w:rPr>
        <w:t xml:space="preserve"> behov.</w:t>
      </w:r>
      <w:r w:rsidRPr="00EE7B41">
        <w:rPr>
          <w:rFonts w:asciiTheme="majorBidi" w:hAnsiTheme="majorBidi" w:cstheme="majorBidi"/>
          <w:sz w:val="24"/>
          <w:szCs w:val="24"/>
        </w:rPr>
        <w:t xml:space="preserve"> Der er ingen maksimal anbefalet varighed af vedligeholdelsesbehandling. </w:t>
      </w:r>
    </w:p>
    <w:p w:rsidR="003517BF" w:rsidRPr="00EE7B41" w:rsidRDefault="003517BF" w:rsidP="003517BF">
      <w:pPr>
        <w:ind w:left="851"/>
        <w:contextualSpacing/>
        <w:rPr>
          <w:rFonts w:asciiTheme="majorBidi" w:hAnsiTheme="majorBidi" w:cstheme="majorBidi"/>
          <w:sz w:val="24"/>
          <w:szCs w:val="24"/>
        </w:rPr>
      </w:pPr>
    </w:p>
    <w:p w:rsidR="00232CFA" w:rsidRPr="00232CFA" w:rsidRDefault="003517BF" w:rsidP="003517BF">
      <w:pPr>
        <w:tabs>
          <w:tab w:val="left" w:pos="993"/>
        </w:tabs>
        <w:ind w:left="851"/>
        <w:contextualSpacing/>
        <w:rPr>
          <w:sz w:val="24"/>
          <w:szCs w:val="24"/>
          <w:u w:val="single"/>
        </w:rPr>
      </w:pPr>
      <w:r w:rsidRPr="000753AC">
        <w:rPr>
          <w:sz w:val="24"/>
          <w:szCs w:val="24"/>
        </w:rPr>
        <w:t xml:space="preserve">Når en patient ikke længere har brug for behandling med </w:t>
      </w:r>
      <w:proofErr w:type="spellStart"/>
      <w:r w:rsidRPr="000753AC">
        <w:rPr>
          <w:sz w:val="24"/>
          <w:szCs w:val="24"/>
        </w:rPr>
        <w:t>buprenorphin</w:t>
      </w:r>
      <w:proofErr w:type="spellEnd"/>
      <w:r w:rsidRPr="000753AC">
        <w:rPr>
          <w:sz w:val="24"/>
          <w:szCs w:val="24"/>
        </w:rPr>
        <w:t xml:space="preserve">, kan det være tilrådeligt at trappe dosen gradvist </w:t>
      </w:r>
      <w:r>
        <w:rPr>
          <w:sz w:val="24"/>
          <w:szCs w:val="24"/>
        </w:rPr>
        <w:t xml:space="preserve">ned </w:t>
      </w:r>
      <w:r w:rsidRPr="000753AC">
        <w:rPr>
          <w:sz w:val="24"/>
          <w:szCs w:val="24"/>
        </w:rPr>
        <w:t>for at for</w:t>
      </w:r>
      <w:r>
        <w:rPr>
          <w:sz w:val="24"/>
          <w:szCs w:val="24"/>
        </w:rPr>
        <w:t>hindre</w:t>
      </w:r>
      <w:r w:rsidRPr="000753AC">
        <w:rPr>
          <w:sz w:val="24"/>
          <w:szCs w:val="24"/>
        </w:rPr>
        <w:t xml:space="preserve"> abstinenssymptomer (se pkt. 4.4).</w:t>
      </w:r>
      <w:r>
        <w:t xml:space="preserve"> </w:t>
      </w:r>
      <w:r w:rsidRPr="00E8426E">
        <w:rPr>
          <w:rFonts w:asciiTheme="majorBidi" w:hAnsiTheme="majorBidi" w:cstheme="majorBidi"/>
          <w:sz w:val="24"/>
          <w:szCs w:val="24"/>
        </w:rPr>
        <w:t xml:space="preserve">Hvis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bliver seponeret, bør der tages hensyn til dets depotkarakteristika (se pkt. 5.2), og patienten bør overvåges i adskillige måneder for abstinenstegn og -symptomer og behandles hensigtsmæssigt (se pkt. 5.2). Efter der er opnået </w:t>
      </w:r>
      <w:proofErr w:type="spellStart"/>
      <w:r w:rsidRPr="00E8426E">
        <w:rPr>
          <w:rFonts w:asciiTheme="majorBidi" w:hAnsiTheme="majorBidi" w:cstheme="majorBidi"/>
          <w:i/>
          <w:sz w:val="24"/>
          <w:szCs w:val="24"/>
        </w:rPr>
        <w:t>steady‐state</w:t>
      </w:r>
      <w:proofErr w:type="spellEnd"/>
      <w:r w:rsidRPr="00E8426E">
        <w:rPr>
          <w:rFonts w:asciiTheme="majorBidi" w:hAnsiTheme="majorBidi" w:cstheme="majorBidi"/>
          <w:sz w:val="24"/>
          <w:szCs w:val="24"/>
        </w:rPr>
        <w:t xml:space="preserve">, kan patienter, der seponerer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depotinjektion, have </w:t>
      </w:r>
      <w:proofErr w:type="spellStart"/>
      <w:r w:rsidRPr="00E8426E">
        <w:rPr>
          <w:rFonts w:asciiTheme="majorBidi" w:hAnsiTheme="majorBidi" w:cstheme="majorBidi"/>
          <w:sz w:val="24"/>
          <w:szCs w:val="24"/>
        </w:rPr>
        <w:t>detekterbare</w:t>
      </w:r>
      <w:proofErr w:type="spellEnd"/>
      <w:r w:rsidRPr="00E8426E">
        <w:rPr>
          <w:rFonts w:asciiTheme="majorBidi" w:hAnsiTheme="majorBidi" w:cstheme="majorBidi"/>
          <w:sz w:val="24"/>
          <w:szCs w:val="24"/>
        </w:rPr>
        <w:t xml:space="preserve"> plasma- og urinniveauer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i 12 måneder eller længere. </w:t>
      </w:r>
    </w:p>
    <w:p w:rsidR="003C7B72" w:rsidRPr="00E8426E" w:rsidRDefault="003C7B72" w:rsidP="003C7B72">
      <w:pPr>
        <w:contextualSpacing/>
        <w:rPr>
          <w:rFonts w:asciiTheme="majorBidi" w:hAnsiTheme="majorBidi" w:cstheme="majorBidi"/>
          <w:sz w:val="24"/>
          <w:szCs w:val="24"/>
        </w:rPr>
      </w:pPr>
    </w:p>
    <w:p w:rsidR="003C7B72" w:rsidRPr="00E8426E" w:rsidRDefault="003C7B72" w:rsidP="003C7B72">
      <w:pPr>
        <w:ind w:firstLine="851"/>
        <w:contextualSpacing/>
        <w:rPr>
          <w:rFonts w:asciiTheme="majorBidi" w:hAnsiTheme="majorBidi" w:cstheme="majorBidi"/>
          <w:bCs/>
          <w:sz w:val="24"/>
          <w:szCs w:val="24"/>
          <w:u w:val="single"/>
        </w:rPr>
      </w:pPr>
      <w:r w:rsidRPr="00E8426E">
        <w:rPr>
          <w:rFonts w:asciiTheme="majorBidi" w:hAnsiTheme="majorBidi" w:cstheme="majorBidi"/>
          <w:sz w:val="24"/>
          <w:szCs w:val="24"/>
          <w:u w:val="single"/>
        </w:rPr>
        <w:t>Specielle patientpopulationer</w:t>
      </w:r>
    </w:p>
    <w:p w:rsidR="003C7B72" w:rsidRPr="00E8426E" w:rsidRDefault="003C7B72" w:rsidP="003C7B72">
      <w:pPr>
        <w:tabs>
          <w:tab w:val="left" w:pos="0"/>
        </w:tabs>
        <w:contextualSpacing/>
        <w:rPr>
          <w:rFonts w:asciiTheme="majorBidi" w:hAnsiTheme="majorBidi" w:cstheme="majorBidi"/>
          <w:bCs/>
          <w:sz w:val="24"/>
          <w:szCs w:val="24"/>
          <w:u w:val="single"/>
        </w:rPr>
      </w:pPr>
    </w:p>
    <w:p w:rsidR="003C7B72" w:rsidRPr="00E8426E" w:rsidRDefault="003C7B72" w:rsidP="003C7B72">
      <w:pPr>
        <w:tabs>
          <w:tab w:val="left" w:pos="0"/>
          <w:tab w:val="left" w:pos="851"/>
        </w:tabs>
        <w:contextualSpacing/>
        <w:rPr>
          <w:rFonts w:asciiTheme="majorBidi" w:hAnsiTheme="majorBidi" w:cstheme="majorBidi"/>
          <w:i/>
          <w:sz w:val="24"/>
          <w:szCs w:val="24"/>
        </w:rPr>
      </w:pPr>
      <w:r>
        <w:rPr>
          <w:rFonts w:asciiTheme="majorBidi" w:hAnsiTheme="majorBidi" w:cstheme="majorBidi"/>
          <w:i/>
          <w:sz w:val="24"/>
          <w:szCs w:val="24"/>
        </w:rPr>
        <w:tab/>
      </w:r>
      <w:r w:rsidRPr="00E8426E">
        <w:rPr>
          <w:rFonts w:asciiTheme="majorBidi" w:hAnsiTheme="majorBidi" w:cstheme="majorBidi"/>
          <w:i/>
          <w:sz w:val="24"/>
          <w:szCs w:val="24"/>
        </w:rPr>
        <w:t>Ældre</w:t>
      </w:r>
    </w:p>
    <w:p w:rsidR="003C7B72" w:rsidRPr="00E8426E" w:rsidRDefault="003C7B72" w:rsidP="003C7B72">
      <w:pPr>
        <w:ind w:firstLine="851"/>
        <w:contextualSpacing/>
        <w:rPr>
          <w:rStyle w:val="Fremhv"/>
          <w:rFonts w:asciiTheme="majorBidi" w:hAnsiTheme="majorBidi" w:cstheme="majorBidi"/>
          <w:b w:val="0"/>
          <w:color w:val="000000"/>
          <w:sz w:val="24"/>
          <w:szCs w:val="24"/>
        </w:rPr>
      </w:pPr>
      <w:proofErr w:type="spellStart"/>
      <w:r w:rsidRPr="00E8426E">
        <w:rPr>
          <w:rStyle w:val="Fremhv"/>
          <w:rFonts w:asciiTheme="majorBidi" w:hAnsiTheme="majorBidi" w:cstheme="majorBidi"/>
          <w:b w:val="0"/>
          <w:color w:val="000000"/>
          <w:sz w:val="24"/>
          <w:szCs w:val="24"/>
        </w:rPr>
        <w:t>Buprenorphins</w:t>
      </w:r>
      <w:proofErr w:type="spellEnd"/>
      <w:r w:rsidRPr="00E8426E">
        <w:rPr>
          <w:rStyle w:val="Fremhv"/>
          <w:rFonts w:asciiTheme="majorBidi" w:hAnsiTheme="majorBidi" w:cstheme="majorBidi"/>
          <w:b w:val="0"/>
          <w:color w:val="000000"/>
          <w:sz w:val="24"/>
          <w:szCs w:val="24"/>
        </w:rPr>
        <w:t xml:space="preserve"> sikkerhed og virkning hos patienter over 65 år er ikke klarlagt.</w:t>
      </w:r>
    </w:p>
    <w:p w:rsidR="003C7B72" w:rsidRPr="00E8426E" w:rsidRDefault="003C7B72" w:rsidP="003C7B72">
      <w:pPr>
        <w:tabs>
          <w:tab w:val="left" w:pos="851"/>
        </w:tabs>
        <w:ind w:left="851"/>
        <w:contextualSpacing/>
        <w:rPr>
          <w:rStyle w:val="Fremhv"/>
          <w:rFonts w:asciiTheme="majorBidi" w:hAnsiTheme="majorBidi" w:cstheme="majorBidi"/>
          <w:b w:val="0"/>
          <w:color w:val="000000"/>
          <w:sz w:val="24"/>
          <w:szCs w:val="24"/>
        </w:rPr>
      </w:pPr>
      <w:r w:rsidRPr="00E8426E">
        <w:rPr>
          <w:rStyle w:val="Fremhv"/>
          <w:rFonts w:asciiTheme="majorBidi" w:hAnsiTheme="majorBidi" w:cstheme="majorBidi"/>
          <w:b w:val="0"/>
          <w:color w:val="000000"/>
          <w:sz w:val="24"/>
          <w:szCs w:val="24"/>
        </w:rPr>
        <w:t xml:space="preserve">Da ældre patienter kan have nedsat lever-, nyre- eller hjertefunktion og ledsagende sygdom eller få andre lægemidler, skal beslutningen om at ordinere </w:t>
      </w:r>
      <w:proofErr w:type="spellStart"/>
      <w:r w:rsidRPr="00E8426E">
        <w:rPr>
          <w:rStyle w:val="Fremhv"/>
          <w:rFonts w:asciiTheme="majorBidi" w:hAnsiTheme="majorBidi" w:cstheme="majorBidi"/>
          <w:b w:val="0"/>
          <w:color w:val="000000"/>
          <w:sz w:val="24"/>
          <w:szCs w:val="24"/>
        </w:rPr>
        <w:t>Subutex</w:t>
      </w:r>
      <w:proofErr w:type="spellEnd"/>
      <w:r w:rsidRPr="00E8426E">
        <w:rPr>
          <w:rStyle w:val="Fremhv"/>
          <w:rFonts w:asciiTheme="majorBidi" w:hAnsiTheme="majorBidi" w:cstheme="majorBidi"/>
          <w:b w:val="0"/>
          <w:color w:val="000000"/>
          <w:sz w:val="24"/>
          <w:szCs w:val="24"/>
        </w:rPr>
        <w:t xml:space="preserve"> depotinjektion tages med forsigtighed hos personer i alderen 65 år eller ældre, og disse patienter skal overvåges for tegn og symptomer på toksicitet eller overdosering.</w:t>
      </w:r>
    </w:p>
    <w:p w:rsidR="003C7B72" w:rsidRPr="00E8426E" w:rsidRDefault="003C7B72" w:rsidP="003C7B72">
      <w:pPr>
        <w:tabs>
          <w:tab w:val="left" w:pos="360"/>
        </w:tabs>
        <w:contextualSpacing/>
        <w:rPr>
          <w:rStyle w:val="Fremhv"/>
          <w:rFonts w:asciiTheme="majorBidi" w:hAnsiTheme="majorBidi" w:cstheme="majorBidi"/>
          <w:b w:val="0"/>
          <w:color w:val="000000"/>
          <w:sz w:val="24"/>
          <w:szCs w:val="24"/>
        </w:rPr>
      </w:pPr>
    </w:p>
    <w:p w:rsidR="003C7B72" w:rsidRPr="00E8426E" w:rsidRDefault="003C7B72" w:rsidP="003C7B72">
      <w:pPr>
        <w:tabs>
          <w:tab w:val="left" w:pos="851"/>
        </w:tabs>
        <w:contextualSpacing/>
        <w:rPr>
          <w:rStyle w:val="Fremhv"/>
          <w:rFonts w:asciiTheme="majorBidi" w:hAnsiTheme="majorBidi" w:cstheme="majorBidi"/>
          <w:b w:val="0"/>
          <w:i/>
          <w:color w:val="000000"/>
          <w:sz w:val="24"/>
          <w:szCs w:val="24"/>
        </w:rPr>
      </w:pPr>
      <w:r>
        <w:rPr>
          <w:rStyle w:val="Fremhv"/>
          <w:rFonts w:asciiTheme="majorBidi" w:hAnsiTheme="majorBidi" w:cstheme="majorBidi"/>
          <w:b w:val="0"/>
          <w:i/>
          <w:color w:val="000000"/>
          <w:sz w:val="24"/>
          <w:szCs w:val="24"/>
        </w:rPr>
        <w:tab/>
      </w:r>
      <w:r w:rsidRPr="00E8426E">
        <w:rPr>
          <w:rStyle w:val="Fremhv"/>
          <w:rFonts w:asciiTheme="majorBidi" w:hAnsiTheme="majorBidi" w:cstheme="majorBidi"/>
          <w:b w:val="0"/>
          <w:i/>
          <w:color w:val="000000"/>
          <w:sz w:val="24"/>
          <w:szCs w:val="24"/>
        </w:rPr>
        <w:t>Nedsat leverfunktion</w:t>
      </w:r>
    </w:p>
    <w:p w:rsidR="003C7B72" w:rsidRPr="00E8426E" w:rsidRDefault="003C7B72" w:rsidP="003C7B72">
      <w:pPr>
        <w:ind w:left="851"/>
        <w:contextualSpacing/>
        <w:rPr>
          <w:rStyle w:val="Fremhv"/>
          <w:rFonts w:asciiTheme="majorBidi" w:hAnsiTheme="majorBidi" w:cstheme="majorBidi"/>
          <w:b w:val="0"/>
          <w:color w:val="000000"/>
          <w:sz w:val="24"/>
          <w:szCs w:val="24"/>
        </w:rPr>
      </w:pPr>
      <w:r w:rsidRPr="00E8426E">
        <w:rPr>
          <w:rStyle w:val="Fremhv"/>
          <w:rFonts w:asciiTheme="majorBidi" w:hAnsiTheme="majorBidi" w:cstheme="majorBidi"/>
          <w:b w:val="0"/>
          <w:color w:val="000000"/>
          <w:sz w:val="24"/>
          <w:szCs w:val="24"/>
        </w:rPr>
        <w:t xml:space="preserve">Plasmaniveauerne er forhøjede ved moderat og svært nedsat leverfunktion sammenlignet med niveauerne hos raske personer (se pkt. 5.2). </w:t>
      </w:r>
      <w:proofErr w:type="spellStart"/>
      <w:r w:rsidRPr="00E8426E">
        <w:rPr>
          <w:rStyle w:val="Fremhv"/>
          <w:rFonts w:asciiTheme="majorBidi" w:hAnsiTheme="majorBidi" w:cstheme="majorBidi"/>
          <w:b w:val="0"/>
          <w:color w:val="000000"/>
          <w:sz w:val="24"/>
          <w:szCs w:val="24"/>
        </w:rPr>
        <w:t>Subutex</w:t>
      </w:r>
      <w:proofErr w:type="spellEnd"/>
      <w:r w:rsidRPr="00E8426E">
        <w:rPr>
          <w:rStyle w:val="Fremhv"/>
          <w:rFonts w:asciiTheme="majorBidi" w:hAnsiTheme="majorBidi" w:cstheme="majorBidi"/>
          <w:b w:val="0"/>
          <w:color w:val="000000"/>
          <w:sz w:val="24"/>
          <w:szCs w:val="24"/>
        </w:rPr>
        <w:t xml:space="preserve"> depotinjektion bør anvendes med forsigtighed hos patienter med moderat nedsat leverfunktion (se pkt. 4.4 og 5.2). Patienterne skal overvåges for tegn og symptomer på toksicitet eller overdosering forårsaget af forhøjede niveauer af </w:t>
      </w:r>
      <w:proofErr w:type="spellStart"/>
      <w:r w:rsidRPr="00E8426E">
        <w:rPr>
          <w:rStyle w:val="Fremhv"/>
          <w:rFonts w:asciiTheme="majorBidi" w:hAnsiTheme="majorBidi" w:cstheme="majorBidi"/>
          <w:b w:val="0"/>
          <w:color w:val="000000"/>
          <w:sz w:val="24"/>
          <w:szCs w:val="24"/>
        </w:rPr>
        <w:t>buprenorphin</w:t>
      </w:r>
      <w:proofErr w:type="spellEnd"/>
      <w:r w:rsidRPr="00E8426E">
        <w:rPr>
          <w:rStyle w:val="Fremhv"/>
          <w:rFonts w:asciiTheme="majorBidi" w:hAnsiTheme="majorBidi" w:cstheme="majorBidi"/>
          <w:b w:val="0"/>
          <w:color w:val="000000"/>
          <w:sz w:val="24"/>
          <w:szCs w:val="24"/>
        </w:rPr>
        <w:t xml:space="preserve"> (se pkt. 4.4). </w:t>
      </w:r>
      <w:proofErr w:type="spellStart"/>
      <w:r w:rsidRPr="00E8426E">
        <w:rPr>
          <w:rStyle w:val="Fremhv"/>
          <w:rFonts w:asciiTheme="majorBidi" w:hAnsiTheme="majorBidi" w:cstheme="majorBidi"/>
          <w:b w:val="0"/>
          <w:color w:val="000000"/>
          <w:sz w:val="24"/>
          <w:szCs w:val="24"/>
        </w:rPr>
        <w:t>Subutex</w:t>
      </w:r>
      <w:proofErr w:type="spellEnd"/>
      <w:r w:rsidRPr="00E8426E">
        <w:rPr>
          <w:rStyle w:val="Fremhv"/>
          <w:rFonts w:asciiTheme="majorBidi" w:hAnsiTheme="majorBidi" w:cstheme="majorBidi"/>
          <w:b w:val="0"/>
          <w:color w:val="000000"/>
          <w:sz w:val="24"/>
          <w:szCs w:val="24"/>
        </w:rPr>
        <w:t xml:space="preserve"> depotinjektion er kontraindiceret hos patienter med svært nedsat leverfunktion (se pkt. 4.3).</w:t>
      </w:r>
    </w:p>
    <w:p w:rsidR="003C7B72" w:rsidRDefault="003C7B72" w:rsidP="00232CFA">
      <w:pPr>
        <w:tabs>
          <w:tab w:val="left" w:pos="851"/>
        </w:tabs>
        <w:ind w:left="851"/>
        <w:rPr>
          <w:bCs/>
          <w:sz w:val="24"/>
          <w:szCs w:val="24"/>
          <w:u w:val="single"/>
        </w:rPr>
      </w:pPr>
    </w:p>
    <w:p w:rsidR="003C7B72" w:rsidRPr="00E8426E" w:rsidRDefault="003C7B72" w:rsidP="003C7B72">
      <w:pPr>
        <w:keepNext/>
        <w:ind w:firstLine="851"/>
        <w:contextualSpacing/>
        <w:rPr>
          <w:rStyle w:val="Fremhv"/>
          <w:rFonts w:asciiTheme="majorBidi" w:hAnsiTheme="majorBidi" w:cstheme="majorBidi"/>
          <w:b w:val="0"/>
          <w:i/>
          <w:color w:val="000000"/>
          <w:sz w:val="24"/>
          <w:szCs w:val="24"/>
        </w:rPr>
      </w:pPr>
      <w:r w:rsidRPr="00E8426E">
        <w:rPr>
          <w:rStyle w:val="Fremhv"/>
          <w:rFonts w:asciiTheme="majorBidi" w:hAnsiTheme="majorBidi" w:cstheme="majorBidi"/>
          <w:b w:val="0"/>
          <w:i/>
          <w:color w:val="000000"/>
          <w:sz w:val="24"/>
          <w:szCs w:val="24"/>
        </w:rPr>
        <w:t>Nedsat nyrefunktion</w:t>
      </w:r>
    </w:p>
    <w:p w:rsidR="00232CFA" w:rsidRDefault="003C7B72" w:rsidP="003C7B72">
      <w:pPr>
        <w:tabs>
          <w:tab w:val="left" w:pos="851"/>
        </w:tabs>
        <w:ind w:left="851"/>
        <w:contextualSpacing/>
        <w:rPr>
          <w:rStyle w:val="Fremhv"/>
          <w:rFonts w:asciiTheme="majorBidi" w:hAnsiTheme="majorBidi" w:cstheme="majorBidi"/>
          <w:b w:val="0"/>
          <w:color w:val="000000"/>
          <w:sz w:val="24"/>
          <w:szCs w:val="24"/>
        </w:rPr>
      </w:pPr>
      <w:r w:rsidRPr="00E8426E">
        <w:rPr>
          <w:rStyle w:val="Fremhv"/>
          <w:rFonts w:asciiTheme="majorBidi" w:hAnsiTheme="majorBidi" w:cstheme="majorBidi"/>
          <w:b w:val="0"/>
          <w:color w:val="000000"/>
          <w:sz w:val="24"/>
          <w:szCs w:val="24"/>
        </w:rPr>
        <w:t xml:space="preserve">Modifikation af </w:t>
      </w:r>
      <w:proofErr w:type="spellStart"/>
      <w:r w:rsidRPr="00E8426E">
        <w:rPr>
          <w:rStyle w:val="Fremhv"/>
          <w:rFonts w:asciiTheme="majorBidi" w:hAnsiTheme="majorBidi" w:cstheme="majorBidi"/>
          <w:b w:val="0"/>
          <w:color w:val="000000"/>
          <w:sz w:val="24"/>
          <w:szCs w:val="24"/>
        </w:rPr>
        <w:t>buprenorphin</w:t>
      </w:r>
      <w:proofErr w:type="spellEnd"/>
      <w:r w:rsidRPr="00E8426E">
        <w:rPr>
          <w:rStyle w:val="Fremhv"/>
          <w:rFonts w:asciiTheme="majorBidi" w:hAnsiTheme="majorBidi" w:cstheme="majorBidi"/>
          <w:b w:val="0"/>
          <w:color w:val="000000"/>
          <w:sz w:val="24"/>
          <w:szCs w:val="24"/>
        </w:rPr>
        <w:t>-dosen er ikke nødvendig hos patienter med nedsat nyrefunktion. Der rådes til forsigtighed ved dosering af patienter med svært nedsat nyrefunktion (</w:t>
      </w:r>
      <w:proofErr w:type="spellStart"/>
      <w:r w:rsidRPr="00E8426E">
        <w:rPr>
          <w:rStyle w:val="Fremhv"/>
          <w:rFonts w:asciiTheme="majorBidi" w:hAnsiTheme="majorBidi" w:cstheme="majorBidi"/>
          <w:b w:val="0"/>
          <w:color w:val="000000"/>
          <w:sz w:val="24"/>
          <w:szCs w:val="24"/>
        </w:rPr>
        <w:t>kreatininclearance</w:t>
      </w:r>
      <w:proofErr w:type="spellEnd"/>
      <w:r w:rsidRPr="00E8426E">
        <w:rPr>
          <w:rStyle w:val="Fremhv"/>
          <w:rFonts w:asciiTheme="majorBidi" w:hAnsiTheme="majorBidi" w:cstheme="majorBidi"/>
          <w:b w:val="0"/>
          <w:color w:val="000000"/>
          <w:sz w:val="24"/>
          <w:szCs w:val="24"/>
        </w:rPr>
        <w:t> &lt; 30 ml/min) (se pkt. 4.4 og 5.2).</w:t>
      </w:r>
    </w:p>
    <w:p w:rsidR="003C7B72" w:rsidRDefault="003C7B72" w:rsidP="003C7B72">
      <w:pPr>
        <w:tabs>
          <w:tab w:val="left" w:pos="851"/>
        </w:tabs>
        <w:ind w:left="851"/>
        <w:contextualSpacing/>
        <w:rPr>
          <w:rFonts w:asciiTheme="majorBidi" w:hAnsiTheme="majorBidi" w:cstheme="majorBidi"/>
          <w:bCs/>
          <w:color w:val="000000"/>
          <w:sz w:val="24"/>
          <w:szCs w:val="24"/>
        </w:rPr>
      </w:pPr>
    </w:p>
    <w:p w:rsidR="003C7B72" w:rsidRPr="003C7B72" w:rsidRDefault="003C7B72" w:rsidP="003C7B72">
      <w:pPr>
        <w:keepNext/>
        <w:tabs>
          <w:tab w:val="left" w:pos="851"/>
        </w:tabs>
        <w:contextualSpacing/>
        <w:rPr>
          <w:rStyle w:val="Fremhv"/>
          <w:rFonts w:asciiTheme="majorBidi" w:hAnsiTheme="majorBidi" w:cstheme="majorBidi"/>
          <w:b w:val="0"/>
          <w:i/>
          <w:color w:val="000000"/>
          <w:sz w:val="24"/>
          <w:szCs w:val="24"/>
        </w:rPr>
      </w:pPr>
      <w:r>
        <w:rPr>
          <w:rStyle w:val="Fremhv"/>
          <w:rFonts w:asciiTheme="majorBidi" w:hAnsiTheme="majorBidi" w:cstheme="majorBidi"/>
          <w:b w:val="0"/>
          <w:i/>
          <w:color w:val="000000"/>
          <w:sz w:val="24"/>
          <w:szCs w:val="24"/>
        </w:rPr>
        <w:tab/>
      </w:r>
      <w:r w:rsidRPr="003C7B72">
        <w:rPr>
          <w:rStyle w:val="Fremhv"/>
          <w:rFonts w:asciiTheme="majorBidi" w:hAnsiTheme="majorBidi" w:cstheme="majorBidi"/>
          <w:b w:val="0"/>
          <w:i/>
          <w:color w:val="000000"/>
          <w:sz w:val="24"/>
          <w:szCs w:val="24"/>
        </w:rPr>
        <w:t>Pædiatrisk population</w:t>
      </w:r>
    </w:p>
    <w:p w:rsidR="003C7B72" w:rsidRPr="003C7B72" w:rsidDel="00C44E56" w:rsidRDefault="003C7B72" w:rsidP="003C7B72">
      <w:pPr>
        <w:keepNext/>
        <w:tabs>
          <w:tab w:val="left" w:pos="993"/>
        </w:tabs>
        <w:ind w:left="851"/>
        <w:contextualSpacing/>
        <w:rPr>
          <w:rStyle w:val="Fremhv"/>
          <w:rFonts w:asciiTheme="majorBidi" w:hAnsiTheme="majorBidi" w:cstheme="majorBidi"/>
          <w:b w:val="0"/>
          <w:i/>
          <w:color w:val="000000"/>
          <w:sz w:val="24"/>
          <w:szCs w:val="24"/>
        </w:rPr>
      </w:pPr>
      <w:proofErr w:type="spellStart"/>
      <w:r w:rsidRPr="003C7B72">
        <w:rPr>
          <w:rStyle w:val="Fremhv"/>
          <w:rFonts w:asciiTheme="majorBidi" w:hAnsiTheme="majorBidi" w:cstheme="majorBidi"/>
          <w:b w:val="0"/>
          <w:color w:val="000000" w:themeColor="text1"/>
          <w:sz w:val="24"/>
          <w:szCs w:val="24"/>
        </w:rPr>
        <w:t>Subutex’s</w:t>
      </w:r>
      <w:proofErr w:type="spellEnd"/>
      <w:r w:rsidRPr="003C7B72">
        <w:rPr>
          <w:rStyle w:val="Fremhv"/>
          <w:rFonts w:asciiTheme="majorBidi" w:hAnsiTheme="majorBidi" w:cstheme="majorBidi"/>
          <w:b w:val="0"/>
          <w:color w:val="000000" w:themeColor="text1"/>
          <w:sz w:val="24"/>
          <w:szCs w:val="24"/>
        </w:rPr>
        <w:t xml:space="preserve"> sikkerhed og virkning er ikke klarlagt hos børn og unge under 18 år. </w:t>
      </w:r>
      <w:proofErr w:type="spellStart"/>
      <w:r w:rsidRPr="003C7B72">
        <w:rPr>
          <w:rStyle w:val="Fremhv"/>
          <w:rFonts w:asciiTheme="majorBidi" w:hAnsiTheme="majorBidi" w:cstheme="majorBidi"/>
          <w:b w:val="0"/>
          <w:color w:val="000000" w:themeColor="text1"/>
          <w:sz w:val="24"/>
          <w:szCs w:val="24"/>
        </w:rPr>
        <w:t>Subutex</w:t>
      </w:r>
      <w:proofErr w:type="spellEnd"/>
      <w:r w:rsidRPr="003C7B72">
        <w:rPr>
          <w:rStyle w:val="Fremhv"/>
          <w:rFonts w:asciiTheme="majorBidi" w:hAnsiTheme="majorBidi" w:cstheme="majorBidi"/>
          <w:b w:val="0"/>
          <w:color w:val="000000" w:themeColor="text1"/>
          <w:sz w:val="24"/>
          <w:szCs w:val="24"/>
        </w:rPr>
        <w:t xml:space="preserve"> bør ikke anvendes til børn og unge under 18 år.</w:t>
      </w:r>
    </w:p>
    <w:p w:rsidR="00232CFA" w:rsidRPr="00232CFA" w:rsidRDefault="00232CFA" w:rsidP="00232CFA">
      <w:pPr>
        <w:tabs>
          <w:tab w:val="left" w:pos="851"/>
        </w:tabs>
        <w:ind w:left="851"/>
        <w:rPr>
          <w:bCs/>
          <w:sz w:val="24"/>
          <w:szCs w:val="24"/>
          <w:u w:val="single"/>
        </w:rPr>
      </w:pPr>
    </w:p>
    <w:p w:rsidR="00232CFA" w:rsidRPr="003C7B72" w:rsidRDefault="00232CFA" w:rsidP="00232CFA">
      <w:pPr>
        <w:tabs>
          <w:tab w:val="left" w:pos="851"/>
        </w:tabs>
        <w:ind w:left="851"/>
        <w:rPr>
          <w:bCs/>
          <w:sz w:val="24"/>
          <w:szCs w:val="24"/>
          <w:u w:val="single"/>
        </w:rPr>
      </w:pPr>
      <w:r w:rsidRPr="003C7B72">
        <w:rPr>
          <w:bCs/>
          <w:sz w:val="24"/>
          <w:szCs w:val="24"/>
          <w:u w:val="single"/>
        </w:rPr>
        <w:t>Administration</w:t>
      </w:r>
    </w:p>
    <w:p w:rsidR="00C74984" w:rsidRPr="00C74984" w:rsidRDefault="00C74984" w:rsidP="00C74984">
      <w:pPr>
        <w:tabs>
          <w:tab w:val="left" w:pos="851"/>
        </w:tabs>
        <w:ind w:left="851"/>
        <w:rPr>
          <w:sz w:val="24"/>
          <w:szCs w:val="24"/>
          <w:lang w:val="fr-LU"/>
        </w:rPr>
      </w:pPr>
      <w:r w:rsidRPr="00C74984">
        <w:rPr>
          <w:sz w:val="24"/>
          <w:szCs w:val="24"/>
        </w:rPr>
        <w:t xml:space="preserve">Kun til </w:t>
      </w:r>
      <w:proofErr w:type="spellStart"/>
      <w:r w:rsidRPr="00C74984">
        <w:rPr>
          <w:sz w:val="24"/>
          <w:szCs w:val="24"/>
        </w:rPr>
        <w:t>abdominal</w:t>
      </w:r>
      <w:proofErr w:type="spellEnd"/>
      <w:r w:rsidRPr="00C74984">
        <w:rPr>
          <w:sz w:val="24"/>
          <w:szCs w:val="24"/>
        </w:rPr>
        <w:t xml:space="preserve"> subkutan injektion. </w:t>
      </w:r>
      <w:proofErr w:type="spellStart"/>
      <w:r w:rsidRPr="00C74984">
        <w:rPr>
          <w:sz w:val="24"/>
          <w:szCs w:val="24"/>
        </w:rPr>
        <w:t>Subutex</w:t>
      </w:r>
      <w:proofErr w:type="spellEnd"/>
      <w:r w:rsidRPr="00C74984">
        <w:rPr>
          <w:sz w:val="24"/>
          <w:szCs w:val="24"/>
        </w:rPr>
        <w:t xml:space="preserve"> må ikke administreres intravenøst, intramuskulært eller </w:t>
      </w:r>
      <w:proofErr w:type="spellStart"/>
      <w:r w:rsidRPr="00C74984">
        <w:rPr>
          <w:sz w:val="24"/>
          <w:szCs w:val="24"/>
        </w:rPr>
        <w:t>intradermalt</w:t>
      </w:r>
      <w:proofErr w:type="spellEnd"/>
      <w:r w:rsidRPr="00C74984">
        <w:rPr>
          <w:sz w:val="24"/>
          <w:szCs w:val="24"/>
        </w:rPr>
        <w:t xml:space="preserve"> </w:t>
      </w:r>
      <w:bookmarkStart w:id="2" w:name="_Hlk26378969"/>
      <w:r w:rsidRPr="00C74984">
        <w:rPr>
          <w:sz w:val="24"/>
          <w:szCs w:val="24"/>
        </w:rPr>
        <w:t>(se pkt. 4.4).</w:t>
      </w:r>
      <w:bookmarkEnd w:id="2"/>
    </w:p>
    <w:p w:rsidR="00232CFA" w:rsidRPr="00C74984" w:rsidRDefault="00232CFA" w:rsidP="00232CFA">
      <w:pPr>
        <w:tabs>
          <w:tab w:val="left" w:pos="851"/>
        </w:tabs>
        <w:ind w:left="851"/>
        <w:rPr>
          <w:sz w:val="24"/>
          <w:szCs w:val="24"/>
          <w:lang w:val="fr-LU"/>
        </w:rPr>
      </w:pPr>
    </w:p>
    <w:p w:rsidR="003C7B72" w:rsidRPr="00E8426E" w:rsidRDefault="00232CFA" w:rsidP="003C7B72">
      <w:pPr>
        <w:tabs>
          <w:tab w:val="left" w:pos="851"/>
        </w:tabs>
        <w:ind w:left="851"/>
        <w:contextualSpacing/>
        <w:rPr>
          <w:rFonts w:asciiTheme="majorBidi" w:hAnsiTheme="majorBidi" w:cstheme="majorBidi"/>
          <w:color w:val="000000"/>
          <w:sz w:val="24"/>
          <w:szCs w:val="24"/>
        </w:rPr>
      </w:pPr>
      <w:bookmarkStart w:id="3" w:name="_Hlk27314096"/>
      <w:proofErr w:type="spellStart"/>
      <w:r w:rsidRPr="00232CFA">
        <w:rPr>
          <w:sz w:val="24"/>
          <w:szCs w:val="24"/>
        </w:rPr>
        <w:t>Subutex</w:t>
      </w:r>
      <w:proofErr w:type="spellEnd"/>
      <w:r w:rsidRPr="00232CFA">
        <w:rPr>
          <w:sz w:val="24"/>
          <w:szCs w:val="24"/>
        </w:rPr>
        <w:t xml:space="preserve"> </w:t>
      </w:r>
      <w:bookmarkEnd w:id="3"/>
      <w:r w:rsidR="003C7B72">
        <w:rPr>
          <w:sz w:val="24"/>
          <w:szCs w:val="24"/>
        </w:rPr>
        <w:t>må</w:t>
      </w:r>
      <w:r w:rsidRPr="00232CFA">
        <w:rPr>
          <w:sz w:val="24"/>
          <w:szCs w:val="24"/>
        </w:rPr>
        <w:t xml:space="preserve"> kun administreres som subkutan injektion i </w:t>
      </w:r>
      <w:proofErr w:type="spellStart"/>
      <w:r w:rsidRPr="00232CFA">
        <w:rPr>
          <w:sz w:val="24"/>
          <w:szCs w:val="24"/>
        </w:rPr>
        <w:t>abdominalregionen</w:t>
      </w:r>
      <w:proofErr w:type="spellEnd"/>
      <w:r w:rsidRPr="00232CFA">
        <w:rPr>
          <w:sz w:val="24"/>
          <w:szCs w:val="24"/>
        </w:rPr>
        <w:t xml:space="preserve"> af sundhedspersoner. </w:t>
      </w:r>
      <w:r w:rsidR="003C7B72" w:rsidRPr="00E8426E">
        <w:rPr>
          <w:rFonts w:asciiTheme="majorBidi" w:hAnsiTheme="majorBidi" w:cstheme="majorBidi"/>
          <w:color w:val="000000"/>
          <w:sz w:val="24"/>
          <w:szCs w:val="24"/>
        </w:rPr>
        <w:t>Hver injektion bør kun administreres ved brug af den sprøjte og sikkerhedskanyle, der medfølger i æsken. For at undgå hudirritation skal der skiftes mellem forskellige injektionssteder, og alle fire kvadranter på abdomen skal anvendes, forudsat der er tilstrækkeligt subkutant væv.</w:t>
      </w:r>
    </w:p>
    <w:p w:rsidR="003C7B72" w:rsidRPr="00E8426E" w:rsidRDefault="003C7B72" w:rsidP="003C7B72">
      <w:pPr>
        <w:tabs>
          <w:tab w:val="left" w:pos="360"/>
        </w:tabs>
        <w:contextualSpacing/>
        <w:rPr>
          <w:rFonts w:asciiTheme="majorBidi" w:hAnsiTheme="majorBidi" w:cstheme="majorBidi"/>
          <w:color w:val="000000"/>
          <w:sz w:val="24"/>
          <w:szCs w:val="24"/>
        </w:rPr>
      </w:pPr>
    </w:p>
    <w:p w:rsidR="003C7B72" w:rsidRPr="003C7B72" w:rsidRDefault="003C7B72" w:rsidP="003C7B72">
      <w:pPr>
        <w:tabs>
          <w:tab w:val="left" w:pos="851"/>
        </w:tabs>
        <w:ind w:left="851"/>
        <w:rPr>
          <w:sz w:val="24"/>
          <w:szCs w:val="24"/>
        </w:rPr>
      </w:pPr>
      <w:r w:rsidRPr="00E8426E">
        <w:rPr>
          <w:rFonts w:asciiTheme="majorBidi" w:hAnsiTheme="majorBidi" w:cstheme="majorBidi"/>
          <w:color w:val="000000"/>
          <w:sz w:val="24"/>
          <w:szCs w:val="24"/>
        </w:rPr>
        <w:t xml:space="preserve">Skal tages ud af køleskabet mindst 15 minutter før </w:t>
      </w:r>
      <w:proofErr w:type="spellStart"/>
      <w:r w:rsidRPr="00E8426E">
        <w:rPr>
          <w:rFonts w:asciiTheme="majorBidi" w:hAnsiTheme="majorBidi" w:cstheme="majorBidi"/>
          <w:color w:val="000000"/>
          <w:sz w:val="24"/>
          <w:szCs w:val="24"/>
        </w:rPr>
        <w:t>injicering</w:t>
      </w:r>
      <w:proofErr w:type="spellEnd"/>
      <w:r w:rsidRPr="00E8426E">
        <w:rPr>
          <w:rFonts w:asciiTheme="majorBidi" w:hAnsiTheme="majorBidi" w:cstheme="majorBidi"/>
          <w:color w:val="000000"/>
          <w:sz w:val="24"/>
          <w:szCs w:val="24"/>
        </w:rPr>
        <w:t xml:space="preserve"> af patienten, for at præparatet kan opnå stuetemperatur. Åbn ikke folieposen, før patienten er ankommet til klinikken.</w:t>
      </w:r>
    </w:p>
    <w:p w:rsidR="009260DE" w:rsidRPr="00232CFA" w:rsidRDefault="009260DE" w:rsidP="009260DE">
      <w:pPr>
        <w:tabs>
          <w:tab w:val="left" w:pos="851"/>
        </w:tabs>
        <w:ind w:left="851"/>
        <w:rPr>
          <w:sz w:val="24"/>
          <w:szCs w:val="24"/>
          <w:lang w:val="fr-LU"/>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695DDA" w:rsidRPr="00695DDA" w:rsidRDefault="00695DDA" w:rsidP="00EE4AB8">
      <w:pPr>
        <w:numPr>
          <w:ilvl w:val="0"/>
          <w:numId w:val="6"/>
        </w:numPr>
        <w:tabs>
          <w:tab w:val="left" w:pos="851"/>
        </w:tabs>
        <w:ind w:left="1134" w:hanging="283"/>
        <w:rPr>
          <w:sz w:val="24"/>
          <w:szCs w:val="24"/>
        </w:rPr>
      </w:pPr>
      <w:r w:rsidRPr="00695DDA">
        <w:rPr>
          <w:sz w:val="24"/>
          <w:szCs w:val="24"/>
        </w:rPr>
        <w:t xml:space="preserve">Overfølsomhed over for </w:t>
      </w:r>
      <w:r w:rsidR="003C7B72">
        <w:rPr>
          <w:sz w:val="24"/>
          <w:szCs w:val="24"/>
        </w:rPr>
        <w:t>det aktive stof</w:t>
      </w:r>
      <w:r w:rsidRPr="00695DDA">
        <w:rPr>
          <w:sz w:val="24"/>
          <w:szCs w:val="24"/>
        </w:rPr>
        <w:t xml:space="preserve"> eller over for et eller flere af hjælpestofferne anført i pkt. 6.1.</w:t>
      </w:r>
    </w:p>
    <w:p w:rsidR="00695DDA" w:rsidRPr="00695DDA" w:rsidRDefault="00695DDA" w:rsidP="00EE4AB8">
      <w:pPr>
        <w:numPr>
          <w:ilvl w:val="0"/>
          <w:numId w:val="6"/>
        </w:numPr>
        <w:tabs>
          <w:tab w:val="left" w:pos="851"/>
        </w:tabs>
        <w:ind w:left="1134" w:hanging="283"/>
        <w:rPr>
          <w:sz w:val="24"/>
          <w:szCs w:val="24"/>
          <w:lang w:val="fr-LU"/>
        </w:rPr>
      </w:pPr>
      <w:r w:rsidRPr="00695DDA">
        <w:rPr>
          <w:sz w:val="24"/>
          <w:szCs w:val="24"/>
          <w:lang w:val="fr-LU"/>
        </w:rPr>
        <w:t>Svær</w:t>
      </w:r>
      <w:r w:rsidR="003C7B72">
        <w:rPr>
          <w:sz w:val="24"/>
          <w:szCs w:val="24"/>
          <w:lang w:val="fr-LU"/>
        </w:rPr>
        <w:t>t nedsat respirationsfunktion</w:t>
      </w:r>
    </w:p>
    <w:p w:rsidR="00695DDA" w:rsidRPr="00695DDA" w:rsidRDefault="00695DDA" w:rsidP="00EE4AB8">
      <w:pPr>
        <w:numPr>
          <w:ilvl w:val="0"/>
          <w:numId w:val="6"/>
        </w:numPr>
        <w:tabs>
          <w:tab w:val="left" w:pos="851"/>
        </w:tabs>
        <w:ind w:left="1134" w:hanging="283"/>
        <w:rPr>
          <w:sz w:val="24"/>
          <w:szCs w:val="24"/>
          <w:lang w:val="fr-LU"/>
        </w:rPr>
      </w:pPr>
      <w:r w:rsidRPr="00695DDA">
        <w:rPr>
          <w:sz w:val="24"/>
          <w:szCs w:val="24"/>
          <w:lang w:val="fr-LU"/>
        </w:rPr>
        <w:t>Svært nedsat leverfunktion</w:t>
      </w:r>
    </w:p>
    <w:p w:rsidR="00695DDA" w:rsidRPr="003C7B72" w:rsidRDefault="00695DDA" w:rsidP="00EE4AB8">
      <w:pPr>
        <w:numPr>
          <w:ilvl w:val="0"/>
          <w:numId w:val="6"/>
        </w:numPr>
        <w:tabs>
          <w:tab w:val="left" w:pos="851"/>
        </w:tabs>
        <w:ind w:left="1134" w:hanging="283"/>
        <w:rPr>
          <w:sz w:val="24"/>
          <w:szCs w:val="24"/>
          <w:lang w:val="fr-LU"/>
        </w:rPr>
      </w:pPr>
      <w:r w:rsidRPr="00695DDA">
        <w:rPr>
          <w:sz w:val="24"/>
          <w:szCs w:val="24"/>
          <w:lang w:val="fr-LU"/>
        </w:rPr>
        <w:t xml:space="preserve">Akut alkoholisme eller </w:t>
      </w:r>
      <w:r w:rsidRPr="00695DDA">
        <w:rPr>
          <w:i/>
          <w:sz w:val="24"/>
          <w:szCs w:val="24"/>
          <w:lang w:val="fr-LU"/>
        </w:rPr>
        <w:t>delirium tremens</w:t>
      </w:r>
    </w:p>
    <w:p w:rsidR="003C7B72" w:rsidRPr="00695DDA" w:rsidRDefault="003C7B72" w:rsidP="00EE4AB8">
      <w:pPr>
        <w:numPr>
          <w:ilvl w:val="0"/>
          <w:numId w:val="6"/>
        </w:numPr>
        <w:tabs>
          <w:tab w:val="left" w:pos="851"/>
        </w:tabs>
        <w:ind w:left="1134" w:hanging="283"/>
        <w:rPr>
          <w:sz w:val="24"/>
          <w:szCs w:val="24"/>
          <w:lang w:val="fr-LU"/>
        </w:rPr>
      </w:pPr>
      <w:r>
        <w:rPr>
          <w:sz w:val="24"/>
          <w:szCs w:val="24"/>
          <w:lang w:val="fr-LU"/>
        </w:rPr>
        <w:t>Samtidig brug af opioidantagonister (naltrexon, nalmefen) til behandling af alkohol- eller opioidafhængighed.</w:t>
      </w:r>
    </w:p>
    <w:p w:rsidR="009260DE" w:rsidRPr="00695DDA" w:rsidRDefault="009260DE" w:rsidP="009260DE">
      <w:pPr>
        <w:tabs>
          <w:tab w:val="left" w:pos="851"/>
        </w:tabs>
        <w:ind w:left="851"/>
        <w:rPr>
          <w:sz w:val="24"/>
          <w:szCs w:val="24"/>
          <w:lang w:val="fr-LU"/>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95DDA" w:rsidRPr="00695DDA" w:rsidRDefault="00695DDA" w:rsidP="00695DDA">
      <w:pPr>
        <w:tabs>
          <w:tab w:val="left" w:pos="851"/>
        </w:tabs>
        <w:ind w:left="851"/>
        <w:rPr>
          <w:sz w:val="24"/>
          <w:szCs w:val="24"/>
        </w:rPr>
      </w:pPr>
    </w:p>
    <w:p w:rsidR="00695DDA" w:rsidRDefault="00695DDA" w:rsidP="00695DDA">
      <w:pPr>
        <w:tabs>
          <w:tab w:val="left" w:pos="851"/>
        </w:tabs>
        <w:ind w:left="851"/>
        <w:rPr>
          <w:sz w:val="24"/>
          <w:szCs w:val="24"/>
          <w:u w:val="single"/>
        </w:rPr>
      </w:pPr>
      <w:r w:rsidRPr="00695DDA">
        <w:rPr>
          <w:sz w:val="24"/>
          <w:szCs w:val="24"/>
          <w:u w:val="single"/>
        </w:rPr>
        <w:lastRenderedPageBreak/>
        <w:t xml:space="preserve">Risiko for alvorlig skade eller død </w:t>
      </w:r>
      <w:r w:rsidR="00AE7E90">
        <w:rPr>
          <w:sz w:val="24"/>
          <w:szCs w:val="24"/>
          <w:u w:val="single"/>
        </w:rPr>
        <w:t xml:space="preserve">i tilfælde af forkert </w:t>
      </w:r>
      <w:r w:rsidRPr="00695DDA">
        <w:rPr>
          <w:sz w:val="24"/>
          <w:szCs w:val="24"/>
          <w:u w:val="single"/>
        </w:rPr>
        <w:t>administration</w:t>
      </w:r>
    </w:p>
    <w:p w:rsidR="003517BF" w:rsidRPr="00695DDA" w:rsidRDefault="003517BF" w:rsidP="00695DDA">
      <w:pPr>
        <w:tabs>
          <w:tab w:val="left" w:pos="851"/>
        </w:tabs>
        <w:ind w:left="851"/>
        <w:rPr>
          <w:sz w:val="24"/>
          <w:szCs w:val="24"/>
          <w:u w:val="single"/>
        </w:rPr>
      </w:pPr>
    </w:p>
    <w:p w:rsidR="00AE7E90" w:rsidRPr="00E8426E" w:rsidRDefault="00695DDA" w:rsidP="00AE7E90">
      <w:pPr>
        <w:ind w:left="851"/>
        <w:contextualSpacing/>
        <w:rPr>
          <w:rFonts w:asciiTheme="majorBidi" w:hAnsiTheme="majorBidi" w:cstheme="majorBidi"/>
          <w:sz w:val="24"/>
          <w:szCs w:val="24"/>
        </w:rPr>
      </w:pPr>
      <w:proofErr w:type="spellStart"/>
      <w:r w:rsidRPr="00695DDA">
        <w:rPr>
          <w:sz w:val="24"/>
          <w:szCs w:val="24"/>
        </w:rPr>
        <w:t>Subutex</w:t>
      </w:r>
      <w:proofErr w:type="spellEnd"/>
      <w:r w:rsidRPr="00695DDA">
        <w:rPr>
          <w:sz w:val="24"/>
          <w:szCs w:val="24"/>
        </w:rPr>
        <w:t xml:space="preserve"> må ikke administreres intravenøst</w:t>
      </w:r>
      <w:r w:rsidR="00AE7E90" w:rsidRPr="00E8426E">
        <w:rPr>
          <w:rFonts w:asciiTheme="majorBidi" w:hAnsiTheme="majorBidi" w:cstheme="majorBidi"/>
          <w:sz w:val="24"/>
          <w:szCs w:val="24"/>
        </w:rPr>
        <w:t xml:space="preserve">, intramuskulært eller </w:t>
      </w:r>
      <w:proofErr w:type="spellStart"/>
      <w:r w:rsidR="00AE7E90" w:rsidRPr="00E8426E">
        <w:rPr>
          <w:rFonts w:asciiTheme="majorBidi" w:hAnsiTheme="majorBidi" w:cstheme="majorBidi"/>
          <w:sz w:val="24"/>
          <w:szCs w:val="24"/>
        </w:rPr>
        <w:t>intradermalt</w:t>
      </w:r>
      <w:proofErr w:type="spellEnd"/>
      <w:r w:rsidR="00AE7E90" w:rsidRPr="00E8426E">
        <w:rPr>
          <w:rFonts w:asciiTheme="majorBidi" w:hAnsiTheme="majorBidi" w:cstheme="majorBidi"/>
          <w:sz w:val="24"/>
          <w:szCs w:val="24"/>
        </w:rPr>
        <w:t xml:space="preserve">. Intravenøs injektion udgør en signifikant risiko for alvorlig skade eller dødsfald, da </w:t>
      </w:r>
      <w:proofErr w:type="spellStart"/>
      <w:r w:rsidR="00AE7E90" w:rsidRPr="00E8426E">
        <w:rPr>
          <w:rFonts w:asciiTheme="majorBidi" w:hAnsiTheme="majorBidi" w:cstheme="majorBidi"/>
          <w:sz w:val="24"/>
          <w:szCs w:val="24"/>
        </w:rPr>
        <w:t>Subutex</w:t>
      </w:r>
      <w:proofErr w:type="spellEnd"/>
      <w:r w:rsidR="00AE7E90" w:rsidRPr="00E8426E">
        <w:rPr>
          <w:rFonts w:asciiTheme="majorBidi" w:hAnsiTheme="majorBidi" w:cstheme="majorBidi"/>
          <w:sz w:val="24"/>
          <w:szCs w:val="24"/>
        </w:rPr>
        <w:t xml:space="preserve"> danner en solid masse ved kontakt med legemsvæsker. </w:t>
      </w:r>
      <w:proofErr w:type="spellStart"/>
      <w:r w:rsidR="00AE7E90" w:rsidRPr="00E8426E">
        <w:rPr>
          <w:rFonts w:asciiTheme="majorBidi" w:hAnsiTheme="majorBidi" w:cstheme="majorBidi"/>
          <w:sz w:val="24"/>
          <w:szCs w:val="24"/>
        </w:rPr>
        <w:t>Okklusion</w:t>
      </w:r>
      <w:proofErr w:type="spellEnd"/>
      <w:r w:rsidR="00AE7E90" w:rsidRPr="00E8426E">
        <w:rPr>
          <w:rFonts w:asciiTheme="majorBidi" w:hAnsiTheme="majorBidi" w:cstheme="majorBidi"/>
          <w:sz w:val="24"/>
          <w:szCs w:val="24"/>
        </w:rPr>
        <w:t xml:space="preserve">, lokal vævsskade og </w:t>
      </w:r>
      <w:proofErr w:type="spellStart"/>
      <w:r w:rsidR="00AE7E90" w:rsidRPr="00E8426E">
        <w:rPr>
          <w:rFonts w:asciiTheme="majorBidi" w:hAnsiTheme="majorBidi" w:cstheme="majorBidi"/>
          <w:sz w:val="24"/>
          <w:szCs w:val="24"/>
        </w:rPr>
        <w:t>tromboemboliske</w:t>
      </w:r>
      <w:proofErr w:type="spellEnd"/>
      <w:r w:rsidR="00AE7E90" w:rsidRPr="00E8426E">
        <w:rPr>
          <w:rFonts w:asciiTheme="majorBidi" w:hAnsiTheme="majorBidi" w:cstheme="majorBidi"/>
          <w:sz w:val="24"/>
          <w:szCs w:val="24"/>
        </w:rPr>
        <w:t xml:space="preserve"> hændelser, herunder livstruende </w:t>
      </w:r>
      <w:proofErr w:type="spellStart"/>
      <w:r w:rsidR="00AE7E90" w:rsidRPr="00E8426E">
        <w:rPr>
          <w:rFonts w:asciiTheme="majorBidi" w:hAnsiTheme="majorBidi" w:cstheme="majorBidi"/>
          <w:sz w:val="24"/>
          <w:szCs w:val="24"/>
        </w:rPr>
        <w:t>lungeemboli</w:t>
      </w:r>
      <w:proofErr w:type="spellEnd"/>
      <w:r w:rsidR="00AE7E90" w:rsidRPr="00E8426E">
        <w:rPr>
          <w:rFonts w:asciiTheme="majorBidi" w:hAnsiTheme="majorBidi" w:cstheme="majorBidi"/>
          <w:sz w:val="24"/>
          <w:szCs w:val="24"/>
        </w:rPr>
        <w:t>, kan opstå i tilfælde af intravenøs administration.</w:t>
      </w:r>
    </w:p>
    <w:p w:rsidR="003C4EAC" w:rsidRDefault="003C4EAC" w:rsidP="00695DDA">
      <w:pPr>
        <w:tabs>
          <w:tab w:val="left" w:pos="851"/>
        </w:tabs>
        <w:ind w:left="851"/>
        <w:rPr>
          <w:sz w:val="24"/>
          <w:szCs w:val="24"/>
        </w:rPr>
      </w:pPr>
    </w:p>
    <w:p w:rsidR="00AE7E90" w:rsidRPr="00E8426E" w:rsidRDefault="003C4EAC" w:rsidP="00AE7E90">
      <w:pPr>
        <w:ind w:left="851"/>
        <w:contextualSpacing/>
        <w:rPr>
          <w:rFonts w:asciiTheme="majorBidi" w:hAnsiTheme="majorBidi" w:cstheme="majorBidi"/>
          <w:sz w:val="24"/>
          <w:szCs w:val="24"/>
        </w:rPr>
      </w:pPr>
      <w:r w:rsidRPr="003C4EAC">
        <w:rPr>
          <w:sz w:val="24"/>
          <w:szCs w:val="24"/>
        </w:rPr>
        <w:t xml:space="preserve">Utilsigtet intramuskulær eller </w:t>
      </w:r>
      <w:proofErr w:type="spellStart"/>
      <w:r w:rsidRPr="003C4EAC">
        <w:rPr>
          <w:sz w:val="24"/>
          <w:szCs w:val="24"/>
        </w:rPr>
        <w:t>intradermal</w:t>
      </w:r>
      <w:proofErr w:type="spellEnd"/>
      <w:r w:rsidRPr="003C4EAC">
        <w:rPr>
          <w:sz w:val="24"/>
          <w:szCs w:val="24"/>
        </w:rPr>
        <w:t xml:space="preserve"> administration kan øge sandsynligheden for alvorlige reaktioner på injektionsstedet. I nogle rapporter om tilfælde efter markedsføring har reaktioner på injektionsstedet omfattet absces, sårdannelse og nekrose. Nogle tilfælde førte til kirurgisk fjernelse af depotet, </w:t>
      </w:r>
      <w:proofErr w:type="spellStart"/>
      <w:r w:rsidRPr="003C4EAC">
        <w:rPr>
          <w:sz w:val="24"/>
          <w:szCs w:val="24"/>
        </w:rPr>
        <w:t>débridement</w:t>
      </w:r>
      <w:proofErr w:type="spellEnd"/>
      <w:r w:rsidRPr="003C4EAC">
        <w:rPr>
          <w:sz w:val="24"/>
          <w:szCs w:val="24"/>
        </w:rPr>
        <w:t xml:space="preserve">, administration af antibiotika og </w:t>
      </w:r>
      <w:proofErr w:type="spellStart"/>
      <w:r w:rsidRPr="003C4EAC">
        <w:rPr>
          <w:sz w:val="24"/>
          <w:szCs w:val="24"/>
        </w:rPr>
        <w:t>seponering</w:t>
      </w:r>
      <w:proofErr w:type="spellEnd"/>
      <w:r w:rsidRPr="003C4EAC">
        <w:rPr>
          <w:sz w:val="24"/>
          <w:szCs w:val="24"/>
        </w:rPr>
        <w:t xml:space="preserve"> af </w:t>
      </w:r>
      <w:proofErr w:type="spellStart"/>
      <w:r w:rsidRPr="003C4EAC">
        <w:rPr>
          <w:sz w:val="24"/>
          <w:szCs w:val="24"/>
        </w:rPr>
        <w:t>Subutex</w:t>
      </w:r>
      <w:proofErr w:type="spellEnd"/>
      <w:r w:rsidRPr="003C4EAC">
        <w:rPr>
          <w:sz w:val="24"/>
          <w:szCs w:val="24"/>
        </w:rPr>
        <w:t xml:space="preserve"> depotinjektion. Alvorlige reaktioner på injektionsstedet skal evalueres og behandles hensigtsmæssig. Gennemgå injektionsteknikker nøje (se dokumentet </w:t>
      </w:r>
      <w:r w:rsidR="00AE7E90" w:rsidRPr="00E8426E">
        <w:rPr>
          <w:rFonts w:asciiTheme="majorBidi" w:hAnsiTheme="majorBidi" w:cstheme="majorBidi"/>
          <w:sz w:val="24"/>
          <w:szCs w:val="24"/>
        </w:rPr>
        <w:t>Information til sundhedspersoner i indlægssedlen).</w:t>
      </w:r>
    </w:p>
    <w:p w:rsidR="00695DDA" w:rsidRPr="00695DDA" w:rsidRDefault="00695DDA" w:rsidP="00695DDA">
      <w:pPr>
        <w:tabs>
          <w:tab w:val="left" w:pos="851"/>
        </w:tabs>
        <w:ind w:left="851"/>
        <w:rPr>
          <w:sz w:val="24"/>
          <w:szCs w:val="24"/>
          <w:u w:val="single"/>
        </w:rPr>
      </w:pPr>
    </w:p>
    <w:p w:rsidR="00695DDA" w:rsidRDefault="00695DDA" w:rsidP="00695DDA">
      <w:pPr>
        <w:tabs>
          <w:tab w:val="left" w:pos="851"/>
        </w:tabs>
        <w:ind w:left="851"/>
        <w:rPr>
          <w:sz w:val="24"/>
          <w:szCs w:val="24"/>
          <w:u w:val="single"/>
        </w:rPr>
      </w:pPr>
      <w:r w:rsidRPr="00695DDA">
        <w:rPr>
          <w:sz w:val="24"/>
          <w:szCs w:val="24"/>
          <w:u w:val="single"/>
        </w:rPr>
        <w:t>Forkert brug</w:t>
      </w:r>
      <w:r w:rsidR="00AE7E90">
        <w:rPr>
          <w:sz w:val="24"/>
          <w:szCs w:val="24"/>
          <w:u w:val="single"/>
        </w:rPr>
        <w:t xml:space="preserve"> eller</w:t>
      </w:r>
      <w:r w:rsidRPr="00695DDA">
        <w:rPr>
          <w:sz w:val="24"/>
          <w:szCs w:val="24"/>
          <w:u w:val="single"/>
        </w:rPr>
        <w:t xml:space="preserve"> misbrug</w:t>
      </w:r>
    </w:p>
    <w:p w:rsidR="003517BF" w:rsidRPr="00695DDA" w:rsidRDefault="003517BF" w:rsidP="00695DDA">
      <w:pPr>
        <w:tabs>
          <w:tab w:val="left" w:pos="851"/>
        </w:tabs>
        <w:ind w:left="851"/>
        <w:rPr>
          <w:sz w:val="24"/>
          <w:szCs w:val="24"/>
        </w:rPr>
      </w:pPr>
    </w:p>
    <w:p w:rsidR="00AE7E90" w:rsidRPr="00E8426E" w:rsidRDefault="00695DDA" w:rsidP="00AE7E90">
      <w:pPr>
        <w:ind w:left="851"/>
        <w:contextualSpacing/>
        <w:rPr>
          <w:rFonts w:asciiTheme="majorBidi" w:hAnsiTheme="majorBidi" w:cstheme="majorBidi"/>
          <w:sz w:val="24"/>
          <w:szCs w:val="24"/>
        </w:rPr>
      </w:pPr>
      <w:proofErr w:type="spellStart"/>
      <w:r w:rsidRPr="00695DDA">
        <w:rPr>
          <w:sz w:val="24"/>
          <w:szCs w:val="24"/>
        </w:rPr>
        <w:t>Buprenorphin</w:t>
      </w:r>
      <w:proofErr w:type="spellEnd"/>
      <w:r w:rsidRPr="00695DDA">
        <w:rPr>
          <w:sz w:val="24"/>
          <w:szCs w:val="24"/>
        </w:rPr>
        <w:t xml:space="preserve"> </w:t>
      </w:r>
      <w:r w:rsidR="00AE7E90" w:rsidRPr="00E8426E">
        <w:rPr>
          <w:rFonts w:asciiTheme="majorBidi" w:hAnsiTheme="majorBidi" w:cstheme="majorBidi"/>
          <w:sz w:val="24"/>
          <w:szCs w:val="24"/>
        </w:rPr>
        <w:t xml:space="preserve">kan misbruges eller bruges forkert på samme måde som andre opioider, lovlige eller ulovlige. Nogle risici ved forkert brug og misbrug omfatter overdosering, spredning af blodbårne virusinfektioner eller lokaliserede infektioner, respirationsdepression og leverskade. Hvis </w:t>
      </w:r>
      <w:proofErr w:type="spellStart"/>
      <w:r w:rsidR="00AE7E90" w:rsidRPr="00E8426E">
        <w:rPr>
          <w:rFonts w:asciiTheme="majorBidi" w:hAnsiTheme="majorBidi" w:cstheme="majorBidi"/>
          <w:sz w:val="24"/>
          <w:szCs w:val="24"/>
        </w:rPr>
        <w:t>buprenorphin</w:t>
      </w:r>
      <w:proofErr w:type="spellEnd"/>
      <w:r w:rsidR="00AE7E90" w:rsidRPr="00E8426E">
        <w:rPr>
          <w:rFonts w:asciiTheme="majorBidi" w:hAnsiTheme="majorBidi" w:cstheme="majorBidi"/>
          <w:sz w:val="24"/>
          <w:szCs w:val="24"/>
        </w:rPr>
        <w:t xml:space="preserve"> misbruges af andre personer end den tilsigtede patient, er der derudover risiko for, at nye stofafhængige personer anvender </w:t>
      </w:r>
      <w:proofErr w:type="spellStart"/>
      <w:r w:rsidR="00AE7E90" w:rsidRPr="00E8426E">
        <w:rPr>
          <w:rFonts w:asciiTheme="majorBidi" w:hAnsiTheme="majorBidi" w:cstheme="majorBidi"/>
          <w:sz w:val="24"/>
          <w:szCs w:val="24"/>
        </w:rPr>
        <w:t>buprenorphin</w:t>
      </w:r>
      <w:proofErr w:type="spellEnd"/>
      <w:r w:rsidR="00AE7E90" w:rsidRPr="00E8426E">
        <w:rPr>
          <w:rFonts w:asciiTheme="majorBidi" w:hAnsiTheme="majorBidi" w:cstheme="majorBidi"/>
          <w:sz w:val="24"/>
          <w:szCs w:val="24"/>
        </w:rPr>
        <w:t xml:space="preserve"> som det primære stof til deres misbrug, og dette kan ske hvis lægemidlet distribueres til illegal brug, eller hvis lægemidlet ikke er tilstrækkeligt sikret mod tyveri.</w:t>
      </w:r>
    </w:p>
    <w:p w:rsidR="00695DDA" w:rsidRPr="00695DDA" w:rsidRDefault="00695DDA" w:rsidP="00695DDA">
      <w:pPr>
        <w:tabs>
          <w:tab w:val="left" w:pos="851"/>
        </w:tabs>
        <w:ind w:left="851"/>
        <w:rPr>
          <w:sz w:val="24"/>
          <w:szCs w:val="24"/>
        </w:rPr>
      </w:pPr>
    </w:p>
    <w:p w:rsidR="00AE7E90" w:rsidRPr="00E8426E" w:rsidRDefault="00AE7E90" w:rsidP="00AE7E90">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Der er risiko for, at en patient, der er underdoseret med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kan selvmedicinere mod ukontrollerede abstinenssymptomer med opioider, alkohol eller andre sederende/hypnotiske midler, såsom benzodiazepiner.</w:t>
      </w:r>
    </w:p>
    <w:p w:rsidR="00695DDA" w:rsidRPr="00695DDA" w:rsidRDefault="00695DDA" w:rsidP="00695DDA">
      <w:pPr>
        <w:tabs>
          <w:tab w:val="left" w:pos="851"/>
        </w:tabs>
        <w:ind w:left="851"/>
        <w:rPr>
          <w:sz w:val="24"/>
          <w:szCs w:val="24"/>
        </w:rPr>
      </w:pPr>
    </w:p>
    <w:p w:rsidR="00AE7E90" w:rsidRPr="00E8426E" w:rsidRDefault="00695DDA" w:rsidP="00AE7E90">
      <w:pPr>
        <w:ind w:left="851"/>
        <w:contextualSpacing/>
        <w:rPr>
          <w:rFonts w:asciiTheme="majorBidi" w:hAnsiTheme="majorBidi" w:cstheme="majorBidi"/>
          <w:sz w:val="24"/>
          <w:szCs w:val="24"/>
        </w:rPr>
      </w:pPr>
      <w:proofErr w:type="spellStart"/>
      <w:r w:rsidRPr="00695DDA">
        <w:rPr>
          <w:sz w:val="24"/>
          <w:szCs w:val="24"/>
        </w:rPr>
        <w:t>Subutex</w:t>
      </w:r>
      <w:proofErr w:type="spellEnd"/>
      <w:r w:rsidRPr="00695DDA">
        <w:rPr>
          <w:sz w:val="24"/>
          <w:szCs w:val="24"/>
        </w:rPr>
        <w:t xml:space="preserve"> </w:t>
      </w:r>
      <w:r w:rsidR="00AE7E90" w:rsidRPr="00E8426E">
        <w:rPr>
          <w:rFonts w:asciiTheme="majorBidi" w:hAnsiTheme="majorBidi" w:cstheme="majorBidi"/>
          <w:sz w:val="24"/>
          <w:szCs w:val="24"/>
        </w:rPr>
        <w:t xml:space="preserve">injiceres som en opløsning. Efter injektion danner </w:t>
      </w:r>
      <w:proofErr w:type="spellStart"/>
      <w:r w:rsidR="00AE7E90" w:rsidRPr="00E8426E">
        <w:rPr>
          <w:rFonts w:asciiTheme="majorBidi" w:hAnsiTheme="majorBidi" w:cstheme="majorBidi"/>
          <w:sz w:val="24"/>
          <w:szCs w:val="24"/>
        </w:rPr>
        <w:t>polyglactinpolymeren</w:t>
      </w:r>
      <w:proofErr w:type="spellEnd"/>
      <w:r w:rsidR="00AE7E90" w:rsidRPr="00E8426E">
        <w:rPr>
          <w:rFonts w:asciiTheme="majorBidi" w:hAnsiTheme="majorBidi" w:cstheme="majorBidi"/>
          <w:sz w:val="24"/>
          <w:szCs w:val="24"/>
        </w:rPr>
        <w:t xml:space="preserve"> et depot, der indeholder </w:t>
      </w:r>
      <w:proofErr w:type="spellStart"/>
      <w:r w:rsidR="00AE7E90" w:rsidRPr="00E8426E">
        <w:rPr>
          <w:rFonts w:asciiTheme="majorBidi" w:hAnsiTheme="majorBidi" w:cstheme="majorBidi"/>
          <w:sz w:val="24"/>
          <w:szCs w:val="24"/>
        </w:rPr>
        <w:t>buprenorphin</w:t>
      </w:r>
      <w:proofErr w:type="spellEnd"/>
      <w:r w:rsidR="00AE7E90" w:rsidRPr="00E8426E">
        <w:rPr>
          <w:rFonts w:asciiTheme="majorBidi" w:hAnsiTheme="majorBidi" w:cstheme="majorBidi"/>
          <w:sz w:val="24"/>
          <w:szCs w:val="24"/>
        </w:rPr>
        <w:t xml:space="preserve">. Efter den indledende dannelse af depotet frigives </w:t>
      </w:r>
      <w:proofErr w:type="spellStart"/>
      <w:r w:rsidR="00AE7E90" w:rsidRPr="00E8426E">
        <w:rPr>
          <w:rFonts w:asciiTheme="majorBidi" w:hAnsiTheme="majorBidi" w:cstheme="majorBidi"/>
          <w:sz w:val="24"/>
          <w:szCs w:val="24"/>
        </w:rPr>
        <w:t>buprenorphin</w:t>
      </w:r>
      <w:proofErr w:type="spellEnd"/>
      <w:r w:rsidR="00AE7E90" w:rsidRPr="00E8426E">
        <w:rPr>
          <w:rFonts w:asciiTheme="majorBidi" w:hAnsiTheme="majorBidi" w:cstheme="majorBidi"/>
          <w:sz w:val="24"/>
          <w:szCs w:val="24"/>
        </w:rPr>
        <w:t xml:space="preserve"> via diffusion fra og biodegradering af depotet. Der skal under hele behandlingsforløbet monitoreres klinisk for evidens på injektionsstedet for manipulering eller forsøg på at fjerne depotet. Derudover vil der stadig være en lille mængde </w:t>
      </w:r>
      <w:proofErr w:type="spellStart"/>
      <w:r w:rsidR="00AE7E90" w:rsidRPr="00E8426E">
        <w:rPr>
          <w:rFonts w:asciiTheme="majorBidi" w:hAnsiTheme="majorBidi" w:cstheme="majorBidi"/>
          <w:sz w:val="24"/>
          <w:szCs w:val="24"/>
        </w:rPr>
        <w:t>Subutex</w:t>
      </w:r>
      <w:proofErr w:type="spellEnd"/>
      <w:r w:rsidR="00AE7E90" w:rsidRPr="00E8426E">
        <w:rPr>
          <w:rFonts w:asciiTheme="majorBidi" w:hAnsiTheme="majorBidi" w:cstheme="majorBidi"/>
          <w:sz w:val="24"/>
          <w:szCs w:val="24"/>
        </w:rPr>
        <w:t xml:space="preserve"> tilbage i kanylen og den fyldte sprøjte efter administrationen, og disse skal bortskaffes på korrekt vis. </w:t>
      </w:r>
    </w:p>
    <w:p w:rsidR="00AE7E90" w:rsidRDefault="00AE7E90" w:rsidP="00AE7E90">
      <w:pPr>
        <w:tabs>
          <w:tab w:val="left" w:pos="851"/>
        </w:tabs>
        <w:rPr>
          <w:sz w:val="24"/>
          <w:szCs w:val="24"/>
        </w:rPr>
      </w:pPr>
    </w:p>
    <w:p w:rsidR="00695DDA" w:rsidRDefault="00AE7E90" w:rsidP="00AE7E90">
      <w:pPr>
        <w:tabs>
          <w:tab w:val="left" w:pos="851"/>
        </w:tabs>
        <w:rPr>
          <w:sz w:val="24"/>
          <w:szCs w:val="24"/>
          <w:u w:val="single"/>
        </w:rPr>
      </w:pPr>
      <w:r>
        <w:rPr>
          <w:sz w:val="24"/>
          <w:szCs w:val="24"/>
        </w:rPr>
        <w:tab/>
      </w:r>
      <w:r w:rsidR="00695DDA" w:rsidRPr="00695DDA">
        <w:rPr>
          <w:sz w:val="24"/>
          <w:szCs w:val="24"/>
          <w:u w:val="single"/>
        </w:rPr>
        <w:t>Smertebehandling</w:t>
      </w:r>
    </w:p>
    <w:p w:rsidR="00AE7E90" w:rsidRPr="00AE7E90" w:rsidRDefault="00AE7E90" w:rsidP="00AE7E90">
      <w:pPr>
        <w:tabs>
          <w:tab w:val="left" w:pos="851"/>
        </w:tabs>
        <w:rPr>
          <w:sz w:val="24"/>
          <w:szCs w:val="24"/>
        </w:rPr>
      </w:pPr>
    </w:p>
    <w:p w:rsidR="00AE7E90" w:rsidRPr="00E8426E" w:rsidRDefault="00695DDA" w:rsidP="00AE7E90">
      <w:pPr>
        <w:ind w:left="851"/>
        <w:contextualSpacing/>
        <w:rPr>
          <w:rFonts w:asciiTheme="majorBidi" w:hAnsiTheme="majorBidi" w:cstheme="majorBidi"/>
          <w:sz w:val="24"/>
          <w:szCs w:val="24"/>
        </w:rPr>
      </w:pPr>
      <w:r w:rsidRPr="00695DDA">
        <w:rPr>
          <w:sz w:val="24"/>
          <w:szCs w:val="24"/>
        </w:rPr>
        <w:t xml:space="preserve">Under behandlingen </w:t>
      </w:r>
      <w:r w:rsidR="00AE7E90" w:rsidRPr="00E8426E">
        <w:rPr>
          <w:rFonts w:asciiTheme="majorBidi" w:hAnsiTheme="majorBidi" w:cstheme="majorBidi"/>
          <w:sz w:val="24"/>
          <w:szCs w:val="24"/>
        </w:rPr>
        <w:t xml:space="preserve">med </w:t>
      </w:r>
      <w:proofErr w:type="spellStart"/>
      <w:r w:rsidR="00AE7E90" w:rsidRPr="00E8426E">
        <w:rPr>
          <w:rFonts w:asciiTheme="majorBidi" w:hAnsiTheme="majorBidi" w:cstheme="majorBidi"/>
          <w:sz w:val="24"/>
          <w:szCs w:val="24"/>
        </w:rPr>
        <w:t>Subutex</w:t>
      </w:r>
      <w:proofErr w:type="spellEnd"/>
      <w:r w:rsidR="00AE7E90" w:rsidRPr="00E8426E">
        <w:rPr>
          <w:rFonts w:asciiTheme="majorBidi" w:hAnsiTheme="majorBidi" w:cstheme="majorBidi"/>
          <w:sz w:val="24"/>
          <w:szCs w:val="24"/>
        </w:rPr>
        <w:t xml:space="preserve"> kan der opstå situationer, hvor patienter har behov for akut smertebehandling eller anæstesi (herunder regional-/lokalanæstesi). Patienter, der får </w:t>
      </w:r>
      <w:proofErr w:type="spellStart"/>
      <w:r w:rsidR="00AE7E90" w:rsidRPr="00E8426E">
        <w:rPr>
          <w:rFonts w:asciiTheme="majorBidi" w:hAnsiTheme="majorBidi" w:cstheme="majorBidi"/>
          <w:sz w:val="24"/>
          <w:szCs w:val="24"/>
        </w:rPr>
        <w:t>Subutex</w:t>
      </w:r>
      <w:proofErr w:type="spellEnd"/>
      <w:r w:rsidR="00AE7E90" w:rsidRPr="00E8426E">
        <w:rPr>
          <w:rFonts w:asciiTheme="majorBidi" w:hAnsiTheme="majorBidi" w:cstheme="majorBidi"/>
          <w:sz w:val="24"/>
          <w:szCs w:val="24"/>
        </w:rPr>
        <w:t>, bør i videst muligt omfang behandles med non-</w:t>
      </w:r>
      <w:proofErr w:type="spellStart"/>
      <w:r w:rsidR="00AE7E90" w:rsidRPr="00E8426E">
        <w:rPr>
          <w:rFonts w:asciiTheme="majorBidi" w:hAnsiTheme="majorBidi" w:cstheme="majorBidi"/>
          <w:sz w:val="24"/>
          <w:szCs w:val="24"/>
        </w:rPr>
        <w:t>opioide</w:t>
      </w:r>
      <w:proofErr w:type="spellEnd"/>
      <w:r w:rsidR="00AE7E90" w:rsidRPr="00E8426E">
        <w:rPr>
          <w:rFonts w:asciiTheme="majorBidi" w:hAnsiTheme="majorBidi" w:cstheme="majorBidi"/>
          <w:sz w:val="24"/>
          <w:szCs w:val="24"/>
        </w:rPr>
        <w:t xml:space="preserve"> </w:t>
      </w:r>
      <w:proofErr w:type="spellStart"/>
      <w:r w:rsidR="00AE7E90" w:rsidRPr="00E8426E">
        <w:rPr>
          <w:rFonts w:asciiTheme="majorBidi" w:hAnsiTheme="majorBidi" w:cstheme="majorBidi"/>
          <w:sz w:val="24"/>
          <w:szCs w:val="24"/>
        </w:rPr>
        <w:t>analgetika</w:t>
      </w:r>
      <w:proofErr w:type="spellEnd"/>
      <w:r w:rsidR="00AE7E90" w:rsidRPr="00E8426E">
        <w:rPr>
          <w:rFonts w:asciiTheme="majorBidi" w:hAnsiTheme="majorBidi" w:cstheme="majorBidi"/>
          <w:sz w:val="24"/>
          <w:szCs w:val="24"/>
        </w:rPr>
        <w:t>. Patienter, der har behov for opioidbehandling til analgesi, kan blive behandlet med en højaffinitets fuld agonist opioid-</w:t>
      </w:r>
      <w:proofErr w:type="spellStart"/>
      <w:r w:rsidR="00AE7E90" w:rsidRPr="00E8426E">
        <w:rPr>
          <w:rFonts w:asciiTheme="majorBidi" w:hAnsiTheme="majorBidi" w:cstheme="majorBidi"/>
          <w:sz w:val="24"/>
          <w:szCs w:val="24"/>
        </w:rPr>
        <w:t>analgetikum</w:t>
      </w:r>
      <w:proofErr w:type="spellEnd"/>
      <w:r w:rsidR="00AE7E90" w:rsidRPr="00E8426E">
        <w:rPr>
          <w:rFonts w:asciiTheme="majorBidi" w:hAnsiTheme="majorBidi" w:cstheme="majorBidi"/>
          <w:sz w:val="24"/>
          <w:szCs w:val="24"/>
        </w:rPr>
        <w:t xml:space="preserve"> under overvågning af en sundhedsperson med særlig opmærksomhed på vejrtrækningsfunktionen. Det kan være nødvendigt med højere doser for at opnå analgetisk virkning. Der er derfor en større risiko for toksicitet ved administration af opioider. Opioidbehandlingen bør gives af personer, der er specifikt uddannet i at anvende </w:t>
      </w:r>
      <w:proofErr w:type="spellStart"/>
      <w:r w:rsidR="00AE7E90" w:rsidRPr="00E8426E">
        <w:rPr>
          <w:rFonts w:asciiTheme="majorBidi" w:hAnsiTheme="majorBidi" w:cstheme="majorBidi"/>
          <w:sz w:val="24"/>
          <w:szCs w:val="24"/>
        </w:rPr>
        <w:t>anæstetika</w:t>
      </w:r>
      <w:proofErr w:type="spellEnd"/>
      <w:r w:rsidR="00AE7E90" w:rsidRPr="00E8426E">
        <w:rPr>
          <w:rFonts w:asciiTheme="majorBidi" w:hAnsiTheme="majorBidi" w:cstheme="majorBidi"/>
          <w:sz w:val="24"/>
          <w:szCs w:val="24"/>
        </w:rPr>
        <w:t xml:space="preserve"> og håndtere de respiratoriske virkninger af potente opioider og især i at etablere og opretholde åbne luftveje og give assisteret/kontrolleret ventilation.</w:t>
      </w:r>
    </w:p>
    <w:p w:rsidR="00695DDA" w:rsidRPr="00695DDA" w:rsidRDefault="00695DDA" w:rsidP="00695DDA">
      <w:pPr>
        <w:tabs>
          <w:tab w:val="left" w:pos="851"/>
        </w:tabs>
        <w:ind w:left="851"/>
        <w:rPr>
          <w:sz w:val="24"/>
          <w:szCs w:val="24"/>
        </w:rPr>
      </w:pPr>
    </w:p>
    <w:p w:rsidR="00AE7E90" w:rsidRPr="00E8426E" w:rsidRDefault="00AE7E90" w:rsidP="00AE7E90">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Patienterne skal rådgives om vigtigheden af at instruere deres familie og nære venner i, at de i tilfælde af en nødsituation skal informere den behandlende sundhedsperson eller skadestuepersonalet om, at patienten er fysisk afhængig af et opioid, og at patienten er i behandling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w:t>
      </w:r>
    </w:p>
    <w:p w:rsidR="00AE7E90" w:rsidRPr="00E8426E" w:rsidRDefault="00AE7E90" w:rsidP="00AE7E90">
      <w:pPr>
        <w:contextualSpacing/>
        <w:rPr>
          <w:rFonts w:asciiTheme="majorBidi" w:hAnsiTheme="majorBidi" w:cstheme="majorBidi"/>
          <w:sz w:val="24"/>
          <w:szCs w:val="24"/>
        </w:rPr>
      </w:pPr>
    </w:p>
    <w:p w:rsidR="00AE7E90" w:rsidRPr="00E8426E" w:rsidRDefault="00AE7E90" w:rsidP="00AE7E90">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Ovenstående vejledning gælder også for patienter, der har fået </w:t>
      </w:r>
      <w:proofErr w:type="spellStart"/>
      <w:r w:rsidRPr="00E8426E">
        <w:rPr>
          <w:rFonts w:asciiTheme="majorBidi" w:hAnsiTheme="majorBidi" w:cstheme="majorBidi"/>
          <w:sz w:val="24"/>
          <w:szCs w:val="24"/>
        </w:rPr>
        <w:t>Subutexseponeret</w:t>
      </w:r>
      <w:proofErr w:type="spellEnd"/>
      <w:r w:rsidRPr="00E8426E">
        <w:rPr>
          <w:rFonts w:asciiTheme="majorBidi" w:hAnsiTheme="majorBidi" w:cstheme="majorBidi"/>
          <w:sz w:val="24"/>
          <w:szCs w:val="24"/>
        </w:rPr>
        <w:t xml:space="preserve"> inden for de seneste 6 måneder.</w:t>
      </w:r>
    </w:p>
    <w:p w:rsidR="00695DDA" w:rsidRDefault="00695DDA" w:rsidP="00695DDA">
      <w:pPr>
        <w:tabs>
          <w:tab w:val="left" w:pos="851"/>
        </w:tabs>
        <w:ind w:left="851"/>
        <w:rPr>
          <w:sz w:val="24"/>
          <w:szCs w:val="24"/>
        </w:rPr>
      </w:pPr>
    </w:p>
    <w:p w:rsidR="00CC5F88" w:rsidRPr="00CC5F88" w:rsidRDefault="00CC5F88" w:rsidP="00CC5F88">
      <w:pPr>
        <w:tabs>
          <w:tab w:val="left" w:pos="851"/>
        </w:tabs>
        <w:ind w:left="851"/>
        <w:rPr>
          <w:bCs/>
          <w:sz w:val="24"/>
          <w:szCs w:val="24"/>
          <w:u w:val="single"/>
          <w:lang w:val="da"/>
        </w:rPr>
      </w:pPr>
      <w:r w:rsidRPr="00CC5F88">
        <w:rPr>
          <w:bCs/>
          <w:sz w:val="24"/>
          <w:szCs w:val="24"/>
          <w:u w:val="single"/>
          <w:lang w:val="da"/>
        </w:rPr>
        <w:t>Søvnrelaterede vejrtrækningsforstyrrelser</w:t>
      </w:r>
    </w:p>
    <w:p w:rsidR="003517BF" w:rsidRDefault="003517BF" w:rsidP="00CC5F88">
      <w:pPr>
        <w:tabs>
          <w:tab w:val="left" w:pos="851"/>
        </w:tabs>
        <w:ind w:left="851"/>
        <w:rPr>
          <w:bCs/>
          <w:sz w:val="24"/>
          <w:szCs w:val="24"/>
          <w:lang w:val="da"/>
        </w:rPr>
      </w:pPr>
    </w:p>
    <w:p w:rsidR="00CC5F88" w:rsidRPr="00CC5F88" w:rsidRDefault="00CC5F88" w:rsidP="00CC5F88">
      <w:pPr>
        <w:tabs>
          <w:tab w:val="left" w:pos="851"/>
        </w:tabs>
        <w:ind w:left="851"/>
        <w:rPr>
          <w:sz w:val="24"/>
          <w:szCs w:val="24"/>
        </w:rPr>
      </w:pPr>
      <w:r w:rsidRPr="00CC5F88">
        <w:rPr>
          <w:bCs/>
          <w:sz w:val="24"/>
          <w:szCs w:val="24"/>
          <w:lang w:val="da"/>
        </w:rPr>
        <w:t xml:space="preserve">Opioider kan forårsage søvnrelaterede vejrtrækningsforstyrrelser, herunder central søvnapnø (CSA) og søvnrelateret </w:t>
      </w:r>
      <w:proofErr w:type="spellStart"/>
      <w:r w:rsidRPr="00CC5F88">
        <w:rPr>
          <w:bCs/>
          <w:sz w:val="24"/>
          <w:szCs w:val="24"/>
          <w:lang w:val="da"/>
        </w:rPr>
        <w:t>hypoksæmi</w:t>
      </w:r>
      <w:proofErr w:type="spellEnd"/>
      <w:r w:rsidRPr="00CC5F88">
        <w:rPr>
          <w:bCs/>
          <w:sz w:val="24"/>
          <w:szCs w:val="24"/>
          <w:lang w:val="da"/>
        </w:rPr>
        <w:t xml:space="preserve">. </w:t>
      </w:r>
      <w:r w:rsidRPr="00CC5F88">
        <w:rPr>
          <w:bCs/>
          <w:sz w:val="24"/>
          <w:szCs w:val="24"/>
        </w:rPr>
        <w:t>Opioidbrug øger risikoen for CSA på en dosisafhængig måde. Hos patienter, der udviser CSA, skal reduktion af den totale opioiddosis overvejes.</w:t>
      </w:r>
    </w:p>
    <w:p w:rsidR="00CC5F88" w:rsidRPr="00695DDA" w:rsidRDefault="00CC5F88" w:rsidP="00695DDA">
      <w:pPr>
        <w:tabs>
          <w:tab w:val="left" w:pos="851"/>
        </w:tabs>
        <w:ind w:left="851"/>
        <w:rPr>
          <w:sz w:val="24"/>
          <w:szCs w:val="24"/>
        </w:rPr>
      </w:pPr>
    </w:p>
    <w:p w:rsidR="00695DDA" w:rsidRPr="00695DDA" w:rsidRDefault="00695DDA" w:rsidP="00695DDA">
      <w:pPr>
        <w:tabs>
          <w:tab w:val="left" w:pos="851"/>
        </w:tabs>
        <w:ind w:left="851"/>
        <w:rPr>
          <w:sz w:val="24"/>
          <w:szCs w:val="24"/>
          <w:u w:val="single"/>
        </w:rPr>
      </w:pPr>
      <w:r w:rsidRPr="00695DDA">
        <w:rPr>
          <w:sz w:val="24"/>
          <w:szCs w:val="24"/>
          <w:u w:val="single"/>
        </w:rPr>
        <w:t>Respirationsdepression</w:t>
      </w:r>
    </w:p>
    <w:p w:rsidR="003517BF" w:rsidRDefault="003517BF" w:rsidP="00AE7E90">
      <w:pPr>
        <w:ind w:left="851"/>
        <w:contextualSpacing/>
        <w:rPr>
          <w:rFonts w:asciiTheme="majorBidi" w:hAnsiTheme="majorBidi" w:cstheme="majorBidi"/>
          <w:sz w:val="24"/>
          <w:szCs w:val="24"/>
        </w:rPr>
      </w:pPr>
    </w:p>
    <w:p w:rsidR="00AE7E90" w:rsidRPr="00E8426E" w:rsidRDefault="00AE7E90" w:rsidP="00AE7E90">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Der er rapporteret dødsfald, der skyldes respirationsdepression, især når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blev anvendt i kombination med benzodiazepiner (se pkt. 4.5), eller når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ikke blev anvendt i henhold til produktinformationen. Der er også rapporteret dødsfald i forbindelse med samtidig administration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og andre midler, der undertrykker centralnervesystemet, såsom alkohol, </w:t>
      </w:r>
      <w:proofErr w:type="spellStart"/>
      <w:r w:rsidRPr="00E8426E">
        <w:rPr>
          <w:rFonts w:asciiTheme="majorBidi" w:hAnsiTheme="majorBidi" w:cstheme="majorBidi"/>
          <w:sz w:val="24"/>
          <w:szCs w:val="24"/>
        </w:rPr>
        <w:t>gabapentinoider</w:t>
      </w:r>
      <w:proofErr w:type="spellEnd"/>
      <w:r w:rsidRPr="00E8426E">
        <w:rPr>
          <w:rFonts w:asciiTheme="majorBidi" w:hAnsiTheme="majorBidi" w:cstheme="majorBidi"/>
          <w:sz w:val="24"/>
          <w:szCs w:val="24"/>
        </w:rPr>
        <w:t xml:space="preserve"> (såsom </w:t>
      </w:r>
      <w:proofErr w:type="spellStart"/>
      <w:r w:rsidRPr="00E8426E">
        <w:rPr>
          <w:rFonts w:asciiTheme="majorBidi" w:hAnsiTheme="majorBidi" w:cstheme="majorBidi"/>
          <w:sz w:val="24"/>
          <w:szCs w:val="24"/>
        </w:rPr>
        <w:t>pregabalin</w:t>
      </w:r>
      <w:proofErr w:type="spellEnd"/>
      <w:r w:rsidRPr="00E8426E">
        <w:rPr>
          <w:rFonts w:asciiTheme="majorBidi" w:hAnsiTheme="majorBidi" w:cstheme="majorBidi"/>
          <w:sz w:val="24"/>
          <w:szCs w:val="24"/>
        </w:rPr>
        <w:t xml:space="preserve"> og </w:t>
      </w:r>
      <w:proofErr w:type="spellStart"/>
      <w:r w:rsidRPr="00E8426E">
        <w:rPr>
          <w:rFonts w:asciiTheme="majorBidi" w:hAnsiTheme="majorBidi" w:cstheme="majorBidi"/>
          <w:sz w:val="24"/>
          <w:szCs w:val="24"/>
        </w:rPr>
        <w:t>gabapentin</w:t>
      </w:r>
      <w:proofErr w:type="spellEnd"/>
      <w:r w:rsidRPr="00E8426E">
        <w:rPr>
          <w:rFonts w:asciiTheme="majorBidi" w:hAnsiTheme="majorBidi" w:cstheme="majorBidi"/>
          <w:sz w:val="24"/>
          <w:szCs w:val="24"/>
        </w:rPr>
        <w:t xml:space="preserve">) eller andre opioider. Patienterne skal advares om de mulige farer ved selvadministration af benzodiazepiner eller andre CNS-undertrykkende midler, mens de får behandling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Hvis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tages af et barn eller bruges af en person, der ikke er afhængig af opioider, og som ikke tåler virkningen af opioider, kan der potentielt forekomme svær eller dødelig respirationsdepression.</w:t>
      </w:r>
    </w:p>
    <w:p w:rsidR="00695DDA" w:rsidRPr="00695DDA" w:rsidRDefault="00695DDA" w:rsidP="00695DDA">
      <w:pPr>
        <w:tabs>
          <w:tab w:val="left" w:pos="851"/>
        </w:tabs>
        <w:ind w:left="851"/>
        <w:rPr>
          <w:sz w:val="24"/>
          <w:szCs w:val="24"/>
        </w:rPr>
      </w:pPr>
    </w:p>
    <w:p w:rsidR="00695DDA" w:rsidRPr="00695DDA" w:rsidRDefault="00695DDA" w:rsidP="00695DDA">
      <w:pPr>
        <w:tabs>
          <w:tab w:val="left" w:pos="851"/>
        </w:tabs>
        <w:ind w:left="851"/>
        <w:rPr>
          <w:sz w:val="24"/>
          <w:szCs w:val="24"/>
        </w:rPr>
      </w:pPr>
      <w:proofErr w:type="spellStart"/>
      <w:r w:rsidRPr="00695DDA">
        <w:rPr>
          <w:sz w:val="24"/>
          <w:szCs w:val="24"/>
        </w:rPr>
        <w:t>Subutex</w:t>
      </w:r>
      <w:proofErr w:type="spellEnd"/>
      <w:r w:rsidRPr="00695DDA">
        <w:rPr>
          <w:sz w:val="24"/>
          <w:szCs w:val="24"/>
        </w:rPr>
        <w:t xml:space="preserve"> bør anvendes med forsigtighed hos patienter med respirationsinsufficiens (f.eks. kronisk obstruktiv lungesygdom, bronkial astma, </w:t>
      </w:r>
      <w:proofErr w:type="spellStart"/>
      <w:r w:rsidRPr="00695DDA">
        <w:rPr>
          <w:sz w:val="24"/>
          <w:szCs w:val="24"/>
        </w:rPr>
        <w:t>cor</w:t>
      </w:r>
      <w:proofErr w:type="spellEnd"/>
      <w:r w:rsidRPr="00695DDA">
        <w:rPr>
          <w:sz w:val="24"/>
          <w:szCs w:val="24"/>
        </w:rPr>
        <w:t xml:space="preserve"> </w:t>
      </w:r>
      <w:proofErr w:type="spellStart"/>
      <w:r w:rsidRPr="00695DDA">
        <w:rPr>
          <w:sz w:val="24"/>
          <w:szCs w:val="24"/>
        </w:rPr>
        <w:t>pulmonale</w:t>
      </w:r>
      <w:proofErr w:type="spellEnd"/>
      <w:r w:rsidRPr="00695DDA">
        <w:rPr>
          <w:sz w:val="24"/>
          <w:szCs w:val="24"/>
        </w:rPr>
        <w:t xml:space="preserve">, nedsat respiratorisk reserve, </w:t>
      </w:r>
      <w:proofErr w:type="spellStart"/>
      <w:r w:rsidRPr="00695DDA">
        <w:rPr>
          <w:sz w:val="24"/>
          <w:szCs w:val="24"/>
        </w:rPr>
        <w:t>hypoksi</w:t>
      </w:r>
      <w:proofErr w:type="spellEnd"/>
      <w:r w:rsidRPr="00695DDA">
        <w:rPr>
          <w:sz w:val="24"/>
          <w:szCs w:val="24"/>
        </w:rPr>
        <w:t xml:space="preserve">, </w:t>
      </w:r>
      <w:proofErr w:type="spellStart"/>
      <w:r w:rsidRPr="00695DDA">
        <w:rPr>
          <w:sz w:val="24"/>
          <w:szCs w:val="24"/>
        </w:rPr>
        <w:t>hyperkapni</w:t>
      </w:r>
      <w:proofErr w:type="spellEnd"/>
      <w:r w:rsidRPr="00695DDA">
        <w:rPr>
          <w:sz w:val="24"/>
          <w:szCs w:val="24"/>
        </w:rPr>
        <w:t xml:space="preserve">, allerede eksisterende respirationsdepression eller </w:t>
      </w:r>
      <w:proofErr w:type="spellStart"/>
      <w:r w:rsidRPr="00695DDA">
        <w:rPr>
          <w:sz w:val="24"/>
          <w:szCs w:val="24"/>
        </w:rPr>
        <w:t>kyfos</w:t>
      </w:r>
      <w:r w:rsidR="00AE7E90">
        <w:rPr>
          <w:sz w:val="24"/>
          <w:szCs w:val="24"/>
        </w:rPr>
        <w:t>k</w:t>
      </w:r>
      <w:r w:rsidRPr="00695DDA">
        <w:rPr>
          <w:sz w:val="24"/>
          <w:szCs w:val="24"/>
        </w:rPr>
        <w:t>oliose</w:t>
      </w:r>
      <w:proofErr w:type="spellEnd"/>
      <w:r w:rsidRPr="00695DDA">
        <w:rPr>
          <w:sz w:val="24"/>
          <w:szCs w:val="24"/>
        </w:rPr>
        <w:t>).</w:t>
      </w:r>
    </w:p>
    <w:p w:rsidR="00695DDA" w:rsidRPr="00695DDA" w:rsidRDefault="00695DDA" w:rsidP="00695DDA">
      <w:pPr>
        <w:tabs>
          <w:tab w:val="left" w:pos="851"/>
        </w:tabs>
        <w:ind w:left="851"/>
        <w:rPr>
          <w:sz w:val="24"/>
          <w:szCs w:val="24"/>
        </w:rPr>
      </w:pPr>
    </w:p>
    <w:p w:rsidR="00AE7E90" w:rsidRPr="00E8426E" w:rsidRDefault="00AE7E90" w:rsidP="00AE7E90">
      <w:pPr>
        <w:ind w:left="851"/>
        <w:contextualSpacing/>
        <w:rPr>
          <w:rFonts w:asciiTheme="majorBidi" w:hAnsiTheme="majorBidi" w:cstheme="majorBidi"/>
          <w:bCs/>
          <w:sz w:val="24"/>
          <w:szCs w:val="24"/>
          <w:u w:val="single"/>
        </w:rPr>
      </w:pPr>
      <w:r w:rsidRPr="00E8426E">
        <w:rPr>
          <w:rFonts w:asciiTheme="majorBidi" w:hAnsiTheme="majorBidi" w:cstheme="majorBidi"/>
          <w:sz w:val="24"/>
          <w:szCs w:val="24"/>
          <w:u w:val="single"/>
        </w:rPr>
        <w:t>Risici ved samtidig administration af sederende midler, såsom benzodiazepiner eller beslægtede lægemidler</w:t>
      </w:r>
    </w:p>
    <w:p w:rsidR="00AE7E90" w:rsidRPr="00E8426E" w:rsidRDefault="00AE7E90" w:rsidP="00AE7E90">
      <w:pPr>
        <w:contextualSpacing/>
        <w:rPr>
          <w:rFonts w:asciiTheme="majorBidi" w:hAnsiTheme="majorBidi" w:cstheme="majorBidi"/>
          <w:bCs/>
          <w:sz w:val="24"/>
          <w:szCs w:val="24"/>
        </w:rPr>
      </w:pPr>
    </w:p>
    <w:p w:rsidR="00AE7E90" w:rsidRPr="00E8426E" w:rsidRDefault="00AE7E90" w:rsidP="00AE7E90">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Samtidig administration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og sederende midler, såsom benzodiazepiner eller beslægtede lægemidler, kan føre til </w:t>
      </w:r>
      <w:proofErr w:type="spellStart"/>
      <w:r w:rsidRPr="00E8426E">
        <w:rPr>
          <w:rFonts w:asciiTheme="majorBidi" w:hAnsiTheme="majorBidi" w:cstheme="majorBidi"/>
          <w:sz w:val="24"/>
          <w:szCs w:val="24"/>
        </w:rPr>
        <w:t>sedering</w:t>
      </w:r>
      <w:proofErr w:type="spellEnd"/>
      <w:r w:rsidRPr="00E8426E">
        <w:rPr>
          <w:rFonts w:asciiTheme="majorBidi" w:hAnsiTheme="majorBidi" w:cstheme="majorBidi"/>
          <w:sz w:val="24"/>
          <w:szCs w:val="24"/>
        </w:rPr>
        <w:t xml:space="preserve">, respirationsdepression, koma og død. På grund af disse risici er samtidig administration med disse sederende midler kun tilrådeligt hos patienter, for hvem der ikke findes andre behandlingsalternativer. Hvis samtidig administration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og sederende midler ikke desto mindre skønnes nødvendigt, bør den laveste effektive dosis af benzodiazepiner og CNS-undertrykkende midler bruges, og behandlingens varighed bør være så kort som mulig. Patienten skal monitoreres tæt for tegn og symptomer på respirationsdepression og </w:t>
      </w:r>
      <w:proofErr w:type="spellStart"/>
      <w:r w:rsidRPr="00E8426E">
        <w:rPr>
          <w:rFonts w:asciiTheme="majorBidi" w:hAnsiTheme="majorBidi" w:cstheme="majorBidi"/>
          <w:sz w:val="24"/>
          <w:szCs w:val="24"/>
        </w:rPr>
        <w:t>sedering</w:t>
      </w:r>
      <w:proofErr w:type="spellEnd"/>
      <w:r w:rsidRPr="00E8426E">
        <w:rPr>
          <w:rFonts w:asciiTheme="majorBidi" w:hAnsiTheme="majorBidi" w:cstheme="majorBidi"/>
          <w:sz w:val="24"/>
          <w:szCs w:val="24"/>
        </w:rPr>
        <w:t>. Af denne grund er det yderst vigtigt at informere patienter og deres omsorgspersoner om disse symptomer (se pkt. 4.5).</w:t>
      </w:r>
    </w:p>
    <w:p w:rsidR="00695DDA" w:rsidRPr="00695DDA" w:rsidRDefault="00695DDA" w:rsidP="00695DDA">
      <w:pPr>
        <w:tabs>
          <w:tab w:val="left" w:pos="851"/>
        </w:tabs>
        <w:ind w:left="851"/>
        <w:rPr>
          <w:sz w:val="24"/>
          <w:szCs w:val="24"/>
        </w:rPr>
      </w:pPr>
    </w:p>
    <w:p w:rsidR="00695DDA" w:rsidRPr="00695DDA" w:rsidRDefault="00695DDA" w:rsidP="00695DDA">
      <w:pPr>
        <w:tabs>
          <w:tab w:val="left" w:pos="851"/>
        </w:tabs>
        <w:ind w:left="851"/>
        <w:rPr>
          <w:sz w:val="24"/>
          <w:szCs w:val="24"/>
          <w:u w:val="single"/>
        </w:rPr>
      </w:pPr>
      <w:r w:rsidRPr="00695DDA">
        <w:rPr>
          <w:sz w:val="24"/>
          <w:szCs w:val="24"/>
          <w:u w:val="single"/>
        </w:rPr>
        <w:t>CNS-undertrykkelse</w:t>
      </w:r>
    </w:p>
    <w:p w:rsidR="00AE7E90" w:rsidRPr="00E8426E" w:rsidRDefault="00AE7E90" w:rsidP="00AE7E90">
      <w:pPr>
        <w:ind w:left="851"/>
        <w:contextualSpacing/>
        <w:rPr>
          <w:rFonts w:asciiTheme="majorBidi" w:hAnsiTheme="majorBidi" w:cstheme="majorBidi"/>
          <w:sz w:val="24"/>
          <w:szCs w:val="24"/>
        </w:rPr>
      </w:pP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kan forårsage døsighed, især når det tages sammen med alkohol eller andre undertrykkere af centralnervesystemet, såsom benzodiazepiner, beroligende midler, sederende midler eller </w:t>
      </w:r>
      <w:proofErr w:type="spellStart"/>
      <w:r w:rsidRPr="00E8426E">
        <w:rPr>
          <w:rFonts w:asciiTheme="majorBidi" w:hAnsiTheme="majorBidi" w:cstheme="majorBidi"/>
          <w:sz w:val="24"/>
          <w:szCs w:val="24"/>
        </w:rPr>
        <w:t>hypnotika</w:t>
      </w:r>
      <w:proofErr w:type="spellEnd"/>
      <w:r w:rsidRPr="00E8426E">
        <w:rPr>
          <w:rFonts w:asciiTheme="majorBidi" w:hAnsiTheme="majorBidi" w:cstheme="majorBidi"/>
          <w:sz w:val="24"/>
          <w:szCs w:val="24"/>
        </w:rPr>
        <w:t xml:space="preserve"> (se pkt. 4.5 og 4.7). Der må ikke indtages alkoholiske </w:t>
      </w:r>
      <w:r w:rsidRPr="00E8426E">
        <w:rPr>
          <w:rFonts w:asciiTheme="majorBidi" w:hAnsiTheme="majorBidi" w:cstheme="majorBidi"/>
          <w:sz w:val="24"/>
          <w:szCs w:val="24"/>
        </w:rPr>
        <w:lastRenderedPageBreak/>
        <w:t xml:space="preserve">drikke eller tages lægemidler indeholdende alkohol under behandlingen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Samtidig administration af CNS-undertrykkende midler, andre opioider (</w:t>
      </w:r>
      <w:proofErr w:type="spellStart"/>
      <w:r w:rsidRPr="00E8426E">
        <w:rPr>
          <w:rFonts w:asciiTheme="majorBidi" w:hAnsiTheme="majorBidi" w:cstheme="majorBidi"/>
          <w:sz w:val="24"/>
          <w:szCs w:val="24"/>
        </w:rPr>
        <w:t>analgetika</w:t>
      </w:r>
      <w:proofErr w:type="spellEnd"/>
      <w:r w:rsidRPr="00E8426E">
        <w:rPr>
          <w:rFonts w:asciiTheme="majorBidi" w:hAnsiTheme="majorBidi" w:cstheme="majorBidi"/>
          <w:sz w:val="24"/>
          <w:szCs w:val="24"/>
        </w:rPr>
        <w:t xml:space="preserve"> og hostestillende midler), visse antidepressive stoffer, sederende H</w:t>
      </w:r>
      <w:r w:rsidRPr="00E8426E">
        <w:rPr>
          <w:rFonts w:asciiTheme="majorBidi" w:hAnsiTheme="majorBidi" w:cstheme="majorBidi"/>
          <w:sz w:val="24"/>
          <w:szCs w:val="24"/>
          <w:vertAlign w:val="subscript"/>
        </w:rPr>
        <w:t>1</w:t>
      </w:r>
      <w:r w:rsidRPr="00E8426E">
        <w:rPr>
          <w:rFonts w:asciiTheme="majorBidi" w:hAnsiTheme="majorBidi" w:cstheme="majorBidi"/>
          <w:sz w:val="24"/>
          <w:szCs w:val="24"/>
        </w:rPr>
        <w:t xml:space="preserve">-receptorantagonister, barbiturater, </w:t>
      </w:r>
      <w:proofErr w:type="spellStart"/>
      <w:r w:rsidRPr="00E8426E">
        <w:rPr>
          <w:rFonts w:asciiTheme="majorBidi" w:hAnsiTheme="majorBidi" w:cstheme="majorBidi"/>
          <w:sz w:val="24"/>
          <w:szCs w:val="24"/>
        </w:rPr>
        <w:t>anxiolytika</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neuroleptika</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clonidin</w:t>
      </w:r>
      <w:proofErr w:type="spellEnd"/>
      <w:r w:rsidRPr="00E8426E">
        <w:rPr>
          <w:rFonts w:asciiTheme="majorBidi" w:hAnsiTheme="majorBidi" w:cstheme="majorBidi"/>
          <w:sz w:val="24"/>
          <w:szCs w:val="24"/>
        </w:rPr>
        <w:t xml:space="preserve"> og beslægtede stoffer kræver medicinsk overvågning.</w:t>
      </w:r>
    </w:p>
    <w:p w:rsidR="00AE7E90" w:rsidRPr="00E8426E" w:rsidRDefault="00AE7E90" w:rsidP="00AE7E90">
      <w:pPr>
        <w:contextualSpacing/>
        <w:rPr>
          <w:rFonts w:asciiTheme="majorBidi" w:hAnsiTheme="majorBidi" w:cstheme="majorBidi"/>
          <w:bCs/>
          <w:sz w:val="24"/>
          <w:szCs w:val="24"/>
        </w:rPr>
      </w:pPr>
    </w:p>
    <w:p w:rsidR="00AE7E90" w:rsidRPr="00E8426E" w:rsidRDefault="00AE7E90" w:rsidP="00AE7E90">
      <w:pPr>
        <w:tabs>
          <w:tab w:val="left" w:pos="851"/>
        </w:tabs>
        <w:autoSpaceDE w:val="0"/>
        <w:contextualSpacing/>
        <w:rPr>
          <w:rFonts w:asciiTheme="majorBidi" w:hAnsiTheme="majorBidi" w:cstheme="majorBidi"/>
          <w:sz w:val="24"/>
          <w:szCs w:val="24"/>
          <w:u w:val="single"/>
        </w:rPr>
      </w:pPr>
      <w:r>
        <w:rPr>
          <w:rFonts w:asciiTheme="majorBidi" w:hAnsiTheme="majorBidi" w:cstheme="majorBidi"/>
          <w:sz w:val="24"/>
          <w:szCs w:val="24"/>
        </w:rPr>
        <w:tab/>
      </w:r>
      <w:r w:rsidRPr="00E8426E">
        <w:rPr>
          <w:rFonts w:asciiTheme="majorBidi" w:hAnsiTheme="majorBidi" w:cstheme="majorBidi"/>
          <w:sz w:val="24"/>
          <w:szCs w:val="24"/>
          <w:u w:val="single"/>
        </w:rPr>
        <w:t>Serotoninsyndrom</w:t>
      </w:r>
    </w:p>
    <w:p w:rsidR="00AE7E90" w:rsidRPr="00E8426E" w:rsidRDefault="00AE7E90" w:rsidP="00AE7E90">
      <w:pPr>
        <w:tabs>
          <w:tab w:val="left" w:pos="567"/>
        </w:tabs>
        <w:autoSpaceDE w:val="0"/>
        <w:contextualSpacing/>
        <w:rPr>
          <w:rFonts w:asciiTheme="majorBidi" w:hAnsiTheme="majorBidi" w:cstheme="majorBidi"/>
          <w:sz w:val="24"/>
          <w:szCs w:val="24"/>
        </w:rPr>
      </w:pPr>
    </w:p>
    <w:p w:rsidR="00AE7E90" w:rsidRPr="00E8426E" w:rsidRDefault="00AE7E90" w:rsidP="00AE7E90">
      <w:pPr>
        <w:tabs>
          <w:tab w:val="left" w:pos="851"/>
        </w:tabs>
        <w:autoSpaceDE w:val="0"/>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Samtidig administration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og andre </w:t>
      </w:r>
      <w:proofErr w:type="spellStart"/>
      <w:r w:rsidRPr="00E8426E">
        <w:rPr>
          <w:rFonts w:asciiTheme="majorBidi" w:hAnsiTheme="majorBidi" w:cstheme="majorBidi"/>
          <w:sz w:val="24"/>
          <w:szCs w:val="24"/>
        </w:rPr>
        <w:t>serotonerge</w:t>
      </w:r>
      <w:proofErr w:type="spellEnd"/>
      <w:r w:rsidRPr="00E8426E">
        <w:rPr>
          <w:rFonts w:asciiTheme="majorBidi" w:hAnsiTheme="majorBidi" w:cstheme="majorBidi"/>
          <w:sz w:val="24"/>
          <w:szCs w:val="24"/>
        </w:rPr>
        <w:t xml:space="preserve"> midler, f.eks. MAO-</w:t>
      </w:r>
      <w:proofErr w:type="spellStart"/>
      <w:r w:rsidRPr="00E8426E">
        <w:rPr>
          <w:rFonts w:asciiTheme="majorBidi" w:hAnsiTheme="majorBidi" w:cstheme="majorBidi"/>
          <w:sz w:val="24"/>
          <w:szCs w:val="24"/>
        </w:rPr>
        <w:t>hæmmere</w:t>
      </w:r>
      <w:proofErr w:type="spellEnd"/>
      <w:r w:rsidRPr="00E8426E">
        <w:rPr>
          <w:rFonts w:asciiTheme="majorBidi" w:hAnsiTheme="majorBidi" w:cstheme="majorBidi"/>
          <w:sz w:val="24"/>
          <w:szCs w:val="24"/>
        </w:rPr>
        <w:t xml:space="preserve">, selektive </w:t>
      </w:r>
      <w:proofErr w:type="spellStart"/>
      <w:r w:rsidRPr="00E8426E">
        <w:rPr>
          <w:rFonts w:asciiTheme="majorBidi" w:hAnsiTheme="majorBidi" w:cstheme="majorBidi"/>
          <w:sz w:val="24"/>
          <w:szCs w:val="24"/>
        </w:rPr>
        <w:t>serotoningenoptagelseshæmmere</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SSRI'er</w:t>
      </w:r>
      <w:proofErr w:type="spellEnd"/>
      <w:r w:rsidRPr="00E8426E">
        <w:rPr>
          <w:rFonts w:asciiTheme="majorBidi" w:hAnsiTheme="majorBidi" w:cstheme="majorBidi"/>
          <w:sz w:val="24"/>
          <w:szCs w:val="24"/>
        </w:rPr>
        <w:t>), serotonin-noradrenalin-</w:t>
      </w:r>
      <w:proofErr w:type="spellStart"/>
      <w:r w:rsidRPr="00E8426E">
        <w:rPr>
          <w:rFonts w:asciiTheme="majorBidi" w:hAnsiTheme="majorBidi" w:cstheme="majorBidi"/>
          <w:sz w:val="24"/>
          <w:szCs w:val="24"/>
        </w:rPr>
        <w:t>genoptagelseshæmmere</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SNRI'er</w:t>
      </w:r>
      <w:proofErr w:type="spellEnd"/>
      <w:r w:rsidRPr="00E8426E">
        <w:rPr>
          <w:rFonts w:asciiTheme="majorBidi" w:hAnsiTheme="majorBidi" w:cstheme="majorBidi"/>
          <w:sz w:val="24"/>
          <w:szCs w:val="24"/>
        </w:rPr>
        <w:t>) eller tricykliske antidepressive stoffer kan medføre serotoninsyndrom, der er en potentielt livstruende tilstand (se pkt. 4.5).</w:t>
      </w:r>
    </w:p>
    <w:p w:rsidR="00AE7E90" w:rsidRPr="00E8426E" w:rsidRDefault="00AE7E90" w:rsidP="00AE7E90">
      <w:pPr>
        <w:tabs>
          <w:tab w:val="left" w:pos="567"/>
        </w:tabs>
        <w:autoSpaceDE w:val="0"/>
        <w:contextualSpacing/>
        <w:rPr>
          <w:rFonts w:asciiTheme="majorBidi" w:hAnsiTheme="majorBidi" w:cstheme="majorBidi"/>
          <w:sz w:val="24"/>
          <w:szCs w:val="24"/>
        </w:rPr>
      </w:pPr>
    </w:p>
    <w:p w:rsidR="00AE7E90" w:rsidRPr="00E8426E" w:rsidRDefault="00AE7E90" w:rsidP="00AE7E90">
      <w:pPr>
        <w:tabs>
          <w:tab w:val="left" w:pos="851"/>
        </w:tabs>
        <w:autoSpaceDE w:val="0"/>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Hvis samtidig behandling med andre </w:t>
      </w:r>
      <w:proofErr w:type="spellStart"/>
      <w:r w:rsidRPr="00E8426E">
        <w:rPr>
          <w:rFonts w:asciiTheme="majorBidi" w:hAnsiTheme="majorBidi" w:cstheme="majorBidi"/>
          <w:sz w:val="24"/>
          <w:szCs w:val="24"/>
        </w:rPr>
        <w:t>serotonerge</w:t>
      </w:r>
      <w:proofErr w:type="spellEnd"/>
      <w:r w:rsidRPr="00E8426E">
        <w:rPr>
          <w:rFonts w:asciiTheme="majorBidi" w:hAnsiTheme="majorBidi" w:cstheme="majorBidi"/>
          <w:sz w:val="24"/>
          <w:szCs w:val="24"/>
        </w:rPr>
        <w:t xml:space="preserve"> midler er klinisk indiceret, tilrådes det at overvåge patienten grundigt, især ved påbegyndelse af behandlingen og øgning af dosis.</w:t>
      </w:r>
    </w:p>
    <w:p w:rsidR="00AE7E90" w:rsidRPr="00E8426E" w:rsidRDefault="00AE7E90" w:rsidP="00AE7E90">
      <w:pPr>
        <w:tabs>
          <w:tab w:val="left" w:pos="567"/>
        </w:tabs>
        <w:autoSpaceDE w:val="0"/>
        <w:contextualSpacing/>
        <w:rPr>
          <w:rFonts w:asciiTheme="majorBidi" w:hAnsiTheme="majorBidi" w:cstheme="majorBidi"/>
          <w:sz w:val="24"/>
          <w:szCs w:val="24"/>
        </w:rPr>
      </w:pPr>
    </w:p>
    <w:p w:rsidR="00AE7E90" w:rsidRPr="00E8426E" w:rsidRDefault="00AE7E90" w:rsidP="00AE7E90">
      <w:pPr>
        <w:tabs>
          <w:tab w:val="left" w:pos="851"/>
        </w:tabs>
        <w:autoSpaceDE w:val="0"/>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Symptomer på serotoninsyndrom kan omfatte ændret mental status, autonom ustabilitet, </w:t>
      </w:r>
      <w:proofErr w:type="spellStart"/>
      <w:r w:rsidRPr="00E8426E">
        <w:rPr>
          <w:rFonts w:asciiTheme="majorBidi" w:hAnsiTheme="majorBidi" w:cstheme="majorBidi"/>
          <w:sz w:val="24"/>
          <w:szCs w:val="24"/>
        </w:rPr>
        <w:t>neuromuskulære</w:t>
      </w:r>
      <w:proofErr w:type="spellEnd"/>
      <w:r w:rsidRPr="00E8426E">
        <w:rPr>
          <w:rFonts w:asciiTheme="majorBidi" w:hAnsiTheme="majorBidi" w:cstheme="majorBidi"/>
          <w:sz w:val="24"/>
          <w:szCs w:val="24"/>
        </w:rPr>
        <w:t xml:space="preserve"> anomalier og/eller </w:t>
      </w:r>
      <w:proofErr w:type="spellStart"/>
      <w:r w:rsidRPr="00E8426E">
        <w:rPr>
          <w:rFonts w:asciiTheme="majorBidi" w:hAnsiTheme="majorBidi" w:cstheme="majorBidi"/>
          <w:sz w:val="24"/>
          <w:szCs w:val="24"/>
        </w:rPr>
        <w:t>gastrointestinale</w:t>
      </w:r>
      <w:proofErr w:type="spellEnd"/>
      <w:r w:rsidRPr="00E8426E">
        <w:rPr>
          <w:rFonts w:asciiTheme="majorBidi" w:hAnsiTheme="majorBidi" w:cstheme="majorBidi"/>
          <w:sz w:val="24"/>
          <w:szCs w:val="24"/>
        </w:rPr>
        <w:t xml:space="preserve"> symptomer.</w:t>
      </w:r>
    </w:p>
    <w:p w:rsidR="00AE7E90" w:rsidRPr="00E8426E" w:rsidRDefault="00AE7E90" w:rsidP="00AE7E90">
      <w:pPr>
        <w:tabs>
          <w:tab w:val="left" w:pos="567"/>
        </w:tabs>
        <w:autoSpaceDE w:val="0"/>
        <w:contextualSpacing/>
        <w:rPr>
          <w:rFonts w:asciiTheme="majorBidi" w:hAnsiTheme="majorBidi" w:cstheme="majorBidi"/>
          <w:sz w:val="24"/>
          <w:szCs w:val="24"/>
        </w:rPr>
      </w:pPr>
    </w:p>
    <w:p w:rsidR="00AE7E90" w:rsidRPr="00E8426E" w:rsidRDefault="00AE7E90" w:rsidP="00AE7E90">
      <w:pPr>
        <w:ind w:left="851"/>
        <w:contextualSpacing/>
        <w:rPr>
          <w:rFonts w:asciiTheme="majorBidi" w:hAnsiTheme="majorBidi" w:cstheme="majorBidi"/>
          <w:bCs/>
          <w:sz w:val="24"/>
          <w:szCs w:val="24"/>
        </w:rPr>
      </w:pPr>
      <w:r w:rsidRPr="00E8426E">
        <w:rPr>
          <w:rFonts w:asciiTheme="majorBidi" w:hAnsiTheme="majorBidi" w:cstheme="majorBidi"/>
          <w:sz w:val="24"/>
          <w:szCs w:val="24"/>
        </w:rPr>
        <w:t>Hvis der er mistanke om serotoninsyndrom, bør dosisreduktion eller behandlingsophør overvejes, afhængigt af symptomernes sværhedsgrad.</w:t>
      </w:r>
    </w:p>
    <w:p w:rsidR="00695DDA" w:rsidRPr="00695DDA" w:rsidRDefault="00695DDA" w:rsidP="00695DDA">
      <w:pPr>
        <w:tabs>
          <w:tab w:val="left" w:pos="851"/>
        </w:tabs>
        <w:ind w:left="851"/>
        <w:rPr>
          <w:sz w:val="24"/>
          <w:szCs w:val="24"/>
        </w:rPr>
      </w:pPr>
    </w:p>
    <w:p w:rsidR="003517BF" w:rsidRPr="00695DDA" w:rsidRDefault="003517BF" w:rsidP="003517BF">
      <w:pPr>
        <w:tabs>
          <w:tab w:val="left" w:pos="851"/>
        </w:tabs>
        <w:ind w:left="851"/>
        <w:rPr>
          <w:sz w:val="24"/>
          <w:szCs w:val="24"/>
          <w:u w:val="single"/>
        </w:rPr>
      </w:pPr>
      <w:r>
        <w:rPr>
          <w:sz w:val="24"/>
          <w:szCs w:val="24"/>
          <w:u w:val="single"/>
        </w:rPr>
        <w:t>Tolerance og opioidbrugsforstyrrelse (misbrug og a</w:t>
      </w:r>
      <w:r w:rsidRPr="00695DDA">
        <w:rPr>
          <w:sz w:val="24"/>
          <w:szCs w:val="24"/>
          <w:u w:val="single"/>
        </w:rPr>
        <w:t>fhængighed)</w:t>
      </w:r>
    </w:p>
    <w:p w:rsidR="003517BF" w:rsidRDefault="003517BF" w:rsidP="003517BF">
      <w:pPr>
        <w:ind w:left="851"/>
        <w:contextualSpacing/>
        <w:rPr>
          <w:rFonts w:asciiTheme="majorBidi" w:hAnsiTheme="majorBidi" w:cstheme="majorBidi"/>
          <w:sz w:val="24"/>
          <w:szCs w:val="24"/>
        </w:rPr>
      </w:pP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er en partiel agonist på </w:t>
      </w:r>
      <w:proofErr w:type="spellStart"/>
      <w:r w:rsidRPr="00E8426E">
        <w:rPr>
          <w:rFonts w:asciiTheme="majorBidi" w:hAnsiTheme="majorBidi" w:cstheme="majorBidi"/>
          <w:sz w:val="24"/>
          <w:szCs w:val="24"/>
        </w:rPr>
        <w:t>mu</w:t>
      </w:r>
      <w:proofErr w:type="spellEnd"/>
      <w:r w:rsidRPr="00E8426E">
        <w:rPr>
          <w:rFonts w:asciiTheme="majorBidi" w:hAnsiTheme="majorBidi" w:cstheme="majorBidi"/>
          <w:sz w:val="24"/>
          <w:szCs w:val="24"/>
        </w:rPr>
        <w:t xml:space="preserve">-opioidreceptoren. Dyreforsøg samt klinisk erfaring har vist, at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kan føre til afhængighed, men i mindre grad end en fuld agonist (f.eks. morfin). </w:t>
      </w:r>
    </w:p>
    <w:p w:rsidR="003517BF" w:rsidRDefault="003517BF" w:rsidP="003517BF">
      <w:pPr>
        <w:ind w:left="851"/>
        <w:contextualSpacing/>
        <w:rPr>
          <w:rFonts w:asciiTheme="majorBidi" w:hAnsiTheme="majorBidi" w:cstheme="majorBidi"/>
          <w:sz w:val="24"/>
          <w:szCs w:val="24"/>
        </w:rPr>
      </w:pPr>
    </w:p>
    <w:p w:rsidR="003517BF" w:rsidRDefault="003517BF" w:rsidP="003517BF">
      <w:pPr>
        <w:tabs>
          <w:tab w:val="left" w:pos="0"/>
        </w:tabs>
        <w:ind w:left="851"/>
        <w:contextualSpacing/>
      </w:pPr>
      <w:r>
        <w:t>T</w:t>
      </w:r>
      <w:r w:rsidRPr="00060951">
        <w:t>oleran</w:t>
      </w:r>
      <w:r>
        <w:t>ce</w:t>
      </w:r>
      <w:r w:rsidRPr="00060951">
        <w:t xml:space="preserve">, </w:t>
      </w:r>
      <w:r>
        <w:t xml:space="preserve">fysisk og </w:t>
      </w:r>
      <w:r w:rsidRPr="00060951">
        <w:t>psy</w:t>
      </w:r>
      <w:r>
        <w:t>k</w:t>
      </w:r>
      <w:r w:rsidRPr="00060951">
        <w:t>i</w:t>
      </w:r>
      <w:r>
        <w:t xml:space="preserve">sk afhængighed og </w:t>
      </w:r>
      <w:r w:rsidRPr="00060951">
        <w:t>opioid</w:t>
      </w:r>
      <w:r>
        <w:t>brugsforstyrrelse</w:t>
      </w:r>
      <w:r w:rsidRPr="00060951">
        <w:t xml:space="preserve"> </w:t>
      </w:r>
      <w:r>
        <w:t xml:space="preserve">kan udvikles ved gentagen </w:t>
      </w:r>
      <w:r w:rsidRPr="00060951">
        <w:t xml:space="preserve">administration </w:t>
      </w:r>
      <w:r>
        <w:t>a</w:t>
      </w:r>
      <w:r w:rsidRPr="00060951">
        <w:t>f opioid</w:t>
      </w:r>
      <w:r>
        <w:t>er som</w:t>
      </w:r>
      <w:r w:rsidRPr="00060951">
        <w:t xml:space="preserve"> </w:t>
      </w:r>
      <w:proofErr w:type="spellStart"/>
      <w:r>
        <w:t>b</w:t>
      </w:r>
      <w:r w:rsidRPr="00532CA0">
        <w:t>uprenorphin</w:t>
      </w:r>
      <w:proofErr w:type="spellEnd"/>
      <w:r w:rsidRPr="00060951">
        <w:t xml:space="preserve">. </w:t>
      </w:r>
      <w:r>
        <w:t>Misbrug a</w:t>
      </w:r>
      <w:r w:rsidRPr="00060951">
        <w:t xml:space="preserve">f </w:t>
      </w:r>
      <w:proofErr w:type="spellStart"/>
      <w:r>
        <w:t>b</w:t>
      </w:r>
      <w:r w:rsidRPr="00532CA0">
        <w:t>uprenorphin</w:t>
      </w:r>
      <w:proofErr w:type="spellEnd"/>
      <w:r>
        <w:t xml:space="preserve"> kan </w:t>
      </w:r>
      <w:r w:rsidRPr="00060951">
        <w:t>result</w:t>
      </w:r>
      <w:r>
        <w:t xml:space="preserve">ere i en </w:t>
      </w:r>
      <w:r w:rsidRPr="00060951">
        <w:t>overdos</w:t>
      </w:r>
      <w:r>
        <w:t>ering og/eller død</w:t>
      </w:r>
      <w:r w:rsidRPr="00060951">
        <w:t xml:space="preserve">. </w:t>
      </w:r>
      <w:r>
        <w:t xml:space="preserve">Risikoen for at udvikle opioidbrugsforstyrrelse øges hos </w:t>
      </w:r>
      <w:r w:rsidRPr="00060951">
        <w:t>patient</w:t>
      </w:r>
      <w:r>
        <w:t xml:space="preserve">er med en personlig eller slægtsanamnese </w:t>
      </w:r>
      <w:r w:rsidRPr="00060951">
        <w:t>(</w:t>
      </w:r>
      <w:r>
        <w:t>forældre eller søskende</w:t>
      </w:r>
      <w:r w:rsidRPr="00060951">
        <w:t xml:space="preserve">) </w:t>
      </w:r>
      <w:r>
        <w:t>af stofmisbrug</w:t>
      </w:r>
      <w:r w:rsidRPr="00060951">
        <w:t xml:space="preserve"> (</w:t>
      </w:r>
      <w:r>
        <w:t>herunder alkoholmisbrug</w:t>
      </w:r>
      <w:r w:rsidRPr="00060951">
        <w:t xml:space="preserve">), </w:t>
      </w:r>
      <w:r>
        <w:t xml:space="preserve">hos nuværende tobaksbrugere eller hos </w:t>
      </w:r>
      <w:r w:rsidRPr="00060951">
        <w:t>patient</w:t>
      </w:r>
      <w:r>
        <w:t>er med en personlig anamnese med andre psykiske lidelser</w:t>
      </w:r>
      <w:r w:rsidRPr="00060951">
        <w:t xml:space="preserve"> (</w:t>
      </w:r>
      <w:r>
        <w:t>f.eks. svær</w:t>
      </w:r>
      <w:r w:rsidRPr="00060951">
        <w:t xml:space="preserve"> depression, an</w:t>
      </w:r>
      <w:r>
        <w:t>gst og p</w:t>
      </w:r>
      <w:r w:rsidRPr="00060951">
        <w:t>erson</w:t>
      </w:r>
      <w:r>
        <w:t>lighedsforstyrrelser</w:t>
      </w:r>
      <w:r w:rsidRPr="00060951">
        <w:t>).</w:t>
      </w:r>
    </w:p>
    <w:p w:rsidR="003517BF" w:rsidRPr="00060951" w:rsidRDefault="003517BF" w:rsidP="003517BF">
      <w:pPr>
        <w:tabs>
          <w:tab w:val="left" w:pos="0"/>
        </w:tabs>
        <w:ind w:left="851"/>
        <w:contextualSpacing/>
      </w:pPr>
    </w:p>
    <w:p w:rsidR="003517BF" w:rsidRDefault="003517BF" w:rsidP="003517BF">
      <w:pPr>
        <w:tabs>
          <w:tab w:val="left" w:pos="0"/>
        </w:tabs>
        <w:ind w:left="851"/>
        <w:contextualSpacing/>
      </w:pPr>
      <w:r>
        <w:t xml:space="preserve">Før behandling med </w:t>
      </w:r>
      <w:proofErr w:type="spellStart"/>
      <w:r>
        <w:t>b</w:t>
      </w:r>
      <w:r w:rsidRPr="00532CA0">
        <w:t>uprenorphin</w:t>
      </w:r>
      <w:proofErr w:type="spellEnd"/>
      <w:r>
        <w:t xml:space="preserve"> påbegyndes og under behandlingen bør behandlingsmål og en </w:t>
      </w:r>
      <w:proofErr w:type="spellStart"/>
      <w:r>
        <w:t>seponeringsplan</w:t>
      </w:r>
      <w:proofErr w:type="spellEnd"/>
      <w:r>
        <w:t xml:space="preserve"> aftales med </w:t>
      </w:r>
      <w:r w:rsidRPr="00060951">
        <w:t>patient</w:t>
      </w:r>
      <w:r>
        <w:t>en</w:t>
      </w:r>
      <w:r w:rsidRPr="00060951">
        <w:t xml:space="preserve"> (se</w:t>
      </w:r>
      <w:r>
        <w:t xml:space="preserve"> pkt.</w:t>
      </w:r>
      <w:r w:rsidRPr="00060951">
        <w:t xml:space="preserve"> 4.2).</w:t>
      </w:r>
    </w:p>
    <w:p w:rsidR="003517BF" w:rsidRPr="00060951" w:rsidRDefault="003517BF" w:rsidP="003517BF">
      <w:pPr>
        <w:tabs>
          <w:tab w:val="left" w:pos="0"/>
        </w:tabs>
        <w:ind w:left="851"/>
        <w:contextualSpacing/>
      </w:pPr>
    </w:p>
    <w:p w:rsidR="003517BF" w:rsidRDefault="003517BF" w:rsidP="003517BF">
      <w:pPr>
        <w:tabs>
          <w:tab w:val="left" w:pos="0"/>
        </w:tabs>
        <w:ind w:left="851"/>
        <w:contextualSpacing/>
      </w:pPr>
      <w:r w:rsidRPr="00060951">
        <w:t>Patient</w:t>
      </w:r>
      <w:r>
        <w:t>er skal overvåges for tegn på stofsøgende adfærd</w:t>
      </w:r>
      <w:r w:rsidRPr="00060951">
        <w:t xml:space="preserve"> (</w:t>
      </w:r>
      <w:r>
        <w:t>f.eks. for tidlige anmodninger om genopfyldning</w:t>
      </w:r>
      <w:r w:rsidRPr="00060951">
        <w:t xml:space="preserve">). </w:t>
      </w:r>
      <w:r>
        <w:t xml:space="preserve">Dette inkluderer gennemgang af samtidig brug af </w:t>
      </w:r>
      <w:r w:rsidRPr="00060951">
        <w:t>opioid</w:t>
      </w:r>
      <w:r>
        <w:t>er og ps</w:t>
      </w:r>
      <w:r w:rsidRPr="00060951">
        <w:t>y</w:t>
      </w:r>
      <w:r>
        <w:t>k</w:t>
      </w:r>
      <w:r w:rsidRPr="00060951">
        <w:t>oa</w:t>
      </w:r>
      <w:r>
        <w:t>k</w:t>
      </w:r>
      <w:r w:rsidRPr="00060951">
        <w:t xml:space="preserve">tive </w:t>
      </w:r>
      <w:r>
        <w:t>stoffer</w:t>
      </w:r>
      <w:r w:rsidRPr="00060951">
        <w:t xml:space="preserve"> (</w:t>
      </w:r>
      <w:r>
        <w:t>som</w:t>
      </w:r>
      <w:r w:rsidRPr="00060951">
        <w:t xml:space="preserve"> benzodiazepine</w:t>
      </w:r>
      <w:r>
        <w:t>r</w:t>
      </w:r>
      <w:r w:rsidRPr="00060951">
        <w:t>). For patient</w:t>
      </w:r>
      <w:r>
        <w:t xml:space="preserve">er med tegn og </w:t>
      </w:r>
      <w:r w:rsidRPr="00060951">
        <w:t>symptom</w:t>
      </w:r>
      <w:r>
        <w:t>er på opioidmisbrug bør k</w:t>
      </w:r>
      <w:r w:rsidRPr="00060951">
        <w:t xml:space="preserve">onsultation </w:t>
      </w:r>
      <w:r>
        <w:t xml:space="preserve">med en </w:t>
      </w:r>
      <w:r w:rsidRPr="00124ADF">
        <w:t xml:space="preserve">afhængighedsspecialist </w:t>
      </w:r>
      <w:r>
        <w:t>overvejes</w:t>
      </w:r>
      <w:r w:rsidRPr="00060951">
        <w:t>.</w:t>
      </w:r>
    </w:p>
    <w:p w:rsidR="003517BF" w:rsidRDefault="003517BF" w:rsidP="003517BF">
      <w:pPr>
        <w:tabs>
          <w:tab w:val="left" w:pos="0"/>
        </w:tabs>
        <w:ind w:left="851"/>
        <w:contextualSpacing/>
      </w:pPr>
    </w:p>
    <w:p w:rsidR="003517BF" w:rsidRPr="00AF3716" w:rsidRDefault="003517BF" w:rsidP="003517BF">
      <w:pPr>
        <w:keepNext/>
        <w:tabs>
          <w:tab w:val="left" w:pos="0"/>
        </w:tabs>
        <w:ind w:left="850"/>
        <w:contextualSpacing/>
        <w:rPr>
          <w:u w:val="single"/>
        </w:rPr>
      </w:pPr>
      <w:r>
        <w:rPr>
          <w:bCs/>
          <w:u w:val="single"/>
        </w:rPr>
        <w:t>Abstinenstegn og -sym</w:t>
      </w:r>
      <w:r w:rsidRPr="00ED31E6">
        <w:rPr>
          <w:bCs/>
          <w:u w:val="single"/>
        </w:rPr>
        <w:t>ptom</w:t>
      </w:r>
      <w:r>
        <w:rPr>
          <w:bCs/>
          <w:u w:val="single"/>
        </w:rPr>
        <w:t>er</w:t>
      </w:r>
    </w:p>
    <w:p w:rsidR="003517BF" w:rsidRDefault="003517BF" w:rsidP="003517BF">
      <w:pPr>
        <w:tabs>
          <w:tab w:val="left" w:pos="0"/>
        </w:tabs>
        <w:ind w:left="851"/>
        <w:contextualSpacing/>
      </w:pPr>
    </w:p>
    <w:p w:rsidR="00F01DE9" w:rsidRPr="00E8426E" w:rsidRDefault="003517BF" w:rsidP="003517BF">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Lægemiddelabstinenssyndrom kan opstå ved pludseligt ophør af behandling eller dosisreduktion, typisk mildere end det, der ses med fulde agonister. I betragtning af den lange halveringstid for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(43-60 dage) må det forventes, at abstinenstegn og -symptomer debuterer senere. Abstinenstegn og -symptomer er ikke blevet observeret i måneden efter </w:t>
      </w:r>
      <w:proofErr w:type="spellStart"/>
      <w:r w:rsidRPr="00E8426E">
        <w:rPr>
          <w:rFonts w:asciiTheme="majorBidi" w:hAnsiTheme="majorBidi" w:cstheme="majorBidi"/>
          <w:sz w:val="24"/>
          <w:szCs w:val="24"/>
        </w:rPr>
        <w:t>seponering</w:t>
      </w:r>
      <w:proofErr w:type="spellEnd"/>
      <w:r w:rsidRPr="00E8426E">
        <w:rPr>
          <w:rFonts w:asciiTheme="majorBidi" w:hAnsiTheme="majorBidi" w:cstheme="majorBidi"/>
          <w:sz w:val="24"/>
          <w:szCs w:val="24"/>
        </w:rPr>
        <w:t xml:space="preserve">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w:t>
      </w:r>
    </w:p>
    <w:p w:rsidR="00F01DE9" w:rsidRPr="00E8426E" w:rsidRDefault="00F01DE9" w:rsidP="00F01DE9">
      <w:pPr>
        <w:tabs>
          <w:tab w:val="left" w:pos="0"/>
        </w:tabs>
        <w:contextualSpacing/>
        <w:rPr>
          <w:rFonts w:asciiTheme="majorBidi" w:hAnsiTheme="majorBidi" w:cstheme="majorBidi"/>
          <w:sz w:val="24"/>
          <w:szCs w:val="24"/>
        </w:rPr>
      </w:pPr>
    </w:p>
    <w:p w:rsidR="00F01DE9" w:rsidRPr="00E8426E" w:rsidRDefault="00F01DE9" w:rsidP="00F01DE9">
      <w:pPr>
        <w:tabs>
          <w:tab w:val="left" w:pos="851"/>
        </w:tabs>
        <w:ind w:left="851"/>
        <w:contextualSpacing/>
        <w:rPr>
          <w:rFonts w:asciiTheme="majorBidi" w:hAnsiTheme="majorBidi" w:cstheme="majorBidi"/>
          <w:sz w:val="24"/>
          <w:szCs w:val="24"/>
        </w:rPr>
      </w:pPr>
      <w:r w:rsidRPr="00E8426E">
        <w:rPr>
          <w:rFonts w:asciiTheme="majorBidi" w:hAnsiTheme="majorBidi" w:cstheme="majorBidi"/>
          <w:sz w:val="24"/>
          <w:szCs w:val="24"/>
        </w:rPr>
        <w:lastRenderedPageBreak/>
        <w:t xml:space="preserve">Patienter, hvis behandling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seponeres, skal overvåges i adskillige måneder for abstinenstegn og -symptomer og behandles på passende vis.</w:t>
      </w:r>
    </w:p>
    <w:p w:rsidR="00695DDA" w:rsidRPr="00695DDA" w:rsidRDefault="00695DDA" w:rsidP="00695DDA">
      <w:pPr>
        <w:tabs>
          <w:tab w:val="left" w:pos="851"/>
        </w:tabs>
        <w:ind w:left="851"/>
        <w:rPr>
          <w:bCs/>
          <w:sz w:val="24"/>
          <w:szCs w:val="24"/>
        </w:rPr>
      </w:pPr>
    </w:p>
    <w:p w:rsidR="00695DDA" w:rsidRPr="00695DDA" w:rsidRDefault="00695DDA" w:rsidP="00695DDA">
      <w:pPr>
        <w:tabs>
          <w:tab w:val="left" w:pos="851"/>
        </w:tabs>
        <w:ind w:left="851"/>
        <w:rPr>
          <w:bCs/>
          <w:sz w:val="24"/>
          <w:szCs w:val="24"/>
          <w:u w:val="single"/>
        </w:rPr>
      </w:pPr>
      <w:r w:rsidRPr="00695DDA">
        <w:rPr>
          <w:sz w:val="24"/>
          <w:szCs w:val="24"/>
          <w:u w:val="single"/>
        </w:rPr>
        <w:t>Fremkaldelse af opioidabstinenssyndrom</w:t>
      </w:r>
    </w:p>
    <w:p w:rsidR="003517BF" w:rsidRDefault="003517BF" w:rsidP="00F01DE9">
      <w:pPr>
        <w:ind w:left="851"/>
        <w:contextualSpacing/>
        <w:rPr>
          <w:rFonts w:asciiTheme="majorBidi" w:hAnsiTheme="majorBidi" w:cstheme="majorBidi"/>
          <w:sz w:val="24"/>
          <w:szCs w:val="24"/>
        </w:rPr>
      </w:pPr>
    </w:p>
    <w:p w:rsidR="00F01DE9" w:rsidRPr="00F01DE9" w:rsidRDefault="00F01DE9" w:rsidP="00F01DE9">
      <w:pPr>
        <w:ind w:left="851"/>
        <w:contextualSpacing/>
        <w:rPr>
          <w:rFonts w:asciiTheme="majorBidi" w:hAnsiTheme="majorBidi" w:cstheme="majorBidi"/>
          <w:sz w:val="24"/>
          <w:szCs w:val="24"/>
        </w:rPr>
      </w:pPr>
      <w:r w:rsidRPr="00F01DE9">
        <w:rPr>
          <w:rFonts w:asciiTheme="majorBidi" w:hAnsiTheme="majorBidi" w:cstheme="majorBidi"/>
          <w:sz w:val="24"/>
          <w:szCs w:val="24"/>
        </w:rPr>
        <w:t xml:space="preserve">Når behandlingen med </w:t>
      </w:r>
      <w:proofErr w:type="spellStart"/>
      <w:r w:rsidRPr="00F01DE9">
        <w:rPr>
          <w:rFonts w:asciiTheme="majorBidi" w:hAnsiTheme="majorBidi" w:cstheme="majorBidi"/>
          <w:sz w:val="24"/>
          <w:szCs w:val="24"/>
        </w:rPr>
        <w:t>Subutex</w:t>
      </w:r>
      <w:proofErr w:type="spellEnd"/>
      <w:r w:rsidRPr="00F01DE9">
        <w:rPr>
          <w:rFonts w:asciiTheme="majorBidi" w:hAnsiTheme="majorBidi" w:cstheme="majorBidi"/>
          <w:sz w:val="24"/>
          <w:szCs w:val="24"/>
        </w:rPr>
        <w:t xml:space="preserve"> depotinjektion påbegyndes, er det vigtigt at være opmærksom på </w:t>
      </w:r>
      <w:proofErr w:type="spellStart"/>
      <w:r w:rsidRPr="00F01DE9">
        <w:rPr>
          <w:rFonts w:asciiTheme="majorBidi" w:hAnsiTheme="majorBidi" w:cstheme="majorBidi"/>
          <w:sz w:val="24"/>
          <w:szCs w:val="24"/>
        </w:rPr>
        <w:t>buprenorphins</w:t>
      </w:r>
      <w:proofErr w:type="spellEnd"/>
      <w:r w:rsidRPr="00F01DE9">
        <w:rPr>
          <w:rFonts w:asciiTheme="majorBidi" w:hAnsiTheme="majorBidi" w:cstheme="majorBidi"/>
          <w:sz w:val="24"/>
          <w:szCs w:val="24"/>
        </w:rPr>
        <w:t xml:space="preserve"> partielle agonistprofil. </w:t>
      </w:r>
      <w:proofErr w:type="spellStart"/>
      <w:r w:rsidRPr="00F01DE9">
        <w:rPr>
          <w:rFonts w:asciiTheme="majorBidi" w:hAnsiTheme="majorBidi" w:cstheme="majorBidi"/>
          <w:sz w:val="24"/>
          <w:szCs w:val="24"/>
        </w:rPr>
        <w:t>Buprenorphinholdige</w:t>
      </w:r>
      <w:proofErr w:type="spellEnd"/>
      <w:r w:rsidRPr="00F01DE9">
        <w:rPr>
          <w:rFonts w:asciiTheme="majorBidi" w:hAnsiTheme="majorBidi" w:cstheme="majorBidi"/>
          <w:sz w:val="24"/>
          <w:szCs w:val="24"/>
        </w:rPr>
        <w:t xml:space="preserve"> lægemidler kan udløse abstinenssymptomer hos opioidafhængige patienter, når de administreres, før agonistvirkningerne fra nylig opioidanvendelse har fortaget sig. Verificer, at patienterne er blevet induceret med et </w:t>
      </w:r>
      <w:proofErr w:type="spellStart"/>
      <w:r w:rsidRPr="00F01DE9">
        <w:rPr>
          <w:rFonts w:asciiTheme="majorBidi" w:hAnsiTheme="majorBidi" w:cstheme="majorBidi"/>
          <w:sz w:val="24"/>
          <w:szCs w:val="24"/>
        </w:rPr>
        <w:t>buprenorphinholdigt</w:t>
      </w:r>
      <w:proofErr w:type="spellEnd"/>
      <w:r w:rsidRPr="00F01DE9">
        <w:rPr>
          <w:rFonts w:asciiTheme="majorBidi" w:hAnsiTheme="majorBidi" w:cstheme="majorBidi"/>
          <w:sz w:val="24"/>
          <w:szCs w:val="24"/>
        </w:rPr>
        <w:t xml:space="preserve"> præparat, før subkutan injektion af </w:t>
      </w:r>
      <w:proofErr w:type="spellStart"/>
      <w:r w:rsidRPr="00F01DE9">
        <w:rPr>
          <w:rFonts w:asciiTheme="majorBidi" w:hAnsiTheme="majorBidi" w:cstheme="majorBidi"/>
          <w:sz w:val="24"/>
          <w:szCs w:val="24"/>
        </w:rPr>
        <w:t>Subutex</w:t>
      </w:r>
      <w:proofErr w:type="spellEnd"/>
      <w:r w:rsidRPr="00F01DE9">
        <w:rPr>
          <w:rFonts w:asciiTheme="majorBidi" w:hAnsiTheme="majorBidi" w:cstheme="majorBidi"/>
          <w:sz w:val="24"/>
          <w:szCs w:val="24"/>
        </w:rPr>
        <w:t xml:space="preserve"> depotinjektion. For at undgå at udløse abstinenser, skal der udføres induktion, når der er objektive tegn og symptomer på lette til moderate abstinenser (se pkt. 4.2).</w:t>
      </w:r>
    </w:p>
    <w:p w:rsidR="00695DDA" w:rsidRPr="00695DDA" w:rsidRDefault="00695DDA" w:rsidP="00695DDA">
      <w:pPr>
        <w:tabs>
          <w:tab w:val="left" w:pos="851"/>
        </w:tabs>
        <w:ind w:left="851"/>
        <w:rPr>
          <w:sz w:val="24"/>
          <w:szCs w:val="24"/>
          <w:u w:val="single"/>
        </w:rPr>
      </w:pPr>
    </w:p>
    <w:p w:rsidR="00695DDA" w:rsidRPr="00695DDA" w:rsidRDefault="00695DDA" w:rsidP="00695DDA">
      <w:pPr>
        <w:tabs>
          <w:tab w:val="left" w:pos="851"/>
        </w:tabs>
        <w:ind w:left="851"/>
        <w:rPr>
          <w:sz w:val="24"/>
          <w:szCs w:val="24"/>
          <w:u w:val="single"/>
        </w:rPr>
      </w:pPr>
      <w:r w:rsidRPr="00695DDA">
        <w:rPr>
          <w:sz w:val="24"/>
          <w:szCs w:val="24"/>
          <w:u w:val="single"/>
        </w:rPr>
        <w:t>Hepatitis og leverlidelser</w:t>
      </w:r>
    </w:p>
    <w:p w:rsidR="003517BF" w:rsidRDefault="003517BF" w:rsidP="00F01DE9">
      <w:pPr>
        <w:ind w:left="851"/>
        <w:contextualSpacing/>
        <w:rPr>
          <w:rFonts w:asciiTheme="majorBidi" w:hAnsiTheme="majorBidi" w:cstheme="majorBidi"/>
          <w:sz w:val="24"/>
          <w:szCs w:val="24"/>
        </w:rPr>
      </w:pPr>
    </w:p>
    <w:p w:rsidR="00F01DE9" w:rsidRPr="00E8426E" w:rsidRDefault="00F01DE9" w:rsidP="00F01DE9">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Der er ikke observeret tilfælde af svær eller akut leverskade, som indikerer alvorlig lægemiddelinduceret </w:t>
      </w:r>
      <w:proofErr w:type="spellStart"/>
      <w:r w:rsidRPr="00E8426E">
        <w:rPr>
          <w:rFonts w:asciiTheme="majorBidi" w:hAnsiTheme="majorBidi" w:cstheme="majorBidi"/>
          <w:sz w:val="24"/>
          <w:szCs w:val="24"/>
        </w:rPr>
        <w:t>hepatotoksicitet</w:t>
      </w:r>
      <w:proofErr w:type="spellEnd"/>
      <w:r w:rsidRPr="00E8426E">
        <w:rPr>
          <w:rFonts w:asciiTheme="majorBidi" w:hAnsiTheme="majorBidi" w:cstheme="majorBidi"/>
          <w:sz w:val="24"/>
          <w:szCs w:val="24"/>
        </w:rPr>
        <w:t xml:space="preserve">, i pivotale kliniske studier for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Selvom der var intermitterende forhøjelser i ALAT og ASAT og isolerede stigninger i bilirubin, havde størstedelen af disse tilfælde sameksisterende faktorer for forhøjede leverenzymer, såsom hepatitis C, kronisk alkoholforbrug eller alkoholisk hepatitis/</w:t>
      </w:r>
      <w:proofErr w:type="spellStart"/>
      <w:r w:rsidRPr="00E8426E">
        <w:rPr>
          <w:rFonts w:asciiTheme="majorBidi" w:hAnsiTheme="majorBidi" w:cstheme="majorBidi"/>
          <w:sz w:val="24"/>
          <w:szCs w:val="24"/>
        </w:rPr>
        <w:t>pancreatitis</w:t>
      </w:r>
      <w:proofErr w:type="spellEnd"/>
      <w:r w:rsidRPr="00E8426E">
        <w:rPr>
          <w:rFonts w:asciiTheme="majorBidi" w:hAnsiTheme="majorBidi" w:cstheme="majorBidi"/>
          <w:sz w:val="24"/>
          <w:szCs w:val="24"/>
        </w:rPr>
        <w:t xml:space="preserve"> i anamnesen eller forhøjet LFT ved screening og/eller baseline. Der er rapporteret tilfælde af akut leverskade hos opioidafhængige patienter både i kliniske studier og i rapporter om uønskede hændelser efter markedsføring efter </w:t>
      </w:r>
      <w:proofErr w:type="spellStart"/>
      <w:r w:rsidRPr="00E8426E">
        <w:rPr>
          <w:rFonts w:asciiTheme="majorBidi" w:hAnsiTheme="majorBidi" w:cstheme="majorBidi"/>
          <w:sz w:val="24"/>
          <w:szCs w:val="24"/>
        </w:rPr>
        <w:t>sublingual</w:t>
      </w:r>
      <w:proofErr w:type="spellEnd"/>
      <w:r w:rsidRPr="00E8426E">
        <w:rPr>
          <w:rFonts w:asciiTheme="majorBidi" w:hAnsiTheme="majorBidi" w:cstheme="majorBidi"/>
          <w:sz w:val="24"/>
          <w:szCs w:val="24"/>
        </w:rPr>
        <w:t xml:space="preserve"> administration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Spektret af anomalier spænder over forbigående asymptomatisk forhøjede </w:t>
      </w:r>
      <w:proofErr w:type="spellStart"/>
      <w:r w:rsidRPr="00E8426E">
        <w:rPr>
          <w:rFonts w:asciiTheme="majorBidi" w:hAnsiTheme="majorBidi" w:cstheme="majorBidi"/>
          <w:sz w:val="24"/>
          <w:szCs w:val="24"/>
        </w:rPr>
        <w:t>levertransaminaser</w:t>
      </w:r>
      <w:proofErr w:type="spellEnd"/>
      <w:r w:rsidRPr="00E8426E">
        <w:rPr>
          <w:rFonts w:asciiTheme="majorBidi" w:hAnsiTheme="majorBidi" w:cstheme="majorBidi"/>
          <w:sz w:val="24"/>
          <w:szCs w:val="24"/>
        </w:rPr>
        <w:t xml:space="preserve"> til rapporter om tilfælde af </w:t>
      </w:r>
      <w:proofErr w:type="spellStart"/>
      <w:r w:rsidRPr="00E8426E">
        <w:rPr>
          <w:rFonts w:asciiTheme="majorBidi" w:hAnsiTheme="majorBidi" w:cstheme="majorBidi"/>
          <w:sz w:val="24"/>
          <w:szCs w:val="24"/>
        </w:rPr>
        <w:t>cytolytisk</w:t>
      </w:r>
      <w:proofErr w:type="spellEnd"/>
      <w:r w:rsidRPr="00E8426E">
        <w:rPr>
          <w:rFonts w:asciiTheme="majorBidi" w:hAnsiTheme="majorBidi" w:cstheme="majorBidi"/>
          <w:sz w:val="24"/>
          <w:szCs w:val="24"/>
        </w:rPr>
        <w:t xml:space="preserve"> hepatitis, leversvigt, levernekrose, </w:t>
      </w:r>
      <w:proofErr w:type="spellStart"/>
      <w:r w:rsidRPr="00E8426E">
        <w:rPr>
          <w:rFonts w:asciiTheme="majorBidi" w:hAnsiTheme="majorBidi" w:cstheme="majorBidi"/>
          <w:sz w:val="24"/>
          <w:szCs w:val="24"/>
        </w:rPr>
        <w:t>hepatorenalt</w:t>
      </w:r>
      <w:proofErr w:type="spellEnd"/>
      <w:r w:rsidRPr="00E8426E">
        <w:rPr>
          <w:rFonts w:asciiTheme="majorBidi" w:hAnsiTheme="majorBidi" w:cstheme="majorBidi"/>
          <w:sz w:val="24"/>
          <w:szCs w:val="24"/>
        </w:rPr>
        <w:t xml:space="preserve"> syndrom, </w:t>
      </w:r>
      <w:proofErr w:type="spellStart"/>
      <w:r w:rsidRPr="00E8426E">
        <w:rPr>
          <w:rFonts w:asciiTheme="majorBidi" w:hAnsiTheme="majorBidi" w:cstheme="majorBidi"/>
          <w:sz w:val="24"/>
          <w:szCs w:val="24"/>
        </w:rPr>
        <w:t>hepatisk</w:t>
      </w:r>
      <w:proofErr w:type="spellEnd"/>
      <w:r w:rsidRPr="00E8426E">
        <w:rPr>
          <w:rFonts w:asciiTheme="majorBidi" w:hAnsiTheme="majorBidi" w:cstheme="majorBidi"/>
          <w:sz w:val="24"/>
          <w:szCs w:val="24"/>
        </w:rPr>
        <w:t xml:space="preserve"> encefalopati samt dødsfald. I mange tilfælde kan eksisterende leverenzymanomalier, genetisk sygdom, hepatitis B- eller hepatitis C-virusinfektion, alkoholmisbrug, anoreksi, samtidig anvendelse af andre potentielt </w:t>
      </w:r>
      <w:proofErr w:type="spellStart"/>
      <w:r w:rsidRPr="00E8426E">
        <w:rPr>
          <w:rFonts w:asciiTheme="majorBidi" w:hAnsiTheme="majorBidi" w:cstheme="majorBidi"/>
          <w:sz w:val="24"/>
          <w:szCs w:val="24"/>
        </w:rPr>
        <w:t>hepatotoksiske</w:t>
      </w:r>
      <w:proofErr w:type="spellEnd"/>
      <w:r w:rsidRPr="00E8426E">
        <w:rPr>
          <w:rFonts w:asciiTheme="majorBidi" w:hAnsiTheme="majorBidi" w:cstheme="majorBidi"/>
          <w:sz w:val="24"/>
          <w:szCs w:val="24"/>
        </w:rPr>
        <w:t xml:space="preserve"> lægemidler eller fortsat intravenøst stofmisbrug have spillet en kausal eller medvirkende rolle. Disse underliggende faktorer skal tages i betragtning inden ordinering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depotinjektion og under behandlingen. Hvis der er mistanke om en leverhændelse, skal der foretages en yderligere biologisk og ætiologisk vurdering. Afhængig af resultaterne kan lægemidlet seponeres varsomt for at forebygge abstinenssymptomer og for at modvirke, at patienten vender tilbage til stofmisbrug. Hvis behandlingen fortsættes, skal leverfunktionen overvåges nøje.</w:t>
      </w:r>
    </w:p>
    <w:p w:rsidR="00F01DE9" w:rsidRPr="00E8426E" w:rsidRDefault="00F01DE9" w:rsidP="00F01DE9">
      <w:pPr>
        <w:tabs>
          <w:tab w:val="left" w:pos="0"/>
        </w:tabs>
        <w:contextualSpacing/>
        <w:rPr>
          <w:rFonts w:asciiTheme="majorBidi" w:hAnsiTheme="majorBidi" w:cstheme="majorBidi"/>
          <w:sz w:val="24"/>
          <w:szCs w:val="24"/>
        </w:rPr>
      </w:pPr>
    </w:p>
    <w:p w:rsidR="00F01DE9" w:rsidRPr="00E8426E" w:rsidRDefault="00F01DE9" w:rsidP="00F01DE9">
      <w:pPr>
        <w:ind w:left="851"/>
        <w:contextualSpacing/>
        <w:rPr>
          <w:rFonts w:asciiTheme="majorBidi" w:hAnsiTheme="majorBidi" w:cstheme="majorBidi"/>
          <w:bCs/>
          <w:sz w:val="24"/>
          <w:szCs w:val="24"/>
        </w:rPr>
      </w:pPr>
      <w:r w:rsidRPr="00E8426E">
        <w:rPr>
          <w:rFonts w:asciiTheme="majorBidi" w:hAnsiTheme="majorBidi" w:cstheme="majorBidi"/>
          <w:sz w:val="24"/>
          <w:szCs w:val="24"/>
        </w:rPr>
        <w:t>Det anbefales, at der foretages en baseline-leverfunktionstest og dokumentation af status for viral hepatitis, før behandling påbegyndes. Alle patienter bør med jævne mellemrum få foretaget leverfunktionstest.</w:t>
      </w:r>
    </w:p>
    <w:p w:rsidR="00695DDA" w:rsidRPr="00695DDA" w:rsidRDefault="00695DDA" w:rsidP="00695DDA">
      <w:pPr>
        <w:tabs>
          <w:tab w:val="left" w:pos="851"/>
        </w:tabs>
        <w:ind w:left="851"/>
        <w:rPr>
          <w:sz w:val="24"/>
          <w:szCs w:val="24"/>
        </w:rPr>
      </w:pPr>
    </w:p>
    <w:p w:rsidR="00695DDA" w:rsidRPr="00695DDA" w:rsidRDefault="00695DDA" w:rsidP="00695DDA">
      <w:pPr>
        <w:tabs>
          <w:tab w:val="left" w:pos="851"/>
        </w:tabs>
        <w:ind w:left="851"/>
        <w:rPr>
          <w:sz w:val="24"/>
          <w:szCs w:val="24"/>
          <w:u w:val="single"/>
        </w:rPr>
      </w:pPr>
      <w:r w:rsidRPr="00695DDA">
        <w:rPr>
          <w:sz w:val="24"/>
          <w:szCs w:val="24"/>
          <w:u w:val="single"/>
        </w:rPr>
        <w:t>Nedsat leverfunktion</w:t>
      </w:r>
    </w:p>
    <w:p w:rsidR="003517BF" w:rsidRPr="00E8426E" w:rsidRDefault="003517BF" w:rsidP="003517BF">
      <w:pPr>
        <w:ind w:left="851"/>
        <w:contextualSpacing/>
        <w:rPr>
          <w:rFonts w:asciiTheme="majorBidi" w:hAnsiTheme="majorBidi" w:cstheme="majorBidi"/>
          <w:sz w:val="24"/>
          <w:szCs w:val="24"/>
        </w:rPr>
      </w:pPr>
      <w:r w:rsidRPr="00695DDA">
        <w:rPr>
          <w:sz w:val="24"/>
          <w:szCs w:val="24"/>
        </w:rPr>
        <w:t xml:space="preserve">Virkningen af nedsat leverfunktion på farmakokinetikken af </w:t>
      </w:r>
      <w:proofErr w:type="spellStart"/>
      <w:r w:rsidRPr="00695DDA">
        <w:rPr>
          <w:sz w:val="24"/>
          <w:szCs w:val="24"/>
        </w:rPr>
        <w:t>Subutex</w:t>
      </w:r>
      <w:proofErr w:type="spellEnd"/>
      <w:r w:rsidRPr="00695DDA">
        <w:rPr>
          <w:sz w:val="24"/>
          <w:szCs w:val="24"/>
        </w:rPr>
        <w:t xml:space="preserve"> er ikke blevet undersøgt. Virkningen af nedsat leverfunktion på farmakokinetikken af </w:t>
      </w:r>
      <w:proofErr w:type="spellStart"/>
      <w:r w:rsidRPr="00695DDA">
        <w:rPr>
          <w:sz w:val="24"/>
          <w:szCs w:val="24"/>
        </w:rPr>
        <w:t>sublingual</w:t>
      </w:r>
      <w:proofErr w:type="spellEnd"/>
      <w:r w:rsidRPr="00695DDA">
        <w:rPr>
          <w:sz w:val="24"/>
          <w:szCs w:val="24"/>
        </w:rPr>
        <w:t xml:space="preserve"> </w:t>
      </w:r>
      <w:proofErr w:type="spellStart"/>
      <w:r w:rsidRPr="00695DDA">
        <w:rPr>
          <w:sz w:val="24"/>
          <w:szCs w:val="24"/>
        </w:rPr>
        <w:t>buprenorphin</w:t>
      </w:r>
      <w:proofErr w:type="spellEnd"/>
      <w:r w:rsidRPr="00695DDA">
        <w:rPr>
          <w:sz w:val="24"/>
          <w:szCs w:val="24"/>
        </w:rPr>
        <w:t xml:space="preserve"> er blevet evalueret i et klinisk studie. Da </w:t>
      </w:r>
      <w:proofErr w:type="spellStart"/>
      <w:r w:rsidRPr="00695DDA">
        <w:rPr>
          <w:sz w:val="24"/>
          <w:szCs w:val="24"/>
        </w:rPr>
        <w:t>buprenorphin</w:t>
      </w:r>
      <w:proofErr w:type="spellEnd"/>
      <w:r w:rsidRPr="00695DDA">
        <w:rPr>
          <w:sz w:val="24"/>
          <w:szCs w:val="24"/>
        </w:rPr>
        <w:t xml:space="preserve"> i høj grad </w:t>
      </w:r>
      <w:proofErr w:type="spellStart"/>
      <w:r w:rsidRPr="00695DDA">
        <w:rPr>
          <w:sz w:val="24"/>
          <w:szCs w:val="24"/>
        </w:rPr>
        <w:t>metaboliseres</w:t>
      </w:r>
      <w:proofErr w:type="spellEnd"/>
      <w:r w:rsidRPr="00695DDA">
        <w:rPr>
          <w:sz w:val="24"/>
          <w:szCs w:val="24"/>
        </w:rPr>
        <w:t xml:space="preserve"> i leveren, var plasmaniveauerne af </w:t>
      </w:r>
      <w:proofErr w:type="spellStart"/>
      <w:r w:rsidRPr="00695DDA">
        <w:rPr>
          <w:sz w:val="24"/>
          <w:szCs w:val="24"/>
        </w:rPr>
        <w:t>buprenorphin</w:t>
      </w:r>
      <w:proofErr w:type="spellEnd"/>
      <w:r w:rsidRPr="00695DDA">
        <w:rPr>
          <w:sz w:val="24"/>
          <w:szCs w:val="24"/>
        </w:rPr>
        <w:t xml:space="preserve"> højere hos patienter med moderat og svært nedsat leverfunktion sammenlignet med raske personer (se pkt. 5.2).</w:t>
      </w:r>
      <w:r>
        <w:rPr>
          <w:sz w:val="24"/>
          <w:szCs w:val="24"/>
        </w:rPr>
        <w:t xml:space="preserve">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skal bruges med forsigtighed hos patienter med eksisterende, moderat nedsat leverfunktion, da plasmaniveauet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ikke kan sænkes hurtigt.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er kontraindiceret hos patienter med eksisterende svært nedsat leverfunktion (se pkt. 4.3).</w:t>
      </w:r>
    </w:p>
    <w:p w:rsidR="003517BF" w:rsidRDefault="003517BF" w:rsidP="00F01DE9">
      <w:pPr>
        <w:ind w:left="851"/>
        <w:contextualSpacing/>
        <w:rPr>
          <w:rFonts w:asciiTheme="majorBidi" w:hAnsiTheme="majorBidi" w:cstheme="majorBidi"/>
          <w:sz w:val="24"/>
          <w:szCs w:val="24"/>
        </w:rPr>
      </w:pPr>
    </w:p>
    <w:p w:rsidR="00F01DE9" w:rsidRPr="00E8426E" w:rsidRDefault="00F01DE9" w:rsidP="00F01DE9">
      <w:pPr>
        <w:ind w:left="851"/>
        <w:contextualSpacing/>
        <w:rPr>
          <w:rFonts w:asciiTheme="majorBidi" w:hAnsiTheme="majorBidi" w:cstheme="majorBidi"/>
          <w:sz w:val="24"/>
          <w:szCs w:val="24"/>
        </w:rPr>
      </w:pPr>
      <w:r w:rsidRPr="00E8426E">
        <w:rPr>
          <w:rFonts w:asciiTheme="majorBidi" w:hAnsiTheme="majorBidi" w:cstheme="majorBidi"/>
          <w:sz w:val="24"/>
          <w:szCs w:val="24"/>
        </w:rPr>
        <w:lastRenderedPageBreak/>
        <w:t xml:space="preserve">Patienter med moderat nedsat leverfunktion, eller som udvikler moderat til svært nedsat leverfunktion under behandlingen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skal overvåges i flere måneder for tegn og symptomer på toksicitet eller overdosering forårsaget af forhøjede </w:t>
      </w:r>
      <w:proofErr w:type="spellStart"/>
      <w:r w:rsidRPr="00E8426E">
        <w:rPr>
          <w:rFonts w:asciiTheme="majorBidi" w:hAnsiTheme="majorBidi" w:cstheme="majorBidi"/>
          <w:sz w:val="24"/>
          <w:szCs w:val="24"/>
        </w:rPr>
        <w:t>buprenorphinniveauer</w:t>
      </w:r>
      <w:proofErr w:type="spellEnd"/>
      <w:r w:rsidRPr="00E8426E">
        <w:rPr>
          <w:rFonts w:asciiTheme="majorBidi" w:hAnsiTheme="majorBidi" w:cstheme="majorBidi"/>
          <w:sz w:val="24"/>
          <w:szCs w:val="24"/>
        </w:rPr>
        <w:t xml:space="preserve">. Leverfunktionen skal overvåges regelmæssigt under behandlingen (se pkt. 4.2 og 5.2). </w:t>
      </w:r>
    </w:p>
    <w:p w:rsidR="00695DDA" w:rsidRPr="00695DDA" w:rsidRDefault="00695DDA" w:rsidP="00F01DE9">
      <w:pPr>
        <w:tabs>
          <w:tab w:val="left" w:pos="851"/>
        </w:tabs>
        <w:ind w:left="851"/>
        <w:rPr>
          <w:sz w:val="24"/>
          <w:szCs w:val="24"/>
        </w:rPr>
      </w:pPr>
    </w:p>
    <w:p w:rsidR="00695DDA" w:rsidRPr="00695DDA" w:rsidRDefault="00695DDA" w:rsidP="00695DDA">
      <w:pPr>
        <w:tabs>
          <w:tab w:val="left" w:pos="851"/>
        </w:tabs>
        <w:ind w:left="851"/>
        <w:rPr>
          <w:sz w:val="24"/>
          <w:szCs w:val="24"/>
          <w:u w:val="single"/>
        </w:rPr>
      </w:pPr>
      <w:r w:rsidRPr="00695DDA">
        <w:rPr>
          <w:sz w:val="24"/>
          <w:szCs w:val="24"/>
          <w:u w:val="single"/>
        </w:rPr>
        <w:t>Nedsat nyrefunktion</w:t>
      </w:r>
    </w:p>
    <w:p w:rsidR="003517BF" w:rsidRDefault="003517BF" w:rsidP="00F01DE9">
      <w:pPr>
        <w:ind w:left="851"/>
        <w:contextualSpacing/>
        <w:rPr>
          <w:rFonts w:asciiTheme="majorBidi" w:hAnsiTheme="majorBidi" w:cstheme="majorBidi"/>
          <w:sz w:val="24"/>
          <w:szCs w:val="24"/>
        </w:rPr>
      </w:pPr>
    </w:p>
    <w:p w:rsidR="00F01DE9" w:rsidRPr="00E8426E" w:rsidRDefault="00F01DE9" w:rsidP="00F01DE9">
      <w:pPr>
        <w:ind w:left="851"/>
        <w:contextualSpacing/>
        <w:rPr>
          <w:rFonts w:asciiTheme="majorBidi" w:hAnsiTheme="majorBidi" w:cstheme="majorBidi"/>
          <w:sz w:val="24"/>
          <w:szCs w:val="24"/>
        </w:rPr>
      </w:pPr>
      <w:proofErr w:type="spellStart"/>
      <w:r w:rsidRPr="00E8426E">
        <w:rPr>
          <w:rFonts w:asciiTheme="majorBidi" w:hAnsiTheme="majorBidi" w:cstheme="majorBidi"/>
          <w:sz w:val="24"/>
          <w:szCs w:val="24"/>
        </w:rPr>
        <w:t>Renal</w:t>
      </w:r>
      <w:proofErr w:type="spellEnd"/>
      <w:r w:rsidRPr="00E8426E">
        <w:rPr>
          <w:rFonts w:asciiTheme="majorBidi" w:hAnsiTheme="majorBidi" w:cstheme="majorBidi"/>
          <w:sz w:val="24"/>
          <w:szCs w:val="24"/>
        </w:rPr>
        <w:t xml:space="preserve"> elimination spiller en relativt lille rolle (~ 30 %) i den totale </w:t>
      </w:r>
      <w:proofErr w:type="spellStart"/>
      <w:r w:rsidRPr="00E8426E">
        <w:rPr>
          <w:rFonts w:asciiTheme="majorBidi" w:hAnsiTheme="majorBidi" w:cstheme="majorBidi"/>
          <w:sz w:val="24"/>
          <w:szCs w:val="24"/>
        </w:rPr>
        <w:t>clearance</w:t>
      </w:r>
      <w:proofErr w:type="spellEnd"/>
      <w:r w:rsidRPr="00E8426E">
        <w:rPr>
          <w:rFonts w:asciiTheme="majorBidi" w:hAnsiTheme="majorBidi" w:cstheme="majorBidi"/>
          <w:sz w:val="24"/>
          <w:szCs w:val="24"/>
        </w:rPr>
        <w:t xml:space="preserve">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og metabolitter. Derfor er en dosismodifikation baseret på nyrefunktionen ikke nødvendig. </w:t>
      </w:r>
      <w:proofErr w:type="spellStart"/>
      <w:r w:rsidRPr="00E8426E">
        <w:rPr>
          <w:rFonts w:asciiTheme="majorBidi" w:hAnsiTheme="majorBidi" w:cstheme="majorBidi"/>
          <w:sz w:val="24"/>
          <w:szCs w:val="24"/>
        </w:rPr>
        <w:t>Buprenorphins</w:t>
      </w:r>
      <w:proofErr w:type="spellEnd"/>
      <w:r w:rsidRPr="00E8426E">
        <w:rPr>
          <w:rFonts w:asciiTheme="majorBidi" w:hAnsiTheme="majorBidi" w:cstheme="majorBidi"/>
          <w:sz w:val="24"/>
          <w:szCs w:val="24"/>
        </w:rPr>
        <w:t xml:space="preserve"> metabolitter akkumulerer hos patienter med nyresvigt. Der rådes til forsigtighed ved dosering til patienter med svært nedsat nyrefunktion (</w:t>
      </w:r>
      <w:proofErr w:type="spellStart"/>
      <w:r w:rsidRPr="00E8426E">
        <w:rPr>
          <w:rFonts w:asciiTheme="majorBidi" w:hAnsiTheme="majorBidi" w:cstheme="majorBidi"/>
          <w:sz w:val="24"/>
          <w:szCs w:val="24"/>
        </w:rPr>
        <w:t>CLcr</w:t>
      </w:r>
      <w:proofErr w:type="spellEnd"/>
      <w:r w:rsidRPr="00E8426E">
        <w:rPr>
          <w:rFonts w:asciiTheme="majorBidi" w:hAnsiTheme="majorBidi" w:cstheme="majorBidi"/>
          <w:sz w:val="24"/>
          <w:szCs w:val="24"/>
        </w:rPr>
        <w:t> &lt;30 ml/min) (se pkt. 4.2 og 5.2).</w:t>
      </w:r>
    </w:p>
    <w:p w:rsidR="00F01DE9" w:rsidRPr="00E8426E" w:rsidRDefault="00F01DE9" w:rsidP="00F01DE9">
      <w:pPr>
        <w:contextualSpacing/>
        <w:rPr>
          <w:rFonts w:asciiTheme="majorBidi" w:hAnsiTheme="majorBidi" w:cstheme="majorBidi"/>
          <w:sz w:val="24"/>
          <w:szCs w:val="24"/>
        </w:rPr>
      </w:pPr>
    </w:p>
    <w:p w:rsidR="00F01DE9" w:rsidRPr="00E8426E" w:rsidRDefault="00F01DE9" w:rsidP="00F01DE9">
      <w:pPr>
        <w:ind w:firstLine="851"/>
        <w:contextualSpacing/>
        <w:rPr>
          <w:rFonts w:asciiTheme="majorBidi" w:hAnsiTheme="majorBidi" w:cstheme="majorBidi"/>
          <w:sz w:val="24"/>
          <w:szCs w:val="24"/>
        </w:rPr>
      </w:pPr>
      <w:r w:rsidRPr="00E8426E">
        <w:rPr>
          <w:rFonts w:asciiTheme="majorBidi" w:hAnsiTheme="majorBidi" w:cstheme="majorBidi"/>
          <w:sz w:val="24"/>
          <w:szCs w:val="24"/>
        </w:rPr>
        <w:t xml:space="preserve">Kliniske studier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omfattede ikke personer med nedsat nyrefunktion. </w:t>
      </w:r>
    </w:p>
    <w:p w:rsidR="00695DDA" w:rsidRPr="00695DDA" w:rsidRDefault="00695DDA" w:rsidP="00695DDA">
      <w:pPr>
        <w:tabs>
          <w:tab w:val="left" w:pos="851"/>
        </w:tabs>
        <w:ind w:left="851"/>
        <w:rPr>
          <w:bCs/>
          <w:sz w:val="24"/>
          <w:szCs w:val="24"/>
        </w:rPr>
      </w:pPr>
    </w:p>
    <w:p w:rsidR="00F01DE9" w:rsidRPr="00E8426E" w:rsidRDefault="00F01DE9" w:rsidP="00F01DE9">
      <w:pPr>
        <w:ind w:firstLine="851"/>
        <w:contextualSpacing/>
        <w:rPr>
          <w:rFonts w:asciiTheme="majorBidi" w:hAnsiTheme="majorBidi" w:cstheme="majorBidi"/>
          <w:sz w:val="24"/>
          <w:szCs w:val="24"/>
          <w:u w:val="single"/>
        </w:rPr>
      </w:pPr>
      <w:r w:rsidRPr="00E8426E">
        <w:rPr>
          <w:rFonts w:asciiTheme="majorBidi" w:hAnsiTheme="majorBidi" w:cstheme="majorBidi"/>
          <w:sz w:val="24"/>
          <w:szCs w:val="24"/>
          <w:u w:val="single"/>
        </w:rPr>
        <w:t>Hjerteelektrofysiologi</w:t>
      </w:r>
    </w:p>
    <w:p w:rsidR="00F01DE9" w:rsidRPr="00E8426E" w:rsidRDefault="00F01DE9" w:rsidP="00F01DE9">
      <w:pPr>
        <w:contextualSpacing/>
        <w:rPr>
          <w:rFonts w:asciiTheme="majorBidi" w:hAnsiTheme="majorBidi" w:cstheme="majorBidi"/>
          <w:sz w:val="24"/>
          <w:szCs w:val="24"/>
        </w:rPr>
      </w:pPr>
    </w:p>
    <w:p w:rsidR="00F01DE9" w:rsidRPr="00E8426E" w:rsidRDefault="00F01DE9" w:rsidP="00F01DE9">
      <w:pPr>
        <w:ind w:firstLine="851"/>
        <w:contextualSpacing/>
        <w:rPr>
          <w:rFonts w:asciiTheme="majorBidi" w:hAnsiTheme="majorBidi" w:cstheme="majorBidi"/>
          <w:sz w:val="24"/>
          <w:szCs w:val="24"/>
        </w:rPr>
      </w:pPr>
      <w:r w:rsidRPr="00E8426E">
        <w:rPr>
          <w:rFonts w:asciiTheme="majorBidi" w:hAnsiTheme="majorBidi" w:cstheme="majorBidi"/>
          <w:sz w:val="24"/>
          <w:szCs w:val="24"/>
        </w:rPr>
        <w:t xml:space="preserve">Produkter indeholdende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har vist sig at være forbundet med </w:t>
      </w:r>
      <w:proofErr w:type="spellStart"/>
      <w:r w:rsidRPr="00E8426E">
        <w:rPr>
          <w:rFonts w:asciiTheme="majorBidi" w:hAnsiTheme="majorBidi" w:cstheme="majorBidi"/>
          <w:sz w:val="24"/>
          <w:szCs w:val="24"/>
        </w:rPr>
        <w:t>QTc</w:t>
      </w:r>
      <w:proofErr w:type="spellEnd"/>
      <w:r w:rsidRPr="00E8426E">
        <w:rPr>
          <w:rFonts w:asciiTheme="majorBidi" w:hAnsiTheme="majorBidi" w:cstheme="majorBidi"/>
          <w:sz w:val="24"/>
          <w:szCs w:val="24"/>
        </w:rPr>
        <w:t xml:space="preserve">-forlængelse. </w:t>
      </w:r>
    </w:p>
    <w:p w:rsidR="00F01DE9" w:rsidRPr="00E8426E" w:rsidRDefault="00F01DE9" w:rsidP="00F01DE9">
      <w:pPr>
        <w:ind w:left="851"/>
        <w:contextualSpacing/>
        <w:rPr>
          <w:rFonts w:asciiTheme="majorBidi" w:hAnsiTheme="majorBidi" w:cstheme="majorBidi"/>
          <w:sz w:val="24"/>
          <w:szCs w:val="24"/>
        </w:rPr>
      </w:pPr>
      <w:proofErr w:type="spellStart"/>
      <w:r w:rsidRPr="00E8426E">
        <w:rPr>
          <w:rFonts w:asciiTheme="majorBidi" w:hAnsiTheme="majorBidi" w:cstheme="majorBidi"/>
          <w:sz w:val="24"/>
          <w:szCs w:val="24"/>
        </w:rPr>
        <w:t>QTc</w:t>
      </w:r>
      <w:proofErr w:type="spellEnd"/>
      <w:r w:rsidRPr="00E8426E">
        <w:rPr>
          <w:rFonts w:asciiTheme="majorBidi" w:hAnsiTheme="majorBidi" w:cstheme="majorBidi"/>
          <w:sz w:val="24"/>
          <w:szCs w:val="24"/>
        </w:rPr>
        <w:t xml:space="preserve">-fund fra pivotale kliniske studier for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gav ikke evidens for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-induceret QT-forlængelse (se pkt. 5.1 Hjerteelektrofysiologi).  </w:t>
      </w:r>
    </w:p>
    <w:p w:rsidR="00F01DE9" w:rsidRPr="00E8426E" w:rsidRDefault="00F01DE9" w:rsidP="00F01DE9">
      <w:pPr>
        <w:contextualSpacing/>
        <w:rPr>
          <w:rFonts w:asciiTheme="majorBidi" w:hAnsiTheme="majorBidi" w:cstheme="majorBidi"/>
          <w:sz w:val="24"/>
          <w:szCs w:val="24"/>
        </w:rPr>
      </w:pPr>
    </w:p>
    <w:p w:rsidR="00F01DE9" w:rsidRPr="00E8426E" w:rsidRDefault="00F01DE9" w:rsidP="00F01DE9">
      <w:pPr>
        <w:ind w:firstLine="567"/>
        <w:contextualSpacing/>
        <w:rPr>
          <w:rFonts w:asciiTheme="majorBidi" w:hAnsiTheme="majorBidi" w:cstheme="majorBidi"/>
          <w:sz w:val="24"/>
          <w:szCs w:val="24"/>
        </w:rPr>
      </w:pPr>
      <w:r w:rsidRPr="00E8426E">
        <w:rPr>
          <w:rFonts w:asciiTheme="majorBidi" w:hAnsiTheme="majorBidi" w:cstheme="majorBidi"/>
          <w:sz w:val="24"/>
          <w:szCs w:val="24"/>
        </w:rPr>
        <w:t>Tæt monitorering kan i følgende tilfælde være nødvendig:</w:t>
      </w:r>
    </w:p>
    <w:p w:rsidR="00F01DE9" w:rsidRDefault="00F01DE9" w:rsidP="00F01DE9">
      <w:pPr>
        <w:pStyle w:val="Listeafsnit"/>
        <w:numPr>
          <w:ilvl w:val="0"/>
          <w:numId w:val="13"/>
        </w:numPr>
        <w:rPr>
          <w:rFonts w:asciiTheme="majorBidi" w:hAnsiTheme="majorBidi" w:cstheme="majorBidi"/>
        </w:rPr>
      </w:pPr>
      <w:r w:rsidRPr="00E8426E">
        <w:rPr>
          <w:rFonts w:asciiTheme="majorBidi" w:hAnsiTheme="majorBidi" w:cstheme="majorBidi"/>
        </w:rPr>
        <w:t>Patienter med bekræftede eller formodede EKG-forandringer (forlænget QT-interval på</w:t>
      </w:r>
    </w:p>
    <w:p w:rsidR="00F01DE9" w:rsidRDefault="00F01DE9" w:rsidP="00F01DE9">
      <w:pPr>
        <w:pStyle w:val="Listeafsnit"/>
        <w:numPr>
          <w:ilvl w:val="0"/>
          <w:numId w:val="13"/>
        </w:numPr>
        <w:rPr>
          <w:rFonts w:asciiTheme="majorBidi" w:hAnsiTheme="majorBidi" w:cstheme="majorBidi"/>
        </w:rPr>
      </w:pPr>
      <w:proofErr w:type="spellStart"/>
      <w:r w:rsidRPr="00F01DE9">
        <w:rPr>
          <w:rFonts w:asciiTheme="majorBidi" w:hAnsiTheme="majorBidi" w:cstheme="majorBidi"/>
        </w:rPr>
        <w:t>EKG’et</w:t>
      </w:r>
      <w:proofErr w:type="spellEnd"/>
      <w:r w:rsidRPr="00F01DE9">
        <w:rPr>
          <w:rFonts w:asciiTheme="majorBidi" w:hAnsiTheme="majorBidi" w:cstheme="majorBidi"/>
        </w:rPr>
        <w:t>) eller en elektrolytforstyrrelse, især kaliummangel (</w:t>
      </w:r>
      <w:proofErr w:type="spellStart"/>
      <w:r w:rsidRPr="00F01DE9">
        <w:rPr>
          <w:rFonts w:asciiTheme="majorBidi" w:hAnsiTheme="majorBidi" w:cstheme="majorBidi"/>
        </w:rPr>
        <w:t>hypokaliæmi</w:t>
      </w:r>
      <w:proofErr w:type="spellEnd"/>
      <w:r w:rsidRPr="00F01DE9">
        <w:rPr>
          <w:rFonts w:asciiTheme="majorBidi" w:hAnsiTheme="majorBidi" w:cstheme="majorBidi"/>
        </w:rPr>
        <w:t>)</w:t>
      </w:r>
    </w:p>
    <w:p w:rsidR="00F01DE9" w:rsidRDefault="00F01DE9" w:rsidP="00F01DE9">
      <w:pPr>
        <w:pStyle w:val="Listeafsnit"/>
        <w:numPr>
          <w:ilvl w:val="0"/>
          <w:numId w:val="13"/>
        </w:numPr>
        <w:rPr>
          <w:rFonts w:asciiTheme="majorBidi" w:hAnsiTheme="majorBidi" w:cstheme="majorBidi"/>
        </w:rPr>
      </w:pPr>
      <w:r w:rsidRPr="00F01DE9">
        <w:rPr>
          <w:rFonts w:asciiTheme="majorBidi" w:hAnsiTheme="majorBidi" w:cstheme="majorBidi"/>
        </w:rPr>
        <w:t>En klinisk signifikant langsom hjerterytme (bradykardi)</w:t>
      </w:r>
    </w:p>
    <w:p w:rsidR="00F01DE9" w:rsidRPr="00F01DE9" w:rsidRDefault="00F01DE9" w:rsidP="00F01DE9">
      <w:pPr>
        <w:pStyle w:val="Listeafsnit"/>
        <w:numPr>
          <w:ilvl w:val="0"/>
          <w:numId w:val="13"/>
        </w:numPr>
        <w:rPr>
          <w:rFonts w:asciiTheme="majorBidi" w:hAnsiTheme="majorBidi" w:cstheme="majorBidi"/>
        </w:rPr>
      </w:pPr>
      <w:r w:rsidRPr="00F01DE9">
        <w:rPr>
          <w:rFonts w:asciiTheme="majorBidi" w:hAnsiTheme="majorBidi" w:cstheme="majorBidi"/>
        </w:rPr>
        <w:t xml:space="preserve">Behandling med visse lægemidler for </w:t>
      </w:r>
      <w:proofErr w:type="spellStart"/>
      <w:r w:rsidRPr="00F01DE9">
        <w:rPr>
          <w:rFonts w:asciiTheme="majorBidi" w:hAnsiTheme="majorBidi" w:cstheme="majorBidi"/>
        </w:rPr>
        <w:t>arytmi</w:t>
      </w:r>
      <w:proofErr w:type="spellEnd"/>
      <w:r w:rsidRPr="00F01DE9">
        <w:rPr>
          <w:rFonts w:asciiTheme="majorBidi" w:hAnsiTheme="majorBidi" w:cstheme="majorBidi"/>
        </w:rPr>
        <w:t xml:space="preserve"> (klasse I- og III-</w:t>
      </w:r>
      <w:proofErr w:type="spellStart"/>
      <w:r w:rsidRPr="00F01DE9">
        <w:rPr>
          <w:rFonts w:asciiTheme="majorBidi" w:hAnsiTheme="majorBidi" w:cstheme="majorBidi"/>
        </w:rPr>
        <w:t>antiarytmika</w:t>
      </w:r>
      <w:proofErr w:type="spellEnd"/>
      <w:r w:rsidRPr="00F01DE9">
        <w:rPr>
          <w:rFonts w:asciiTheme="majorBidi" w:hAnsiTheme="majorBidi" w:cstheme="majorBidi"/>
        </w:rPr>
        <w:t>)</w:t>
      </w:r>
    </w:p>
    <w:p w:rsidR="00695DDA" w:rsidRPr="00695DDA" w:rsidRDefault="00695DDA" w:rsidP="00F01DE9">
      <w:pPr>
        <w:tabs>
          <w:tab w:val="left" w:pos="851"/>
        </w:tabs>
        <w:rPr>
          <w:sz w:val="24"/>
          <w:szCs w:val="24"/>
          <w:u w:val="single"/>
        </w:rPr>
      </w:pPr>
    </w:p>
    <w:p w:rsidR="00695DDA" w:rsidRPr="00695DDA" w:rsidRDefault="00695DDA" w:rsidP="00695DDA">
      <w:pPr>
        <w:tabs>
          <w:tab w:val="left" w:pos="851"/>
        </w:tabs>
        <w:ind w:left="851"/>
        <w:rPr>
          <w:sz w:val="24"/>
          <w:szCs w:val="24"/>
          <w:u w:val="single"/>
        </w:rPr>
      </w:pPr>
      <w:r w:rsidRPr="00695DDA">
        <w:rPr>
          <w:sz w:val="24"/>
          <w:szCs w:val="24"/>
          <w:u w:val="single"/>
        </w:rPr>
        <w:t>Generelle advarsler</w:t>
      </w:r>
      <w:r w:rsidR="00F01DE9">
        <w:rPr>
          <w:sz w:val="24"/>
          <w:szCs w:val="24"/>
          <w:u w:val="single"/>
        </w:rPr>
        <w:t xml:space="preserve"> </w:t>
      </w:r>
      <w:r w:rsidRPr="00695DDA">
        <w:rPr>
          <w:sz w:val="24"/>
          <w:szCs w:val="24"/>
          <w:u w:val="single"/>
        </w:rPr>
        <w:t xml:space="preserve">for </w:t>
      </w:r>
      <w:r w:rsidR="00F01DE9">
        <w:rPr>
          <w:sz w:val="24"/>
          <w:szCs w:val="24"/>
          <w:u w:val="single"/>
        </w:rPr>
        <w:t>brugen</w:t>
      </w:r>
      <w:r w:rsidRPr="00695DDA">
        <w:rPr>
          <w:sz w:val="24"/>
          <w:szCs w:val="24"/>
          <w:u w:val="single"/>
        </w:rPr>
        <w:t xml:space="preserve"> af opioider</w:t>
      </w:r>
    </w:p>
    <w:p w:rsidR="003517BF" w:rsidRDefault="003517BF" w:rsidP="00695DDA">
      <w:pPr>
        <w:tabs>
          <w:tab w:val="left" w:pos="851"/>
        </w:tabs>
        <w:ind w:left="851"/>
        <w:rPr>
          <w:sz w:val="24"/>
          <w:szCs w:val="24"/>
        </w:rPr>
      </w:pPr>
    </w:p>
    <w:p w:rsidR="00695DDA" w:rsidRPr="00695DDA" w:rsidRDefault="00695DDA" w:rsidP="00695DDA">
      <w:pPr>
        <w:tabs>
          <w:tab w:val="left" w:pos="851"/>
        </w:tabs>
        <w:ind w:left="851"/>
        <w:rPr>
          <w:sz w:val="24"/>
          <w:szCs w:val="24"/>
        </w:rPr>
      </w:pPr>
      <w:r w:rsidRPr="00695DDA">
        <w:rPr>
          <w:sz w:val="24"/>
          <w:szCs w:val="24"/>
        </w:rPr>
        <w:t xml:space="preserve">Opioider kan fremkalde </w:t>
      </w:r>
      <w:proofErr w:type="spellStart"/>
      <w:r w:rsidRPr="00695DDA">
        <w:rPr>
          <w:sz w:val="24"/>
          <w:szCs w:val="24"/>
        </w:rPr>
        <w:t>ortostatisk</w:t>
      </w:r>
      <w:proofErr w:type="spellEnd"/>
      <w:r w:rsidRPr="00695DDA">
        <w:rPr>
          <w:sz w:val="24"/>
          <w:szCs w:val="24"/>
        </w:rPr>
        <w:t xml:space="preserve"> hypotension hos ambulante patienter.</w:t>
      </w:r>
    </w:p>
    <w:p w:rsidR="00695DDA" w:rsidRPr="00695DDA" w:rsidRDefault="00695DDA" w:rsidP="00695DDA">
      <w:pPr>
        <w:tabs>
          <w:tab w:val="left" w:pos="851"/>
        </w:tabs>
        <w:ind w:left="851"/>
        <w:rPr>
          <w:sz w:val="24"/>
          <w:szCs w:val="24"/>
        </w:rPr>
      </w:pPr>
    </w:p>
    <w:p w:rsidR="00695DDA" w:rsidRPr="00F01DE9" w:rsidRDefault="00695DDA" w:rsidP="00F01DE9">
      <w:pPr>
        <w:ind w:left="851"/>
        <w:contextualSpacing/>
        <w:rPr>
          <w:rFonts w:asciiTheme="majorBidi" w:hAnsiTheme="majorBidi" w:cstheme="majorBidi"/>
          <w:sz w:val="24"/>
          <w:szCs w:val="24"/>
        </w:rPr>
      </w:pPr>
      <w:r w:rsidRPr="00695DDA">
        <w:rPr>
          <w:sz w:val="24"/>
          <w:szCs w:val="24"/>
        </w:rPr>
        <w:t xml:space="preserve">Opioider </w:t>
      </w:r>
      <w:r w:rsidR="00F01DE9" w:rsidRPr="00E8426E">
        <w:rPr>
          <w:rFonts w:asciiTheme="majorBidi" w:hAnsiTheme="majorBidi" w:cstheme="majorBidi"/>
          <w:sz w:val="24"/>
          <w:szCs w:val="24"/>
        </w:rPr>
        <w:t xml:space="preserve">kan øge trykket i cerebrospinalvæsken, hvilket kan forårsage krampeanfald. Opioider bør derfor anvendes med forsigtighed hos patienter, hvis anamnese inkluderer hovedskade, </w:t>
      </w:r>
      <w:proofErr w:type="spellStart"/>
      <w:r w:rsidR="00F01DE9" w:rsidRPr="00E8426E">
        <w:rPr>
          <w:rFonts w:asciiTheme="majorBidi" w:hAnsiTheme="majorBidi" w:cstheme="majorBidi"/>
          <w:sz w:val="24"/>
          <w:szCs w:val="24"/>
        </w:rPr>
        <w:t>intrakranielle</w:t>
      </w:r>
      <w:proofErr w:type="spellEnd"/>
      <w:r w:rsidR="00F01DE9" w:rsidRPr="00E8426E">
        <w:rPr>
          <w:rFonts w:asciiTheme="majorBidi" w:hAnsiTheme="majorBidi" w:cstheme="majorBidi"/>
          <w:sz w:val="24"/>
          <w:szCs w:val="24"/>
        </w:rPr>
        <w:t xml:space="preserve"> læsioner, andre tilstande, hvor cerebrospinalvæsketrykket kan være øget, eller krampeanfald.</w:t>
      </w:r>
    </w:p>
    <w:p w:rsidR="00695DDA" w:rsidRPr="00695DDA" w:rsidRDefault="00695DDA" w:rsidP="00695DDA">
      <w:pPr>
        <w:tabs>
          <w:tab w:val="left" w:pos="851"/>
        </w:tabs>
        <w:ind w:left="851"/>
        <w:rPr>
          <w:sz w:val="24"/>
          <w:szCs w:val="24"/>
        </w:rPr>
      </w:pPr>
    </w:p>
    <w:p w:rsidR="00695DDA" w:rsidRPr="00695DDA" w:rsidRDefault="00695DDA" w:rsidP="00695DDA">
      <w:pPr>
        <w:tabs>
          <w:tab w:val="left" w:pos="851"/>
        </w:tabs>
        <w:ind w:left="851"/>
        <w:rPr>
          <w:sz w:val="24"/>
          <w:szCs w:val="24"/>
        </w:rPr>
      </w:pPr>
      <w:r w:rsidRPr="00695DDA">
        <w:rPr>
          <w:sz w:val="24"/>
          <w:szCs w:val="24"/>
        </w:rPr>
        <w:t xml:space="preserve">Opioider skal anvendes med forsigtighed hos patienter med hypotension, prostatisk hypertrofi eller </w:t>
      </w:r>
      <w:proofErr w:type="spellStart"/>
      <w:r w:rsidRPr="00695DDA">
        <w:rPr>
          <w:sz w:val="24"/>
          <w:szCs w:val="24"/>
        </w:rPr>
        <w:t>ureterstenose</w:t>
      </w:r>
      <w:proofErr w:type="spellEnd"/>
      <w:r w:rsidRPr="00695DDA">
        <w:rPr>
          <w:sz w:val="24"/>
          <w:szCs w:val="24"/>
        </w:rPr>
        <w:t>.</w:t>
      </w:r>
    </w:p>
    <w:p w:rsidR="00695DDA" w:rsidRPr="00695DDA" w:rsidRDefault="00695DDA" w:rsidP="00695DDA">
      <w:pPr>
        <w:tabs>
          <w:tab w:val="left" w:pos="851"/>
        </w:tabs>
        <w:ind w:left="851"/>
        <w:rPr>
          <w:sz w:val="24"/>
          <w:szCs w:val="24"/>
        </w:rPr>
      </w:pPr>
    </w:p>
    <w:p w:rsidR="00695DDA" w:rsidRPr="00695DDA" w:rsidRDefault="00695DDA" w:rsidP="00695DDA">
      <w:pPr>
        <w:tabs>
          <w:tab w:val="left" w:pos="851"/>
        </w:tabs>
        <w:ind w:left="851"/>
        <w:rPr>
          <w:sz w:val="24"/>
          <w:szCs w:val="24"/>
        </w:rPr>
      </w:pPr>
      <w:r w:rsidRPr="00695DDA">
        <w:rPr>
          <w:sz w:val="24"/>
          <w:szCs w:val="24"/>
        </w:rPr>
        <w:t>Opioidinduceret pupilforsnævring, ændring</w:t>
      </w:r>
      <w:r w:rsidR="00F01DE9">
        <w:rPr>
          <w:sz w:val="24"/>
          <w:szCs w:val="24"/>
        </w:rPr>
        <w:t>er</w:t>
      </w:r>
      <w:r w:rsidRPr="00695DDA">
        <w:rPr>
          <w:sz w:val="24"/>
          <w:szCs w:val="24"/>
        </w:rPr>
        <w:t xml:space="preserve"> i bevidsthedsniveauet </w:t>
      </w:r>
      <w:r w:rsidR="00F01DE9">
        <w:rPr>
          <w:sz w:val="24"/>
          <w:szCs w:val="24"/>
        </w:rPr>
        <w:t>og</w:t>
      </w:r>
      <w:r w:rsidRPr="00695DDA">
        <w:rPr>
          <w:sz w:val="24"/>
          <w:szCs w:val="24"/>
        </w:rPr>
        <w:t xml:space="preserve"> ændringer i smerteoplevelsen som symptom på sygdom kan påvirke </w:t>
      </w:r>
      <w:r w:rsidR="00F01DE9">
        <w:rPr>
          <w:sz w:val="24"/>
          <w:szCs w:val="24"/>
        </w:rPr>
        <w:t>udredningen</w:t>
      </w:r>
      <w:r w:rsidRPr="00695DDA">
        <w:rPr>
          <w:sz w:val="24"/>
          <w:szCs w:val="24"/>
        </w:rPr>
        <w:t xml:space="preserve"> af patienten eller sløre diagnosen eller det kliniske forløb af en samtidig sygdom.</w:t>
      </w:r>
    </w:p>
    <w:p w:rsidR="00695DDA" w:rsidRPr="00695DDA" w:rsidRDefault="00695DDA" w:rsidP="00695DDA">
      <w:pPr>
        <w:tabs>
          <w:tab w:val="left" w:pos="851"/>
        </w:tabs>
        <w:ind w:left="851"/>
        <w:rPr>
          <w:sz w:val="24"/>
          <w:szCs w:val="24"/>
        </w:rPr>
      </w:pPr>
    </w:p>
    <w:p w:rsidR="00695DDA" w:rsidRPr="00695DDA" w:rsidRDefault="00695DDA" w:rsidP="00695DDA">
      <w:pPr>
        <w:tabs>
          <w:tab w:val="left" w:pos="851"/>
        </w:tabs>
        <w:ind w:left="851"/>
        <w:rPr>
          <w:sz w:val="24"/>
          <w:szCs w:val="24"/>
        </w:rPr>
      </w:pPr>
      <w:r w:rsidRPr="00695DDA">
        <w:rPr>
          <w:sz w:val="24"/>
          <w:szCs w:val="24"/>
        </w:rPr>
        <w:t xml:space="preserve">Opioider </w:t>
      </w:r>
      <w:r w:rsidR="00F01DE9">
        <w:rPr>
          <w:sz w:val="24"/>
          <w:szCs w:val="24"/>
        </w:rPr>
        <w:t>bør</w:t>
      </w:r>
      <w:r w:rsidRPr="00695DDA">
        <w:rPr>
          <w:sz w:val="24"/>
          <w:szCs w:val="24"/>
        </w:rPr>
        <w:t xml:space="preserve"> anvendes med forsigtighed til patienter med </w:t>
      </w:r>
      <w:proofErr w:type="spellStart"/>
      <w:r w:rsidRPr="00695DDA">
        <w:rPr>
          <w:sz w:val="24"/>
          <w:szCs w:val="24"/>
        </w:rPr>
        <w:t>myksødem</w:t>
      </w:r>
      <w:proofErr w:type="spellEnd"/>
      <w:r w:rsidRPr="00695DDA">
        <w:rPr>
          <w:sz w:val="24"/>
          <w:szCs w:val="24"/>
        </w:rPr>
        <w:t xml:space="preserve">, </w:t>
      </w:r>
      <w:proofErr w:type="spellStart"/>
      <w:r w:rsidRPr="00695DDA">
        <w:rPr>
          <w:sz w:val="24"/>
          <w:szCs w:val="24"/>
        </w:rPr>
        <w:t>hypotyreoidisme</w:t>
      </w:r>
      <w:proofErr w:type="spellEnd"/>
      <w:r w:rsidRPr="00695DDA">
        <w:rPr>
          <w:sz w:val="24"/>
          <w:szCs w:val="24"/>
        </w:rPr>
        <w:t xml:space="preserve"> eller binyrebarkinsufficiens (f.eks. Addisons sygdom).</w:t>
      </w:r>
    </w:p>
    <w:p w:rsidR="00695DDA" w:rsidRPr="00695DDA" w:rsidRDefault="00695DDA" w:rsidP="00695DDA">
      <w:pPr>
        <w:tabs>
          <w:tab w:val="left" w:pos="851"/>
        </w:tabs>
        <w:ind w:left="851"/>
        <w:rPr>
          <w:sz w:val="24"/>
          <w:szCs w:val="24"/>
        </w:rPr>
      </w:pPr>
    </w:p>
    <w:p w:rsidR="00695DDA" w:rsidRPr="00695DDA" w:rsidRDefault="00695DDA" w:rsidP="00695DDA">
      <w:pPr>
        <w:tabs>
          <w:tab w:val="left" w:pos="851"/>
        </w:tabs>
        <w:ind w:left="851"/>
        <w:rPr>
          <w:sz w:val="24"/>
          <w:szCs w:val="24"/>
        </w:rPr>
      </w:pPr>
      <w:r w:rsidRPr="00695DDA">
        <w:rPr>
          <w:sz w:val="24"/>
          <w:szCs w:val="24"/>
        </w:rPr>
        <w:t>Opioider har vist sig at øge trykket i galdegangen og bør anvendes med forsigtighed til patienter med dysfunktion af galdegangen.</w:t>
      </w:r>
    </w:p>
    <w:p w:rsidR="00695DDA" w:rsidRPr="00695DDA" w:rsidRDefault="00695DDA" w:rsidP="00695DDA">
      <w:pPr>
        <w:tabs>
          <w:tab w:val="left" w:pos="851"/>
        </w:tabs>
        <w:ind w:left="851"/>
        <w:rPr>
          <w:sz w:val="24"/>
          <w:szCs w:val="24"/>
        </w:rPr>
      </w:pPr>
    </w:p>
    <w:p w:rsidR="00695DDA" w:rsidRDefault="00695DDA" w:rsidP="00695DDA">
      <w:pPr>
        <w:tabs>
          <w:tab w:val="left" w:pos="851"/>
        </w:tabs>
        <w:ind w:left="851"/>
        <w:rPr>
          <w:sz w:val="24"/>
          <w:szCs w:val="24"/>
        </w:rPr>
      </w:pPr>
      <w:r w:rsidRPr="00695DDA">
        <w:rPr>
          <w:sz w:val="24"/>
          <w:szCs w:val="24"/>
        </w:rPr>
        <w:t xml:space="preserve">Opioider </w:t>
      </w:r>
      <w:r w:rsidR="00F01DE9">
        <w:rPr>
          <w:sz w:val="24"/>
          <w:szCs w:val="24"/>
        </w:rPr>
        <w:t>bør bruges</w:t>
      </w:r>
      <w:r w:rsidRPr="00695DDA">
        <w:rPr>
          <w:sz w:val="24"/>
          <w:szCs w:val="24"/>
        </w:rPr>
        <w:t xml:space="preserve"> med forsigtighed til ældre eller </w:t>
      </w:r>
      <w:r w:rsidR="00F01DE9">
        <w:rPr>
          <w:sz w:val="24"/>
          <w:szCs w:val="24"/>
        </w:rPr>
        <w:t>svækkede</w:t>
      </w:r>
      <w:r w:rsidRPr="00695DDA">
        <w:rPr>
          <w:sz w:val="24"/>
          <w:szCs w:val="24"/>
        </w:rPr>
        <w:t xml:space="preserve"> patienter.</w:t>
      </w:r>
    </w:p>
    <w:p w:rsidR="00F01DE9" w:rsidRDefault="00F01DE9" w:rsidP="00695DDA">
      <w:pPr>
        <w:tabs>
          <w:tab w:val="left" w:pos="851"/>
        </w:tabs>
        <w:ind w:left="851"/>
        <w:rPr>
          <w:sz w:val="24"/>
          <w:szCs w:val="24"/>
        </w:rPr>
      </w:pPr>
    </w:p>
    <w:p w:rsidR="00F01DE9" w:rsidRPr="00E8426E" w:rsidRDefault="00F01DE9" w:rsidP="00F01DE9">
      <w:pPr>
        <w:ind w:left="851"/>
        <w:contextualSpacing/>
        <w:rPr>
          <w:rFonts w:asciiTheme="majorBidi" w:hAnsiTheme="majorBidi" w:cstheme="majorBidi"/>
          <w:bCs/>
          <w:sz w:val="24"/>
          <w:szCs w:val="24"/>
        </w:rPr>
      </w:pPr>
      <w:r w:rsidRPr="00E8426E">
        <w:rPr>
          <w:rFonts w:asciiTheme="majorBidi" w:hAnsiTheme="majorBidi" w:cstheme="majorBidi"/>
          <w:sz w:val="24"/>
          <w:szCs w:val="24"/>
        </w:rPr>
        <w:lastRenderedPageBreak/>
        <w:t>Selvmordsforsøg med opioider, overvejende i kombination med tricykliske antidepressive stoffer, alkohol og andre stoffer, der påvirker centralnervesystemet, er en del af det kliniske billede af stofafhængighed. Individuel udredning og behandlingsplanlægning, som kan inkludere indlæggelse, skal overvejes for patienter, som trods passende lægemiddelbehandling udviser ukontrolleret brug af ulovlige stoffer og vedvarende stærkt risikobetonet adfærd.</w:t>
      </w:r>
    </w:p>
    <w:p w:rsidR="00F01DE9" w:rsidRPr="00E8426E" w:rsidRDefault="00F01DE9" w:rsidP="00F01DE9">
      <w:pPr>
        <w:contextualSpacing/>
        <w:rPr>
          <w:rFonts w:asciiTheme="majorBidi" w:hAnsiTheme="majorBidi" w:cstheme="majorBidi"/>
          <w:bCs/>
          <w:sz w:val="24"/>
          <w:szCs w:val="24"/>
        </w:rPr>
      </w:pPr>
    </w:p>
    <w:p w:rsidR="00F01DE9" w:rsidRPr="00E8426E" w:rsidRDefault="00F01DE9" w:rsidP="00F01DE9">
      <w:pPr>
        <w:ind w:firstLine="851"/>
        <w:contextualSpacing/>
        <w:rPr>
          <w:rFonts w:asciiTheme="majorBidi" w:hAnsiTheme="majorBidi" w:cstheme="majorBidi"/>
          <w:bCs/>
          <w:sz w:val="24"/>
          <w:szCs w:val="24"/>
        </w:rPr>
      </w:pPr>
      <w:r w:rsidRPr="00E8426E">
        <w:rPr>
          <w:rFonts w:asciiTheme="majorBidi" w:hAnsiTheme="majorBidi" w:cstheme="majorBidi"/>
          <w:sz w:val="24"/>
          <w:szCs w:val="24"/>
        </w:rPr>
        <w:t>Der skal regelmæssigt indsamles urinprøver til screening for stoffer.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95DDA" w:rsidRPr="00695DDA" w:rsidRDefault="00695DDA" w:rsidP="00695DDA">
      <w:pPr>
        <w:tabs>
          <w:tab w:val="left" w:pos="851"/>
        </w:tabs>
        <w:ind w:left="851"/>
        <w:rPr>
          <w:sz w:val="24"/>
          <w:szCs w:val="24"/>
        </w:rPr>
      </w:pPr>
      <w:r w:rsidRPr="00695DDA">
        <w:rPr>
          <w:sz w:val="24"/>
          <w:szCs w:val="24"/>
        </w:rPr>
        <w:t xml:space="preserve">Der er ikke udført interaktionsstudier med </w:t>
      </w:r>
      <w:proofErr w:type="spellStart"/>
      <w:r w:rsidRPr="00695DDA">
        <w:rPr>
          <w:sz w:val="24"/>
          <w:szCs w:val="24"/>
        </w:rPr>
        <w:t>Subutex</w:t>
      </w:r>
      <w:proofErr w:type="spellEnd"/>
      <w:r w:rsidRPr="00695DDA">
        <w:rPr>
          <w:sz w:val="24"/>
          <w:szCs w:val="24"/>
        </w:rPr>
        <w:t>.</w:t>
      </w:r>
    </w:p>
    <w:p w:rsidR="00695DDA" w:rsidRPr="00695DDA" w:rsidRDefault="00695DDA" w:rsidP="00695DDA">
      <w:pPr>
        <w:tabs>
          <w:tab w:val="left" w:pos="851"/>
        </w:tabs>
        <w:ind w:left="851"/>
        <w:rPr>
          <w:sz w:val="24"/>
          <w:szCs w:val="24"/>
        </w:rPr>
      </w:pPr>
    </w:p>
    <w:p w:rsidR="005E3D95" w:rsidRPr="00E8426E" w:rsidRDefault="005E3D95" w:rsidP="005E3D95">
      <w:pPr>
        <w:ind w:firstLine="851"/>
        <w:contextualSpacing/>
        <w:rPr>
          <w:rFonts w:asciiTheme="majorBidi" w:hAnsiTheme="majorBidi" w:cstheme="majorBidi"/>
          <w:sz w:val="24"/>
          <w:szCs w:val="24"/>
        </w:rPr>
      </w:pPr>
      <w:r w:rsidRPr="00E8426E">
        <w:rPr>
          <w:rFonts w:asciiTheme="majorBidi" w:hAnsiTheme="majorBidi" w:cstheme="majorBidi"/>
          <w:sz w:val="24"/>
          <w:szCs w:val="24"/>
        </w:rPr>
        <w:t xml:space="preserve">Der skal udvises forsigtighed ved brug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sammen med:</w:t>
      </w:r>
    </w:p>
    <w:p w:rsidR="005E3D95" w:rsidRPr="00E8426E" w:rsidRDefault="005E3D95" w:rsidP="005E3D95">
      <w:pPr>
        <w:contextualSpacing/>
        <w:rPr>
          <w:rFonts w:asciiTheme="majorBidi" w:hAnsiTheme="majorBidi" w:cstheme="majorBidi"/>
          <w:sz w:val="24"/>
          <w:szCs w:val="24"/>
        </w:rPr>
      </w:pPr>
    </w:p>
    <w:p w:rsidR="005E3D95" w:rsidRPr="00E8426E" w:rsidRDefault="005E3D95" w:rsidP="005E3D95">
      <w:pPr>
        <w:ind w:firstLine="851"/>
        <w:contextualSpacing/>
        <w:rPr>
          <w:rFonts w:asciiTheme="majorBidi" w:hAnsiTheme="majorBidi" w:cstheme="majorBidi"/>
          <w:i/>
          <w:iCs/>
          <w:sz w:val="24"/>
          <w:szCs w:val="24"/>
        </w:rPr>
      </w:pPr>
      <w:r w:rsidRPr="00E8426E">
        <w:rPr>
          <w:rFonts w:asciiTheme="majorBidi" w:hAnsiTheme="majorBidi" w:cstheme="majorBidi"/>
          <w:i/>
          <w:sz w:val="24"/>
          <w:szCs w:val="24"/>
        </w:rPr>
        <w:t>Alkoholiske drikke eller lægemidler, der indeholder alkohol</w:t>
      </w:r>
    </w:p>
    <w:p w:rsidR="005E3D95" w:rsidRPr="00E8426E" w:rsidRDefault="005E3D95" w:rsidP="005E3D95">
      <w:pPr>
        <w:ind w:left="851"/>
        <w:contextualSpacing/>
        <w:rPr>
          <w:rFonts w:asciiTheme="majorBidi" w:hAnsiTheme="majorBidi" w:cstheme="majorBidi"/>
          <w:sz w:val="24"/>
          <w:szCs w:val="24"/>
        </w:rPr>
      </w:pP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bør ikke tages sammen med alkoholiske drikke eller lægemidler, der indeholder alkohol, da alkohol øger den sederende virkning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og øger risikoen for respirationsdepression, udpræget </w:t>
      </w:r>
      <w:proofErr w:type="spellStart"/>
      <w:r w:rsidRPr="00E8426E">
        <w:rPr>
          <w:rFonts w:asciiTheme="majorBidi" w:hAnsiTheme="majorBidi" w:cstheme="majorBidi"/>
          <w:sz w:val="24"/>
          <w:szCs w:val="24"/>
        </w:rPr>
        <w:t>sedering</w:t>
      </w:r>
      <w:proofErr w:type="spellEnd"/>
      <w:r w:rsidRPr="00E8426E">
        <w:rPr>
          <w:rFonts w:asciiTheme="majorBidi" w:hAnsiTheme="majorBidi" w:cstheme="majorBidi"/>
          <w:sz w:val="24"/>
          <w:szCs w:val="24"/>
        </w:rPr>
        <w:t>, koma og død (se pkt. 4.7)</w:t>
      </w:r>
    </w:p>
    <w:p w:rsidR="005E3D95" w:rsidRPr="00E8426E" w:rsidRDefault="005E3D95" w:rsidP="005E3D95">
      <w:pPr>
        <w:contextualSpacing/>
        <w:rPr>
          <w:rFonts w:asciiTheme="majorBidi" w:hAnsiTheme="majorBidi" w:cstheme="majorBidi"/>
          <w:sz w:val="24"/>
          <w:szCs w:val="24"/>
        </w:rPr>
      </w:pPr>
    </w:p>
    <w:p w:rsidR="005E3D95" w:rsidRPr="00E8426E" w:rsidRDefault="005E3D95" w:rsidP="005E3D95">
      <w:pPr>
        <w:ind w:firstLine="851"/>
        <w:contextualSpacing/>
        <w:rPr>
          <w:rFonts w:asciiTheme="majorBidi" w:hAnsiTheme="majorBidi" w:cstheme="majorBidi"/>
          <w:i/>
          <w:iCs/>
          <w:sz w:val="24"/>
          <w:szCs w:val="24"/>
        </w:rPr>
      </w:pPr>
      <w:r w:rsidRPr="00E8426E">
        <w:rPr>
          <w:rFonts w:asciiTheme="majorBidi" w:hAnsiTheme="majorBidi" w:cstheme="majorBidi"/>
          <w:i/>
          <w:sz w:val="24"/>
          <w:szCs w:val="24"/>
        </w:rPr>
        <w:t>Sederende midler, såsom benzodiazepiner eller beslægtede lægemidler</w:t>
      </w:r>
    </w:p>
    <w:p w:rsidR="005E3D95" w:rsidRPr="00E8426E" w:rsidRDefault="005E3D95" w:rsidP="005E3D95">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Samtidig brug af opioider med beroligende midler, såsom benzodiazepiner eller beslægtede lægemidler, øger risikoen for </w:t>
      </w:r>
      <w:proofErr w:type="spellStart"/>
      <w:r w:rsidRPr="00E8426E">
        <w:rPr>
          <w:rFonts w:asciiTheme="majorBidi" w:hAnsiTheme="majorBidi" w:cstheme="majorBidi"/>
          <w:sz w:val="24"/>
          <w:szCs w:val="24"/>
        </w:rPr>
        <w:t>sedering</w:t>
      </w:r>
      <w:proofErr w:type="spellEnd"/>
      <w:r w:rsidRPr="00E8426E">
        <w:rPr>
          <w:rFonts w:asciiTheme="majorBidi" w:hAnsiTheme="majorBidi" w:cstheme="majorBidi"/>
          <w:sz w:val="24"/>
          <w:szCs w:val="24"/>
        </w:rPr>
        <w:t xml:space="preserve">, respirationsdepression, koma og død som følge af den </w:t>
      </w:r>
      <w:proofErr w:type="spellStart"/>
      <w:r w:rsidRPr="00E8426E">
        <w:rPr>
          <w:rFonts w:asciiTheme="majorBidi" w:hAnsiTheme="majorBidi" w:cstheme="majorBidi"/>
          <w:sz w:val="24"/>
          <w:szCs w:val="24"/>
        </w:rPr>
        <w:t>additive</w:t>
      </w:r>
      <w:proofErr w:type="spellEnd"/>
      <w:r w:rsidRPr="00E8426E">
        <w:rPr>
          <w:rFonts w:asciiTheme="majorBidi" w:hAnsiTheme="majorBidi" w:cstheme="majorBidi"/>
          <w:sz w:val="24"/>
          <w:szCs w:val="24"/>
        </w:rPr>
        <w:t xml:space="preserve"> undertrykkende virkning på CNS. Dosen og varigheden af samtidig brug bør begrænses (se pkt. 4.4).</w:t>
      </w:r>
    </w:p>
    <w:p w:rsidR="005E3D95" w:rsidRPr="00E8426E" w:rsidRDefault="005E3D95" w:rsidP="005E3D95">
      <w:pPr>
        <w:contextualSpacing/>
        <w:rPr>
          <w:rFonts w:asciiTheme="majorBidi" w:hAnsiTheme="majorBidi" w:cstheme="majorBidi"/>
          <w:sz w:val="24"/>
          <w:szCs w:val="24"/>
        </w:rPr>
      </w:pPr>
    </w:p>
    <w:p w:rsidR="003517BF" w:rsidRPr="00E8426E" w:rsidRDefault="003517BF" w:rsidP="003517BF">
      <w:pPr>
        <w:ind w:firstLine="851"/>
        <w:contextualSpacing/>
        <w:rPr>
          <w:rFonts w:asciiTheme="majorBidi" w:hAnsiTheme="majorBidi" w:cstheme="majorBidi"/>
          <w:i/>
          <w:iCs/>
          <w:sz w:val="24"/>
          <w:szCs w:val="24"/>
          <w:u w:val="single"/>
        </w:rPr>
      </w:pPr>
      <w:proofErr w:type="spellStart"/>
      <w:r w:rsidRPr="00E8426E">
        <w:rPr>
          <w:rFonts w:asciiTheme="majorBidi" w:hAnsiTheme="majorBidi" w:cstheme="majorBidi"/>
          <w:i/>
          <w:sz w:val="24"/>
          <w:szCs w:val="24"/>
          <w:u w:val="single"/>
        </w:rPr>
        <w:t>Gabapentinoider</w:t>
      </w:r>
      <w:proofErr w:type="spellEnd"/>
    </w:p>
    <w:p w:rsidR="003517BF" w:rsidRPr="00E8426E" w:rsidRDefault="003517BF" w:rsidP="003517BF">
      <w:pPr>
        <w:ind w:left="851"/>
        <w:contextualSpacing/>
        <w:rPr>
          <w:rFonts w:asciiTheme="majorBidi" w:hAnsiTheme="majorBidi" w:cstheme="majorBidi"/>
          <w:sz w:val="24"/>
          <w:szCs w:val="24"/>
        </w:rPr>
      </w:pPr>
      <w:r>
        <w:t>Samtidig brug a</w:t>
      </w:r>
      <w:r w:rsidRPr="00B075A2">
        <w:t xml:space="preserve">f </w:t>
      </w:r>
      <w:proofErr w:type="spellStart"/>
      <w:r>
        <w:t>Subutex</w:t>
      </w:r>
      <w:proofErr w:type="spellEnd"/>
      <w:r w:rsidRPr="00B075A2">
        <w:t xml:space="preserve"> </w:t>
      </w:r>
      <w:r>
        <w:t>med</w:t>
      </w:r>
      <w:r w:rsidRPr="00B075A2">
        <w:t xml:space="preserve"> </w:t>
      </w:r>
      <w:proofErr w:type="spellStart"/>
      <w:r w:rsidRPr="00B075A2">
        <w:t>gabapentinoid</w:t>
      </w:r>
      <w:r>
        <w:t>er</w:t>
      </w:r>
      <w:proofErr w:type="spellEnd"/>
      <w:r w:rsidRPr="00B075A2">
        <w:t xml:space="preserve"> (</w:t>
      </w:r>
      <w:proofErr w:type="spellStart"/>
      <w:r w:rsidRPr="00B075A2">
        <w:t>gabapentin</w:t>
      </w:r>
      <w:proofErr w:type="spellEnd"/>
      <w:r w:rsidRPr="00B075A2">
        <w:t xml:space="preserve"> </w:t>
      </w:r>
      <w:r>
        <w:t>og</w:t>
      </w:r>
      <w:r w:rsidRPr="00B075A2">
        <w:t xml:space="preserve"> </w:t>
      </w:r>
      <w:proofErr w:type="spellStart"/>
      <w:r w:rsidRPr="00B075A2">
        <w:t>pregabalin</w:t>
      </w:r>
      <w:proofErr w:type="spellEnd"/>
      <w:r w:rsidRPr="00B075A2">
        <w:t xml:space="preserve">) </w:t>
      </w:r>
      <w:r>
        <w:t xml:space="preserve">kan resultere i </w:t>
      </w:r>
      <w:r w:rsidRPr="00B075A2">
        <w:t>respirat</w:t>
      </w:r>
      <w:r>
        <w:t>ionsd</w:t>
      </w:r>
      <w:r w:rsidRPr="00B075A2">
        <w:t xml:space="preserve">epression, hypotension, </w:t>
      </w:r>
      <w:r>
        <w:t>dyb</w:t>
      </w:r>
      <w:r w:rsidRPr="00B075A2">
        <w:t xml:space="preserve"> sedation, </w:t>
      </w:r>
      <w:r>
        <w:t>k</w:t>
      </w:r>
      <w:r w:rsidRPr="00B075A2">
        <w:t xml:space="preserve">oma </w:t>
      </w:r>
      <w:r>
        <w:t>elle</w:t>
      </w:r>
      <w:r w:rsidRPr="00B075A2">
        <w:t>r d</w:t>
      </w:r>
      <w:r>
        <w:t>ød</w:t>
      </w:r>
      <w:r w:rsidRPr="00E8426E">
        <w:rPr>
          <w:rFonts w:asciiTheme="majorBidi" w:hAnsiTheme="majorBidi" w:cstheme="majorBidi"/>
          <w:sz w:val="24"/>
          <w:szCs w:val="24"/>
        </w:rPr>
        <w:t xml:space="preserve">. Doseringen skal derfor overvåges tæt, og denne kombination skal undgås i tilfælde, hvor der er risiko for misbrug. Patienter skal advares om ikke at bruge </w:t>
      </w:r>
      <w:proofErr w:type="spellStart"/>
      <w:r w:rsidRPr="00E8426E">
        <w:rPr>
          <w:rFonts w:asciiTheme="majorBidi" w:hAnsiTheme="majorBidi" w:cstheme="majorBidi"/>
          <w:sz w:val="24"/>
          <w:szCs w:val="24"/>
        </w:rPr>
        <w:t>gabapentinoider</w:t>
      </w:r>
      <w:proofErr w:type="spellEnd"/>
      <w:r w:rsidRPr="00E8426E">
        <w:rPr>
          <w:rFonts w:asciiTheme="majorBidi" w:hAnsiTheme="majorBidi" w:cstheme="majorBidi"/>
          <w:sz w:val="24"/>
          <w:szCs w:val="24"/>
        </w:rPr>
        <w:t xml:space="preserve"> samtidigt med dette lægemiddel og kun ifølge lægens anvisninger (se pkt. 4.4).</w:t>
      </w:r>
    </w:p>
    <w:p w:rsidR="003517BF" w:rsidRPr="00E8426E" w:rsidRDefault="003517BF" w:rsidP="003517BF">
      <w:pPr>
        <w:contextualSpacing/>
        <w:rPr>
          <w:rFonts w:asciiTheme="majorBidi" w:hAnsiTheme="majorBidi" w:cstheme="majorBidi"/>
          <w:sz w:val="24"/>
          <w:szCs w:val="24"/>
        </w:rPr>
      </w:pPr>
    </w:p>
    <w:p w:rsidR="003517BF" w:rsidRPr="00E8426E" w:rsidRDefault="003517BF" w:rsidP="003517BF">
      <w:pPr>
        <w:ind w:left="851"/>
        <w:contextualSpacing/>
        <w:rPr>
          <w:rFonts w:asciiTheme="majorBidi" w:hAnsiTheme="majorBidi" w:cstheme="majorBidi"/>
          <w:sz w:val="24"/>
          <w:szCs w:val="24"/>
        </w:rPr>
      </w:pPr>
      <w:r w:rsidRPr="00E8426E">
        <w:rPr>
          <w:rFonts w:asciiTheme="majorBidi" w:hAnsiTheme="majorBidi" w:cstheme="majorBidi"/>
          <w:i/>
          <w:iCs/>
          <w:sz w:val="24"/>
          <w:szCs w:val="24"/>
        </w:rPr>
        <w:t xml:space="preserve">Andre </w:t>
      </w:r>
      <w:proofErr w:type="spellStart"/>
      <w:r w:rsidRPr="00E8426E">
        <w:rPr>
          <w:rFonts w:asciiTheme="majorBidi" w:hAnsiTheme="majorBidi" w:cstheme="majorBidi"/>
          <w:i/>
          <w:iCs/>
          <w:sz w:val="24"/>
          <w:szCs w:val="24"/>
        </w:rPr>
        <w:t>hæmmere</w:t>
      </w:r>
      <w:proofErr w:type="spellEnd"/>
      <w:r w:rsidRPr="00E8426E">
        <w:rPr>
          <w:rFonts w:asciiTheme="majorBidi" w:hAnsiTheme="majorBidi" w:cstheme="majorBidi"/>
          <w:i/>
          <w:iCs/>
          <w:sz w:val="24"/>
          <w:szCs w:val="24"/>
        </w:rPr>
        <w:t xml:space="preserve"> af centralnervesystemet,</w:t>
      </w:r>
      <w:r w:rsidRPr="00E8426E">
        <w:rPr>
          <w:rFonts w:asciiTheme="majorBidi" w:hAnsiTheme="majorBidi" w:cstheme="majorBidi"/>
          <w:i/>
          <w:sz w:val="24"/>
          <w:szCs w:val="24"/>
        </w:rPr>
        <w:t xml:space="preserve"> andre opioidderivater (f.eks. metadon, </w:t>
      </w:r>
      <w:proofErr w:type="spellStart"/>
      <w:r w:rsidRPr="00E8426E">
        <w:rPr>
          <w:rFonts w:asciiTheme="majorBidi" w:hAnsiTheme="majorBidi" w:cstheme="majorBidi"/>
          <w:i/>
          <w:sz w:val="24"/>
          <w:szCs w:val="24"/>
        </w:rPr>
        <w:t>analgetika</w:t>
      </w:r>
      <w:proofErr w:type="spellEnd"/>
      <w:r w:rsidRPr="00E8426E">
        <w:rPr>
          <w:rFonts w:asciiTheme="majorBidi" w:hAnsiTheme="majorBidi" w:cstheme="majorBidi"/>
          <w:i/>
          <w:sz w:val="24"/>
          <w:szCs w:val="24"/>
        </w:rPr>
        <w:t xml:space="preserve"> og hostestillende midler), visse </w:t>
      </w:r>
      <w:r w:rsidRPr="00E8426E">
        <w:rPr>
          <w:rFonts w:asciiTheme="majorBidi" w:hAnsiTheme="majorBidi" w:cstheme="majorBidi"/>
          <w:i/>
          <w:iCs/>
          <w:sz w:val="24"/>
          <w:szCs w:val="24"/>
        </w:rPr>
        <w:t>antidepressive stoffer</w:t>
      </w:r>
      <w:r w:rsidRPr="00E8426E">
        <w:rPr>
          <w:rFonts w:asciiTheme="majorBidi" w:hAnsiTheme="majorBidi" w:cstheme="majorBidi"/>
          <w:i/>
          <w:sz w:val="24"/>
          <w:szCs w:val="24"/>
        </w:rPr>
        <w:t>, sederende H</w:t>
      </w:r>
      <w:r w:rsidRPr="00E8426E">
        <w:rPr>
          <w:rFonts w:asciiTheme="majorBidi" w:hAnsiTheme="majorBidi" w:cstheme="majorBidi"/>
          <w:i/>
          <w:sz w:val="24"/>
          <w:szCs w:val="24"/>
          <w:vertAlign w:val="subscript"/>
        </w:rPr>
        <w:t>1</w:t>
      </w:r>
      <w:r w:rsidRPr="00E8426E">
        <w:rPr>
          <w:rFonts w:asciiTheme="majorBidi" w:hAnsiTheme="majorBidi" w:cstheme="majorBidi"/>
          <w:i/>
          <w:iCs/>
          <w:sz w:val="24"/>
          <w:szCs w:val="24"/>
        </w:rPr>
        <w:t>-</w:t>
      </w:r>
      <w:r w:rsidRPr="00E8426E">
        <w:rPr>
          <w:rFonts w:asciiTheme="majorBidi" w:hAnsiTheme="majorBidi" w:cstheme="majorBidi"/>
          <w:i/>
          <w:sz w:val="24"/>
          <w:szCs w:val="24"/>
        </w:rPr>
        <w:t xml:space="preserve">receptorantagonister, barbiturater, </w:t>
      </w:r>
      <w:proofErr w:type="spellStart"/>
      <w:r w:rsidRPr="00E8426E">
        <w:rPr>
          <w:rFonts w:asciiTheme="majorBidi" w:hAnsiTheme="majorBidi" w:cstheme="majorBidi"/>
          <w:i/>
          <w:sz w:val="24"/>
          <w:szCs w:val="24"/>
        </w:rPr>
        <w:t>anxiolytika</w:t>
      </w:r>
      <w:proofErr w:type="spellEnd"/>
      <w:r w:rsidRPr="00E8426E">
        <w:rPr>
          <w:rFonts w:asciiTheme="majorBidi" w:hAnsiTheme="majorBidi" w:cstheme="majorBidi"/>
          <w:i/>
          <w:sz w:val="24"/>
          <w:szCs w:val="24"/>
        </w:rPr>
        <w:t xml:space="preserve"> ud over benzodiazepiner, </w:t>
      </w:r>
      <w:proofErr w:type="spellStart"/>
      <w:r w:rsidRPr="00E8426E">
        <w:rPr>
          <w:rFonts w:asciiTheme="majorBidi" w:hAnsiTheme="majorBidi" w:cstheme="majorBidi"/>
          <w:i/>
          <w:iCs/>
          <w:sz w:val="24"/>
          <w:szCs w:val="24"/>
        </w:rPr>
        <w:t>neuroleptika</w:t>
      </w:r>
      <w:proofErr w:type="spellEnd"/>
      <w:r w:rsidRPr="00E8426E">
        <w:rPr>
          <w:rFonts w:asciiTheme="majorBidi" w:hAnsiTheme="majorBidi" w:cstheme="majorBidi"/>
          <w:i/>
          <w:sz w:val="24"/>
          <w:szCs w:val="24"/>
        </w:rPr>
        <w:t xml:space="preserve">, </w:t>
      </w:r>
      <w:proofErr w:type="spellStart"/>
      <w:r w:rsidRPr="00E8426E">
        <w:rPr>
          <w:rFonts w:asciiTheme="majorBidi" w:hAnsiTheme="majorBidi" w:cstheme="majorBidi"/>
          <w:i/>
          <w:sz w:val="24"/>
          <w:szCs w:val="24"/>
        </w:rPr>
        <w:t>clonidin</w:t>
      </w:r>
      <w:proofErr w:type="spellEnd"/>
      <w:r w:rsidRPr="00E8426E">
        <w:rPr>
          <w:rFonts w:asciiTheme="majorBidi" w:hAnsiTheme="majorBidi" w:cstheme="majorBidi"/>
          <w:i/>
          <w:sz w:val="24"/>
          <w:szCs w:val="24"/>
        </w:rPr>
        <w:t xml:space="preserve"> og beslægtede stoffer</w:t>
      </w:r>
      <w:r w:rsidRPr="00E8426E">
        <w:rPr>
          <w:rFonts w:asciiTheme="majorBidi" w:hAnsiTheme="majorBidi" w:cstheme="majorBidi"/>
          <w:i/>
          <w:iCs/>
          <w:sz w:val="24"/>
          <w:szCs w:val="24"/>
        </w:rPr>
        <w:t>:</w:t>
      </w:r>
      <w:r w:rsidRPr="00E8426E">
        <w:rPr>
          <w:rFonts w:asciiTheme="majorBidi" w:hAnsiTheme="majorBidi" w:cstheme="majorBidi"/>
          <w:i/>
          <w:sz w:val="24"/>
          <w:szCs w:val="24"/>
        </w:rPr>
        <w:t xml:space="preserve"> </w:t>
      </w:r>
      <w:r w:rsidRPr="00E8426E">
        <w:rPr>
          <w:rFonts w:asciiTheme="majorBidi" w:hAnsiTheme="majorBidi" w:cstheme="majorBidi"/>
          <w:sz w:val="24"/>
          <w:szCs w:val="24"/>
        </w:rPr>
        <w:t>Disse kombinationer forstærker den hæmmende virkning på centralnervesystemet. Den nedsatte årvågenhed kan gøre det farligt at føre motorkøretøj og betjene maskiner.</w:t>
      </w:r>
    </w:p>
    <w:p w:rsidR="003517BF" w:rsidRPr="00E8426E" w:rsidRDefault="003517BF" w:rsidP="003517BF">
      <w:pPr>
        <w:contextualSpacing/>
        <w:rPr>
          <w:rFonts w:asciiTheme="majorBidi" w:hAnsiTheme="majorBidi" w:cstheme="majorBidi"/>
          <w:sz w:val="24"/>
          <w:szCs w:val="24"/>
        </w:rPr>
      </w:pPr>
    </w:p>
    <w:p w:rsidR="003517BF" w:rsidRPr="00A81D11" w:rsidRDefault="003517BF" w:rsidP="003517BF">
      <w:pPr>
        <w:ind w:left="851"/>
        <w:contextualSpacing/>
        <w:rPr>
          <w:i/>
          <w:iCs/>
        </w:rPr>
      </w:pPr>
      <w:proofErr w:type="spellStart"/>
      <w:r w:rsidRPr="00A81D11">
        <w:rPr>
          <w:i/>
          <w:iCs/>
        </w:rPr>
        <w:t>Anti</w:t>
      </w:r>
      <w:r>
        <w:rPr>
          <w:i/>
          <w:iCs/>
        </w:rPr>
        <w:t>k</w:t>
      </w:r>
      <w:r w:rsidRPr="00A81D11">
        <w:rPr>
          <w:i/>
          <w:iCs/>
        </w:rPr>
        <w:t>olinergi</w:t>
      </w:r>
      <w:r>
        <w:rPr>
          <w:i/>
          <w:iCs/>
        </w:rPr>
        <w:t>ka</w:t>
      </w:r>
      <w:proofErr w:type="spellEnd"/>
    </w:p>
    <w:p w:rsidR="003517BF" w:rsidRDefault="003517BF" w:rsidP="003517BF">
      <w:pPr>
        <w:ind w:left="851"/>
        <w:contextualSpacing/>
      </w:pPr>
      <w:r>
        <w:t xml:space="preserve">Samtidig </w:t>
      </w:r>
      <w:r w:rsidRPr="002652F4">
        <w:t xml:space="preserve">administration </w:t>
      </w:r>
      <w:r>
        <w:t>a</w:t>
      </w:r>
      <w:r w:rsidRPr="002652F4">
        <w:t xml:space="preserve">f </w:t>
      </w:r>
      <w:proofErr w:type="spellStart"/>
      <w:r>
        <w:t>Subutex</w:t>
      </w:r>
      <w:proofErr w:type="spellEnd"/>
      <w:r w:rsidRPr="002652F4">
        <w:t xml:space="preserve"> </w:t>
      </w:r>
      <w:r>
        <w:t>med</w:t>
      </w:r>
      <w:r w:rsidRPr="002652F4">
        <w:t xml:space="preserve"> </w:t>
      </w:r>
      <w:proofErr w:type="spellStart"/>
      <w:r w:rsidRPr="002652F4">
        <w:t>anti</w:t>
      </w:r>
      <w:r>
        <w:t>k</w:t>
      </w:r>
      <w:r w:rsidRPr="002652F4">
        <w:t>olinergi</w:t>
      </w:r>
      <w:r>
        <w:t>ka</w:t>
      </w:r>
      <w:proofErr w:type="spellEnd"/>
      <w:r>
        <w:t xml:space="preserve"> eller lægemidler med </w:t>
      </w:r>
      <w:proofErr w:type="spellStart"/>
      <w:r w:rsidRPr="002652F4">
        <w:t>anti</w:t>
      </w:r>
      <w:r>
        <w:t>k</w:t>
      </w:r>
      <w:r w:rsidRPr="002652F4">
        <w:t>olinerg</w:t>
      </w:r>
      <w:proofErr w:type="spellEnd"/>
      <w:r w:rsidRPr="002652F4">
        <w:t xml:space="preserve"> </w:t>
      </w:r>
      <w:r>
        <w:t>virkning</w:t>
      </w:r>
      <w:r w:rsidRPr="002652F4">
        <w:t xml:space="preserve"> (</w:t>
      </w:r>
      <w:r>
        <w:t xml:space="preserve">f.eks. </w:t>
      </w:r>
      <w:r w:rsidRPr="002652F4">
        <w:t>tricy</w:t>
      </w:r>
      <w:r>
        <w:t>kliske</w:t>
      </w:r>
      <w:r w:rsidRPr="002652F4">
        <w:t xml:space="preserve"> </w:t>
      </w:r>
      <w:proofErr w:type="spellStart"/>
      <w:r w:rsidRPr="002652F4">
        <w:t>antidepress</w:t>
      </w:r>
      <w:r>
        <w:t>iva</w:t>
      </w:r>
      <w:proofErr w:type="spellEnd"/>
      <w:r w:rsidRPr="002652F4">
        <w:t>, antihistamine</w:t>
      </w:r>
      <w:r>
        <w:t>r</w:t>
      </w:r>
      <w:r w:rsidRPr="002652F4">
        <w:t>, antipsy</w:t>
      </w:r>
      <w:r>
        <w:t>k</w:t>
      </w:r>
      <w:r w:rsidRPr="002652F4">
        <w:t>oti</w:t>
      </w:r>
      <w:r>
        <w:t>ka</w:t>
      </w:r>
      <w:r w:rsidRPr="002652F4">
        <w:t>, mus</w:t>
      </w:r>
      <w:r>
        <w:t>kelafslappende midler</w:t>
      </w:r>
      <w:r w:rsidRPr="002652F4">
        <w:t xml:space="preserve">, </w:t>
      </w:r>
      <w:proofErr w:type="spellStart"/>
      <w:r w:rsidRPr="002652F4">
        <w:t>anti</w:t>
      </w:r>
      <w:proofErr w:type="spellEnd"/>
      <w:r w:rsidRPr="002652F4">
        <w:t>-Parkinson</w:t>
      </w:r>
      <w:r>
        <w:t xml:space="preserve"> lægemidler</w:t>
      </w:r>
      <w:r w:rsidRPr="002652F4">
        <w:t xml:space="preserve">) </w:t>
      </w:r>
      <w:r>
        <w:t>kan r</w:t>
      </w:r>
      <w:r w:rsidRPr="002652F4">
        <w:t>esult</w:t>
      </w:r>
      <w:r>
        <w:t>ere</w:t>
      </w:r>
      <w:r w:rsidRPr="002652F4">
        <w:t xml:space="preserve"> i</w:t>
      </w:r>
      <w:r>
        <w:t xml:space="preserve"> øgede </w:t>
      </w:r>
      <w:proofErr w:type="spellStart"/>
      <w:r w:rsidRPr="002652F4">
        <w:t>anti</w:t>
      </w:r>
      <w:r>
        <w:t>k</w:t>
      </w:r>
      <w:r w:rsidRPr="002652F4">
        <w:t>olinerg</w:t>
      </w:r>
      <w:r>
        <w:t>e</w:t>
      </w:r>
      <w:proofErr w:type="spellEnd"/>
      <w:r>
        <w:t xml:space="preserve"> bivirkninger</w:t>
      </w:r>
      <w:r w:rsidRPr="002652F4">
        <w:t>.</w:t>
      </w:r>
    </w:p>
    <w:p w:rsidR="003517BF" w:rsidRPr="00532CA0" w:rsidRDefault="003517BF" w:rsidP="003517BF">
      <w:pPr>
        <w:ind w:left="851"/>
        <w:contextualSpacing/>
      </w:pPr>
    </w:p>
    <w:p w:rsidR="005E3D95" w:rsidRPr="00E8426E" w:rsidRDefault="005E3D95" w:rsidP="005E3D95">
      <w:pPr>
        <w:ind w:firstLine="851"/>
        <w:rPr>
          <w:rFonts w:asciiTheme="majorBidi" w:hAnsiTheme="majorBidi" w:cstheme="majorBidi"/>
          <w:sz w:val="24"/>
          <w:szCs w:val="24"/>
        </w:rPr>
      </w:pPr>
      <w:proofErr w:type="spellStart"/>
      <w:r w:rsidRPr="00E8426E">
        <w:rPr>
          <w:rFonts w:asciiTheme="majorBidi" w:hAnsiTheme="majorBidi" w:cstheme="majorBidi"/>
          <w:i/>
          <w:iCs/>
          <w:sz w:val="24"/>
          <w:szCs w:val="24"/>
        </w:rPr>
        <w:t>Opioidanalgetika</w:t>
      </w:r>
      <w:proofErr w:type="spellEnd"/>
    </w:p>
    <w:p w:rsidR="005E3D95" w:rsidRPr="00E8426E" w:rsidRDefault="005E3D95" w:rsidP="005E3D95">
      <w:pPr>
        <w:ind w:left="851"/>
        <w:rPr>
          <w:rFonts w:asciiTheme="majorBidi" w:hAnsiTheme="majorBidi" w:cstheme="majorBidi"/>
          <w:color w:val="5B9BD5" w:themeColor="accent1"/>
          <w:sz w:val="24"/>
          <w:szCs w:val="24"/>
        </w:rPr>
      </w:pPr>
      <w:r w:rsidRPr="00E8426E">
        <w:rPr>
          <w:rFonts w:asciiTheme="majorBidi" w:hAnsiTheme="majorBidi" w:cstheme="majorBidi"/>
          <w:sz w:val="24"/>
          <w:szCs w:val="24"/>
        </w:rPr>
        <w:t xml:space="preserve">Det kan være svært at opnå tilstrækkelig analgesi, når der administreres en fuld opioidagonist hos patienter, der får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Muligheden for overdosis er derfor til stede med en fuld agonist, især ved forsøg på at overvinde den partielle agonistvirkning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eller når </w:t>
      </w:r>
      <w:proofErr w:type="spellStart"/>
      <w:r w:rsidRPr="00E8426E">
        <w:rPr>
          <w:rFonts w:asciiTheme="majorBidi" w:hAnsiTheme="majorBidi" w:cstheme="majorBidi"/>
          <w:sz w:val="24"/>
          <w:szCs w:val="24"/>
        </w:rPr>
        <w:t>buprenorphins</w:t>
      </w:r>
      <w:proofErr w:type="spellEnd"/>
      <w:r w:rsidRPr="00E8426E">
        <w:rPr>
          <w:rFonts w:asciiTheme="majorBidi" w:hAnsiTheme="majorBidi" w:cstheme="majorBidi"/>
          <w:sz w:val="24"/>
          <w:szCs w:val="24"/>
        </w:rPr>
        <w:t xml:space="preserve"> plasmaniveauer er faldende (se pkt. 4.4 ”Smertebehandling”).</w:t>
      </w:r>
    </w:p>
    <w:p w:rsidR="005E3D95" w:rsidRPr="00E8426E" w:rsidRDefault="005E3D95" w:rsidP="005E3D95">
      <w:pPr>
        <w:contextualSpacing/>
        <w:rPr>
          <w:rFonts w:asciiTheme="majorBidi" w:hAnsiTheme="majorBidi" w:cstheme="majorBidi"/>
          <w:sz w:val="24"/>
          <w:szCs w:val="24"/>
        </w:rPr>
      </w:pPr>
    </w:p>
    <w:p w:rsidR="005E3D95" w:rsidRPr="00E8426E" w:rsidRDefault="005E3D95" w:rsidP="005E3D95">
      <w:pPr>
        <w:ind w:firstLine="851"/>
        <w:contextualSpacing/>
        <w:rPr>
          <w:rFonts w:asciiTheme="majorBidi" w:hAnsiTheme="majorBidi" w:cstheme="majorBidi"/>
          <w:i/>
          <w:iCs/>
          <w:sz w:val="24"/>
          <w:szCs w:val="24"/>
        </w:rPr>
      </w:pPr>
      <w:proofErr w:type="spellStart"/>
      <w:r w:rsidRPr="00E8426E">
        <w:rPr>
          <w:rFonts w:asciiTheme="majorBidi" w:hAnsiTheme="majorBidi" w:cstheme="majorBidi"/>
          <w:i/>
          <w:sz w:val="24"/>
          <w:szCs w:val="24"/>
        </w:rPr>
        <w:t>Naltrexon</w:t>
      </w:r>
      <w:proofErr w:type="spellEnd"/>
      <w:r w:rsidRPr="00E8426E">
        <w:rPr>
          <w:rFonts w:asciiTheme="majorBidi" w:hAnsiTheme="majorBidi" w:cstheme="majorBidi"/>
          <w:i/>
          <w:sz w:val="24"/>
          <w:szCs w:val="24"/>
        </w:rPr>
        <w:t xml:space="preserve"> og </w:t>
      </w:r>
      <w:proofErr w:type="spellStart"/>
      <w:r w:rsidRPr="00E8426E">
        <w:rPr>
          <w:rFonts w:asciiTheme="majorBidi" w:hAnsiTheme="majorBidi" w:cstheme="majorBidi"/>
          <w:i/>
          <w:sz w:val="24"/>
          <w:szCs w:val="24"/>
        </w:rPr>
        <w:t>nalmefen</w:t>
      </w:r>
      <w:proofErr w:type="spellEnd"/>
    </w:p>
    <w:p w:rsidR="005E3D95" w:rsidRPr="00E8426E" w:rsidRDefault="005E3D95" w:rsidP="005E3D95">
      <w:pPr>
        <w:ind w:left="851"/>
        <w:contextualSpacing/>
        <w:rPr>
          <w:rFonts w:asciiTheme="majorBidi" w:hAnsiTheme="majorBidi" w:cstheme="majorBidi"/>
          <w:sz w:val="24"/>
          <w:szCs w:val="24"/>
        </w:rPr>
      </w:pPr>
      <w:proofErr w:type="spellStart"/>
      <w:r w:rsidRPr="00E8426E">
        <w:rPr>
          <w:rFonts w:asciiTheme="majorBidi" w:hAnsiTheme="majorBidi" w:cstheme="majorBidi"/>
          <w:sz w:val="24"/>
          <w:szCs w:val="24"/>
        </w:rPr>
        <w:lastRenderedPageBreak/>
        <w:t>Naltrexon</w:t>
      </w:r>
      <w:proofErr w:type="spellEnd"/>
      <w:r w:rsidRPr="00E8426E">
        <w:rPr>
          <w:rFonts w:asciiTheme="majorBidi" w:hAnsiTheme="majorBidi" w:cstheme="majorBidi"/>
          <w:sz w:val="24"/>
          <w:szCs w:val="24"/>
        </w:rPr>
        <w:t xml:space="preserve"> og </w:t>
      </w:r>
      <w:proofErr w:type="spellStart"/>
      <w:r w:rsidRPr="00E8426E">
        <w:rPr>
          <w:rFonts w:asciiTheme="majorBidi" w:hAnsiTheme="majorBidi" w:cstheme="majorBidi"/>
          <w:sz w:val="24"/>
          <w:szCs w:val="24"/>
        </w:rPr>
        <w:t>nalmefen</w:t>
      </w:r>
      <w:proofErr w:type="spellEnd"/>
      <w:r w:rsidRPr="00E8426E">
        <w:rPr>
          <w:rFonts w:asciiTheme="majorBidi" w:hAnsiTheme="majorBidi" w:cstheme="majorBidi"/>
          <w:sz w:val="24"/>
          <w:szCs w:val="24"/>
        </w:rPr>
        <w:t xml:space="preserve"> er opioidantagonister, der kan blokere </w:t>
      </w:r>
      <w:proofErr w:type="spellStart"/>
      <w:r w:rsidRPr="00E8426E">
        <w:rPr>
          <w:rFonts w:asciiTheme="majorBidi" w:hAnsiTheme="majorBidi" w:cstheme="majorBidi"/>
          <w:sz w:val="24"/>
          <w:szCs w:val="24"/>
        </w:rPr>
        <w:t>buprenorphins</w:t>
      </w:r>
      <w:proofErr w:type="spellEnd"/>
      <w:r w:rsidRPr="00E8426E">
        <w:rPr>
          <w:rFonts w:asciiTheme="majorBidi" w:hAnsiTheme="majorBidi" w:cstheme="majorBidi"/>
          <w:sz w:val="24"/>
          <w:szCs w:val="24"/>
        </w:rPr>
        <w:t xml:space="preserve"> farmakologiske virkning. Antagonisterne </w:t>
      </w:r>
      <w:proofErr w:type="spellStart"/>
      <w:r w:rsidRPr="00E8426E">
        <w:rPr>
          <w:rFonts w:asciiTheme="majorBidi" w:hAnsiTheme="majorBidi" w:cstheme="majorBidi"/>
          <w:sz w:val="24"/>
          <w:szCs w:val="24"/>
        </w:rPr>
        <w:t>naltrexon</w:t>
      </w:r>
      <w:proofErr w:type="spellEnd"/>
      <w:r w:rsidRPr="00E8426E">
        <w:rPr>
          <w:rFonts w:asciiTheme="majorBidi" w:hAnsiTheme="majorBidi" w:cstheme="majorBidi"/>
          <w:sz w:val="24"/>
          <w:szCs w:val="24"/>
        </w:rPr>
        <w:t xml:space="preserve"> og </w:t>
      </w:r>
      <w:proofErr w:type="spellStart"/>
      <w:r w:rsidRPr="00E8426E">
        <w:rPr>
          <w:rFonts w:asciiTheme="majorBidi" w:hAnsiTheme="majorBidi" w:cstheme="majorBidi"/>
          <w:sz w:val="24"/>
          <w:szCs w:val="24"/>
        </w:rPr>
        <w:t>nalmefen</w:t>
      </w:r>
      <w:proofErr w:type="spellEnd"/>
      <w:r w:rsidRPr="00E8426E">
        <w:rPr>
          <w:rFonts w:asciiTheme="majorBidi" w:hAnsiTheme="majorBidi" w:cstheme="majorBidi"/>
          <w:sz w:val="24"/>
          <w:szCs w:val="24"/>
        </w:rPr>
        <w:t xml:space="preserve"> kan forårsage forlængede og intense opioidabstinenssymptomer hos opioidafhængige patienter, som behandles med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Hos patienter, der behandles med </w:t>
      </w:r>
      <w:proofErr w:type="spellStart"/>
      <w:r w:rsidRPr="00E8426E">
        <w:rPr>
          <w:rFonts w:asciiTheme="majorBidi" w:hAnsiTheme="majorBidi" w:cstheme="majorBidi"/>
          <w:sz w:val="24"/>
          <w:szCs w:val="24"/>
        </w:rPr>
        <w:t>naltrexon</w:t>
      </w:r>
      <w:proofErr w:type="spellEnd"/>
      <w:r w:rsidRPr="00E8426E">
        <w:rPr>
          <w:rFonts w:asciiTheme="majorBidi" w:hAnsiTheme="majorBidi" w:cstheme="majorBidi"/>
          <w:sz w:val="24"/>
          <w:szCs w:val="24"/>
        </w:rPr>
        <w:t xml:space="preserve"> eller </w:t>
      </w:r>
      <w:proofErr w:type="spellStart"/>
      <w:r w:rsidRPr="00E8426E">
        <w:rPr>
          <w:rFonts w:asciiTheme="majorBidi" w:hAnsiTheme="majorBidi" w:cstheme="majorBidi"/>
          <w:sz w:val="24"/>
          <w:szCs w:val="24"/>
        </w:rPr>
        <w:t>nalmefen</w:t>
      </w:r>
      <w:proofErr w:type="spellEnd"/>
      <w:r w:rsidRPr="00E8426E">
        <w:rPr>
          <w:rFonts w:asciiTheme="majorBidi" w:hAnsiTheme="majorBidi" w:cstheme="majorBidi"/>
          <w:sz w:val="24"/>
          <w:szCs w:val="24"/>
        </w:rPr>
        <w:t xml:space="preserve">, kan de tilsigtede terapeutiske virkninger ved administration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blokeres af </w:t>
      </w:r>
      <w:proofErr w:type="spellStart"/>
      <w:r w:rsidRPr="00E8426E">
        <w:rPr>
          <w:rFonts w:asciiTheme="majorBidi" w:hAnsiTheme="majorBidi" w:cstheme="majorBidi"/>
          <w:sz w:val="24"/>
          <w:szCs w:val="24"/>
        </w:rPr>
        <w:t>naltrexon</w:t>
      </w:r>
      <w:proofErr w:type="spellEnd"/>
      <w:r w:rsidRPr="00E8426E">
        <w:rPr>
          <w:rFonts w:asciiTheme="majorBidi" w:hAnsiTheme="majorBidi" w:cstheme="majorBidi"/>
          <w:sz w:val="24"/>
          <w:szCs w:val="24"/>
        </w:rPr>
        <w:t xml:space="preserve"> eller </w:t>
      </w:r>
      <w:proofErr w:type="spellStart"/>
      <w:r w:rsidRPr="00E8426E">
        <w:rPr>
          <w:rFonts w:asciiTheme="majorBidi" w:hAnsiTheme="majorBidi" w:cstheme="majorBidi"/>
          <w:sz w:val="24"/>
          <w:szCs w:val="24"/>
        </w:rPr>
        <w:t>nalmefen</w:t>
      </w:r>
      <w:proofErr w:type="spellEnd"/>
      <w:r w:rsidRPr="00E8426E">
        <w:rPr>
          <w:rFonts w:asciiTheme="majorBidi" w:hAnsiTheme="majorBidi" w:cstheme="majorBidi"/>
          <w:sz w:val="24"/>
          <w:szCs w:val="24"/>
        </w:rPr>
        <w:t>.</w:t>
      </w:r>
    </w:p>
    <w:p w:rsidR="005E3D95" w:rsidRPr="00E8426E" w:rsidRDefault="005E3D95" w:rsidP="005E3D95">
      <w:pPr>
        <w:contextualSpacing/>
        <w:rPr>
          <w:rFonts w:asciiTheme="majorBidi" w:hAnsiTheme="majorBidi" w:cstheme="majorBidi"/>
          <w:sz w:val="24"/>
          <w:szCs w:val="24"/>
        </w:rPr>
      </w:pPr>
    </w:p>
    <w:p w:rsidR="005E3D95" w:rsidRPr="00E8426E" w:rsidRDefault="005E3D95" w:rsidP="005E3D95">
      <w:pPr>
        <w:keepNext/>
        <w:tabs>
          <w:tab w:val="left" w:pos="993"/>
        </w:tabs>
        <w:contextualSpacing/>
        <w:rPr>
          <w:rFonts w:asciiTheme="majorBidi" w:hAnsiTheme="majorBidi" w:cstheme="majorBidi"/>
          <w:i/>
          <w:iCs/>
          <w:sz w:val="24"/>
          <w:szCs w:val="24"/>
        </w:rPr>
      </w:pPr>
      <w:r>
        <w:rPr>
          <w:rFonts w:asciiTheme="majorBidi" w:hAnsiTheme="majorBidi" w:cstheme="majorBidi"/>
          <w:i/>
          <w:sz w:val="24"/>
          <w:szCs w:val="24"/>
        </w:rPr>
        <w:tab/>
      </w:r>
      <w:proofErr w:type="spellStart"/>
      <w:r w:rsidRPr="00E8426E">
        <w:rPr>
          <w:rFonts w:asciiTheme="majorBidi" w:hAnsiTheme="majorBidi" w:cstheme="majorBidi"/>
          <w:i/>
          <w:sz w:val="24"/>
          <w:szCs w:val="24"/>
        </w:rPr>
        <w:t>Serotonerge</w:t>
      </w:r>
      <w:proofErr w:type="spellEnd"/>
      <w:r w:rsidRPr="00E8426E">
        <w:rPr>
          <w:rFonts w:asciiTheme="majorBidi" w:hAnsiTheme="majorBidi" w:cstheme="majorBidi"/>
          <w:i/>
          <w:sz w:val="24"/>
          <w:szCs w:val="24"/>
        </w:rPr>
        <w:t xml:space="preserve"> lægemidler</w:t>
      </w:r>
    </w:p>
    <w:p w:rsidR="005E3D95" w:rsidRPr="00E8426E" w:rsidRDefault="005E3D95" w:rsidP="005E3D95">
      <w:pPr>
        <w:tabs>
          <w:tab w:val="left" w:pos="993"/>
        </w:tabs>
        <w:ind w:left="993"/>
        <w:contextualSpacing/>
        <w:rPr>
          <w:rFonts w:asciiTheme="majorBidi" w:hAnsiTheme="majorBidi" w:cstheme="majorBidi"/>
          <w:sz w:val="24"/>
          <w:szCs w:val="24"/>
        </w:rPr>
      </w:pPr>
      <w:proofErr w:type="spellStart"/>
      <w:r w:rsidRPr="00E8426E">
        <w:rPr>
          <w:rFonts w:asciiTheme="majorBidi" w:hAnsiTheme="majorBidi" w:cstheme="majorBidi"/>
          <w:sz w:val="24"/>
          <w:szCs w:val="24"/>
        </w:rPr>
        <w:t>Serotonerge</w:t>
      </w:r>
      <w:proofErr w:type="spellEnd"/>
      <w:r w:rsidRPr="00E8426E">
        <w:rPr>
          <w:rFonts w:asciiTheme="majorBidi" w:hAnsiTheme="majorBidi" w:cstheme="majorBidi"/>
          <w:sz w:val="24"/>
          <w:szCs w:val="24"/>
        </w:rPr>
        <w:t xml:space="preserve"> lægemidler, f.eks. MAO-</w:t>
      </w:r>
      <w:proofErr w:type="spellStart"/>
      <w:r w:rsidRPr="00E8426E">
        <w:rPr>
          <w:rFonts w:asciiTheme="majorBidi" w:hAnsiTheme="majorBidi" w:cstheme="majorBidi"/>
          <w:sz w:val="24"/>
          <w:szCs w:val="24"/>
        </w:rPr>
        <w:t>hæmmere</w:t>
      </w:r>
      <w:proofErr w:type="spellEnd"/>
      <w:r w:rsidRPr="00E8426E">
        <w:rPr>
          <w:rFonts w:asciiTheme="majorBidi" w:hAnsiTheme="majorBidi" w:cstheme="majorBidi"/>
          <w:sz w:val="24"/>
          <w:szCs w:val="24"/>
        </w:rPr>
        <w:t xml:space="preserve">, selektive </w:t>
      </w:r>
      <w:proofErr w:type="spellStart"/>
      <w:r w:rsidRPr="00E8426E">
        <w:rPr>
          <w:rFonts w:asciiTheme="majorBidi" w:hAnsiTheme="majorBidi" w:cstheme="majorBidi"/>
          <w:sz w:val="24"/>
          <w:szCs w:val="24"/>
        </w:rPr>
        <w:t>serotoningenoptagelseshæmmere</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SSRI'er</w:t>
      </w:r>
      <w:proofErr w:type="spellEnd"/>
      <w:r w:rsidRPr="00E8426E">
        <w:rPr>
          <w:rFonts w:asciiTheme="majorBidi" w:hAnsiTheme="majorBidi" w:cstheme="majorBidi"/>
          <w:sz w:val="24"/>
          <w:szCs w:val="24"/>
        </w:rPr>
        <w:t>), serotonin-noradrenalin-</w:t>
      </w:r>
      <w:proofErr w:type="spellStart"/>
      <w:r w:rsidRPr="00E8426E">
        <w:rPr>
          <w:rFonts w:asciiTheme="majorBidi" w:hAnsiTheme="majorBidi" w:cstheme="majorBidi"/>
          <w:sz w:val="24"/>
          <w:szCs w:val="24"/>
        </w:rPr>
        <w:t>genoptagelseshæmmere</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SNRI'er</w:t>
      </w:r>
      <w:proofErr w:type="spellEnd"/>
      <w:r w:rsidRPr="00E8426E">
        <w:rPr>
          <w:rFonts w:asciiTheme="majorBidi" w:hAnsiTheme="majorBidi" w:cstheme="majorBidi"/>
          <w:sz w:val="24"/>
          <w:szCs w:val="24"/>
        </w:rPr>
        <w:t xml:space="preserve">) eller tricykliske antidepressive stoffer, da risikoen for serotoninsyndrom, der er en potentielt livstruende tilstand, er øget (se pkt. 4.4). </w:t>
      </w:r>
    </w:p>
    <w:p w:rsidR="005E3D95" w:rsidRPr="00E8426E" w:rsidRDefault="005E3D95" w:rsidP="005E3D95">
      <w:pPr>
        <w:contextualSpacing/>
        <w:rPr>
          <w:rFonts w:asciiTheme="majorBidi" w:hAnsiTheme="majorBidi" w:cstheme="majorBidi"/>
          <w:sz w:val="24"/>
          <w:szCs w:val="24"/>
        </w:rPr>
      </w:pPr>
    </w:p>
    <w:p w:rsidR="005E3D95" w:rsidRPr="00E8426E" w:rsidRDefault="005E3D95" w:rsidP="005E3D95">
      <w:pPr>
        <w:ind w:firstLine="993"/>
        <w:contextualSpacing/>
        <w:rPr>
          <w:rFonts w:asciiTheme="majorBidi" w:hAnsiTheme="majorBidi" w:cstheme="majorBidi"/>
          <w:bCs/>
          <w:sz w:val="24"/>
          <w:szCs w:val="24"/>
        </w:rPr>
      </w:pPr>
      <w:proofErr w:type="spellStart"/>
      <w:r w:rsidRPr="00E8426E">
        <w:rPr>
          <w:rFonts w:asciiTheme="majorBidi" w:hAnsiTheme="majorBidi" w:cstheme="majorBidi"/>
          <w:i/>
          <w:sz w:val="24"/>
          <w:szCs w:val="24"/>
        </w:rPr>
        <w:t>Monoaminooxidasehæmmere</w:t>
      </w:r>
      <w:proofErr w:type="spellEnd"/>
      <w:r w:rsidRPr="00E8426E">
        <w:rPr>
          <w:rFonts w:asciiTheme="majorBidi" w:hAnsiTheme="majorBidi" w:cstheme="majorBidi"/>
          <w:i/>
          <w:sz w:val="24"/>
          <w:szCs w:val="24"/>
        </w:rPr>
        <w:t xml:space="preserve"> (MAO-</w:t>
      </w:r>
      <w:proofErr w:type="spellStart"/>
      <w:r w:rsidRPr="00E8426E">
        <w:rPr>
          <w:rFonts w:asciiTheme="majorBidi" w:hAnsiTheme="majorBidi" w:cstheme="majorBidi"/>
          <w:i/>
          <w:sz w:val="24"/>
          <w:szCs w:val="24"/>
        </w:rPr>
        <w:t>hæmmere</w:t>
      </w:r>
      <w:proofErr w:type="spellEnd"/>
      <w:r w:rsidRPr="00E8426E">
        <w:rPr>
          <w:rFonts w:asciiTheme="majorBidi" w:hAnsiTheme="majorBidi" w:cstheme="majorBidi"/>
          <w:i/>
          <w:sz w:val="24"/>
          <w:szCs w:val="24"/>
        </w:rPr>
        <w:t>)</w:t>
      </w:r>
      <w:r w:rsidRPr="00E8426E">
        <w:rPr>
          <w:rFonts w:asciiTheme="majorBidi" w:hAnsiTheme="majorBidi" w:cstheme="majorBidi"/>
          <w:sz w:val="24"/>
          <w:szCs w:val="24"/>
        </w:rPr>
        <w:t xml:space="preserve"> </w:t>
      </w:r>
    </w:p>
    <w:p w:rsidR="005E3D95" w:rsidRPr="00E8426E" w:rsidRDefault="005E3D95" w:rsidP="005E3D95">
      <w:pPr>
        <w:ind w:left="993"/>
        <w:contextualSpacing/>
        <w:rPr>
          <w:rFonts w:asciiTheme="majorBidi" w:hAnsiTheme="majorBidi" w:cstheme="majorBidi"/>
          <w:bCs/>
          <w:sz w:val="24"/>
          <w:szCs w:val="24"/>
        </w:rPr>
      </w:pPr>
      <w:r w:rsidRPr="00E8426E">
        <w:rPr>
          <w:rFonts w:asciiTheme="majorBidi" w:hAnsiTheme="majorBidi" w:cstheme="majorBidi"/>
          <w:sz w:val="24"/>
          <w:szCs w:val="24"/>
        </w:rPr>
        <w:t xml:space="preserve">Samtidig brug af </w:t>
      </w:r>
      <w:proofErr w:type="spellStart"/>
      <w:r w:rsidRPr="00E8426E">
        <w:rPr>
          <w:rFonts w:asciiTheme="majorBidi" w:hAnsiTheme="majorBidi" w:cstheme="majorBidi"/>
          <w:sz w:val="24"/>
          <w:szCs w:val="24"/>
        </w:rPr>
        <w:t>monoaminooxidasehæmmere</w:t>
      </w:r>
      <w:proofErr w:type="spellEnd"/>
      <w:r w:rsidRPr="00E8426E">
        <w:rPr>
          <w:rFonts w:asciiTheme="majorBidi" w:hAnsiTheme="majorBidi" w:cstheme="majorBidi"/>
          <w:sz w:val="24"/>
          <w:szCs w:val="24"/>
        </w:rPr>
        <w:t xml:space="preserve"> (MAO-</w:t>
      </w:r>
      <w:proofErr w:type="spellStart"/>
      <w:r w:rsidRPr="00E8426E">
        <w:rPr>
          <w:rFonts w:asciiTheme="majorBidi" w:hAnsiTheme="majorBidi" w:cstheme="majorBidi"/>
          <w:sz w:val="24"/>
          <w:szCs w:val="24"/>
        </w:rPr>
        <w:t>hæmmere</w:t>
      </w:r>
      <w:proofErr w:type="spellEnd"/>
      <w:r w:rsidRPr="00E8426E">
        <w:rPr>
          <w:rFonts w:asciiTheme="majorBidi" w:hAnsiTheme="majorBidi" w:cstheme="majorBidi"/>
          <w:sz w:val="24"/>
          <w:szCs w:val="24"/>
        </w:rPr>
        <w:t>) kan forstærke virkningen af opioider, baseret på erfaring med morfin.</w:t>
      </w:r>
    </w:p>
    <w:p w:rsidR="005E3D95" w:rsidRPr="00E8426E" w:rsidRDefault="005E3D95" w:rsidP="005E3D95">
      <w:pPr>
        <w:tabs>
          <w:tab w:val="left" w:pos="360"/>
        </w:tabs>
        <w:contextualSpacing/>
        <w:rPr>
          <w:rFonts w:asciiTheme="majorBidi" w:hAnsiTheme="majorBidi" w:cstheme="majorBidi"/>
          <w:bCs/>
          <w:sz w:val="24"/>
          <w:szCs w:val="24"/>
        </w:rPr>
      </w:pPr>
    </w:p>
    <w:p w:rsidR="005E3D95" w:rsidRPr="00E8426E" w:rsidRDefault="005E3D95" w:rsidP="005E3D95">
      <w:pPr>
        <w:ind w:firstLine="993"/>
        <w:contextualSpacing/>
        <w:rPr>
          <w:rFonts w:asciiTheme="majorBidi" w:hAnsiTheme="majorBidi" w:cstheme="majorBidi"/>
          <w:bCs/>
          <w:sz w:val="24"/>
          <w:szCs w:val="24"/>
        </w:rPr>
      </w:pPr>
      <w:r w:rsidRPr="00E8426E">
        <w:rPr>
          <w:rFonts w:asciiTheme="majorBidi" w:hAnsiTheme="majorBidi" w:cstheme="majorBidi"/>
          <w:i/>
          <w:sz w:val="24"/>
          <w:szCs w:val="24"/>
        </w:rPr>
        <w:t>CYP3A4-hæmmere</w:t>
      </w:r>
    </w:p>
    <w:p w:rsidR="005E3D95" w:rsidRPr="00E8426E" w:rsidRDefault="005E3D95" w:rsidP="005E3D95">
      <w:pPr>
        <w:ind w:left="993"/>
        <w:contextualSpacing/>
        <w:rPr>
          <w:rFonts w:asciiTheme="majorBidi" w:hAnsiTheme="majorBidi" w:cstheme="majorBidi"/>
          <w:sz w:val="24"/>
          <w:szCs w:val="24"/>
        </w:rPr>
      </w:pPr>
      <w:r w:rsidRPr="00E8426E">
        <w:rPr>
          <w:rFonts w:asciiTheme="majorBidi" w:hAnsiTheme="majorBidi" w:cstheme="majorBidi"/>
          <w:sz w:val="24"/>
          <w:szCs w:val="24"/>
        </w:rPr>
        <w:t xml:space="preserve">Virkningerne ved samtidigt administrerede CYP3A4-hæmmere på </w:t>
      </w:r>
      <w:proofErr w:type="spellStart"/>
      <w:r w:rsidRPr="00E8426E">
        <w:rPr>
          <w:rFonts w:asciiTheme="majorBidi" w:hAnsiTheme="majorBidi" w:cstheme="majorBidi"/>
          <w:sz w:val="24"/>
          <w:szCs w:val="24"/>
        </w:rPr>
        <w:t>buprenorphineksponering</w:t>
      </w:r>
      <w:proofErr w:type="spellEnd"/>
      <w:r w:rsidRPr="00E8426E">
        <w:rPr>
          <w:rFonts w:asciiTheme="majorBidi" w:hAnsiTheme="majorBidi" w:cstheme="majorBidi"/>
          <w:sz w:val="24"/>
          <w:szCs w:val="24"/>
        </w:rPr>
        <w:t xml:space="preserve"> hos personer behandlet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er ikke blevet undersøgt, og virkningerne kan afhænge af administrationsvejen. Et interaktionsstudie med </w:t>
      </w:r>
      <w:proofErr w:type="spellStart"/>
      <w:r w:rsidRPr="00E8426E">
        <w:rPr>
          <w:rFonts w:asciiTheme="majorBidi" w:hAnsiTheme="majorBidi" w:cstheme="majorBidi"/>
          <w:sz w:val="24"/>
          <w:szCs w:val="24"/>
        </w:rPr>
        <w:t>sublingual</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med </w:t>
      </w:r>
      <w:proofErr w:type="spellStart"/>
      <w:r w:rsidRPr="00E8426E">
        <w:rPr>
          <w:rFonts w:asciiTheme="majorBidi" w:hAnsiTheme="majorBidi" w:cstheme="majorBidi"/>
          <w:sz w:val="24"/>
          <w:szCs w:val="24"/>
        </w:rPr>
        <w:t>ketoconazol</w:t>
      </w:r>
      <w:proofErr w:type="spellEnd"/>
      <w:r w:rsidRPr="00E8426E">
        <w:rPr>
          <w:rFonts w:asciiTheme="majorBidi" w:hAnsiTheme="majorBidi" w:cstheme="majorBidi"/>
          <w:sz w:val="24"/>
          <w:szCs w:val="24"/>
        </w:rPr>
        <w:t xml:space="preserve"> (en potent hæmmer af CYP3A4) førte til øget </w:t>
      </w:r>
      <w:proofErr w:type="spellStart"/>
      <w:r w:rsidRPr="00E8426E">
        <w:rPr>
          <w:rFonts w:asciiTheme="majorBidi" w:hAnsiTheme="majorBidi" w:cstheme="majorBidi"/>
          <w:sz w:val="24"/>
          <w:szCs w:val="24"/>
        </w:rPr>
        <w:t>C</w:t>
      </w:r>
      <w:r w:rsidRPr="00E8426E">
        <w:rPr>
          <w:rFonts w:asciiTheme="majorBidi" w:hAnsiTheme="majorBidi" w:cstheme="majorBidi"/>
          <w:sz w:val="24"/>
          <w:szCs w:val="24"/>
          <w:vertAlign w:val="subscript"/>
        </w:rPr>
        <w:t>max</w:t>
      </w:r>
      <w:proofErr w:type="spellEnd"/>
      <w:r w:rsidRPr="00E8426E">
        <w:rPr>
          <w:rFonts w:asciiTheme="majorBidi" w:hAnsiTheme="majorBidi" w:cstheme="majorBidi"/>
          <w:sz w:val="24"/>
          <w:szCs w:val="24"/>
        </w:rPr>
        <w:t xml:space="preserve"> og AUC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(hhv. ca. 50 % og 70 %) og i mindre grad af metabolitten </w:t>
      </w:r>
      <w:proofErr w:type="spellStart"/>
      <w:r w:rsidRPr="00E8426E">
        <w:rPr>
          <w:rFonts w:asciiTheme="majorBidi" w:hAnsiTheme="majorBidi" w:cstheme="majorBidi"/>
          <w:sz w:val="24"/>
          <w:szCs w:val="24"/>
        </w:rPr>
        <w:t>norbuprenorphin</w:t>
      </w:r>
      <w:proofErr w:type="spellEnd"/>
      <w:r w:rsidRPr="00E8426E">
        <w:rPr>
          <w:rFonts w:asciiTheme="majorBidi" w:hAnsiTheme="majorBidi" w:cstheme="majorBidi"/>
          <w:sz w:val="24"/>
          <w:szCs w:val="24"/>
        </w:rPr>
        <w:t xml:space="preserve">. Injektionen af </w:t>
      </w:r>
      <w:proofErr w:type="spellStart"/>
      <w:r w:rsidRPr="00E8426E">
        <w:rPr>
          <w:rFonts w:asciiTheme="majorBidi" w:hAnsiTheme="majorBidi" w:cstheme="majorBidi"/>
          <w:sz w:val="24"/>
          <w:szCs w:val="24"/>
        </w:rPr>
        <w:t>burprenorphin</w:t>
      </w:r>
      <w:proofErr w:type="spellEnd"/>
      <w:r w:rsidRPr="00E8426E">
        <w:rPr>
          <w:rFonts w:asciiTheme="majorBidi" w:hAnsiTheme="majorBidi" w:cstheme="majorBidi"/>
          <w:sz w:val="24"/>
          <w:szCs w:val="24"/>
        </w:rPr>
        <w:t xml:space="preserve"> undgår </w:t>
      </w:r>
      <w:proofErr w:type="spellStart"/>
      <w:r w:rsidRPr="00E8426E">
        <w:rPr>
          <w:rFonts w:asciiTheme="majorBidi" w:hAnsiTheme="majorBidi" w:cstheme="majorBidi"/>
          <w:i/>
          <w:sz w:val="24"/>
          <w:szCs w:val="24"/>
        </w:rPr>
        <w:t>first</w:t>
      </w:r>
      <w:proofErr w:type="spellEnd"/>
      <w:r w:rsidRPr="00E8426E">
        <w:rPr>
          <w:rFonts w:asciiTheme="majorBidi" w:hAnsiTheme="majorBidi" w:cstheme="majorBidi"/>
          <w:i/>
          <w:iCs/>
          <w:sz w:val="24"/>
          <w:szCs w:val="24"/>
        </w:rPr>
        <w:t>-</w:t>
      </w:r>
      <w:proofErr w:type="spellStart"/>
      <w:r w:rsidRPr="00E8426E">
        <w:rPr>
          <w:rFonts w:asciiTheme="majorBidi" w:hAnsiTheme="majorBidi" w:cstheme="majorBidi"/>
          <w:i/>
          <w:sz w:val="24"/>
          <w:szCs w:val="24"/>
        </w:rPr>
        <w:t>pass</w:t>
      </w:r>
      <w:proofErr w:type="spellEnd"/>
      <w:r w:rsidRPr="00E8426E">
        <w:rPr>
          <w:rFonts w:asciiTheme="majorBidi" w:hAnsiTheme="majorBidi" w:cstheme="majorBidi"/>
          <w:sz w:val="24"/>
          <w:szCs w:val="24"/>
        </w:rPr>
        <w:t xml:space="preserve">-virkninger, og CYP3A4-hæmmere (f.eks. </w:t>
      </w:r>
      <w:proofErr w:type="spellStart"/>
      <w:r w:rsidRPr="00E8426E">
        <w:rPr>
          <w:rFonts w:asciiTheme="majorBidi" w:hAnsiTheme="majorBidi" w:cstheme="majorBidi"/>
          <w:sz w:val="24"/>
          <w:szCs w:val="24"/>
        </w:rPr>
        <w:t>proteasehæmmere</w:t>
      </w:r>
      <w:proofErr w:type="spellEnd"/>
      <w:r w:rsidRPr="00E8426E">
        <w:rPr>
          <w:rFonts w:asciiTheme="majorBidi" w:hAnsiTheme="majorBidi" w:cstheme="majorBidi"/>
          <w:sz w:val="24"/>
          <w:szCs w:val="24"/>
        </w:rPr>
        <w:t xml:space="preserve"> såsom </w:t>
      </w:r>
      <w:proofErr w:type="spellStart"/>
      <w:r w:rsidRPr="00E8426E">
        <w:rPr>
          <w:rFonts w:asciiTheme="majorBidi" w:hAnsiTheme="majorBidi" w:cstheme="majorBidi"/>
          <w:sz w:val="24"/>
          <w:szCs w:val="24"/>
        </w:rPr>
        <w:t>ritonavir</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nelfinavir</w:t>
      </w:r>
      <w:proofErr w:type="spellEnd"/>
      <w:r w:rsidRPr="00E8426E">
        <w:rPr>
          <w:rFonts w:asciiTheme="majorBidi" w:hAnsiTheme="majorBidi" w:cstheme="majorBidi"/>
          <w:sz w:val="24"/>
          <w:szCs w:val="24"/>
        </w:rPr>
        <w:t xml:space="preserve"> eller </w:t>
      </w:r>
      <w:proofErr w:type="spellStart"/>
      <w:r w:rsidRPr="00E8426E">
        <w:rPr>
          <w:rFonts w:asciiTheme="majorBidi" w:hAnsiTheme="majorBidi" w:cstheme="majorBidi"/>
          <w:sz w:val="24"/>
          <w:szCs w:val="24"/>
        </w:rPr>
        <w:t>indinavir</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azol</w:t>
      </w:r>
      <w:proofErr w:type="spellEnd"/>
      <w:r w:rsidRPr="00E8426E">
        <w:rPr>
          <w:rFonts w:asciiTheme="majorBidi" w:hAnsiTheme="majorBidi" w:cstheme="majorBidi"/>
          <w:sz w:val="24"/>
          <w:szCs w:val="24"/>
        </w:rPr>
        <w:t xml:space="preserve">-svampemidler såsom </w:t>
      </w:r>
      <w:proofErr w:type="spellStart"/>
      <w:r w:rsidRPr="00E8426E">
        <w:rPr>
          <w:rFonts w:asciiTheme="majorBidi" w:hAnsiTheme="majorBidi" w:cstheme="majorBidi"/>
          <w:sz w:val="24"/>
          <w:szCs w:val="24"/>
        </w:rPr>
        <w:t>ketoconazol</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fluconazol</w:t>
      </w:r>
      <w:proofErr w:type="spellEnd"/>
      <w:r w:rsidRPr="00E8426E">
        <w:rPr>
          <w:rFonts w:asciiTheme="majorBidi" w:hAnsiTheme="majorBidi" w:cstheme="majorBidi"/>
          <w:sz w:val="24"/>
          <w:szCs w:val="24"/>
        </w:rPr>
        <w:t xml:space="preserve"> eller </w:t>
      </w:r>
      <w:proofErr w:type="spellStart"/>
      <w:r w:rsidRPr="00E8426E">
        <w:rPr>
          <w:rFonts w:asciiTheme="majorBidi" w:hAnsiTheme="majorBidi" w:cstheme="majorBidi"/>
          <w:sz w:val="24"/>
          <w:szCs w:val="24"/>
        </w:rPr>
        <w:t>itraconazol</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makrolidantibiotika</w:t>
      </w:r>
      <w:proofErr w:type="spellEnd"/>
      <w:r w:rsidRPr="00E8426E">
        <w:rPr>
          <w:rFonts w:asciiTheme="majorBidi" w:hAnsiTheme="majorBidi" w:cstheme="majorBidi"/>
          <w:sz w:val="24"/>
          <w:szCs w:val="24"/>
        </w:rPr>
        <w:t xml:space="preserve"> eller grapefrugtjuice) forventes derfor at have en mindre virkning på </w:t>
      </w:r>
      <w:proofErr w:type="spellStart"/>
      <w:r w:rsidRPr="00E8426E">
        <w:rPr>
          <w:rFonts w:asciiTheme="majorBidi" w:hAnsiTheme="majorBidi" w:cstheme="majorBidi"/>
          <w:sz w:val="24"/>
          <w:szCs w:val="24"/>
        </w:rPr>
        <w:t>buprenorphinmetabolismen</w:t>
      </w:r>
      <w:proofErr w:type="spellEnd"/>
      <w:r w:rsidRPr="00E8426E">
        <w:rPr>
          <w:rFonts w:asciiTheme="majorBidi" w:hAnsiTheme="majorBidi" w:cstheme="majorBidi"/>
          <w:sz w:val="24"/>
          <w:szCs w:val="24"/>
        </w:rPr>
        <w:t xml:space="preserve">, når de administreres sammen med </w:t>
      </w:r>
      <w:proofErr w:type="spellStart"/>
      <w:proofErr w:type="gram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w:t>
      </w:r>
      <w:r w:rsidRPr="00E8426E" w:rsidDel="00D43EEC">
        <w:rPr>
          <w:rFonts w:asciiTheme="majorBidi" w:hAnsiTheme="majorBidi" w:cstheme="majorBidi"/>
          <w:sz w:val="24"/>
          <w:szCs w:val="24"/>
        </w:rPr>
        <w:t xml:space="preserve"> </w:t>
      </w:r>
      <w:r w:rsidRPr="00E8426E">
        <w:rPr>
          <w:rFonts w:asciiTheme="majorBidi" w:hAnsiTheme="majorBidi" w:cstheme="majorBidi"/>
          <w:sz w:val="24"/>
          <w:szCs w:val="24"/>
        </w:rPr>
        <w:t>,</w:t>
      </w:r>
      <w:proofErr w:type="gramEnd"/>
      <w:r w:rsidRPr="00E8426E">
        <w:rPr>
          <w:rFonts w:asciiTheme="majorBidi" w:hAnsiTheme="majorBidi" w:cstheme="majorBidi"/>
          <w:sz w:val="24"/>
          <w:szCs w:val="24"/>
        </w:rPr>
        <w:t xml:space="preserve"> end når de administreres sammen med </w:t>
      </w:r>
      <w:proofErr w:type="spellStart"/>
      <w:r w:rsidRPr="00E8426E">
        <w:rPr>
          <w:rFonts w:asciiTheme="majorBidi" w:hAnsiTheme="majorBidi" w:cstheme="majorBidi"/>
          <w:sz w:val="24"/>
          <w:szCs w:val="24"/>
        </w:rPr>
        <w:t>sublingual</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Ved skift fra </w:t>
      </w:r>
      <w:proofErr w:type="spellStart"/>
      <w:r w:rsidRPr="00E8426E">
        <w:rPr>
          <w:rFonts w:asciiTheme="majorBidi" w:hAnsiTheme="majorBidi" w:cstheme="majorBidi"/>
          <w:sz w:val="24"/>
          <w:szCs w:val="24"/>
        </w:rPr>
        <w:t>sublingual</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til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kan patienter, der får kontinuerlig behandling med en CYP3A4-hæmmer, have behov for overvågning for at sikre, at </w:t>
      </w:r>
      <w:proofErr w:type="spellStart"/>
      <w:r w:rsidRPr="00E8426E">
        <w:rPr>
          <w:rFonts w:asciiTheme="majorBidi" w:hAnsiTheme="majorBidi" w:cstheme="majorBidi"/>
          <w:sz w:val="24"/>
          <w:szCs w:val="24"/>
        </w:rPr>
        <w:t>buprenorphinniveauerne</w:t>
      </w:r>
      <w:proofErr w:type="spellEnd"/>
      <w:r w:rsidRPr="00E8426E">
        <w:rPr>
          <w:rFonts w:asciiTheme="majorBidi" w:hAnsiTheme="majorBidi" w:cstheme="majorBidi"/>
          <w:sz w:val="24"/>
          <w:szCs w:val="24"/>
        </w:rPr>
        <w:t xml:space="preserve"> i plasma er tilstrækkelige. Patienter, som allerede får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og som påbegynder behandling med en CYP3A4-hæmmer, skal overvåges for tegn og symptomer på en overdosering. Hvis en patient samtidigt behandles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og en CYP3A4-hæmmer og stopper med at tage CYP3A4-hæmmeren, skal patienten overvåges for abstinenssymptomer.</w:t>
      </w:r>
    </w:p>
    <w:p w:rsidR="005E3D95" w:rsidRPr="00E8426E" w:rsidRDefault="005E3D95" w:rsidP="005E3D95">
      <w:pPr>
        <w:contextualSpacing/>
        <w:rPr>
          <w:rFonts w:asciiTheme="majorBidi" w:hAnsiTheme="majorBidi" w:cstheme="majorBidi"/>
          <w:sz w:val="24"/>
          <w:szCs w:val="24"/>
        </w:rPr>
      </w:pPr>
    </w:p>
    <w:p w:rsidR="005E3D95" w:rsidRPr="00E8426E" w:rsidRDefault="005E3D95" w:rsidP="005E3D95">
      <w:pPr>
        <w:keepNext/>
        <w:ind w:firstLine="993"/>
        <w:contextualSpacing/>
        <w:rPr>
          <w:rFonts w:asciiTheme="majorBidi" w:hAnsiTheme="majorBidi" w:cstheme="majorBidi"/>
          <w:bCs/>
          <w:sz w:val="24"/>
          <w:szCs w:val="24"/>
        </w:rPr>
      </w:pPr>
      <w:r w:rsidRPr="00E8426E">
        <w:rPr>
          <w:rFonts w:asciiTheme="majorBidi" w:hAnsiTheme="majorBidi" w:cstheme="majorBidi"/>
          <w:i/>
          <w:sz w:val="24"/>
          <w:szCs w:val="24"/>
        </w:rPr>
        <w:t>CYP3A4-induktorer</w:t>
      </w:r>
    </w:p>
    <w:p w:rsidR="005E3D95" w:rsidRPr="00E8426E" w:rsidRDefault="005E3D95" w:rsidP="005E3D95">
      <w:pPr>
        <w:ind w:left="993"/>
        <w:contextualSpacing/>
        <w:rPr>
          <w:rFonts w:asciiTheme="majorBidi" w:hAnsiTheme="majorBidi" w:cstheme="majorBidi"/>
          <w:sz w:val="24"/>
          <w:szCs w:val="24"/>
        </w:rPr>
      </w:pPr>
      <w:r w:rsidRPr="00E8426E">
        <w:rPr>
          <w:rFonts w:asciiTheme="majorBidi" w:hAnsiTheme="majorBidi" w:cstheme="majorBidi"/>
          <w:sz w:val="24"/>
          <w:szCs w:val="24"/>
        </w:rPr>
        <w:t xml:space="preserve">Virkningen af samtidigt administrerede CYP3A4-induktorer på </w:t>
      </w:r>
      <w:proofErr w:type="spellStart"/>
      <w:r w:rsidRPr="00E8426E">
        <w:rPr>
          <w:rFonts w:asciiTheme="majorBidi" w:hAnsiTheme="majorBidi" w:cstheme="majorBidi"/>
          <w:sz w:val="24"/>
          <w:szCs w:val="24"/>
        </w:rPr>
        <w:t>buprenorphineksponeringen</w:t>
      </w:r>
      <w:proofErr w:type="spellEnd"/>
      <w:r w:rsidRPr="00E8426E">
        <w:rPr>
          <w:rFonts w:asciiTheme="majorBidi" w:hAnsiTheme="majorBidi" w:cstheme="majorBidi"/>
          <w:sz w:val="24"/>
          <w:szCs w:val="24"/>
        </w:rPr>
        <w:t xml:space="preserve"> hos personer, der behandles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er ikke undersøgt. CYP3A4-induktorer kan øge metabolismen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hvilket fører til nedsatte niveauer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Da injektionen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undgår </w:t>
      </w:r>
      <w:proofErr w:type="spellStart"/>
      <w:r w:rsidRPr="00E8426E">
        <w:rPr>
          <w:rFonts w:asciiTheme="majorBidi" w:hAnsiTheme="majorBidi" w:cstheme="majorBidi"/>
          <w:i/>
          <w:sz w:val="24"/>
          <w:szCs w:val="24"/>
        </w:rPr>
        <w:t>first</w:t>
      </w:r>
      <w:proofErr w:type="spellEnd"/>
      <w:r w:rsidRPr="00E8426E">
        <w:rPr>
          <w:rFonts w:asciiTheme="majorBidi" w:hAnsiTheme="majorBidi" w:cstheme="majorBidi"/>
          <w:i/>
          <w:iCs/>
          <w:sz w:val="24"/>
          <w:szCs w:val="24"/>
        </w:rPr>
        <w:t>-</w:t>
      </w:r>
      <w:proofErr w:type="spellStart"/>
      <w:r w:rsidRPr="00E8426E">
        <w:rPr>
          <w:rFonts w:asciiTheme="majorBidi" w:hAnsiTheme="majorBidi" w:cstheme="majorBidi"/>
          <w:i/>
          <w:sz w:val="24"/>
          <w:szCs w:val="24"/>
        </w:rPr>
        <w:t>pass</w:t>
      </w:r>
      <w:proofErr w:type="spellEnd"/>
      <w:r w:rsidRPr="00E8426E">
        <w:rPr>
          <w:rFonts w:asciiTheme="majorBidi" w:hAnsiTheme="majorBidi" w:cstheme="majorBidi"/>
          <w:sz w:val="24"/>
          <w:szCs w:val="24"/>
        </w:rPr>
        <w:t xml:space="preserve">-virkninger, forventes CYP3A4-induktorer (f.eks. </w:t>
      </w:r>
      <w:proofErr w:type="spellStart"/>
      <w:r w:rsidRPr="00E8426E">
        <w:rPr>
          <w:rFonts w:asciiTheme="majorBidi" w:hAnsiTheme="majorBidi" w:cstheme="majorBidi"/>
          <w:sz w:val="24"/>
          <w:szCs w:val="24"/>
        </w:rPr>
        <w:t>phenobarbital</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carbamazepin</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phenytoin</w:t>
      </w:r>
      <w:proofErr w:type="spellEnd"/>
      <w:r w:rsidRPr="00E8426E">
        <w:rPr>
          <w:rFonts w:asciiTheme="majorBidi" w:hAnsiTheme="majorBidi" w:cstheme="majorBidi"/>
          <w:sz w:val="24"/>
          <w:szCs w:val="24"/>
        </w:rPr>
        <w:t xml:space="preserve"> eller </w:t>
      </w:r>
      <w:proofErr w:type="spellStart"/>
      <w:r w:rsidRPr="00E8426E">
        <w:rPr>
          <w:rFonts w:asciiTheme="majorBidi" w:hAnsiTheme="majorBidi" w:cstheme="majorBidi"/>
          <w:sz w:val="24"/>
          <w:szCs w:val="24"/>
        </w:rPr>
        <w:t>rifampicin</w:t>
      </w:r>
      <w:proofErr w:type="spellEnd"/>
      <w:r w:rsidRPr="00E8426E">
        <w:rPr>
          <w:rFonts w:asciiTheme="majorBidi" w:hAnsiTheme="majorBidi" w:cstheme="majorBidi"/>
          <w:sz w:val="24"/>
          <w:szCs w:val="24"/>
        </w:rPr>
        <w:t xml:space="preserve">) derfor at have en mindre virkning på </w:t>
      </w:r>
      <w:proofErr w:type="spellStart"/>
      <w:r w:rsidRPr="00E8426E">
        <w:rPr>
          <w:rFonts w:asciiTheme="majorBidi" w:hAnsiTheme="majorBidi" w:cstheme="majorBidi"/>
          <w:sz w:val="24"/>
          <w:szCs w:val="24"/>
        </w:rPr>
        <w:t>buprenorphinmetabolismen</w:t>
      </w:r>
      <w:proofErr w:type="spellEnd"/>
      <w:r w:rsidRPr="00E8426E">
        <w:rPr>
          <w:rFonts w:asciiTheme="majorBidi" w:hAnsiTheme="majorBidi" w:cstheme="majorBidi"/>
          <w:sz w:val="24"/>
          <w:szCs w:val="24"/>
        </w:rPr>
        <w:t xml:space="preserve">, når de administreres sammen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depotinjektion, end når de administreres sammen med </w:t>
      </w:r>
      <w:proofErr w:type="spellStart"/>
      <w:r w:rsidRPr="00E8426E">
        <w:rPr>
          <w:rFonts w:asciiTheme="majorBidi" w:hAnsiTheme="majorBidi" w:cstheme="majorBidi"/>
          <w:sz w:val="24"/>
          <w:szCs w:val="24"/>
        </w:rPr>
        <w:t>sublingual</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Ved skift fra </w:t>
      </w:r>
      <w:proofErr w:type="spellStart"/>
      <w:r w:rsidRPr="00E8426E">
        <w:rPr>
          <w:rFonts w:asciiTheme="majorBidi" w:hAnsiTheme="majorBidi" w:cstheme="majorBidi"/>
          <w:sz w:val="24"/>
          <w:szCs w:val="24"/>
        </w:rPr>
        <w:t>sublingual</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til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bør patienter, der får kontinuerlig behandling med en CYP3A4-induktor, overvåges for at sikre, at </w:t>
      </w:r>
      <w:proofErr w:type="spellStart"/>
      <w:r w:rsidRPr="00E8426E">
        <w:rPr>
          <w:rFonts w:asciiTheme="majorBidi" w:hAnsiTheme="majorBidi" w:cstheme="majorBidi"/>
          <w:sz w:val="24"/>
          <w:szCs w:val="24"/>
        </w:rPr>
        <w:t>buprenorphinniveauerne</w:t>
      </w:r>
      <w:proofErr w:type="spellEnd"/>
      <w:r w:rsidRPr="00E8426E">
        <w:rPr>
          <w:rFonts w:asciiTheme="majorBidi" w:hAnsiTheme="majorBidi" w:cstheme="majorBidi"/>
          <w:sz w:val="24"/>
          <w:szCs w:val="24"/>
        </w:rPr>
        <w:t xml:space="preserve"> i plasma er tilstrækkelige. Patienter, som allerede får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og påbegynder behandling med en CYP3A4-induktor, skal overvåges for abstinenstegn og -symptomer. Hvis en patient behandles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og en CYP3A4-induktor samtidigt og stopper med at tage CYP3A4-induktoren, skal patienten overvåges for symptomer på overdosering.</w:t>
      </w:r>
    </w:p>
    <w:p w:rsidR="005E3D95" w:rsidRPr="00E8426E" w:rsidRDefault="005E3D95" w:rsidP="005E3D95">
      <w:pPr>
        <w:contextualSpacing/>
        <w:rPr>
          <w:rFonts w:asciiTheme="majorBidi" w:hAnsiTheme="majorBidi" w:cstheme="majorBidi"/>
          <w:sz w:val="24"/>
          <w:szCs w:val="24"/>
        </w:rPr>
      </w:pPr>
    </w:p>
    <w:p w:rsidR="005E3D95" w:rsidRPr="00E8426E" w:rsidRDefault="005E3D95" w:rsidP="005E3D95">
      <w:pPr>
        <w:ind w:firstLine="993"/>
        <w:contextualSpacing/>
        <w:rPr>
          <w:rFonts w:asciiTheme="majorBidi" w:hAnsiTheme="majorBidi" w:cstheme="majorBidi"/>
          <w:bCs/>
          <w:i/>
          <w:iCs/>
          <w:sz w:val="24"/>
          <w:szCs w:val="24"/>
        </w:rPr>
      </w:pPr>
      <w:r w:rsidRPr="00E8426E">
        <w:rPr>
          <w:rFonts w:asciiTheme="majorBidi" w:hAnsiTheme="majorBidi" w:cstheme="majorBidi"/>
          <w:i/>
          <w:sz w:val="24"/>
          <w:szCs w:val="24"/>
        </w:rPr>
        <w:t>UGT1A1-hæmmere</w:t>
      </w:r>
    </w:p>
    <w:p w:rsidR="005E3D95" w:rsidRPr="00E8426E" w:rsidRDefault="005E3D95" w:rsidP="005E3D95">
      <w:pPr>
        <w:tabs>
          <w:tab w:val="left" w:pos="993"/>
        </w:tabs>
        <w:contextualSpacing/>
        <w:rPr>
          <w:rFonts w:asciiTheme="majorBidi" w:hAnsiTheme="majorBidi" w:cstheme="majorBidi"/>
          <w:bCs/>
          <w:sz w:val="24"/>
          <w:szCs w:val="24"/>
        </w:rPr>
      </w:pPr>
      <w:r>
        <w:rPr>
          <w:rFonts w:asciiTheme="majorBidi" w:hAnsiTheme="majorBidi" w:cstheme="majorBidi"/>
          <w:sz w:val="24"/>
          <w:szCs w:val="24"/>
        </w:rPr>
        <w:tab/>
      </w:r>
      <w:r w:rsidRPr="00E8426E">
        <w:rPr>
          <w:rFonts w:asciiTheme="majorBidi" w:hAnsiTheme="majorBidi" w:cstheme="majorBidi"/>
          <w:sz w:val="24"/>
          <w:szCs w:val="24"/>
        </w:rPr>
        <w:t xml:space="preserve">UGT1A1‑hæmmere kan muligvis påvirke den systemiske eksponering for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5E3D95">
        <w:rPr>
          <w:b/>
          <w:sz w:val="24"/>
          <w:szCs w:val="24"/>
        </w:rPr>
        <w:t>Fertilitet, g</w:t>
      </w:r>
      <w:r w:rsidRPr="00C84483">
        <w:rPr>
          <w:b/>
          <w:sz w:val="24"/>
          <w:szCs w:val="24"/>
        </w:rPr>
        <w:t>raviditet og amning</w:t>
      </w:r>
    </w:p>
    <w:p w:rsidR="003517BF" w:rsidRDefault="003517BF" w:rsidP="00695DDA">
      <w:pPr>
        <w:tabs>
          <w:tab w:val="left" w:pos="851"/>
        </w:tabs>
        <w:ind w:left="851"/>
        <w:rPr>
          <w:sz w:val="24"/>
          <w:szCs w:val="24"/>
          <w:u w:val="single"/>
        </w:rPr>
      </w:pPr>
    </w:p>
    <w:p w:rsidR="00695DDA" w:rsidRPr="00695DDA" w:rsidRDefault="00695DDA" w:rsidP="00695DDA">
      <w:pPr>
        <w:tabs>
          <w:tab w:val="left" w:pos="851"/>
        </w:tabs>
        <w:ind w:left="851"/>
        <w:rPr>
          <w:sz w:val="24"/>
          <w:szCs w:val="24"/>
          <w:u w:val="single"/>
        </w:rPr>
      </w:pPr>
      <w:r w:rsidRPr="00695DDA">
        <w:rPr>
          <w:sz w:val="24"/>
          <w:szCs w:val="24"/>
          <w:u w:val="single"/>
        </w:rPr>
        <w:t>Graviditet</w:t>
      </w:r>
    </w:p>
    <w:p w:rsidR="005E3D95" w:rsidRPr="00E8426E" w:rsidRDefault="00695DDA" w:rsidP="005E3D95">
      <w:pPr>
        <w:tabs>
          <w:tab w:val="left" w:pos="851"/>
        </w:tabs>
        <w:ind w:left="851"/>
        <w:rPr>
          <w:rFonts w:asciiTheme="majorBidi" w:hAnsiTheme="majorBidi" w:cstheme="majorBidi"/>
          <w:sz w:val="24"/>
          <w:szCs w:val="24"/>
        </w:rPr>
      </w:pPr>
      <w:r w:rsidRPr="00695DDA">
        <w:rPr>
          <w:sz w:val="24"/>
          <w:szCs w:val="24"/>
        </w:rPr>
        <w:t xml:space="preserve">Der er </w:t>
      </w:r>
      <w:r w:rsidR="005E3D95" w:rsidRPr="00E8426E">
        <w:rPr>
          <w:rFonts w:asciiTheme="majorBidi" w:hAnsiTheme="majorBidi" w:cstheme="majorBidi"/>
          <w:sz w:val="24"/>
          <w:szCs w:val="24"/>
        </w:rPr>
        <w:t xml:space="preserve">til dags dato begrænset erfaring med brugen af </w:t>
      </w:r>
      <w:proofErr w:type="spellStart"/>
      <w:r w:rsidR="005E3D95" w:rsidRPr="00E8426E">
        <w:rPr>
          <w:rFonts w:asciiTheme="majorBidi" w:hAnsiTheme="majorBidi" w:cstheme="majorBidi"/>
          <w:sz w:val="24"/>
          <w:szCs w:val="24"/>
        </w:rPr>
        <w:t>buprenorphin</w:t>
      </w:r>
      <w:proofErr w:type="spellEnd"/>
      <w:r w:rsidR="005E3D95" w:rsidRPr="00E8426E">
        <w:rPr>
          <w:rFonts w:asciiTheme="majorBidi" w:hAnsiTheme="majorBidi" w:cstheme="majorBidi"/>
          <w:sz w:val="24"/>
          <w:szCs w:val="24"/>
        </w:rPr>
        <w:t xml:space="preserve"> hos gravide kvinder. Dyrestudier med </w:t>
      </w:r>
      <w:proofErr w:type="spellStart"/>
      <w:r w:rsidR="005E3D95" w:rsidRPr="00E8426E">
        <w:rPr>
          <w:rFonts w:asciiTheme="majorBidi" w:hAnsiTheme="majorBidi" w:cstheme="majorBidi"/>
          <w:sz w:val="24"/>
          <w:szCs w:val="24"/>
        </w:rPr>
        <w:t>Subutex</w:t>
      </w:r>
      <w:proofErr w:type="spellEnd"/>
      <w:r w:rsidR="005E3D95">
        <w:rPr>
          <w:rFonts w:asciiTheme="majorBidi" w:hAnsiTheme="majorBidi" w:cstheme="majorBidi"/>
          <w:sz w:val="24"/>
          <w:szCs w:val="24"/>
        </w:rPr>
        <w:t xml:space="preserve"> </w:t>
      </w:r>
      <w:r w:rsidR="005E3D95" w:rsidRPr="00E8426E">
        <w:rPr>
          <w:rFonts w:asciiTheme="majorBidi" w:hAnsiTheme="majorBidi" w:cstheme="majorBidi"/>
          <w:sz w:val="24"/>
          <w:szCs w:val="24"/>
        </w:rPr>
        <w:t>har vist reproduktionstoksicitet hovedsageligt på grund af hjælpestoffet N-methyl-2-pyrrolidon (NMP) (se pkt. 5.3).</w:t>
      </w:r>
    </w:p>
    <w:p w:rsidR="005E3D95" w:rsidRPr="00E8426E" w:rsidRDefault="005E3D95" w:rsidP="005E3D95">
      <w:pPr>
        <w:contextualSpacing/>
        <w:rPr>
          <w:rFonts w:asciiTheme="majorBidi" w:hAnsiTheme="majorBidi" w:cstheme="majorBidi"/>
          <w:sz w:val="24"/>
          <w:szCs w:val="24"/>
        </w:rPr>
      </w:pPr>
    </w:p>
    <w:p w:rsidR="005E3D95" w:rsidRPr="00E8426E" w:rsidRDefault="005E3D95" w:rsidP="005E3D95">
      <w:pPr>
        <w:tabs>
          <w:tab w:val="left" w:pos="993"/>
        </w:tabs>
        <w:ind w:left="851"/>
        <w:contextualSpacing/>
        <w:rPr>
          <w:rFonts w:asciiTheme="majorBidi" w:hAnsiTheme="majorBidi" w:cstheme="majorBidi"/>
          <w:sz w:val="24"/>
          <w:szCs w:val="24"/>
        </w:rPr>
      </w:pP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må ikke bruges under graviditet, medmindre behandlingen med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er nødvendig som følge af kvindens kliniske tilstand.</w:t>
      </w:r>
    </w:p>
    <w:p w:rsidR="005E3D95" w:rsidRPr="00E8426E" w:rsidRDefault="005E3D95" w:rsidP="005E3D95">
      <w:pPr>
        <w:tabs>
          <w:tab w:val="left" w:pos="360"/>
        </w:tabs>
        <w:contextualSpacing/>
        <w:rPr>
          <w:rFonts w:asciiTheme="majorBidi" w:hAnsiTheme="majorBidi" w:cstheme="majorBidi"/>
          <w:sz w:val="24"/>
          <w:szCs w:val="24"/>
        </w:rPr>
      </w:pPr>
    </w:p>
    <w:p w:rsidR="00695DDA" w:rsidRDefault="005E3D95" w:rsidP="005E3D95">
      <w:pPr>
        <w:tabs>
          <w:tab w:val="left" w:pos="851"/>
        </w:tabs>
        <w:ind w:left="851"/>
        <w:rPr>
          <w:rFonts w:asciiTheme="majorBidi" w:hAnsiTheme="majorBidi" w:cstheme="majorBidi"/>
          <w:sz w:val="24"/>
          <w:szCs w:val="24"/>
        </w:rPr>
      </w:pP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krydser nemt den </w:t>
      </w:r>
      <w:proofErr w:type="spellStart"/>
      <w:r w:rsidRPr="00E8426E">
        <w:rPr>
          <w:rFonts w:asciiTheme="majorBidi" w:hAnsiTheme="majorBidi" w:cstheme="majorBidi"/>
          <w:sz w:val="24"/>
          <w:szCs w:val="24"/>
        </w:rPr>
        <w:t>placentale</w:t>
      </w:r>
      <w:proofErr w:type="spellEnd"/>
      <w:r w:rsidRPr="00E8426E">
        <w:rPr>
          <w:rFonts w:asciiTheme="majorBidi" w:hAnsiTheme="majorBidi" w:cstheme="majorBidi"/>
          <w:sz w:val="24"/>
          <w:szCs w:val="24"/>
        </w:rPr>
        <w:t xml:space="preserve"> barriere og kan forårsage respirationsdepression hos nyfødte. Kronisk eksponering for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under graviditeten kan forårsage abstinenssyndrom hos nyfødte (f.eks. </w:t>
      </w:r>
      <w:proofErr w:type="spellStart"/>
      <w:r w:rsidRPr="00E8426E">
        <w:rPr>
          <w:rFonts w:asciiTheme="majorBidi" w:hAnsiTheme="majorBidi" w:cstheme="majorBidi"/>
          <w:sz w:val="24"/>
          <w:szCs w:val="24"/>
        </w:rPr>
        <w:t>hypertoni</w:t>
      </w:r>
      <w:proofErr w:type="spellEnd"/>
      <w:r w:rsidRPr="00E8426E">
        <w:rPr>
          <w:rFonts w:asciiTheme="majorBidi" w:hAnsiTheme="majorBidi" w:cstheme="majorBidi"/>
          <w:sz w:val="24"/>
          <w:szCs w:val="24"/>
        </w:rPr>
        <w:t xml:space="preserve">, neonatal </w:t>
      </w:r>
      <w:proofErr w:type="spellStart"/>
      <w:r w:rsidRPr="00E8426E">
        <w:rPr>
          <w:rFonts w:asciiTheme="majorBidi" w:hAnsiTheme="majorBidi" w:cstheme="majorBidi"/>
          <w:sz w:val="24"/>
          <w:szCs w:val="24"/>
        </w:rPr>
        <w:t>tremor</w:t>
      </w:r>
      <w:proofErr w:type="spellEnd"/>
      <w:r w:rsidRPr="00E8426E">
        <w:rPr>
          <w:rFonts w:asciiTheme="majorBidi" w:hAnsiTheme="majorBidi" w:cstheme="majorBidi"/>
          <w:sz w:val="24"/>
          <w:szCs w:val="24"/>
        </w:rPr>
        <w:t xml:space="preserve">, neonatal agitation, </w:t>
      </w:r>
      <w:proofErr w:type="spellStart"/>
      <w:r w:rsidRPr="00E8426E">
        <w:rPr>
          <w:rFonts w:asciiTheme="majorBidi" w:hAnsiTheme="majorBidi" w:cstheme="majorBidi"/>
          <w:sz w:val="24"/>
          <w:szCs w:val="24"/>
        </w:rPr>
        <w:t>myoklonus</w:t>
      </w:r>
      <w:proofErr w:type="spellEnd"/>
      <w:r w:rsidRPr="00E8426E">
        <w:rPr>
          <w:rFonts w:asciiTheme="majorBidi" w:hAnsiTheme="majorBidi" w:cstheme="majorBidi"/>
          <w:sz w:val="24"/>
          <w:szCs w:val="24"/>
        </w:rPr>
        <w:t xml:space="preserve"> eller krampeanfald). Syndromet er almindeligvis forsinket fra adskillige timer til flere dage efter fødslen.</w:t>
      </w:r>
    </w:p>
    <w:p w:rsidR="005E3D95" w:rsidRPr="00695DDA" w:rsidRDefault="005E3D95" w:rsidP="005E3D95">
      <w:pPr>
        <w:tabs>
          <w:tab w:val="left" w:pos="851"/>
        </w:tabs>
        <w:ind w:left="851"/>
        <w:rPr>
          <w:sz w:val="24"/>
          <w:szCs w:val="24"/>
        </w:rPr>
      </w:pPr>
    </w:p>
    <w:p w:rsidR="00695DDA" w:rsidRPr="00695DDA" w:rsidRDefault="00695DDA" w:rsidP="00695DDA">
      <w:pPr>
        <w:tabs>
          <w:tab w:val="left" w:pos="851"/>
        </w:tabs>
        <w:ind w:left="851"/>
        <w:rPr>
          <w:sz w:val="24"/>
          <w:szCs w:val="24"/>
        </w:rPr>
      </w:pPr>
      <w:r w:rsidRPr="00695DDA">
        <w:rPr>
          <w:sz w:val="24"/>
          <w:szCs w:val="24"/>
        </w:rPr>
        <w:t xml:space="preserve">På grund af </w:t>
      </w:r>
      <w:proofErr w:type="spellStart"/>
      <w:r w:rsidRPr="00695DDA">
        <w:rPr>
          <w:sz w:val="24"/>
          <w:szCs w:val="24"/>
        </w:rPr>
        <w:t>buprenorphins</w:t>
      </w:r>
      <w:proofErr w:type="spellEnd"/>
      <w:r w:rsidRPr="00695DDA">
        <w:rPr>
          <w:sz w:val="24"/>
          <w:szCs w:val="24"/>
        </w:rPr>
        <w:t xml:space="preserve"> lange halveringstid bør neonatal overvågning i adskillige dage overvejes i slutningen af graviditeten for at forebygge risikoen for respirationsdepression eller abstinenssyndrom hos nyfødte.</w:t>
      </w:r>
    </w:p>
    <w:p w:rsidR="00695DDA" w:rsidRPr="00695DDA" w:rsidRDefault="00695DDA" w:rsidP="00695DDA">
      <w:pPr>
        <w:tabs>
          <w:tab w:val="left" w:pos="851"/>
        </w:tabs>
        <w:ind w:left="851"/>
        <w:rPr>
          <w:sz w:val="24"/>
          <w:szCs w:val="24"/>
          <w:u w:val="single"/>
        </w:rPr>
      </w:pPr>
    </w:p>
    <w:p w:rsidR="00695DDA" w:rsidRPr="005E3D95" w:rsidRDefault="00695DDA" w:rsidP="005E3D95">
      <w:pPr>
        <w:tabs>
          <w:tab w:val="left" w:pos="993"/>
        </w:tabs>
        <w:ind w:left="851"/>
        <w:contextualSpacing/>
        <w:rPr>
          <w:rFonts w:asciiTheme="majorBidi" w:hAnsiTheme="majorBidi" w:cstheme="majorBidi"/>
          <w:sz w:val="24"/>
          <w:szCs w:val="24"/>
        </w:rPr>
      </w:pPr>
      <w:r w:rsidRPr="005E3D95">
        <w:rPr>
          <w:sz w:val="24"/>
          <w:szCs w:val="24"/>
        </w:rPr>
        <w:t xml:space="preserve">Opioidafhængige kvinder, </w:t>
      </w:r>
      <w:r w:rsidR="005E3D95" w:rsidRPr="005E3D95">
        <w:rPr>
          <w:rFonts w:asciiTheme="majorBidi" w:hAnsiTheme="majorBidi" w:cstheme="majorBidi"/>
          <w:sz w:val="24"/>
          <w:szCs w:val="24"/>
        </w:rPr>
        <w:t xml:space="preserve">der får vedligeholdelsesbehandling med </w:t>
      </w:r>
      <w:proofErr w:type="spellStart"/>
      <w:r w:rsidR="005E3D95" w:rsidRPr="005E3D95">
        <w:rPr>
          <w:rFonts w:asciiTheme="majorBidi" w:hAnsiTheme="majorBidi" w:cstheme="majorBidi"/>
          <w:sz w:val="24"/>
          <w:szCs w:val="24"/>
        </w:rPr>
        <w:t>buprenorphin</w:t>
      </w:r>
      <w:proofErr w:type="spellEnd"/>
      <w:r w:rsidR="005E3D95" w:rsidRPr="005E3D95">
        <w:rPr>
          <w:rFonts w:asciiTheme="majorBidi" w:hAnsiTheme="majorBidi" w:cstheme="majorBidi"/>
          <w:sz w:val="24"/>
          <w:szCs w:val="24"/>
        </w:rPr>
        <w:t xml:space="preserve">, kan få behov for ekstra analgesi under fødslen. Anvendelse af </w:t>
      </w:r>
      <w:proofErr w:type="spellStart"/>
      <w:r w:rsidR="005E3D95" w:rsidRPr="005E3D95">
        <w:rPr>
          <w:rFonts w:asciiTheme="majorBidi" w:hAnsiTheme="majorBidi" w:cstheme="majorBidi"/>
          <w:sz w:val="24"/>
          <w:szCs w:val="24"/>
        </w:rPr>
        <w:t>buprenorphin</w:t>
      </w:r>
      <w:proofErr w:type="spellEnd"/>
      <w:r w:rsidR="005E3D95" w:rsidRPr="005E3D95">
        <w:rPr>
          <w:rFonts w:asciiTheme="majorBidi" w:hAnsiTheme="majorBidi" w:cstheme="majorBidi"/>
          <w:sz w:val="24"/>
          <w:szCs w:val="24"/>
        </w:rPr>
        <w:t xml:space="preserve"> inden fødslen kan føre til respirationsdepression hos den nyfødte. Den nyfødte skal overvåges nøje for tegn på respirationsdepression.</w:t>
      </w:r>
    </w:p>
    <w:p w:rsidR="00695DDA" w:rsidRPr="00695DDA" w:rsidRDefault="00695DDA" w:rsidP="00695DDA">
      <w:pPr>
        <w:tabs>
          <w:tab w:val="left" w:pos="851"/>
        </w:tabs>
        <w:ind w:left="851"/>
        <w:rPr>
          <w:sz w:val="24"/>
          <w:szCs w:val="24"/>
        </w:rPr>
      </w:pPr>
    </w:p>
    <w:p w:rsidR="00695DDA" w:rsidRPr="00695DDA" w:rsidRDefault="00695DDA" w:rsidP="00695DDA">
      <w:pPr>
        <w:tabs>
          <w:tab w:val="left" w:pos="851"/>
        </w:tabs>
        <w:ind w:left="851"/>
        <w:rPr>
          <w:sz w:val="24"/>
          <w:szCs w:val="24"/>
          <w:u w:val="single"/>
        </w:rPr>
      </w:pPr>
      <w:r w:rsidRPr="00695DDA">
        <w:rPr>
          <w:sz w:val="24"/>
          <w:szCs w:val="24"/>
          <w:u w:val="single"/>
        </w:rPr>
        <w:t>Amning</w:t>
      </w:r>
    </w:p>
    <w:p w:rsidR="00695DDA" w:rsidRPr="00695DDA" w:rsidRDefault="00695DDA" w:rsidP="00695DDA">
      <w:pPr>
        <w:tabs>
          <w:tab w:val="left" w:pos="851"/>
        </w:tabs>
        <w:ind w:left="851"/>
        <w:rPr>
          <w:sz w:val="24"/>
          <w:szCs w:val="24"/>
        </w:rPr>
      </w:pPr>
      <w:proofErr w:type="spellStart"/>
      <w:r w:rsidRPr="00695DDA">
        <w:rPr>
          <w:sz w:val="24"/>
          <w:szCs w:val="24"/>
        </w:rPr>
        <w:t>Buprenorphin</w:t>
      </w:r>
      <w:proofErr w:type="spellEnd"/>
      <w:r w:rsidRPr="00695DDA">
        <w:rPr>
          <w:sz w:val="24"/>
          <w:szCs w:val="24"/>
        </w:rPr>
        <w:t xml:space="preserve"> og dets metabolitter udskilles i modermælken.</w:t>
      </w:r>
    </w:p>
    <w:p w:rsidR="00695DDA" w:rsidRPr="00695DDA" w:rsidRDefault="00695DDA" w:rsidP="00695DDA">
      <w:pPr>
        <w:tabs>
          <w:tab w:val="left" w:pos="851"/>
        </w:tabs>
        <w:ind w:left="851"/>
        <w:rPr>
          <w:sz w:val="24"/>
          <w:szCs w:val="24"/>
        </w:rPr>
      </w:pPr>
    </w:p>
    <w:p w:rsidR="005E3D95" w:rsidRPr="00E8426E" w:rsidRDefault="005E3D95" w:rsidP="005E3D95">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Der bør udvises forsigtighed, når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administreres til en ammende kvinde. Barnets udviklings- og sundhedsmæssige fordele ved amning skal tages i betragtning sammen med moderens kliniske behov for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og de mulige bivirkninger for det ammede barn fra lægemidlet eller fra moderens underliggende tilstand.</w:t>
      </w:r>
    </w:p>
    <w:p w:rsidR="00695DDA" w:rsidRPr="00695DDA" w:rsidRDefault="00695DDA" w:rsidP="00695DDA">
      <w:pPr>
        <w:tabs>
          <w:tab w:val="left" w:pos="851"/>
        </w:tabs>
        <w:ind w:left="851"/>
        <w:rPr>
          <w:sz w:val="24"/>
          <w:szCs w:val="24"/>
        </w:rPr>
      </w:pPr>
    </w:p>
    <w:p w:rsidR="00695DDA" w:rsidRPr="00695DDA" w:rsidRDefault="00695DDA" w:rsidP="00695DDA">
      <w:pPr>
        <w:tabs>
          <w:tab w:val="left" w:pos="851"/>
        </w:tabs>
        <w:ind w:left="851"/>
        <w:rPr>
          <w:sz w:val="24"/>
          <w:szCs w:val="24"/>
        </w:rPr>
      </w:pPr>
      <w:r w:rsidRPr="00695DDA">
        <w:rPr>
          <w:sz w:val="24"/>
          <w:szCs w:val="24"/>
        </w:rPr>
        <w:t xml:space="preserve">Ammende kvinder, der tager </w:t>
      </w:r>
      <w:proofErr w:type="spellStart"/>
      <w:r w:rsidRPr="00695DDA">
        <w:rPr>
          <w:sz w:val="24"/>
          <w:szCs w:val="24"/>
        </w:rPr>
        <w:t>buprenorphin</w:t>
      </w:r>
      <w:proofErr w:type="spellEnd"/>
      <w:r w:rsidRPr="00695DDA">
        <w:rPr>
          <w:sz w:val="24"/>
          <w:szCs w:val="24"/>
        </w:rPr>
        <w:t>-præparater, skal rådes til at overvåge spædbarnet for øget døsighed og vejrtrækningsbesvær.</w:t>
      </w:r>
    </w:p>
    <w:p w:rsidR="00695DDA" w:rsidRPr="00695DDA" w:rsidRDefault="00695DDA" w:rsidP="00695DDA">
      <w:pPr>
        <w:tabs>
          <w:tab w:val="left" w:pos="851"/>
        </w:tabs>
        <w:ind w:left="851"/>
        <w:rPr>
          <w:sz w:val="24"/>
          <w:szCs w:val="24"/>
          <w:u w:val="single"/>
        </w:rPr>
      </w:pPr>
    </w:p>
    <w:p w:rsidR="00695DDA" w:rsidRPr="00695DDA" w:rsidRDefault="00695DDA" w:rsidP="00695DDA">
      <w:pPr>
        <w:tabs>
          <w:tab w:val="left" w:pos="851"/>
        </w:tabs>
        <w:ind w:left="851"/>
        <w:rPr>
          <w:sz w:val="24"/>
          <w:szCs w:val="24"/>
          <w:u w:val="single"/>
        </w:rPr>
      </w:pPr>
      <w:r w:rsidRPr="00695DDA">
        <w:rPr>
          <w:sz w:val="24"/>
          <w:szCs w:val="24"/>
          <w:u w:val="single"/>
        </w:rPr>
        <w:t>Fertilitet</w:t>
      </w:r>
    </w:p>
    <w:p w:rsidR="00D922F8" w:rsidRDefault="00695DDA" w:rsidP="00D922F8">
      <w:pPr>
        <w:tabs>
          <w:tab w:val="left" w:pos="993"/>
        </w:tabs>
        <w:ind w:left="851"/>
        <w:contextualSpacing/>
        <w:rPr>
          <w:rFonts w:asciiTheme="majorBidi" w:hAnsiTheme="majorBidi" w:cstheme="majorBidi"/>
        </w:rPr>
      </w:pPr>
      <w:r w:rsidRPr="00695DDA">
        <w:rPr>
          <w:sz w:val="24"/>
          <w:szCs w:val="24"/>
        </w:rPr>
        <w:t xml:space="preserve">Der er ingen </w:t>
      </w:r>
      <w:r w:rsidR="00D922F8" w:rsidRPr="009A1677">
        <w:rPr>
          <w:rFonts w:asciiTheme="majorBidi" w:hAnsiTheme="majorBidi" w:cstheme="majorBidi"/>
        </w:rPr>
        <w:t xml:space="preserve">data om </w:t>
      </w:r>
      <w:proofErr w:type="spellStart"/>
      <w:r w:rsidR="00D922F8" w:rsidRPr="009A1677">
        <w:rPr>
          <w:rFonts w:asciiTheme="majorBidi" w:hAnsiTheme="majorBidi" w:cstheme="majorBidi"/>
        </w:rPr>
        <w:t>buprenorphins</w:t>
      </w:r>
      <w:proofErr w:type="spellEnd"/>
      <w:r w:rsidR="00D922F8" w:rsidRPr="009A1677">
        <w:rPr>
          <w:rFonts w:asciiTheme="majorBidi" w:hAnsiTheme="majorBidi" w:cstheme="majorBidi"/>
        </w:rPr>
        <w:t xml:space="preserve"> virkning på human fertilitet. Der er i dyrestudier med </w:t>
      </w:r>
      <w:proofErr w:type="spellStart"/>
      <w:r w:rsidR="00D922F8" w:rsidRPr="009A1677">
        <w:rPr>
          <w:rFonts w:asciiTheme="majorBidi" w:hAnsiTheme="majorBidi" w:cstheme="majorBidi"/>
        </w:rPr>
        <w:t>buprenorphin</w:t>
      </w:r>
      <w:proofErr w:type="spellEnd"/>
      <w:r w:rsidR="00D922F8" w:rsidRPr="009A1677">
        <w:rPr>
          <w:rFonts w:asciiTheme="majorBidi" w:hAnsiTheme="majorBidi" w:cstheme="majorBidi"/>
        </w:rPr>
        <w:t xml:space="preserve"> observeret negativ virkning på fertilitet (se pkt. 5.3).</w:t>
      </w:r>
    </w:p>
    <w:p w:rsidR="009260DE" w:rsidRPr="00C84483" w:rsidRDefault="009260DE" w:rsidP="00D922F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D922F8">
        <w:rPr>
          <w:b/>
          <w:sz w:val="24"/>
          <w:szCs w:val="24"/>
        </w:rPr>
        <w:t>og</w:t>
      </w:r>
      <w:r w:rsidRPr="00C84483">
        <w:rPr>
          <w:b/>
          <w:sz w:val="24"/>
          <w:szCs w:val="24"/>
        </w:rPr>
        <w:t xml:space="preserve"> betjene maskiner</w:t>
      </w:r>
    </w:p>
    <w:p w:rsidR="007109BF" w:rsidRPr="007109BF" w:rsidRDefault="007109BF" w:rsidP="007109BF">
      <w:pPr>
        <w:tabs>
          <w:tab w:val="left" w:pos="851"/>
        </w:tabs>
        <w:ind w:left="851"/>
        <w:rPr>
          <w:sz w:val="24"/>
          <w:szCs w:val="24"/>
        </w:rPr>
      </w:pPr>
      <w:r w:rsidRPr="007109BF">
        <w:rPr>
          <w:sz w:val="24"/>
          <w:szCs w:val="24"/>
        </w:rPr>
        <w:t>Mærkning</w:t>
      </w:r>
      <w:r w:rsidR="001D242B">
        <w:rPr>
          <w:sz w:val="24"/>
          <w:szCs w:val="24"/>
        </w:rPr>
        <w:t>.</w:t>
      </w:r>
    </w:p>
    <w:p w:rsidR="00D922F8" w:rsidRPr="00E8426E" w:rsidRDefault="00D922F8" w:rsidP="00D922F8">
      <w:pPr>
        <w:keepNext/>
        <w:tabs>
          <w:tab w:val="left" w:pos="0"/>
        </w:tabs>
        <w:contextualSpacing/>
        <w:rPr>
          <w:rFonts w:asciiTheme="majorBidi" w:hAnsiTheme="majorBidi" w:cstheme="majorBidi"/>
          <w:bCs/>
          <w:sz w:val="24"/>
          <w:szCs w:val="24"/>
        </w:rPr>
      </w:pPr>
      <w:r>
        <w:rPr>
          <w:rFonts w:asciiTheme="majorBidi" w:hAnsiTheme="majorBidi" w:cstheme="majorBidi"/>
          <w:bCs/>
          <w:sz w:val="24"/>
          <w:szCs w:val="24"/>
        </w:rPr>
        <w:tab/>
      </w:r>
      <w:r>
        <w:rPr>
          <w:rFonts w:asciiTheme="majorBidi" w:hAnsiTheme="majorBidi" w:cstheme="majorBidi"/>
          <w:bCs/>
          <w:sz w:val="24"/>
          <w:szCs w:val="24"/>
        </w:rPr>
        <w:tab/>
      </w:r>
    </w:p>
    <w:p w:rsidR="00D922F8" w:rsidRPr="00E8426E" w:rsidRDefault="00D922F8" w:rsidP="00D922F8">
      <w:pPr>
        <w:tabs>
          <w:tab w:val="left" w:pos="993"/>
        </w:tabs>
        <w:ind w:left="851"/>
        <w:contextualSpacing/>
        <w:rPr>
          <w:rFonts w:asciiTheme="majorBidi" w:hAnsiTheme="majorBidi" w:cstheme="majorBidi"/>
          <w:sz w:val="24"/>
          <w:szCs w:val="24"/>
        </w:rPr>
      </w:pP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påvirker i moderat grad evnen til at føre motorkøretøj og betjene maskiner, når det administreres til opioidafhængige patienter.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kan forårsage døsighed, svimmelhed og nedsat tankeaktivitet, især i starten af behandlingen og ved dosisjusteringer. Denne </w:t>
      </w:r>
      <w:r w:rsidRPr="00E8426E">
        <w:rPr>
          <w:rFonts w:asciiTheme="majorBidi" w:hAnsiTheme="majorBidi" w:cstheme="majorBidi"/>
          <w:sz w:val="24"/>
          <w:szCs w:val="24"/>
        </w:rPr>
        <w:lastRenderedPageBreak/>
        <w:t>virkning kan være mere udtalt, hvis det bruges sammen med alkohol eller CNS-hæmmende midler (se pkt. 4.4 og 4.5).</w:t>
      </w:r>
    </w:p>
    <w:p w:rsidR="00D922F8" w:rsidRPr="00E8426E" w:rsidRDefault="00D922F8" w:rsidP="00D922F8">
      <w:pPr>
        <w:tabs>
          <w:tab w:val="left" w:pos="0"/>
        </w:tabs>
        <w:contextualSpacing/>
        <w:rPr>
          <w:rFonts w:asciiTheme="majorBidi" w:hAnsiTheme="majorBidi" w:cstheme="majorBidi"/>
          <w:sz w:val="24"/>
          <w:szCs w:val="24"/>
        </w:rPr>
      </w:pPr>
    </w:p>
    <w:p w:rsidR="00D922F8" w:rsidRPr="00E8426E" w:rsidRDefault="00D922F8" w:rsidP="00D922F8">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Patienterne skal advares mod at betjene farlige maskiner, herunder biler, indtil de er rimeligt sikre på, at </w:t>
      </w:r>
      <w:proofErr w:type="spellStart"/>
      <w:r w:rsidRPr="00E8426E">
        <w:rPr>
          <w:rFonts w:asciiTheme="majorBidi" w:hAnsiTheme="majorBidi" w:cstheme="majorBidi"/>
          <w:sz w:val="24"/>
          <w:szCs w:val="24"/>
        </w:rPr>
        <w:t>buprenorphinbehandling</w:t>
      </w:r>
      <w:proofErr w:type="spellEnd"/>
      <w:r w:rsidRPr="00E8426E">
        <w:rPr>
          <w:rFonts w:asciiTheme="majorBidi" w:hAnsiTheme="majorBidi" w:cstheme="majorBidi"/>
          <w:sz w:val="24"/>
          <w:szCs w:val="24"/>
        </w:rPr>
        <w:t xml:space="preserve"> ikke påvirker deres evne til at udføre sådanne aktiviteter.</w:t>
      </w:r>
    </w:p>
    <w:p w:rsidR="00D922F8" w:rsidRDefault="00D922F8" w:rsidP="00D922F8">
      <w:pPr>
        <w:rPr>
          <w:sz w:val="24"/>
          <w:szCs w:val="24"/>
        </w:rPr>
      </w:pPr>
    </w:p>
    <w:p w:rsidR="009260DE" w:rsidRPr="00C84483" w:rsidRDefault="009260DE" w:rsidP="009712D8">
      <w:pPr>
        <w:tabs>
          <w:tab w:val="left" w:pos="851"/>
        </w:tabs>
        <w:rPr>
          <w:b/>
          <w:sz w:val="24"/>
          <w:szCs w:val="24"/>
        </w:rPr>
      </w:pPr>
      <w:r w:rsidRPr="00C84483">
        <w:rPr>
          <w:b/>
          <w:sz w:val="24"/>
          <w:szCs w:val="24"/>
        </w:rPr>
        <w:t>4.8</w:t>
      </w:r>
      <w:r w:rsidR="009712D8">
        <w:rPr>
          <w:b/>
          <w:sz w:val="24"/>
          <w:szCs w:val="24"/>
        </w:rPr>
        <w:tab/>
      </w:r>
      <w:r w:rsidRPr="00C84483">
        <w:rPr>
          <w:b/>
          <w:sz w:val="24"/>
          <w:szCs w:val="24"/>
        </w:rPr>
        <w:t>Bivirkninger</w:t>
      </w:r>
    </w:p>
    <w:p w:rsidR="007109BF" w:rsidRPr="00896A74" w:rsidRDefault="007109BF" w:rsidP="00896A74">
      <w:pPr>
        <w:keepNext/>
        <w:ind w:left="851"/>
        <w:rPr>
          <w:sz w:val="24"/>
          <w:szCs w:val="24"/>
          <w:u w:val="single"/>
          <w:lang w:eastAsia="fr-LU"/>
        </w:rPr>
      </w:pPr>
    </w:p>
    <w:p w:rsidR="007109BF" w:rsidRPr="00896A74" w:rsidRDefault="00D922F8" w:rsidP="00896A74">
      <w:pPr>
        <w:keepNext/>
        <w:ind w:left="851"/>
        <w:rPr>
          <w:sz w:val="24"/>
          <w:szCs w:val="24"/>
          <w:u w:val="single"/>
        </w:rPr>
      </w:pPr>
      <w:r>
        <w:rPr>
          <w:sz w:val="24"/>
          <w:szCs w:val="24"/>
          <w:u w:val="single"/>
        </w:rPr>
        <w:t>Sammenfatning af</w:t>
      </w:r>
      <w:r w:rsidR="007109BF" w:rsidRPr="00896A74">
        <w:rPr>
          <w:sz w:val="24"/>
          <w:szCs w:val="24"/>
          <w:u w:val="single"/>
        </w:rPr>
        <w:t xml:space="preserve"> sikkerhedsprofil</w:t>
      </w:r>
    </w:p>
    <w:p w:rsidR="00D922F8" w:rsidRPr="00D922F8" w:rsidRDefault="00D922F8" w:rsidP="00D922F8">
      <w:pPr>
        <w:ind w:left="851"/>
        <w:contextualSpacing/>
        <w:rPr>
          <w:rFonts w:asciiTheme="majorBidi" w:hAnsiTheme="majorBidi" w:cstheme="majorBidi"/>
          <w:sz w:val="24"/>
          <w:szCs w:val="24"/>
        </w:rPr>
      </w:pPr>
      <w:r w:rsidRPr="00D922F8">
        <w:rPr>
          <w:rFonts w:asciiTheme="majorBidi" w:hAnsiTheme="majorBidi" w:cstheme="majorBidi"/>
          <w:sz w:val="24"/>
          <w:szCs w:val="24"/>
        </w:rPr>
        <w:t xml:space="preserve">De mest almindeligt rapporterede bivirkninger i de pivotale kliniske studier for </w:t>
      </w:r>
      <w:proofErr w:type="spellStart"/>
      <w:r w:rsidRPr="00D922F8">
        <w:rPr>
          <w:rFonts w:asciiTheme="majorBidi" w:hAnsiTheme="majorBidi" w:cstheme="majorBidi"/>
          <w:sz w:val="24"/>
          <w:szCs w:val="24"/>
        </w:rPr>
        <w:t>buprenorphin</w:t>
      </w:r>
      <w:proofErr w:type="spellEnd"/>
      <w:r w:rsidRPr="00D922F8">
        <w:rPr>
          <w:rFonts w:asciiTheme="majorBidi" w:hAnsiTheme="majorBidi" w:cstheme="majorBidi"/>
          <w:sz w:val="24"/>
          <w:szCs w:val="24"/>
        </w:rPr>
        <w:t xml:space="preserve"> </w:t>
      </w:r>
      <w:proofErr w:type="spellStart"/>
      <w:r w:rsidRPr="00D922F8">
        <w:rPr>
          <w:rFonts w:asciiTheme="majorBidi" w:hAnsiTheme="majorBidi" w:cstheme="majorBidi"/>
          <w:sz w:val="24"/>
          <w:szCs w:val="24"/>
        </w:rPr>
        <w:t>sublinguale</w:t>
      </w:r>
      <w:proofErr w:type="spellEnd"/>
      <w:r w:rsidRPr="00D922F8">
        <w:rPr>
          <w:rFonts w:asciiTheme="majorBidi" w:hAnsiTheme="majorBidi" w:cstheme="majorBidi"/>
          <w:sz w:val="24"/>
          <w:szCs w:val="24"/>
        </w:rPr>
        <w:t xml:space="preserve"> tabletter var forstoppelse og symptomer, der almindeligvis forbindes med opioidafvænning (f.eks. </w:t>
      </w:r>
      <w:proofErr w:type="spellStart"/>
      <w:r w:rsidRPr="00D922F8">
        <w:rPr>
          <w:rFonts w:asciiTheme="majorBidi" w:hAnsiTheme="majorBidi" w:cstheme="majorBidi"/>
          <w:sz w:val="24"/>
          <w:szCs w:val="24"/>
        </w:rPr>
        <w:t>insomni</w:t>
      </w:r>
      <w:proofErr w:type="spellEnd"/>
      <w:r w:rsidRPr="00D922F8">
        <w:rPr>
          <w:rFonts w:asciiTheme="majorBidi" w:hAnsiTheme="majorBidi" w:cstheme="majorBidi"/>
          <w:sz w:val="24"/>
          <w:szCs w:val="24"/>
        </w:rPr>
        <w:t xml:space="preserve">, hovedpine, kvalme, </w:t>
      </w:r>
      <w:proofErr w:type="spellStart"/>
      <w:r w:rsidRPr="00D922F8">
        <w:rPr>
          <w:rFonts w:asciiTheme="majorBidi" w:hAnsiTheme="majorBidi" w:cstheme="majorBidi"/>
          <w:sz w:val="24"/>
          <w:szCs w:val="24"/>
        </w:rPr>
        <w:t>hyperhidrose</w:t>
      </w:r>
      <w:proofErr w:type="spellEnd"/>
      <w:r w:rsidRPr="00D922F8">
        <w:rPr>
          <w:rFonts w:asciiTheme="majorBidi" w:hAnsiTheme="majorBidi" w:cstheme="majorBidi"/>
          <w:sz w:val="24"/>
          <w:szCs w:val="24"/>
        </w:rPr>
        <w:t xml:space="preserve"> og smerter). Nogle rapporterede tilfælde af krampeanfald, opkastning, diarré og forhøjede leverfunktionsværdier blev vurderet som alvorlige.</w:t>
      </w:r>
    </w:p>
    <w:p w:rsidR="00D922F8" w:rsidRPr="00D922F8" w:rsidRDefault="00D922F8" w:rsidP="00D922F8">
      <w:pPr>
        <w:contextualSpacing/>
        <w:rPr>
          <w:rFonts w:asciiTheme="majorBidi" w:hAnsiTheme="majorBidi" w:cstheme="majorBidi"/>
          <w:bCs/>
          <w:sz w:val="24"/>
          <w:szCs w:val="24"/>
        </w:rPr>
      </w:pPr>
    </w:p>
    <w:p w:rsidR="00D922F8" w:rsidRPr="00D922F8" w:rsidRDefault="00D922F8" w:rsidP="00D922F8">
      <w:pPr>
        <w:ind w:left="851"/>
        <w:contextualSpacing/>
        <w:rPr>
          <w:rFonts w:asciiTheme="majorBidi" w:hAnsiTheme="majorBidi" w:cstheme="majorBidi"/>
          <w:snapToGrid w:val="0"/>
          <w:sz w:val="24"/>
          <w:szCs w:val="24"/>
        </w:rPr>
      </w:pPr>
      <w:r w:rsidRPr="00D922F8">
        <w:rPr>
          <w:rFonts w:asciiTheme="majorBidi" w:hAnsiTheme="majorBidi" w:cstheme="majorBidi"/>
          <w:sz w:val="24"/>
          <w:szCs w:val="24"/>
        </w:rPr>
        <w:t xml:space="preserve">Hyppigheden af de bivirkninger, der er observeret i løbet af de pivotale kliniske studier med </w:t>
      </w:r>
      <w:proofErr w:type="spellStart"/>
      <w:r w:rsidRPr="00D922F8">
        <w:rPr>
          <w:rFonts w:asciiTheme="majorBidi" w:hAnsiTheme="majorBidi" w:cstheme="majorBidi"/>
          <w:sz w:val="24"/>
          <w:szCs w:val="24"/>
        </w:rPr>
        <w:t>Subutex</w:t>
      </w:r>
      <w:proofErr w:type="spellEnd"/>
      <w:r w:rsidRPr="00D922F8">
        <w:rPr>
          <w:rFonts w:asciiTheme="majorBidi" w:hAnsiTheme="majorBidi" w:cstheme="majorBidi"/>
          <w:sz w:val="24"/>
          <w:szCs w:val="24"/>
        </w:rPr>
        <w:t xml:space="preserve">, svarer til dem, der er rapporteret for </w:t>
      </w:r>
      <w:proofErr w:type="spellStart"/>
      <w:r w:rsidRPr="00D922F8">
        <w:rPr>
          <w:rFonts w:asciiTheme="majorBidi" w:hAnsiTheme="majorBidi" w:cstheme="majorBidi"/>
          <w:sz w:val="24"/>
          <w:szCs w:val="24"/>
        </w:rPr>
        <w:t>buprenorphin</w:t>
      </w:r>
      <w:proofErr w:type="spellEnd"/>
      <w:r w:rsidRPr="00D922F8">
        <w:rPr>
          <w:rFonts w:asciiTheme="majorBidi" w:hAnsiTheme="majorBidi" w:cstheme="majorBidi"/>
          <w:sz w:val="24"/>
          <w:szCs w:val="24"/>
        </w:rPr>
        <w:t xml:space="preserve"> </w:t>
      </w:r>
      <w:proofErr w:type="spellStart"/>
      <w:r w:rsidRPr="00D922F8">
        <w:rPr>
          <w:rFonts w:asciiTheme="majorBidi" w:hAnsiTheme="majorBidi" w:cstheme="majorBidi"/>
          <w:sz w:val="24"/>
          <w:szCs w:val="24"/>
        </w:rPr>
        <w:t>sublinguale</w:t>
      </w:r>
      <w:proofErr w:type="spellEnd"/>
      <w:r w:rsidRPr="00D922F8">
        <w:rPr>
          <w:rFonts w:asciiTheme="majorBidi" w:hAnsiTheme="majorBidi" w:cstheme="majorBidi"/>
          <w:sz w:val="24"/>
          <w:szCs w:val="24"/>
        </w:rPr>
        <w:t xml:space="preserve"> tabletter, med undtagelse af reaktioner på injektionsstedet (f.eks. </w:t>
      </w:r>
      <w:proofErr w:type="spellStart"/>
      <w:r w:rsidRPr="00D922F8">
        <w:rPr>
          <w:rFonts w:asciiTheme="majorBidi" w:hAnsiTheme="majorBidi" w:cstheme="majorBidi"/>
          <w:sz w:val="24"/>
          <w:szCs w:val="24"/>
        </w:rPr>
        <w:t>erytem</w:t>
      </w:r>
      <w:proofErr w:type="spellEnd"/>
      <w:r w:rsidRPr="00D922F8">
        <w:rPr>
          <w:rFonts w:asciiTheme="majorBidi" w:hAnsiTheme="majorBidi" w:cstheme="majorBidi"/>
          <w:sz w:val="24"/>
          <w:szCs w:val="24"/>
        </w:rPr>
        <w:t xml:space="preserve">, </w:t>
      </w:r>
      <w:proofErr w:type="spellStart"/>
      <w:r w:rsidRPr="00D922F8">
        <w:rPr>
          <w:rFonts w:asciiTheme="majorBidi" w:hAnsiTheme="majorBidi" w:cstheme="majorBidi"/>
          <w:sz w:val="24"/>
          <w:szCs w:val="24"/>
        </w:rPr>
        <w:t>induration</w:t>
      </w:r>
      <w:proofErr w:type="spellEnd"/>
      <w:r w:rsidRPr="00D922F8">
        <w:rPr>
          <w:rFonts w:asciiTheme="majorBidi" w:hAnsiTheme="majorBidi" w:cstheme="majorBidi"/>
          <w:sz w:val="24"/>
          <w:szCs w:val="24"/>
        </w:rPr>
        <w:t xml:space="preserve">, smerter og </w:t>
      </w:r>
      <w:proofErr w:type="spellStart"/>
      <w:r w:rsidRPr="00D922F8">
        <w:rPr>
          <w:rFonts w:asciiTheme="majorBidi" w:hAnsiTheme="majorBidi" w:cstheme="majorBidi"/>
          <w:sz w:val="24"/>
          <w:szCs w:val="24"/>
        </w:rPr>
        <w:t>pruritus</w:t>
      </w:r>
      <w:proofErr w:type="spellEnd"/>
      <w:r w:rsidRPr="00D922F8">
        <w:rPr>
          <w:rFonts w:asciiTheme="majorBidi" w:hAnsiTheme="majorBidi" w:cstheme="majorBidi"/>
          <w:sz w:val="24"/>
          <w:szCs w:val="24"/>
        </w:rPr>
        <w:t xml:space="preserve">). </w:t>
      </w:r>
    </w:p>
    <w:p w:rsidR="007109BF" w:rsidRPr="00896A74" w:rsidRDefault="007109BF" w:rsidP="00896A74">
      <w:pPr>
        <w:tabs>
          <w:tab w:val="left" w:pos="360"/>
        </w:tabs>
        <w:ind w:left="851"/>
        <w:rPr>
          <w:sz w:val="24"/>
          <w:szCs w:val="24"/>
        </w:rPr>
      </w:pPr>
    </w:p>
    <w:p w:rsidR="007109BF" w:rsidRPr="00896A74" w:rsidRDefault="007109BF" w:rsidP="00896A74">
      <w:pPr>
        <w:keepNext/>
        <w:ind w:left="851"/>
        <w:rPr>
          <w:sz w:val="24"/>
          <w:szCs w:val="24"/>
          <w:lang w:val="fr-LU"/>
        </w:rPr>
      </w:pPr>
      <w:r w:rsidRPr="00896A74">
        <w:rPr>
          <w:sz w:val="24"/>
          <w:szCs w:val="24"/>
          <w:u w:val="single"/>
        </w:rPr>
        <w:t>Tabel over bivirkninger</w:t>
      </w:r>
    </w:p>
    <w:p w:rsidR="004B15F8" w:rsidRDefault="004B15F8" w:rsidP="00896A74">
      <w:pPr>
        <w:keepNext/>
        <w:ind w:left="851"/>
        <w:rPr>
          <w:sz w:val="24"/>
          <w:szCs w:val="24"/>
        </w:rPr>
      </w:pPr>
    </w:p>
    <w:p w:rsidR="00D922F8" w:rsidRPr="00E8426E" w:rsidRDefault="00D922F8" w:rsidP="00D922F8">
      <w:pPr>
        <w:ind w:left="851"/>
        <w:contextualSpacing/>
        <w:rPr>
          <w:rFonts w:asciiTheme="majorBidi" w:hAnsiTheme="majorBidi" w:cstheme="majorBidi"/>
          <w:bCs/>
          <w:sz w:val="24"/>
          <w:szCs w:val="24"/>
        </w:rPr>
      </w:pPr>
      <w:r w:rsidRPr="00E8426E">
        <w:rPr>
          <w:rFonts w:asciiTheme="majorBidi" w:hAnsiTheme="majorBidi" w:cstheme="majorBidi"/>
          <w:sz w:val="24"/>
          <w:szCs w:val="24"/>
        </w:rPr>
        <w:t xml:space="preserve">De bivirkninger, der skyldes behandling med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fremgår af nedenstående tabel. Tabellen er baseret på de bivirkninger, der blev rapporteret i løbet af de kliniske studier og/eller er indberettet efter markedsføringen.</w:t>
      </w:r>
    </w:p>
    <w:p w:rsidR="00D922F8" w:rsidRPr="00E8426E" w:rsidRDefault="00D922F8" w:rsidP="00D922F8">
      <w:pPr>
        <w:contextualSpacing/>
        <w:rPr>
          <w:rFonts w:asciiTheme="majorBidi" w:hAnsiTheme="majorBidi" w:cstheme="majorBidi"/>
          <w:bCs/>
          <w:sz w:val="24"/>
          <w:szCs w:val="24"/>
        </w:rPr>
      </w:pPr>
    </w:p>
    <w:p w:rsidR="00D922F8" w:rsidRPr="00E8426E" w:rsidRDefault="00D922F8" w:rsidP="00D922F8">
      <w:pPr>
        <w:ind w:left="851"/>
        <w:contextualSpacing/>
        <w:rPr>
          <w:rFonts w:asciiTheme="majorBidi" w:hAnsiTheme="majorBidi" w:cstheme="majorBidi"/>
          <w:sz w:val="24"/>
          <w:szCs w:val="24"/>
        </w:rPr>
      </w:pPr>
      <w:r w:rsidRPr="00E8426E">
        <w:rPr>
          <w:rFonts w:asciiTheme="majorBidi" w:hAnsiTheme="majorBidi" w:cstheme="majorBidi"/>
          <w:sz w:val="24"/>
          <w:szCs w:val="24"/>
        </w:rPr>
        <w:t>Alle bivirkningerne er angivet i henhold til systemorganklasse: Meget almindelig (≥ 1/10), almindelig (≥ 1/100 til &lt; 1/10), ikke almindelig (≥ 1/1.000 til &lt; 1/100), sjælden (≥ 1/10.000 til &lt; 1/1.000), meget sjælden (&lt; 1/10.000) og ikke kendt (hyppigheden kan ikke estimeres ud fra forhåndenværende data). Bivirkningerne er angivet i rækkefølge efter alvorlighed inden for hver hyppighedsgruppe. De mest alvorlige er angivet først.</w:t>
      </w:r>
    </w:p>
    <w:p w:rsidR="00D922F8" w:rsidRPr="00E8426E" w:rsidRDefault="00D922F8" w:rsidP="00D922F8">
      <w:pPr>
        <w:contextualSpacing/>
        <w:rPr>
          <w:rFonts w:asciiTheme="majorBidi" w:hAnsiTheme="majorBidi" w:cstheme="majorBidi"/>
          <w:sz w:val="24"/>
          <w:szCs w:val="24"/>
        </w:rPr>
      </w:pPr>
    </w:p>
    <w:p w:rsidR="00D922F8" w:rsidRPr="00E8426E" w:rsidRDefault="00D922F8" w:rsidP="00D922F8">
      <w:pPr>
        <w:ind w:left="851"/>
        <w:contextualSpacing/>
        <w:rPr>
          <w:rFonts w:asciiTheme="majorBidi" w:hAnsiTheme="majorBidi" w:cstheme="majorBidi"/>
          <w:sz w:val="24"/>
          <w:szCs w:val="24"/>
        </w:rPr>
      </w:pPr>
      <w:r w:rsidRPr="00E8426E">
        <w:rPr>
          <w:rFonts w:asciiTheme="majorBidi" w:hAnsiTheme="majorBidi" w:cstheme="majorBidi"/>
          <w:sz w:val="24"/>
          <w:szCs w:val="24"/>
        </w:rPr>
        <w:t>Hyppigheden af de bivirkninger, der er indberettet efter markedsføringen, kan ikke bestemmes, da de stammer fra spontane indberetninger. Derfor er hyppigheden af disse bivirkninger anført som ”Ikke kendt”.</w:t>
      </w:r>
    </w:p>
    <w:p w:rsidR="007109BF" w:rsidRDefault="007109BF" w:rsidP="00896A74">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39"/>
        <w:gridCol w:w="2525"/>
        <w:gridCol w:w="39"/>
        <w:gridCol w:w="1717"/>
        <w:gridCol w:w="1970"/>
        <w:gridCol w:w="39"/>
        <w:gridCol w:w="1340"/>
      </w:tblGrid>
      <w:tr w:rsidR="00D922F8" w:rsidRPr="009A1677" w:rsidTr="003E6E00">
        <w:trPr>
          <w:cantSplit/>
        </w:trPr>
        <w:tc>
          <w:tcPr>
            <w:tcW w:w="888" w:type="pct"/>
            <w:shd w:val="clear" w:color="auto" w:fill="auto"/>
          </w:tcPr>
          <w:p w:rsidR="00D922F8" w:rsidRPr="009A1677" w:rsidRDefault="00D922F8" w:rsidP="003E6E00">
            <w:pPr>
              <w:keepNext/>
              <w:contextualSpacing/>
              <w:rPr>
                <w:rFonts w:asciiTheme="majorBidi" w:hAnsiTheme="majorBidi" w:cstheme="majorBidi"/>
                <w:b/>
              </w:rPr>
            </w:pPr>
            <w:r w:rsidRPr="009A1677">
              <w:rPr>
                <w:rFonts w:asciiTheme="majorBidi" w:hAnsiTheme="majorBidi" w:cstheme="majorBidi"/>
                <w:b/>
              </w:rPr>
              <w:t>Systemorganklasse</w:t>
            </w:r>
          </w:p>
        </w:tc>
        <w:tc>
          <w:tcPr>
            <w:tcW w:w="1173" w:type="pct"/>
            <w:gridSpan w:val="3"/>
            <w:shd w:val="clear" w:color="auto" w:fill="auto"/>
          </w:tcPr>
          <w:p w:rsidR="00D922F8" w:rsidRPr="009A1677" w:rsidRDefault="00D922F8" w:rsidP="003E6E00">
            <w:pPr>
              <w:keepNext/>
              <w:contextualSpacing/>
              <w:rPr>
                <w:rFonts w:asciiTheme="majorBidi" w:hAnsiTheme="majorBidi" w:cstheme="majorBidi"/>
                <w:b/>
              </w:rPr>
            </w:pPr>
            <w:r w:rsidRPr="009A1677">
              <w:rPr>
                <w:rFonts w:asciiTheme="majorBidi" w:hAnsiTheme="majorBidi" w:cstheme="majorBidi"/>
                <w:b/>
              </w:rPr>
              <w:t>Meget almindelig</w:t>
            </w:r>
          </w:p>
        </w:tc>
        <w:tc>
          <w:tcPr>
            <w:tcW w:w="873" w:type="pct"/>
            <w:shd w:val="clear" w:color="auto" w:fill="auto"/>
          </w:tcPr>
          <w:p w:rsidR="00D922F8" w:rsidRPr="009A1677" w:rsidRDefault="00D922F8" w:rsidP="003E6E00">
            <w:pPr>
              <w:keepNext/>
              <w:contextualSpacing/>
              <w:rPr>
                <w:rFonts w:asciiTheme="majorBidi" w:hAnsiTheme="majorBidi" w:cstheme="majorBidi"/>
                <w:b/>
              </w:rPr>
            </w:pPr>
            <w:r w:rsidRPr="009A1677">
              <w:rPr>
                <w:rFonts w:asciiTheme="majorBidi" w:hAnsiTheme="majorBidi" w:cstheme="majorBidi"/>
                <w:b/>
              </w:rPr>
              <w:t>Almindelig</w:t>
            </w:r>
          </w:p>
          <w:p w:rsidR="00D922F8" w:rsidRPr="009A1677" w:rsidRDefault="00D922F8" w:rsidP="003E6E00">
            <w:pPr>
              <w:keepNext/>
              <w:contextualSpacing/>
              <w:rPr>
                <w:rFonts w:asciiTheme="majorBidi" w:hAnsiTheme="majorBidi" w:cstheme="majorBidi"/>
                <w:b/>
              </w:rPr>
            </w:pPr>
          </w:p>
        </w:tc>
        <w:tc>
          <w:tcPr>
            <w:tcW w:w="927" w:type="pct"/>
            <w:shd w:val="clear" w:color="auto" w:fill="auto"/>
          </w:tcPr>
          <w:p w:rsidR="00D922F8" w:rsidRPr="009A1677" w:rsidRDefault="00D922F8" w:rsidP="003E6E00">
            <w:pPr>
              <w:keepNext/>
              <w:contextualSpacing/>
              <w:rPr>
                <w:rFonts w:asciiTheme="majorBidi" w:hAnsiTheme="majorBidi" w:cstheme="majorBidi"/>
                <w:b/>
              </w:rPr>
            </w:pPr>
            <w:r w:rsidRPr="009A1677">
              <w:rPr>
                <w:rFonts w:asciiTheme="majorBidi" w:hAnsiTheme="majorBidi" w:cstheme="majorBidi"/>
                <w:b/>
              </w:rPr>
              <w:t>Ikke almindelig</w:t>
            </w:r>
          </w:p>
        </w:tc>
        <w:tc>
          <w:tcPr>
            <w:tcW w:w="614" w:type="pct"/>
            <w:gridSpan w:val="2"/>
          </w:tcPr>
          <w:p w:rsidR="00D922F8" w:rsidRPr="009A1677" w:rsidRDefault="00D922F8" w:rsidP="003E6E00">
            <w:pPr>
              <w:keepNext/>
              <w:contextualSpacing/>
              <w:rPr>
                <w:rFonts w:asciiTheme="majorBidi" w:hAnsiTheme="majorBidi" w:cstheme="majorBidi"/>
                <w:b/>
                <w:bCs/>
              </w:rPr>
            </w:pPr>
            <w:r w:rsidRPr="009A1677">
              <w:rPr>
                <w:rFonts w:asciiTheme="majorBidi" w:hAnsiTheme="majorBidi" w:cstheme="majorBidi"/>
                <w:b/>
              </w:rPr>
              <w:t>Meget sjælden</w:t>
            </w:r>
          </w:p>
        </w:tc>
      </w:tr>
      <w:tr w:rsidR="00D922F8" w:rsidRPr="009A1677" w:rsidTr="003E6E00">
        <w:tc>
          <w:tcPr>
            <w:tcW w:w="888" w:type="pct"/>
            <w:shd w:val="clear" w:color="auto" w:fill="auto"/>
          </w:tcPr>
          <w:p w:rsidR="00D922F8" w:rsidRPr="009A1677" w:rsidRDefault="00D922F8" w:rsidP="003E6E00">
            <w:pPr>
              <w:keepNext/>
              <w:contextualSpacing/>
              <w:rPr>
                <w:rFonts w:asciiTheme="majorBidi" w:hAnsiTheme="majorBidi" w:cstheme="majorBidi"/>
                <w:b/>
              </w:rPr>
            </w:pPr>
            <w:r w:rsidRPr="009A1677">
              <w:rPr>
                <w:rFonts w:asciiTheme="majorBidi" w:hAnsiTheme="majorBidi" w:cstheme="majorBidi"/>
                <w:b/>
              </w:rPr>
              <w:t>Infektioner og parasitære sygdomme</w:t>
            </w:r>
          </w:p>
        </w:tc>
        <w:tc>
          <w:tcPr>
            <w:tcW w:w="1173" w:type="pct"/>
            <w:gridSpan w:val="3"/>
            <w:shd w:val="clear" w:color="auto" w:fill="auto"/>
          </w:tcPr>
          <w:p w:rsidR="00D922F8" w:rsidRPr="009A1677" w:rsidRDefault="00D922F8" w:rsidP="003E6E00">
            <w:pPr>
              <w:keepNext/>
              <w:contextualSpacing/>
              <w:rPr>
                <w:rFonts w:asciiTheme="majorBidi" w:hAnsiTheme="majorBidi" w:cstheme="majorBidi"/>
                <w:b/>
              </w:rPr>
            </w:pPr>
          </w:p>
        </w:tc>
        <w:tc>
          <w:tcPr>
            <w:tcW w:w="873" w:type="pct"/>
            <w:shd w:val="clear" w:color="auto" w:fill="auto"/>
          </w:tcPr>
          <w:p w:rsidR="00D922F8" w:rsidRPr="009A1677" w:rsidRDefault="00D922F8" w:rsidP="003E6E00">
            <w:pPr>
              <w:keepNext/>
              <w:contextualSpacing/>
              <w:rPr>
                <w:rFonts w:asciiTheme="majorBidi" w:hAnsiTheme="majorBidi" w:cstheme="majorBidi"/>
              </w:rPr>
            </w:pPr>
            <w:r w:rsidRPr="009A1677">
              <w:rPr>
                <w:rFonts w:asciiTheme="majorBidi" w:hAnsiTheme="majorBidi" w:cstheme="majorBidi"/>
              </w:rPr>
              <w:t>Bronkitis</w:t>
            </w:r>
          </w:p>
          <w:p w:rsidR="00D922F8" w:rsidRPr="009A1677" w:rsidRDefault="00D922F8" w:rsidP="003E6E00">
            <w:pPr>
              <w:keepNext/>
              <w:contextualSpacing/>
              <w:rPr>
                <w:rFonts w:asciiTheme="majorBidi" w:hAnsiTheme="majorBidi" w:cstheme="majorBidi"/>
              </w:rPr>
            </w:pPr>
            <w:r w:rsidRPr="009A1677">
              <w:rPr>
                <w:rFonts w:asciiTheme="majorBidi" w:hAnsiTheme="majorBidi" w:cstheme="majorBidi"/>
              </w:rPr>
              <w:t>Infektion</w:t>
            </w:r>
          </w:p>
          <w:p w:rsidR="00D922F8" w:rsidRPr="009A1677" w:rsidRDefault="00D922F8" w:rsidP="003E6E00">
            <w:pPr>
              <w:keepNext/>
              <w:contextualSpacing/>
              <w:rPr>
                <w:rFonts w:asciiTheme="majorBidi" w:hAnsiTheme="majorBidi" w:cstheme="majorBidi"/>
              </w:rPr>
            </w:pPr>
            <w:r w:rsidRPr="009A1677">
              <w:rPr>
                <w:rFonts w:asciiTheme="majorBidi" w:hAnsiTheme="majorBidi" w:cstheme="majorBidi"/>
              </w:rPr>
              <w:t>Influenza</w:t>
            </w:r>
          </w:p>
          <w:p w:rsidR="00D922F8" w:rsidRPr="009A1677" w:rsidRDefault="00D922F8" w:rsidP="003E6E00">
            <w:pPr>
              <w:keepNext/>
              <w:contextualSpacing/>
              <w:rPr>
                <w:rFonts w:asciiTheme="majorBidi" w:hAnsiTheme="majorBidi" w:cstheme="majorBidi"/>
              </w:rPr>
            </w:pPr>
            <w:proofErr w:type="spellStart"/>
            <w:r w:rsidRPr="009A1677">
              <w:rPr>
                <w:rFonts w:asciiTheme="majorBidi" w:hAnsiTheme="majorBidi" w:cstheme="majorBidi"/>
              </w:rPr>
              <w:t>Pharyngitis</w:t>
            </w:r>
            <w:proofErr w:type="spellEnd"/>
          </w:p>
          <w:p w:rsidR="00D922F8" w:rsidRPr="009A1677" w:rsidRDefault="00D922F8" w:rsidP="003E6E00">
            <w:pPr>
              <w:keepNext/>
              <w:contextualSpacing/>
              <w:rPr>
                <w:rFonts w:asciiTheme="majorBidi" w:hAnsiTheme="majorBidi" w:cstheme="majorBidi"/>
                <w:b/>
              </w:rPr>
            </w:pPr>
            <w:proofErr w:type="spellStart"/>
            <w:r w:rsidRPr="009A1677">
              <w:rPr>
                <w:rFonts w:asciiTheme="majorBidi" w:hAnsiTheme="majorBidi" w:cstheme="majorBidi"/>
              </w:rPr>
              <w:t>Rhinitis</w:t>
            </w:r>
            <w:proofErr w:type="spellEnd"/>
          </w:p>
        </w:tc>
        <w:tc>
          <w:tcPr>
            <w:tcW w:w="927" w:type="pct"/>
            <w:shd w:val="clear" w:color="auto" w:fill="auto"/>
          </w:tcPr>
          <w:p w:rsidR="00D922F8" w:rsidRPr="009A1677" w:rsidRDefault="00D922F8" w:rsidP="003E6E00">
            <w:pPr>
              <w:keepNext/>
              <w:contextualSpacing/>
              <w:rPr>
                <w:rFonts w:asciiTheme="majorBidi" w:hAnsiTheme="majorBidi" w:cstheme="majorBidi"/>
                <w:bCs/>
              </w:rPr>
            </w:pPr>
            <w:r w:rsidRPr="009A1677">
              <w:rPr>
                <w:rFonts w:asciiTheme="majorBidi" w:hAnsiTheme="majorBidi" w:cstheme="majorBidi"/>
              </w:rPr>
              <w:t>Cellulitis på injektionsstedet*</w:t>
            </w:r>
          </w:p>
          <w:p w:rsidR="00D922F8" w:rsidRPr="009A1677" w:rsidRDefault="00D922F8" w:rsidP="003E6E00">
            <w:pPr>
              <w:keepNext/>
              <w:contextualSpacing/>
              <w:rPr>
                <w:rFonts w:asciiTheme="majorBidi" w:hAnsiTheme="majorBidi" w:cstheme="majorBidi"/>
                <w:bCs/>
              </w:rPr>
            </w:pPr>
            <w:r w:rsidRPr="009A1677">
              <w:rPr>
                <w:rFonts w:asciiTheme="majorBidi" w:hAnsiTheme="majorBidi" w:cstheme="majorBidi"/>
              </w:rPr>
              <w:t>Infektion på injektionsstedet*</w:t>
            </w:r>
          </w:p>
          <w:p w:rsidR="00D922F8" w:rsidRPr="009A1677" w:rsidRDefault="00D922F8" w:rsidP="003E6E00">
            <w:pPr>
              <w:keepNext/>
              <w:contextualSpacing/>
              <w:rPr>
                <w:rFonts w:asciiTheme="majorBidi" w:hAnsiTheme="majorBidi" w:cstheme="majorBidi"/>
                <w:lang w:val="fr-FR"/>
              </w:rPr>
            </w:pPr>
          </w:p>
        </w:tc>
        <w:tc>
          <w:tcPr>
            <w:tcW w:w="614" w:type="pct"/>
            <w:gridSpan w:val="2"/>
          </w:tcPr>
          <w:p w:rsidR="00D922F8" w:rsidRPr="009A1677" w:rsidRDefault="00D922F8" w:rsidP="003E6E00">
            <w:pPr>
              <w:keepNext/>
              <w:contextualSpacing/>
              <w:rPr>
                <w:rFonts w:asciiTheme="majorBidi" w:hAnsiTheme="majorBidi" w:cstheme="majorBidi"/>
                <w:bCs/>
                <w:lang w:val="fr-FR"/>
              </w:rPr>
            </w:pPr>
          </w:p>
        </w:tc>
      </w:tr>
      <w:tr w:rsidR="00D922F8" w:rsidRPr="009A1677" w:rsidTr="003E6E00">
        <w:tc>
          <w:tcPr>
            <w:tcW w:w="888" w:type="pct"/>
            <w:shd w:val="clear" w:color="auto" w:fill="auto"/>
          </w:tcPr>
          <w:p w:rsidR="00D922F8" w:rsidRPr="009A1677" w:rsidRDefault="00D922F8" w:rsidP="003E6E00">
            <w:pPr>
              <w:keepNext/>
              <w:contextualSpacing/>
              <w:rPr>
                <w:rFonts w:asciiTheme="majorBidi" w:hAnsiTheme="majorBidi" w:cstheme="majorBidi"/>
                <w:b/>
              </w:rPr>
            </w:pPr>
            <w:r w:rsidRPr="009A1677">
              <w:rPr>
                <w:rFonts w:asciiTheme="majorBidi" w:hAnsiTheme="majorBidi" w:cstheme="majorBidi"/>
                <w:b/>
              </w:rPr>
              <w:t>Blod og lymfesystem</w:t>
            </w:r>
          </w:p>
        </w:tc>
        <w:tc>
          <w:tcPr>
            <w:tcW w:w="1173" w:type="pct"/>
            <w:gridSpan w:val="3"/>
            <w:shd w:val="clear" w:color="auto" w:fill="auto"/>
          </w:tcPr>
          <w:p w:rsidR="00D922F8" w:rsidRPr="009A1677" w:rsidRDefault="00D922F8" w:rsidP="003E6E00">
            <w:pPr>
              <w:keepNext/>
              <w:contextualSpacing/>
              <w:rPr>
                <w:rFonts w:asciiTheme="majorBidi" w:hAnsiTheme="majorBidi" w:cstheme="majorBidi"/>
                <w:b/>
              </w:rPr>
            </w:pPr>
          </w:p>
        </w:tc>
        <w:tc>
          <w:tcPr>
            <w:tcW w:w="873" w:type="pct"/>
            <w:shd w:val="clear" w:color="auto" w:fill="auto"/>
          </w:tcPr>
          <w:p w:rsidR="00D922F8" w:rsidRPr="009A1677" w:rsidRDefault="00D922F8" w:rsidP="003E6E00">
            <w:pPr>
              <w:keepNext/>
              <w:contextualSpacing/>
              <w:rPr>
                <w:rFonts w:asciiTheme="majorBidi" w:hAnsiTheme="majorBidi" w:cstheme="majorBidi"/>
              </w:rPr>
            </w:pPr>
            <w:proofErr w:type="spellStart"/>
            <w:r w:rsidRPr="009A1677">
              <w:rPr>
                <w:rFonts w:asciiTheme="majorBidi" w:hAnsiTheme="majorBidi" w:cstheme="majorBidi"/>
              </w:rPr>
              <w:t>Lymfadenopati</w:t>
            </w:r>
            <w:proofErr w:type="spellEnd"/>
          </w:p>
        </w:tc>
        <w:tc>
          <w:tcPr>
            <w:tcW w:w="927" w:type="pct"/>
            <w:shd w:val="clear" w:color="auto" w:fill="auto"/>
          </w:tcPr>
          <w:p w:rsidR="00D922F8" w:rsidRPr="009A1677" w:rsidRDefault="00D922F8" w:rsidP="003E6E00">
            <w:pPr>
              <w:keepNext/>
              <w:contextualSpacing/>
              <w:rPr>
                <w:rFonts w:asciiTheme="majorBidi" w:hAnsiTheme="majorBidi" w:cstheme="majorBidi"/>
              </w:rPr>
            </w:pPr>
          </w:p>
        </w:tc>
        <w:tc>
          <w:tcPr>
            <w:tcW w:w="614" w:type="pct"/>
            <w:gridSpan w:val="2"/>
          </w:tcPr>
          <w:p w:rsidR="00D922F8" w:rsidRPr="009A1677" w:rsidRDefault="00D922F8" w:rsidP="003E6E00">
            <w:pPr>
              <w:keepNext/>
              <w:contextualSpacing/>
              <w:rPr>
                <w:rFonts w:asciiTheme="majorBidi" w:hAnsiTheme="majorBidi" w:cstheme="majorBidi"/>
                <w:bCs/>
              </w:rPr>
            </w:pPr>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t>Immunsystemet</w:t>
            </w:r>
          </w:p>
        </w:tc>
        <w:tc>
          <w:tcPr>
            <w:tcW w:w="1173" w:type="pct"/>
            <w:gridSpan w:val="3"/>
            <w:shd w:val="clear" w:color="auto" w:fill="auto"/>
          </w:tcPr>
          <w:p w:rsidR="00D922F8" w:rsidRPr="009A1677" w:rsidRDefault="00D922F8" w:rsidP="003E6E00">
            <w:pPr>
              <w:contextualSpacing/>
              <w:rPr>
                <w:rFonts w:asciiTheme="majorBidi" w:hAnsiTheme="majorBidi" w:cstheme="majorBidi"/>
                <w:b/>
              </w:rPr>
            </w:pPr>
          </w:p>
        </w:tc>
        <w:tc>
          <w:tcPr>
            <w:tcW w:w="873" w:type="pct"/>
            <w:shd w:val="clear" w:color="auto" w:fill="auto"/>
          </w:tcPr>
          <w:p w:rsidR="00D922F8" w:rsidRPr="009A1677" w:rsidRDefault="00D922F8" w:rsidP="003E6E00">
            <w:pPr>
              <w:contextualSpacing/>
              <w:rPr>
                <w:rFonts w:asciiTheme="majorBidi" w:hAnsiTheme="majorBidi" w:cstheme="majorBidi"/>
              </w:rPr>
            </w:pPr>
          </w:p>
        </w:tc>
        <w:tc>
          <w:tcPr>
            <w:tcW w:w="927" w:type="pct"/>
            <w:shd w:val="clear" w:color="auto" w:fill="auto"/>
          </w:tcPr>
          <w:p w:rsidR="00D922F8" w:rsidRPr="009A1677" w:rsidRDefault="00D922F8" w:rsidP="003E6E00">
            <w:pPr>
              <w:contextualSpacing/>
              <w:rPr>
                <w:rFonts w:asciiTheme="majorBidi" w:hAnsiTheme="majorBidi" w:cstheme="majorBidi"/>
              </w:rPr>
            </w:pPr>
          </w:p>
        </w:tc>
        <w:tc>
          <w:tcPr>
            <w:tcW w:w="614" w:type="pct"/>
            <w:gridSpan w:val="2"/>
          </w:tcPr>
          <w:p w:rsidR="00D922F8" w:rsidRPr="009A1677" w:rsidRDefault="00D922F8" w:rsidP="003E6E00">
            <w:pPr>
              <w:contextualSpacing/>
              <w:rPr>
                <w:rFonts w:asciiTheme="majorBidi" w:hAnsiTheme="majorBidi" w:cstheme="majorBidi"/>
              </w:rPr>
            </w:pPr>
            <w:proofErr w:type="spellStart"/>
            <w:r w:rsidRPr="009A1677">
              <w:rPr>
                <w:rFonts w:asciiTheme="majorBidi" w:hAnsiTheme="majorBidi" w:cstheme="majorBidi"/>
              </w:rPr>
              <w:t>Anafylaktisk</w:t>
            </w:r>
            <w:proofErr w:type="spellEnd"/>
            <w:r w:rsidRPr="009A1677">
              <w:rPr>
                <w:rFonts w:asciiTheme="majorBidi" w:hAnsiTheme="majorBidi" w:cstheme="majorBidi"/>
              </w:rPr>
              <w:t xml:space="preserve"> </w:t>
            </w:r>
            <w:proofErr w:type="spellStart"/>
            <w:r w:rsidRPr="009A1677">
              <w:rPr>
                <w:rFonts w:asciiTheme="majorBidi" w:hAnsiTheme="majorBidi" w:cstheme="majorBidi"/>
              </w:rPr>
              <w:t>shock</w:t>
            </w:r>
            <w:proofErr w:type="spellEnd"/>
          </w:p>
          <w:p w:rsidR="00D922F8" w:rsidRPr="009A1677" w:rsidRDefault="00D922F8" w:rsidP="003E6E00">
            <w:pPr>
              <w:contextualSpacing/>
              <w:rPr>
                <w:rFonts w:asciiTheme="majorBidi" w:hAnsiTheme="majorBidi" w:cstheme="majorBidi"/>
                <w:bCs/>
              </w:rPr>
            </w:pPr>
            <w:proofErr w:type="spellStart"/>
            <w:r w:rsidRPr="009A1677">
              <w:rPr>
                <w:rFonts w:asciiTheme="majorBidi" w:hAnsiTheme="majorBidi" w:cstheme="majorBidi"/>
              </w:rPr>
              <w:t>Angioødem</w:t>
            </w:r>
            <w:proofErr w:type="spellEnd"/>
            <w:r w:rsidRPr="009A1677">
              <w:rPr>
                <w:rFonts w:asciiTheme="majorBidi" w:hAnsiTheme="majorBidi" w:cstheme="majorBidi"/>
              </w:rPr>
              <w:t xml:space="preserve"> (</w:t>
            </w:r>
            <w:proofErr w:type="spellStart"/>
            <w:r w:rsidRPr="009A1677">
              <w:rPr>
                <w:rFonts w:asciiTheme="majorBidi" w:hAnsiTheme="majorBidi" w:cstheme="majorBidi"/>
              </w:rPr>
              <w:t>Quinckes</w:t>
            </w:r>
            <w:proofErr w:type="spellEnd"/>
            <w:r w:rsidRPr="009A1677">
              <w:rPr>
                <w:rFonts w:asciiTheme="majorBidi" w:hAnsiTheme="majorBidi" w:cstheme="majorBidi"/>
              </w:rPr>
              <w:t xml:space="preserve"> ødem)</w:t>
            </w:r>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t>Metabolisme og ernæring</w:t>
            </w:r>
          </w:p>
        </w:tc>
        <w:tc>
          <w:tcPr>
            <w:tcW w:w="1173" w:type="pct"/>
            <w:gridSpan w:val="3"/>
            <w:shd w:val="clear" w:color="auto" w:fill="auto"/>
          </w:tcPr>
          <w:p w:rsidR="00D922F8" w:rsidRPr="009A1677" w:rsidRDefault="00D922F8" w:rsidP="003E6E00">
            <w:pPr>
              <w:contextualSpacing/>
              <w:rPr>
                <w:rFonts w:asciiTheme="majorBidi" w:hAnsiTheme="majorBidi" w:cstheme="majorBidi"/>
                <w:b/>
              </w:rPr>
            </w:pPr>
          </w:p>
        </w:tc>
        <w:tc>
          <w:tcPr>
            <w:tcW w:w="873"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rPr>
              <w:t>Manglende appetit</w:t>
            </w:r>
          </w:p>
        </w:tc>
        <w:tc>
          <w:tcPr>
            <w:tcW w:w="927" w:type="pct"/>
            <w:shd w:val="clear" w:color="auto" w:fill="auto"/>
          </w:tcPr>
          <w:p w:rsidR="00D922F8" w:rsidRPr="009A1677" w:rsidRDefault="00D922F8" w:rsidP="003E6E00">
            <w:pPr>
              <w:contextualSpacing/>
              <w:rPr>
                <w:rFonts w:asciiTheme="majorBidi" w:hAnsiTheme="majorBidi" w:cstheme="majorBidi"/>
              </w:rPr>
            </w:pPr>
          </w:p>
        </w:tc>
        <w:tc>
          <w:tcPr>
            <w:tcW w:w="614" w:type="pct"/>
            <w:gridSpan w:val="2"/>
          </w:tcPr>
          <w:p w:rsidR="00D922F8" w:rsidRPr="009A1677" w:rsidRDefault="00D922F8" w:rsidP="003E6E00">
            <w:pPr>
              <w:contextualSpacing/>
              <w:rPr>
                <w:rFonts w:asciiTheme="majorBidi" w:hAnsiTheme="majorBidi" w:cstheme="majorBidi"/>
                <w:bCs/>
              </w:rPr>
            </w:pPr>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lastRenderedPageBreak/>
              <w:t>Psykiske forstyrrelser</w:t>
            </w:r>
          </w:p>
        </w:tc>
        <w:tc>
          <w:tcPr>
            <w:tcW w:w="1173" w:type="pct"/>
            <w:gridSpan w:val="3"/>
            <w:shd w:val="clear" w:color="auto" w:fill="auto"/>
          </w:tcPr>
          <w:p w:rsidR="00D922F8" w:rsidRPr="009A1677" w:rsidRDefault="00D922F8" w:rsidP="003E6E00">
            <w:pPr>
              <w:contextualSpacing/>
              <w:rPr>
                <w:rFonts w:asciiTheme="majorBidi" w:hAnsiTheme="majorBidi" w:cstheme="majorBidi"/>
                <w:b/>
              </w:rPr>
            </w:pPr>
            <w:proofErr w:type="spellStart"/>
            <w:r w:rsidRPr="009A1677">
              <w:rPr>
                <w:rFonts w:asciiTheme="majorBidi" w:hAnsiTheme="majorBidi" w:cstheme="majorBidi"/>
              </w:rPr>
              <w:t>Insomni</w:t>
            </w:r>
            <w:proofErr w:type="spellEnd"/>
          </w:p>
        </w:tc>
        <w:tc>
          <w:tcPr>
            <w:tcW w:w="873" w:type="pct"/>
            <w:shd w:val="clear" w:color="auto" w:fill="auto"/>
          </w:tcPr>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Agitation</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Angst</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Depression</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Fjendtlighed</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Nervøsitet</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Paranoia</w:t>
            </w:r>
          </w:p>
          <w:p w:rsidR="00D922F8" w:rsidRPr="009A1677" w:rsidRDefault="00D922F8" w:rsidP="003E6E00">
            <w:pPr>
              <w:contextualSpacing/>
              <w:rPr>
                <w:rFonts w:asciiTheme="majorBidi" w:hAnsiTheme="majorBidi" w:cstheme="majorBidi"/>
                <w:b/>
              </w:rPr>
            </w:pPr>
            <w:r w:rsidRPr="009A1677">
              <w:rPr>
                <w:rFonts w:asciiTheme="majorBidi" w:hAnsiTheme="majorBidi" w:cstheme="majorBidi"/>
              </w:rPr>
              <w:t>Unormal tankevirksomhed</w:t>
            </w:r>
          </w:p>
        </w:tc>
        <w:tc>
          <w:tcPr>
            <w:tcW w:w="927" w:type="pct"/>
            <w:shd w:val="clear" w:color="auto" w:fill="auto"/>
          </w:tcPr>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Hallucinationer</w:t>
            </w:r>
          </w:p>
        </w:tc>
        <w:tc>
          <w:tcPr>
            <w:tcW w:w="614" w:type="pct"/>
            <w:gridSpan w:val="2"/>
          </w:tcPr>
          <w:p w:rsidR="00D922F8" w:rsidRPr="009A1677" w:rsidRDefault="00D922F8" w:rsidP="003E6E00">
            <w:pPr>
              <w:contextualSpacing/>
              <w:rPr>
                <w:rFonts w:asciiTheme="majorBidi" w:hAnsiTheme="majorBidi" w:cstheme="majorBidi"/>
                <w:bCs/>
              </w:rPr>
            </w:pPr>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t>Nervesystemet</w:t>
            </w:r>
          </w:p>
        </w:tc>
        <w:tc>
          <w:tcPr>
            <w:tcW w:w="1173" w:type="pct"/>
            <w:gridSpan w:val="3"/>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rPr>
              <w:t>Hovedpine</w:t>
            </w:r>
          </w:p>
        </w:tc>
        <w:tc>
          <w:tcPr>
            <w:tcW w:w="873" w:type="pct"/>
            <w:shd w:val="clear" w:color="auto" w:fill="auto"/>
          </w:tcPr>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Letargi*</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Sedation*</w:t>
            </w:r>
          </w:p>
          <w:p w:rsidR="00D922F8" w:rsidRPr="009A1677" w:rsidRDefault="00D922F8" w:rsidP="003E6E00">
            <w:pPr>
              <w:contextualSpacing/>
              <w:rPr>
                <w:rFonts w:asciiTheme="majorBidi" w:hAnsiTheme="majorBidi" w:cstheme="majorBidi"/>
                <w:bCs/>
              </w:rPr>
            </w:pPr>
            <w:proofErr w:type="spellStart"/>
            <w:r w:rsidRPr="009A1677">
              <w:rPr>
                <w:rFonts w:asciiTheme="majorBidi" w:hAnsiTheme="majorBidi" w:cstheme="majorBidi"/>
              </w:rPr>
              <w:t>Vertigo</w:t>
            </w:r>
            <w:proofErr w:type="spellEnd"/>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Svimmelhed</w:t>
            </w:r>
          </w:p>
          <w:p w:rsidR="00D922F8" w:rsidRPr="009A1677" w:rsidRDefault="00D922F8" w:rsidP="003E6E00">
            <w:pPr>
              <w:contextualSpacing/>
              <w:rPr>
                <w:rFonts w:asciiTheme="majorBidi" w:hAnsiTheme="majorBidi" w:cstheme="majorBidi"/>
              </w:rPr>
            </w:pPr>
            <w:proofErr w:type="spellStart"/>
            <w:r w:rsidRPr="009A1677">
              <w:rPr>
                <w:rFonts w:asciiTheme="majorBidi" w:hAnsiTheme="majorBidi" w:cstheme="majorBidi"/>
              </w:rPr>
              <w:t>Hypertoni</w:t>
            </w:r>
            <w:proofErr w:type="spellEnd"/>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Migræne</w:t>
            </w:r>
          </w:p>
          <w:p w:rsidR="00D922F8" w:rsidRPr="009A1677" w:rsidRDefault="00D922F8" w:rsidP="003E6E00">
            <w:pPr>
              <w:contextualSpacing/>
              <w:rPr>
                <w:rFonts w:asciiTheme="majorBidi" w:hAnsiTheme="majorBidi" w:cstheme="majorBidi"/>
              </w:rPr>
            </w:pPr>
            <w:proofErr w:type="spellStart"/>
            <w:r w:rsidRPr="009A1677">
              <w:rPr>
                <w:rFonts w:asciiTheme="majorBidi" w:hAnsiTheme="majorBidi" w:cstheme="majorBidi"/>
              </w:rPr>
              <w:t>Paræstesi</w:t>
            </w:r>
            <w:proofErr w:type="spellEnd"/>
          </w:p>
          <w:p w:rsidR="00D922F8" w:rsidRPr="009A1677" w:rsidRDefault="00D922F8" w:rsidP="003E6E00">
            <w:pPr>
              <w:contextualSpacing/>
              <w:rPr>
                <w:rFonts w:asciiTheme="majorBidi" w:hAnsiTheme="majorBidi" w:cstheme="majorBidi"/>
              </w:rPr>
            </w:pPr>
            <w:proofErr w:type="spellStart"/>
            <w:r w:rsidRPr="009A1677">
              <w:rPr>
                <w:rFonts w:asciiTheme="majorBidi" w:hAnsiTheme="majorBidi" w:cstheme="majorBidi"/>
              </w:rPr>
              <w:t>Somnolens</w:t>
            </w:r>
            <w:proofErr w:type="spellEnd"/>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Synkope</w:t>
            </w:r>
          </w:p>
          <w:p w:rsidR="00D922F8" w:rsidRPr="009A1677" w:rsidRDefault="00D922F8" w:rsidP="003E6E00">
            <w:pPr>
              <w:contextualSpacing/>
              <w:rPr>
                <w:rFonts w:asciiTheme="majorBidi" w:hAnsiTheme="majorBidi" w:cstheme="majorBidi"/>
                <w:b/>
              </w:rPr>
            </w:pPr>
            <w:proofErr w:type="spellStart"/>
            <w:r w:rsidRPr="009A1677">
              <w:rPr>
                <w:rFonts w:asciiTheme="majorBidi" w:hAnsiTheme="majorBidi" w:cstheme="majorBidi"/>
              </w:rPr>
              <w:t>Tremor</w:t>
            </w:r>
            <w:proofErr w:type="spellEnd"/>
          </w:p>
        </w:tc>
        <w:tc>
          <w:tcPr>
            <w:tcW w:w="927" w:type="pct"/>
            <w:shd w:val="clear" w:color="auto" w:fill="auto"/>
          </w:tcPr>
          <w:p w:rsidR="00D922F8" w:rsidRPr="009A1677" w:rsidRDefault="00D922F8" w:rsidP="003E6E00">
            <w:pPr>
              <w:contextualSpacing/>
              <w:rPr>
                <w:rFonts w:asciiTheme="majorBidi" w:hAnsiTheme="majorBidi" w:cstheme="majorBidi"/>
              </w:rPr>
            </w:pPr>
          </w:p>
        </w:tc>
        <w:tc>
          <w:tcPr>
            <w:tcW w:w="614" w:type="pct"/>
            <w:gridSpan w:val="2"/>
          </w:tcPr>
          <w:p w:rsidR="00D922F8" w:rsidRPr="009A1677" w:rsidRDefault="00D922F8" w:rsidP="003E6E00">
            <w:pPr>
              <w:contextualSpacing/>
              <w:rPr>
                <w:rFonts w:asciiTheme="majorBidi" w:hAnsiTheme="majorBidi" w:cstheme="majorBidi"/>
                <w:bCs/>
              </w:rPr>
            </w:pPr>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t>Øjne</w:t>
            </w:r>
          </w:p>
        </w:tc>
        <w:tc>
          <w:tcPr>
            <w:tcW w:w="1173" w:type="pct"/>
            <w:gridSpan w:val="3"/>
            <w:shd w:val="clear" w:color="auto" w:fill="auto"/>
          </w:tcPr>
          <w:p w:rsidR="00D922F8" w:rsidRPr="009A1677" w:rsidRDefault="00D922F8" w:rsidP="003E6E00">
            <w:pPr>
              <w:contextualSpacing/>
              <w:rPr>
                <w:rFonts w:asciiTheme="majorBidi" w:hAnsiTheme="majorBidi" w:cstheme="majorBidi"/>
                <w:b/>
              </w:rPr>
            </w:pPr>
          </w:p>
        </w:tc>
        <w:tc>
          <w:tcPr>
            <w:tcW w:w="873" w:type="pct"/>
            <w:shd w:val="clear" w:color="auto" w:fill="auto"/>
          </w:tcPr>
          <w:p w:rsidR="00D922F8" w:rsidRPr="009A1677" w:rsidRDefault="00D922F8" w:rsidP="003E6E00">
            <w:pPr>
              <w:contextualSpacing/>
              <w:rPr>
                <w:rFonts w:asciiTheme="majorBidi" w:hAnsiTheme="majorBidi" w:cstheme="majorBidi"/>
                <w:bCs/>
              </w:rPr>
            </w:pPr>
            <w:r w:rsidRPr="009A1677">
              <w:rPr>
                <w:rFonts w:asciiTheme="majorBidi" w:hAnsiTheme="majorBidi" w:cstheme="majorBidi"/>
              </w:rPr>
              <w:t>Tåreflådforstyrrelse</w:t>
            </w:r>
          </w:p>
          <w:p w:rsidR="00D922F8" w:rsidRPr="009A1677" w:rsidRDefault="00D922F8" w:rsidP="003E6E00">
            <w:pPr>
              <w:contextualSpacing/>
              <w:rPr>
                <w:rFonts w:asciiTheme="majorBidi" w:hAnsiTheme="majorBidi" w:cstheme="majorBidi"/>
                <w:b/>
              </w:rPr>
            </w:pPr>
            <w:proofErr w:type="spellStart"/>
            <w:r w:rsidRPr="009A1677">
              <w:rPr>
                <w:rFonts w:asciiTheme="majorBidi" w:hAnsiTheme="majorBidi" w:cstheme="majorBidi"/>
              </w:rPr>
              <w:t>Mydriasis</w:t>
            </w:r>
            <w:proofErr w:type="spellEnd"/>
          </w:p>
        </w:tc>
        <w:tc>
          <w:tcPr>
            <w:tcW w:w="927" w:type="pct"/>
            <w:shd w:val="clear" w:color="auto" w:fill="auto"/>
          </w:tcPr>
          <w:p w:rsidR="00D922F8" w:rsidRPr="009A1677" w:rsidRDefault="00D922F8" w:rsidP="003E6E00">
            <w:pPr>
              <w:contextualSpacing/>
              <w:rPr>
                <w:rFonts w:asciiTheme="majorBidi" w:hAnsiTheme="majorBidi" w:cstheme="majorBidi"/>
              </w:rPr>
            </w:pPr>
          </w:p>
        </w:tc>
        <w:tc>
          <w:tcPr>
            <w:tcW w:w="614" w:type="pct"/>
            <w:gridSpan w:val="2"/>
          </w:tcPr>
          <w:p w:rsidR="00D922F8" w:rsidRPr="009A1677" w:rsidRDefault="00D922F8" w:rsidP="003E6E00">
            <w:pPr>
              <w:contextualSpacing/>
              <w:rPr>
                <w:rFonts w:asciiTheme="majorBidi" w:hAnsiTheme="majorBidi" w:cstheme="majorBidi"/>
                <w:bCs/>
              </w:rPr>
            </w:pPr>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t>Hjerte</w:t>
            </w:r>
          </w:p>
        </w:tc>
        <w:tc>
          <w:tcPr>
            <w:tcW w:w="1173" w:type="pct"/>
            <w:gridSpan w:val="3"/>
            <w:shd w:val="clear" w:color="auto" w:fill="auto"/>
          </w:tcPr>
          <w:p w:rsidR="00D922F8" w:rsidRPr="009A1677" w:rsidRDefault="00D922F8" w:rsidP="003E6E00">
            <w:pPr>
              <w:contextualSpacing/>
              <w:rPr>
                <w:rFonts w:asciiTheme="majorBidi" w:hAnsiTheme="majorBidi" w:cstheme="majorBidi"/>
                <w:b/>
              </w:rPr>
            </w:pPr>
          </w:p>
        </w:tc>
        <w:tc>
          <w:tcPr>
            <w:tcW w:w="873" w:type="pct"/>
            <w:shd w:val="clear" w:color="auto" w:fill="auto"/>
          </w:tcPr>
          <w:p w:rsidR="00D922F8" w:rsidRPr="009A1677" w:rsidRDefault="00D922F8" w:rsidP="003E6E00">
            <w:pPr>
              <w:contextualSpacing/>
              <w:rPr>
                <w:rFonts w:asciiTheme="majorBidi" w:hAnsiTheme="majorBidi" w:cstheme="majorBidi"/>
                <w:bCs/>
              </w:rPr>
            </w:pPr>
            <w:r w:rsidRPr="009A1677">
              <w:rPr>
                <w:rFonts w:asciiTheme="majorBidi" w:hAnsiTheme="majorBidi" w:cstheme="majorBidi"/>
              </w:rPr>
              <w:t xml:space="preserve">Forlænget QT-interval på </w:t>
            </w:r>
            <w:proofErr w:type="spellStart"/>
            <w:r w:rsidRPr="009A1677">
              <w:rPr>
                <w:rFonts w:asciiTheme="majorBidi" w:hAnsiTheme="majorBidi" w:cstheme="majorBidi"/>
              </w:rPr>
              <w:t>EKG’et</w:t>
            </w:r>
            <w:proofErr w:type="spellEnd"/>
            <w:r w:rsidRPr="009A1677">
              <w:rPr>
                <w:rFonts w:asciiTheme="majorBidi" w:hAnsiTheme="majorBidi" w:cstheme="majorBidi"/>
              </w:rPr>
              <w:t>.</w:t>
            </w:r>
          </w:p>
          <w:p w:rsidR="00D922F8" w:rsidRPr="009A1677" w:rsidRDefault="00D922F8" w:rsidP="003E6E00">
            <w:pPr>
              <w:contextualSpacing/>
              <w:rPr>
                <w:rFonts w:asciiTheme="majorBidi" w:hAnsiTheme="majorBidi" w:cstheme="majorBidi"/>
                <w:b/>
              </w:rPr>
            </w:pPr>
            <w:proofErr w:type="spellStart"/>
            <w:r w:rsidRPr="009A1677">
              <w:rPr>
                <w:rFonts w:asciiTheme="majorBidi" w:hAnsiTheme="majorBidi" w:cstheme="majorBidi"/>
              </w:rPr>
              <w:t>Palpitationer</w:t>
            </w:r>
            <w:proofErr w:type="spellEnd"/>
          </w:p>
        </w:tc>
        <w:tc>
          <w:tcPr>
            <w:tcW w:w="927" w:type="pct"/>
            <w:shd w:val="clear" w:color="auto" w:fill="auto"/>
          </w:tcPr>
          <w:p w:rsidR="00D922F8" w:rsidRPr="009A1677" w:rsidRDefault="00D922F8" w:rsidP="003E6E00">
            <w:pPr>
              <w:contextualSpacing/>
              <w:rPr>
                <w:rFonts w:asciiTheme="majorBidi" w:hAnsiTheme="majorBidi" w:cstheme="majorBidi"/>
              </w:rPr>
            </w:pPr>
          </w:p>
        </w:tc>
        <w:tc>
          <w:tcPr>
            <w:tcW w:w="614" w:type="pct"/>
            <w:gridSpan w:val="2"/>
          </w:tcPr>
          <w:p w:rsidR="00D922F8" w:rsidRPr="009A1677" w:rsidRDefault="00D922F8" w:rsidP="003E6E00">
            <w:pPr>
              <w:contextualSpacing/>
              <w:rPr>
                <w:rFonts w:asciiTheme="majorBidi" w:hAnsiTheme="majorBidi" w:cstheme="majorBidi"/>
                <w:bCs/>
              </w:rPr>
            </w:pPr>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proofErr w:type="spellStart"/>
            <w:r w:rsidRPr="009A1677">
              <w:rPr>
                <w:rFonts w:asciiTheme="majorBidi" w:hAnsiTheme="majorBidi" w:cstheme="majorBidi"/>
                <w:b/>
              </w:rPr>
              <w:t>Vaskulære</w:t>
            </w:r>
            <w:proofErr w:type="spellEnd"/>
            <w:r w:rsidRPr="009A1677">
              <w:rPr>
                <w:rFonts w:asciiTheme="majorBidi" w:hAnsiTheme="majorBidi" w:cstheme="majorBidi"/>
                <w:b/>
              </w:rPr>
              <w:t xml:space="preserve"> sygdomme</w:t>
            </w:r>
          </w:p>
        </w:tc>
        <w:tc>
          <w:tcPr>
            <w:tcW w:w="1173" w:type="pct"/>
            <w:gridSpan w:val="3"/>
            <w:shd w:val="clear" w:color="auto" w:fill="auto"/>
          </w:tcPr>
          <w:p w:rsidR="00D922F8" w:rsidRPr="009A1677" w:rsidRDefault="00D922F8" w:rsidP="003E6E00">
            <w:pPr>
              <w:contextualSpacing/>
              <w:rPr>
                <w:rFonts w:asciiTheme="majorBidi" w:hAnsiTheme="majorBidi" w:cstheme="majorBidi"/>
                <w:b/>
              </w:rPr>
            </w:pPr>
          </w:p>
        </w:tc>
        <w:tc>
          <w:tcPr>
            <w:tcW w:w="873" w:type="pct"/>
            <w:shd w:val="clear" w:color="auto" w:fill="auto"/>
          </w:tcPr>
          <w:p w:rsidR="00D922F8" w:rsidRPr="009A1677" w:rsidRDefault="00D922F8" w:rsidP="003E6E00">
            <w:pPr>
              <w:contextualSpacing/>
              <w:rPr>
                <w:rFonts w:asciiTheme="majorBidi" w:hAnsiTheme="majorBidi" w:cstheme="majorBidi"/>
                <w:bCs/>
              </w:rPr>
            </w:pPr>
            <w:proofErr w:type="spellStart"/>
            <w:r w:rsidRPr="009A1677">
              <w:rPr>
                <w:rFonts w:asciiTheme="majorBidi" w:hAnsiTheme="majorBidi" w:cstheme="majorBidi"/>
              </w:rPr>
              <w:t>Ortostatisk</w:t>
            </w:r>
            <w:proofErr w:type="spellEnd"/>
            <w:r w:rsidRPr="009A1677">
              <w:rPr>
                <w:rFonts w:asciiTheme="majorBidi" w:hAnsiTheme="majorBidi" w:cstheme="majorBidi"/>
              </w:rPr>
              <w:t xml:space="preserve"> hypotension</w:t>
            </w:r>
          </w:p>
          <w:p w:rsidR="00D922F8" w:rsidRPr="009A1677" w:rsidRDefault="00D922F8" w:rsidP="003E6E00">
            <w:pPr>
              <w:contextualSpacing/>
              <w:rPr>
                <w:rFonts w:asciiTheme="majorBidi" w:hAnsiTheme="majorBidi" w:cstheme="majorBidi"/>
                <w:b/>
              </w:rPr>
            </w:pPr>
            <w:r w:rsidRPr="009A1677">
              <w:rPr>
                <w:rFonts w:asciiTheme="majorBidi" w:hAnsiTheme="majorBidi" w:cstheme="majorBidi"/>
              </w:rPr>
              <w:t>Vasodilatation</w:t>
            </w:r>
          </w:p>
        </w:tc>
        <w:tc>
          <w:tcPr>
            <w:tcW w:w="927" w:type="pct"/>
            <w:shd w:val="clear" w:color="auto" w:fill="auto"/>
          </w:tcPr>
          <w:p w:rsidR="00D922F8" w:rsidRPr="009A1677" w:rsidRDefault="00D922F8" w:rsidP="003E6E00">
            <w:pPr>
              <w:contextualSpacing/>
              <w:rPr>
                <w:rFonts w:asciiTheme="majorBidi" w:hAnsiTheme="majorBidi" w:cstheme="majorBidi"/>
              </w:rPr>
            </w:pPr>
          </w:p>
        </w:tc>
        <w:tc>
          <w:tcPr>
            <w:tcW w:w="614" w:type="pct"/>
            <w:gridSpan w:val="2"/>
          </w:tcPr>
          <w:p w:rsidR="00D922F8" w:rsidRPr="009A1677" w:rsidRDefault="00D922F8" w:rsidP="003E6E00">
            <w:pPr>
              <w:contextualSpacing/>
              <w:rPr>
                <w:rFonts w:asciiTheme="majorBidi" w:hAnsiTheme="majorBidi" w:cstheme="majorBidi"/>
                <w:bCs/>
              </w:rPr>
            </w:pPr>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t xml:space="preserve">Luftveje, thorax og </w:t>
            </w:r>
            <w:proofErr w:type="spellStart"/>
            <w:r w:rsidRPr="009A1677">
              <w:rPr>
                <w:rFonts w:asciiTheme="majorBidi" w:hAnsiTheme="majorBidi" w:cstheme="majorBidi"/>
                <w:b/>
              </w:rPr>
              <w:t>mediastinum</w:t>
            </w:r>
            <w:proofErr w:type="spellEnd"/>
          </w:p>
        </w:tc>
        <w:tc>
          <w:tcPr>
            <w:tcW w:w="1173" w:type="pct"/>
            <w:gridSpan w:val="3"/>
            <w:shd w:val="clear" w:color="auto" w:fill="auto"/>
          </w:tcPr>
          <w:p w:rsidR="00D922F8" w:rsidRPr="009A1677" w:rsidRDefault="00D922F8" w:rsidP="003E6E00">
            <w:pPr>
              <w:contextualSpacing/>
              <w:rPr>
                <w:rFonts w:asciiTheme="majorBidi" w:hAnsiTheme="majorBidi" w:cstheme="majorBidi"/>
                <w:b/>
              </w:rPr>
            </w:pPr>
          </w:p>
        </w:tc>
        <w:tc>
          <w:tcPr>
            <w:tcW w:w="873" w:type="pct"/>
            <w:shd w:val="clear" w:color="auto" w:fill="auto"/>
          </w:tcPr>
          <w:p w:rsidR="00D922F8" w:rsidRPr="009A1677" w:rsidRDefault="00D922F8" w:rsidP="003E6E00">
            <w:pPr>
              <w:contextualSpacing/>
              <w:rPr>
                <w:rFonts w:asciiTheme="majorBidi" w:hAnsiTheme="majorBidi" w:cstheme="majorBidi"/>
                <w:bCs/>
              </w:rPr>
            </w:pPr>
            <w:r w:rsidRPr="009A1677">
              <w:rPr>
                <w:rFonts w:asciiTheme="majorBidi" w:hAnsiTheme="majorBidi" w:cstheme="majorBidi"/>
              </w:rPr>
              <w:t>Næseflåd</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Hoste</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Dyspnø</w:t>
            </w:r>
          </w:p>
          <w:p w:rsidR="00D922F8" w:rsidRPr="009A1677" w:rsidRDefault="00D922F8" w:rsidP="003E6E00">
            <w:pPr>
              <w:contextualSpacing/>
              <w:rPr>
                <w:rFonts w:asciiTheme="majorBidi" w:hAnsiTheme="majorBidi" w:cstheme="majorBidi"/>
                <w:b/>
              </w:rPr>
            </w:pPr>
            <w:proofErr w:type="spellStart"/>
            <w:r w:rsidRPr="009A1677">
              <w:rPr>
                <w:rFonts w:asciiTheme="majorBidi" w:hAnsiTheme="majorBidi" w:cstheme="majorBidi"/>
              </w:rPr>
              <w:t>Gaben</w:t>
            </w:r>
            <w:proofErr w:type="spellEnd"/>
          </w:p>
        </w:tc>
        <w:tc>
          <w:tcPr>
            <w:tcW w:w="927" w:type="pct"/>
            <w:shd w:val="clear" w:color="auto" w:fill="auto"/>
          </w:tcPr>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Respirationsdepression</w:t>
            </w:r>
          </w:p>
        </w:tc>
        <w:tc>
          <w:tcPr>
            <w:tcW w:w="614" w:type="pct"/>
            <w:gridSpan w:val="2"/>
          </w:tcPr>
          <w:p w:rsidR="00D922F8" w:rsidRPr="009A1677" w:rsidRDefault="00D922F8" w:rsidP="003E6E00">
            <w:pPr>
              <w:contextualSpacing/>
              <w:rPr>
                <w:rFonts w:asciiTheme="majorBidi" w:hAnsiTheme="majorBidi" w:cstheme="majorBidi"/>
                <w:bCs/>
              </w:rPr>
            </w:pPr>
            <w:proofErr w:type="spellStart"/>
            <w:r w:rsidRPr="009A1677">
              <w:rPr>
                <w:rFonts w:asciiTheme="majorBidi" w:hAnsiTheme="majorBidi" w:cstheme="majorBidi"/>
              </w:rPr>
              <w:t>Bronkospasme</w:t>
            </w:r>
            <w:proofErr w:type="spellEnd"/>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t>Mave-tarm-kanalen</w:t>
            </w:r>
          </w:p>
        </w:tc>
        <w:tc>
          <w:tcPr>
            <w:tcW w:w="1173" w:type="pct"/>
            <w:gridSpan w:val="3"/>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rPr>
              <w:t>Kvalme</w:t>
            </w:r>
          </w:p>
        </w:tc>
        <w:tc>
          <w:tcPr>
            <w:tcW w:w="873" w:type="pct"/>
            <w:shd w:val="clear" w:color="auto" w:fill="auto"/>
          </w:tcPr>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Forstoppelse</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Diarré</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Mundtørhed</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Dyspepsi</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Sygdomme i mave-tarm-kanalen</w:t>
            </w:r>
          </w:p>
          <w:p w:rsidR="00D922F8" w:rsidRPr="009A1677" w:rsidRDefault="00D922F8" w:rsidP="003E6E00">
            <w:pPr>
              <w:contextualSpacing/>
              <w:rPr>
                <w:rFonts w:asciiTheme="majorBidi" w:hAnsiTheme="majorBidi" w:cstheme="majorBidi"/>
              </w:rPr>
            </w:pPr>
            <w:proofErr w:type="spellStart"/>
            <w:r w:rsidRPr="009A1677">
              <w:rPr>
                <w:rFonts w:asciiTheme="majorBidi" w:hAnsiTheme="majorBidi" w:cstheme="majorBidi"/>
              </w:rPr>
              <w:t>Flatulens</w:t>
            </w:r>
            <w:proofErr w:type="spellEnd"/>
          </w:p>
          <w:p w:rsidR="00D922F8" w:rsidRPr="009A1677" w:rsidRDefault="00D922F8" w:rsidP="003E6E00">
            <w:pPr>
              <w:contextualSpacing/>
              <w:rPr>
                <w:rFonts w:asciiTheme="majorBidi" w:hAnsiTheme="majorBidi" w:cstheme="majorBidi"/>
                <w:bCs/>
              </w:rPr>
            </w:pPr>
            <w:r w:rsidRPr="009A1677">
              <w:rPr>
                <w:rFonts w:asciiTheme="majorBidi" w:hAnsiTheme="majorBidi" w:cstheme="majorBidi"/>
              </w:rPr>
              <w:t>Dentale lidelser</w:t>
            </w:r>
          </w:p>
          <w:p w:rsidR="00D922F8" w:rsidRPr="009A1677" w:rsidRDefault="00D922F8" w:rsidP="003E6E00">
            <w:pPr>
              <w:contextualSpacing/>
              <w:rPr>
                <w:rFonts w:asciiTheme="majorBidi" w:hAnsiTheme="majorBidi" w:cstheme="majorBidi"/>
                <w:bCs/>
              </w:rPr>
            </w:pPr>
            <w:r w:rsidRPr="009A1677">
              <w:rPr>
                <w:rFonts w:asciiTheme="majorBidi" w:hAnsiTheme="majorBidi" w:cstheme="majorBidi"/>
              </w:rPr>
              <w:t>Opkastning</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Mavesmerter</w:t>
            </w:r>
          </w:p>
        </w:tc>
        <w:tc>
          <w:tcPr>
            <w:tcW w:w="927" w:type="pct"/>
            <w:shd w:val="clear" w:color="auto" w:fill="auto"/>
          </w:tcPr>
          <w:p w:rsidR="00D922F8" w:rsidRPr="009A1677" w:rsidRDefault="00D922F8" w:rsidP="003E6E00">
            <w:pPr>
              <w:contextualSpacing/>
              <w:rPr>
                <w:rFonts w:asciiTheme="majorBidi" w:hAnsiTheme="majorBidi" w:cstheme="majorBidi"/>
              </w:rPr>
            </w:pPr>
          </w:p>
        </w:tc>
        <w:tc>
          <w:tcPr>
            <w:tcW w:w="614" w:type="pct"/>
            <w:gridSpan w:val="2"/>
          </w:tcPr>
          <w:p w:rsidR="00D922F8" w:rsidRPr="009A1677" w:rsidRDefault="00D922F8" w:rsidP="003E6E00">
            <w:pPr>
              <w:contextualSpacing/>
              <w:rPr>
                <w:rFonts w:asciiTheme="majorBidi" w:hAnsiTheme="majorBidi" w:cstheme="majorBidi"/>
                <w:bCs/>
              </w:rPr>
            </w:pPr>
          </w:p>
        </w:tc>
      </w:tr>
      <w:tr w:rsidR="00D922F8" w:rsidRPr="009A1677" w:rsidTr="003E6E00">
        <w:tc>
          <w:tcPr>
            <w:tcW w:w="888" w:type="pct"/>
            <w:gridSpan w:val="2"/>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t>Lever og galdeveje</w:t>
            </w:r>
          </w:p>
        </w:tc>
        <w:tc>
          <w:tcPr>
            <w:tcW w:w="1173" w:type="pct"/>
            <w:shd w:val="clear" w:color="auto" w:fill="auto"/>
          </w:tcPr>
          <w:p w:rsidR="00D922F8" w:rsidRPr="009A1677" w:rsidRDefault="00D922F8" w:rsidP="003E6E00">
            <w:pPr>
              <w:contextualSpacing/>
              <w:rPr>
                <w:rFonts w:asciiTheme="majorBidi" w:hAnsiTheme="majorBidi" w:cstheme="majorBidi"/>
                <w:bCs/>
              </w:rPr>
            </w:pPr>
          </w:p>
        </w:tc>
        <w:tc>
          <w:tcPr>
            <w:tcW w:w="873" w:type="pct"/>
            <w:gridSpan w:val="2"/>
            <w:shd w:val="clear" w:color="auto" w:fill="auto"/>
          </w:tcPr>
          <w:p w:rsidR="00D922F8" w:rsidRPr="009A1677" w:rsidRDefault="00D922F8" w:rsidP="003E6E00">
            <w:pPr>
              <w:contextualSpacing/>
              <w:rPr>
                <w:rFonts w:asciiTheme="majorBidi" w:hAnsiTheme="majorBidi" w:cstheme="majorBidi"/>
                <w:bCs/>
              </w:rPr>
            </w:pPr>
          </w:p>
        </w:tc>
        <w:tc>
          <w:tcPr>
            <w:tcW w:w="927" w:type="pct"/>
            <w:gridSpan w:val="2"/>
            <w:shd w:val="clear" w:color="auto" w:fill="auto"/>
          </w:tcPr>
          <w:p w:rsidR="00D922F8" w:rsidRPr="009A1677" w:rsidRDefault="00D922F8" w:rsidP="003E6E00">
            <w:pPr>
              <w:contextualSpacing/>
              <w:rPr>
                <w:rFonts w:asciiTheme="majorBidi" w:hAnsiTheme="majorBidi" w:cstheme="majorBidi"/>
                <w:bCs/>
              </w:rPr>
            </w:pPr>
            <w:proofErr w:type="spellStart"/>
            <w:r w:rsidRPr="009A1677">
              <w:rPr>
                <w:rFonts w:asciiTheme="majorBidi" w:hAnsiTheme="majorBidi" w:cstheme="majorBidi"/>
              </w:rPr>
              <w:t>Hepatisk</w:t>
            </w:r>
            <w:proofErr w:type="spellEnd"/>
            <w:r w:rsidRPr="009A1677">
              <w:rPr>
                <w:rFonts w:asciiTheme="majorBidi" w:hAnsiTheme="majorBidi" w:cstheme="majorBidi"/>
              </w:rPr>
              <w:t xml:space="preserve"> nekrose</w:t>
            </w:r>
          </w:p>
          <w:p w:rsidR="00D922F8" w:rsidRPr="009A1677" w:rsidRDefault="00D922F8" w:rsidP="003E6E00">
            <w:pPr>
              <w:contextualSpacing/>
              <w:rPr>
                <w:rFonts w:asciiTheme="majorBidi" w:hAnsiTheme="majorBidi" w:cstheme="majorBidi"/>
                <w:bCs/>
              </w:rPr>
            </w:pPr>
            <w:r w:rsidRPr="009A1677">
              <w:rPr>
                <w:rFonts w:asciiTheme="majorBidi" w:hAnsiTheme="majorBidi" w:cstheme="majorBidi"/>
              </w:rPr>
              <w:t>Hepatitis</w:t>
            </w:r>
          </w:p>
        </w:tc>
        <w:tc>
          <w:tcPr>
            <w:tcW w:w="614" w:type="pct"/>
          </w:tcPr>
          <w:p w:rsidR="00D922F8" w:rsidRPr="009A1677" w:rsidRDefault="00D922F8" w:rsidP="003E6E00">
            <w:pPr>
              <w:contextualSpacing/>
              <w:rPr>
                <w:rFonts w:asciiTheme="majorBidi" w:hAnsiTheme="majorBidi" w:cstheme="majorBidi"/>
                <w:bCs/>
              </w:rPr>
            </w:pPr>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t>Hud og subkutane væv</w:t>
            </w:r>
          </w:p>
        </w:tc>
        <w:tc>
          <w:tcPr>
            <w:tcW w:w="1173" w:type="pct"/>
            <w:gridSpan w:val="3"/>
            <w:shd w:val="clear" w:color="auto" w:fill="auto"/>
          </w:tcPr>
          <w:p w:rsidR="00D922F8" w:rsidRPr="009A1677" w:rsidRDefault="00D922F8" w:rsidP="003E6E00">
            <w:pPr>
              <w:contextualSpacing/>
              <w:rPr>
                <w:rFonts w:asciiTheme="majorBidi" w:hAnsiTheme="majorBidi" w:cstheme="majorBidi"/>
                <w:b/>
              </w:rPr>
            </w:pPr>
            <w:proofErr w:type="spellStart"/>
            <w:r w:rsidRPr="009A1677">
              <w:rPr>
                <w:rFonts w:asciiTheme="majorBidi" w:hAnsiTheme="majorBidi" w:cstheme="majorBidi"/>
              </w:rPr>
              <w:t>Hyperhidrose</w:t>
            </w:r>
            <w:proofErr w:type="spellEnd"/>
          </w:p>
        </w:tc>
        <w:tc>
          <w:tcPr>
            <w:tcW w:w="873"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rPr>
              <w:t>Udslæt</w:t>
            </w:r>
          </w:p>
        </w:tc>
        <w:tc>
          <w:tcPr>
            <w:tcW w:w="927" w:type="pct"/>
            <w:shd w:val="clear" w:color="auto" w:fill="auto"/>
          </w:tcPr>
          <w:p w:rsidR="00D922F8" w:rsidRPr="009A1677" w:rsidRDefault="00D922F8" w:rsidP="003E6E00">
            <w:pPr>
              <w:contextualSpacing/>
              <w:rPr>
                <w:rFonts w:asciiTheme="majorBidi" w:hAnsiTheme="majorBidi" w:cstheme="majorBidi"/>
              </w:rPr>
            </w:pPr>
          </w:p>
        </w:tc>
        <w:tc>
          <w:tcPr>
            <w:tcW w:w="614" w:type="pct"/>
            <w:gridSpan w:val="2"/>
          </w:tcPr>
          <w:p w:rsidR="00D922F8" w:rsidRPr="009A1677" w:rsidRDefault="00D922F8" w:rsidP="003E6E00">
            <w:pPr>
              <w:contextualSpacing/>
              <w:rPr>
                <w:rFonts w:asciiTheme="majorBidi" w:hAnsiTheme="majorBidi" w:cstheme="majorBidi"/>
                <w:bCs/>
              </w:rPr>
            </w:pPr>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t>Knogler, led, muskler og bindevæv</w:t>
            </w:r>
          </w:p>
        </w:tc>
        <w:tc>
          <w:tcPr>
            <w:tcW w:w="1173" w:type="pct"/>
            <w:gridSpan w:val="3"/>
            <w:shd w:val="clear" w:color="auto" w:fill="auto"/>
          </w:tcPr>
          <w:p w:rsidR="00D922F8" w:rsidRPr="009A1677" w:rsidRDefault="00D922F8" w:rsidP="003E6E00">
            <w:pPr>
              <w:contextualSpacing/>
              <w:rPr>
                <w:rFonts w:asciiTheme="majorBidi" w:hAnsiTheme="majorBidi" w:cstheme="majorBidi"/>
                <w:b/>
              </w:rPr>
            </w:pPr>
          </w:p>
        </w:tc>
        <w:tc>
          <w:tcPr>
            <w:tcW w:w="873" w:type="pct"/>
            <w:shd w:val="clear" w:color="auto" w:fill="auto"/>
          </w:tcPr>
          <w:p w:rsidR="00D922F8" w:rsidRPr="009A1677" w:rsidRDefault="00D922F8" w:rsidP="003E6E00">
            <w:pPr>
              <w:contextualSpacing/>
              <w:rPr>
                <w:rFonts w:asciiTheme="majorBidi" w:hAnsiTheme="majorBidi" w:cstheme="majorBidi"/>
              </w:rPr>
            </w:pPr>
            <w:proofErr w:type="spellStart"/>
            <w:r w:rsidRPr="009A1677">
              <w:rPr>
                <w:rFonts w:asciiTheme="majorBidi" w:hAnsiTheme="majorBidi" w:cstheme="majorBidi"/>
              </w:rPr>
              <w:t>Artralgi</w:t>
            </w:r>
            <w:proofErr w:type="spellEnd"/>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Rygsmerter</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Knoglesmerter</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Muskelspasmer</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Myalgi</w:t>
            </w:r>
          </w:p>
          <w:p w:rsidR="00D922F8" w:rsidRPr="009A1677" w:rsidRDefault="00D922F8" w:rsidP="003E6E00">
            <w:pPr>
              <w:contextualSpacing/>
              <w:rPr>
                <w:rFonts w:asciiTheme="majorBidi" w:hAnsiTheme="majorBidi" w:cstheme="majorBidi"/>
                <w:b/>
              </w:rPr>
            </w:pPr>
            <w:r w:rsidRPr="009A1677">
              <w:rPr>
                <w:rFonts w:asciiTheme="majorBidi" w:hAnsiTheme="majorBidi" w:cstheme="majorBidi"/>
              </w:rPr>
              <w:lastRenderedPageBreak/>
              <w:t>Nakkesmerter</w:t>
            </w:r>
          </w:p>
        </w:tc>
        <w:tc>
          <w:tcPr>
            <w:tcW w:w="927" w:type="pct"/>
            <w:shd w:val="clear" w:color="auto" w:fill="auto"/>
          </w:tcPr>
          <w:p w:rsidR="00D922F8" w:rsidRPr="009A1677" w:rsidRDefault="00D922F8" w:rsidP="003E6E00">
            <w:pPr>
              <w:contextualSpacing/>
              <w:rPr>
                <w:rFonts w:asciiTheme="majorBidi" w:hAnsiTheme="majorBidi" w:cstheme="majorBidi"/>
              </w:rPr>
            </w:pPr>
          </w:p>
        </w:tc>
        <w:tc>
          <w:tcPr>
            <w:tcW w:w="614" w:type="pct"/>
            <w:gridSpan w:val="2"/>
          </w:tcPr>
          <w:p w:rsidR="00D922F8" w:rsidRPr="009A1677" w:rsidRDefault="00D922F8" w:rsidP="003E6E00">
            <w:pPr>
              <w:contextualSpacing/>
              <w:rPr>
                <w:rFonts w:asciiTheme="majorBidi" w:hAnsiTheme="majorBidi" w:cstheme="majorBidi"/>
                <w:bCs/>
              </w:rPr>
            </w:pPr>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t>Det reproduktive system og mammae</w:t>
            </w:r>
          </w:p>
        </w:tc>
        <w:tc>
          <w:tcPr>
            <w:tcW w:w="1173" w:type="pct"/>
            <w:gridSpan w:val="3"/>
            <w:shd w:val="clear" w:color="auto" w:fill="auto"/>
          </w:tcPr>
          <w:p w:rsidR="00D922F8" w:rsidRPr="009A1677" w:rsidRDefault="00D922F8" w:rsidP="003E6E00">
            <w:pPr>
              <w:contextualSpacing/>
              <w:rPr>
                <w:rFonts w:asciiTheme="majorBidi" w:hAnsiTheme="majorBidi" w:cstheme="majorBidi"/>
                <w:b/>
              </w:rPr>
            </w:pPr>
          </w:p>
        </w:tc>
        <w:tc>
          <w:tcPr>
            <w:tcW w:w="873" w:type="pct"/>
            <w:shd w:val="clear" w:color="auto" w:fill="auto"/>
          </w:tcPr>
          <w:p w:rsidR="00D922F8" w:rsidRPr="009A1677" w:rsidRDefault="00D922F8" w:rsidP="003E6E00">
            <w:pPr>
              <w:contextualSpacing/>
              <w:rPr>
                <w:rFonts w:asciiTheme="majorBidi" w:hAnsiTheme="majorBidi" w:cstheme="majorBidi"/>
              </w:rPr>
            </w:pPr>
            <w:proofErr w:type="spellStart"/>
            <w:r w:rsidRPr="009A1677">
              <w:rPr>
                <w:rFonts w:asciiTheme="majorBidi" w:hAnsiTheme="majorBidi" w:cstheme="majorBidi"/>
              </w:rPr>
              <w:t>Dysmenoré</w:t>
            </w:r>
            <w:proofErr w:type="spellEnd"/>
          </w:p>
        </w:tc>
        <w:tc>
          <w:tcPr>
            <w:tcW w:w="927" w:type="pct"/>
            <w:shd w:val="clear" w:color="auto" w:fill="auto"/>
          </w:tcPr>
          <w:p w:rsidR="00D922F8" w:rsidRPr="009A1677" w:rsidRDefault="00D922F8" w:rsidP="003E6E00">
            <w:pPr>
              <w:contextualSpacing/>
              <w:rPr>
                <w:rFonts w:asciiTheme="majorBidi" w:hAnsiTheme="majorBidi" w:cstheme="majorBidi"/>
              </w:rPr>
            </w:pPr>
          </w:p>
        </w:tc>
        <w:tc>
          <w:tcPr>
            <w:tcW w:w="614" w:type="pct"/>
            <w:gridSpan w:val="2"/>
          </w:tcPr>
          <w:p w:rsidR="00D922F8" w:rsidRPr="009A1677" w:rsidRDefault="00D922F8" w:rsidP="003E6E00">
            <w:pPr>
              <w:contextualSpacing/>
              <w:rPr>
                <w:rFonts w:asciiTheme="majorBidi" w:hAnsiTheme="majorBidi" w:cstheme="majorBidi"/>
                <w:bCs/>
              </w:rPr>
            </w:pPr>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t>Almene symptomer og reaktioner på administrationsstedet</w:t>
            </w:r>
          </w:p>
        </w:tc>
        <w:tc>
          <w:tcPr>
            <w:tcW w:w="1173" w:type="pct"/>
            <w:gridSpan w:val="3"/>
            <w:shd w:val="clear" w:color="auto" w:fill="auto"/>
          </w:tcPr>
          <w:p w:rsidR="00D922F8" w:rsidRPr="009A1677" w:rsidRDefault="00D922F8" w:rsidP="003E6E00">
            <w:pPr>
              <w:contextualSpacing/>
              <w:rPr>
                <w:rFonts w:asciiTheme="majorBidi" w:hAnsiTheme="majorBidi" w:cstheme="majorBidi"/>
                <w:bCs/>
              </w:rPr>
            </w:pPr>
            <w:r w:rsidRPr="009A1677">
              <w:rPr>
                <w:rFonts w:asciiTheme="majorBidi" w:hAnsiTheme="majorBidi" w:cstheme="majorBidi"/>
              </w:rPr>
              <w:t xml:space="preserve">Asteni </w:t>
            </w:r>
          </w:p>
          <w:p w:rsidR="00D922F8" w:rsidRPr="009A1677" w:rsidRDefault="00D922F8" w:rsidP="003E6E00">
            <w:pPr>
              <w:contextualSpacing/>
              <w:rPr>
                <w:rFonts w:asciiTheme="majorBidi" w:hAnsiTheme="majorBidi" w:cstheme="majorBidi"/>
                <w:bCs/>
              </w:rPr>
            </w:pPr>
            <w:r w:rsidRPr="009A1677">
              <w:rPr>
                <w:rFonts w:asciiTheme="majorBidi" w:hAnsiTheme="majorBidi" w:cstheme="majorBidi"/>
              </w:rPr>
              <w:t>Lægemiddelabstinenssyndrom</w:t>
            </w:r>
          </w:p>
          <w:p w:rsidR="00D922F8" w:rsidRPr="009A1677" w:rsidRDefault="00D922F8" w:rsidP="003E6E00">
            <w:pPr>
              <w:contextualSpacing/>
              <w:rPr>
                <w:rFonts w:asciiTheme="majorBidi" w:hAnsiTheme="majorBidi" w:cstheme="majorBidi"/>
                <w:bCs/>
              </w:rPr>
            </w:pPr>
            <w:r w:rsidRPr="009A1677">
              <w:rPr>
                <w:rFonts w:asciiTheme="majorBidi" w:hAnsiTheme="majorBidi" w:cstheme="majorBidi"/>
              </w:rPr>
              <w:t>Smerter</w:t>
            </w:r>
          </w:p>
          <w:p w:rsidR="00D922F8" w:rsidRPr="009A1677" w:rsidRDefault="00D922F8" w:rsidP="003E6E00">
            <w:pPr>
              <w:contextualSpacing/>
              <w:rPr>
                <w:rFonts w:asciiTheme="majorBidi" w:hAnsiTheme="majorBidi" w:cstheme="majorBidi"/>
                <w:b/>
              </w:rPr>
            </w:pPr>
          </w:p>
        </w:tc>
        <w:tc>
          <w:tcPr>
            <w:tcW w:w="873" w:type="pct"/>
            <w:shd w:val="clear" w:color="auto" w:fill="auto"/>
          </w:tcPr>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Træthed*</w:t>
            </w:r>
          </w:p>
          <w:p w:rsidR="00D922F8" w:rsidRPr="009A1677" w:rsidRDefault="00D922F8" w:rsidP="003E6E00">
            <w:pPr>
              <w:contextualSpacing/>
              <w:rPr>
                <w:rFonts w:asciiTheme="majorBidi" w:hAnsiTheme="majorBidi" w:cstheme="majorBidi"/>
              </w:rPr>
            </w:pPr>
            <w:proofErr w:type="spellStart"/>
            <w:r w:rsidRPr="009A1677">
              <w:rPr>
                <w:rFonts w:asciiTheme="majorBidi" w:hAnsiTheme="majorBidi" w:cstheme="majorBidi"/>
              </w:rPr>
              <w:t>Erytem</w:t>
            </w:r>
            <w:proofErr w:type="spellEnd"/>
            <w:r w:rsidRPr="009A1677">
              <w:rPr>
                <w:rFonts w:asciiTheme="majorBidi" w:hAnsiTheme="majorBidi" w:cstheme="majorBidi"/>
              </w:rPr>
              <w:t xml:space="preserve"> på injektionsstedet*</w:t>
            </w:r>
          </w:p>
          <w:p w:rsidR="00D922F8" w:rsidRPr="009A1677" w:rsidRDefault="00D922F8" w:rsidP="003E6E00">
            <w:pPr>
              <w:contextualSpacing/>
              <w:rPr>
                <w:rFonts w:asciiTheme="majorBidi" w:hAnsiTheme="majorBidi" w:cstheme="majorBidi"/>
              </w:rPr>
            </w:pPr>
            <w:proofErr w:type="spellStart"/>
            <w:r w:rsidRPr="009A1677">
              <w:rPr>
                <w:rFonts w:asciiTheme="majorBidi" w:hAnsiTheme="majorBidi" w:cstheme="majorBidi"/>
              </w:rPr>
              <w:t>Induration</w:t>
            </w:r>
            <w:proofErr w:type="spellEnd"/>
            <w:r w:rsidRPr="009A1677">
              <w:rPr>
                <w:rFonts w:asciiTheme="majorBidi" w:hAnsiTheme="majorBidi" w:cstheme="majorBidi"/>
              </w:rPr>
              <w:t xml:space="preserve"> på injektionsstedet*</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Smerter på injektionsstedet*</w:t>
            </w:r>
          </w:p>
          <w:p w:rsidR="00D922F8" w:rsidRPr="009A1677" w:rsidRDefault="00D922F8" w:rsidP="003E6E00">
            <w:pPr>
              <w:contextualSpacing/>
              <w:rPr>
                <w:rFonts w:asciiTheme="majorBidi" w:hAnsiTheme="majorBidi" w:cstheme="majorBidi"/>
              </w:rPr>
            </w:pPr>
            <w:proofErr w:type="spellStart"/>
            <w:r w:rsidRPr="009A1677">
              <w:rPr>
                <w:rFonts w:asciiTheme="majorBidi" w:hAnsiTheme="majorBidi" w:cstheme="majorBidi"/>
              </w:rPr>
              <w:t>Pruritus</w:t>
            </w:r>
            <w:proofErr w:type="spellEnd"/>
            <w:r w:rsidRPr="009A1677">
              <w:rPr>
                <w:rFonts w:asciiTheme="majorBidi" w:hAnsiTheme="majorBidi" w:cstheme="majorBidi"/>
              </w:rPr>
              <w:t xml:space="preserve"> på injektionsstedet*</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Brystsmerter</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Kulderystelser</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Utilpashed</w:t>
            </w:r>
          </w:p>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Perifert ødem</w:t>
            </w:r>
          </w:p>
          <w:p w:rsidR="00D922F8" w:rsidRPr="009A1677" w:rsidRDefault="00D922F8" w:rsidP="003E6E00">
            <w:pPr>
              <w:contextualSpacing/>
              <w:rPr>
                <w:rFonts w:asciiTheme="majorBidi" w:hAnsiTheme="majorBidi" w:cstheme="majorBidi"/>
                <w:b/>
              </w:rPr>
            </w:pPr>
            <w:proofErr w:type="spellStart"/>
            <w:r w:rsidRPr="009A1677">
              <w:rPr>
                <w:rFonts w:asciiTheme="majorBidi" w:hAnsiTheme="majorBidi" w:cstheme="majorBidi"/>
              </w:rPr>
              <w:t>Pyreksi</w:t>
            </w:r>
            <w:proofErr w:type="spellEnd"/>
          </w:p>
        </w:tc>
        <w:tc>
          <w:tcPr>
            <w:tcW w:w="927" w:type="pct"/>
            <w:shd w:val="clear" w:color="auto" w:fill="auto"/>
          </w:tcPr>
          <w:p w:rsidR="00D922F8" w:rsidRPr="009A1677" w:rsidRDefault="00D922F8" w:rsidP="003E6E00">
            <w:pPr>
              <w:contextualSpacing/>
              <w:rPr>
                <w:rFonts w:asciiTheme="majorBidi" w:hAnsiTheme="majorBidi" w:cstheme="majorBidi"/>
                <w:bCs/>
              </w:rPr>
            </w:pPr>
            <w:r w:rsidRPr="009A1677">
              <w:rPr>
                <w:rFonts w:asciiTheme="majorBidi" w:hAnsiTheme="majorBidi" w:cstheme="majorBidi"/>
              </w:rPr>
              <w:t>Blåt mærke på injektionsstedet*</w:t>
            </w:r>
          </w:p>
          <w:p w:rsidR="00D922F8" w:rsidRPr="009A1677" w:rsidRDefault="00D922F8" w:rsidP="003E6E00">
            <w:pPr>
              <w:contextualSpacing/>
              <w:rPr>
                <w:rFonts w:asciiTheme="majorBidi" w:hAnsiTheme="majorBidi" w:cstheme="majorBidi"/>
                <w:bCs/>
              </w:rPr>
            </w:pPr>
            <w:r w:rsidRPr="009A1677">
              <w:rPr>
                <w:rFonts w:asciiTheme="majorBidi" w:hAnsiTheme="majorBidi" w:cstheme="majorBidi"/>
              </w:rPr>
              <w:t>Hævelse på injektionsstedet*</w:t>
            </w:r>
          </w:p>
          <w:p w:rsidR="00D922F8" w:rsidRPr="009A1677" w:rsidRDefault="00D922F8" w:rsidP="003E6E00">
            <w:pPr>
              <w:contextualSpacing/>
              <w:rPr>
                <w:rFonts w:asciiTheme="majorBidi" w:hAnsiTheme="majorBidi" w:cstheme="majorBidi"/>
              </w:rPr>
            </w:pPr>
          </w:p>
        </w:tc>
        <w:tc>
          <w:tcPr>
            <w:tcW w:w="614" w:type="pct"/>
            <w:gridSpan w:val="2"/>
          </w:tcPr>
          <w:p w:rsidR="00D922F8" w:rsidRPr="009A1677" w:rsidRDefault="00D922F8" w:rsidP="003E6E00">
            <w:pPr>
              <w:contextualSpacing/>
              <w:rPr>
                <w:rFonts w:asciiTheme="majorBidi" w:hAnsiTheme="majorBidi" w:cstheme="majorBidi"/>
                <w:bCs/>
              </w:rPr>
            </w:pPr>
          </w:p>
        </w:tc>
      </w:tr>
      <w:tr w:rsidR="00D922F8" w:rsidRPr="009A1677" w:rsidTr="003E6E00">
        <w:tc>
          <w:tcPr>
            <w:tcW w:w="888" w:type="pct"/>
            <w:shd w:val="clear" w:color="auto" w:fill="auto"/>
          </w:tcPr>
          <w:p w:rsidR="00D922F8" w:rsidRPr="009A1677" w:rsidRDefault="00D922F8" w:rsidP="003E6E00">
            <w:pPr>
              <w:contextualSpacing/>
              <w:rPr>
                <w:rFonts w:asciiTheme="majorBidi" w:hAnsiTheme="majorBidi" w:cstheme="majorBidi"/>
                <w:b/>
              </w:rPr>
            </w:pPr>
            <w:r w:rsidRPr="009A1677">
              <w:rPr>
                <w:rFonts w:asciiTheme="majorBidi" w:hAnsiTheme="majorBidi" w:cstheme="majorBidi"/>
                <w:b/>
              </w:rPr>
              <w:t>Undersøgelser</w:t>
            </w:r>
          </w:p>
        </w:tc>
        <w:tc>
          <w:tcPr>
            <w:tcW w:w="1173" w:type="pct"/>
            <w:gridSpan w:val="3"/>
            <w:shd w:val="clear" w:color="auto" w:fill="auto"/>
          </w:tcPr>
          <w:p w:rsidR="00D922F8" w:rsidRPr="009A1677" w:rsidRDefault="00D922F8" w:rsidP="003E6E00">
            <w:pPr>
              <w:contextualSpacing/>
              <w:rPr>
                <w:rFonts w:asciiTheme="majorBidi" w:hAnsiTheme="majorBidi" w:cstheme="majorBidi"/>
              </w:rPr>
            </w:pPr>
          </w:p>
        </w:tc>
        <w:tc>
          <w:tcPr>
            <w:tcW w:w="873" w:type="pct"/>
            <w:shd w:val="clear" w:color="auto" w:fill="auto"/>
          </w:tcPr>
          <w:p w:rsidR="00D922F8" w:rsidRPr="009A1677" w:rsidRDefault="00D922F8" w:rsidP="003E6E00">
            <w:pPr>
              <w:contextualSpacing/>
              <w:rPr>
                <w:rFonts w:asciiTheme="majorBidi" w:hAnsiTheme="majorBidi" w:cstheme="majorBidi"/>
              </w:rPr>
            </w:pPr>
            <w:r w:rsidRPr="009A1677">
              <w:rPr>
                <w:rFonts w:asciiTheme="majorBidi" w:hAnsiTheme="majorBidi" w:cstheme="majorBidi"/>
              </w:rPr>
              <w:t>Forhøjede leverenzymer*†</w:t>
            </w:r>
          </w:p>
        </w:tc>
        <w:tc>
          <w:tcPr>
            <w:tcW w:w="927" w:type="pct"/>
            <w:shd w:val="clear" w:color="auto" w:fill="auto"/>
          </w:tcPr>
          <w:p w:rsidR="00D922F8" w:rsidRPr="009A1677" w:rsidRDefault="00D922F8" w:rsidP="003E6E00">
            <w:pPr>
              <w:contextualSpacing/>
              <w:rPr>
                <w:rFonts w:asciiTheme="majorBidi" w:hAnsiTheme="majorBidi" w:cstheme="majorBidi"/>
              </w:rPr>
            </w:pPr>
          </w:p>
        </w:tc>
        <w:tc>
          <w:tcPr>
            <w:tcW w:w="614" w:type="pct"/>
            <w:gridSpan w:val="2"/>
          </w:tcPr>
          <w:p w:rsidR="00D922F8" w:rsidRPr="009A1677" w:rsidRDefault="00D922F8" w:rsidP="003E6E00">
            <w:pPr>
              <w:contextualSpacing/>
              <w:rPr>
                <w:rFonts w:asciiTheme="majorBidi" w:hAnsiTheme="majorBidi" w:cstheme="majorBidi"/>
                <w:bCs/>
              </w:rPr>
            </w:pPr>
          </w:p>
        </w:tc>
      </w:tr>
    </w:tbl>
    <w:p w:rsidR="00D922F8" w:rsidRPr="00D922F8" w:rsidRDefault="00D922F8" w:rsidP="00D922F8">
      <w:pPr>
        <w:contextualSpacing/>
        <w:rPr>
          <w:rFonts w:asciiTheme="majorBidi" w:hAnsiTheme="majorBidi" w:cstheme="majorBidi"/>
          <w:sz w:val="20"/>
        </w:rPr>
      </w:pPr>
      <w:bookmarkStart w:id="4" w:name="_Hlk98339707"/>
      <w:r w:rsidRPr="00D922F8">
        <w:rPr>
          <w:rFonts w:asciiTheme="majorBidi" w:hAnsiTheme="majorBidi" w:cstheme="majorBidi"/>
          <w:sz w:val="20"/>
        </w:rPr>
        <w:t xml:space="preserve">*Bivirkninger observeret i løbet af pivotale kliniske studier med </w:t>
      </w:r>
      <w:proofErr w:type="spellStart"/>
      <w:r w:rsidRPr="00D922F8">
        <w:rPr>
          <w:rFonts w:asciiTheme="majorBidi" w:hAnsiTheme="majorBidi" w:cstheme="majorBidi"/>
          <w:sz w:val="20"/>
        </w:rPr>
        <w:t>Subutex</w:t>
      </w:r>
      <w:proofErr w:type="spellEnd"/>
      <w:r w:rsidRPr="00D922F8">
        <w:rPr>
          <w:rFonts w:asciiTheme="majorBidi" w:hAnsiTheme="majorBidi" w:cstheme="majorBidi"/>
          <w:sz w:val="20"/>
        </w:rPr>
        <w:t xml:space="preserve"> </w:t>
      </w:r>
      <w:bookmarkEnd w:id="4"/>
      <w:r w:rsidRPr="00D922F8">
        <w:rPr>
          <w:rFonts w:asciiTheme="majorBidi" w:hAnsiTheme="majorBidi" w:cstheme="majorBidi"/>
          <w:sz w:val="20"/>
        </w:rPr>
        <w:t>depotinjektionsvæske, opløsning</w:t>
      </w:r>
    </w:p>
    <w:p w:rsidR="00D922F8" w:rsidRPr="00D922F8" w:rsidRDefault="00D922F8" w:rsidP="00D922F8">
      <w:pPr>
        <w:contextualSpacing/>
        <w:rPr>
          <w:rFonts w:asciiTheme="majorBidi" w:hAnsiTheme="majorBidi" w:cstheme="majorBidi"/>
          <w:sz w:val="20"/>
        </w:rPr>
      </w:pPr>
      <w:r w:rsidRPr="00D922F8">
        <w:rPr>
          <w:rFonts w:asciiTheme="majorBidi" w:hAnsiTheme="majorBidi" w:cstheme="majorBidi"/>
          <w:sz w:val="20"/>
          <w:vertAlign w:val="superscript"/>
        </w:rPr>
        <w:t>†</w:t>
      </w:r>
      <w:r w:rsidRPr="00D922F8">
        <w:rPr>
          <w:rFonts w:asciiTheme="majorBidi" w:hAnsiTheme="majorBidi" w:cstheme="majorBidi"/>
          <w:sz w:val="20"/>
        </w:rPr>
        <w:t>Termen ‘forhøjede leverenzymer’ inkluderer stigninger i ALAT, ASAT, GGT, basisk fosfatase og/eller bilirubin. Der var ingen tilfælde af svær lægemiddelinduceret leverskade.</w:t>
      </w:r>
    </w:p>
    <w:p w:rsidR="007109BF" w:rsidRDefault="007109BF" w:rsidP="007109BF">
      <w:pPr>
        <w:tabs>
          <w:tab w:val="left" w:pos="0"/>
        </w:tabs>
        <w:rPr>
          <w:sz w:val="22"/>
          <w:u w:val="single"/>
        </w:rPr>
      </w:pPr>
    </w:p>
    <w:p w:rsidR="003517BF" w:rsidRPr="004B15F8" w:rsidRDefault="003517BF" w:rsidP="003517BF">
      <w:pPr>
        <w:keepNext/>
        <w:tabs>
          <w:tab w:val="left" w:pos="0"/>
        </w:tabs>
        <w:ind w:left="851"/>
        <w:rPr>
          <w:sz w:val="24"/>
          <w:szCs w:val="24"/>
          <w:u w:val="single"/>
        </w:rPr>
      </w:pPr>
      <w:r w:rsidRPr="004B15F8">
        <w:rPr>
          <w:sz w:val="24"/>
          <w:szCs w:val="24"/>
          <w:u w:val="single"/>
        </w:rPr>
        <w:t xml:space="preserve">Beskrivelse af </w:t>
      </w:r>
      <w:r>
        <w:rPr>
          <w:sz w:val="24"/>
          <w:szCs w:val="24"/>
          <w:u w:val="single"/>
        </w:rPr>
        <w:t xml:space="preserve">andre </w:t>
      </w:r>
      <w:r w:rsidRPr="004B15F8">
        <w:rPr>
          <w:sz w:val="24"/>
          <w:szCs w:val="24"/>
          <w:u w:val="single"/>
        </w:rPr>
        <w:t>udvalgte bivirkninger</w:t>
      </w:r>
    </w:p>
    <w:p w:rsidR="00D922F8" w:rsidRPr="00E8426E" w:rsidRDefault="003517BF" w:rsidP="003517BF">
      <w:pPr>
        <w:tabs>
          <w:tab w:val="left" w:pos="993"/>
        </w:tabs>
        <w:ind w:left="851"/>
        <w:contextualSpacing/>
        <w:rPr>
          <w:rFonts w:asciiTheme="majorBidi" w:hAnsiTheme="majorBidi" w:cstheme="majorBidi"/>
          <w:sz w:val="24"/>
          <w:szCs w:val="24"/>
        </w:rPr>
      </w:pPr>
      <w:r w:rsidRPr="00896A74">
        <w:rPr>
          <w:sz w:val="24"/>
          <w:szCs w:val="24"/>
        </w:rPr>
        <w:t xml:space="preserve">Følgende er et resumé af andre bivirkningsrapporter efter markedsføring, der omfatter andre </w:t>
      </w:r>
      <w:proofErr w:type="spellStart"/>
      <w:r w:rsidRPr="00896A74">
        <w:rPr>
          <w:sz w:val="24"/>
          <w:szCs w:val="24"/>
        </w:rPr>
        <w:t>buprenorphinholdige</w:t>
      </w:r>
      <w:proofErr w:type="spellEnd"/>
      <w:r w:rsidRPr="00896A74">
        <w:rPr>
          <w:sz w:val="24"/>
          <w:szCs w:val="24"/>
        </w:rPr>
        <w:t xml:space="preserve"> præparater og betragtes som alvorlige eller på anden måde bemærkelsesværdige</w:t>
      </w:r>
      <w:r w:rsidR="007109BF" w:rsidRPr="00896A74">
        <w:rPr>
          <w:sz w:val="24"/>
          <w:szCs w:val="24"/>
        </w:rPr>
        <w:t>:</w:t>
      </w:r>
      <w:r w:rsidR="00D922F8" w:rsidRPr="00D922F8">
        <w:rPr>
          <w:rFonts w:asciiTheme="majorBidi" w:hAnsiTheme="majorBidi" w:cstheme="majorBidi"/>
          <w:sz w:val="24"/>
          <w:szCs w:val="24"/>
        </w:rPr>
        <w:t xml:space="preserve"> </w:t>
      </w:r>
    </w:p>
    <w:p w:rsidR="00D922F8" w:rsidRPr="00E8426E" w:rsidRDefault="00D922F8" w:rsidP="00D922F8">
      <w:pPr>
        <w:tabs>
          <w:tab w:val="left" w:pos="0"/>
        </w:tabs>
        <w:contextualSpacing/>
        <w:rPr>
          <w:rFonts w:asciiTheme="majorBidi" w:hAnsiTheme="majorBidi" w:cstheme="majorBidi"/>
          <w:bCs/>
          <w:sz w:val="24"/>
          <w:szCs w:val="24"/>
          <w:u w:val="single"/>
        </w:rPr>
      </w:pPr>
    </w:p>
    <w:p w:rsidR="00D922F8" w:rsidRPr="00E8426E" w:rsidRDefault="00D922F8" w:rsidP="00D922F8">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Hos patienter med udtalt lægemiddelafhængighed kan initial administration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forårsage et lægemiddelabstinenssyndrom svarende til det abstinenssyndrom, der er beskrevet for </w:t>
      </w:r>
      <w:proofErr w:type="spellStart"/>
      <w:r w:rsidRPr="00E8426E">
        <w:rPr>
          <w:rFonts w:asciiTheme="majorBidi" w:hAnsiTheme="majorBidi" w:cstheme="majorBidi"/>
          <w:sz w:val="24"/>
          <w:szCs w:val="24"/>
        </w:rPr>
        <w:t>naloxon</w:t>
      </w:r>
      <w:proofErr w:type="spellEnd"/>
      <w:r w:rsidRPr="00E8426E">
        <w:rPr>
          <w:rFonts w:asciiTheme="majorBidi" w:hAnsiTheme="majorBidi" w:cstheme="majorBidi"/>
          <w:sz w:val="24"/>
          <w:szCs w:val="24"/>
        </w:rPr>
        <w:t>, hvis det administreres, før agonistvirkningerne fra nylig opioidanvendelse eller -misbrug har fortaget sig (se pkt. 4.2 og 4.4).</w:t>
      </w:r>
    </w:p>
    <w:p w:rsidR="00D922F8" w:rsidRPr="00E8426E" w:rsidRDefault="00D922F8" w:rsidP="00D922F8">
      <w:pPr>
        <w:contextualSpacing/>
        <w:rPr>
          <w:rFonts w:asciiTheme="majorBidi" w:hAnsiTheme="majorBidi" w:cstheme="majorBidi"/>
          <w:bCs/>
          <w:sz w:val="24"/>
          <w:szCs w:val="24"/>
        </w:rPr>
      </w:pPr>
    </w:p>
    <w:p w:rsidR="00D922F8" w:rsidRPr="00E8426E" w:rsidRDefault="00D922F8" w:rsidP="00D922F8">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Der er indberettet neonatalt lægemiddelabstinenssyndrom hos nyfødte, hvis mødre har fået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under graviditeten. Dette syndrom kan være mildere og mere langtrukkent end det abstinenssyndrom, der ses fra en ren µ-opioidagonist. Syndromets natur kan variere afhængigt af moderens historik for tidligere brug af stoffer (se pkt. 4.6).</w:t>
      </w:r>
    </w:p>
    <w:p w:rsidR="007109BF" w:rsidRPr="00896A74" w:rsidRDefault="007109BF" w:rsidP="00D922F8">
      <w:pPr>
        <w:keepNext/>
        <w:tabs>
          <w:tab w:val="left" w:pos="0"/>
        </w:tabs>
        <w:ind w:left="851"/>
        <w:rPr>
          <w:sz w:val="24"/>
          <w:szCs w:val="24"/>
        </w:rPr>
      </w:pPr>
    </w:p>
    <w:p w:rsidR="003517BF" w:rsidRPr="000753AC" w:rsidRDefault="003517BF" w:rsidP="003517BF">
      <w:pPr>
        <w:ind w:left="851"/>
        <w:rPr>
          <w:bCs/>
          <w:i/>
          <w:iCs/>
          <w:sz w:val="24"/>
          <w:szCs w:val="24"/>
          <w:u w:val="single"/>
        </w:rPr>
      </w:pPr>
      <w:r w:rsidRPr="000753AC">
        <w:rPr>
          <w:bCs/>
          <w:i/>
          <w:iCs/>
          <w:sz w:val="24"/>
          <w:szCs w:val="24"/>
          <w:u w:val="single"/>
        </w:rPr>
        <w:t>Stofafhængighed</w:t>
      </w:r>
    </w:p>
    <w:p w:rsidR="003517BF" w:rsidRPr="008406EE" w:rsidRDefault="003517BF" w:rsidP="003517BF">
      <w:pPr>
        <w:ind w:left="851"/>
        <w:rPr>
          <w:bCs/>
          <w:sz w:val="24"/>
          <w:szCs w:val="24"/>
        </w:rPr>
      </w:pPr>
      <w:r w:rsidRPr="008406EE">
        <w:rPr>
          <w:bCs/>
          <w:sz w:val="24"/>
          <w:szCs w:val="24"/>
        </w:rPr>
        <w:t xml:space="preserve">Gentagen brug af </w:t>
      </w:r>
      <w:proofErr w:type="spellStart"/>
      <w:r w:rsidRPr="008406EE">
        <w:rPr>
          <w:bCs/>
          <w:sz w:val="24"/>
          <w:szCs w:val="24"/>
        </w:rPr>
        <w:t>buprenorphin</w:t>
      </w:r>
      <w:proofErr w:type="spellEnd"/>
      <w:r w:rsidRPr="008406EE">
        <w:rPr>
          <w:bCs/>
          <w:sz w:val="24"/>
          <w:szCs w:val="24"/>
        </w:rPr>
        <w:t xml:space="preserve"> kan føre til stofafhængighed, selv ved terapeutiske doser. Risikoen for </w:t>
      </w:r>
      <w:r w:rsidRPr="00720150">
        <w:rPr>
          <w:bCs/>
          <w:sz w:val="24"/>
          <w:szCs w:val="24"/>
        </w:rPr>
        <w:t>afhængighed</w:t>
      </w:r>
      <w:r w:rsidRPr="00720150" w:rsidDel="00124ADF">
        <w:rPr>
          <w:bCs/>
          <w:sz w:val="24"/>
          <w:szCs w:val="24"/>
        </w:rPr>
        <w:t xml:space="preserve"> </w:t>
      </w:r>
      <w:r w:rsidRPr="008406EE">
        <w:rPr>
          <w:bCs/>
          <w:sz w:val="24"/>
          <w:szCs w:val="24"/>
        </w:rPr>
        <w:t>kan variere afhængigt af en patients individuelle risikofaktorer, dosis og varighed af opioidbehandling (se pkt. 4.4).</w:t>
      </w:r>
    </w:p>
    <w:p w:rsidR="003517BF" w:rsidRDefault="003517BF" w:rsidP="00896A74">
      <w:pPr>
        <w:ind w:left="851"/>
        <w:rPr>
          <w:sz w:val="24"/>
          <w:szCs w:val="24"/>
          <w:u w:val="single"/>
        </w:rPr>
      </w:pPr>
    </w:p>
    <w:p w:rsidR="007109BF" w:rsidRPr="00896A74" w:rsidRDefault="007109BF" w:rsidP="00896A74">
      <w:pPr>
        <w:ind w:left="851"/>
        <w:rPr>
          <w:sz w:val="24"/>
          <w:szCs w:val="24"/>
          <w:u w:val="single"/>
        </w:rPr>
      </w:pPr>
      <w:r w:rsidRPr="00896A74">
        <w:rPr>
          <w:sz w:val="24"/>
          <w:szCs w:val="24"/>
          <w:u w:val="single"/>
        </w:rPr>
        <w:t>Indberetning af formodede bivirkninger</w:t>
      </w:r>
    </w:p>
    <w:p w:rsidR="007D43A7" w:rsidRDefault="007109BF" w:rsidP="00896A74">
      <w:pPr>
        <w:ind w:left="851"/>
        <w:rPr>
          <w:sz w:val="24"/>
          <w:szCs w:val="24"/>
        </w:rPr>
      </w:pPr>
      <w:r w:rsidRPr="00896A74">
        <w:rPr>
          <w:sz w:val="24"/>
          <w:szCs w:val="24"/>
        </w:rPr>
        <w:t>Når lægemidlet er godkendt, er indberetning af formodede bivirkninger vigtig. Det muliggør løbende overvågning af benefit/</w:t>
      </w:r>
      <w:proofErr w:type="spellStart"/>
      <w:r w:rsidRPr="00896A74">
        <w:rPr>
          <w:sz w:val="24"/>
          <w:szCs w:val="24"/>
        </w:rPr>
        <w:t>risk</w:t>
      </w:r>
      <w:proofErr w:type="spellEnd"/>
      <w:r w:rsidRPr="00896A74">
        <w:rPr>
          <w:sz w:val="24"/>
          <w:szCs w:val="24"/>
        </w:rPr>
        <w:t>-forholdet for lægemidlet. Sundhedspersoner anmodes om at indberette alle formodede bivirkninger via</w:t>
      </w:r>
      <w:r w:rsidR="007D43A7">
        <w:rPr>
          <w:sz w:val="24"/>
          <w:szCs w:val="24"/>
        </w:rPr>
        <w:t>:</w:t>
      </w:r>
    </w:p>
    <w:p w:rsidR="007109BF" w:rsidRPr="00896A74" w:rsidRDefault="007109BF" w:rsidP="00896A74">
      <w:pPr>
        <w:ind w:left="851"/>
        <w:rPr>
          <w:sz w:val="24"/>
          <w:szCs w:val="24"/>
        </w:rPr>
      </w:pPr>
      <w:r w:rsidRPr="00896A74">
        <w:rPr>
          <w:sz w:val="24"/>
          <w:szCs w:val="24"/>
        </w:rPr>
        <w:lastRenderedPageBreak/>
        <w:br/>
        <w:t>Lægemiddelstyrelsen</w:t>
      </w:r>
      <w:r w:rsidRPr="00896A74">
        <w:rPr>
          <w:sz w:val="24"/>
          <w:szCs w:val="24"/>
        </w:rPr>
        <w:br/>
        <w:t>Axel Heides Gade 1</w:t>
      </w:r>
      <w:r w:rsidRPr="00896A74">
        <w:rPr>
          <w:sz w:val="24"/>
          <w:szCs w:val="24"/>
        </w:rPr>
        <w:br/>
        <w:t>2300 København S</w:t>
      </w:r>
      <w:r w:rsidRPr="00896A74">
        <w:rPr>
          <w:sz w:val="24"/>
          <w:szCs w:val="24"/>
        </w:rPr>
        <w:br/>
      </w:r>
      <w:r w:rsidRPr="007D43A7">
        <w:rPr>
          <w:sz w:val="24"/>
          <w:szCs w:val="24"/>
        </w:rPr>
        <w:t>www.meldenbiv</w:t>
      </w:r>
      <w:r w:rsidR="007D43A7" w:rsidRPr="007D43A7">
        <w:rPr>
          <w:sz w:val="24"/>
          <w:szCs w:val="24"/>
        </w:rPr>
        <w:t>i</w:t>
      </w:r>
      <w:r w:rsidRPr="007D43A7">
        <w:rPr>
          <w:sz w:val="24"/>
          <w:szCs w:val="24"/>
        </w:rPr>
        <w:t>rkning.dk</w:t>
      </w:r>
    </w:p>
    <w:p w:rsidR="009260DE" w:rsidRPr="00896A74" w:rsidRDefault="009260DE" w:rsidP="00896A74">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7109BF" w:rsidRPr="00896A74" w:rsidRDefault="007109BF" w:rsidP="00896A74">
      <w:pPr>
        <w:keepNext/>
        <w:ind w:left="851"/>
        <w:jc w:val="both"/>
        <w:rPr>
          <w:sz w:val="24"/>
          <w:szCs w:val="24"/>
          <w:u w:val="double"/>
          <w:lang w:eastAsia="fr-LU"/>
        </w:rPr>
      </w:pPr>
    </w:p>
    <w:p w:rsidR="00D922F8" w:rsidRPr="006340F6" w:rsidRDefault="00D922F8" w:rsidP="006340F6">
      <w:pPr>
        <w:tabs>
          <w:tab w:val="left" w:pos="851"/>
        </w:tabs>
        <w:ind w:left="851"/>
        <w:contextualSpacing/>
        <w:rPr>
          <w:rFonts w:asciiTheme="majorBidi" w:hAnsiTheme="majorBidi" w:cstheme="majorBidi"/>
          <w:bCs/>
          <w:sz w:val="24"/>
          <w:szCs w:val="24"/>
        </w:rPr>
      </w:pPr>
      <w:r w:rsidRPr="006340F6">
        <w:rPr>
          <w:rFonts w:asciiTheme="majorBidi" w:hAnsiTheme="majorBidi" w:cstheme="majorBidi"/>
          <w:sz w:val="24"/>
          <w:szCs w:val="24"/>
        </w:rPr>
        <w:t xml:space="preserve">Der er risiko for overdosering hos både patienter og personer, som ikke er i behandling, men som kommer i kontakt med lægemidlet ved misbrug eller utilsigtet eksponering. </w:t>
      </w:r>
    </w:p>
    <w:p w:rsidR="00D922F8" w:rsidRPr="006340F6" w:rsidRDefault="00D922F8" w:rsidP="00D922F8">
      <w:pPr>
        <w:tabs>
          <w:tab w:val="left" w:pos="0"/>
        </w:tabs>
        <w:contextualSpacing/>
        <w:rPr>
          <w:rFonts w:asciiTheme="majorBidi" w:hAnsiTheme="majorBidi" w:cstheme="majorBidi"/>
          <w:sz w:val="24"/>
          <w:szCs w:val="24"/>
          <w:u w:val="single"/>
        </w:rPr>
      </w:pPr>
    </w:p>
    <w:p w:rsidR="00D922F8" w:rsidRPr="006340F6" w:rsidRDefault="006340F6" w:rsidP="006340F6">
      <w:pPr>
        <w:tabs>
          <w:tab w:val="left" w:pos="851"/>
        </w:tabs>
        <w:contextualSpacing/>
        <w:rPr>
          <w:rFonts w:asciiTheme="majorBidi" w:hAnsiTheme="majorBidi" w:cstheme="majorBidi"/>
          <w:sz w:val="24"/>
          <w:szCs w:val="24"/>
          <w:u w:val="single"/>
        </w:rPr>
      </w:pPr>
      <w:r w:rsidRPr="006340F6">
        <w:rPr>
          <w:rFonts w:asciiTheme="majorBidi" w:hAnsiTheme="majorBidi" w:cstheme="majorBidi"/>
          <w:sz w:val="24"/>
          <w:szCs w:val="24"/>
        </w:rPr>
        <w:tab/>
      </w:r>
      <w:r w:rsidR="00D922F8" w:rsidRPr="006340F6">
        <w:rPr>
          <w:rFonts w:asciiTheme="majorBidi" w:hAnsiTheme="majorBidi" w:cstheme="majorBidi"/>
          <w:sz w:val="24"/>
          <w:szCs w:val="24"/>
          <w:u w:val="single"/>
        </w:rPr>
        <w:t>Symptomer</w:t>
      </w:r>
    </w:p>
    <w:p w:rsidR="00D922F8" w:rsidRPr="006340F6" w:rsidRDefault="00D922F8" w:rsidP="00D922F8">
      <w:pPr>
        <w:tabs>
          <w:tab w:val="left" w:pos="0"/>
        </w:tabs>
        <w:contextualSpacing/>
        <w:rPr>
          <w:rFonts w:asciiTheme="majorBidi" w:hAnsiTheme="majorBidi" w:cstheme="majorBidi"/>
          <w:bCs/>
          <w:sz w:val="24"/>
          <w:szCs w:val="24"/>
        </w:rPr>
      </w:pPr>
    </w:p>
    <w:p w:rsidR="00D922F8" w:rsidRPr="006340F6" w:rsidRDefault="00D922F8" w:rsidP="006340F6">
      <w:pPr>
        <w:tabs>
          <w:tab w:val="left" w:pos="851"/>
        </w:tabs>
        <w:ind w:left="851"/>
        <w:contextualSpacing/>
        <w:rPr>
          <w:rFonts w:asciiTheme="majorBidi" w:hAnsiTheme="majorBidi" w:cstheme="majorBidi"/>
          <w:sz w:val="24"/>
          <w:szCs w:val="24"/>
        </w:rPr>
      </w:pPr>
      <w:r w:rsidRPr="006340F6">
        <w:rPr>
          <w:rFonts w:asciiTheme="majorBidi" w:hAnsiTheme="majorBidi" w:cstheme="majorBidi"/>
          <w:sz w:val="24"/>
          <w:szCs w:val="24"/>
        </w:rPr>
        <w:t xml:space="preserve">Respirationsdepression med oprindelse i centralnervesystemet er det primære symptom, som kræver indgriben i tilfælde af overdosering, da det kan forårsage åndedrætsstop og død (se pkt. 4.4). Præliminære symptomer på akut overdosering kan også inkludere kraftig svedtendens, </w:t>
      </w:r>
      <w:proofErr w:type="spellStart"/>
      <w:r w:rsidRPr="006340F6">
        <w:rPr>
          <w:rFonts w:asciiTheme="majorBidi" w:hAnsiTheme="majorBidi" w:cstheme="majorBidi"/>
          <w:sz w:val="24"/>
          <w:szCs w:val="24"/>
        </w:rPr>
        <w:t>somnolens</w:t>
      </w:r>
      <w:proofErr w:type="spellEnd"/>
      <w:r w:rsidRPr="006340F6">
        <w:rPr>
          <w:rFonts w:asciiTheme="majorBidi" w:hAnsiTheme="majorBidi" w:cstheme="majorBidi"/>
          <w:sz w:val="24"/>
          <w:szCs w:val="24"/>
        </w:rPr>
        <w:t xml:space="preserve">, </w:t>
      </w:r>
      <w:proofErr w:type="spellStart"/>
      <w:r w:rsidRPr="006340F6">
        <w:rPr>
          <w:rFonts w:asciiTheme="majorBidi" w:hAnsiTheme="majorBidi" w:cstheme="majorBidi"/>
          <w:sz w:val="24"/>
          <w:szCs w:val="24"/>
        </w:rPr>
        <w:t>miosis</w:t>
      </w:r>
      <w:proofErr w:type="spellEnd"/>
      <w:r w:rsidRPr="006340F6">
        <w:rPr>
          <w:rFonts w:asciiTheme="majorBidi" w:hAnsiTheme="majorBidi" w:cstheme="majorBidi"/>
          <w:sz w:val="24"/>
          <w:szCs w:val="24"/>
        </w:rPr>
        <w:t>, hypotension, kvalme, opkastning og/eller taleforstyrrelser.</w:t>
      </w:r>
    </w:p>
    <w:p w:rsidR="00D922F8" w:rsidRPr="006340F6" w:rsidRDefault="00D922F8" w:rsidP="00D922F8">
      <w:pPr>
        <w:tabs>
          <w:tab w:val="left" w:pos="0"/>
        </w:tabs>
        <w:contextualSpacing/>
        <w:rPr>
          <w:rFonts w:asciiTheme="majorBidi" w:hAnsiTheme="majorBidi" w:cstheme="majorBidi"/>
          <w:sz w:val="24"/>
          <w:szCs w:val="24"/>
        </w:rPr>
      </w:pPr>
    </w:p>
    <w:p w:rsidR="00D922F8" w:rsidRPr="006340F6" w:rsidRDefault="006340F6" w:rsidP="006340F6">
      <w:pPr>
        <w:tabs>
          <w:tab w:val="left" w:pos="851"/>
        </w:tabs>
        <w:contextualSpacing/>
        <w:rPr>
          <w:rFonts w:asciiTheme="majorBidi" w:hAnsiTheme="majorBidi" w:cstheme="majorBidi"/>
          <w:sz w:val="24"/>
          <w:szCs w:val="24"/>
          <w:u w:val="single"/>
        </w:rPr>
      </w:pPr>
      <w:r w:rsidRPr="006340F6">
        <w:rPr>
          <w:rFonts w:asciiTheme="majorBidi" w:hAnsiTheme="majorBidi" w:cstheme="majorBidi"/>
          <w:sz w:val="24"/>
          <w:szCs w:val="24"/>
        </w:rPr>
        <w:tab/>
      </w:r>
      <w:r w:rsidR="00D922F8" w:rsidRPr="006340F6">
        <w:rPr>
          <w:rFonts w:asciiTheme="majorBidi" w:hAnsiTheme="majorBidi" w:cstheme="majorBidi"/>
          <w:sz w:val="24"/>
          <w:szCs w:val="24"/>
          <w:u w:val="single"/>
        </w:rPr>
        <w:t>Behandling</w:t>
      </w:r>
    </w:p>
    <w:p w:rsidR="00D922F8" w:rsidRPr="006340F6" w:rsidRDefault="00D922F8" w:rsidP="00D922F8">
      <w:pPr>
        <w:tabs>
          <w:tab w:val="left" w:pos="0"/>
        </w:tabs>
        <w:contextualSpacing/>
        <w:rPr>
          <w:rFonts w:asciiTheme="majorBidi" w:hAnsiTheme="majorBidi" w:cstheme="majorBidi"/>
          <w:sz w:val="24"/>
          <w:szCs w:val="24"/>
          <w:u w:val="single"/>
        </w:rPr>
      </w:pPr>
    </w:p>
    <w:p w:rsidR="00D922F8" w:rsidRPr="006340F6" w:rsidRDefault="00D922F8" w:rsidP="006340F6">
      <w:pPr>
        <w:tabs>
          <w:tab w:val="left" w:pos="851"/>
        </w:tabs>
        <w:ind w:left="851"/>
        <w:contextualSpacing/>
        <w:rPr>
          <w:rFonts w:asciiTheme="majorBidi" w:hAnsiTheme="majorBidi" w:cstheme="majorBidi"/>
          <w:sz w:val="24"/>
          <w:szCs w:val="24"/>
        </w:rPr>
      </w:pPr>
      <w:r w:rsidRPr="006340F6">
        <w:rPr>
          <w:rFonts w:asciiTheme="majorBidi" w:hAnsiTheme="majorBidi" w:cstheme="majorBidi"/>
          <w:sz w:val="24"/>
          <w:szCs w:val="24"/>
        </w:rPr>
        <w:t xml:space="preserve">Der skal iværksættes generelle støtteforanstaltninger, herunder nøje overvågning af patientens respiratoriske og </w:t>
      </w:r>
      <w:proofErr w:type="spellStart"/>
      <w:r w:rsidRPr="006340F6">
        <w:rPr>
          <w:rFonts w:asciiTheme="majorBidi" w:hAnsiTheme="majorBidi" w:cstheme="majorBidi"/>
          <w:sz w:val="24"/>
          <w:szCs w:val="24"/>
        </w:rPr>
        <w:t>kardielle</w:t>
      </w:r>
      <w:proofErr w:type="spellEnd"/>
      <w:r w:rsidRPr="006340F6">
        <w:rPr>
          <w:rFonts w:asciiTheme="majorBidi" w:hAnsiTheme="majorBidi" w:cstheme="majorBidi"/>
          <w:sz w:val="24"/>
          <w:szCs w:val="24"/>
        </w:rPr>
        <w:t xml:space="preserve"> funktion. Symptomatisk behandling af respirationsdepression og standardprocedurer for intensiv behandling skal iværksættes. Der skal sikres frie luftveje og assisteret eller kontrolleret ventilation. Patienten skal overføres til et sted, hvor der er udstyr til genoplivning.</w:t>
      </w:r>
    </w:p>
    <w:p w:rsidR="00D922F8" w:rsidRPr="006340F6" w:rsidRDefault="00D922F8" w:rsidP="00D922F8">
      <w:pPr>
        <w:tabs>
          <w:tab w:val="left" w:pos="0"/>
        </w:tabs>
        <w:contextualSpacing/>
        <w:rPr>
          <w:rFonts w:asciiTheme="majorBidi" w:hAnsiTheme="majorBidi" w:cstheme="majorBidi"/>
          <w:bCs/>
          <w:sz w:val="24"/>
          <w:szCs w:val="24"/>
        </w:rPr>
      </w:pPr>
    </w:p>
    <w:p w:rsidR="00D922F8" w:rsidRPr="006340F6" w:rsidRDefault="006340F6" w:rsidP="006340F6">
      <w:pPr>
        <w:tabs>
          <w:tab w:val="left" w:pos="851"/>
        </w:tabs>
        <w:contextualSpacing/>
        <w:rPr>
          <w:rFonts w:asciiTheme="majorBidi" w:hAnsiTheme="majorBidi" w:cstheme="majorBidi"/>
          <w:bCs/>
          <w:sz w:val="24"/>
          <w:szCs w:val="24"/>
        </w:rPr>
      </w:pPr>
      <w:r w:rsidRPr="006340F6">
        <w:rPr>
          <w:rFonts w:asciiTheme="majorBidi" w:hAnsiTheme="majorBidi" w:cstheme="majorBidi"/>
          <w:sz w:val="24"/>
          <w:szCs w:val="24"/>
        </w:rPr>
        <w:tab/>
      </w:r>
      <w:r w:rsidR="00D922F8" w:rsidRPr="006340F6">
        <w:rPr>
          <w:rFonts w:asciiTheme="majorBidi" w:hAnsiTheme="majorBidi" w:cstheme="majorBidi"/>
          <w:sz w:val="24"/>
          <w:szCs w:val="24"/>
        </w:rPr>
        <w:t>Ved opkastning skal der tages forholdsregler for at undgå aspiration af opkastet.</w:t>
      </w:r>
    </w:p>
    <w:p w:rsidR="00D922F8" w:rsidRPr="006340F6" w:rsidRDefault="00D922F8" w:rsidP="00D922F8">
      <w:pPr>
        <w:tabs>
          <w:tab w:val="left" w:pos="0"/>
        </w:tabs>
        <w:contextualSpacing/>
        <w:rPr>
          <w:rFonts w:asciiTheme="majorBidi" w:hAnsiTheme="majorBidi" w:cstheme="majorBidi"/>
          <w:sz w:val="24"/>
          <w:szCs w:val="24"/>
        </w:rPr>
      </w:pPr>
    </w:p>
    <w:p w:rsidR="00D922F8" w:rsidRPr="006340F6" w:rsidRDefault="00D922F8" w:rsidP="006340F6">
      <w:pPr>
        <w:tabs>
          <w:tab w:val="left" w:pos="851"/>
        </w:tabs>
        <w:ind w:left="851"/>
        <w:contextualSpacing/>
        <w:rPr>
          <w:rFonts w:asciiTheme="majorBidi" w:hAnsiTheme="majorBidi" w:cstheme="majorBidi"/>
          <w:sz w:val="24"/>
          <w:szCs w:val="24"/>
        </w:rPr>
      </w:pPr>
      <w:r w:rsidRPr="006340F6">
        <w:rPr>
          <w:rFonts w:asciiTheme="majorBidi" w:hAnsiTheme="majorBidi" w:cstheme="majorBidi"/>
          <w:sz w:val="24"/>
          <w:szCs w:val="24"/>
        </w:rPr>
        <w:t xml:space="preserve">Anvendelse af en opioidantagonist (dvs. </w:t>
      </w:r>
      <w:proofErr w:type="spellStart"/>
      <w:r w:rsidRPr="006340F6">
        <w:rPr>
          <w:rFonts w:asciiTheme="majorBidi" w:hAnsiTheme="majorBidi" w:cstheme="majorBidi"/>
          <w:sz w:val="24"/>
          <w:szCs w:val="24"/>
        </w:rPr>
        <w:t>naloxon</w:t>
      </w:r>
      <w:proofErr w:type="spellEnd"/>
      <w:r w:rsidRPr="006340F6">
        <w:rPr>
          <w:rFonts w:asciiTheme="majorBidi" w:hAnsiTheme="majorBidi" w:cstheme="majorBidi"/>
          <w:sz w:val="24"/>
          <w:szCs w:val="24"/>
        </w:rPr>
        <w:t xml:space="preserve">) anbefales på trods af den beskedne virkning, den kan have på at reversere respirationssymptomerne af </w:t>
      </w:r>
      <w:proofErr w:type="spellStart"/>
      <w:r w:rsidRPr="006340F6">
        <w:rPr>
          <w:rFonts w:asciiTheme="majorBidi" w:hAnsiTheme="majorBidi" w:cstheme="majorBidi"/>
          <w:sz w:val="24"/>
          <w:szCs w:val="24"/>
        </w:rPr>
        <w:t>buprenorphin</w:t>
      </w:r>
      <w:proofErr w:type="spellEnd"/>
      <w:r w:rsidRPr="006340F6">
        <w:rPr>
          <w:rFonts w:asciiTheme="majorBidi" w:hAnsiTheme="majorBidi" w:cstheme="majorBidi"/>
          <w:sz w:val="24"/>
          <w:szCs w:val="24"/>
        </w:rPr>
        <w:t>, i forhold til stoffets virkninger på fulde opioidagonister.</w:t>
      </w:r>
    </w:p>
    <w:p w:rsidR="00D922F8" w:rsidRPr="006340F6" w:rsidRDefault="00D922F8" w:rsidP="00D922F8">
      <w:pPr>
        <w:tabs>
          <w:tab w:val="left" w:pos="0"/>
        </w:tabs>
        <w:contextualSpacing/>
        <w:rPr>
          <w:rFonts w:asciiTheme="majorBidi" w:hAnsiTheme="majorBidi" w:cstheme="majorBidi"/>
          <w:sz w:val="24"/>
          <w:szCs w:val="24"/>
        </w:rPr>
      </w:pPr>
    </w:p>
    <w:p w:rsidR="00D922F8" w:rsidRPr="006340F6" w:rsidRDefault="00D922F8" w:rsidP="006340F6">
      <w:pPr>
        <w:tabs>
          <w:tab w:val="left" w:pos="851"/>
        </w:tabs>
        <w:ind w:left="851"/>
        <w:contextualSpacing/>
        <w:rPr>
          <w:rFonts w:asciiTheme="majorBidi" w:hAnsiTheme="majorBidi" w:cstheme="majorBidi"/>
          <w:sz w:val="24"/>
          <w:szCs w:val="24"/>
        </w:rPr>
      </w:pPr>
      <w:r w:rsidRPr="006340F6">
        <w:rPr>
          <w:rFonts w:asciiTheme="majorBidi" w:hAnsiTheme="majorBidi" w:cstheme="majorBidi"/>
          <w:sz w:val="24"/>
          <w:szCs w:val="24"/>
        </w:rPr>
        <w:t xml:space="preserve">Ved administration af </w:t>
      </w:r>
      <w:proofErr w:type="spellStart"/>
      <w:r w:rsidRPr="006340F6">
        <w:rPr>
          <w:rFonts w:asciiTheme="majorBidi" w:hAnsiTheme="majorBidi" w:cstheme="majorBidi"/>
          <w:sz w:val="24"/>
          <w:szCs w:val="24"/>
        </w:rPr>
        <w:t>naloxon</w:t>
      </w:r>
      <w:proofErr w:type="spellEnd"/>
      <w:r w:rsidRPr="006340F6">
        <w:rPr>
          <w:rFonts w:asciiTheme="majorBidi" w:hAnsiTheme="majorBidi" w:cstheme="majorBidi"/>
          <w:sz w:val="24"/>
          <w:szCs w:val="24"/>
        </w:rPr>
        <w:t xml:space="preserve"> skal den lange varighed af </w:t>
      </w:r>
      <w:proofErr w:type="spellStart"/>
      <w:r w:rsidRPr="006340F6">
        <w:rPr>
          <w:rFonts w:asciiTheme="majorBidi" w:hAnsiTheme="majorBidi" w:cstheme="majorBidi"/>
          <w:sz w:val="24"/>
          <w:szCs w:val="24"/>
        </w:rPr>
        <w:t>buprenorphins</w:t>
      </w:r>
      <w:proofErr w:type="spellEnd"/>
      <w:r w:rsidRPr="006340F6">
        <w:rPr>
          <w:rFonts w:asciiTheme="majorBidi" w:hAnsiTheme="majorBidi" w:cstheme="majorBidi"/>
          <w:sz w:val="24"/>
          <w:szCs w:val="24"/>
        </w:rPr>
        <w:t xml:space="preserve"> virkning og depotegenskaberne for formuleringen af </w:t>
      </w:r>
      <w:proofErr w:type="spellStart"/>
      <w:r w:rsidRPr="006340F6">
        <w:rPr>
          <w:rFonts w:asciiTheme="majorBidi" w:hAnsiTheme="majorBidi" w:cstheme="majorBidi"/>
          <w:sz w:val="24"/>
          <w:szCs w:val="24"/>
        </w:rPr>
        <w:t>Subutex</w:t>
      </w:r>
      <w:proofErr w:type="spellEnd"/>
      <w:r w:rsidRPr="006340F6">
        <w:rPr>
          <w:rFonts w:asciiTheme="majorBidi" w:hAnsiTheme="majorBidi" w:cstheme="majorBidi"/>
          <w:sz w:val="24"/>
          <w:szCs w:val="24"/>
        </w:rPr>
        <w:t xml:space="preserve"> tages i betragtning ved fastlæggelse af behandlingsvarigheden og den medicinske overvågning, der er nødvendig for at reversere virkningen af en overdosering. </w:t>
      </w:r>
      <w:proofErr w:type="spellStart"/>
      <w:r w:rsidRPr="006340F6">
        <w:rPr>
          <w:rFonts w:asciiTheme="majorBidi" w:hAnsiTheme="majorBidi" w:cstheme="majorBidi"/>
          <w:sz w:val="24"/>
          <w:szCs w:val="24"/>
        </w:rPr>
        <w:t>Naloxon</w:t>
      </w:r>
      <w:proofErr w:type="spellEnd"/>
      <w:r w:rsidRPr="006340F6">
        <w:rPr>
          <w:rFonts w:asciiTheme="majorBidi" w:hAnsiTheme="majorBidi" w:cstheme="majorBidi"/>
          <w:sz w:val="24"/>
          <w:szCs w:val="24"/>
        </w:rPr>
        <w:t xml:space="preserve"> kan elimineres hurtigere end </w:t>
      </w:r>
      <w:proofErr w:type="spellStart"/>
      <w:r w:rsidRPr="006340F6">
        <w:rPr>
          <w:rFonts w:asciiTheme="majorBidi" w:hAnsiTheme="majorBidi" w:cstheme="majorBidi"/>
          <w:sz w:val="24"/>
          <w:szCs w:val="24"/>
        </w:rPr>
        <w:t>buprenorphin</w:t>
      </w:r>
      <w:proofErr w:type="spellEnd"/>
      <w:r w:rsidRPr="006340F6">
        <w:rPr>
          <w:rFonts w:asciiTheme="majorBidi" w:hAnsiTheme="majorBidi" w:cstheme="majorBidi"/>
          <w:sz w:val="24"/>
          <w:szCs w:val="24"/>
        </w:rPr>
        <w:t xml:space="preserve">, hvilket medfører, at tidligere kontrollerede symptomer på en overdosering af </w:t>
      </w:r>
      <w:proofErr w:type="spellStart"/>
      <w:r w:rsidRPr="006340F6">
        <w:rPr>
          <w:rFonts w:asciiTheme="majorBidi" w:hAnsiTheme="majorBidi" w:cstheme="majorBidi"/>
          <w:sz w:val="24"/>
          <w:szCs w:val="24"/>
        </w:rPr>
        <w:t>buprenorphin</w:t>
      </w:r>
      <w:proofErr w:type="spellEnd"/>
      <w:r w:rsidRPr="006340F6">
        <w:rPr>
          <w:rFonts w:asciiTheme="majorBidi" w:hAnsiTheme="majorBidi" w:cstheme="majorBidi"/>
          <w:sz w:val="24"/>
          <w:szCs w:val="24"/>
        </w:rPr>
        <w:t xml:space="preserve"> vender tilbage. En kontinuerlig infusion kan derfor være nødvendig. Hvis en infusion ikke er mulig, kan gentagen administration af </w:t>
      </w:r>
      <w:proofErr w:type="spellStart"/>
      <w:r w:rsidRPr="006340F6">
        <w:rPr>
          <w:rFonts w:asciiTheme="majorBidi" w:hAnsiTheme="majorBidi" w:cstheme="majorBidi"/>
          <w:sz w:val="24"/>
          <w:szCs w:val="24"/>
        </w:rPr>
        <w:t>naloxon</w:t>
      </w:r>
      <w:proofErr w:type="spellEnd"/>
      <w:r w:rsidRPr="006340F6">
        <w:rPr>
          <w:rFonts w:asciiTheme="majorBidi" w:hAnsiTheme="majorBidi" w:cstheme="majorBidi"/>
          <w:sz w:val="24"/>
          <w:szCs w:val="24"/>
        </w:rPr>
        <w:t xml:space="preserve"> være nødvendig. Der kan indledningsvis administreres doser på op til 2 mg </w:t>
      </w:r>
      <w:proofErr w:type="spellStart"/>
      <w:r w:rsidRPr="006340F6">
        <w:rPr>
          <w:rFonts w:asciiTheme="majorBidi" w:hAnsiTheme="majorBidi" w:cstheme="majorBidi"/>
          <w:sz w:val="24"/>
          <w:szCs w:val="24"/>
        </w:rPr>
        <w:t>naloxon</w:t>
      </w:r>
      <w:proofErr w:type="spellEnd"/>
      <w:r w:rsidRPr="006340F6">
        <w:rPr>
          <w:rFonts w:asciiTheme="majorBidi" w:hAnsiTheme="majorBidi" w:cstheme="majorBidi"/>
          <w:sz w:val="24"/>
          <w:szCs w:val="24"/>
        </w:rPr>
        <w:t xml:space="preserve">, der gentages hver 2.-3. minut, indtil der opnås et tilfredsstillende respons. Den initiale dosis må ikke overstige 10 mg. Infusionshastighederne skal justeres i henhold til patientens reaktion. </w:t>
      </w:r>
    </w:p>
    <w:p w:rsidR="00D922F8" w:rsidRPr="006340F6" w:rsidRDefault="00D922F8" w:rsidP="006340F6">
      <w:pPr>
        <w:tabs>
          <w:tab w:val="left" w:pos="851"/>
        </w:tabs>
        <w:ind w:left="851"/>
        <w:contextualSpacing/>
        <w:rPr>
          <w:rFonts w:asciiTheme="majorBidi" w:hAnsiTheme="majorBidi" w:cstheme="majorBidi"/>
          <w:sz w:val="24"/>
          <w:szCs w:val="24"/>
        </w:rPr>
      </w:pPr>
      <w:r w:rsidRPr="006340F6">
        <w:rPr>
          <w:rFonts w:asciiTheme="majorBidi" w:hAnsiTheme="majorBidi" w:cstheme="majorBidi"/>
          <w:sz w:val="24"/>
          <w:szCs w:val="24"/>
        </w:rPr>
        <w:t xml:space="preserve">Klinisk personale skal tage den mulige rolle og det mulige bidrag fra </w:t>
      </w:r>
      <w:proofErr w:type="spellStart"/>
      <w:r w:rsidRPr="006340F6">
        <w:rPr>
          <w:rFonts w:asciiTheme="majorBidi" w:hAnsiTheme="majorBidi" w:cstheme="majorBidi"/>
          <w:sz w:val="24"/>
          <w:szCs w:val="24"/>
        </w:rPr>
        <w:t>buprenorphin</w:t>
      </w:r>
      <w:proofErr w:type="spellEnd"/>
      <w:r w:rsidRPr="006340F6">
        <w:rPr>
          <w:rFonts w:asciiTheme="majorBidi" w:hAnsiTheme="majorBidi" w:cstheme="majorBidi"/>
          <w:sz w:val="24"/>
          <w:szCs w:val="24"/>
        </w:rPr>
        <w:t>, andre opioider og andre CNS-undertrykkende lægemidler med i betragtning ved en patients kliniske fremtoning.</w:t>
      </w:r>
    </w:p>
    <w:p w:rsidR="009260DE" w:rsidRPr="00896A74" w:rsidRDefault="009260DE" w:rsidP="00896A7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7109BF" w:rsidP="009260DE">
      <w:pPr>
        <w:tabs>
          <w:tab w:val="left" w:pos="851"/>
        </w:tabs>
        <w:ind w:left="851"/>
        <w:rPr>
          <w:sz w:val="24"/>
          <w:szCs w:val="24"/>
        </w:rPr>
      </w:pPr>
      <w:r>
        <w:rPr>
          <w:sz w:val="24"/>
          <w:szCs w:val="24"/>
        </w:rPr>
        <w:t>A§4 (kopieringspligtigt)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340F6" w:rsidRPr="00C84483" w:rsidRDefault="006340F6"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12B14" w:rsidRDefault="00312B14" w:rsidP="00312B14">
      <w:pPr>
        <w:ind w:left="851"/>
        <w:rPr>
          <w:sz w:val="24"/>
          <w:szCs w:val="24"/>
          <w:u w:val="single"/>
        </w:rPr>
      </w:pPr>
    </w:p>
    <w:p w:rsidR="003517BF" w:rsidRPr="006340F6" w:rsidRDefault="003517BF" w:rsidP="003517BF">
      <w:pPr>
        <w:tabs>
          <w:tab w:val="left" w:pos="851"/>
        </w:tabs>
        <w:ind w:left="851"/>
        <w:rPr>
          <w:sz w:val="24"/>
          <w:szCs w:val="24"/>
        </w:rPr>
      </w:pPr>
      <w:r w:rsidRPr="006340F6">
        <w:rPr>
          <w:sz w:val="24"/>
          <w:szCs w:val="24"/>
        </w:rPr>
        <w:t>Terapeutisk klassifikation</w:t>
      </w:r>
      <w:r>
        <w:rPr>
          <w:sz w:val="24"/>
          <w:szCs w:val="24"/>
        </w:rPr>
        <w:t xml:space="preserve">: </w:t>
      </w:r>
      <w:r w:rsidRPr="00E34477">
        <w:rPr>
          <w:sz w:val="24"/>
          <w:szCs w:val="24"/>
        </w:rPr>
        <w:t xml:space="preserve">Andre </w:t>
      </w:r>
      <w:r>
        <w:rPr>
          <w:sz w:val="24"/>
          <w:szCs w:val="24"/>
        </w:rPr>
        <w:t>læge</w:t>
      </w:r>
      <w:r w:rsidRPr="00E34477">
        <w:rPr>
          <w:sz w:val="24"/>
          <w:szCs w:val="24"/>
        </w:rPr>
        <w:t xml:space="preserve">midler med virkning på nervesystemet, </w:t>
      </w:r>
      <w:r>
        <w:rPr>
          <w:sz w:val="24"/>
          <w:szCs w:val="24"/>
        </w:rPr>
        <w:t>læge</w:t>
      </w:r>
      <w:r w:rsidRPr="00E34477">
        <w:rPr>
          <w:sz w:val="24"/>
          <w:szCs w:val="24"/>
        </w:rPr>
        <w:t>midler</w:t>
      </w:r>
      <w:r>
        <w:rPr>
          <w:sz w:val="24"/>
          <w:szCs w:val="24"/>
        </w:rPr>
        <w:t xml:space="preserve">, der bruges til afhængighedsforstyrrelser, lægemidler, der bruges </w:t>
      </w:r>
      <w:r w:rsidRPr="00E34477">
        <w:rPr>
          <w:sz w:val="24"/>
          <w:szCs w:val="24"/>
        </w:rPr>
        <w:t>mod opioidafhængighed</w:t>
      </w:r>
      <w:r>
        <w:rPr>
          <w:sz w:val="24"/>
          <w:szCs w:val="24"/>
        </w:rPr>
        <w:t>.</w:t>
      </w:r>
    </w:p>
    <w:p w:rsidR="003517BF" w:rsidRPr="00E34477" w:rsidRDefault="003517BF" w:rsidP="003517BF">
      <w:pPr>
        <w:tabs>
          <w:tab w:val="left" w:pos="851"/>
        </w:tabs>
        <w:ind w:left="851"/>
        <w:rPr>
          <w:bCs/>
          <w:sz w:val="24"/>
          <w:szCs w:val="24"/>
        </w:rPr>
      </w:pPr>
      <w:r w:rsidRPr="00E34477">
        <w:rPr>
          <w:sz w:val="24"/>
          <w:szCs w:val="24"/>
        </w:rPr>
        <w:t>ATC</w:t>
      </w:r>
      <w:r w:rsidRPr="00E34477">
        <w:rPr>
          <w:sz w:val="24"/>
          <w:szCs w:val="24"/>
        </w:rPr>
        <w:noBreakHyphen/>
        <w:t>kode: N</w:t>
      </w:r>
      <w:r>
        <w:rPr>
          <w:sz w:val="24"/>
          <w:szCs w:val="24"/>
        </w:rPr>
        <w:t xml:space="preserve"> </w:t>
      </w:r>
      <w:r w:rsidRPr="00E34477">
        <w:rPr>
          <w:sz w:val="24"/>
          <w:szCs w:val="24"/>
        </w:rPr>
        <w:t>07</w:t>
      </w:r>
      <w:r>
        <w:rPr>
          <w:sz w:val="24"/>
          <w:szCs w:val="24"/>
        </w:rPr>
        <w:t xml:space="preserve"> </w:t>
      </w:r>
      <w:r w:rsidRPr="00E34477">
        <w:rPr>
          <w:sz w:val="24"/>
          <w:szCs w:val="24"/>
        </w:rPr>
        <w:t>BC</w:t>
      </w:r>
      <w:r>
        <w:rPr>
          <w:sz w:val="24"/>
          <w:szCs w:val="24"/>
        </w:rPr>
        <w:t xml:space="preserve"> </w:t>
      </w:r>
      <w:r w:rsidRPr="00E34477">
        <w:rPr>
          <w:sz w:val="24"/>
          <w:szCs w:val="24"/>
        </w:rPr>
        <w:t>01</w:t>
      </w:r>
      <w:r>
        <w:rPr>
          <w:sz w:val="24"/>
          <w:szCs w:val="24"/>
        </w:rPr>
        <w:t xml:space="preserve">. </w:t>
      </w:r>
    </w:p>
    <w:p w:rsidR="003517BF" w:rsidRDefault="003517BF" w:rsidP="00312B14">
      <w:pPr>
        <w:ind w:left="851"/>
        <w:rPr>
          <w:sz w:val="24"/>
          <w:szCs w:val="24"/>
          <w:u w:val="single"/>
        </w:rPr>
      </w:pPr>
    </w:p>
    <w:p w:rsidR="00E34477" w:rsidRPr="00312B14" w:rsidRDefault="00E34477" w:rsidP="00312B14">
      <w:pPr>
        <w:ind w:left="851"/>
        <w:rPr>
          <w:sz w:val="24"/>
          <w:szCs w:val="24"/>
          <w:u w:val="single"/>
          <w:lang w:eastAsia="fr-LU"/>
        </w:rPr>
      </w:pPr>
      <w:r w:rsidRPr="00312B14">
        <w:rPr>
          <w:sz w:val="24"/>
          <w:szCs w:val="24"/>
          <w:u w:val="single"/>
        </w:rPr>
        <w:t>Virkningsmekanisme</w:t>
      </w:r>
    </w:p>
    <w:p w:rsidR="003517BF" w:rsidRDefault="003517BF" w:rsidP="006340F6">
      <w:pPr>
        <w:tabs>
          <w:tab w:val="left" w:pos="993"/>
        </w:tabs>
        <w:ind w:left="851"/>
        <w:contextualSpacing/>
        <w:rPr>
          <w:sz w:val="24"/>
          <w:szCs w:val="24"/>
        </w:rPr>
      </w:pPr>
    </w:p>
    <w:p w:rsidR="006340F6" w:rsidRPr="00E8426E" w:rsidRDefault="00E34477" w:rsidP="006340F6">
      <w:pPr>
        <w:tabs>
          <w:tab w:val="left" w:pos="993"/>
        </w:tabs>
        <w:ind w:left="851"/>
        <w:contextualSpacing/>
        <w:rPr>
          <w:rFonts w:asciiTheme="majorBidi" w:hAnsiTheme="majorBidi" w:cstheme="majorBidi"/>
          <w:sz w:val="24"/>
          <w:szCs w:val="24"/>
        </w:rPr>
      </w:pPr>
      <w:proofErr w:type="spellStart"/>
      <w:r w:rsidRPr="00312B14">
        <w:rPr>
          <w:sz w:val="24"/>
          <w:szCs w:val="24"/>
        </w:rPr>
        <w:t>Buprenorphin</w:t>
      </w:r>
      <w:proofErr w:type="spellEnd"/>
      <w:r w:rsidRPr="00312B14">
        <w:rPr>
          <w:sz w:val="24"/>
          <w:szCs w:val="24"/>
        </w:rPr>
        <w:t xml:space="preserve"> er en partiel agonist </w:t>
      </w:r>
      <w:r w:rsidR="006340F6" w:rsidRPr="00E8426E">
        <w:rPr>
          <w:rFonts w:asciiTheme="majorBidi" w:hAnsiTheme="majorBidi" w:cstheme="majorBidi"/>
          <w:sz w:val="24"/>
          <w:szCs w:val="24"/>
        </w:rPr>
        <w:t xml:space="preserve">i </w:t>
      </w:r>
      <w:proofErr w:type="spellStart"/>
      <w:r w:rsidR="006340F6" w:rsidRPr="00E8426E">
        <w:rPr>
          <w:rFonts w:asciiTheme="majorBidi" w:hAnsiTheme="majorBidi" w:cstheme="majorBidi"/>
          <w:sz w:val="24"/>
          <w:szCs w:val="24"/>
        </w:rPr>
        <w:t>mu</w:t>
      </w:r>
      <w:proofErr w:type="spellEnd"/>
      <w:r w:rsidR="006340F6" w:rsidRPr="00E8426E">
        <w:rPr>
          <w:rFonts w:asciiTheme="majorBidi" w:hAnsiTheme="majorBidi" w:cstheme="majorBidi"/>
          <w:sz w:val="24"/>
          <w:szCs w:val="24"/>
        </w:rPr>
        <w:t xml:space="preserve">-opioidreceptoren og en antagonist i kappa-opioidreceptoren. Dets aktivitet ved opioidvedligeholdelsesbehandling tilskrives dets langsomt reversible egenskaber med </w:t>
      </w:r>
      <w:proofErr w:type="spellStart"/>
      <w:r w:rsidR="006340F6" w:rsidRPr="00E8426E">
        <w:rPr>
          <w:rFonts w:asciiTheme="majorBidi" w:hAnsiTheme="majorBidi" w:cstheme="majorBidi"/>
          <w:sz w:val="24"/>
          <w:szCs w:val="24"/>
        </w:rPr>
        <w:t>mu</w:t>
      </w:r>
      <w:proofErr w:type="spellEnd"/>
      <w:r w:rsidR="006340F6" w:rsidRPr="00E8426E">
        <w:rPr>
          <w:rFonts w:asciiTheme="majorBidi" w:hAnsiTheme="majorBidi" w:cstheme="majorBidi"/>
          <w:sz w:val="24"/>
          <w:szCs w:val="24"/>
        </w:rPr>
        <w:t xml:space="preserve">-opioidreceptorerne, hvilket over en længere periode muligvis kan reducere den opioidafhængige patients behov for opioider. </w:t>
      </w:r>
    </w:p>
    <w:p w:rsidR="00E34477" w:rsidRPr="00312B14" w:rsidRDefault="00E34477" w:rsidP="00312B14">
      <w:pPr>
        <w:tabs>
          <w:tab w:val="left" w:pos="360"/>
        </w:tabs>
        <w:ind w:left="851"/>
        <w:rPr>
          <w:sz w:val="24"/>
          <w:szCs w:val="24"/>
        </w:rPr>
      </w:pPr>
    </w:p>
    <w:p w:rsidR="00E34477" w:rsidRPr="00312B14" w:rsidRDefault="00E34477" w:rsidP="00312B14">
      <w:pPr>
        <w:tabs>
          <w:tab w:val="left" w:pos="360"/>
        </w:tabs>
        <w:ind w:left="851"/>
        <w:rPr>
          <w:bCs/>
          <w:iCs/>
          <w:sz w:val="24"/>
          <w:szCs w:val="24"/>
          <w:u w:val="single"/>
        </w:rPr>
      </w:pPr>
      <w:proofErr w:type="spellStart"/>
      <w:r w:rsidRPr="00312B14">
        <w:rPr>
          <w:sz w:val="24"/>
          <w:szCs w:val="24"/>
          <w:u w:val="single"/>
        </w:rPr>
        <w:t>Farmakodynamisk</w:t>
      </w:r>
      <w:proofErr w:type="spellEnd"/>
      <w:r w:rsidRPr="00312B14">
        <w:rPr>
          <w:sz w:val="24"/>
          <w:szCs w:val="24"/>
          <w:u w:val="single"/>
        </w:rPr>
        <w:t xml:space="preserve"> virkning</w:t>
      </w:r>
    </w:p>
    <w:p w:rsidR="00E34477" w:rsidRPr="00312B14" w:rsidRDefault="00E34477" w:rsidP="00312B14">
      <w:pPr>
        <w:tabs>
          <w:tab w:val="left" w:pos="360"/>
        </w:tabs>
        <w:ind w:left="851"/>
        <w:rPr>
          <w:bCs/>
          <w:sz w:val="24"/>
          <w:szCs w:val="24"/>
        </w:rPr>
      </w:pPr>
    </w:p>
    <w:p w:rsidR="00E34477" w:rsidRPr="00312B14" w:rsidRDefault="00E34477" w:rsidP="00312B14">
      <w:pPr>
        <w:tabs>
          <w:tab w:val="left" w:pos="360"/>
        </w:tabs>
        <w:ind w:left="851"/>
        <w:rPr>
          <w:bCs/>
          <w:i/>
          <w:sz w:val="24"/>
          <w:szCs w:val="24"/>
        </w:rPr>
      </w:pPr>
      <w:r w:rsidRPr="00312B14">
        <w:rPr>
          <w:i/>
          <w:sz w:val="24"/>
          <w:szCs w:val="24"/>
        </w:rPr>
        <w:t>Hjerteelektrofysiologi</w:t>
      </w:r>
    </w:p>
    <w:p w:rsidR="00E34477" w:rsidRPr="00312B14" w:rsidRDefault="00E34477" w:rsidP="00312B14">
      <w:pPr>
        <w:tabs>
          <w:tab w:val="left" w:pos="360"/>
        </w:tabs>
        <w:ind w:left="851"/>
        <w:rPr>
          <w:bCs/>
          <w:iCs/>
          <w:sz w:val="24"/>
          <w:szCs w:val="24"/>
        </w:rPr>
      </w:pPr>
      <w:r w:rsidRPr="00312B14">
        <w:rPr>
          <w:sz w:val="24"/>
          <w:szCs w:val="24"/>
        </w:rPr>
        <w:t xml:space="preserve">Der blev </w:t>
      </w:r>
      <w:r w:rsidR="006340F6">
        <w:rPr>
          <w:sz w:val="24"/>
          <w:szCs w:val="24"/>
        </w:rPr>
        <w:t>lavet</w:t>
      </w:r>
      <w:r w:rsidRPr="00312B14">
        <w:rPr>
          <w:sz w:val="24"/>
          <w:szCs w:val="24"/>
        </w:rPr>
        <w:t xml:space="preserve"> serielle </w:t>
      </w:r>
      <w:proofErr w:type="spellStart"/>
      <w:r w:rsidRPr="00312B14">
        <w:rPr>
          <w:sz w:val="24"/>
          <w:szCs w:val="24"/>
        </w:rPr>
        <w:t>ekg’er</w:t>
      </w:r>
      <w:proofErr w:type="spellEnd"/>
      <w:r w:rsidRPr="00312B14">
        <w:rPr>
          <w:sz w:val="24"/>
          <w:szCs w:val="24"/>
        </w:rPr>
        <w:t xml:space="preserve"> efter en enkelt dosis og ved </w:t>
      </w:r>
      <w:proofErr w:type="spellStart"/>
      <w:r w:rsidRPr="00312B14">
        <w:rPr>
          <w:i/>
          <w:sz w:val="24"/>
          <w:szCs w:val="24"/>
        </w:rPr>
        <w:t>steady-state</w:t>
      </w:r>
      <w:proofErr w:type="spellEnd"/>
      <w:r w:rsidRPr="00312B14">
        <w:rPr>
          <w:sz w:val="24"/>
          <w:szCs w:val="24"/>
        </w:rPr>
        <w:t xml:space="preserve"> for at vurdere indvirkningen af </w:t>
      </w:r>
      <w:proofErr w:type="spellStart"/>
      <w:r w:rsidRPr="00312B14">
        <w:rPr>
          <w:sz w:val="24"/>
          <w:szCs w:val="24"/>
        </w:rPr>
        <w:t>Subutex</w:t>
      </w:r>
      <w:proofErr w:type="spellEnd"/>
      <w:r w:rsidRPr="00312B14">
        <w:rPr>
          <w:sz w:val="24"/>
          <w:szCs w:val="24"/>
        </w:rPr>
        <w:t xml:space="preserve"> depotinjektion på QT-intervallet i fem kliniske studier, herunder fase III-studiet. I et fase III-studie havde syv forsøgspersoner en stigning i </w:t>
      </w:r>
      <w:proofErr w:type="spellStart"/>
      <w:r w:rsidRPr="00312B14">
        <w:rPr>
          <w:sz w:val="24"/>
          <w:szCs w:val="24"/>
        </w:rPr>
        <w:t>QTc</w:t>
      </w:r>
      <w:proofErr w:type="spellEnd"/>
      <w:r w:rsidRPr="00312B14">
        <w:rPr>
          <w:sz w:val="24"/>
          <w:szCs w:val="24"/>
        </w:rPr>
        <w:t xml:space="preserve"> fra baseline </w:t>
      </w:r>
      <w:r w:rsidR="006340F6">
        <w:rPr>
          <w:sz w:val="24"/>
          <w:szCs w:val="24"/>
        </w:rPr>
        <w:t xml:space="preserve">på </w:t>
      </w:r>
      <w:r w:rsidRPr="00312B14">
        <w:rPr>
          <w:sz w:val="24"/>
          <w:szCs w:val="24"/>
        </w:rPr>
        <w:t>over 60 </w:t>
      </w:r>
      <w:proofErr w:type="spellStart"/>
      <w:r w:rsidRPr="00312B14">
        <w:rPr>
          <w:sz w:val="24"/>
          <w:szCs w:val="24"/>
        </w:rPr>
        <w:t>msek</w:t>
      </w:r>
      <w:proofErr w:type="spellEnd"/>
      <w:r w:rsidRPr="00312B14">
        <w:rPr>
          <w:sz w:val="24"/>
          <w:szCs w:val="24"/>
        </w:rPr>
        <w:t xml:space="preserve"> på </w:t>
      </w:r>
      <w:r w:rsidR="006340F6">
        <w:rPr>
          <w:sz w:val="24"/>
          <w:szCs w:val="24"/>
        </w:rPr>
        <w:t>hvilket som helst</w:t>
      </w:r>
      <w:r w:rsidRPr="00312B14">
        <w:rPr>
          <w:sz w:val="24"/>
          <w:szCs w:val="24"/>
        </w:rPr>
        <w:t xml:space="preserve"> tidspunkt [2/203 forsøgspersoner (1,0 %) i 300 mg/100 mg-gruppen og 5/201 forsøgspersoner (2,0 %) i 300 mg/300 mg-gruppen], og én forsøgsperson i 300 mg/300 mg-gruppen havde et </w:t>
      </w:r>
      <w:proofErr w:type="spellStart"/>
      <w:r w:rsidRPr="00312B14">
        <w:rPr>
          <w:sz w:val="24"/>
          <w:szCs w:val="24"/>
        </w:rPr>
        <w:t>QTc</w:t>
      </w:r>
      <w:proofErr w:type="spellEnd"/>
      <w:r w:rsidRPr="00312B14">
        <w:rPr>
          <w:sz w:val="24"/>
          <w:szCs w:val="24"/>
        </w:rPr>
        <w:t xml:space="preserve"> </w:t>
      </w:r>
      <w:r w:rsidR="006340F6">
        <w:rPr>
          <w:sz w:val="24"/>
          <w:szCs w:val="24"/>
        </w:rPr>
        <w:t xml:space="preserve">på </w:t>
      </w:r>
      <w:r w:rsidRPr="00312B14">
        <w:rPr>
          <w:sz w:val="24"/>
          <w:szCs w:val="24"/>
        </w:rPr>
        <w:t>over 500 </w:t>
      </w:r>
      <w:proofErr w:type="spellStart"/>
      <w:r w:rsidRPr="00312B14">
        <w:rPr>
          <w:sz w:val="24"/>
          <w:szCs w:val="24"/>
        </w:rPr>
        <w:t>msek</w:t>
      </w:r>
      <w:proofErr w:type="spellEnd"/>
      <w:r w:rsidRPr="00312B14">
        <w:rPr>
          <w:sz w:val="24"/>
          <w:szCs w:val="24"/>
        </w:rPr>
        <w:t>.</w:t>
      </w:r>
    </w:p>
    <w:p w:rsidR="00E34477" w:rsidRPr="00312B14" w:rsidRDefault="00E34477" w:rsidP="00312B14">
      <w:pPr>
        <w:tabs>
          <w:tab w:val="left" w:pos="360"/>
        </w:tabs>
        <w:ind w:left="851"/>
        <w:rPr>
          <w:bCs/>
          <w:iCs/>
          <w:sz w:val="24"/>
          <w:szCs w:val="24"/>
        </w:rPr>
      </w:pPr>
    </w:p>
    <w:p w:rsidR="00E34477" w:rsidRPr="00312B14" w:rsidRDefault="00E34477" w:rsidP="00312B14">
      <w:pPr>
        <w:tabs>
          <w:tab w:val="left" w:pos="360"/>
        </w:tabs>
        <w:ind w:left="851"/>
        <w:rPr>
          <w:bCs/>
          <w:iCs/>
          <w:sz w:val="24"/>
          <w:szCs w:val="24"/>
        </w:rPr>
      </w:pPr>
      <w:r w:rsidRPr="00312B14">
        <w:rPr>
          <w:sz w:val="24"/>
          <w:szCs w:val="24"/>
        </w:rPr>
        <w:t xml:space="preserve">Disse </w:t>
      </w:r>
      <w:proofErr w:type="spellStart"/>
      <w:r w:rsidRPr="00312B14">
        <w:rPr>
          <w:sz w:val="24"/>
          <w:szCs w:val="24"/>
        </w:rPr>
        <w:t>QTc</w:t>
      </w:r>
      <w:proofErr w:type="spellEnd"/>
      <w:r w:rsidRPr="00312B14">
        <w:rPr>
          <w:sz w:val="24"/>
          <w:szCs w:val="24"/>
        </w:rPr>
        <w:t>-fund var</w:t>
      </w:r>
      <w:r w:rsidR="006340F6">
        <w:rPr>
          <w:sz w:val="24"/>
          <w:szCs w:val="24"/>
        </w:rPr>
        <w:t xml:space="preserve"> alle</w:t>
      </w:r>
      <w:r w:rsidRPr="00312B14">
        <w:rPr>
          <w:sz w:val="24"/>
          <w:szCs w:val="24"/>
        </w:rPr>
        <w:t xml:space="preserve"> sporadiske og forbigående, og ingen af dem medførte afvigende ventrikelrytme. En gennemgang af </w:t>
      </w:r>
      <w:proofErr w:type="spellStart"/>
      <w:r w:rsidRPr="00312B14">
        <w:rPr>
          <w:sz w:val="24"/>
          <w:szCs w:val="24"/>
        </w:rPr>
        <w:t>ekg’er</w:t>
      </w:r>
      <w:proofErr w:type="spellEnd"/>
      <w:r w:rsidRPr="00312B14">
        <w:rPr>
          <w:sz w:val="24"/>
          <w:szCs w:val="24"/>
        </w:rPr>
        <w:t xml:space="preserve"> og bivirkningsdata gav ingen evidens for </w:t>
      </w:r>
      <w:proofErr w:type="spellStart"/>
      <w:r w:rsidRPr="00312B14">
        <w:rPr>
          <w:sz w:val="24"/>
          <w:szCs w:val="24"/>
        </w:rPr>
        <w:t>buprenorphin</w:t>
      </w:r>
      <w:proofErr w:type="spellEnd"/>
      <w:r w:rsidRPr="00312B14">
        <w:rPr>
          <w:sz w:val="24"/>
          <w:szCs w:val="24"/>
        </w:rPr>
        <w:t xml:space="preserve">-induceret QT-forlængelse, synkope, krampeanfald, </w:t>
      </w:r>
      <w:proofErr w:type="spellStart"/>
      <w:r w:rsidRPr="00312B14">
        <w:rPr>
          <w:sz w:val="24"/>
          <w:szCs w:val="24"/>
        </w:rPr>
        <w:t>ventrikulær</w:t>
      </w:r>
      <w:proofErr w:type="spellEnd"/>
      <w:r w:rsidRPr="00312B14">
        <w:rPr>
          <w:sz w:val="24"/>
          <w:szCs w:val="24"/>
        </w:rPr>
        <w:t xml:space="preserve"> </w:t>
      </w:r>
      <w:proofErr w:type="spellStart"/>
      <w:r w:rsidRPr="00312B14">
        <w:rPr>
          <w:sz w:val="24"/>
          <w:szCs w:val="24"/>
        </w:rPr>
        <w:t>takykardi</w:t>
      </w:r>
      <w:proofErr w:type="spellEnd"/>
      <w:r w:rsidRPr="00312B14">
        <w:rPr>
          <w:sz w:val="24"/>
          <w:szCs w:val="24"/>
        </w:rPr>
        <w:t xml:space="preserve"> eller ventrikelflimren.</w:t>
      </w:r>
    </w:p>
    <w:p w:rsidR="00E34477" w:rsidRPr="00312B14" w:rsidRDefault="00E34477" w:rsidP="00312B14">
      <w:pPr>
        <w:tabs>
          <w:tab w:val="left" w:pos="360"/>
        </w:tabs>
        <w:ind w:left="851"/>
        <w:rPr>
          <w:bCs/>
          <w:iCs/>
          <w:sz w:val="24"/>
          <w:szCs w:val="24"/>
        </w:rPr>
      </w:pPr>
    </w:p>
    <w:p w:rsidR="00E34477" w:rsidRPr="00312B14" w:rsidRDefault="00E34477" w:rsidP="00312B14">
      <w:pPr>
        <w:tabs>
          <w:tab w:val="left" w:pos="360"/>
        </w:tabs>
        <w:ind w:left="851"/>
        <w:rPr>
          <w:bCs/>
          <w:sz w:val="24"/>
          <w:szCs w:val="24"/>
        </w:rPr>
      </w:pPr>
      <w:r w:rsidRPr="00312B14">
        <w:rPr>
          <w:sz w:val="24"/>
          <w:szCs w:val="24"/>
        </w:rPr>
        <w:t xml:space="preserve">En </w:t>
      </w:r>
      <w:proofErr w:type="spellStart"/>
      <w:r w:rsidRPr="00312B14">
        <w:rPr>
          <w:sz w:val="24"/>
          <w:szCs w:val="24"/>
        </w:rPr>
        <w:t>farmakokinetisk</w:t>
      </w:r>
      <w:proofErr w:type="spellEnd"/>
      <w:r w:rsidRPr="00312B14">
        <w:rPr>
          <w:sz w:val="24"/>
          <w:szCs w:val="24"/>
        </w:rPr>
        <w:t>/</w:t>
      </w:r>
      <w:proofErr w:type="spellStart"/>
      <w:r w:rsidRPr="00312B14">
        <w:rPr>
          <w:sz w:val="24"/>
          <w:szCs w:val="24"/>
        </w:rPr>
        <w:t>farmakodynamisk</w:t>
      </w:r>
      <w:proofErr w:type="spellEnd"/>
      <w:r w:rsidRPr="00312B14">
        <w:rPr>
          <w:sz w:val="24"/>
          <w:szCs w:val="24"/>
        </w:rPr>
        <w:t xml:space="preserve"> analyse af QT-data og </w:t>
      </w:r>
      <w:proofErr w:type="spellStart"/>
      <w:r w:rsidRPr="00312B14">
        <w:rPr>
          <w:sz w:val="24"/>
          <w:szCs w:val="24"/>
        </w:rPr>
        <w:t>buprenorphin</w:t>
      </w:r>
      <w:proofErr w:type="spellEnd"/>
      <w:r w:rsidRPr="00312B14">
        <w:rPr>
          <w:sz w:val="24"/>
          <w:szCs w:val="24"/>
        </w:rPr>
        <w:t xml:space="preserve"> plasmakoncentrationer fra over 11.900 ekg-observationer hos over 1.100 forsøgspersoner med opioidbrug</w:t>
      </w:r>
      <w:r w:rsidR="006340F6">
        <w:rPr>
          <w:sz w:val="24"/>
          <w:szCs w:val="24"/>
        </w:rPr>
        <w:t>sforstyrrelse</w:t>
      </w:r>
      <w:r w:rsidRPr="00312B14">
        <w:rPr>
          <w:sz w:val="24"/>
          <w:szCs w:val="24"/>
        </w:rPr>
        <w:t xml:space="preserve">, som blev behandlet med </w:t>
      </w:r>
      <w:proofErr w:type="spellStart"/>
      <w:r w:rsidRPr="00312B14">
        <w:rPr>
          <w:sz w:val="24"/>
          <w:szCs w:val="24"/>
        </w:rPr>
        <w:t>Subutex</w:t>
      </w:r>
      <w:proofErr w:type="spellEnd"/>
      <w:r w:rsidRPr="00312B14">
        <w:rPr>
          <w:sz w:val="24"/>
          <w:szCs w:val="24"/>
        </w:rPr>
        <w:t xml:space="preserve"> depotinjektion ved doser fra 20 til 300 mg estimerede en ikke-positiv hældning, hvilket ikke tyder på en koncentrationsafhængig forlængelse af </w:t>
      </w:r>
      <w:proofErr w:type="spellStart"/>
      <w:r w:rsidRPr="00312B14">
        <w:rPr>
          <w:sz w:val="24"/>
          <w:szCs w:val="24"/>
        </w:rPr>
        <w:t>QTc</w:t>
      </w:r>
      <w:proofErr w:type="spellEnd"/>
      <w:r w:rsidRPr="00312B14">
        <w:rPr>
          <w:sz w:val="24"/>
          <w:szCs w:val="24"/>
        </w:rPr>
        <w:t>-intervallet.</w:t>
      </w:r>
    </w:p>
    <w:p w:rsidR="00E34477" w:rsidRPr="00312B14" w:rsidRDefault="00E34477" w:rsidP="00312B14">
      <w:pPr>
        <w:tabs>
          <w:tab w:val="left" w:pos="360"/>
        </w:tabs>
        <w:ind w:left="851"/>
        <w:rPr>
          <w:i/>
          <w:sz w:val="24"/>
          <w:szCs w:val="24"/>
        </w:rPr>
      </w:pPr>
    </w:p>
    <w:p w:rsidR="00E34477" w:rsidRPr="006340F6" w:rsidRDefault="00E34477" w:rsidP="00312B14">
      <w:pPr>
        <w:tabs>
          <w:tab w:val="left" w:pos="360"/>
        </w:tabs>
        <w:ind w:left="851"/>
        <w:rPr>
          <w:sz w:val="24"/>
          <w:szCs w:val="24"/>
          <w:u w:val="single"/>
        </w:rPr>
      </w:pPr>
      <w:r w:rsidRPr="006340F6">
        <w:rPr>
          <w:sz w:val="24"/>
          <w:szCs w:val="24"/>
          <w:u w:val="single"/>
        </w:rPr>
        <w:t>Klinisk virkning og sikkerhed</w:t>
      </w:r>
    </w:p>
    <w:p w:rsidR="003517BF" w:rsidRDefault="003517BF" w:rsidP="006340F6">
      <w:pPr>
        <w:tabs>
          <w:tab w:val="left" w:pos="851"/>
        </w:tabs>
        <w:ind w:left="851"/>
        <w:contextualSpacing/>
        <w:rPr>
          <w:sz w:val="24"/>
          <w:szCs w:val="24"/>
        </w:rPr>
      </w:pPr>
    </w:p>
    <w:p w:rsidR="006340F6" w:rsidRPr="00E8426E" w:rsidRDefault="00E34477" w:rsidP="006340F6">
      <w:pPr>
        <w:tabs>
          <w:tab w:val="left" w:pos="851"/>
        </w:tabs>
        <w:ind w:left="851"/>
        <w:contextualSpacing/>
        <w:rPr>
          <w:rFonts w:asciiTheme="majorBidi" w:hAnsiTheme="majorBidi" w:cstheme="majorBidi"/>
          <w:sz w:val="24"/>
          <w:szCs w:val="24"/>
        </w:rPr>
      </w:pPr>
      <w:r w:rsidRPr="00312B14">
        <w:rPr>
          <w:sz w:val="24"/>
          <w:szCs w:val="24"/>
        </w:rPr>
        <w:t xml:space="preserve">Virkningen og sikkerheden af </w:t>
      </w:r>
      <w:proofErr w:type="spellStart"/>
      <w:r w:rsidRPr="00312B14">
        <w:rPr>
          <w:sz w:val="24"/>
          <w:szCs w:val="24"/>
        </w:rPr>
        <w:t>Subutex</w:t>
      </w:r>
      <w:proofErr w:type="spellEnd"/>
      <w:r w:rsidRPr="00312B14">
        <w:rPr>
          <w:sz w:val="24"/>
          <w:szCs w:val="24"/>
        </w:rPr>
        <w:t xml:space="preserve"> </w:t>
      </w:r>
      <w:r w:rsidR="006340F6" w:rsidRPr="00E8426E">
        <w:rPr>
          <w:rFonts w:asciiTheme="majorBidi" w:hAnsiTheme="majorBidi" w:cstheme="majorBidi"/>
          <w:sz w:val="24"/>
          <w:szCs w:val="24"/>
        </w:rPr>
        <w:t xml:space="preserve">ved behandling af opioidafhængighed blev evalueret i et pivotalt, fase III, 24 ugers, randomiseret, dobbeltblindet placebokontrolleret multicenterstudie af behandlingssøgende patienter med moderat til svær opioidafhængighed. I dette studie blev 504 patienter randomiseret til en af de følgende doseringsprogrammer: 6 doser på 300 mg én gang månedligt (300/300 mg, 201 personer), 2 doser på 300 mg én gang månedligt, efterfulgt af 4 doser på 100 mg én gang månedligt (300/100 mg, 203 personer) eller 6 subkutane injektioner af volumenmatchet placebo én gang månedligt (100 personer). Alle patienter fik manualvejledt psykosocial støtte mindst én gang om ugen. Før den første dosis blev personerne induceret og dosisstabiliseret med 8/2 til 24/6 mg </w:t>
      </w:r>
      <w:proofErr w:type="spellStart"/>
      <w:r w:rsidR="006340F6" w:rsidRPr="00E8426E">
        <w:rPr>
          <w:rFonts w:asciiTheme="majorBidi" w:hAnsiTheme="majorBidi" w:cstheme="majorBidi"/>
          <w:sz w:val="24"/>
          <w:szCs w:val="24"/>
        </w:rPr>
        <w:t>buprenorphin</w:t>
      </w:r>
      <w:proofErr w:type="spellEnd"/>
      <w:r w:rsidR="006340F6" w:rsidRPr="00E8426E">
        <w:rPr>
          <w:rFonts w:asciiTheme="majorBidi" w:hAnsiTheme="majorBidi" w:cstheme="majorBidi"/>
          <w:sz w:val="24"/>
          <w:szCs w:val="24"/>
        </w:rPr>
        <w:t>/</w:t>
      </w:r>
      <w:proofErr w:type="spellStart"/>
      <w:r w:rsidR="006340F6" w:rsidRPr="00E8426E">
        <w:rPr>
          <w:rFonts w:asciiTheme="majorBidi" w:hAnsiTheme="majorBidi" w:cstheme="majorBidi"/>
          <w:sz w:val="24"/>
          <w:szCs w:val="24"/>
        </w:rPr>
        <w:t>naloxon</w:t>
      </w:r>
      <w:proofErr w:type="spellEnd"/>
      <w:r w:rsidR="006340F6" w:rsidRPr="00E8426E">
        <w:rPr>
          <w:rFonts w:asciiTheme="majorBidi" w:hAnsiTheme="majorBidi" w:cstheme="majorBidi"/>
          <w:sz w:val="24"/>
          <w:szCs w:val="24"/>
        </w:rPr>
        <w:t xml:space="preserve"> </w:t>
      </w:r>
      <w:proofErr w:type="spellStart"/>
      <w:r w:rsidR="006340F6" w:rsidRPr="00E8426E">
        <w:rPr>
          <w:rFonts w:asciiTheme="majorBidi" w:hAnsiTheme="majorBidi" w:cstheme="majorBidi"/>
          <w:sz w:val="24"/>
          <w:szCs w:val="24"/>
        </w:rPr>
        <w:t>sublingualfilm</w:t>
      </w:r>
      <w:proofErr w:type="spellEnd"/>
      <w:r w:rsidR="006340F6" w:rsidRPr="00E8426E">
        <w:rPr>
          <w:rFonts w:asciiTheme="majorBidi" w:hAnsiTheme="majorBidi" w:cstheme="majorBidi"/>
          <w:sz w:val="24"/>
          <w:szCs w:val="24"/>
        </w:rPr>
        <w:t xml:space="preserve"> dagligt i mindst 7 dage. Efter </w:t>
      </w:r>
      <w:proofErr w:type="spellStart"/>
      <w:r w:rsidR="006340F6" w:rsidRPr="00E8426E">
        <w:rPr>
          <w:rFonts w:asciiTheme="majorBidi" w:hAnsiTheme="majorBidi" w:cstheme="majorBidi"/>
          <w:sz w:val="24"/>
          <w:szCs w:val="24"/>
        </w:rPr>
        <w:t>randomisering</w:t>
      </w:r>
      <w:proofErr w:type="spellEnd"/>
      <w:r w:rsidR="006340F6" w:rsidRPr="00E8426E">
        <w:rPr>
          <w:rFonts w:asciiTheme="majorBidi" w:hAnsiTheme="majorBidi" w:cstheme="majorBidi"/>
          <w:sz w:val="24"/>
          <w:szCs w:val="24"/>
        </w:rPr>
        <w:t xml:space="preserve"> var supplerende dosering med </w:t>
      </w:r>
      <w:proofErr w:type="spellStart"/>
      <w:r w:rsidR="006340F6" w:rsidRPr="00E8426E">
        <w:rPr>
          <w:rFonts w:asciiTheme="majorBidi" w:hAnsiTheme="majorBidi" w:cstheme="majorBidi"/>
          <w:sz w:val="24"/>
          <w:szCs w:val="24"/>
        </w:rPr>
        <w:t>sublingual</w:t>
      </w:r>
      <w:proofErr w:type="spellEnd"/>
      <w:r w:rsidR="006340F6" w:rsidRPr="00E8426E">
        <w:rPr>
          <w:rFonts w:asciiTheme="majorBidi" w:hAnsiTheme="majorBidi" w:cstheme="majorBidi"/>
          <w:sz w:val="24"/>
          <w:szCs w:val="24"/>
        </w:rPr>
        <w:t xml:space="preserve"> </w:t>
      </w:r>
      <w:proofErr w:type="spellStart"/>
      <w:r w:rsidR="006340F6" w:rsidRPr="00E8426E">
        <w:rPr>
          <w:rFonts w:asciiTheme="majorBidi" w:hAnsiTheme="majorBidi" w:cstheme="majorBidi"/>
          <w:sz w:val="24"/>
          <w:szCs w:val="24"/>
        </w:rPr>
        <w:t>buprenorphin</w:t>
      </w:r>
      <w:proofErr w:type="spellEnd"/>
      <w:r w:rsidR="006340F6" w:rsidRPr="00E8426E">
        <w:rPr>
          <w:rFonts w:asciiTheme="majorBidi" w:hAnsiTheme="majorBidi" w:cstheme="majorBidi"/>
          <w:sz w:val="24"/>
          <w:szCs w:val="24"/>
        </w:rPr>
        <w:t xml:space="preserve"> ikke tilladt. Ud af de 504 randomiserede patienter gennemførte 64 % (129/201) af personerne i gruppen med 300/300 mg og 62 % (125/203) af personerne i gruppen med 300/100 mg studiet sammenlignet med 34 % (34/100) personer i placebogruppen. Målinger af virknings- og </w:t>
      </w:r>
      <w:r w:rsidR="006340F6" w:rsidRPr="00E8426E">
        <w:rPr>
          <w:rFonts w:asciiTheme="majorBidi" w:hAnsiTheme="majorBidi" w:cstheme="majorBidi"/>
          <w:sz w:val="24"/>
          <w:szCs w:val="24"/>
        </w:rPr>
        <w:lastRenderedPageBreak/>
        <w:t>sikkerhedsudfald blev vurderet ved ugentlige besøg. Afholdenhed blev vurderet på basis af urinscreeninger for opioider i kombination med selvrapportering af ulovligt opioidbrug. Manglende urinprøveresultater og/eller selvrapportering blev talt som positive for ulovlige opioider.</w:t>
      </w:r>
    </w:p>
    <w:p w:rsidR="00E34477" w:rsidRPr="00312B14" w:rsidRDefault="00E34477" w:rsidP="00312B14">
      <w:pPr>
        <w:tabs>
          <w:tab w:val="left" w:pos="360"/>
        </w:tabs>
        <w:ind w:left="851"/>
        <w:rPr>
          <w:sz w:val="24"/>
          <w:szCs w:val="24"/>
        </w:rPr>
      </w:pPr>
    </w:p>
    <w:p w:rsidR="00E34477" w:rsidRPr="00312B14" w:rsidRDefault="00E34477" w:rsidP="00312B14">
      <w:pPr>
        <w:tabs>
          <w:tab w:val="left" w:pos="360"/>
        </w:tabs>
        <w:ind w:left="851"/>
        <w:rPr>
          <w:sz w:val="24"/>
          <w:szCs w:val="24"/>
        </w:rPr>
      </w:pPr>
      <w:r w:rsidRPr="00312B14">
        <w:rPr>
          <w:sz w:val="24"/>
          <w:szCs w:val="24"/>
        </w:rPr>
        <w:t xml:space="preserve">Studiet </w:t>
      </w:r>
      <w:r w:rsidR="006340F6" w:rsidRPr="00E8426E">
        <w:rPr>
          <w:rFonts w:asciiTheme="majorBidi" w:hAnsiTheme="majorBidi" w:cstheme="majorBidi"/>
          <w:sz w:val="24"/>
          <w:szCs w:val="24"/>
        </w:rPr>
        <w:t xml:space="preserve">opfyldte det primære endepunkt for </w:t>
      </w:r>
      <w:proofErr w:type="spellStart"/>
      <w:r w:rsidR="006340F6" w:rsidRPr="00E8426E">
        <w:rPr>
          <w:rFonts w:asciiTheme="majorBidi" w:hAnsiTheme="majorBidi" w:cstheme="majorBidi"/>
          <w:sz w:val="24"/>
          <w:szCs w:val="24"/>
        </w:rPr>
        <w:t>superioritet</w:t>
      </w:r>
      <w:proofErr w:type="spellEnd"/>
      <w:r w:rsidR="006340F6" w:rsidRPr="00E8426E">
        <w:rPr>
          <w:rFonts w:asciiTheme="majorBidi" w:hAnsiTheme="majorBidi" w:cstheme="majorBidi"/>
          <w:sz w:val="24"/>
          <w:szCs w:val="24"/>
        </w:rPr>
        <w:t xml:space="preserve"> i forhold til placebo med hensyn til patienternes procentvise afholdenhed fra opioidbrug, defineret som procentdelen af hver patients negative urinprøver og selvrapportering af ulovligt opioidbrug fra uge 5 til uge 24 (tabel 1). Andelen af patienter, der opnåede behandlingssucces (defineret som patienter med ≥ 80 % opioidfrie uger) var statistisk signifikant højere i begge grupper, der fik </w:t>
      </w:r>
      <w:proofErr w:type="spellStart"/>
      <w:r w:rsidR="006340F6" w:rsidRPr="00E8426E">
        <w:rPr>
          <w:rFonts w:asciiTheme="majorBidi" w:hAnsiTheme="majorBidi" w:cstheme="majorBidi"/>
          <w:sz w:val="24"/>
          <w:szCs w:val="24"/>
        </w:rPr>
        <w:t>Subutex</w:t>
      </w:r>
      <w:proofErr w:type="spellEnd"/>
      <w:r w:rsidR="006340F6" w:rsidRPr="00E8426E">
        <w:rPr>
          <w:rFonts w:asciiTheme="majorBidi" w:hAnsiTheme="majorBidi" w:cstheme="majorBidi"/>
          <w:sz w:val="24"/>
          <w:szCs w:val="24"/>
        </w:rPr>
        <w:t xml:space="preserve"> depotinjektion, sammenlignet med placebogruppen. Der blev ikke observeret nogen klinisk signifikante forskelle mellem de grupper, der modtog aktivt lægemiddel. Abstinenser og trang blev undertrykt i studieperioden.</w:t>
      </w:r>
    </w:p>
    <w:p w:rsidR="00E34477" w:rsidRDefault="00E34477" w:rsidP="00E34477">
      <w:pPr>
        <w:tabs>
          <w:tab w:val="left" w:pos="360"/>
        </w:tabs>
        <w:rPr>
          <w:sz w:val="22"/>
        </w:rPr>
      </w:pPr>
    </w:p>
    <w:p w:rsidR="00E34477" w:rsidRDefault="00E34477" w:rsidP="006340F6">
      <w:pPr>
        <w:keepNext/>
        <w:tabs>
          <w:tab w:val="left" w:pos="360"/>
        </w:tabs>
        <w:ind w:left="851" w:hanging="851"/>
        <w:rPr>
          <w:b/>
          <w:sz w:val="22"/>
        </w:rPr>
      </w:pPr>
      <w:bookmarkStart w:id="5" w:name="_Ref506887987"/>
      <w:r>
        <w:rPr>
          <w:b/>
          <w:sz w:val="22"/>
        </w:rPr>
        <w:t>Tabel </w:t>
      </w:r>
      <w:bookmarkEnd w:id="5"/>
      <w:r w:rsidR="006340F6">
        <w:rPr>
          <w:b/>
          <w:sz w:val="22"/>
        </w:rPr>
        <w:t>1</w:t>
      </w:r>
      <w:r>
        <w:rPr>
          <w:b/>
          <w:sz w:val="22"/>
        </w:rPr>
        <w:t xml:space="preserve"> </w:t>
      </w:r>
      <w:r w:rsidR="006340F6">
        <w:rPr>
          <w:b/>
          <w:sz w:val="22"/>
        </w:rPr>
        <w:tab/>
      </w:r>
      <w:r>
        <w:rPr>
          <w:b/>
          <w:sz w:val="22"/>
        </w:rPr>
        <w:t>Primære og vigtigste sekundære endepunkter for virkning i et pivotalt, randomiseret, dobbeltblindet, placebokontrolleret fase III</w:t>
      </w:r>
      <w:r>
        <w:rPr>
          <w:b/>
          <w:sz w:val="22"/>
        </w:rPr>
        <w:noBreakHyphen/>
        <w:t>studie hos patienter med moderat til svær opioidafhængighed</w:t>
      </w:r>
    </w:p>
    <w:p w:rsidR="003E6E00" w:rsidRPr="00E8426E" w:rsidRDefault="003E6E00" w:rsidP="003E6E00">
      <w:pPr>
        <w:tabs>
          <w:tab w:val="left" w:pos="360"/>
        </w:tabs>
        <w:contextualSpacing/>
        <w:rPr>
          <w:rFonts w:asciiTheme="majorBidi" w:hAnsiTheme="majorBidi" w:cstheme="majorBidi"/>
          <w:sz w:val="24"/>
          <w:szCs w:val="24"/>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897"/>
        <w:gridCol w:w="3005"/>
        <w:gridCol w:w="1222"/>
      </w:tblGrid>
      <w:tr w:rsidR="003E6E00" w:rsidRPr="00E8426E" w:rsidTr="003E6E00">
        <w:trPr>
          <w:cantSplit/>
          <w:tblHeader/>
        </w:trPr>
        <w:tc>
          <w:tcPr>
            <w:tcW w:w="2040" w:type="dxa"/>
            <w:shd w:val="clear" w:color="auto" w:fill="auto"/>
          </w:tcPr>
          <w:p w:rsidR="003E6E00" w:rsidRPr="00E8426E" w:rsidRDefault="003E6E00" w:rsidP="003E6E00">
            <w:pPr>
              <w:tabs>
                <w:tab w:val="left" w:pos="360"/>
              </w:tabs>
              <w:contextualSpacing/>
              <w:jc w:val="center"/>
              <w:rPr>
                <w:rFonts w:asciiTheme="majorBidi" w:hAnsiTheme="majorBidi" w:cstheme="majorBidi"/>
                <w:b/>
                <w:sz w:val="24"/>
                <w:szCs w:val="24"/>
              </w:rPr>
            </w:pPr>
          </w:p>
        </w:tc>
        <w:tc>
          <w:tcPr>
            <w:tcW w:w="2955" w:type="dxa"/>
            <w:shd w:val="clear" w:color="auto" w:fill="auto"/>
            <w:vAlign w:val="center"/>
          </w:tcPr>
          <w:p w:rsidR="003E6E00" w:rsidRPr="00E8426E" w:rsidRDefault="003E6E00" w:rsidP="003E6E00">
            <w:pPr>
              <w:tabs>
                <w:tab w:val="left" w:pos="360"/>
              </w:tabs>
              <w:contextualSpacing/>
              <w:jc w:val="center"/>
              <w:rPr>
                <w:rFonts w:asciiTheme="majorBidi" w:hAnsiTheme="majorBidi" w:cstheme="majorBidi"/>
                <w:b/>
                <w:sz w:val="24"/>
                <w:szCs w:val="24"/>
              </w:rPr>
            </w:pPr>
            <w:proofErr w:type="spellStart"/>
            <w:r w:rsidRPr="00E8426E">
              <w:rPr>
                <w:rFonts w:asciiTheme="majorBidi" w:hAnsiTheme="majorBidi" w:cstheme="majorBidi"/>
                <w:b/>
                <w:sz w:val="24"/>
                <w:szCs w:val="24"/>
              </w:rPr>
              <w:t>Subutex</w:t>
            </w:r>
            <w:proofErr w:type="spellEnd"/>
            <w:r w:rsidRPr="00E8426E">
              <w:rPr>
                <w:rFonts w:asciiTheme="majorBidi" w:hAnsiTheme="majorBidi" w:cstheme="majorBidi"/>
                <w:b/>
                <w:sz w:val="24"/>
                <w:szCs w:val="24"/>
              </w:rPr>
              <w:t xml:space="preserve"> depotinjektion</w:t>
            </w:r>
          </w:p>
          <w:p w:rsidR="003E6E00" w:rsidRPr="00E8426E" w:rsidRDefault="003E6E00" w:rsidP="003E6E00">
            <w:pPr>
              <w:tabs>
                <w:tab w:val="left" w:pos="360"/>
              </w:tabs>
              <w:contextualSpacing/>
              <w:jc w:val="center"/>
              <w:rPr>
                <w:rFonts w:asciiTheme="majorBidi" w:hAnsiTheme="majorBidi" w:cstheme="majorBidi"/>
                <w:b/>
                <w:bCs/>
                <w:sz w:val="24"/>
                <w:szCs w:val="24"/>
              </w:rPr>
            </w:pPr>
          </w:p>
          <w:p w:rsidR="003E6E00" w:rsidRPr="00E8426E" w:rsidRDefault="003E6E00" w:rsidP="003E6E00">
            <w:pPr>
              <w:tabs>
                <w:tab w:val="left" w:pos="360"/>
              </w:tabs>
              <w:contextualSpacing/>
              <w:jc w:val="center"/>
              <w:rPr>
                <w:rFonts w:asciiTheme="majorBidi" w:hAnsiTheme="majorBidi" w:cstheme="majorBidi"/>
                <w:b/>
                <w:sz w:val="24"/>
                <w:szCs w:val="24"/>
              </w:rPr>
            </w:pPr>
            <w:r w:rsidRPr="00E8426E">
              <w:rPr>
                <w:rFonts w:asciiTheme="majorBidi" w:hAnsiTheme="majorBidi" w:cstheme="majorBidi"/>
                <w:b/>
                <w:sz w:val="24"/>
                <w:szCs w:val="24"/>
              </w:rPr>
              <w:t>300/100</w:t>
            </w:r>
            <w:r w:rsidRPr="00E8426E">
              <w:rPr>
                <w:rFonts w:asciiTheme="majorBidi" w:hAnsiTheme="majorBidi" w:cstheme="majorBidi"/>
                <w:sz w:val="24"/>
                <w:szCs w:val="24"/>
              </w:rPr>
              <w:t> </w:t>
            </w:r>
            <w:r w:rsidRPr="00E8426E">
              <w:rPr>
                <w:rFonts w:asciiTheme="majorBidi" w:hAnsiTheme="majorBidi" w:cstheme="majorBidi"/>
                <w:b/>
                <w:sz w:val="24"/>
                <w:szCs w:val="24"/>
              </w:rPr>
              <w:t>mg</w:t>
            </w:r>
          </w:p>
          <w:p w:rsidR="003E6E00" w:rsidRPr="00E8426E" w:rsidRDefault="003E6E00" w:rsidP="003E6E00">
            <w:pPr>
              <w:tabs>
                <w:tab w:val="left" w:pos="360"/>
              </w:tabs>
              <w:contextualSpacing/>
              <w:jc w:val="center"/>
              <w:rPr>
                <w:rFonts w:asciiTheme="majorBidi" w:hAnsiTheme="majorBidi" w:cstheme="majorBidi"/>
                <w:b/>
                <w:sz w:val="24"/>
                <w:szCs w:val="24"/>
              </w:rPr>
            </w:pPr>
            <w:r w:rsidRPr="00E8426E">
              <w:rPr>
                <w:rFonts w:asciiTheme="majorBidi" w:hAnsiTheme="majorBidi" w:cstheme="majorBidi"/>
                <w:b/>
                <w:sz w:val="24"/>
                <w:szCs w:val="24"/>
              </w:rPr>
              <w:t>(n=194)</w:t>
            </w:r>
          </w:p>
        </w:tc>
        <w:tc>
          <w:tcPr>
            <w:tcW w:w="3068" w:type="dxa"/>
            <w:shd w:val="clear" w:color="auto" w:fill="auto"/>
            <w:vAlign w:val="center"/>
          </w:tcPr>
          <w:p w:rsidR="003E6E00" w:rsidRPr="00E8426E" w:rsidRDefault="003E6E00" w:rsidP="003E6E00">
            <w:pPr>
              <w:tabs>
                <w:tab w:val="left" w:pos="360"/>
              </w:tabs>
              <w:contextualSpacing/>
              <w:jc w:val="center"/>
              <w:rPr>
                <w:rFonts w:asciiTheme="majorBidi" w:hAnsiTheme="majorBidi" w:cstheme="majorBidi"/>
                <w:b/>
                <w:sz w:val="24"/>
                <w:szCs w:val="24"/>
              </w:rPr>
            </w:pPr>
            <w:proofErr w:type="spellStart"/>
            <w:r w:rsidRPr="00E8426E">
              <w:rPr>
                <w:rFonts w:asciiTheme="majorBidi" w:hAnsiTheme="majorBidi" w:cstheme="majorBidi"/>
                <w:b/>
                <w:sz w:val="24"/>
                <w:szCs w:val="24"/>
              </w:rPr>
              <w:t>Subutex</w:t>
            </w:r>
            <w:proofErr w:type="spellEnd"/>
            <w:r w:rsidRPr="00E8426E">
              <w:rPr>
                <w:rFonts w:asciiTheme="majorBidi" w:hAnsiTheme="majorBidi" w:cstheme="majorBidi"/>
                <w:b/>
                <w:sz w:val="24"/>
                <w:szCs w:val="24"/>
              </w:rPr>
              <w:t xml:space="preserve"> depotinjektion</w:t>
            </w:r>
          </w:p>
          <w:p w:rsidR="003E6E00" w:rsidRPr="00E8426E" w:rsidRDefault="003E6E00" w:rsidP="003E6E00">
            <w:pPr>
              <w:tabs>
                <w:tab w:val="left" w:pos="360"/>
              </w:tabs>
              <w:contextualSpacing/>
              <w:jc w:val="center"/>
              <w:rPr>
                <w:rFonts w:asciiTheme="majorBidi" w:hAnsiTheme="majorBidi" w:cstheme="majorBidi"/>
                <w:b/>
                <w:bCs/>
                <w:sz w:val="24"/>
                <w:szCs w:val="24"/>
              </w:rPr>
            </w:pPr>
          </w:p>
          <w:p w:rsidR="003E6E00" w:rsidRPr="00E8426E" w:rsidRDefault="003E6E00" w:rsidP="003E6E00">
            <w:pPr>
              <w:tabs>
                <w:tab w:val="left" w:pos="360"/>
              </w:tabs>
              <w:contextualSpacing/>
              <w:jc w:val="center"/>
              <w:rPr>
                <w:rFonts w:asciiTheme="majorBidi" w:hAnsiTheme="majorBidi" w:cstheme="majorBidi"/>
                <w:b/>
                <w:sz w:val="24"/>
                <w:szCs w:val="24"/>
              </w:rPr>
            </w:pPr>
            <w:r w:rsidRPr="00E8426E">
              <w:rPr>
                <w:rFonts w:asciiTheme="majorBidi" w:hAnsiTheme="majorBidi" w:cstheme="majorBidi"/>
                <w:b/>
                <w:sz w:val="24"/>
                <w:szCs w:val="24"/>
              </w:rPr>
              <w:t>300/300</w:t>
            </w:r>
            <w:r w:rsidRPr="00E8426E">
              <w:rPr>
                <w:rFonts w:asciiTheme="majorBidi" w:hAnsiTheme="majorBidi" w:cstheme="majorBidi"/>
                <w:sz w:val="24"/>
                <w:szCs w:val="24"/>
              </w:rPr>
              <w:t> </w:t>
            </w:r>
            <w:r w:rsidRPr="00E8426E">
              <w:rPr>
                <w:rFonts w:asciiTheme="majorBidi" w:hAnsiTheme="majorBidi" w:cstheme="majorBidi"/>
                <w:b/>
                <w:sz w:val="24"/>
                <w:szCs w:val="24"/>
              </w:rPr>
              <w:t>mg</w:t>
            </w:r>
          </w:p>
          <w:p w:rsidR="003E6E00" w:rsidRPr="00E8426E" w:rsidRDefault="003E6E00" w:rsidP="003E6E00">
            <w:pPr>
              <w:tabs>
                <w:tab w:val="left" w:pos="360"/>
              </w:tabs>
              <w:contextualSpacing/>
              <w:jc w:val="center"/>
              <w:rPr>
                <w:rFonts w:asciiTheme="majorBidi" w:hAnsiTheme="majorBidi" w:cstheme="majorBidi"/>
                <w:b/>
                <w:sz w:val="24"/>
                <w:szCs w:val="24"/>
              </w:rPr>
            </w:pPr>
            <w:r w:rsidRPr="00E8426E">
              <w:rPr>
                <w:rFonts w:asciiTheme="majorBidi" w:hAnsiTheme="majorBidi" w:cstheme="majorBidi"/>
                <w:b/>
                <w:sz w:val="24"/>
                <w:szCs w:val="24"/>
              </w:rPr>
              <w:t>(n=196)</w:t>
            </w:r>
          </w:p>
        </w:tc>
        <w:tc>
          <w:tcPr>
            <w:tcW w:w="1224" w:type="dxa"/>
            <w:shd w:val="clear" w:color="auto" w:fill="auto"/>
            <w:vAlign w:val="center"/>
          </w:tcPr>
          <w:p w:rsidR="003E6E00" w:rsidRPr="00E8426E" w:rsidRDefault="003E6E00" w:rsidP="003E6E00">
            <w:pPr>
              <w:tabs>
                <w:tab w:val="left" w:pos="360"/>
              </w:tabs>
              <w:contextualSpacing/>
              <w:jc w:val="center"/>
              <w:rPr>
                <w:rFonts w:asciiTheme="majorBidi" w:hAnsiTheme="majorBidi" w:cstheme="majorBidi"/>
                <w:b/>
                <w:sz w:val="24"/>
                <w:szCs w:val="24"/>
              </w:rPr>
            </w:pPr>
            <w:r w:rsidRPr="00E8426E">
              <w:rPr>
                <w:rFonts w:asciiTheme="majorBidi" w:hAnsiTheme="majorBidi" w:cstheme="majorBidi"/>
                <w:b/>
                <w:sz w:val="24"/>
                <w:szCs w:val="24"/>
              </w:rPr>
              <w:t>Placebo</w:t>
            </w:r>
          </w:p>
          <w:p w:rsidR="003E6E00" w:rsidRPr="00E8426E" w:rsidRDefault="003E6E00" w:rsidP="003E6E00">
            <w:pPr>
              <w:tabs>
                <w:tab w:val="left" w:pos="360"/>
              </w:tabs>
              <w:contextualSpacing/>
              <w:jc w:val="center"/>
              <w:rPr>
                <w:rFonts w:asciiTheme="majorBidi" w:hAnsiTheme="majorBidi" w:cstheme="majorBidi"/>
                <w:b/>
                <w:sz w:val="24"/>
                <w:szCs w:val="24"/>
              </w:rPr>
            </w:pPr>
          </w:p>
          <w:p w:rsidR="003E6E00" w:rsidRPr="00E8426E" w:rsidRDefault="003E6E00" w:rsidP="003E6E00">
            <w:pPr>
              <w:tabs>
                <w:tab w:val="left" w:pos="360"/>
              </w:tabs>
              <w:contextualSpacing/>
              <w:jc w:val="center"/>
              <w:rPr>
                <w:rFonts w:asciiTheme="majorBidi" w:hAnsiTheme="majorBidi" w:cstheme="majorBidi"/>
                <w:b/>
                <w:sz w:val="24"/>
                <w:szCs w:val="24"/>
              </w:rPr>
            </w:pPr>
          </w:p>
          <w:p w:rsidR="003E6E00" w:rsidRPr="00E8426E" w:rsidRDefault="003E6E00" w:rsidP="003E6E00">
            <w:pPr>
              <w:tabs>
                <w:tab w:val="left" w:pos="360"/>
              </w:tabs>
              <w:contextualSpacing/>
              <w:jc w:val="center"/>
              <w:rPr>
                <w:rFonts w:asciiTheme="majorBidi" w:hAnsiTheme="majorBidi" w:cstheme="majorBidi"/>
                <w:b/>
                <w:sz w:val="24"/>
                <w:szCs w:val="24"/>
              </w:rPr>
            </w:pPr>
            <w:r w:rsidRPr="00E8426E">
              <w:rPr>
                <w:rFonts w:asciiTheme="majorBidi" w:hAnsiTheme="majorBidi" w:cstheme="majorBidi"/>
                <w:b/>
                <w:sz w:val="24"/>
                <w:szCs w:val="24"/>
              </w:rPr>
              <w:t>(n=99)</w:t>
            </w:r>
          </w:p>
        </w:tc>
      </w:tr>
      <w:tr w:rsidR="003E6E00" w:rsidRPr="00E8426E" w:rsidTr="003E6E00">
        <w:trPr>
          <w:tblHeader/>
        </w:trPr>
        <w:tc>
          <w:tcPr>
            <w:tcW w:w="9287" w:type="dxa"/>
            <w:gridSpan w:val="4"/>
            <w:shd w:val="clear" w:color="auto" w:fill="auto"/>
            <w:vAlign w:val="center"/>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b/>
                <w:sz w:val="24"/>
                <w:szCs w:val="24"/>
              </w:rPr>
              <w:t>Procentdel afholdenhed (opioidfrie uger)</w:t>
            </w:r>
          </w:p>
        </w:tc>
      </w:tr>
      <w:tr w:rsidR="003E6E00" w:rsidRPr="00E8426E" w:rsidTr="003E6E00">
        <w:trPr>
          <w:tblHeader/>
        </w:trPr>
        <w:tc>
          <w:tcPr>
            <w:tcW w:w="2040"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Gennemsnit (SD)</w:t>
            </w:r>
          </w:p>
        </w:tc>
        <w:tc>
          <w:tcPr>
            <w:tcW w:w="2955"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42,7 %</w:t>
            </w:r>
          </w:p>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(38,50 %)</w:t>
            </w:r>
          </w:p>
        </w:tc>
        <w:tc>
          <w:tcPr>
            <w:tcW w:w="3068"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41,3 %</w:t>
            </w:r>
          </w:p>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(39,66 %)</w:t>
            </w:r>
          </w:p>
        </w:tc>
        <w:tc>
          <w:tcPr>
            <w:tcW w:w="1224"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5,0 % (16,98 %)</w:t>
            </w:r>
          </w:p>
        </w:tc>
      </w:tr>
      <w:tr w:rsidR="003E6E00" w:rsidRPr="00E8426E" w:rsidTr="003E6E00">
        <w:trPr>
          <w:tblHeader/>
        </w:trPr>
        <w:tc>
          <w:tcPr>
            <w:tcW w:w="2040"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proofErr w:type="spellStart"/>
            <w:r w:rsidRPr="00E8426E">
              <w:rPr>
                <w:rFonts w:asciiTheme="majorBidi" w:hAnsiTheme="majorBidi" w:cstheme="majorBidi"/>
                <w:sz w:val="24"/>
                <w:szCs w:val="24"/>
              </w:rPr>
              <w:t>p-værdi</w:t>
            </w:r>
            <w:proofErr w:type="spellEnd"/>
          </w:p>
        </w:tc>
        <w:tc>
          <w:tcPr>
            <w:tcW w:w="2955"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&lt; 0,0001</w:t>
            </w:r>
          </w:p>
        </w:tc>
        <w:tc>
          <w:tcPr>
            <w:tcW w:w="3068"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&lt; 0,0001</w:t>
            </w:r>
          </w:p>
        </w:tc>
        <w:tc>
          <w:tcPr>
            <w:tcW w:w="1224"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w:t>
            </w:r>
          </w:p>
        </w:tc>
      </w:tr>
      <w:tr w:rsidR="003E6E00" w:rsidRPr="00E8426E" w:rsidTr="003E6E00">
        <w:trPr>
          <w:tblHeader/>
        </w:trPr>
        <w:tc>
          <w:tcPr>
            <w:tcW w:w="9287" w:type="dxa"/>
            <w:gridSpan w:val="4"/>
            <w:shd w:val="clear" w:color="auto" w:fill="auto"/>
            <w:vAlign w:val="center"/>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b/>
                <w:sz w:val="24"/>
                <w:szCs w:val="24"/>
              </w:rPr>
              <w:t>≥ 80 % afholdenhed (opioidfrie uger) (respondent)</w:t>
            </w:r>
          </w:p>
        </w:tc>
      </w:tr>
      <w:tr w:rsidR="003E6E00" w:rsidRPr="00E8426E" w:rsidTr="003E6E00">
        <w:trPr>
          <w:tblHeader/>
        </w:trPr>
        <w:tc>
          <w:tcPr>
            <w:tcW w:w="2040"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Behandlingssucces*</w:t>
            </w:r>
          </w:p>
        </w:tc>
        <w:tc>
          <w:tcPr>
            <w:tcW w:w="2955"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28,4 %</w:t>
            </w:r>
          </w:p>
        </w:tc>
        <w:tc>
          <w:tcPr>
            <w:tcW w:w="3068"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29,1 %</w:t>
            </w:r>
          </w:p>
        </w:tc>
        <w:tc>
          <w:tcPr>
            <w:tcW w:w="1224"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2,0 %</w:t>
            </w:r>
          </w:p>
        </w:tc>
      </w:tr>
      <w:tr w:rsidR="003E6E00" w:rsidRPr="00E8426E" w:rsidTr="003E6E00">
        <w:trPr>
          <w:tblHeader/>
        </w:trPr>
        <w:tc>
          <w:tcPr>
            <w:tcW w:w="2040"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proofErr w:type="spellStart"/>
            <w:r w:rsidRPr="00E8426E">
              <w:rPr>
                <w:rFonts w:asciiTheme="majorBidi" w:hAnsiTheme="majorBidi" w:cstheme="majorBidi"/>
                <w:sz w:val="24"/>
                <w:szCs w:val="24"/>
              </w:rPr>
              <w:t>p-værdi</w:t>
            </w:r>
            <w:proofErr w:type="spellEnd"/>
          </w:p>
        </w:tc>
        <w:tc>
          <w:tcPr>
            <w:tcW w:w="2955"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&lt; 0,0001</w:t>
            </w:r>
          </w:p>
        </w:tc>
        <w:tc>
          <w:tcPr>
            <w:tcW w:w="3068"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&lt; 0,0001</w:t>
            </w:r>
          </w:p>
        </w:tc>
        <w:tc>
          <w:tcPr>
            <w:tcW w:w="1224" w:type="dxa"/>
            <w:shd w:val="clear" w:color="auto" w:fill="auto"/>
          </w:tcPr>
          <w:p w:rsidR="003E6E00" w:rsidRPr="00E8426E" w:rsidRDefault="003E6E00" w:rsidP="003E6E00">
            <w:pPr>
              <w:tabs>
                <w:tab w:val="left" w:pos="360"/>
              </w:tabs>
              <w:contextualSpacing/>
              <w:jc w:val="center"/>
              <w:rPr>
                <w:rFonts w:asciiTheme="majorBidi" w:hAnsiTheme="majorBidi" w:cstheme="majorBidi"/>
                <w:sz w:val="24"/>
                <w:szCs w:val="24"/>
              </w:rPr>
            </w:pPr>
            <w:r w:rsidRPr="00E8426E">
              <w:rPr>
                <w:rFonts w:asciiTheme="majorBidi" w:hAnsiTheme="majorBidi" w:cstheme="majorBidi"/>
                <w:sz w:val="24"/>
                <w:szCs w:val="24"/>
              </w:rPr>
              <w:t>-</w:t>
            </w:r>
          </w:p>
        </w:tc>
      </w:tr>
    </w:tbl>
    <w:p w:rsidR="003E6E00" w:rsidRPr="00E8426E" w:rsidRDefault="003E6E00" w:rsidP="003E6E00">
      <w:pPr>
        <w:tabs>
          <w:tab w:val="left" w:pos="993"/>
        </w:tabs>
        <w:ind w:left="993"/>
        <w:contextualSpacing/>
        <w:rPr>
          <w:rFonts w:asciiTheme="majorBidi" w:hAnsiTheme="majorBidi" w:cstheme="majorBidi"/>
          <w:sz w:val="24"/>
          <w:szCs w:val="24"/>
        </w:rPr>
      </w:pPr>
      <w:r w:rsidRPr="00E8426E">
        <w:rPr>
          <w:rFonts w:asciiTheme="majorBidi" w:hAnsiTheme="majorBidi" w:cstheme="majorBidi"/>
          <w:sz w:val="24"/>
          <w:szCs w:val="24"/>
        </w:rPr>
        <w:t>*Behandlingssucces blev defineret som alle personer med ≥ 80 % af urinprøverne negative for opioider kombineret med negative selvrapporteringer af ulovlig brug af opioider fra uge 5 til uge 24. En ”respitperiode” blev anvendt for uge 1 til og med uge 4 for at give patienterne en mulighed for at stabilisere behandlingen.</w:t>
      </w:r>
    </w:p>
    <w:p w:rsidR="003E6E00" w:rsidRPr="00E8426E" w:rsidRDefault="003E6E00" w:rsidP="003E6E00">
      <w:pPr>
        <w:tabs>
          <w:tab w:val="left" w:pos="360"/>
        </w:tabs>
        <w:contextualSpacing/>
        <w:rPr>
          <w:rFonts w:asciiTheme="majorBidi" w:hAnsiTheme="majorBidi" w:cstheme="majorBidi"/>
          <w:sz w:val="24"/>
          <w:szCs w:val="24"/>
        </w:rPr>
      </w:pPr>
    </w:p>
    <w:p w:rsidR="003E6E00" w:rsidRPr="00E8426E" w:rsidRDefault="003E6E00" w:rsidP="003E6E00">
      <w:pPr>
        <w:tabs>
          <w:tab w:val="left" w:pos="993"/>
        </w:tabs>
        <w:ind w:left="993"/>
        <w:contextualSpacing/>
        <w:rPr>
          <w:rFonts w:asciiTheme="majorBidi" w:hAnsiTheme="majorBidi" w:cstheme="majorBidi"/>
          <w:sz w:val="24"/>
          <w:szCs w:val="24"/>
        </w:rPr>
      </w:pPr>
      <w:r w:rsidRPr="00E8426E">
        <w:rPr>
          <w:rFonts w:asciiTheme="majorBidi" w:hAnsiTheme="majorBidi" w:cstheme="majorBidi"/>
          <w:sz w:val="24"/>
          <w:szCs w:val="24"/>
        </w:rPr>
        <w:t xml:space="preserve">I dette 24-ugers studie var administration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depotinjektion sammenlignet med placebo forbundet med en forbedret sundhedsstatus, øget beskæftigelse, nedsat forbrug af sundhedsressourcer og en øget lægemiddeltilfredshed (88 % versus 46 % for placebo ved uge 25).</w:t>
      </w:r>
    </w:p>
    <w:p w:rsidR="003E6E00" w:rsidRPr="00E8426E" w:rsidRDefault="003E6E00" w:rsidP="003E6E00">
      <w:pPr>
        <w:tabs>
          <w:tab w:val="left" w:pos="360"/>
        </w:tabs>
        <w:contextualSpacing/>
        <w:rPr>
          <w:rFonts w:asciiTheme="majorBidi" w:hAnsiTheme="majorBidi" w:cstheme="majorBidi"/>
          <w:sz w:val="24"/>
          <w:szCs w:val="24"/>
        </w:rPr>
      </w:pPr>
    </w:p>
    <w:p w:rsidR="003E6E00" w:rsidRPr="00E8426E" w:rsidRDefault="003E6E00" w:rsidP="003E6E00">
      <w:pPr>
        <w:tabs>
          <w:tab w:val="left" w:pos="993"/>
        </w:tabs>
        <w:ind w:left="993"/>
        <w:contextualSpacing/>
        <w:rPr>
          <w:rFonts w:asciiTheme="majorBidi" w:hAnsiTheme="majorBidi" w:cstheme="majorBidi"/>
          <w:sz w:val="24"/>
          <w:szCs w:val="24"/>
        </w:rPr>
      </w:pPr>
      <w:r w:rsidRPr="00E8426E">
        <w:rPr>
          <w:rFonts w:asciiTheme="majorBidi" w:hAnsiTheme="majorBidi" w:cstheme="majorBidi"/>
          <w:sz w:val="24"/>
          <w:szCs w:val="24"/>
        </w:rPr>
        <w:t xml:space="preserve">Et langvarigt, åbent, multicenter, fase III-sikkerhedsstudie blev udført med behandlingssøgende patienter til vurdering af sikkerheden og </w:t>
      </w:r>
      <w:proofErr w:type="spellStart"/>
      <w:r w:rsidRPr="00E8426E">
        <w:rPr>
          <w:rFonts w:asciiTheme="majorBidi" w:hAnsiTheme="majorBidi" w:cstheme="majorBidi"/>
          <w:sz w:val="24"/>
          <w:szCs w:val="24"/>
        </w:rPr>
        <w:t>tolerabiliteten</w:t>
      </w:r>
      <w:proofErr w:type="spellEnd"/>
      <w:r w:rsidRPr="00E8426E">
        <w:rPr>
          <w:rFonts w:asciiTheme="majorBidi" w:hAnsiTheme="majorBidi" w:cstheme="majorBidi"/>
          <w:sz w:val="24"/>
          <w:szCs w:val="24"/>
        </w:rPr>
        <w:t xml:space="preserve"> på langt sigt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depotinjektion. Studiet inkluderede 669 patienter med moderat til svær opioidafhængighed: 412 </w:t>
      </w:r>
      <w:r w:rsidRPr="00E8426E">
        <w:rPr>
          <w:rFonts w:asciiTheme="majorBidi" w:hAnsiTheme="majorBidi" w:cstheme="majorBidi"/>
          <w:i/>
          <w:sz w:val="24"/>
          <w:szCs w:val="24"/>
        </w:rPr>
        <w:t>de</w:t>
      </w:r>
      <w:r w:rsidRPr="00E8426E">
        <w:rPr>
          <w:rFonts w:asciiTheme="majorBidi" w:hAnsiTheme="majorBidi" w:cstheme="majorBidi"/>
          <w:i/>
          <w:iCs/>
          <w:sz w:val="24"/>
          <w:szCs w:val="24"/>
        </w:rPr>
        <w:t>-</w:t>
      </w:r>
      <w:proofErr w:type="spellStart"/>
      <w:r w:rsidRPr="00E8426E">
        <w:rPr>
          <w:rFonts w:asciiTheme="majorBidi" w:hAnsiTheme="majorBidi" w:cstheme="majorBidi"/>
          <w:i/>
          <w:sz w:val="24"/>
          <w:szCs w:val="24"/>
        </w:rPr>
        <w:t>novo</w:t>
      </w:r>
      <w:proofErr w:type="spellEnd"/>
      <w:r w:rsidRPr="00E8426E">
        <w:rPr>
          <w:rFonts w:asciiTheme="majorBidi" w:hAnsiTheme="majorBidi" w:cstheme="majorBidi"/>
          <w:sz w:val="24"/>
          <w:szCs w:val="24"/>
        </w:rPr>
        <w:t xml:space="preserve">-personer (ikke tidligere behandlet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og 257 personer, der overgik fra det tidligere studie (300/100 mg-gruppen: 112 personer, 300/300 mg-gruppen: 113 personer, placebogruppen: 32 personer). Alle personer fik mindst 1 dosis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depotinjektion 300 mg, efterfulgt af fleksible, månedlige doseringer med 100 mg eller 300 mg med i alt 12 injektioner (</w:t>
      </w:r>
      <w:r w:rsidRPr="00E8426E">
        <w:rPr>
          <w:rFonts w:asciiTheme="majorBidi" w:hAnsiTheme="majorBidi" w:cstheme="majorBidi"/>
          <w:i/>
          <w:sz w:val="24"/>
          <w:szCs w:val="24"/>
        </w:rPr>
        <w:t>de </w:t>
      </w:r>
      <w:proofErr w:type="spellStart"/>
      <w:r w:rsidRPr="00E8426E">
        <w:rPr>
          <w:rFonts w:asciiTheme="majorBidi" w:hAnsiTheme="majorBidi" w:cstheme="majorBidi"/>
          <w:i/>
          <w:sz w:val="24"/>
          <w:szCs w:val="24"/>
        </w:rPr>
        <w:t>novo</w:t>
      </w:r>
      <w:proofErr w:type="spellEnd"/>
      <w:r w:rsidRPr="00E8426E">
        <w:rPr>
          <w:rFonts w:asciiTheme="majorBidi" w:hAnsiTheme="majorBidi" w:cstheme="majorBidi"/>
          <w:sz w:val="24"/>
          <w:szCs w:val="24"/>
        </w:rPr>
        <w:t xml:space="preserve">) eller 6 injektioner (personer, der overgik fra tidligere studie). 406 personer gennemførte studiet. Få personer (2,2 % i alt) blevet trukket ud af studiet som følge af en uønsket hændelse. Fortsat dosering med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depotinjektion ved behandling op til 12 måneder viste vedvarende virkning. Retentionsrater efter 12 måneder var 50,5 % for deltagere behandlet med </w:t>
      </w:r>
      <w:proofErr w:type="spellStart"/>
      <w:r w:rsidRPr="00E8426E">
        <w:rPr>
          <w:rFonts w:asciiTheme="majorBidi" w:hAnsiTheme="majorBidi" w:cstheme="majorBidi"/>
          <w:sz w:val="24"/>
          <w:szCs w:val="24"/>
        </w:rPr>
        <w:lastRenderedPageBreak/>
        <w:t>Subutex</w:t>
      </w:r>
      <w:proofErr w:type="spellEnd"/>
      <w:r w:rsidRPr="00E8426E">
        <w:rPr>
          <w:rFonts w:asciiTheme="majorBidi" w:hAnsiTheme="majorBidi" w:cstheme="majorBidi"/>
          <w:sz w:val="24"/>
          <w:szCs w:val="24"/>
        </w:rPr>
        <w:t xml:space="preserve"> depotinjektion i de kombinerede randomiserede, dobbeltblindede og åbne studier, og 69,3 % af deltagerne var afholdende ved slutningen af 12 måneders behandling.</w:t>
      </w:r>
    </w:p>
    <w:p w:rsidR="009260DE" w:rsidRPr="00FA7A9D" w:rsidRDefault="009260DE" w:rsidP="00FA7A9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34477" w:rsidRPr="00277937" w:rsidRDefault="00E34477" w:rsidP="00277937">
      <w:pPr>
        <w:keepNext/>
        <w:ind w:left="851"/>
        <w:jc w:val="both"/>
        <w:rPr>
          <w:sz w:val="24"/>
          <w:szCs w:val="24"/>
          <w:lang w:eastAsia="fr-LU"/>
        </w:rPr>
      </w:pPr>
    </w:p>
    <w:p w:rsidR="00E34477" w:rsidRPr="00277937" w:rsidRDefault="00E34477" w:rsidP="00277937">
      <w:pPr>
        <w:keepNext/>
        <w:ind w:left="851"/>
        <w:rPr>
          <w:sz w:val="24"/>
          <w:szCs w:val="24"/>
          <w:u w:val="single"/>
        </w:rPr>
      </w:pPr>
      <w:r w:rsidRPr="00277937">
        <w:rPr>
          <w:sz w:val="24"/>
          <w:szCs w:val="24"/>
          <w:u w:val="single"/>
        </w:rPr>
        <w:t>Absorption</w:t>
      </w:r>
    </w:p>
    <w:p w:rsidR="003517BF" w:rsidRDefault="003517BF" w:rsidP="003E6E00">
      <w:pPr>
        <w:tabs>
          <w:tab w:val="left" w:pos="360"/>
        </w:tabs>
        <w:ind w:left="851"/>
        <w:rPr>
          <w:rFonts w:asciiTheme="majorBidi" w:hAnsiTheme="majorBidi" w:cstheme="majorBidi"/>
        </w:rPr>
      </w:pPr>
      <w:bookmarkStart w:id="6" w:name="_Hlk504044770"/>
    </w:p>
    <w:p w:rsidR="00BA59FE" w:rsidRDefault="003E6E00" w:rsidP="003E6E00">
      <w:pPr>
        <w:tabs>
          <w:tab w:val="left" w:pos="360"/>
        </w:tabs>
        <w:ind w:left="851"/>
        <w:rPr>
          <w:rFonts w:asciiTheme="majorBidi" w:hAnsiTheme="majorBidi" w:cstheme="majorBidi"/>
        </w:rPr>
      </w:pPr>
      <w:r w:rsidRPr="009A1677">
        <w:rPr>
          <w:rFonts w:asciiTheme="majorBidi" w:hAnsiTheme="majorBidi" w:cstheme="majorBidi"/>
        </w:rPr>
        <w:t xml:space="preserve">Efter subkutan injektion af </w:t>
      </w:r>
      <w:proofErr w:type="spellStart"/>
      <w:r w:rsidRPr="009A1677">
        <w:rPr>
          <w:rFonts w:asciiTheme="majorBidi" w:hAnsiTheme="majorBidi" w:cstheme="majorBidi"/>
        </w:rPr>
        <w:t>Subutex</w:t>
      </w:r>
      <w:proofErr w:type="spellEnd"/>
      <w:r w:rsidRPr="009A1677">
        <w:rPr>
          <w:rFonts w:asciiTheme="majorBidi" w:hAnsiTheme="majorBidi" w:cstheme="majorBidi"/>
        </w:rPr>
        <w:t xml:space="preserve"> blev der observeret en initial </w:t>
      </w:r>
      <w:proofErr w:type="spellStart"/>
      <w:r w:rsidRPr="009A1677">
        <w:rPr>
          <w:rFonts w:asciiTheme="majorBidi" w:hAnsiTheme="majorBidi" w:cstheme="majorBidi"/>
        </w:rPr>
        <w:t>buprenorphin</w:t>
      </w:r>
      <w:proofErr w:type="spellEnd"/>
      <w:r w:rsidRPr="009A1677">
        <w:rPr>
          <w:rFonts w:asciiTheme="majorBidi" w:hAnsiTheme="majorBidi" w:cstheme="majorBidi"/>
        </w:rPr>
        <w:t xml:space="preserve">-top, og median </w:t>
      </w:r>
      <w:proofErr w:type="spellStart"/>
      <w:r w:rsidRPr="009A1677">
        <w:rPr>
          <w:rFonts w:asciiTheme="majorBidi" w:hAnsiTheme="majorBidi" w:cstheme="majorBidi"/>
        </w:rPr>
        <w:t>T</w:t>
      </w:r>
      <w:r w:rsidRPr="009A1677">
        <w:rPr>
          <w:rFonts w:asciiTheme="majorBidi" w:hAnsiTheme="majorBidi" w:cstheme="majorBidi"/>
          <w:vertAlign w:val="subscript"/>
        </w:rPr>
        <w:t>max</w:t>
      </w:r>
      <w:proofErr w:type="spellEnd"/>
      <w:r w:rsidRPr="009A1677">
        <w:rPr>
          <w:rFonts w:asciiTheme="majorBidi" w:hAnsiTheme="majorBidi" w:cstheme="majorBidi"/>
        </w:rPr>
        <w:t xml:space="preserve"> indtrådte 24 timer efter injektion. Efter den initiale </w:t>
      </w:r>
      <w:proofErr w:type="spellStart"/>
      <w:r w:rsidRPr="009A1677">
        <w:rPr>
          <w:rFonts w:asciiTheme="majorBidi" w:hAnsiTheme="majorBidi" w:cstheme="majorBidi"/>
        </w:rPr>
        <w:t>buprenorphin</w:t>
      </w:r>
      <w:proofErr w:type="spellEnd"/>
      <w:r w:rsidRPr="009A1677">
        <w:rPr>
          <w:rFonts w:asciiTheme="majorBidi" w:hAnsiTheme="majorBidi" w:cstheme="majorBidi"/>
        </w:rPr>
        <w:t xml:space="preserve">-top faldt plasmakoncentrationen af </w:t>
      </w:r>
      <w:proofErr w:type="spellStart"/>
      <w:r w:rsidRPr="009A1677">
        <w:rPr>
          <w:rFonts w:asciiTheme="majorBidi" w:hAnsiTheme="majorBidi" w:cstheme="majorBidi"/>
        </w:rPr>
        <w:t>buprenorphin</w:t>
      </w:r>
      <w:proofErr w:type="spellEnd"/>
      <w:r w:rsidRPr="009A1677">
        <w:rPr>
          <w:rFonts w:asciiTheme="majorBidi" w:hAnsiTheme="majorBidi" w:cstheme="majorBidi"/>
        </w:rPr>
        <w:t xml:space="preserve"> gradvist til et plateau. </w:t>
      </w:r>
      <w:proofErr w:type="spellStart"/>
      <w:r w:rsidRPr="009A1677">
        <w:rPr>
          <w:rFonts w:asciiTheme="majorBidi" w:hAnsiTheme="majorBidi" w:cstheme="majorBidi"/>
          <w:i/>
        </w:rPr>
        <w:t>Steady</w:t>
      </w:r>
      <w:r w:rsidRPr="009A1677">
        <w:rPr>
          <w:rFonts w:asciiTheme="majorBidi" w:hAnsiTheme="majorBidi" w:cstheme="majorBidi"/>
          <w:i/>
          <w:iCs/>
        </w:rPr>
        <w:t>-</w:t>
      </w:r>
      <w:r w:rsidRPr="009A1677">
        <w:rPr>
          <w:rFonts w:asciiTheme="majorBidi" w:hAnsiTheme="majorBidi" w:cstheme="majorBidi"/>
          <w:i/>
        </w:rPr>
        <w:t>state</w:t>
      </w:r>
      <w:proofErr w:type="spellEnd"/>
      <w:r w:rsidRPr="009A1677">
        <w:rPr>
          <w:rFonts w:asciiTheme="majorBidi" w:hAnsiTheme="majorBidi" w:cstheme="majorBidi"/>
        </w:rPr>
        <w:t xml:space="preserve"> blev nået efter 6 måneder. Gennemsnitlige niveauer af </w:t>
      </w:r>
      <w:proofErr w:type="spellStart"/>
      <w:r w:rsidRPr="009A1677">
        <w:rPr>
          <w:rFonts w:asciiTheme="majorBidi" w:hAnsiTheme="majorBidi" w:cstheme="majorBidi"/>
        </w:rPr>
        <w:t>buprenorphin</w:t>
      </w:r>
      <w:proofErr w:type="spellEnd"/>
      <w:r w:rsidRPr="009A1677">
        <w:rPr>
          <w:rFonts w:asciiTheme="majorBidi" w:hAnsiTheme="majorBidi" w:cstheme="majorBidi"/>
        </w:rPr>
        <w:t xml:space="preserve"> i plasma ved gennemsnitlig værdi (</w:t>
      </w:r>
      <w:proofErr w:type="spellStart"/>
      <w:r w:rsidRPr="009A1677">
        <w:rPr>
          <w:rFonts w:asciiTheme="majorBidi" w:hAnsiTheme="majorBidi" w:cstheme="majorBidi"/>
        </w:rPr>
        <w:t>C</w:t>
      </w:r>
      <w:r w:rsidRPr="009A1677">
        <w:rPr>
          <w:rFonts w:asciiTheme="majorBidi" w:hAnsiTheme="majorBidi" w:cstheme="majorBidi"/>
          <w:vertAlign w:val="subscript"/>
        </w:rPr>
        <w:t>avg</w:t>
      </w:r>
      <w:proofErr w:type="spellEnd"/>
      <w:r w:rsidRPr="009A1677">
        <w:rPr>
          <w:rFonts w:asciiTheme="majorBidi" w:hAnsiTheme="majorBidi" w:cstheme="majorBidi"/>
        </w:rPr>
        <w:t>), maksimumværdi (</w:t>
      </w:r>
      <w:proofErr w:type="spellStart"/>
      <w:r w:rsidRPr="009A1677">
        <w:rPr>
          <w:rFonts w:asciiTheme="majorBidi" w:hAnsiTheme="majorBidi" w:cstheme="majorBidi"/>
        </w:rPr>
        <w:t>C</w:t>
      </w:r>
      <w:r w:rsidRPr="009A1677">
        <w:rPr>
          <w:rFonts w:asciiTheme="majorBidi" w:hAnsiTheme="majorBidi" w:cstheme="majorBidi"/>
          <w:vertAlign w:val="subscript"/>
        </w:rPr>
        <w:t>max</w:t>
      </w:r>
      <w:proofErr w:type="spellEnd"/>
      <w:r w:rsidRPr="009A1677">
        <w:rPr>
          <w:rFonts w:asciiTheme="majorBidi" w:hAnsiTheme="majorBidi" w:cstheme="majorBidi"/>
        </w:rPr>
        <w:t>) og minimumværdi (</w:t>
      </w:r>
      <w:proofErr w:type="spellStart"/>
      <w:r w:rsidRPr="009A1677">
        <w:rPr>
          <w:rFonts w:asciiTheme="majorBidi" w:hAnsiTheme="majorBidi" w:cstheme="majorBidi"/>
        </w:rPr>
        <w:t>C</w:t>
      </w:r>
      <w:r w:rsidRPr="009A1677">
        <w:rPr>
          <w:rFonts w:asciiTheme="majorBidi" w:hAnsiTheme="majorBidi" w:cstheme="majorBidi"/>
          <w:vertAlign w:val="subscript"/>
        </w:rPr>
        <w:t>trough</w:t>
      </w:r>
      <w:proofErr w:type="spellEnd"/>
      <w:r w:rsidRPr="009A1677">
        <w:rPr>
          <w:rFonts w:asciiTheme="majorBidi" w:hAnsiTheme="majorBidi" w:cstheme="majorBidi"/>
        </w:rPr>
        <w:t xml:space="preserve">) ved </w:t>
      </w:r>
      <w:proofErr w:type="spellStart"/>
      <w:r w:rsidRPr="009A1677">
        <w:rPr>
          <w:rFonts w:asciiTheme="majorBidi" w:hAnsiTheme="majorBidi" w:cstheme="majorBidi"/>
          <w:i/>
        </w:rPr>
        <w:t>steady-state</w:t>
      </w:r>
      <w:proofErr w:type="spellEnd"/>
      <w:r w:rsidRPr="009A1677">
        <w:rPr>
          <w:rFonts w:asciiTheme="majorBidi" w:hAnsiTheme="majorBidi" w:cstheme="majorBidi"/>
        </w:rPr>
        <w:t xml:space="preserve"> er vist i figur 1 sammenlignet med </w:t>
      </w:r>
      <w:proofErr w:type="spellStart"/>
      <w:r w:rsidRPr="009A1677">
        <w:rPr>
          <w:rFonts w:asciiTheme="majorBidi" w:hAnsiTheme="majorBidi" w:cstheme="majorBidi"/>
        </w:rPr>
        <w:t>transmukosal</w:t>
      </w:r>
      <w:proofErr w:type="spellEnd"/>
      <w:r w:rsidRPr="009A1677">
        <w:rPr>
          <w:rFonts w:asciiTheme="majorBidi" w:hAnsiTheme="majorBidi" w:cstheme="majorBidi"/>
        </w:rPr>
        <w:t xml:space="preserve"> </w:t>
      </w:r>
      <w:proofErr w:type="spellStart"/>
      <w:r w:rsidRPr="009A1677">
        <w:rPr>
          <w:rFonts w:asciiTheme="majorBidi" w:hAnsiTheme="majorBidi" w:cstheme="majorBidi"/>
        </w:rPr>
        <w:t>buprenorphin</w:t>
      </w:r>
      <w:proofErr w:type="spellEnd"/>
      <w:r w:rsidRPr="009A1677">
        <w:rPr>
          <w:rFonts w:asciiTheme="majorBidi" w:hAnsiTheme="majorBidi" w:cstheme="majorBidi"/>
        </w:rPr>
        <w:t>.</w:t>
      </w:r>
      <w:bookmarkStart w:id="7" w:name="_Ref506888252"/>
      <w:bookmarkEnd w:id="6"/>
    </w:p>
    <w:p w:rsidR="003E6E00" w:rsidRDefault="003E6E00" w:rsidP="003E6E00">
      <w:pPr>
        <w:tabs>
          <w:tab w:val="left" w:pos="360"/>
        </w:tabs>
        <w:ind w:left="851"/>
        <w:rPr>
          <w:b/>
          <w:bCs/>
          <w:sz w:val="22"/>
          <w:lang w:eastAsia="da-DK"/>
        </w:rPr>
      </w:pPr>
    </w:p>
    <w:p w:rsidR="00E34477" w:rsidRDefault="00E34477" w:rsidP="00E34477">
      <w:pPr>
        <w:pStyle w:val="Billedtekst"/>
        <w:spacing w:after="240"/>
        <w:rPr>
          <w:sz w:val="22"/>
        </w:rPr>
      </w:pPr>
      <w:r>
        <w:rPr>
          <w:sz w:val="22"/>
        </w:rPr>
        <w:t>Figur </w:t>
      </w:r>
      <w:bookmarkEnd w:id="7"/>
      <w:r>
        <w:rPr>
          <w:sz w:val="22"/>
        </w:rPr>
        <w:t xml:space="preserve">1 Sammenligning af plasmaeksponeringen af </w:t>
      </w:r>
      <w:proofErr w:type="spellStart"/>
      <w:r>
        <w:rPr>
          <w:sz w:val="22"/>
        </w:rPr>
        <w:t>buprenorphin</w:t>
      </w:r>
      <w:proofErr w:type="spellEnd"/>
      <w:r>
        <w:rPr>
          <w:sz w:val="22"/>
        </w:rPr>
        <w:t xml:space="preserve"> ved </w:t>
      </w:r>
      <w:proofErr w:type="spellStart"/>
      <w:r>
        <w:rPr>
          <w:i/>
          <w:sz w:val="22"/>
        </w:rPr>
        <w:t>steady-state</w:t>
      </w:r>
      <w:proofErr w:type="spellEnd"/>
      <w:r>
        <w:rPr>
          <w:sz w:val="22"/>
        </w:rPr>
        <w:t xml:space="preserve"> mellem </w:t>
      </w:r>
      <w:proofErr w:type="spellStart"/>
      <w:r>
        <w:rPr>
          <w:sz w:val="22"/>
        </w:rPr>
        <w:t>transmukosal</w:t>
      </w:r>
      <w:proofErr w:type="spellEnd"/>
      <w:r>
        <w:rPr>
          <w:sz w:val="22"/>
        </w:rPr>
        <w:t xml:space="preserve"> </w:t>
      </w:r>
      <w:proofErr w:type="spellStart"/>
      <w:r>
        <w:rPr>
          <w:sz w:val="22"/>
        </w:rPr>
        <w:t>buprenorphin</w:t>
      </w:r>
      <w:proofErr w:type="spellEnd"/>
      <w:r>
        <w:rPr>
          <w:sz w:val="22"/>
        </w:rPr>
        <w:t xml:space="preserve"> og </w:t>
      </w:r>
      <w:proofErr w:type="spellStart"/>
      <w:r>
        <w:rPr>
          <w:sz w:val="22"/>
        </w:rPr>
        <w:t>Subutex</w:t>
      </w:r>
      <w:proofErr w:type="spellEnd"/>
      <w:r>
        <w:rPr>
          <w:sz w:val="22"/>
        </w:rPr>
        <w:t xml:space="preserve"> depotinjektion ved minimums- (</w:t>
      </w:r>
      <w:proofErr w:type="spellStart"/>
      <w:r>
        <w:rPr>
          <w:sz w:val="22"/>
        </w:rPr>
        <w:t>C</w:t>
      </w:r>
      <w:r>
        <w:rPr>
          <w:sz w:val="22"/>
          <w:vertAlign w:val="subscript"/>
        </w:rPr>
        <w:t>trough</w:t>
      </w:r>
      <w:proofErr w:type="spellEnd"/>
      <w:r>
        <w:rPr>
          <w:sz w:val="22"/>
        </w:rPr>
        <w:t>), gennemsnits- (</w:t>
      </w:r>
      <w:proofErr w:type="spellStart"/>
      <w:r>
        <w:rPr>
          <w:sz w:val="22"/>
        </w:rPr>
        <w:t>C</w:t>
      </w:r>
      <w:r>
        <w:rPr>
          <w:sz w:val="22"/>
          <w:vertAlign w:val="subscript"/>
        </w:rPr>
        <w:t>avg</w:t>
      </w:r>
      <w:proofErr w:type="spellEnd"/>
      <w:r>
        <w:rPr>
          <w:sz w:val="22"/>
        </w:rPr>
        <w:t>) og maksimumsniveauer (</w:t>
      </w:r>
      <w:proofErr w:type="spellStart"/>
      <w:r>
        <w:rPr>
          <w:sz w:val="22"/>
        </w:rPr>
        <w:t>C</w:t>
      </w:r>
      <w:r>
        <w:rPr>
          <w:sz w:val="22"/>
          <w:vertAlign w:val="subscript"/>
        </w:rPr>
        <w:t>max</w:t>
      </w:r>
      <w:proofErr w:type="spellEnd"/>
      <w:r>
        <w:rPr>
          <w:sz w:val="22"/>
        </w:rPr>
        <w:t>)</w:t>
      </w:r>
    </w:p>
    <w:p w:rsidR="00E34477" w:rsidRDefault="00E34477" w:rsidP="00E34477">
      <w:pPr>
        <w:pStyle w:val="Billedtekst"/>
        <w:rPr>
          <w:sz w:val="22"/>
          <w:lang w:eastAsia="fr-LU"/>
        </w:rPr>
      </w:pPr>
    </w:p>
    <w:p w:rsidR="00E34477" w:rsidRDefault="00E34477" w:rsidP="00E34477">
      <w:pPr>
        <w:ind w:left="720"/>
        <w:rPr>
          <w:noProof/>
          <w:sz w:val="20"/>
          <w:lang w:eastAsia="fr-LU"/>
        </w:rPr>
      </w:pPr>
      <w:r>
        <w:rPr>
          <w:noProof/>
          <w:lang w:val="en-GB" w:eastAsia="en-GB"/>
        </w:rPr>
        <w:drawing>
          <wp:inline distT="0" distB="0" distL="0" distR="0">
            <wp:extent cx="4870450" cy="3175000"/>
            <wp:effectExtent l="0" t="0" r="635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0450" cy="3175000"/>
                    </a:xfrm>
                    <a:prstGeom prst="rect">
                      <a:avLst/>
                    </a:prstGeom>
                    <a:noFill/>
                    <a:ln>
                      <a:noFill/>
                    </a:ln>
                  </pic:spPr>
                </pic:pic>
              </a:graphicData>
            </a:graphic>
          </wp:inline>
        </w:drawing>
      </w:r>
    </w:p>
    <w:p w:rsidR="00E34477" w:rsidRDefault="00E34477" w:rsidP="00E34477">
      <w:pPr>
        <w:pStyle w:val="TableFootnote"/>
        <w:ind w:left="0" w:firstLine="0"/>
        <w:rPr>
          <w:lang w:val="fr-LU"/>
        </w:rPr>
      </w:pPr>
      <w:r>
        <w:rPr>
          <w:rFonts w:ascii="Times New Roman" w:hAnsi="Times New Roman"/>
          <w:lang w:val="fr-LU"/>
        </w:rPr>
        <w:t>SL: sublingual; PR: depotformulering</w:t>
      </w:r>
    </w:p>
    <w:p w:rsidR="00E34477" w:rsidRDefault="00E34477" w:rsidP="00E34477">
      <w:pPr>
        <w:pStyle w:val="TableFootnote"/>
        <w:ind w:left="0" w:firstLine="0"/>
        <w:rPr>
          <w:rFonts w:ascii="Times New Roman" w:hAnsi="Times New Roman"/>
          <w:lang w:val="fr-LU"/>
        </w:rPr>
      </w:pPr>
      <w:r>
        <w:rPr>
          <w:rFonts w:ascii="Times New Roman" w:hAnsi="Times New Roman"/>
          <w:lang w:val="fr-LU"/>
        </w:rPr>
        <w:t xml:space="preserve">Hver stolpe viser det geometriske gennemsnit </w:t>
      </w:r>
      <w:r w:rsidR="003E6E00">
        <w:rPr>
          <w:rFonts w:ascii="Times New Roman" w:hAnsi="Times New Roman"/>
          <w:lang w:val="fr-LU"/>
        </w:rPr>
        <w:t xml:space="preserve">for </w:t>
      </w:r>
      <w:r>
        <w:rPr>
          <w:rFonts w:ascii="Times New Roman" w:hAnsi="Times New Roman"/>
          <w:lang w:val="fr-LU"/>
        </w:rPr>
        <w:t xml:space="preserve">buprenorphins minimumskoncentration (bund), gennemsnitlig plasmakoncentration (hvid markering) og maksimal plasmakoncentration (top). </w:t>
      </w:r>
    </w:p>
    <w:p w:rsidR="003E6E00" w:rsidRDefault="003E6E00" w:rsidP="003E6E00">
      <w:pPr>
        <w:tabs>
          <w:tab w:val="left" w:pos="360"/>
        </w:tabs>
        <w:contextualSpacing/>
        <w:rPr>
          <w:rFonts w:asciiTheme="majorBidi" w:hAnsiTheme="majorBidi" w:cstheme="majorBidi"/>
        </w:rPr>
      </w:pPr>
    </w:p>
    <w:p w:rsidR="003E6E00" w:rsidRPr="003E6E00" w:rsidRDefault="003E6E00" w:rsidP="003E6E00">
      <w:pPr>
        <w:tabs>
          <w:tab w:val="left" w:pos="360"/>
        </w:tabs>
        <w:contextualSpacing/>
        <w:rPr>
          <w:rFonts w:asciiTheme="majorBidi" w:hAnsiTheme="majorBidi" w:cstheme="majorBidi"/>
          <w:sz w:val="18"/>
          <w:szCs w:val="18"/>
        </w:rPr>
      </w:pPr>
      <w:r w:rsidRPr="003E6E00">
        <w:rPr>
          <w:rFonts w:asciiTheme="majorBidi" w:hAnsiTheme="majorBidi" w:cstheme="majorBidi"/>
          <w:sz w:val="18"/>
          <w:szCs w:val="18"/>
        </w:rPr>
        <w:t xml:space="preserve">Ved </w:t>
      </w:r>
      <w:proofErr w:type="spellStart"/>
      <w:r w:rsidRPr="003E6E00">
        <w:rPr>
          <w:rFonts w:asciiTheme="majorBidi" w:hAnsiTheme="majorBidi" w:cstheme="majorBidi"/>
          <w:i/>
          <w:iCs/>
          <w:sz w:val="18"/>
          <w:szCs w:val="18"/>
        </w:rPr>
        <w:t>steady-state</w:t>
      </w:r>
      <w:proofErr w:type="spellEnd"/>
      <w:r w:rsidRPr="003E6E00">
        <w:rPr>
          <w:rFonts w:asciiTheme="majorBidi" w:hAnsiTheme="majorBidi" w:cstheme="majorBidi"/>
          <w:sz w:val="18"/>
          <w:szCs w:val="18"/>
        </w:rPr>
        <w:t xml:space="preserve"> ligger de plasmakoncentrationer af </w:t>
      </w:r>
      <w:proofErr w:type="spellStart"/>
      <w:r w:rsidRPr="003E6E00">
        <w:rPr>
          <w:rFonts w:asciiTheme="majorBidi" w:hAnsiTheme="majorBidi" w:cstheme="majorBidi"/>
          <w:sz w:val="18"/>
          <w:szCs w:val="18"/>
        </w:rPr>
        <w:t>buprenorphin</w:t>
      </w:r>
      <w:proofErr w:type="spellEnd"/>
      <w:r w:rsidRPr="003E6E00">
        <w:rPr>
          <w:rFonts w:asciiTheme="majorBidi" w:hAnsiTheme="majorBidi" w:cstheme="majorBidi"/>
          <w:sz w:val="18"/>
          <w:szCs w:val="18"/>
        </w:rPr>
        <w:t xml:space="preserve">, der blev opnået med 100 mg-vedligeholdelsesdosen, inden for det område, der blev opnået med </w:t>
      </w:r>
      <w:proofErr w:type="spellStart"/>
      <w:r w:rsidRPr="003E6E00">
        <w:rPr>
          <w:rFonts w:asciiTheme="majorBidi" w:hAnsiTheme="majorBidi" w:cstheme="majorBidi"/>
          <w:sz w:val="18"/>
          <w:szCs w:val="18"/>
        </w:rPr>
        <w:t>transmukosal</w:t>
      </w:r>
      <w:proofErr w:type="spellEnd"/>
      <w:r w:rsidRPr="003E6E00">
        <w:rPr>
          <w:rFonts w:asciiTheme="majorBidi" w:hAnsiTheme="majorBidi" w:cstheme="majorBidi"/>
          <w:sz w:val="18"/>
          <w:szCs w:val="18"/>
        </w:rPr>
        <w:t xml:space="preserve"> behandling. Topkoncentrationer kan være lavere, mens de gennemsnitlige og laveste koncentrationer kan være højere (se figur 1). Disse niveauer skal tages med i betragtning ved skift af en patient i etableret langtidsbehandling med </w:t>
      </w:r>
      <w:proofErr w:type="spellStart"/>
      <w:r w:rsidRPr="003E6E00">
        <w:rPr>
          <w:rFonts w:asciiTheme="majorBidi" w:hAnsiTheme="majorBidi" w:cstheme="majorBidi"/>
          <w:sz w:val="18"/>
          <w:szCs w:val="18"/>
        </w:rPr>
        <w:t>transmukosal</w:t>
      </w:r>
      <w:proofErr w:type="spellEnd"/>
      <w:r w:rsidRPr="003E6E00">
        <w:rPr>
          <w:rFonts w:asciiTheme="majorBidi" w:hAnsiTheme="majorBidi" w:cstheme="majorBidi"/>
          <w:sz w:val="18"/>
          <w:szCs w:val="18"/>
        </w:rPr>
        <w:t xml:space="preserve"> </w:t>
      </w:r>
      <w:proofErr w:type="spellStart"/>
      <w:r w:rsidRPr="003E6E00">
        <w:rPr>
          <w:rFonts w:asciiTheme="majorBidi" w:hAnsiTheme="majorBidi" w:cstheme="majorBidi"/>
          <w:sz w:val="18"/>
          <w:szCs w:val="18"/>
        </w:rPr>
        <w:t>buprenorphin</w:t>
      </w:r>
      <w:proofErr w:type="spellEnd"/>
      <w:r w:rsidRPr="003E6E00">
        <w:rPr>
          <w:rFonts w:asciiTheme="majorBidi" w:hAnsiTheme="majorBidi" w:cstheme="majorBidi"/>
          <w:sz w:val="18"/>
          <w:szCs w:val="18"/>
        </w:rPr>
        <w:t xml:space="preserve"> til </w:t>
      </w:r>
      <w:proofErr w:type="spellStart"/>
      <w:r w:rsidRPr="003E6E00">
        <w:rPr>
          <w:rFonts w:asciiTheme="majorBidi" w:hAnsiTheme="majorBidi" w:cstheme="majorBidi"/>
          <w:sz w:val="18"/>
          <w:szCs w:val="18"/>
        </w:rPr>
        <w:t>Subutex</w:t>
      </w:r>
      <w:proofErr w:type="spellEnd"/>
      <w:r w:rsidRPr="003E6E00">
        <w:rPr>
          <w:rFonts w:asciiTheme="majorBidi" w:hAnsiTheme="majorBidi" w:cstheme="majorBidi"/>
          <w:sz w:val="18"/>
          <w:szCs w:val="18"/>
        </w:rPr>
        <w:t xml:space="preserve"> depotinjektion.</w:t>
      </w:r>
    </w:p>
    <w:p w:rsidR="00E34477" w:rsidRDefault="00E34477" w:rsidP="00E34477">
      <w:pPr>
        <w:ind w:left="720"/>
        <w:rPr>
          <w:noProof/>
          <w:lang w:val="fr-LU"/>
        </w:rPr>
      </w:pPr>
    </w:p>
    <w:p w:rsidR="00E34477" w:rsidRPr="00902430" w:rsidRDefault="00E34477" w:rsidP="00902430">
      <w:pPr>
        <w:keepNext/>
        <w:ind w:left="851"/>
        <w:rPr>
          <w:sz w:val="24"/>
          <w:szCs w:val="24"/>
          <w:u w:val="single"/>
        </w:rPr>
      </w:pPr>
      <w:r w:rsidRPr="00902430">
        <w:rPr>
          <w:sz w:val="24"/>
          <w:szCs w:val="24"/>
          <w:u w:val="single"/>
        </w:rPr>
        <w:t>Fordeling</w:t>
      </w:r>
    </w:p>
    <w:p w:rsidR="00C214EC" w:rsidRDefault="00C214EC" w:rsidP="00902430">
      <w:pPr>
        <w:ind w:left="851"/>
        <w:rPr>
          <w:sz w:val="24"/>
          <w:szCs w:val="24"/>
        </w:rPr>
      </w:pPr>
    </w:p>
    <w:p w:rsidR="00E34477" w:rsidRPr="00902430" w:rsidRDefault="00E34477" w:rsidP="00902430">
      <w:pPr>
        <w:ind w:left="851"/>
        <w:rPr>
          <w:sz w:val="24"/>
          <w:szCs w:val="24"/>
        </w:rPr>
      </w:pPr>
      <w:proofErr w:type="spellStart"/>
      <w:r w:rsidRPr="00902430">
        <w:rPr>
          <w:sz w:val="24"/>
          <w:szCs w:val="24"/>
        </w:rPr>
        <w:t>Buprenorphin</w:t>
      </w:r>
      <w:proofErr w:type="spellEnd"/>
      <w:r w:rsidRPr="00902430">
        <w:rPr>
          <w:sz w:val="24"/>
          <w:szCs w:val="24"/>
        </w:rPr>
        <w:t xml:space="preserve"> er cirka 96 % proteinbundet, primært til alfa- og beta-</w:t>
      </w:r>
      <w:proofErr w:type="spellStart"/>
      <w:r w:rsidRPr="00902430">
        <w:rPr>
          <w:sz w:val="24"/>
          <w:szCs w:val="24"/>
        </w:rPr>
        <w:t>globuliner</w:t>
      </w:r>
      <w:proofErr w:type="spellEnd"/>
      <w:r w:rsidRPr="00902430">
        <w:rPr>
          <w:sz w:val="24"/>
          <w:szCs w:val="24"/>
        </w:rPr>
        <w:t>.</w:t>
      </w:r>
    </w:p>
    <w:p w:rsidR="00E34477" w:rsidRPr="00902430" w:rsidRDefault="00E34477" w:rsidP="00902430">
      <w:pPr>
        <w:ind w:left="851"/>
        <w:rPr>
          <w:sz w:val="24"/>
          <w:szCs w:val="24"/>
        </w:rPr>
      </w:pPr>
    </w:p>
    <w:p w:rsidR="00E34477" w:rsidRPr="00902430" w:rsidRDefault="00E34477" w:rsidP="00902430">
      <w:pPr>
        <w:keepNext/>
        <w:tabs>
          <w:tab w:val="left" w:pos="360"/>
        </w:tabs>
        <w:ind w:left="851"/>
        <w:rPr>
          <w:sz w:val="24"/>
          <w:szCs w:val="24"/>
          <w:u w:val="single"/>
        </w:rPr>
      </w:pPr>
      <w:r w:rsidRPr="00902430">
        <w:rPr>
          <w:sz w:val="24"/>
          <w:szCs w:val="24"/>
          <w:u w:val="single"/>
        </w:rPr>
        <w:t>Biotransformation</w:t>
      </w:r>
    </w:p>
    <w:p w:rsidR="00C214EC" w:rsidRDefault="00C214EC" w:rsidP="003E6E00">
      <w:pPr>
        <w:tabs>
          <w:tab w:val="left" w:pos="851"/>
        </w:tabs>
        <w:ind w:left="851"/>
        <w:contextualSpacing/>
        <w:rPr>
          <w:rFonts w:asciiTheme="majorBidi" w:hAnsiTheme="majorBidi" w:cstheme="majorBidi"/>
          <w:sz w:val="24"/>
          <w:szCs w:val="24"/>
        </w:rPr>
      </w:pPr>
    </w:p>
    <w:p w:rsidR="003E6E00" w:rsidRPr="003E6E00" w:rsidRDefault="003E6E00" w:rsidP="003E6E00">
      <w:pPr>
        <w:tabs>
          <w:tab w:val="left" w:pos="851"/>
        </w:tabs>
        <w:ind w:left="851"/>
        <w:contextualSpacing/>
        <w:rPr>
          <w:rFonts w:asciiTheme="majorBidi" w:hAnsiTheme="majorBidi" w:cstheme="majorBidi"/>
          <w:sz w:val="24"/>
          <w:szCs w:val="24"/>
        </w:rPr>
      </w:pPr>
      <w:proofErr w:type="spellStart"/>
      <w:r w:rsidRPr="003E6E00">
        <w:rPr>
          <w:rFonts w:asciiTheme="majorBidi" w:hAnsiTheme="majorBidi" w:cstheme="majorBidi"/>
          <w:sz w:val="24"/>
          <w:szCs w:val="24"/>
        </w:rPr>
        <w:lastRenderedPageBreak/>
        <w:t>Buprenorphin</w:t>
      </w:r>
      <w:proofErr w:type="spellEnd"/>
      <w:r w:rsidRPr="003E6E00">
        <w:rPr>
          <w:rFonts w:asciiTheme="majorBidi" w:hAnsiTheme="majorBidi" w:cstheme="majorBidi"/>
          <w:sz w:val="24"/>
          <w:szCs w:val="24"/>
        </w:rPr>
        <w:t xml:space="preserve"> </w:t>
      </w:r>
      <w:proofErr w:type="spellStart"/>
      <w:r w:rsidRPr="003E6E00">
        <w:rPr>
          <w:rFonts w:asciiTheme="majorBidi" w:hAnsiTheme="majorBidi" w:cstheme="majorBidi"/>
          <w:sz w:val="24"/>
          <w:szCs w:val="24"/>
        </w:rPr>
        <w:t>metaboliseres</w:t>
      </w:r>
      <w:proofErr w:type="spellEnd"/>
      <w:r w:rsidRPr="003E6E00">
        <w:rPr>
          <w:rFonts w:asciiTheme="majorBidi" w:hAnsiTheme="majorBidi" w:cstheme="majorBidi"/>
          <w:sz w:val="24"/>
          <w:szCs w:val="24"/>
        </w:rPr>
        <w:t xml:space="preserve"> til dets primære metabolit, </w:t>
      </w:r>
      <w:proofErr w:type="spellStart"/>
      <w:r w:rsidRPr="003E6E00">
        <w:rPr>
          <w:rFonts w:asciiTheme="majorBidi" w:hAnsiTheme="majorBidi" w:cstheme="majorBidi"/>
          <w:sz w:val="24"/>
          <w:szCs w:val="24"/>
        </w:rPr>
        <w:t>norbuprenorphin</w:t>
      </w:r>
      <w:proofErr w:type="spellEnd"/>
      <w:r w:rsidRPr="003E6E00">
        <w:rPr>
          <w:rFonts w:asciiTheme="majorBidi" w:hAnsiTheme="majorBidi" w:cstheme="majorBidi"/>
          <w:sz w:val="24"/>
          <w:szCs w:val="24"/>
        </w:rPr>
        <w:t xml:space="preserve">, hovedsageligt af CYP3A4 og i mindre grad af CYP2C8. </w:t>
      </w:r>
      <w:proofErr w:type="spellStart"/>
      <w:r w:rsidRPr="003E6E00">
        <w:rPr>
          <w:rFonts w:asciiTheme="majorBidi" w:hAnsiTheme="majorBidi" w:cstheme="majorBidi"/>
          <w:sz w:val="24"/>
          <w:szCs w:val="24"/>
        </w:rPr>
        <w:t>Norbuprenorphin</w:t>
      </w:r>
      <w:proofErr w:type="spellEnd"/>
      <w:r w:rsidRPr="003E6E00">
        <w:rPr>
          <w:rFonts w:asciiTheme="majorBidi" w:hAnsiTheme="majorBidi" w:cstheme="majorBidi"/>
          <w:sz w:val="24"/>
          <w:szCs w:val="24"/>
        </w:rPr>
        <w:t xml:space="preserve"> kan yderligere gennemgå </w:t>
      </w:r>
      <w:proofErr w:type="spellStart"/>
      <w:r w:rsidRPr="003E6E00">
        <w:rPr>
          <w:rFonts w:asciiTheme="majorBidi" w:hAnsiTheme="majorBidi" w:cstheme="majorBidi"/>
          <w:sz w:val="24"/>
          <w:szCs w:val="24"/>
        </w:rPr>
        <w:t>glukuronidering</w:t>
      </w:r>
      <w:proofErr w:type="spellEnd"/>
      <w:r w:rsidRPr="003E6E00">
        <w:rPr>
          <w:rFonts w:asciiTheme="majorBidi" w:hAnsiTheme="majorBidi" w:cstheme="majorBidi"/>
          <w:sz w:val="24"/>
          <w:szCs w:val="24"/>
        </w:rPr>
        <w:t xml:space="preserve">. Det er påvist, at </w:t>
      </w:r>
      <w:proofErr w:type="spellStart"/>
      <w:r w:rsidRPr="003E6E00">
        <w:rPr>
          <w:rFonts w:asciiTheme="majorBidi" w:hAnsiTheme="majorBidi" w:cstheme="majorBidi"/>
          <w:sz w:val="24"/>
          <w:szCs w:val="24"/>
        </w:rPr>
        <w:t>norbuprenorphin</w:t>
      </w:r>
      <w:proofErr w:type="spellEnd"/>
      <w:r w:rsidRPr="003E6E00">
        <w:rPr>
          <w:rFonts w:asciiTheme="majorBidi" w:hAnsiTheme="majorBidi" w:cstheme="majorBidi"/>
          <w:sz w:val="24"/>
          <w:szCs w:val="24"/>
        </w:rPr>
        <w:t xml:space="preserve"> bindes til opioidreceptorer </w:t>
      </w:r>
      <w:r w:rsidRPr="003E6E00">
        <w:rPr>
          <w:rFonts w:asciiTheme="majorBidi" w:hAnsiTheme="majorBidi" w:cstheme="majorBidi"/>
          <w:i/>
          <w:sz w:val="24"/>
          <w:szCs w:val="24"/>
        </w:rPr>
        <w:t>in</w:t>
      </w:r>
      <w:r w:rsidRPr="003E6E00">
        <w:rPr>
          <w:rFonts w:asciiTheme="majorBidi" w:hAnsiTheme="majorBidi" w:cstheme="majorBidi"/>
          <w:i/>
          <w:iCs/>
          <w:sz w:val="24"/>
          <w:szCs w:val="24"/>
        </w:rPr>
        <w:t xml:space="preserve"> </w:t>
      </w:r>
      <w:proofErr w:type="spellStart"/>
      <w:r w:rsidRPr="003E6E00">
        <w:rPr>
          <w:rFonts w:asciiTheme="majorBidi" w:hAnsiTheme="majorBidi" w:cstheme="majorBidi"/>
          <w:i/>
          <w:sz w:val="24"/>
          <w:szCs w:val="24"/>
        </w:rPr>
        <w:t>vitro</w:t>
      </w:r>
      <w:proofErr w:type="spellEnd"/>
      <w:r w:rsidRPr="003E6E00">
        <w:rPr>
          <w:rFonts w:asciiTheme="majorBidi" w:hAnsiTheme="majorBidi" w:cstheme="majorBidi"/>
          <w:sz w:val="24"/>
          <w:szCs w:val="24"/>
        </w:rPr>
        <w:t xml:space="preserve">. Det er imidlertid ikke blevet undersøgt klinisk for opioidlignende aktivitet. </w:t>
      </w:r>
    </w:p>
    <w:p w:rsidR="003E6E00" w:rsidRPr="003E6E00" w:rsidRDefault="003E6E00" w:rsidP="003E6E00">
      <w:pPr>
        <w:tabs>
          <w:tab w:val="left" w:pos="360"/>
        </w:tabs>
        <w:contextualSpacing/>
        <w:rPr>
          <w:rFonts w:asciiTheme="majorBidi" w:hAnsiTheme="majorBidi" w:cstheme="majorBidi"/>
          <w:sz w:val="24"/>
          <w:szCs w:val="24"/>
        </w:rPr>
      </w:pPr>
    </w:p>
    <w:p w:rsidR="003E6E00" w:rsidRPr="003E6E00" w:rsidRDefault="003E6E00" w:rsidP="003E6E00">
      <w:pPr>
        <w:tabs>
          <w:tab w:val="left" w:pos="851"/>
        </w:tabs>
        <w:ind w:left="851"/>
        <w:contextualSpacing/>
        <w:rPr>
          <w:rFonts w:asciiTheme="majorBidi" w:hAnsiTheme="majorBidi" w:cstheme="majorBidi"/>
          <w:sz w:val="24"/>
          <w:szCs w:val="24"/>
        </w:rPr>
      </w:pPr>
      <w:bookmarkStart w:id="8" w:name="_Hlk40716189"/>
      <w:r w:rsidRPr="003E6E00">
        <w:rPr>
          <w:rFonts w:asciiTheme="majorBidi" w:hAnsiTheme="majorBidi" w:cstheme="majorBidi"/>
          <w:sz w:val="24"/>
          <w:szCs w:val="24"/>
        </w:rPr>
        <w:t xml:space="preserve">Subkutan administration af </w:t>
      </w:r>
      <w:proofErr w:type="spellStart"/>
      <w:r w:rsidRPr="003E6E00">
        <w:rPr>
          <w:rFonts w:asciiTheme="majorBidi" w:hAnsiTheme="majorBidi" w:cstheme="majorBidi"/>
          <w:sz w:val="24"/>
          <w:szCs w:val="24"/>
        </w:rPr>
        <w:t>buprenorphin</w:t>
      </w:r>
      <w:proofErr w:type="spellEnd"/>
      <w:r w:rsidRPr="003E6E00">
        <w:rPr>
          <w:rFonts w:asciiTheme="majorBidi" w:hAnsiTheme="majorBidi" w:cstheme="majorBidi"/>
          <w:sz w:val="24"/>
          <w:szCs w:val="24"/>
        </w:rPr>
        <w:t xml:space="preserve"> fører til signifikant lavere plasmakoncentrationer af </w:t>
      </w:r>
      <w:proofErr w:type="spellStart"/>
      <w:r w:rsidRPr="003E6E00">
        <w:rPr>
          <w:rFonts w:asciiTheme="majorBidi" w:hAnsiTheme="majorBidi" w:cstheme="majorBidi"/>
          <w:sz w:val="24"/>
          <w:szCs w:val="24"/>
        </w:rPr>
        <w:t>norbuprenorphin</w:t>
      </w:r>
      <w:proofErr w:type="spellEnd"/>
      <w:r w:rsidRPr="003E6E00">
        <w:rPr>
          <w:rFonts w:asciiTheme="majorBidi" w:hAnsiTheme="majorBidi" w:cstheme="majorBidi"/>
          <w:sz w:val="24"/>
          <w:szCs w:val="24"/>
        </w:rPr>
        <w:t xml:space="preserve">-metabolitten sammenlignet med administration af </w:t>
      </w:r>
      <w:proofErr w:type="spellStart"/>
      <w:r w:rsidRPr="003E6E00">
        <w:rPr>
          <w:rFonts w:asciiTheme="majorBidi" w:hAnsiTheme="majorBidi" w:cstheme="majorBidi"/>
          <w:sz w:val="24"/>
          <w:szCs w:val="24"/>
        </w:rPr>
        <w:t>sublingual</w:t>
      </w:r>
      <w:proofErr w:type="spellEnd"/>
      <w:r w:rsidRPr="003E6E00">
        <w:rPr>
          <w:rFonts w:asciiTheme="majorBidi" w:hAnsiTheme="majorBidi" w:cstheme="majorBidi"/>
          <w:sz w:val="24"/>
          <w:szCs w:val="24"/>
        </w:rPr>
        <w:t xml:space="preserve"> </w:t>
      </w:r>
      <w:proofErr w:type="spellStart"/>
      <w:r w:rsidRPr="003E6E00">
        <w:rPr>
          <w:rFonts w:asciiTheme="majorBidi" w:hAnsiTheme="majorBidi" w:cstheme="majorBidi"/>
          <w:sz w:val="24"/>
          <w:szCs w:val="24"/>
        </w:rPr>
        <w:t>buprenorphin</w:t>
      </w:r>
      <w:proofErr w:type="spellEnd"/>
      <w:r w:rsidRPr="003E6E00">
        <w:rPr>
          <w:rFonts w:asciiTheme="majorBidi" w:hAnsiTheme="majorBidi" w:cstheme="majorBidi"/>
          <w:sz w:val="24"/>
          <w:szCs w:val="24"/>
        </w:rPr>
        <w:t xml:space="preserve">, som følge af at </w:t>
      </w:r>
      <w:proofErr w:type="spellStart"/>
      <w:r w:rsidRPr="003E6E00">
        <w:rPr>
          <w:rFonts w:asciiTheme="majorBidi" w:hAnsiTheme="majorBidi" w:cstheme="majorBidi"/>
          <w:i/>
          <w:sz w:val="24"/>
          <w:szCs w:val="24"/>
        </w:rPr>
        <w:t>first</w:t>
      </w:r>
      <w:proofErr w:type="spellEnd"/>
      <w:r w:rsidRPr="003E6E00">
        <w:rPr>
          <w:rFonts w:asciiTheme="majorBidi" w:hAnsiTheme="majorBidi" w:cstheme="majorBidi"/>
          <w:i/>
          <w:iCs/>
          <w:sz w:val="24"/>
          <w:szCs w:val="24"/>
        </w:rPr>
        <w:t>-</w:t>
      </w:r>
      <w:proofErr w:type="spellStart"/>
      <w:r w:rsidRPr="003E6E00">
        <w:rPr>
          <w:rFonts w:asciiTheme="majorBidi" w:hAnsiTheme="majorBidi" w:cstheme="majorBidi"/>
          <w:i/>
          <w:sz w:val="24"/>
          <w:szCs w:val="24"/>
        </w:rPr>
        <w:t>pass</w:t>
      </w:r>
      <w:proofErr w:type="spellEnd"/>
      <w:r w:rsidRPr="003E6E00">
        <w:rPr>
          <w:rFonts w:asciiTheme="majorBidi" w:hAnsiTheme="majorBidi" w:cstheme="majorBidi"/>
          <w:sz w:val="24"/>
          <w:szCs w:val="24"/>
        </w:rPr>
        <w:t xml:space="preserve">-metabolismen undgås. Dette underbygges af et lavere </w:t>
      </w:r>
      <w:proofErr w:type="spellStart"/>
      <w:r w:rsidRPr="003E6E00">
        <w:rPr>
          <w:rFonts w:asciiTheme="majorBidi" w:hAnsiTheme="majorBidi" w:cstheme="majorBidi"/>
          <w:sz w:val="24"/>
          <w:szCs w:val="24"/>
        </w:rPr>
        <w:t>norbuprenorphin</w:t>
      </w:r>
      <w:proofErr w:type="spellEnd"/>
      <w:r w:rsidRPr="003E6E00">
        <w:rPr>
          <w:rFonts w:asciiTheme="majorBidi" w:hAnsiTheme="majorBidi" w:cstheme="majorBidi"/>
          <w:sz w:val="24"/>
          <w:szCs w:val="24"/>
        </w:rPr>
        <w:t>-til-</w:t>
      </w:r>
      <w:proofErr w:type="spellStart"/>
      <w:r w:rsidRPr="003E6E00">
        <w:rPr>
          <w:rFonts w:asciiTheme="majorBidi" w:hAnsiTheme="majorBidi" w:cstheme="majorBidi"/>
          <w:sz w:val="24"/>
          <w:szCs w:val="24"/>
        </w:rPr>
        <w:t>buprenorphin</w:t>
      </w:r>
      <w:proofErr w:type="spellEnd"/>
      <w:r w:rsidRPr="003E6E00">
        <w:rPr>
          <w:rFonts w:asciiTheme="majorBidi" w:hAnsiTheme="majorBidi" w:cstheme="majorBidi"/>
          <w:sz w:val="24"/>
          <w:szCs w:val="24"/>
        </w:rPr>
        <w:t xml:space="preserve"> AUC-ratio (0,20 til 0,40) efter subkutan administration sammenlignet med </w:t>
      </w:r>
      <w:proofErr w:type="spellStart"/>
      <w:r w:rsidRPr="003E6E00">
        <w:rPr>
          <w:rFonts w:asciiTheme="majorBidi" w:hAnsiTheme="majorBidi" w:cstheme="majorBidi"/>
          <w:sz w:val="24"/>
          <w:szCs w:val="24"/>
        </w:rPr>
        <w:t>sublingual</w:t>
      </w:r>
      <w:proofErr w:type="spellEnd"/>
      <w:r w:rsidRPr="003E6E00">
        <w:rPr>
          <w:rFonts w:asciiTheme="majorBidi" w:hAnsiTheme="majorBidi" w:cstheme="majorBidi"/>
          <w:sz w:val="24"/>
          <w:szCs w:val="24"/>
        </w:rPr>
        <w:t xml:space="preserve"> administration (0,70 til 2,11).</w:t>
      </w:r>
      <w:bookmarkEnd w:id="8"/>
    </w:p>
    <w:p w:rsidR="00E34477" w:rsidRPr="00902430" w:rsidRDefault="00E34477" w:rsidP="00902430">
      <w:pPr>
        <w:tabs>
          <w:tab w:val="left" w:pos="360"/>
        </w:tabs>
        <w:ind w:left="851"/>
        <w:rPr>
          <w:bCs/>
          <w:sz w:val="24"/>
          <w:szCs w:val="24"/>
        </w:rPr>
      </w:pPr>
    </w:p>
    <w:p w:rsidR="00E34477" w:rsidRPr="00902430" w:rsidRDefault="00E34477" w:rsidP="00902430">
      <w:pPr>
        <w:tabs>
          <w:tab w:val="left" w:pos="360"/>
        </w:tabs>
        <w:ind w:left="851"/>
        <w:rPr>
          <w:sz w:val="24"/>
          <w:szCs w:val="24"/>
          <w:u w:val="single"/>
        </w:rPr>
      </w:pPr>
      <w:r w:rsidRPr="00902430">
        <w:rPr>
          <w:sz w:val="24"/>
          <w:szCs w:val="24"/>
          <w:u w:val="single"/>
        </w:rPr>
        <w:t>Elimination</w:t>
      </w:r>
    </w:p>
    <w:p w:rsidR="00C214EC" w:rsidRDefault="00C214EC" w:rsidP="003E6E00">
      <w:pPr>
        <w:ind w:left="851"/>
        <w:contextualSpacing/>
        <w:rPr>
          <w:rFonts w:asciiTheme="majorBidi" w:hAnsiTheme="majorBidi" w:cstheme="majorBidi"/>
          <w:sz w:val="24"/>
          <w:szCs w:val="24"/>
        </w:rPr>
      </w:pPr>
    </w:p>
    <w:p w:rsidR="003E6E00" w:rsidRPr="00E8426E" w:rsidRDefault="003E6E00" w:rsidP="003E6E00">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Den tilsyneladende terminale plasmahalveringstid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efter subkutan administration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var i intervallet fra 43 til 60 dage som følge af den langsomme frigivelse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fra det subkutane depot.</w:t>
      </w:r>
    </w:p>
    <w:p w:rsidR="003E6E00" w:rsidRPr="00E8426E" w:rsidRDefault="003E6E00" w:rsidP="003E6E00">
      <w:pPr>
        <w:tabs>
          <w:tab w:val="left" w:pos="851"/>
        </w:tabs>
        <w:contextualSpacing/>
        <w:rPr>
          <w:rFonts w:asciiTheme="majorBidi" w:hAnsiTheme="majorBidi" w:cstheme="majorBidi"/>
          <w:sz w:val="24"/>
          <w:szCs w:val="24"/>
          <w:u w:val="single"/>
        </w:rPr>
      </w:pPr>
    </w:p>
    <w:p w:rsidR="003E6E00" w:rsidRPr="00E8426E" w:rsidRDefault="003E6E00" w:rsidP="003E6E00">
      <w:pPr>
        <w:tabs>
          <w:tab w:val="left" w:pos="851"/>
        </w:tabs>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Et massebalancestudie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givet som en intravenøs infusion hos mennesker viste fuldstændig genindvinding af radioaktivt mærke i urin (30 %) og fæces (69 %) indsamlet op til 11 dage efter dosering. Der blev gjort rede for næsten hele dosen i form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w:t>
      </w:r>
      <w:proofErr w:type="spellStart"/>
      <w:r w:rsidRPr="00E8426E">
        <w:rPr>
          <w:rFonts w:asciiTheme="majorBidi" w:hAnsiTheme="majorBidi" w:cstheme="majorBidi"/>
          <w:sz w:val="24"/>
          <w:szCs w:val="24"/>
        </w:rPr>
        <w:t>norbuprenorphin</w:t>
      </w:r>
      <w:proofErr w:type="spellEnd"/>
      <w:r w:rsidRPr="00E8426E">
        <w:rPr>
          <w:rFonts w:asciiTheme="majorBidi" w:hAnsiTheme="majorBidi" w:cstheme="majorBidi"/>
          <w:sz w:val="24"/>
          <w:szCs w:val="24"/>
        </w:rPr>
        <w:t xml:space="preserve"> og to uidentificerede </w:t>
      </w:r>
      <w:proofErr w:type="spellStart"/>
      <w:r w:rsidRPr="00E8426E">
        <w:rPr>
          <w:rFonts w:asciiTheme="majorBidi" w:hAnsiTheme="majorBidi" w:cstheme="majorBidi"/>
          <w:sz w:val="24"/>
          <w:szCs w:val="24"/>
        </w:rPr>
        <w:t>buprenorphinmetabolitter</w:t>
      </w:r>
      <w:proofErr w:type="spellEnd"/>
      <w:r w:rsidRPr="00E8426E">
        <w:rPr>
          <w:rFonts w:asciiTheme="majorBidi" w:hAnsiTheme="majorBidi" w:cstheme="majorBidi"/>
          <w:sz w:val="24"/>
          <w:szCs w:val="24"/>
        </w:rPr>
        <w:t xml:space="preserve">. I urinen var størstedelen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og </w:t>
      </w:r>
      <w:proofErr w:type="spellStart"/>
      <w:r w:rsidRPr="00E8426E">
        <w:rPr>
          <w:rFonts w:asciiTheme="majorBidi" w:hAnsiTheme="majorBidi" w:cstheme="majorBidi"/>
          <w:sz w:val="24"/>
          <w:szCs w:val="24"/>
        </w:rPr>
        <w:t>norbuprenorphin</w:t>
      </w:r>
      <w:proofErr w:type="spellEnd"/>
      <w:r w:rsidRPr="00E8426E">
        <w:rPr>
          <w:rFonts w:asciiTheme="majorBidi" w:hAnsiTheme="majorBidi" w:cstheme="majorBidi"/>
          <w:sz w:val="24"/>
          <w:szCs w:val="24"/>
        </w:rPr>
        <w:t xml:space="preserve"> konjugeret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1 % frit og 8,4 % konjugeret, </w:t>
      </w:r>
      <w:proofErr w:type="spellStart"/>
      <w:r w:rsidRPr="00E8426E">
        <w:rPr>
          <w:rFonts w:asciiTheme="majorBidi" w:hAnsiTheme="majorBidi" w:cstheme="majorBidi"/>
          <w:sz w:val="24"/>
          <w:szCs w:val="24"/>
        </w:rPr>
        <w:t>norbuprenorphin</w:t>
      </w:r>
      <w:proofErr w:type="spellEnd"/>
      <w:r w:rsidRPr="00E8426E">
        <w:rPr>
          <w:rFonts w:asciiTheme="majorBidi" w:hAnsiTheme="majorBidi" w:cstheme="majorBidi"/>
          <w:sz w:val="24"/>
          <w:szCs w:val="24"/>
        </w:rPr>
        <w:t xml:space="preserve">: 2,7 % frit og 8,8 % konjugeret). I fæces var næsten alt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og </w:t>
      </w:r>
      <w:proofErr w:type="spellStart"/>
      <w:r w:rsidRPr="00E8426E">
        <w:rPr>
          <w:rFonts w:asciiTheme="majorBidi" w:hAnsiTheme="majorBidi" w:cstheme="majorBidi"/>
          <w:sz w:val="24"/>
          <w:szCs w:val="24"/>
        </w:rPr>
        <w:t>norbuprenorphin</w:t>
      </w:r>
      <w:proofErr w:type="spellEnd"/>
      <w:r w:rsidRPr="00E8426E">
        <w:rPr>
          <w:rFonts w:asciiTheme="majorBidi" w:hAnsiTheme="majorBidi" w:cstheme="majorBidi"/>
          <w:sz w:val="24"/>
          <w:szCs w:val="24"/>
        </w:rPr>
        <w:t xml:space="preserve"> frit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33 % frit og 4,8 % konjugeret, </w:t>
      </w:r>
      <w:proofErr w:type="spellStart"/>
      <w:r w:rsidRPr="00E8426E">
        <w:rPr>
          <w:rFonts w:asciiTheme="majorBidi" w:hAnsiTheme="majorBidi" w:cstheme="majorBidi"/>
          <w:sz w:val="24"/>
          <w:szCs w:val="24"/>
        </w:rPr>
        <w:t>norbuprenorphin</w:t>
      </w:r>
      <w:proofErr w:type="spellEnd"/>
      <w:r w:rsidRPr="00E8426E">
        <w:rPr>
          <w:rFonts w:asciiTheme="majorBidi" w:hAnsiTheme="majorBidi" w:cstheme="majorBidi"/>
          <w:sz w:val="24"/>
          <w:szCs w:val="24"/>
        </w:rPr>
        <w:t>: 21 % frit og 2,1 % konjugeret).</w:t>
      </w:r>
    </w:p>
    <w:p w:rsidR="00E34477" w:rsidRDefault="00E34477" w:rsidP="00902430">
      <w:pPr>
        <w:ind w:left="851"/>
        <w:rPr>
          <w:sz w:val="24"/>
          <w:szCs w:val="24"/>
        </w:rPr>
      </w:pPr>
    </w:p>
    <w:p w:rsidR="00BA59FE" w:rsidRPr="00BA59FE" w:rsidRDefault="00BA59FE" w:rsidP="00BA59FE">
      <w:pPr>
        <w:ind w:left="851"/>
        <w:rPr>
          <w:bCs/>
          <w:sz w:val="24"/>
          <w:szCs w:val="24"/>
        </w:rPr>
      </w:pPr>
      <w:r w:rsidRPr="00BA59FE">
        <w:rPr>
          <w:bCs/>
          <w:sz w:val="24"/>
          <w:szCs w:val="24"/>
        </w:rPr>
        <w:t xml:space="preserve">Et studie, der vurderede eksponeringen for </w:t>
      </w:r>
      <w:proofErr w:type="spellStart"/>
      <w:r w:rsidRPr="00BA59FE">
        <w:rPr>
          <w:bCs/>
          <w:sz w:val="24"/>
          <w:szCs w:val="24"/>
        </w:rPr>
        <w:t>buprenorphin</w:t>
      </w:r>
      <w:proofErr w:type="spellEnd"/>
      <w:r w:rsidRPr="00BA59FE">
        <w:rPr>
          <w:bCs/>
          <w:sz w:val="24"/>
          <w:szCs w:val="24"/>
        </w:rPr>
        <w:t xml:space="preserve"> 22</w:t>
      </w:r>
      <w:r w:rsidRPr="00BA59FE">
        <w:rPr>
          <w:sz w:val="24"/>
          <w:szCs w:val="24"/>
        </w:rPr>
        <w:t> </w:t>
      </w:r>
      <w:r w:rsidRPr="00BA59FE">
        <w:rPr>
          <w:bCs/>
          <w:sz w:val="24"/>
          <w:szCs w:val="24"/>
        </w:rPr>
        <w:t>til 38</w:t>
      </w:r>
      <w:r w:rsidRPr="00BA59FE">
        <w:rPr>
          <w:sz w:val="24"/>
          <w:szCs w:val="24"/>
        </w:rPr>
        <w:t> </w:t>
      </w:r>
      <w:r w:rsidRPr="00BA59FE">
        <w:rPr>
          <w:bCs/>
          <w:sz w:val="24"/>
          <w:szCs w:val="24"/>
        </w:rPr>
        <w:t xml:space="preserve">måneder efter den sidste depotinjektion med </w:t>
      </w:r>
      <w:proofErr w:type="spellStart"/>
      <w:r w:rsidRPr="00BA59FE">
        <w:rPr>
          <w:bCs/>
          <w:sz w:val="24"/>
          <w:szCs w:val="24"/>
        </w:rPr>
        <w:t>Subutex</w:t>
      </w:r>
      <w:proofErr w:type="spellEnd"/>
      <w:r w:rsidRPr="00BA59FE">
        <w:rPr>
          <w:bCs/>
          <w:sz w:val="24"/>
          <w:szCs w:val="24"/>
        </w:rPr>
        <w:t xml:space="preserve"> indikerede, at </w:t>
      </w:r>
      <w:proofErr w:type="spellStart"/>
      <w:r w:rsidRPr="00BA59FE">
        <w:rPr>
          <w:bCs/>
          <w:sz w:val="24"/>
          <w:szCs w:val="24"/>
        </w:rPr>
        <w:t>buprenorphin</w:t>
      </w:r>
      <w:proofErr w:type="spellEnd"/>
      <w:r w:rsidRPr="00BA59FE">
        <w:rPr>
          <w:bCs/>
          <w:sz w:val="24"/>
          <w:szCs w:val="24"/>
        </w:rPr>
        <w:t xml:space="preserve"> potentielt kunne detekteres i plasma og urin over den tidsperiode. </w:t>
      </w:r>
      <w:proofErr w:type="spellStart"/>
      <w:r w:rsidRPr="00BA59FE">
        <w:rPr>
          <w:bCs/>
          <w:sz w:val="24"/>
          <w:szCs w:val="24"/>
        </w:rPr>
        <w:t>Buprenorphinkoncentrationerne</w:t>
      </w:r>
      <w:proofErr w:type="spellEnd"/>
      <w:r w:rsidRPr="00BA59FE">
        <w:rPr>
          <w:bCs/>
          <w:sz w:val="24"/>
          <w:szCs w:val="24"/>
        </w:rPr>
        <w:t xml:space="preserve"> i plasma var ved detektion under niveauer, der vides at kontrollere sygdomssymptomer. Koncentrationer i urin var mere variable end i plasma og generelt højere afhængigt af den anvendte test. Derfor forventes det, at patienterne vil have positive resultater i længere tid i urin end i plasma.</w:t>
      </w:r>
    </w:p>
    <w:p w:rsidR="00BA59FE" w:rsidRPr="00902430" w:rsidRDefault="00BA59FE" w:rsidP="00902430">
      <w:pPr>
        <w:ind w:left="851"/>
        <w:rPr>
          <w:sz w:val="24"/>
          <w:szCs w:val="24"/>
        </w:rPr>
      </w:pPr>
    </w:p>
    <w:p w:rsidR="00E34477" w:rsidRPr="00902430" w:rsidRDefault="00E34477" w:rsidP="00902430">
      <w:pPr>
        <w:keepNext/>
        <w:tabs>
          <w:tab w:val="left" w:pos="360"/>
        </w:tabs>
        <w:ind w:left="851"/>
        <w:rPr>
          <w:sz w:val="24"/>
          <w:szCs w:val="24"/>
          <w:u w:val="single"/>
        </w:rPr>
      </w:pPr>
      <w:bookmarkStart w:id="9" w:name="_Hlk514669456"/>
      <w:r w:rsidRPr="00902430">
        <w:rPr>
          <w:sz w:val="24"/>
          <w:szCs w:val="24"/>
          <w:u w:val="single"/>
        </w:rPr>
        <w:t>Specielle populationer</w:t>
      </w:r>
    </w:p>
    <w:bookmarkEnd w:id="9"/>
    <w:p w:rsidR="00C214EC" w:rsidRDefault="00C214EC" w:rsidP="003E6E00">
      <w:pPr>
        <w:tabs>
          <w:tab w:val="left" w:pos="851"/>
        </w:tabs>
        <w:ind w:left="851"/>
        <w:contextualSpacing/>
        <w:rPr>
          <w:rFonts w:asciiTheme="majorBidi" w:hAnsiTheme="majorBidi" w:cstheme="majorBidi"/>
          <w:sz w:val="24"/>
          <w:szCs w:val="24"/>
        </w:rPr>
      </w:pPr>
    </w:p>
    <w:p w:rsidR="003E6E00" w:rsidRPr="00E8426E" w:rsidRDefault="003E6E00" w:rsidP="003E6E00">
      <w:pPr>
        <w:tabs>
          <w:tab w:val="left" w:pos="851"/>
        </w:tabs>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Baseret på </w:t>
      </w:r>
      <w:proofErr w:type="spellStart"/>
      <w:r w:rsidRPr="00E8426E">
        <w:rPr>
          <w:rFonts w:asciiTheme="majorBidi" w:hAnsiTheme="majorBidi" w:cstheme="majorBidi"/>
          <w:sz w:val="24"/>
          <w:szCs w:val="24"/>
        </w:rPr>
        <w:t>populationsfarmakokinetiske</w:t>
      </w:r>
      <w:proofErr w:type="spellEnd"/>
      <w:r w:rsidRPr="00E8426E">
        <w:rPr>
          <w:rFonts w:asciiTheme="majorBidi" w:hAnsiTheme="majorBidi" w:cstheme="majorBidi"/>
          <w:sz w:val="24"/>
          <w:szCs w:val="24"/>
        </w:rPr>
        <w:t xml:space="preserve"> analyser har alder, køn og race ingen klinisk betydelig virkning på farmakokinetikken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w:t>
      </w:r>
    </w:p>
    <w:p w:rsidR="003E6E00" w:rsidRPr="00E8426E" w:rsidRDefault="003E6E00" w:rsidP="003E6E00">
      <w:pPr>
        <w:tabs>
          <w:tab w:val="left" w:pos="360"/>
        </w:tabs>
        <w:contextualSpacing/>
        <w:rPr>
          <w:rFonts w:asciiTheme="majorBidi" w:hAnsiTheme="majorBidi" w:cstheme="majorBidi"/>
          <w:sz w:val="24"/>
          <w:szCs w:val="24"/>
        </w:rPr>
      </w:pPr>
    </w:p>
    <w:p w:rsidR="003E6E00" w:rsidRPr="00E8426E" w:rsidRDefault="003E6E00" w:rsidP="003E6E00">
      <w:pPr>
        <w:tabs>
          <w:tab w:val="left" w:pos="851"/>
        </w:tabs>
        <w:contextualSpacing/>
        <w:rPr>
          <w:rFonts w:asciiTheme="majorBidi" w:hAnsiTheme="majorBidi" w:cstheme="majorBidi"/>
          <w:sz w:val="24"/>
          <w:szCs w:val="24"/>
        </w:rPr>
      </w:pPr>
      <w:r>
        <w:rPr>
          <w:rFonts w:asciiTheme="majorBidi" w:hAnsiTheme="majorBidi" w:cstheme="majorBidi"/>
          <w:i/>
          <w:sz w:val="24"/>
          <w:szCs w:val="24"/>
        </w:rPr>
        <w:tab/>
      </w:r>
      <w:r w:rsidRPr="00E8426E">
        <w:rPr>
          <w:rFonts w:asciiTheme="majorBidi" w:hAnsiTheme="majorBidi" w:cstheme="majorBidi"/>
          <w:i/>
          <w:sz w:val="24"/>
          <w:szCs w:val="24"/>
        </w:rPr>
        <w:t>Nedsat leverfunktion</w:t>
      </w:r>
    </w:p>
    <w:p w:rsidR="003E6E00" w:rsidRPr="00E8426E" w:rsidRDefault="003E6E00" w:rsidP="003E6E00">
      <w:pPr>
        <w:tabs>
          <w:tab w:val="left" w:pos="851"/>
        </w:tabs>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Virkningen af nedsat leverfunktion på farmakokinetikken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er ikke blevet undersøgt.</w:t>
      </w:r>
    </w:p>
    <w:p w:rsidR="003E6E00" w:rsidRPr="00E8426E" w:rsidRDefault="003E6E00" w:rsidP="003E6E00">
      <w:pPr>
        <w:tabs>
          <w:tab w:val="left" w:pos="360"/>
        </w:tabs>
        <w:contextualSpacing/>
        <w:rPr>
          <w:rFonts w:asciiTheme="majorBidi" w:hAnsiTheme="majorBidi" w:cstheme="majorBidi"/>
          <w:sz w:val="24"/>
          <w:szCs w:val="24"/>
        </w:rPr>
      </w:pPr>
    </w:p>
    <w:p w:rsidR="003E6E00" w:rsidRPr="00E8426E" w:rsidRDefault="003E6E00" w:rsidP="003E6E00">
      <w:pPr>
        <w:tabs>
          <w:tab w:val="left" w:pos="851"/>
        </w:tabs>
        <w:ind w:left="851"/>
        <w:contextualSpacing/>
        <w:rPr>
          <w:rFonts w:asciiTheme="majorBidi" w:hAnsiTheme="majorBidi" w:cstheme="majorBidi"/>
          <w:sz w:val="24"/>
          <w:szCs w:val="24"/>
        </w:rPr>
      </w:pP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gennemgår ikke </w:t>
      </w:r>
      <w:proofErr w:type="spellStart"/>
      <w:r w:rsidRPr="00E8426E">
        <w:rPr>
          <w:rFonts w:asciiTheme="majorBidi" w:hAnsiTheme="majorBidi" w:cstheme="majorBidi"/>
          <w:i/>
          <w:sz w:val="24"/>
          <w:szCs w:val="24"/>
        </w:rPr>
        <w:t>first</w:t>
      </w:r>
      <w:proofErr w:type="spellEnd"/>
      <w:r w:rsidRPr="00E8426E">
        <w:rPr>
          <w:rFonts w:asciiTheme="majorBidi" w:hAnsiTheme="majorBidi" w:cstheme="majorBidi"/>
          <w:i/>
          <w:iCs/>
          <w:sz w:val="24"/>
          <w:szCs w:val="24"/>
        </w:rPr>
        <w:t>-</w:t>
      </w:r>
      <w:proofErr w:type="spellStart"/>
      <w:r w:rsidRPr="00E8426E">
        <w:rPr>
          <w:rFonts w:asciiTheme="majorBidi" w:hAnsiTheme="majorBidi" w:cstheme="majorBidi"/>
          <w:i/>
          <w:sz w:val="24"/>
          <w:szCs w:val="24"/>
        </w:rPr>
        <w:t>pass</w:t>
      </w:r>
      <w:proofErr w:type="spellEnd"/>
      <w:r w:rsidRPr="00E8426E">
        <w:rPr>
          <w:rFonts w:asciiTheme="majorBidi" w:hAnsiTheme="majorBidi" w:cstheme="majorBidi"/>
          <w:sz w:val="24"/>
          <w:szCs w:val="24"/>
        </w:rPr>
        <w:t xml:space="preserve">-metabolisme efter subkutan administration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w:t>
      </w:r>
    </w:p>
    <w:p w:rsidR="003E6E00" w:rsidRPr="00E8426E" w:rsidRDefault="003E6E00" w:rsidP="003E6E00">
      <w:pPr>
        <w:tabs>
          <w:tab w:val="left" w:pos="851"/>
        </w:tabs>
        <w:contextualSpacing/>
        <w:rPr>
          <w:rFonts w:asciiTheme="majorBidi" w:hAnsiTheme="majorBidi" w:cstheme="majorBidi"/>
          <w:sz w:val="24"/>
          <w:szCs w:val="24"/>
        </w:rPr>
      </w:pPr>
    </w:p>
    <w:p w:rsidR="00C214EC" w:rsidRDefault="003E6E00" w:rsidP="003E6E00">
      <w:pPr>
        <w:pStyle w:val="Default"/>
        <w:tabs>
          <w:tab w:val="left" w:pos="851"/>
        </w:tabs>
        <w:ind w:left="851"/>
        <w:rPr>
          <w:rFonts w:asciiTheme="majorBidi" w:hAnsiTheme="majorBidi" w:cstheme="majorBidi"/>
        </w:rPr>
      </w:pPr>
      <w:r w:rsidRPr="00E8426E">
        <w:rPr>
          <w:rFonts w:asciiTheme="majorBidi" w:hAnsiTheme="majorBidi" w:cstheme="majorBidi"/>
        </w:rPr>
        <w:t xml:space="preserve">I et klinisk studie blev eksponering for </w:t>
      </w:r>
      <w:proofErr w:type="spellStart"/>
      <w:r w:rsidRPr="00E8426E">
        <w:rPr>
          <w:rFonts w:asciiTheme="majorBidi" w:hAnsiTheme="majorBidi" w:cstheme="majorBidi"/>
        </w:rPr>
        <w:t>buprenorphin</w:t>
      </w:r>
      <w:proofErr w:type="spellEnd"/>
      <w:r w:rsidRPr="00E8426E">
        <w:rPr>
          <w:rFonts w:asciiTheme="majorBidi" w:hAnsiTheme="majorBidi" w:cstheme="majorBidi"/>
        </w:rPr>
        <w:t xml:space="preserve"> bestemt efter administration af </w:t>
      </w:r>
      <w:proofErr w:type="spellStart"/>
      <w:r w:rsidRPr="00E8426E">
        <w:rPr>
          <w:rFonts w:asciiTheme="majorBidi" w:hAnsiTheme="majorBidi" w:cstheme="majorBidi"/>
        </w:rPr>
        <w:t>buprenorphin</w:t>
      </w:r>
      <w:proofErr w:type="spellEnd"/>
      <w:r w:rsidRPr="00E8426E">
        <w:rPr>
          <w:rFonts w:asciiTheme="majorBidi" w:hAnsiTheme="majorBidi" w:cstheme="majorBidi"/>
        </w:rPr>
        <w:t>/</w:t>
      </w:r>
      <w:proofErr w:type="spellStart"/>
      <w:r w:rsidRPr="00E8426E">
        <w:rPr>
          <w:rFonts w:asciiTheme="majorBidi" w:hAnsiTheme="majorBidi" w:cstheme="majorBidi"/>
        </w:rPr>
        <w:t>naloxon</w:t>
      </w:r>
      <w:proofErr w:type="spellEnd"/>
      <w:r w:rsidRPr="00E8426E">
        <w:rPr>
          <w:rFonts w:asciiTheme="majorBidi" w:hAnsiTheme="majorBidi" w:cstheme="majorBidi"/>
        </w:rPr>
        <w:t xml:space="preserve"> 2,0 mg/0,5 mg </w:t>
      </w:r>
      <w:proofErr w:type="spellStart"/>
      <w:r w:rsidRPr="00E8426E">
        <w:rPr>
          <w:rFonts w:asciiTheme="majorBidi" w:hAnsiTheme="majorBidi" w:cstheme="majorBidi"/>
        </w:rPr>
        <w:t>sublingual</w:t>
      </w:r>
      <w:proofErr w:type="spellEnd"/>
      <w:r w:rsidRPr="00E8426E">
        <w:rPr>
          <w:rFonts w:asciiTheme="majorBidi" w:hAnsiTheme="majorBidi" w:cstheme="majorBidi"/>
        </w:rPr>
        <w:t xml:space="preserve"> </w:t>
      </w:r>
      <w:proofErr w:type="spellStart"/>
      <w:r w:rsidRPr="00E8426E">
        <w:rPr>
          <w:rFonts w:asciiTheme="majorBidi" w:hAnsiTheme="majorBidi" w:cstheme="majorBidi"/>
        </w:rPr>
        <w:t>resoriblet</w:t>
      </w:r>
      <w:proofErr w:type="spellEnd"/>
      <w:r w:rsidRPr="00E8426E">
        <w:rPr>
          <w:rFonts w:asciiTheme="majorBidi" w:hAnsiTheme="majorBidi" w:cstheme="majorBidi"/>
        </w:rPr>
        <w:t xml:space="preserve"> til raske personer og til personer med forskellige grader af nedsat leverfunktion. Personer med let nedsat leverfunktion </w:t>
      </w:r>
    </w:p>
    <w:p w:rsidR="00C214EC" w:rsidRDefault="00C214EC" w:rsidP="003E6E00">
      <w:pPr>
        <w:pStyle w:val="Default"/>
        <w:tabs>
          <w:tab w:val="left" w:pos="851"/>
        </w:tabs>
        <w:ind w:left="851"/>
        <w:rPr>
          <w:rFonts w:asciiTheme="majorBidi" w:hAnsiTheme="majorBidi" w:cstheme="majorBidi"/>
        </w:rPr>
      </w:pPr>
    </w:p>
    <w:p w:rsidR="003E6E00" w:rsidRPr="00E8426E" w:rsidRDefault="003E6E00" w:rsidP="003E6E00">
      <w:pPr>
        <w:pStyle w:val="Default"/>
        <w:tabs>
          <w:tab w:val="left" w:pos="851"/>
        </w:tabs>
        <w:ind w:left="851"/>
        <w:rPr>
          <w:rFonts w:asciiTheme="majorBidi" w:hAnsiTheme="majorBidi" w:cstheme="majorBidi"/>
        </w:rPr>
      </w:pPr>
      <w:r w:rsidRPr="00E8426E">
        <w:rPr>
          <w:rFonts w:asciiTheme="majorBidi" w:hAnsiTheme="majorBidi" w:cstheme="majorBidi"/>
        </w:rPr>
        <w:lastRenderedPageBreak/>
        <w:t>(Child-</w:t>
      </w:r>
      <w:proofErr w:type="spellStart"/>
      <w:r w:rsidRPr="00E8426E">
        <w:rPr>
          <w:rFonts w:asciiTheme="majorBidi" w:hAnsiTheme="majorBidi" w:cstheme="majorBidi"/>
        </w:rPr>
        <w:t>Pugh</w:t>
      </w:r>
      <w:proofErr w:type="spellEnd"/>
      <w:r w:rsidRPr="00E8426E">
        <w:rPr>
          <w:rFonts w:asciiTheme="majorBidi" w:hAnsiTheme="majorBidi" w:cstheme="majorBidi"/>
        </w:rPr>
        <w:t xml:space="preserve"> klasse A) havde ikke nogen klinisk relevant virkning på eksponeringen for </w:t>
      </w:r>
      <w:proofErr w:type="spellStart"/>
      <w:r w:rsidRPr="00E8426E">
        <w:rPr>
          <w:rFonts w:asciiTheme="majorBidi" w:hAnsiTheme="majorBidi" w:cstheme="majorBidi"/>
        </w:rPr>
        <w:t>buprenorphin</w:t>
      </w:r>
      <w:proofErr w:type="spellEnd"/>
      <w:r w:rsidRPr="00E8426E">
        <w:rPr>
          <w:rFonts w:asciiTheme="majorBidi" w:hAnsiTheme="majorBidi" w:cstheme="majorBidi"/>
        </w:rPr>
        <w:t>. Personer med moderat nedsat leverfunktion (Child-</w:t>
      </w:r>
      <w:proofErr w:type="spellStart"/>
      <w:r w:rsidRPr="00E8426E">
        <w:rPr>
          <w:rFonts w:asciiTheme="majorBidi" w:hAnsiTheme="majorBidi" w:cstheme="majorBidi"/>
        </w:rPr>
        <w:t>Pugh</w:t>
      </w:r>
      <w:proofErr w:type="spellEnd"/>
      <w:r w:rsidRPr="00E8426E">
        <w:rPr>
          <w:rFonts w:asciiTheme="majorBidi" w:hAnsiTheme="majorBidi" w:cstheme="majorBidi"/>
        </w:rPr>
        <w:t xml:space="preserve"> klasse B) havde en 1,5-2 gange stigning, og personer med svært nedsat leverfunktion (Child-</w:t>
      </w:r>
      <w:proofErr w:type="spellStart"/>
      <w:r w:rsidRPr="00E8426E">
        <w:rPr>
          <w:rFonts w:asciiTheme="majorBidi" w:hAnsiTheme="majorBidi" w:cstheme="majorBidi"/>
        </w:rPr>
        <w:t>Pugh</w:t>
      </w:r>
      <w:proofErr w:type="spellEnd"/>
      <w:r w:rsidRPr="00E8426E">
        <w:rPr>
          <w:rFonts w:asciiTheme="majorBidi" w:hAnsiTheme="majorBidi" w:cstheme="majorBidi"/>
        </w:rPr>
        <w:t xml:space="preserve"> klasse C) havde en 3,5-4 gange stigning i plasmaeksponeringen for </w:t>
      </w:r>
      <w:proofErr w:type="spellStart"/>
      <w:r w:rsidRPr="00E8426E">
        <w:rPr>
          <w:rFonts w:asciiTheme="majorBidi" w:hAnsiTheme="majorBidi" w:cstheme="majorBidi"/>
        </w:rPr>
        <w:t>buprenorphin</w:t>
      </w:r>
      <w:proofErr w:type="spellEnd"/>
      <w:r w:rsidRPr="00E8426E">
        <w:rPr>
          <w:rFonts w:asciiTheme="majorBidi" w:hAnsiTheme="majorBidi" w:cstheme="majorBidi"/>
        </w:rPr>
        <w:t>.</w:t>
      </w:r>
    </w:p>
    <w:p w:rsidR="003E6E00" w:rsidRPr="00E8426E" w:rsidRDefault="003E6E00" w:rsidP="003E6E00">
      <w:pPr>
        <w:pStyle w:val="Default"/>
        <w:tabs>
          <w:tab w:val="left" w:pos="851"/>
        </w:tabs>
        <w:rPr>
          <w:rFonts w:asciiTheme="majorBidi" w:hAnsiTheme="majorBidi" w:cstheme="majorBidi"/>
        </w:rPr>
      </w:pPr>
    </w:p>
    <w:p w:rsidR="003E6E00" w:rsidRPr="00B7215C" w:rsidRDefault="003E6E00" w:rsidP="003E6E00">
      <w:pPr>
        <w:pStyle w:val="Default"/>
        <w:tabs>
          <w:tab w:val="left" w:pos="851"/>
        </w:tabs>
        <w:ind w:left="851"/>
        <w:rPr>
          <w:rFonts w:asciiTheme="majorBidi" w:hAnsiTheme="majorBidi" w:cstheme="majorBidi"/>
        </w:rPr>
      </w:pPr>
      <w:proofErr w:type="spellStart"/>
      <w:r w:rsidRPr="00E8426E">
        <w:rPr>
          <w:rFonts w:asciiTheme="majorBidi" w:hAnsiTheme="majorBidi" w:cstheme="majorBidi"/>
        </w:rPr>
        <w:t>Subutex</w:t>
      </w:r>
      <w:proofErr w:type="spellEnd"/>
      <w:r w:rsidRPr="00E8426E">
        <w:rPr>
          <w:rFonts w:asciiTheme="majorBidi" w:hAnsiTheme="majorBidi" w:cstheme="majorBidi"/>
        </w:rPr>
        <w:t xml:space="preserve"> kan anvendes til patienter med let eller moderat nedsat leverfunktion. Da </w:t>
      </w:r>
      <w:proofErr w:type="spellStart"/>
      <w:r w:rsidRPr="00E8426E">
        <w:rPr>
          <w:rFonts w:asciiTheme="majorBidi" w:hAnsiTheme="majorBidi" w:cstheme="majorBidi"/>
        </w:rPr>
        <w:t>buprenorphinniveauer</w:t>
      </w:r>
      <w:proofErr w:type="spellEnd"/>
      <w:r w:rsidRPr="00E8426E">
        <w:rPr>
          <w:rFonts w:asciiTheme="majorBidi" w:hAnsiTheme="majorBidi" w:cstheme="majorBidi"/>
        </w:rPr>
        <w:t xml:space="preserve"> ikke kan sænkes hurtigt, skal der udvises forsigtighed ved behandling af patienter med eksisterende, moderat nedsat leverfunktion med </w:t>
      </w:r>
      <w:proofErr w:type="spellStart"/>
      <w:r w:rsidRPr="00E8426E">
        <w:rPr>
          <w:rFonts w:asciiTheme="majorBidi" w:hAnsiTheme="majorBidi" w:cstheme="majorBidi"/>
        </w:rPr>
        <w:t>Subutex</w:t>
      </w:r>
      <w:proofErr w:type="spellEnd"/>
      <w:r w:rsidRPr="00E8426E">
        <w:rPr>
          <w:rFonts w:asciiTheme="majorBidi" w:hAnsiTheme="majorBidi" w:cstheme="majorBidi"/>
        </w:rPr>
        <w:t xml:space="preserve"> depotinjektion. </w:t>
      </w:r>
      <w:proofErr w:type="spellStart"/>
      <w:r w:rsidRPr="00E8426E">
        <w:rPr>
          <w:rFonts w:asciiTheme="majorBidi" w:hAnsiTheme="majorBidi" w:cstheme="majorBidi"/>
        </w:rPr>
        <w:t>Subutex</w:t>
      </w:r>
      <w:proofErr w:type="spellEnd"/>
      <w:r w:rsidRPr="00E8426E">
        <w:rPr>
          <w:rFonts w:asciiTheme="majorBidi" w:hAnsiTheme="majorBidi" w:cstheme="majorBidi"/>
        </w:rPr>
        <w:t xml:space="preserve"> må ikke gives til patienter med eksisterende svært nedsat leverfunktion (se pkt. 4.2 og 4.3). Patienter, som udvikler moderat til svært nedsat leverfunktion under behandlingen med </w:t>
      </w:r>
      <w:proofErr w:type="spellStart"/>
      <w:r w:rsidRPr="00E8426E">
        <w:rPr>
          <w:rFonts w:asciiTheme="majorBidi" w:hAnsiTheme="majorBidi" w:cstheme="majorBidi"/>
        </w:rPr>
        <w:t>Subutex</w:t>
      </w:r>
      <w:proofErr w:type="spellEnd"/>
      <w:r w:rsidRPr="00E8426E">
        <w:rPr>
          <w:rFonts w:asciiTheme="majorBidi" w:hAnsiTheme="majorBidi" w:cstheme="majorBidi"/>
        </w:rPr>
        <w:t xml:space="preserve">, skal overvåges for tegn og symptomer på toksicitet eller overdosering forårsaget af forhøjede </w:t>
      </w:r>
      <w:proofErr w:type="spellStart"/>
      <w:r w:rsidRPr="00E8426E">
        <w:rPr>
          <w:rFonts w:asciiTheme="majorBidi" w:hAnsiTheme="majorBidi" w:cstheme="majorBidi"/>
        </w:rPr>
        <w:t>buprenorphinniveauer</w:t>
      </w:r>
      <w:proofErr w:type="spellEnd"/>
      <w:r w:rsidRPr="00E8426E">
        <w:rPr>
          <w:rFonts w:asciiTheme="majorBidi" w:hAnsiTheme="majorBidi" w:cstheme="majorBidi"/>
        </w:rPr>
        <w:t xml:space="preserve"> (se pkt. 4.4).</w:t>
      </w:r>
    </w:p>
    <w:p w:rsidR="003E6E00" w:rsidRPr="00E8426E" w:rsidRDefault="003E6E00" w:rsidP="003E6E00">
      <w:pPr>
        <w:tabs>
          <w:tab w:val="left" w:pos="851"/>
        </w:tabs>
        <w:contextualSpacing/>
        <w:rPr>
          <w:rFonts w:asciiTheme="majorBidi" w:hAnsiTheme="majorBidi" w:cstheme="majorBidi"/>
          <w:sz w:val="24"/>
          <w:szCs w:val="24"/>
        </w:rPr>
      </w:pPr>
    </w:p>
    <w:p w:rsidR="003E6E00" w:rsidRPr="00E8426E" w:rsidRDefault="003E6E00" w:rsidP="003E6E00">
      <w:pPr>
        <w:tabs>
          <w:tab w:val="left" w:pos="851"/>
        </w:tabs>
        <w:contextualSpacing/>
        <w:rPr>
          <w:rFonts w:asciiTheme="majorBidi" w:hAnsiTheme="majorBidi" w:cstheme="majorBidi"/>
          <w:b/>
          <w:sz w:val="24"/>
          <w:szCs w:val="24"/>
        </w:rPr>
      </w:pPr>
      <w:r>
        <w:rPr>
          <w:rFonts w:asciiTheme="majorBidi" w:hAnsiTheme="majorBidi" w:cstheme="majorBidi"/>
          <w:i/>
          <w:sz w:val="24"/>
          <w:szCs w:val="24"/>
        </w:rPr>
        <w:tab/>
      </w:r>
      <w:r w:rsidRPr="00E8426E">
        <w:rPr>
          <w:rFonts w:asciiTheme="majorBidi" w:hAnsiTheme="majorBidi" w:cstheme="majorBidi"/>
          <w:i/>
          <w:sz w:val="24"/>
          <w:szCs w:val="24"/>
        </w:rPr>
        <w:t>Nedsat nyrefunktion</w:t>
      </w:r>
    </w:p>
    <w:p w:rsidR="00E34477" w:rsidRPr="003E6E00" w:rsidRDefault="003E6E00" w:rsidP="003E6E00">
      <w:pPr>
        <w:tabs>
          <w:tab w:val="left" w:pos="851"/>
        </w:tabs>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Kliniske studier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omfattede ikke personer med svært nedsat nyrefunktion. </w:t>
      </w:r>
      <w:proofErr w:type="spellStart"/>
      <w:r w:rsidRPr="00E8426E">
        <w:rPr>
          <w:rFonts w:asciiTheme="majorBidi" w:hAnsiTheme="majorBidi" w:cstheme="majorBidi"/>
          <w:sz w:val="24"/>
          <w:szCs w:val="24"/>
        </w:rPr>
        <w:t>Renal</w:t>
      </w:r>
      <w:proofErr w:type="spellEnd"/>
      <w:r w:rsidRPr="00E8426E">
        <w:rPr>
          <w:rFonts w:asciiTheme="majorBidi" w:hAnsiTheme="majorBidi" w:cstheme="majorBidi"/>
          <w:sz w:val="24"/>
          <w:szCs w:val="24"/>
        </w:rPr>
        <w:t xml:space="preserve"> elimination spiller en relativt lille rolle (~ 30 %) i den totale </w:t>
      </w:r>
      <w:proofErr w:type="spellStart"/>
      <w:r w:rsidRPr="00E8426E">
        <w:rPr>
          <w:rFonts w:asciiTheme="majorBidi" w:hAnsiTheme="majorBidi" w:cstheme="majorBidi"/>
          <w:sz w:val="24"/>
          <w:szCs w:val="24"/>
        </w:rPr>
        <w:t>clearance</w:t>
      </w:r>
      <w:proofErr w:type="spellEnd"/>
      <w:r w:rsidRPr="00E8426E">
        <w:rPr>
          <w:rFonts w:asciiTheme="majorBidi" w:hAnsiTheme="majorBidi" w:cstheme="majorBidi"/>
          <w:sz w:val="24"/>
          <w:szCs w:val="24"/>
        </w:rPr>
        <w:t xml:space="preserve">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og metabolitter. Derfor er en dosismodifikation på grund af nyrefunktionen ikke nødvendig. </w:t>
      </w:r>
      <w:proofErr w:type="spellStart"/>
      <w:r w:rsidRPr="00E8426E">
        <w:rPr>
          <w:rFonts w:asciiTheme="majorBidi" w:hAnsiTheme="majorBidi" w:cstheme="majorBidi"/>
          <w:sz w:val="24"/>
          <w:szCs w:val="24"/>
        </w:rPr>
        <w:t>Buprenorphins</w:t>
      </w:r>
      <w:proofErr w:type="spellEnd"/>
      <w:r w:rsidRPr="00E8426E">
        <w:rPr>
          <w:rFonts w:asciiTheme="majorBidi" w:hAnsiTheme="majorBidi" w:cstheme="majorBidi"/>
          <w:sz w:val="24"/>
          <w:szCs w:val="24"/>
        </w:rPr>
        <w:t xml:space="preserve"> metabolitter akkumulerer hos patienter med nyresvigt. Der rådes til forsigtighed ved dosering af patienter med svært nedsat nyrefunktion (</w:t>
      </w:r>
      <w:proofErr w:type="spellStart"/>
      <w:r w:rsidRPr="00E8426E">
        <w:rPr>
          <w:rFonts w:asciiTheme="majorBidi" w:hAnsiTheme="majorBidi" w:cstheme="majorBidi"/>
          <w:sz w:val="24"/>
          <w:szCs w:val="24"/>
        </w:rPr>
        <w:t>CLcr</w:t>
      </w:r>
      <w:proofErr w:type="spellEnd"/>
      <w:r w:rsidRPr="00E8426E">
        <w:rPr>
          <w:rFonts w:asciiTheme="majorBidi" w:hAnsiTheme="majorBidi" w:cstheme="majorBidi"/>
          <w:sz w:val="24"/>
          <w:szCs w:val="24"/>
        </w:rPr>
        <w:t xml:space="preserve"> &lt; 30 ml/min).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3E6E00">
        <w:rPr>
          <w:b/>
          <w:sz w:val="24"/>
          <w:szCs w:val="24"/>
        </w:rPr>
        <w:t>Non-</w:t>
      </w:r>
      <w:r w:rsidRPr="00C84483">
        <w:rPr>
          <w:b/>
          <w:sz w:val="24"/>
          <w:szCs w:val="24"/>
        </w:rPr>
        <w:t>kliniske sikkerhedsdata</w:t>
      </w:r>
    </w:p>
    <w:p w:rsidR="008E026E" w:rsidRPr="00E8426E" w:rsidRDefault="008E026E" w:rsidP="008E026E">
      <w:pPr>
        <w:tabs>
          <w:tab w:val="left" w:pos="993"/>
        </w:tabs>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Non-kliniske data viser ingen speciel risiko ved human dosis vurderet ud fra konventionelle studier af genotoksicitet og reproduktions- og udviklingstoksicitet ved klinisk relevante dosisniveauer. </w:t>
      </w:r>
    </w:p>
    <w:p w:rsidR="008E026E" w:rsidRPr="00E8426E" w:rsidRDefault="008E026E" w:rsidP="008E026E">
      <w:pPr>
        <w:tabs>
          <w:tab w:val="left" w:pos="993"/>
        </w:tabs>
        <w:contextualSpacing/>
        <w:rPr>
          <w:rFonts w:asciiTheme="majorBidi" w:hAnsiTheme="majorBidi" w:cstheme="majorBidi"/>
          <w:sz w:val="24"/>
          <w:szCs w:val="24"/>
        </w:rPr>
      </w:pPr>
    </w:p>
    <w:p w:rsidR="008E026E" w:rsidRPr="00E8426E" w:rsidRDefault="008E026E" w:rsidP="008E026E">
      <w:pPr>
        <w:tabs>
          <w:tab w:val="left" w:pos="993"/>
        </w:tabs>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I et </w:t>
      </w:r>
      <w:proofErr w:type="spellStart"/>
      <w:r w:rsidRPr="00E8426E">
        <w:rPr>
          <w:rFonts w:asciiTheme="majorBidi" w:hAnsiTheme="majorBidi" w:cstheme="majorBidi"/>
          <w:sz w:val="24"/>
          <w:szCs w:val="24"/>
        </w:rPr>
        <w:t>embryoføtalt</w:t>
      </w:r>
      <w:proofErr w:type="spellEnd"/>
      <w:r w:rsidRPr="00E8426E">
        <w:rPr>
          <w:rFonts w:asciiTheme="majorBidi" w:hAnsiTheme="majorBidi" w:cstheme="majorBidi"/>
          <w:sz w:val="24"/>
          <w:szCs w:val="24"/>
        </w:rPr>
        <w:t xml:space="preserve"> udviklingsstudie med rotter førte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depotinjektion til øget postimplantattab og nedsat gennemsnitlig fostervægt ved 38 gange den maksimale humane eksponering af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(AUC). Der blev observeret tilsvarende virkninger med et ækvivalent niveau af frigivelsessystemet alene, hvilket indikerer, at de evt. kan tilskrives vehiklet N-methyl-2-pyrrolidon (NMP). Ved den samme dosis blev der observeret forhøjede forekomster af skeletale misdannelser af hovedet og </w:t>
      </w:r>
      <w:proofErr w:type="spellStart"/>
      <w:r w:rsidRPr="00E8426E">
        <w:rPr>
          <w:rFonts w:asciiTheme="majorBidi" w:hAnsiTheme="majorBidi" w:cstheme="majorBidi"/>
          <w:sz w:val="24"/>
          <w:szCs w:val="24"/>
        </w:rPr>
        <w:t>viscerale</w:t>
      </w:r>
      <w:proofErr w:type="spellEnd"/>
      <w:r w:rsidRPr="00E8426E">
        <w:rPr>
          <w:rFonts w:asciiTheme="majorBidi" w:hAnsiTheme="majorBidi" w:cstheme="majorBidi"/>
          <w:sz w:val="24"/>
          <w:szCs w:val="24"/>
        </w:rPr>
        <w:t xml:space="preserve"> misdannelser med både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depotinjektion og ækvivalente niveauer af frigivelsessystemet. Der blev ikke observeret virkninger ved 15 gange den maksimale humane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-eksponering (AUC) og ca. 144 gange den maksimale humane NMP-eksponering (</w:t>
      </w:r>
      <w:proofErr w:type="spellStart"/>
      <w:r w:rsidRPr="00E8426E">
        <w:rPr>
          <w:rFonts w:asciiTheme="majorBidi" w:hAnsiTheme="majorBidi" w:cstheme="majorBidi"/>
          <w:sz w:val="24"/>
          <w:szCs w:val="24"/>
        </w:rPr>
        <w:t>C</w:t>
      </w:r>
      <w:r w:rsidRPr="00E8426E">
        <w:rPr>
          <w:rFonts w:asciiTheme="majorBidi" w:hAnsiTheme="majorBidi" w:cstheme="majorBidi"/>
          <w:sz w:val="24"/>
          <w:szCs w:val="24"/>
          <w:vertAlign w:val="subscript"/>
        </w:rPr>
        <w:t>max</w:t>
      </w:r>
      <w:proofErr w:type="spellEnd"/>
      <w:r w:rsidRPr="00E8426E">
        <w:rPr>
          <w:rFonts w:asciiTheme="majorBidi" w:hAnsiTheme="majorBidi" w:cstheme="majorBidi"/>
          <w:sz w:val="24"/>
          <w:szCs w:val="24"/>
        </w:rPr>
        <w:t xml:space="preserve">). </w:t>
      </w:r>
    </w:p>
    <w:p w:rsidR="008E026E" w:rsidRPr="00E8426E" w:rsidRDefault="008E026E" w:rsidP="008E026E">
      <w:pPr>
        <w:tabs>
          <w:tab w:val="left" w:pos="993"/>
        </w:tabs>
        <w:contextualSpacing/>
        <w:rPr>
          <w:rFonts w:asciiTheme="majorBidi" w:hAnsiTheme="majorBidi" w:cstheme="majorBidi"/>
          <w:sz w:val="24"/>
          <w:szCs w:val="24"/>
        </w:rPr>
      </w:pPr>
    </w:p>
    <w:p w:rsidR="008E026E" w:rsidRPr="00E8426E" w:rsidRDefault="008E026E" w:rsidP="008E026E">
      <w:pPr>
        <w:tabs>
          <w:tab w:val="left" w:pos="993"/>
        </w:tabs>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I et </w:t>
      </w:r>
      <w:proofErr w:type="spellStart"/>
      <w:r w:rsidRPr="00E8426E">
        <w:rPr>
          <w:rFonts w:asciiTheme="majorBidi" w:hAnsiTheme="majorBidi" w:cstheme="majorBidi"/>
          <w:sz w:val="24"/>
          <w:szCs w:val="24"/>
        </w:rPr>
        <w:t>embryoføtalt</w:t>
      </w:r>
      <w:proofErr w:type="spellEnd"/>
      <w:r w:rsidRPr="00E8426E">
        <w:rPr>
          <w:rFonts w:asciiTheme="majorBidi" w:hAnsiTheme="majorBidi" w:cstheme="majorBidi"/>
          <w:sz w:val="24"/>
          <w:szCs w:val="24"/>
        </w:rPr>
        <w:t xml:space="preserve"> udviklingsstudie med kaniner førte administration af en enkelt </w:t>
      </w:r>
      <w:proofErr w:type="spellStart"/>
      <w:r w:rsidRPr="00E8426E">
        <w:rPr>
          <w:rFonts w:asciiTheme="majorBidi" w:hAnsiTheme="majorBidi" w:cstheme="majorBidi"/>
          <w:sz w:val="24"/>
          <w:szCs w:val="24"/>
        </w:rPr>
        <w:t>s.c</w:t>
      </w:r>
      <w:proofErr w:type="spellEnd"/>
      <w:r w:rsidRPr="00E8426E">
        <w:rPr>
          <w:rFonts w:asciiTheme="majorBidi" w:hAnsiTheme="majorBidi" w:cstheme="majorBidi"/>
          <w:sz w:val="24"/>
          <w:szCs w:val="24"/>
        </w:rPr>
        <w:t xml:space="preserve">. injektion af </w:t>
      </w:r>
      <w:proofErr w:type="spellStart"/>
      <w:r w:rsidRPr="00E8426E">
        <w:rPr>
          <w:rFonts w:asciiTheme="majorBidi" w:hAnsiTheme="majorBidi" w:cstheme="majorBidi"/>
          <w:sz w:val="24"/>
          <w:szCs w:val="24"/>
        </w:rPr>
        <w:t>Subutex</w:t>
      </w:r>
      <w:proofErr w:type="spellEnd"/>
      <w:r w:rsidRPr="00E8426E">
        <w:rPr>
          <w:rFonts w:asciiTheme="majorBidi" w:hAnsiTheme="majorBidi" w:cstheme="majorBidi"/>
          <w:sz w:val="24"/>
          <w:szCs w:val="24"/>
        </w:rPr>
        <w:t xml:space="preserve"> depotinjektion hos drægtige dyr til skeletmisdannelser og ændringer ved 7 gange den maksimale humane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-eksponering (AUC). Postimplantationstab, eksterne misdannelser, </w:t>
      </w:r>
      <w:proofErr w:type="spellStart"/>
      <w:r w:rsidRPr="00E8426E">
        <w:rPr>
          <w:rFonts w:asciiTheme="majorBidi" w:hAnsiTheme="majorBidi" w:cstheme="majorBidi"/>
          <w:sz w:val="24"/>
          <w:szCs w:val="24"/>
        </w:rPr>
        <w:t>viscerale</w:t>
      </w:r>
      <w:proofErr w:type="spellEnd"/>
      <w:r w:rsidRPr="00E8426E">
        <w:rPr>
          <w:rFonts w:asciiTheme="majorBidi" w:hAnsiTheme="majorBidi" w:cstheme="majorBidi"/>
          <w:sz w:val="24"/>
          <w:szCs w:val="24"/>
        </w:rPr>
        <w:t xml:space="preserve"> misdannelser og skeletmisdannelser blev også fundet ved 15 gange den maksimale humane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-eksponering (AUC). Tilsvarende virkninger blev observeret med frigivelsessystemet alene, hvilket indikerer, at virkningerne evt. kan tilskrives vehiklet (NMP). Der blev ikke observeret nogen virkning ved 2 gange den maksimale humane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-eksponering og ca. 35 gange den maksimale humane NMP-eksponering (</w:t>
      </w:r>
      <w:proofErr w:type="spellStart"/>
      <w:r w:rsidRPr="00E8426E">
        <w:rPr>
          <w:rFonts w:asciiTheme="majorBidi" w:hAnsiTheme="majorBidi" w:cstheme="majorBidi"/>
          <w:sz w:val="24"/>
          <w:szCs w:val="24"/>
        </w:rPr>
        <w:t>C</w:t>
      </w:r>
      <w:r w:rsidRPr="00E8426E">
        <w:rPr>
          <w:rFonts w:asciiTheme="majorBidi" w:hAnsiTheme="majorBidi" w:cstheme="majorBidi"/>
          <w:sz w:val="24"/>
          <w:szCs w:val="24"/>
          <w:vertAlign w:val="subscript"/>
        </w:rPr>
        <w:t>max</w:t>
      </w:r>
      <w:proofErr w:type="spellEnd"/>
      <w:r w:rsidRPr="00E8426E">
        <w:rPr>
          <w:rFonts w:asciiTheme="majorBidi" w:hAnsiTheme="majorBidi" w:cstheme="majorBidi"/>
          <w:sz w:val="24"/>
          <w:szCs w:val="24"/>
        </w:rPr>
        <w:t>).</w:t>
      </w:r>
    </w:p>
    <w:p w:rsidR="008E026E" w:rsidRPr="00E8426E" w:rsidRDefault="008E026E" w:rsidP="008E026E">
      <w:pPr>
        <w:tabs>
          <w:tab w:val="left" w:pos="993"/>
        </w:tabs>
        <w:contextualSpacing/>
        <w:rPr>
          <w:rFonts w:asciiTheme="majorBidi" w:hAnsiTheme="majorBidi" w:cstheme="majorBidi"/>
          <w:sz w:val="24"/>
          <w:szCs w:val="24"/>
        </w:rPr>
      </w:pPr>
    </w:p>
    <w:p w:rsidR="008E026E" w:rsidRPr="00E8426E" w:rsidRDefault="008E026E" w:rsidP="008E026E">
      <w:pPr>
        <w:tabs>
          <w:tab w:val="left" w:pos="993"/>
        </w:tabs>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I et </w:t>
      </w:r>
      <w:proofErr w:type="spellStart"/>
      <w:r w:rsidRPr="00E8426E">
        <w:rPr>
          <w:rFonts w:asciiTheme="majorBidi" w:hAnsiTheme="majorBidi" w:cstheme="majorBidi"/>
          <w:sz w:val="24"/>
          <w:szCs w:val="24"/>
        </w:rPr>
        <w:t>embryoføtalt</w:t>
      </w:r>
      <w:proofErr w:type="spellEnd"/>
      <w:r w:rsidRPr="00E8426E">
        <w:rPr>
          <w:rFonts w:asciiTheme="majorBidi" w:hAnsiTheme="majorBidi" w:cstheme="majorBidi"/>
          <w:sz w:val="24"/>
          <w:szCs w:val="24"/>
        </w:rPr>
        <w:t xml:space="preserve"> studie med kaniner blev der observeret fostre med mindre gennemsnitlig legemsvægt, eksterne misdannelser af fingre og tæer og </w:t>
      </w:r>
      <w:proofErr w:type="spellStart"/>
      <w:r w:rsidRPr="00E8426E">
        <w:rPr>
          <w:rFonts w:asciiTheme="majorBidi" w:hAnsiTheme="majorBidi" w:cstheme="majorBidi"/>
          <w:sz w:val="24"/>
          <w:szCs w:val="24"/>
        </w:rPr>
        <w:t>viscerale</w:t>
      </w:r>
      <w:proofErr w:type="spellEnd"/>
      <w:r w:rsidRPr="00E8426E">
        <w:rPr>
          <w:rFonts w:asciiTheme="majorBidi" w:hAnsiTheme="majorBidi" w:cstheme="majorBidi"/>
          <w:sz w:val="24"/>
          <w:szCs w:val="24"/>
        </w:rPr>
        <w:t xml:space="preserve"> ændringer af galdeblæren ved eksponeringer på 89 gange den maksimale humane NMP-eksponering (AUC) efter daglige subkutane injektioner af NMP. Der blev ikke observeret bivirkninger i nogen foster- og moderparametre ved eksponeringer på 15 gange den maksimale humane NMP-eksponering (AUC).</w:t>
      </w:r>
    </w:p>
    <w:p w:rsidR="008E026E" w:rsidRPr="00E8426E" w:rsidRDefault="008E026E" w:rsidP="008E026E">
      <w:pPr>
        <w:tabs>
          <w:tab w:val="left" w:pos="993"/>
        </w:tabs>
        <w:contextualSpacing/>
        <w:rPr>
          <w:rFonts w:asciiTheme="majorBidi" w:hAnsiTheme="majorBidi" w:cstheme="majorBidi"/>
          <w:sz w:val="24"/>
          <w:szCs w:val="24"/>
        </w:rPr>
      </w:pPr>
    </w:p>
    <w:p w:rsidR="008E026E" w:rsidRPr="00E8426E" w:rsidRDefault="008E026E" w:rsidP="008E026E">
      <w:pPr>
        <w:tabs>
          <w:tab w:val="left" w:pos="993"/>
        </w:tabs>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I et fertilitetsstudie med rotter blev der observeret unormale ændringer i fosterudviklingen, herunder </w:t>
      </w:r>
      <w:proofErr w:type="spellStart"/>
      <w:r w:rsidRPr="00E8426E">
        <w:rPr>
          <w:rFonts w:asciiTheme="majorBidi" w:hAnsiTheme="majorBidi" w:cstheme="majorBidi"/>
          <w:sz w:val="24"/>
          <w:szCs w:val="24"/>
        </w:rPr>
        <w:t>embryoletalitet</w:t>
      </w:r>
      <w:proofErr w:type="spellEnd"/>
      <w:r w:rsidRPr="00E8426E">
        <w:rPr>
          <w:rFonts w:asciiTheme="majorBidi" w:hAnsiTheme="majorBidi" w:cstheme="majorBidi"/>
          <w:sz w:val="24"/>
          <w:szCs w:val="24"/>
        </w:rPr>
        <w:t xml:space="preserve">, hos hundyr ved ≥ 600 mg/kg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Hos handyr var fertiliteten og reproduktionsindekset reduceret, hvilket blev bekræftet af unormale spermparametre. Ved 300 mg/kg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xml:space="preserve">, hvilket er 15 gange den maksimale humane eksponering (AUC) for </w:t>
      </w:r>
      <w:proofErr w:type="spellStart"/>
      <w:r w:rsidRPr="00E8426E">
        <w:rPr>
          <w:rFonts w:asciiTheme="majorBidi" w:hAnsiTheme="majorBidi" w:cstheme="majorBidi"/>
          <w:sz w:val="24"/>
          <w:szCs w:val="24"/>
        </w:rPr>
        <w:t>buprenorphin</w:t>
      </w:r>
      <w:proofErr w:type="spellEnd"/>
      <w:r w:rsidRPr="00E8426E">
        <w:rPr>
          <w:rFonts w:asciiTheme="majorBidi" w:hAnsiTheme="majorBidi" w:cstheme="majorBidi"/>
          <w:sz w:val="24"/>
          <w:szCs w:val="24"/>
        </w:rPr>
        <w:t>, blev der ikke observeret nogen virkning på fertilitets- og reproduktionsparametre.</w:t>
      </w:r>
    </w:p>
    <w:p w:rsidR="009260DE" w:rsidRPr="00C84483" w:rsidRDefault="009260DE" w:rsidP="008E026E">
      <w:pPr>
        <w:tabs>
          <w:tab w:val="left" w:pos="851"/>
          <w:tab w:val="left" w:pos="993"/>
        </w:tabs>
        <w:ind w:left="851"/>
        <w:rPr>
          <w:sz w:val="24"/>
          <w:szCs w:val="24"/>
        </w:rPr>
      </w:pPr>
    </w:p>
    <w:p w:rsidR="008E026E" w:rsidRDefault="008E026E" w:rsidP="008E026E">
      <w:pPr>
        <w:tabs>
          <w:tab w:val="left" w:pos="993"/>
        </w:tabs>
        <w:rPr>
          <w:sz w:val="24"/>
          <w:szCs w:val="24"/>
        </w:rPr>
      </w:pPr>
    </w:p>
    <w:p w:rsidR="009260DE" w:rsidRPr="00C84483" w:rsidRDefault="009260DE" w:rsidP="008E026E">
      <w:pPr>
        <w:tabs>
          <w:tab w:val="left" w:pos="993"/>
        </w:tabs>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8E026E" w:rsidRPr="00C84483" w:rsidRDefault="008E026E" w:rsidP="009260DE">
      <w:pPr>
        <w:tabs>
          <w:tab w:val="left" w:pos="851"/>
        </w:tabs>
        <w:ind w:left="851" w:hanging="851"/>
        <w:rPr>
          <w:b/>
          <w:sz w:val="24"/>
          <w:szCs w:val="24"/>
        </w:rPr>
      </w:pPr>
    </w:p>
    <w:p w:rsidR="009E144E" w:rsidRDefault="009E144E" w:rsidP="00B768BA">
      <w:pPr>
        <w:numPr>
          <w:ilvl w:val="0"/>
          <w:numId w:val="9"/>
        </w:numPr>
        <w:tabs>
          <w:tab w:val="left" w:pos="851"/>
          <w:tab w:val="left" w:pos="1134"/>
        </w:tabs>
        <w:ind w:left="851" w:firstLine="0"/>
        <w:rPr>
          <w:sz w:val="24"/>
          <w:szCs w:val="24"/>
          <w:lang w:val="en-IE"/>
        </w:rPr>
      </w:pPr>
      <w:r w:rsidRPr="009E144E">
        <w:rPr>
          <w:sz w:val="24"/>
          <w:szCs w:val="24"/>
          <w:lang w:val="en-IE"/>
        </w:rPr>
        <w:t>Poly</w:t>
      </w:r>
      <w:r w:rsidR="008E026E">
        <w:rPr>
          <w:sz w:val="24"/>
          <w:szCs w:val="24"/>
          <w:lang w:val="en-IE"/>
        </w:rPr>
        <w:t>glactin (50-50)</w:t>
      </w:r>
    </w:p>
    <w:p w:rsidR="009E144E" w:rsidRPr="008E026E" w:rsidRDefault="008E026E" w:rsidP="003517BF">
      <w:pPr>
        <w:numPr>
          <w:ilvl w:val="0"/>
          <w:numId w:val="9"/>
        </w:numPr>
        <w:tabs>
          <w:tab w:val="left" w:pos="851"/>
          <w:tab w:val="left" w:pos="1134"/>
        </w:tabs>
        <w:ind w:left="851" w:firstLine="0"/>
        <w:rPr>
          <w:sz w:val="24"/>
          <w:szCs w:val="24"/>
        </w:rPr>
      </w:pPr>
      <w:r w:rsidRPr="008E026E">
        <w:rPr>
          <w:sz w:val="24"/>
          <w:szCs w:val="24"/>
          <w:lang w:val="en-IE"/>
        </w:rPr>
        <w:t>N-</w:t>
      </w:r>
      <w:proofErr w:type="spellStart"/>
      <w:r w:rsidRPr="008E026E">
        <w:rPr>
          <w:sz w:val="24"/>
          <w:szCs w:val="24"/>
          <w:lang w:val="en-IE"/>
        </w:rPr>
        <w:t>methylpyrrolidon</w:t>
      </w:r>
      <w:proofErr w:type="spellEnd"/>
      <w:r w:rsidRPr="008E026E">
        <w:rPr>
          <w:sz w:val="24"/>
          <w:szCs w:val="24"/>
          <w:lang w:val="en-IE"/>
        </w:rPr>
        <w:t xml:space="preserve"> (</w:t>
      </w:r>
      <w:proofErr w:type="spellStart"/>
      <w:proofErr w:type="gramStart"/>
      <w:r w:rsidRPr="008E026E">
        <w:rPr>
          <w:sz w:val="24"/>
          <w:szCs w:val="24"/>
          <w:lang w:val="en-IE"/>
        </w:rPr>
        <w:t>Ph.Eur</w:t>
      </w:r>
      <w:proofErr w:type="spellEnd"/>
      <w:proofErr w:type="gramEnd"/>
      <w:r w:rsidRPr="008E026E">
        <w:rPr>
          <w:sz w:val="24"/>
          <w:szCs w:val="24"/>
          <w:lang w:val="en-IE"/>
        </w:rPr>
        <w:t>)</w:t>
      </w:r>
    </w:p>
    <w:p w:rsidR="009260DE" w:rsidRPr="00C84483" w:rsidRDefault="009260DE" w:rsidP="00B768BA">
      <w:pPr>
        <w:tabs>
          <w:tab w:val="left" w:pos="851"/>
          <w:tab w:val="left" w:pos="1134"/>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E144E" w:rsidRPr="009E144E" w:rsidRDefault="009E144E" w:rsidP="009E144E">
      <w:pPr>
        <w:tabs>
          <w:tab w:val="left" w:pos="851"/>
        </w:tabs>
        <w:ind w:left="851"/>
        <w:rPr>
          <w:sz w:val="24"/>
          <w:szCs w:val="24"/>
          <w:lang w:val="fr-LU"/>
        </w:rPr>
      </w:pPr>
      <w:r w:rsidRPr="009E144E">
        <w:rPr>
          <w:sz w:val="24"/>
          <w:szCs w:val="24"/>
          <w:lang w:val="fr-LU"/>
        </w:rPr>
        <w:t>Da der ikke foreligger studier af eventuelle uforligeligheder, må dette lægemiddel ikke blandes med andre lægemidler.</w:t>
      </w:r>
    </w:p>
    <w:p w:rsidR="009260DE" w:rsidRPr="009E144E" w:rsidRDefault="009260DE" w:rsidP="009260DE">
      <w:pPr>
        <w:tabs>
          <w:tab w:val="left" w:pos="851"/>
        </w:tabs>
        <w:ind w:left="851"/>
        <w:rPr>
          <w:sz w:val="24"/>
          <w:szCs w:val="24"/>
          <w:lang w:val="fr-LU"/>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A906BC" w:rsidRPr="00A906BC" w:rsidRDefault="00A906BC" w:rsidP="00A906BC">
      <w:pPr>
        <w:tabs>
          <w:tab w:val="left" w:pos="851"/>
        </w:tabs>
        <w:ind w:left="851"/>
        <w:rPr>
          <w:sz w:val="24"/>
          <w:szCs w:val="24"/>
          <w:lang w:val="fr-LU"/>
        </w:rPr>
      </w:pPr>
      <w:r w:rsidRPr="00A906BC">
        <w:rPr>
          <w:sz w:val="24"/>
          <w:szCs w:val="24"/>
          <w:lang w:val="fr-LU"/>
        </w:rPr>
        <w:t xml:space="preserve">100 mg : </w:t>
      </w:r>
      <w:r w:rsidR="00EF12F0">
        <w:rPr>
          <w:sz w:val="24"/>
          <w:szCs w:val="24"/>
          <w:lang w:val="fr-LU"/>
        </w:rPr>
        <w:t>2</w:t>
      </w:r>
      <w:r w:rsidRPr="00A906BC">
        <w:rPr>
          <w:sz w:val="24"/>
          <w:szCs w:val="24"/>
          <w:lang w:val="fr-LU"/>
        </w:rPr>
        <w:t xml:space="preserve"> år</w:t>
      </w:r>
      <w:r w:rsidR="00B768BA">
        <w:rPr>
          <w:sz w:val="24"/>
          <w:szCs w:val="24"/>
          <w:lang w:val="fr-LU"/>
        </w:rPr>
        <w:t>.</w:t>
      </w:r>
    </w:p>
    <w:p w:rsidR="00A906BC" w:rsidRDefault="00A906BC" w:rsidP="00A906BC">
      <w:pPr>
        <w:tabs>
          <w:tab w:val="left" w:pos="851"/>
        </w:tabs>
        <w:ind w:left="851"/>
        <w:rPr>
          <w:sz w:val="24"/>
          <w:szCs w:val="24"/>
          <w:lang w:val="fr-LU"/>
        </w:rPr>
      </w:pPr>
      <w:r w:rsidRPr="00A906BC">
        <w:rPr>
          <w:sz w:val="24"/>
          <w:szCs w:val="24"/>
          <w:lang w:val="fr-LU"/>
        </w:rPr>
        <w:t>300 mg : 2 år</w:t>
      </w:r>
      <w:r w:rsidR="00B768BA">
        <w:rPr>
          <w:sz w:val="24"/>
          <w:szCs w:val="24"/>
          <w:lang w:val="fr-LU"/>
        </w:rPr>
        <w:t>.</w:t>
      </w:r>
    </w:p>
    <w:p w:rsidR="008E026E" w:rsidRDefault="008E026E" w:rsidP="00A906BC">
      <w:pPr>
        <w:tabs>
          <w:tab w:val="left" w:pos="851"/>
        </w:tabs>
        <w:ind w:left="851"/>
        <w:rPr>
          <w:sz w:val="24"/>
          <w:szCs w:val="24"/>
          <w:lang w:val="fr-LU"/>
        </w:rPr>
      </w:pPr>
    </w:p>
    <w:p w:rsidR="00744BF0" w:rsidRPr="008E026E" w:rsidRDefault="00744BF0" w:rsidP="00744BF0">
      <w:pPr>
        <w:ind w:left="851"/>
        <w:contextualSpacing/>
        <w:rPr>
          <w:rFonts w:asciiTheme="majorBidi" w:hAnsiTheme="majorBidi" w:cstheme="majorBidi"/>
          <w:sz w:val="24"/>
          <w:szCs w:val="24"/>
        </w:rPr>
      </w:pPr>
      <w:r w:rsidRPr="008E026E">
        <w:rPr>
          <w:rFonts w:asciiTheme="majorBidi" w:hAnsiTheme="majorBidi" w:cstheme="majorBidi"/>
          <w:sz w:val="24"/>
          <w:szCs w:val="24"/>
        </w:rPr>
        <w:t xml:space="preserve">Når lægemidlet er taget ud af køleskabet, kan det opbevares inden anvendelse i den originale emballage i op til </w:t>
      </w:r>
      <w:r>
        <w:rPr>
          <w:rFonts w:asciiTheme="majorBidi" w:hAnsiTheme="majorBidi" w:cstheme="majorBidi"/>
          <w:sz w:val="24"/>
          <w:szCs w:val="24"/>
        </w:rPr>
        <w:t>4 uger</w:t>
      </w:r>
      <w:r w:rsidRPr="008E026E">
        <w:rPr>
          <w:rFonts w:asciiTheme="majorBidi" w:hAnsiTheme="majorBidi" w:cstheme="majorBidi"/>
          <w:sz w:val="24"/>
          <w:szCs w:val="24"/>
        </w:rPr>
        <w:t xml:space="preserve"> ved stuetemperatur (ikke over 25 °C).</w:t>
      </w:r>
    </w:p>
    <w:p w:rsidR="00744BF0" w:rsidRPr="008E026E" w:rsidRDefault="00744BF0" w:rsidP="00744BF0">
      <w:pPr>
        <w:ind w:left="851"/>
        <w:contextualSpacing/>
        <w:rPr>
          <w:rFonts w:asciiTheme="majorBidi" w:hAnsiTheme="majorBidi" w:cstheme="majorBidi"/>
          <w:sz w:val="24"/>
          <w:szCs w:val="24"/>
        </w:rPr>
      </w:pPr>
      <w:proofErr w:type="spellStart"/>
      <w:r w:rsidRPr="008E026E">
        <w:rPr>
          <w:rFonts w:asciiTheme="majorBidi" w:hAnsiTheme="majorBidi" w:cstheme="majorBidi"/>
          <w:sz w:val="24"/>
          <w:szCs w:val="24"/>
        </w:rPr>
        <w:t>Subutex</w:t>
      </w:r>
      <w:proofErr w:type="spellEnd"/>
      <w:r w:rsidRPr="008E026E">
        <w:rPr>
          <w:rFonts w:asciiTheme="majorBidi" w:hAnsiTheme="majorBidi" w:cstheme="majorBidi"/>
          <w:sz w:val="24"/>
          <w:szCs w:val="24"/>
        </w:rPr>
        <w:t xml:space="preserve"> skal bortskaffes, hvis det har været opbevaret ved stuetemperatur i mere end </w:t>
      </w:r>
      <w:r>
        <w:rPr>
          <w:rFonts w:asciiTheme="majorBidi" w:hAnsiTheme="majorBidi" w:cstheme="majorBidi"/>
          <w:sz w:val="24"/>
          <w:szCs w:val="24"/>
        </w:rPr>
        <w:t>4 uger</w:t>
      </w:r>
      <w:r w:rsidRPr="008E026E">
        <w:rPr>
          <w:rFonts w:asciiTheme="majorBidi" w:hAnsiTheme="majorBidi" w:cstheme="majorBidi"/>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906BC" w:rsidRDefault="00A906BC" w:rsidP="00A906BC">
      <w:pPr>
        <w:tabs>
          <w:tab w:val="left" w:pos="851"/>
        </w:tabs>
        <w:ind w:left="851"/>
        <w:rPr>
          <w:sz w:val="24"/>
          <w:szCs w:val="24"/>
          <w:lang w:val="fr-LU"/>
        </w:rPr>
      </w:pPr>
      <w:r w:rsidRPr="00A906BC">
        <w:rPr>
          <w:sz w:val="24"/>
          <w:szCs w:val="24"/>
          <w:lang w:val="fr-LU"/>
        </w:rPr>
        <w:t xml:space="preserve">Opbevares </w:t>
      </w:r>
      <w:r w:rsidR="008E026E">
        <w:rPr>
          <w:sz w:val="24"/>
          <w:szCs w:val="24"/>
          <w:lang w:val="fr-LU"/>
        </w:rPr>
        <w:t>i køleskab</w:t>
      </w:r>
      <w:r w:rsidRPr="00A906BC">
        <w:rPr>
          <w:sz w:val="24"/>
          <w:szCs w:val="24"/>
          <w:lang w:val="fr-LU"/>
        </w:rPr>
        <w:t xml:space="preserve"> </w:t>
      </w:r>
      <w:r w:rsidR="008E026E">
        <w:rPr>
          <w:sz w:val="24"/>
          <w:szCs w:val="24"/>
          <w:lang w:val="fr-LU"/>
        </w:rPr>
        <w:t>(</w:t>
      </w:r>
      <w:r w:rsidRPr="00A906BC">
        <w:rPr>
          <w:sz w:val="24"/>
          <w:szCs w:val="24"/>
          <w:lang w:val="fr-LU"/>
        </w:rPr>
        <w:t>2 °C</w:t>
      </w:r>
      <w:r w:rsidR="00B768BA">
        <w:rPr>
          <w:sz w:val="24"/>
          <w:szCs w:val="24"/>
          <w:lang w:val="fr-LU"/>
        </w:rPr>
        <w:t>-</w:t>
      </w:r>
      <w:r w:rsidRPr="00A906BC">
        <w:rPr>
          <w:sz w:val="24"/>
          <w:szCs w:val="24"/>
          <w:lang w:val="fr-LU"/>
        </w:rPr>
        <w:t>8 °C.</w:t>
      </w:r>
    </w:p>
    <w:p w:rsidR="008E026E" w:rsidRDefault="008E026E" w:rsidP="00A906BC">
      <w:pPr>
        <w:tabs>
          <w:tab w:val="left" w:pos="851"/>
        </w:tabs>
        <w:ind w:left="851"/>
        <w:rPr>
          <w:sz w:val="24"/>
          <w:szCs w:val="24"/>
          <w:lang w:val="fr-LU"/>
        </w:rPr>
      </w:pPr>
      <w:r>
        <w:rPr>
          <w:sz w:val="24"/>
          <w:szCs w:val="24"/>
          <w:lang w:val="fr-LU"/>
        </w:rPr>
        <w:t>Må ikke nedfryses.</w:t>
      </w:r>
    </w:p>
    <w:p w:rsidR="008E026E" w:rsidRDefault="008E026E" w:rsidP="00A906BC">
      <w:pPr>
        <w:tabs>
          <w:tab w:val="left" w:pos="851"/>
        </w:tabs>
        <w:ind w:left="851"/>
        <w:rPr>
          <w:sz w:val="24"/>
          <w:szCs w:val="24"/>
          <w:lang w:val="fr-LU"/>
        </w:rPr>
      </w:pPr>
    </w:p>
    <w:p w:rsidR="008E026E" w:rsidRPr="00A906BC" w:rsidRDefault="008E026E" w:rsidP="00A906BC">
      <w:pPr>
        <w:tabs>
          <w:tab w:val="left" w:pos="851"/>
        </w:tabs>
        <w:ind w:left="851"/>
        <w:rPr>
          <w:sz w:val="24"/>
          <w:szCs w:val="24"/>
          <w:lang w:val="fr-LU"/>
        </w:rPr>
      </w:pPr>
      <w:r>
        <w:rPr>
          <w:sz w:val="24"/>
          <w:szCs w:val="24"/>
          <w:lang w:val="fr-LU"/>
        </w:rPr>
        <w:t>For opbevaringsbetingelser efter udtagning af lægemidler fra køleskabet, se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E5D58" w:rsidRDefault="00BE5D58" w:rsidP="00A906BC">
      <w:pPr>
        <w:tabs>
          <w:tab w:val="left" w:pos="851"/>
        </w:tabs>
        <w:ind w:left="851"/>
        <w:rPr>
          <w:b/>
          <w:sz w:val="24"/>
          <w:szCs w:val="24"/>
        </w:rPr>
      </w:pPr>
      <w:bookmarkStart w:id="10" w:name="_Hlk27503154"/>
    </w:p>
    <w:bookmarkEnd w:id="10"/>
    <w:p w:rsidR="008E026E" w:rsidRPr="00E8426E" w:rsidRDefault="008E026E" w:rsidP="008E026E">
      <w:pPr>
        <w:tabs>
          <w:tab w:val="left" w:pos="851"/>
        </w:tabs>
        <w:contextualSpacing/>
        <w:rPr>
          <w:rFonts w:asciiTheme="majorBidi" w:hAnsiTheme="majorBidi" w:cstheme="majorBidi"/>
          <w:b/>
          <w:color w:val="000000"/>
          <w:sz w:val="24"/>
          <w:szCs w:val="24"/>
          <w:u w:val="single"/>
        </w:rPr>
      </w:pPr>
      <w:r>
        <w:rPr>
          <w:rFonts w:asciiTheme="majorBidi" w:hAnsiTheme="majorBidi" w:cstheme="majorBidi"/>
          <w:color w:val="000000"/>
          <w:sz w:val="24"/>
          <w:szCs w:val="24"/>
        </w:rPr>
        <w:tab/>
      </w:r>
      <w:proofErr w:type="spellStart"/>
      <w:r w:rsidRPr="00E8426E">
        <w:rPr>
          <w:rFonts w:asciiTheme="majorBidi" w:hAnsiTheme="majorBidi" w:cstheme="majorBidi"/>
          <w:color w:val="000000"/>
          <w:sz w:val="24"/>
          <w:szCs w:val="24"/>
          <w:u w:val="single"/>
        </w:rPr>
        <w:t>Subutex</w:t>
      </w:r>
      <w:proofErr w:type="spellEnd"/>
      <w:r w:rsidRPr="00E8426E">
        <w:rPr>
          <w:rFonts w:asciiTheme="majorBidi" w:hAnsiTheme="majorBidi" w:cstheme="majorBidi"/>
          <w:color w:val="000000"/>
          <w:sz w:val="24"/>
          <w:szCs w:val="24"/>
          <w:u w:val="single"/>
        </w:rPr>
        <w:t xml:space="preserve"> 100 mg depotinjektionsvæske, opløsning</w:t>
      </w:r>
    </w:p>
    <w:p w:rsidR="008E026E" w:rsidRPr="00E8426E" w:rsidRDefault="008E026E" w:rsidP="008E026E">
      <w:pPr>
        <w:tabs>
          <w:tab w:val="left" w:pos="851"/>
        </w:tabs>
        <w:ind w:left="851"/>
        <w:contextualSpacing/>
        <w:rPr>
          <w:rFonts w:asciiTheme="majorBidi" w:hAnsiTheme="majorBidi" w:cstheme="majorBidi"/>
          <w:i/>
          <w:iCs/>
          <w:color w:val="000000"/>
          <w:sz w:val="24"/>
          <w:szCs w:val="24"/>
        </w:rPr>
      </w:pPr>
      <w:r w:rsidRPr="00E8426E">
        <w:rPr>
          <w:rFonts w:asciiTheme="majorBidi" w:hAnsiTheme="majorBidi" w:cstheme="majorBidi"/>
          <w:color w:val="000000"/>
          <w:sz w:val="24"/>
          <w:szCs w:val="24"/>
        </w:rPr>
        <w:t xml:space="preserve">1 ml fyldt </w:t>
      </w:r>
      <w:bookmarkStart w:id="11" w:name="_Hlk27503094"/>
      <w:r w:rsidRPr="00E8426E">
        <w:rPr>
          <w:rFonts w:asciiTheme="majorBidi" w:hAnsiTheme="majorBidi" w:cstheme="majorBidi"/>
          <w:color w:val="000000"/>
          <w:sz w:val="24"/>
          <w:szCs w:val="24"/>
        </w:rPr>
        <w:t xml:space="preserve">cyklisk </w:t>
      </w:r>
      <w:proofErr w:type="spellStart"/>
      <w:r w:rsidRPr="00E8426E">
        <w:rPr>
          <w:rFonts w:asciiTheme="majorBidi" w:hAnsiTheme="majorBidi" w:cstheme="majorBidi"/>
          <w:color w:val="000000"/>
          <w:sz w:val="24"/>
          <w:szCs w:val="24"/>
        </w:rPr>
        <w:t>olefin-copolymer</w:t>
      </w:r>
      <w:bookmarkEnd w:id="11"/>
      <w:proofErr w:type="spellEnd"/>
      <w:r w:rsidRPr="00E8426E">
        <w:rPr>
          <w:rFonts w:asciiTheme="majorBidi" w:hAnsiTheme="majorBidi" w:cstheme="majorBidi"/>
          <w:color w:val="000000"/>
          <w:sz w:val="24"/>
          <w:szCs w:val="24"/>
        </w:rPr>
        <w:t xml:space="preserve"> sprøjte med </w:t>
      </w:r>
      <w:proofErr w:type="spellStart"/>
      <w:r w:rsidRPr="00E8426E">
        <w:rPr>
          <w:rFonts w:asciiTheme="majorBidi" w:hAnsiTheme="majorBidi" w:cstheme="majorBidi"/>
          <w:color w:val="000000"/>
          <w:sz w:val="24"/>
          <w:szCs w:val="24"/>
        </w:rPr>
        <w:t>brombutylgummispidshætte</w:t>
      </w:r>
      <w:proofErr w:type="spellEnd"/>
      <w:r w:rsidRPr="00E8426E">
        <w:rPr>
          <w:rFonts w:asciiTheme="majorBidi" w:hAnsiTheme="majorBidi" w:cstheme="majorBidi"/>
          <w:color w:val="000000"/>
          <w:sz w:val="24"/>
          <w:szCs w:val="24"/>
        </w:rPr>
        <w:t xml:space="preserve"> og stempelprop samt stempelstang i polypropylen.</w:t>
      </w:r>
    </w:p>
    <w:p w:rsidR="008E026E" w:rsidRPr="00E8426E" w:rsidRDefault="008E026E" w:rsidP="008E026E">
      <w:pPr>
        <w:tabs>
          <w:tab w:val="left" w:pos="851"/>
        </w:tabs>
        <w:ind w:left="851"/>
        <w:contextualSpacing/>
        <w:rPr>
          <w:rFonts w:asciiTheme="majorBidi" w:hAnsiTheme="majorBidi" w:cstheme="majorBidi"/>
          <w:color w:val="000000"/>
          <w:sz w:val="24"/>
          <w:szCs w:val="24"/>
        </w:rPr>
      </w:pPr>
      <w:r w:rsidRPr="00E8426E">
        <w:rPr>
          <w:rFonts w:asciiTheme="majorBidi" w:hAnsiTheme="majorBidi" w:cstheme="majorBidi"/>
          <w:color w:val="000000" w:themeColor="text1"/>
          <w:sz w:val="24"/>
          <w:szCs w:val="24"/>
        </w:rPr>
        <w:t>Hver fyldt sprøjte leveres i en pose af alufolie-laminat, der indeholder et iltabsorberende middel. Posen er pakket i en æske, som også indeholder en sikkerhedskanyle (19 G 16 mm)</w:t>
      </w:r>
    </w:p>
    <w:p w:rsidR="008E026E" w:rsidRPr="00E8426E" w:rsidRDefault="008E026E" w:rsidP="008E026E">
      <w:pPr>
        <w:tabs>
          <w:tab w:val="left" w:pos="851"/>
        </w:tabs>
        <w:contextualSpacing/>
        <w:rPr>
          <w:rFonts w:asciiTheme="majorBidi" w:hAnsiTheme="majorBidi" w:cstheme="majorBidi"/>
          <w:color w:val="000000"/>
          <w:sz w:val="24"/>
          <w:szCs w:val="24"/>
        </w:rPr>
      </w:pPr>
    </w:p>
    <w:p w:rsidR="008E026E" w:rsidRPr="00E8426E" w:rsidRDefault="008E026E" w:rsidP="008E026E">
      <w:pPr>
        <w:tabs>
          <w:tab w:val="left" w:pos="851"/>
        </w:tabs>
        <w:contextualSpacing/>
        <w:rPr>
          <w:rFonts w:asciiTheme="majorBidi" w:hAnsiTheme="majorBidi" w:cstheme="majorBidi"/>
          <w:b/>
          <w:color w:val="000000"/>
          <w:sz w:val="24"/>
          <w:szCs w:val="24"/>
          <w:u w:val="single"/>
        </w:rPr>
      </w:pPr>
      <w:r>
        <w:rPr>
          <w:rFonts w:asciiTheme="majorBidi" w:hAnsiTheme="majorBidi" w:cstheme="majorBidi"/>
          <w:color w:val="000000"/>
          <w:sz w:val="24"/>
          <w:szCs w:val="24"/>
        </w:rPr>
        <w:tab/>
      </w:r>
      <w:proofErr w:type="spellStart"/>
      <w:r w:rsidRPr="00E8426E">
        <w:rPr>
          <w:rFonts w:asciiTheme="majorBidi" w:hAnsiTheme="majorBidi" w:cstheme="majorBidi"/>
          <w:color w:val="000000"/>
          <w:sz w:val="24"/>
          <w:szCs w:val="24"/>
          <w:u w:val="single"/>
        </w:rPr>
        <w:t>Subutex</w:t>
      </w:r>
      <w:proofErr w:type="spellEnd"/>
      <w:r w:rsidRPr="00E8426E">
        <w:rPr>
          <w:rFonts w:asciiTheme="majorBidi" w:hAnsiTheme="majorBidi" w:cstheme="majorBidi"/>
          <w:color w:val="000000"/>
          <w:sz w:val="24"/>
          <w:szCs w:val="24"/>
          <w:u w:val="single"/>
        </w:rPr>
        <w:t xml:space="preserve"> 300 mg depotinjektionsvæske, opløsning</w:t>
      </w:r>
    </w:p>
    <w:p w:rsidR="008E026E" w:rsidRPr="00E8426E" w:rsidRDefault="008E026E" w:rsidP="008E026E">
      <w:pPr>
        <w:tabs>
          <w:tab w:val="left" w:pos="851"/>
        </w:tabs>
        <w:ind w:left="851"/>
        <w:contextualSpacing/>
        <w:rPr>
          <w:rFonts w:asciiTheme="majorBidi" w:hAnsiTheme="majorBidi" w:cstheme="majorBidi"/>
          <w:bCs/>
          <w:color w:val="000000"/>
          <w:sz w:val="24"/>
          <w:szCs w:val="24"/>
        </w:rPr>
      </w:pPr>
      <w:r w:rsidRPr="00E8426E">
        <w:rPr>
          <w:rFonts w:asciiTheme="majorBidi" w:hAnsiTheme="majorBidi" w:cstheme="majorBidi"/>
          <w:color w:val="000000"/>
          <w:sz w:val="24"/>
          <w:szCs w:val="24"/>
        </w:rPr>
        <w:t xml:space="preserve">2,25 ml fyldt cyklisk </w:t>
      </w:r>
      <w:proofErr w:type="spellStart"/>
      <w:r w:rsidRPr="00E8426E">
        <w:rPr>
          <w:rFonts w:asciiTheme="majorBidi" w:hAnsiTheme="majorBidi" w:cstheme="majorBidi"/>
          <w:color w:val="000000"/>
          <w:sz w:val="24"/>
          <w:szCs w:val="24"/>
        </w:rPr>
        <w:t>olefin-copolymer</w:t>
      </w:r>
      <w:proofErr w:type="spellEnd"/>
      <w:r w:rsidRPr="00E8426E">
        <w:rPr>
          <w:rFonts w:asciiTheme="majorBidi" w:hAnsiTheme="majorBidi" w:cstheme="majorBidi"/>
          <w:color w:val="000000"/>
          <w:sz w:val="24"/>
          <w:szCs w:val="24"/>
        </w:rPr>
        <w:t xml:space="preserve"> sprøjte med </w:t>
      </w:r>
      <w:proofErr w:type="spellStart"/>
      <w:r w:rsidRPr="00E8426E">
        <w:rPr>
          <w:rFonts w:asciiTheme="majorBidi" w:hAnsiTheme="majorBidi" w:cstheme="majorBidi"/>
          <w:color w:val="000000"/>
          <w:sz w:val="24"/>
          <w:szCs w:val="24"/>
        </w:rPr>
        <w:t>brombutylgummispidshætte</w:t>
      </w:r>
      <w:proofErr w:type="spellEnd"/>
      <w:r w:rsidRPr="00E8426E">
        <w:rPr>
          <w:rFonts w:asciiTheme="majorBidi" w:hAnsiTheme="majorBidi" w:cstheme="majorBidi"/>
          <w:color w:val="000000"/>
          <w:sz w:val="24"/>
          <w:szCs w:val="24"/>
        </w:rPr>
        <w:t xml:space="preserve"> og stempelprop samt stempelstang i polypropylen.</w:t>
      </w:r>
    </w:p>
    <w:p w:rsidR="008E026E" w:rsidRPr="00E8426E" w:rsidRDefault="008E026E" w:rsidP="008E026E">
      <w:pPr>
        <w:tabs>
          <w:tab w:val="left" w:pos="851"/>
        </w:tabs>
        <w:ind w:left="851"/>
        <w:contextualSpacing/>
        <w:rPr>
          <w:rFonts w:asciiTheme="majorBidi" w:hAnsiTheme="majorBidi" w:cstheme="majorBidi"/>
          <w:color w:val="000000"/>
          <w:sz w:val="24"/>
          <w:szCs w:val="24"/>
        </w:rPr>
      </w:pPr>
      <w:r w:rsidRPr="00E8426E">
        <w:rPr>
          <w:rFonts w:asciiTheme="majorBidi" w:hAnsiTheme="majorBidi" w:cstheme="majorBidi"/>
          <w:color w:val="000000" w:themeColor="text1"/>
          <w:sz w:val="24"/>
          <w:szCs w:val="24"/>
        </w:rPr>
        <w:t>Hver fyldt sprøjte leveres i en pose af alufolie-laminat, der indeholder et iltabsorberende middel. Posen er pakket i en æske, som også indeholder en sikkerhedskanyle (19 G 16 mm)</w:t>
      </w:r>
    </w:p>
    <w:p w:rsidR="009260DE" w:rsidRPr="00C84483" w:rsidRDefault="009260DE" w:rsidP="00AB310F">
      <w:pPr>
        <w:tabs>
          <w:tab w:val="left" w:pos="851"/>
        </w:tabs>
        <w:ind w:left="851"/>
        <w:rPr>
          <w:sz w:val="24"/>
          <w:szCs w:val="24"/>
        </w:rPr>
      </w:pPr>
    </w:p>
    <w:p w:rsidR="009260DE" w:rsidRPr="00C84483" w:rsidRDefault="009260DE" w:rsidP="00AB310F">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8E026E">
        <w:rPr>
          <w:b/>
          <w:sz w:val="24"/>
          <w:szCs w:val="24"/>
        </w:rPr>
        <w:t xml:space="preserve">bortskaffelse </w:t>
      </w:r>
      <w:r w:rsidRPr="00C84483">
        <w:rPr>
          <w:b/>
          <w:sz w:val="24"/>
          <w:szCs w:val="24"/>
        </w:rPr>
        <w:t>og anden håndtering</w:t>
      </w:r>
    </w:p>
    <w:p w:rsidR="00A906BC" w:rsidRPr="00A906BC" w:rsidRDefault="00A906BC" w:rsidP="00AB310F">
      <w:pPr>
        <w:tabs>
          <w:tab w:val="left" w:pos="851"/>
        </w:tabs>
        <w:ind w:left="851"/>
        <w:rPr>
          <w:b/>
          <w:sz w:val="24"/>
          <w:szCs w:val="24"/>
          <w:u w:val="single"/>
        </w:rPr>
      </w:pPr>
    </w:p>
    <w:p w:rsidR="008E026E" w:rsidRPr="00E8426E" w:rsidRDefault="008E026E" w:rsidP="008E026E">
      <w:pPr>
        <w:ind w:left="851"/>
        <w:contextualSpacing/>
        <w:rPr>
          <w:rFonts w:asciiTheme="majorBidi" w:hAnsiTheme="majorBidi" w:cstheme="majorBidi"/>
          <w:sz w:val="24"/>
          <w:szCs w:val="24"/>
        </w:rPr>
      </w:pPr>
      <w:r w:rsidRPr="00E8426E">
        <w:rPr>
          <w:rFonts w:asciiTheme="majorBidi" w:hAnsiTheme="majorBidi" w:cstheme="majorBidi"/>
          <w:sz w:val="24"/>
          <w:szCs w:val="24"/>
        </w:rPr>
        <w:t>Efter administration låses kanylebeskytteren på plads ved at skubbe den mod en hård overflade såsom et bord.</w:t>
      </w:r>
    </w:p>
    <w:p w:rsidR="008E026E" w:rsidRPr="00E8426E" w:rsidRDefault="008E026E" w:rsidP="008E026E">
      <w:pPr>
        <w:ind w:left="851"/>
        <w:contextualSpacing/>
        <w:rPr>
          <w:rFonts w:asciiTheme="majorBidi" w:hAnsiTheme="majorBidi" w:cstheme="majorBidi"/>
          <w:sz w:val="24"/>
          <w:szCs w:val="24"/>
        </w:rPr>
      </w:pPr>
      <w:r w:rsidRPr="00E8426E">
        <w:rPr>
          <w:rFonts w:asciiTheme="majorBidi" w:hAnsiTheme="majorBidi" w:cstheme="majorBidi"/>
          <w:sz w:val="24"/>
          <w:szCs w:val="24"/>
        </w:rPr>
        <w:t>Bortskaf alle dele af den fyldte sprøjte i en kanyleboks.</w:t>
      </w:r>
    </w:p>
    <w:p w:rsidR="008E026E" w:rsidRPr="00E8426E" w:rsidRDefault="008E026E" w:rsidP="008E026E">
      <w:pPr>
        <w:contextualSpacing/>
        <w:rPr>
          <w:rFonts w:asciiTheme="majorBidi" w:hAnsiTheme="majorBidi" w:cstheme="majorBidi"/>
          <w:sz w:val="24"/>
          <w:szCs w:val="24"/>
        </w:rPr>
      </w:pPr>
    </w:p>
    <w:p w:rsidR="008E026E" w:rsidRPr="00E8426E" w:rsidRDefault="008E026E" w:rsidP="008E026E">
      <w:pPr>
        <w:ind w:left="851"/>
        <w:contextualSpacing/>
        <w:rPr>
          <w:rFonts w:asciiTheme="majorBidi" w:hAnsiTheme="majorBidi" w:cstheme="majorBidi"/>
          <w:sz w:val="24"/>
          <w:szCs w:val="24"/>
        </w:rPr>
      </w:pPr>
      <w:r w:rsidRPr="00E8426E">
        <w:rPr>
          <w:rFonts w:asciiTheme="majorBidi" w:hAnsiTheme="majorBidi" w:cstheme="majorBidi"/>
          <w:sz w:val="24"/>
          <w:szCs w:val="24"/>
        </w:rPr>
        <w:t xml:space="preserve">Ikke anvendt lægemiddel samt affald heraf skal bortskaffes i henhold til lokale retningslinjer. </w:t>
      </w:r>
    </w:p>
    <w:p w:rsidR="00A906BC" w:rsidRPr="00A906BC" w:rsidRDefault="00A906BC" w:rsidP="00921F1F">
      <w:pPr>
        <w:tabs>
          <w:tab w:val="left" w:pos="851"/>
        </w:tabs>
        <w:ind w:left="851"/>
        <w:rPr>
          <w:sz w:val="24"/>
          <w:szCs w:val="24"/>
        </w:rPr>
      </w:pPr>
    </w:p>
    <w:p w:rsidR="00A906BC" w:rsidRPr="00A906BC" w:rsidRDefault="00A906BC" w:rsidP="00A906BC">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906BC" w:rsidRPr="00275191" w:rsidRDefault="00A906BC" w:rsidP="00A906BC">
      <w:pPr>
        <w:tabs>
          <w:tab w:val="left" w:pos="851"/>
        </w:tabs>
        <w:ind w:left="851"/>
        <w:rPr>
          <w:sz w:val="24"/>
          <w:szCs w:val="24"/>
        </w:rPr>
      </w:pPr>
      <w:proofErr w:type="spellStart"/>
      <w:r w:rsidRPr="00275191">
        <w:rPr>
          <w:sz w:val="24"/>
          <w:szCs w:val="24"/>
        </w:rPr>
        <w:t>Indivior</w:t>
      </w:r>
      <w:proofErr w:type="spellEnd"/>
      <w:r w:rsidRPr="00275191">
        <w:rPr>
          <w:sz w:val="24"/>
          <w:szCs w:val="24"/>
        </w:rPr>
        <w:t xml:space="preserve"> Europe Limited</w:t>
      </w:r>
    </w:p>
    <w:p w:rsidR="005D06C1" w:rsidRDefault="00A906BC" w:rsidP="00A906BC">
      <w:pPr>
        <w:tabs>
          <w:tab w:val="left" w:pos="851"/>
        </w:tabs>
        <w:ind w:left="851"/>
        <w:rPr>
          <w:sz w:val="24"/>
          <w:szCs w:val="24"/>
          <w:lang w:val="en-US"/>
        </w:rPr>
      </w:pPr>
      <w:r w:rsidRPr="00A906BC">
        <w:rPr>
          <w:sz w:val="24"/>
          <w:szCs w:val="24"/>
          <w:lang w:val="en-US"/>
        </w:rPr>
        <w:t>27 Windsor Place</w:t>
      </w:r>
    </w:p>
    <w:p w:rsidR="008E026E" w:rsidRPr="00D4452E" w:rsidRDefault="008E026E" w:rsidP="00A906BC">
      <w:pPr>
        <w:tabs>
          <w:tab w:val="left" w:pos="851"/>
        </w:tabs>
        <w:ind w:left="851"/>
        <w:rPr>
          <w:sz w:val="24"/>
          <w:szCs w:val="24"/>
          <w:lang w:val="en-US"/>
        </w:rPr>
      </w:pPr>
      <w:r w:rsidRPr="00D4452E">
        <w:rPr>
          <w:sz w:val="24"/>
          <w:szCs w:val="24"/>
          <w:lang w:val="en-US"/>
        </w:rPr>
        <w:t xml:space="preserve">DO2 DK44 </w:t>
      </w:r>
      <w:r w:rsidR="00A906BC" w:rsidRPr="00D4452E">
        <w:rPr>
          <w:sz w:val="24"/>
          <w:szCs w:val="24"/>
          <w:lang w:val="en-US"/>
        </w:rPr>
        <w:t>Dublin 2</w:t>
      </w:r>
    </w:p>
    <w:p w:rsidR="00A906BC" w:rsidRPr="008E026E" w:rsidRDefault="00A906BC" w:rsidP="00A906BC">
      <w:pPr>
        <w:tabs>
          <w:tab w:val="left" w:pos="851"/>
        </w:tabs>
        <w:ind w:left="851"/>
        <w:rPr>
          <w:sz w:val="24"/>
          <w:szCs w:val="24"/>
        </w:rPr>
      </w:pPr>
      <w:r w:rsidRPr="008E026E">
        <w:rPr>
          <w:sz w:val="24"/>
          <w:szCs w:val="24"/>
        </w:rPr>
        <w:t>Irland</w:t>
      </w:r>
    </w:p>
    <w:p w:rsidR="009260DE" w:rsidRPr="008E026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8E026E">
        <w:rPr>
          <w:b/>
          <w:sz w:val="24"/>
          <w:szCs w:val="24"/>
        </w:rPr>
        <w:t>-</w:t>
      </w:r>
      <w:r w:rsidRPr="00C84483">
        <w:rPr>
          <w:b/>
          <w:sz w:val="24"/>
          <w:szCs w:val="24"/>
        </w:rPr>
        <w:t>NUMRE)</w:t>
      </w:r>
    </w:p>
    <w:p w:rsidR="009260DE" w:rsidRDefault="00A906BC" w:rsidP="00C56177">
      <w:pPr>
        <w:tabs>
          <w:tab w:val="left" w:pos="851"/>
          <w:tab w:val="left" w:pos="1701"/>
        </w:tabs>
        <w:ind w:left="851"/>
        <w:rPr>
          <w:sz w:val="24"/>
          <w:szCs w:val="24"/>
        </w:rPr>
      </w:pPr>
      <w:r>
        <w:rPr>
          <w:sz w:val="24"/>
          <w:szCs w:val="24"/>
        </w:rPr>
        <w:t>100 mg:</w:t>
      </w:r>
      <w:r>
        <w:rPr>
          <w:sz w:val="24"/>
          <w:szCs w:val="24"/>
        </w:rPr>
        <w:tab/>
      </w:r>
      <w:r w:rsidR="00C56177">
        <w:rPr>
          <w:sz w:val="24"/>
          <w:szCs w:val="24"/>
        </w:rPr>
        <w:t>61964</w:t>
      </w:r>
    </w:p>
    <w:p w:rsidR="00A906BC" w:rsidRPr="00C84483" w:rsidRDefault="00A906BC" w:rsidP="00C56177">
      <w:pPr>
        <w:tabs>
          <w:tab w:val="left" w:pos="851"/>
          <w:tab w:val="left" w:pos="1701"/>
        </w:tabs>
        <w:ind w:left="851"/>
        <w:rPr>
          <w:sz w:val="24"/>
          <w:szCs w:val="24"/>
        </w:rPr>
      </w:pPr>
      <w:r>
        <w:rPr>
          <w:sz w:val="24"/>
          <w:szCs w:val="24"/>
        </w:rPr>
        <w:t>300 mg:</w:t>
      </w:r>
      <w:r>
        <w:rPr>
          <w:sz w:val="24"/>
          <w:szCs w:val="24"/>
        </w:rPr>
        <w:tab/>
      </w:r>
      <w:r w:rsidR="00C56177">
        <w:rPr>
          <w:sz w:val="24"/>
          <w:szCs w:val="24"/>
        </w:rPr>
        <w:t>61965</w:t>
      </w:r>
    </w:p>
    <w:p w:rsidR="009260DE" w:rsidRPr="00C84483" w:rsidRDefault="009260DE" w:rsidP="00C56177">
      <w:pPr>
        <w:tabs>
          <w:tab w:val="left" w:pos="851"/>
          <w:tab w:val="left" w:pos="170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C56177" w:rsidP="009260DE">
      <w:pPr>
        <w:tabs>
          <w:tab w:val="left" w:pos="851"/>
        </w:tabs>
        <w:ind w:left="851"/>
        <w:rPr>
          <w:sz w:val="24"/>
          <w:szCs w:val="24"/>
        </w:rPr>
      </w:pPr>
      <w:r>
        <w:rPr>
          <w:sz w:val="24"/>
          <w:szCs w:val="24"/>
        </w:rPr>
        <w:t>14. maj 1999 (</w:t>
      </w:r>
      <w:proofErr w:type="spellStart"/>
      <w:r w:rsidR="002C5199">
        <w:rPr>
          <w:sz w:val="24"/>
          <w:szCs w:val="24"/>
        </w:rPr>
        <w:t>Subutex</w:t>
      </w:r>
      <w:proofErr w:type="spellEnd"/>
      <w:r w:rsidR="002C5199">
        <w:rPr>
          <w:sz w:val="24"/>
          <w:szCs w:val="24"/>
        </w:rPr>
        <w:t xml:space="preserve"> </w:t>
      </w:r>
      <w:proofErr w:type="spellStart"/>
      <w:r w:rsidR="002C5199">
        <w:rPr>
          <w:sz w:val="24"/>
          <w:szCs w:val="24"/>
        </w:rPr>
        <w:t>resoribletter</w:t>
      </w:r>
      <w:proofErr w:type="spellEnd"/>
      <w:r w:rsidR="002C5199">
        <w:rPr>
          <w:sz w:val="24"/>
          <w:szCs w:val="24"/>
        </w:rPr>
        <w:t xml:space="preserve"> 0,4 mg, 2 mg og 8 mg)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744BF0" w:rsidP="00E75DE6">
      <w:pPr>
        <w:tabs>
          <w:tab w:val="left" w:pos="851"/>
        </w:tabs>
        <w:ind w:left="851"/>
        <w:rPr>
          <w:sz w:val="24"/>
          <w:szCs w:val="24"/>
        </w:rPr>
      </w:pPr>
      <w:r>
        <w:rPr>
          <w:sz w:val="24"/>
          <w:szCs w:val="24"/>
        </w:rPr>
        <w:t>1</w:t>
      </w:r>
      <w:r w:rsidR="00C72CB7">
        <w:rPr>
          <w:sz w:val="24"/>
          <w:szCs w:val="24"/>
        </w:rPr>
        <w:t>4</w:t>
      </w:r>
      <w:r w:rsidR="00005AE4">
        <w:rPr>
          <w:sz w:val="24"/>
          <w:szCs w:val="24"/>
        </w:rPr>
        <w:t>.</w:t>
      </w:r>
      <w:r w:rsidR="00C76D47">
        <w:rPr>
          <w:sz w:val="24"/>
          <w:szCs w:val="24"/>
        </w:rPr>
        <w:t xml:space="preserve"> </w:t>
      </w:r>
      <w:r w:rsidR="00C214EC">
        <w:rPr>
          <w:sz w:val="24"/>
          <w:szCs w:val="24"/>
        </w:rPr>
        <w:t>februar 2</w:t>
      </w:r>
      <w:bookmarkStart w:id="12" w:name="_GoBack"/>
      <w:bookmarkEnd w:id="12"/>
      <w:r w:rsidR="00C214EC">
        <w:rPr>
          <w:sz w:val="24"/>
          <w:szCs w:val="24"/>
        </w:rPr>
        <w:t>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7BF" w:rsidRDefault="003517BF">
      <w:r>
        <w:separator/>
      </w:r>
    </w:p>
  </w:endnote>
  <w:endnote w:type="continuationSeparator" w:id="0">
    <w:p w:rsidR="003517BF" w:rsidRDefault="0035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7BF" w:rsidRDefault="003517BF">
    <w:pPr>
      <w:pStyle w:val="Sidefod"/>
      <w:pBdr>
        <w:bottom w:val="single" w:sz="6" w:space="1" w:color="auto"/>
      </w:pBdr>
    </w:pPr>
  </w:p>
  <w:p w:rsidR="003517BF" w:rsidRDefault="003517BF" w:rsidP="00C42586">
    <w:pPr>
      <w:pStyle w:val="Sidefod"/>
      <w:tabs>
        <w:tab w:val="clear" w:pos="4819"/>
        <w:tab w:val="left" w:pos="8505"/>
      </w:tabs>
      <w:rPr>
        <w:i/>
        <w:sz w:val="18"/>
        <w:szCs w:val="18"/>
      </w:rPr>
    </w:pPr>
  </w:p>
  <w:p w:rsidR="003517BF" w:rsidRPr="00B373D7" w:rsidRDefault="003517B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Subutex, depotinjektionsvæske, opløsning 100 mg og 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7BF" w:rsidRDefault="003517BF">
      <w:r>
        <w:separator/>
      </w:r>
    </w:p>
  </w:footnote>
  <w:footnote w:type="continuationSeparator" w:id="0">
    <w:p w:rsidR="003517BF" w:rsidRDefault="00351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87B"/>
    <w:multiLevelType w:val="hybridMultilevel"/>
    <w:tmpl w:val="560C69E6"/>
    <w:lvl w:ilvl="0" w:tplc="FB04764A">
      <w:start w:val="4"/>
      <w:numFmt w:val="bullet"/>
      <w:lvlText w:val="-"/>
      <w:lvlJc w:val="left"/>
      <w:pPr>
        <w:ind w:left="927" w:hanging="360"/>
      </w:pPr>
      <w:rPr>
        <w:rFonts w:ascii="Times New Roman" w:eastAsia="SimSu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 w15:restartNumberingAfterBreak="0">
    <w:nsid w:val="109E3F2A"/>
    <w:multiLevelType w:val="hybridMultilevel"/>
    <w:tmpl w:val="D98A26C4"/>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2" w15:restartNumberingAfterBreak="0">
    <w:nsid w:val="122A7D03"/>
    <w:multiLevelType w:val="hybridMultilevel"/>
    <w:tmpl w:val="3E968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F3C6D64"/>
    <w:multiLevelType w:val="hybridMultilevel"/>
    <w:tmpl w:val="D2D24356"/>
    <w:lvl w:ilvl="0" w:tplc="89A61B56">
      <w:start w:val="1"/>
      <w:numFmt w:val="bullet"/>
      <w:lvlText w:val="–"/>
      <w:lvlJc w:val="left"/>
      <w:pPr>
        <w:ind w:left="2988" w:hanging="360"/>
      </w:pPr>
      <w:rPr>
        <w:rFonts w:ascii="Times New Roman" w:eastAsia="Times New Roman" w:hAnsi="Times New Roman" w:cs="Times New Roman" w:hint="default"/>
      </w:rPr>
    </w:lvl>
    <w:lvl w:ilvl="1" w:tplc="08090003">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B1F03CA"/>
    <w:multiLevelType w:val="hybridMultilevel"/>
    <w:tmpl w:val="2B0A7A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66A46F33"/>
    <w:multiLevelType w:val="hybridMultilevel"/>
    <w:tmpl w:val="F6FCDB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905C44"/>
    <w:multiLevelType w:val="hybridMultilevel"/>
    <w:tmpl w:val="CEB8206E"/>
    <w:lvl w:ilvl="0" w:tplc="E9ACE848">
      <w:start w:val="1"/>
      <w:numFmt w:val="bullet"/>
      <w:lvlText w:val=""/>
      <w:lvlJc w:val="left"/>
      <w:pPr>
        <w:tabs>
          <w:tab w:val="num" w:pos="900"/>
        </w:tabs>
        <w:ind w:left="900" w:hanging="54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022046"/>
    <w:multiLevelType w:val="hybridMultilevel"/>
    <w:tmpl w:val="C3A41F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12"/>
  </w:num>
  <w:num w:numId="9">
    <w:abstractNumId w:val="2"/>
  </w:num>
  <w:num w:numId="10">
    <w:abstractNumId w:val="10"/>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67"/>
    <w:rsid w:val="00005AE4"/>
    <w:rsid w:val="000259B9"/>
    <w:rsid w:val="00041491"/>
    <w:rsid w:val="00050D16"/>
    <w:rsid w:val="00070ACF"/>
    <w:rsid w:val="00074F2A"/>
    <w:rsid w:val="000A1CA8"/>
    <w:rsid w:val="000A466B"/>
    <w:rsid w:val="000B058C"/>
    <w:rsid w:val="000E4EE6"/>
    <w:rsid w:val="001454E2"/>
    <w:rsid w:val="00164D8B"/>
    <w:rsid w:val="001A2A65"/>
    <w:rsid w:val="001D242B"/>
    <w:rsid w:val="001E452A"/>
    <w:rsid w:val="0020192C"/>
    <w:rsid w:val="00202FB3"/>
    <w:rsid w:val="00206CE8"/>
    <w:rsid w:val="0021526C"/>
    <w:rsid w:val="00232CFA"/>
    <w:rsid w:val="00275191"/>
    <w:rsid w:val="00277937"/>
    <w:rsid w:val="00283A2B"/>
    <w:rsid w:val="002B30AD"/>
    <w:rsid w:val="002C1372"/>
    <w:rsid w:val="002C2C01"/>
    <w:rsid w:val="002C5199"/>
    <w:rsid w:val="0030403F"/>
    <w:rsid w:val="00312B14"/>
    <w:rsid w:val="003517BF"/>
    <w:rsid w:val="003A29AE"/>
    <w:rsid w:val="003A32D7"/>
    <w:rsid w:val="003B4074"/>
    <w:rsid w:val="003C4EAC"/>
    <w:rsid w:val="003C769A"/>
    <w:rsid w:val="003C7B72"/>
    <w:rsid w:val="003E1184"/>
    <w:rsid w:val="003E6E00"/>
    <w:rsid w:val="003F1838"/>
    <w:rsid w:val="003F35A0"/>
    <w:rsid w:val="004131BA"/>
    <w:rsid w:val="0045099B"/>
    <w:rsid w:val="0045746C"/>
    <w:rsid w:val="0049104B"/>
    <w:rsid w:val="004B15F8"/>
    <w:rsid w:val="004E3B12"/>
    <w:rsid w:val="0051619C"/>
    <w:rsid w:val="00532310"/>
    <w:rsid w:val="00533777"/>
    <w:rsid w:val="00565F0F"/>
    <w:rsid w:val="00566E6F"/>
    <w:rsid w:val="00594A86"/>
    <w:rsid w:val="00596D86"/>
    <w:rsid w:val="005A52B6"/>
    <w:rsid w:val="005D06C1"/>
    <w:rsid w:val="005E3D95"/>
    <w:rsid w:val="00625248"/>
    <w:rsid w:val="006340F6"/>
    <w:rsid w:val="00637F5A"/>
    <w:rsid w:val="006560B1"/>
    <w:rsid w:val="006756DD"/>
    <w:rsid w:val="00684C97"/>
    <w:rsid w:val="00695DDA"/>
    <w:rsid w:val="006A0C12"/>
    <w:rsid w:val="006B7330"/>
    <w:rsid w:val="006C7CFD"/>
    <w:rsid w:val="007109BF"/>
    <w:rsid w:val="00737275"/>
    <w:rsid w:val="00740EEC"/>
    <w:rsid w:val="00744BF0"/>
    <w:rsid w:val="0078011A"/>
    <w:rsid w:val="00782AF4"/>
    <w:rsid w:val="00790EE7"/>
    <w:rsid w:val="007B6649"/>
    <w:rsid w:val="007D43A7"/>
    <w:rsid w:val="007D6D5E"/>
    <w:rsid w:val="0082576E"/>
    <w:rsid w:val="00896A74"/>
    <w:rsid w:val="008A5BC6"/>
    <w:rsid w:val="008B196A"/>
    <w:rsid w:val="008E026E"/>
    <w:rsid w:val="008E380D"/>
    <w:rsid w:val="00902430"/>
    <w:rsid w:val="0090651F"/>
    <w:rsid w:val="00907F75"/>
    <w:rsid w:val="00910FE5"/>
    <w:rsid w:val="00921F1F"/>
    <w:rsid w:val="009260DE"/>
    <w:rsid w:val="00926A22"/>
    <w:rsid w:val="0093258A"/>
    <w:rsid w:val="009712D8"/>
    <w:rsid w:val="009C7BA3"/>
    <w:rsid w:val="009D1F5A"/>
    <w:rsid w:val="009D28ED"/>
    <w:rsid w:val="009E144E"/>
    <w:rsid w:val="00A27C81"/>
    <w:rsid w:val="00A906BC"/>
    <w:rsid w:val="00A90DD3"/>
    <w:rsid w:val="00AB310F"/>
    <w:rsid w:val="00AE7E90"/>
    <w:rsid w:val="00B003BF"/>
    <w:rsid w:val="00B373D7"/>
    <w:rsid w:val="00B768BA"/>
    <w:rsid w:val="00BA59FE"/>
    <w:rsid w:val="00BE5D58"/>
    <w:rsid w:val="00C214EC"/>
    <w:rsid w:val="00C36276"/>
    <w:rsid w:val="00C42586"/>
    <w:rsid w:val="00C55453"/>
    <w:rsid w:val="00C56177"/>
    <w:rsid w:val="00C60CCD"/>
    <w:rsid w:val="00C72CB7"/>
    <w:rsid w:val="00C73F53"/>
    <w:rsid w:val="00C74984"/>
    <w:rsid w:val="00C76D47"/>
    <w:rsid w:val="00C84483"/>
    <w:rsid w:val="00C95551"/>
    <w:rsid w:val="00CB20D7"/>
    <w:rsid w:val="00CC5F88"/>
    <w:rsid w:val="00D020AC"/>
    <w:rsid w:val="00D020B0"/>
    <w:rsid w:val="00D11748"/>
    <w:rsid w:val="00D241D9"/>
    <w:rsid w:val="00D366CF"/>
    <w:rsid w:val="00D4452E"/>
    <w:rsid w:val="00D922F8"/>
    <w:rsid w:val="00E108AA"/>
    <w:rsid w:val="00E34477"/>
    <w:rsid w:val="00E3749A"/>
    <w:rsid w:val="00E6022D"/>
    <w:rsid w:val="00E7437F"/>
    <w:rsid w:val="00E75DE6"/>
    <w:rsid w:val="00E865B8"/>
    <w:rsid w:val="00EC0B9B"/>
    <w:rsid w:val="00ED5E9F"/>
    <w:rsid w:val="00EE4AB8"/>
    <w:rsid w:val="00EF12F0"/>
    <w:rsid w:val="00F01DE9"/>
    <w:rsid w:val="00F30A67"/>
    <w:rsid w:val="00F35725"/>
    <w:rsid w:val="00F66D4F"/>
    <w:rsid w:val="00F8045D"/>
    <w:rsid w:val="00FA7A9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CC2E7"/>
  <w15:chartTrackingRefBased/>
  <w15:docId w15:val="{01A9BBD1-9F3F-4C9B-AA78-5B7DC72E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0F6"/>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3C7B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7109BF"/>
    <w:rPr>
      <w:rFonts w:ascii="Times New Roman" w:hAnsi="Times New Roman" w:cs="Times New Roman" w:hint="default"/>
      <w:color w:val="0000FF"/>
      <w:u w:val="single"/>
    </w:rPr>
  </w:style>
  <w:style w:type="character" w:customStyle="1" w:styleId="BilledtekstTegn">
    <w:name w:val="Billedtekst Tegn"/>
    <w:aliases w:val="c Tegn,Caption-FUSA Tegn,Caption Char Char Char Char Char Char Char Char Char Char Char Tegn"/>
    <w:link w:val="Billedtekst"/>
    <w:semiHidden/>
    <w:locked/>
    <w:rsid w:val="00E34477"/>
    <w:rPr>
      <w:b/>
      <w:bCs/>
    </w:rPr>
  </w:style>
  <w:style w:type="paragraph" w:styleId="Billedtekst">
    <w:name w:val="caption"/>
    <w:aliases w:val="c,Caption-FUSA,Caption Char Char Char Char Char Char Char Char Char Char Char"/>
    <w:basedOn w:val="Normal"/>
    <w:next w:val="Normal"/>
    <w:link w:val="BilledtekstTegn"/>
    <w:semiHidden/>
    <w:unhideWhenUsed/>
    <w:qFormat/>
    <w:rsid w:val="00E34477"/>
    <w:rPr>
      <w:b/>
      <w:bCs/>
      <w:sz w:val="20"/>
      <w:lang w:eastAsia="da-DK"/>
    </w:rPr>
  </w:style>
  <w:style w:type="character" w:customStyle="1" w:styleId="TableFootnoteChar">
    <w:name w:val="Table Footnote Char"/>
    <w:link w:val="TableFootnote"/>
    <w:uiPriority w:val="99"/>
    <w:locked/>
    <w:rsid w:val="00E34477"/>
    <w:rPr>
      <w:rFonts w:ascii="Arial" w:eastAsia="MS Mincho" w:hAnsi="Arial" w:cs="Arial"/>
      <w:kern w:val="20"/>
      <w:sz w:val="18"/>
      <w:lang w:val="en-US" w:eastAsia="en-US"/>
    </w:rPr>
  </w:style>
  <w:style w:type="paragraph" w:customStyle="1" w:styleId="TableFootnote">
    <w:name w:val="Table Footnote"/>
    <w:basedOn w:val="Normal"/>
    <w:next w:val="Normal"/>
    <w:link w:val="TableFootnoteChar"/>
    <w:uiPriority w:val="99"/>
    <w:qFormat/>
    <w:rsid w:val="00E34477"/>
    <w:pPr>
      <w:keepLines/>
      <w:spacing w:before="40"/>
      <w:ind w:left="360" w:hanging="360"/>
    </w:pPr>
    <w:rPr>
      <w:rFonts w:ascii="Arial" w:eastAsia="MS Mincho" w:hAnsi="Arial" w:cs="Arial"/>
      <w:kern w:val="20"/>
      <w:sz w:val="18"/>
      <w:lang w:val="en-US"/>
    </w:rPr>
  </w:style>
  <w:style w:type="character" w:customStyle="1" w:styleId="Overskrift2Tegn">
    <w:name w:val="Overskrift 2 Tegn"/>
    <w:basedOn w:val="Standardskrifttypeiafsnit"/>
    <w:link w:val="Overskrift2"/>
    <w:uiPriority w:val="9"/>
    <w:semiHidden/>
    <w:rsid w:val="003C7B72"/>
    <w:rPr>
      <w:rFonts w:asciiTheme="majorHAnsi" w:eastAsiaTheme="majorEastAsia" w:hAnsiTheme="majorHAnsi" w:cstheme="majorBidi"/>
      <w:color w:val="2E74B5" w:themeColor="accent1" w:themeShade="BF"/>
      <w:sz w:val="26"/>
      <w:szCs w:val="26"/>
      <w:lang w:eastAsia="en-US"/>
    </w:rPr>
  </w:style>
  <w:style w:type="character" w:styleId="Fremhv">
    <w:name w:val="Emphasis"/>
    <w:qFormat/>
    <w:rsid w:val="003C7B72"/>
    <w:rPr>
      <w:b/>
      <w:bCs/>
      <w:i w:val="0"/>
      <w:iCs w:val="0"/>
    </w:rPr>
  </w:style>
  <w:style w:type="paragraph" w:styleId="Listeafsnit">
    <w:name w:val="List Paragraph"/>
    <w:basedOn w:val="Normal"/>
    <w:uiPriority w:val="34"/>
    <w:qFormat/>
    <w:rsid w:val="00F01DE9"/>
    <w:pPr>
      <w:ind w:left="720"/>
      <w:contextualSpacing/>
    </w:pPr>
    <w:rPr>
      <w:rFonts w:eastAsia="SimSun"/>
      <w:sz w:val="24"/>
      <w:szCs w:val="24"/>
      <w:lang w:eastAsia="zh-CN"/>
    </w:rPr>
  </w:style>
  <w:style w:type="paragraph" w:customStyle="1" w:styleId="Default">
    <w:name w:val="Default"/>
    <w:rsid w:val="003E6E00"/>
    <w:pPr>
      <w:autoSpaceDE w:val="0"/>
      <w:autoSpaceDN w:val="0"/>
      <w:adjustRightInd w:val="0"/>
    </w:pPr>
    <w:rPr>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5612">
      <w:bodyDiv w:val="1"/>
      <w:marLeft w:val="0"/>
      <w:marRight w:val="0"/>
      <w:marTop w:val="0"/>
      <w:marBottom w:val="0"/>
      <w:divBdr>
        <w:top w:val="none" w:sz="0" w:space="0" w:color="auto"/>
        <w:left w:val="none" w:sz="0" w:space="0" w:color="auto"/>
        <w:bottom w:val="none" w:sz="0" w:space="0" w:color="auto"/>
        <w:right w:val="none" w:sz="0" w:space="0" w:color="auto"/>
      </w:divBdr>
    </w:div>
    <w:div w:id="13869558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1261436">
      <w:bodyDiv w:val="1"/>
      <w:marLeft w:val="0"/>
      <w:marRight w:val="0"/>
      <w:marTop w:val="0"/>
      <w:marBottom w:val="0"/>
      <w:divBdr>
        <w:top w:val="none" w:sz="0" w:space="0" w:color="auto"/>
        <w:left w:val="none" w:sz="0" w:space="0" w:color="auto"/>
        <w:bottom w:val="none" w:sz="0" w:space="0" w:color="auto"/>
        <w:right w:val="none" w:sz="0" w:space="0" w:color="auto"/>
      </w:divBdr>
    </w:div>
    <w:div w:id="356469022">
      <w:bodyDiv w:val="1"/>
      <w:marLeft w:val="0"/>
      <w:marRight w:val="0"/>
      <w:marTop w:val="0"/>
      <w:marBottom w:val="0"/>
      <w:divBdr>
        <w:top w:val="none" w:sz="0" w:space="0" w:color="auto"/>
        <w:left w:val="none" w:sz="0" w:space="0" w:color="auto"/>
        <w:bottom w:val="none" w:sz="0" w:space="0" w:color="auto"/>
        <w:right w:val="none" w:sz="0" w:space="0" w:color="auto"/>
      </w:divBdr>
    </w:div>
    <w:div w:id="386078116">
      <w:bodyDiv w:val="1"/>
      <w:marLeft w:val="0"/>
      <w:marRight w:val="0"/>
      <w:marTop w:val="0"/>
      <w:marBottom w:val="0"/>
      <w:divBdr>
        <w:top w:val="none" w:sz="0" w:space="0" w:color="auto"/>
        <w:left w:val="none" w:sz="0" w:space="0" w:color="auto"/>
        <w:bottom w:val="none" w:sz="0" w:space="0" w:color="auto"/>
        <w:right w:val="none" w:sz="0" w:space="0" w:color="auto"/>
      </w:divBdr>
    </w:div>
    <w:div w:id="411395254">
      <w:bodyDiv w:val="1"/>
      <w:marLeft w:val="0"/>
      <w:marRight w:val="0"/>
      <w:marTop w:val="0"/>
      <w:marBottom w:val="0"/>
      <w:divBdr>
        <w:top w:val="none" w:sz="0" w:space="0" w:color="auto"/>
        <w:left w:val="none" w:sz="0" w:space="0" w:color="auto"/>
        <w:bottom w:val="none" w:sz="0" w:space="0" w:color="auto"/>
        <w:right w:val="none" w:sz="0" w:space="0" w:color="auto"/>
      </w:divBdr>
    </w:div>
    <w:div w:id="413360156">
      <w:bodyDiv w:val="1"/>
      <w:marLeft w:val="0"/>
      <w:marRight w:val="0"/>
      <w:marTop w:val="0"/>
      <w:marBottom w:val="0"/>
      <w:divBdr>
        <w:top w:val="none" w:sz="0" w:space="0" w:color="auto"/>
        <w:left w:val="none" w:sz="0" w:space="0" w:color="auto"/>
        <w:bottom w:val="none" w:sz="0" w:space="0" w:color="auto"/>
        <w:right w:val="none" w:sz="0" w:space="0" w:color="auto"/>
      </w:divBdr>
    </w:div>
    <w:div w:id="468325493">
      <w:bodyDiv w:val="1"/>
      <w:marLeft w:val="0"/>
      <w:marRight w:val="0"/>
      <w:marTop w:val="0"/>
      <w:marBottom w:val="0"/>
      <w:divBdr>
        <w:top w:val="none" w:sz="0" w:space="0" w:color="auto"/>
        <w:left w:val="none" w:sz="0" w:space="0" w:color="auto"/>
        <w:bottom w:val="none" w:sz="0" w:space="0" w:color="auto"/>
        <w:right w:val="none" w:sz="0" w:space="0" w:color="auto"/>
      </w:divBdr>
    </w:div>
    <w:div w:id="531386813">
      <w:bodyDiv w:val="1"/>
      <w:marLeft w:val="0"/>
      <w:marRight w:val="0"/>
      <w:marTop w:val="0"/>
      <w:marBottom w:val="0"/>
      <w:divBdr>
        <w:top w:val="none" w:sz="0" w:space="0" w:color="auto"/>
        <w:left w:val="none" w:sz="0" w:space="0" w:color="auto"/>
        <w:bottom w:val="none" w:sz="0" w:space="0" w:color="auto"/>
        <w:right w:val="none" w:sz="0" w:space="0" w:color="auto"/>
      </w:divBdr>
    </w:div>
    <w:div w:id="576400113">
      <w:bodyDiv w:val="1"/>
      <w:marLeft w:val="0"/>
      <w:marRight w:val="0"/>
      <w:marTop w:val="0"/>
      <w:marBottom w:val="0"/>
      <w:divBdr>
        <w:top w:val="none" w:sz="0" w:space="0" w:color="auto"/>
        <w:left w:val="none" w:sz="0" w:space="0" w:color="auto"/>
        <w:bottom w:val="none" w:sz="0" w:space="0" w:color="auto"/>
        <w:right w:val="none" w:sz="0" w:space="0" w:color="auto"/>
      </w:divBdr>
    </w:div>
    <w:div w:id="733429479">
      <w:bodyDiv w:val="1"/>
      <w:marLeft w:val="0"/>
      <w:marRight w:val="0"/>
      <w:marTop w:val="0"/>
      <w:marBottom w:val="0"/>
      <w:divBdr>
        <w:top w:val="none" w:sz="0" w:space="0" w:color="auto"/>
        <w:left w:val="none" w:sz="0" w:space="0" w:color="auto"/>
        <w:bottom w:val="none" w:sz="0" w:space="0" w:color="auto"/>
        <w:right w:val="none" w:sz="0" w:space="0" w:color="auto"/>
      </w:divBdr>
    </w:div>
    <w:div w:id="913007719">
      <w:bodyDiv w:val="1"/>
      <w:marLeft w:val="0"/>
      <w:marRight w:val="0"/>
      <w:marTop w:val="0"/>
      <w:marBottom w:val="0"/>
      <w:divBdr>
        <w:top w:val="none" w:sz="0" w:space="0" w:color="auto"/>
        <w:left w:val="none" w:sz="0" w:space="0" w:color="auto"/>
        <w:bottom w:val="none" w:sz="0" w:space="0" w:color="auto"/>
        <w:right w:val="none" w:sz="0" w:space="0" w:color="auto"/>
      </w:divBdr>
    </w:div>
    <w:div w:id="958729232">
      <w:bodyDiv w:val="1"/>
      <w:marLeft w:val="0"/>
      <w:marRight w:val="0"/>
      <w:marTop w:val="0"/>
      <w:marBottom w:val="0"/>
      <w:divBdr>
        <w:top w:val="none" w:sz="0" w:space="0" w:color="auto"/>
        <w:left w:val="none" w:sz="0" w:space="0" w:color="auto"/>
        <w:bottom w:val="none" w:sz="0" w:space="0" w:color="auto"/>
        <w:right w:val="none" w:sz="0" w:space="0" w:color="auto"/>
      </w:divBdr>
    </w:div>
    <w:div w:id="976453405">
      <w:bodyDiv w:val="1"/>
      <w:marLeft w:val="0"/>
      <w:marRight w:val="0"/>
      <w:marTop w:val="0"/>
      <w:marBottom w:val="0"/>
      <w:divBdr>
        <w:top w:val="none" w:sz="0" w:space="0" w:color="auto"/>
        <w:left w:val="none" w:sz="0" w:space="0" w:color="auto"/>
        <w:bottom w:val="none" w:sz="0" w:space="0" w:color="auto"/>
        <w:right w:val="none" w:sz="0" w:space="0" w:color="auto"/>
      </w:divBdr>
    </w:div>
    <w:div w:id="980814945">
      <w:bodyDiv w:val="1"/>
      <w:marLeft w:val="0"/>
      <w:marRight w:val="0"/>
      <w:marTop w:val="0"/>
      <w:marBottom w:val="0"/>
      <w:divBdr>
        <w:top w:val="none" w:sz="0" w:space="0" w:color="auto"/>
        <w:left w:val="none" w:sz="0" w:space="0" w:color="auto"/>
        <w:bottom w:val="none" w:sz="0" w:space="0" w:color="auto"/>
        <w:right w:val="none" w:sz="0" w:space="0" w:color="auto"/>
      </w:divBdr>
    </w:div>
    <w:div w:id="1059864656">
      <w:bodyDiv w:val="1"/>
      <w:marLeft w:val="0"/>
      <w:marRight w:val="0"/>
      <w:marTop w:val="0"/>
      <w:marBottom w:val="0"/>
      <w:divBdr>
        <w:top w:val="none" w:sz="0" w:space="0" w:color="auto"/>
        <w:left w:val="none" w:sz="0" w:space="0" w:color="auto"/>
        <w:bottom w:val="none" w:sz="0" w:space="0" w:color="auto"/>
        <w:right w:val="none" w:sz="0" w:space="0" w:color="auto"/>
      </w:divBdr>
    </w:div>
    <w:div w:id="1091897251">
      <w:bodyDiv w:val="1"/>
      <w:marLeft w:val="0"/>
      <w:marRight w:val="0"/>
      <w:marTop w:val="0"/>
      <w:marBottom w:val="0"/>
      <w:divBdr>
        <w:top w:val="none" w:sz="0" w:space="0" w:color="auto"/>
        <w:left w:val="none" w:sz="0" w:space="0" w:color="auto"/>
        <w:bottom w:val="none" w:sz="0" w:space="0" w:color="auto"/>
        <w:right w:val="none" w:sz="0" w:space="0" w:color="auto"/>
      </w:divBdr>
    </w:div>
    <w:div w:id="1093357039">
      <w:bodyDiv w:val="1"/>
      <w:marLeft w:val="0"/>
      <w:marRight w:val="0"/>
      <w:marTop w:val="0"/>
      <w:marBottom w:val="0"/>
      <w:divBdr>
        <w:top w:val="none" w:sz="0" w:space="0" w:color="auto"/>
        <w:left w:val="none" w:sz="0" w:space="0" w:color="auto"/>
        <w:bottom w:val="none" w:sz="0" w:space="0" w:color="auto"/>
        <w:right w:val="none" w:sz="0" w:space="0" w:color="auto"/>
      </w:divBdr>
    </w:div>
    <w:div w:id="1129057024">
      <w:bodyDiv w:val="1"/>
      <w:marLeft w:val="0"/>
      <w:marRight w:val="0"/>
      <w:marTop w:val="0"/>
      <w:marBottom w:val="0"/>
      <w:divBdr>
        <w:top w:val="none" w:sz="0" w:space="0" w:color="auto"/>
        <w:left w:val="none" w:sz="0" w:space="0" w:color="auto"/>
        <w:bottom w:val="none" w:sz="0" w:space="0" w:color="auto"/>
        <w:right w:val="none" w:sz="0" w:space="0" w:color="auto"/>
      </w:divBdr>
    </w:div>
    <w:div w:id="1206256132">
      <w:bodyDiv w:val="1"/>
      <w:marLeft w:val="0"/>
      <w:marRight w:val="0"/>
      <w:marTop w:val="0"/>
      <w:marBottom w:val="0"/>
      <w:divBdr>
        <w:top w:val="none" w:sz="0" w:space="0" w:color="auto"/>
        <w:left w:val="none" w:sz="0" w:space="0" w:color="auto"/>
        <w:bottom w:val="none" w:sz="0" w:space="0" w:color="auto"/>
        <w:right w:val="none" w:sz="0" w:space="0" w:color="auto"/>
      </w:divBdr>
    </w:div>
    <w:div w:id="1246187026">
      <w:bodyDiv w:val="1"/>
      <w:marLeft w:val="0"/>
      <w:marRight w:val="0"/>
      <w:marTop w:val="0"/>
      <w:marBottom w:val="0"/>
      <w:divBdr>
        <w:top w:val="none" w:sz="0" w:space="0" w:color="auto"/>
        <w:left w:val="none" w:sz="0" w:space="0" w:color="auto"/>
        <w:bottom w:val="none" w:sz="0" w:space="0" w:color="auto"/>
        <w:right w:val="none" w:sz="0" w:space="0" w:color="auto"/>
      </w:divBdr>
    </w:div>
    <w:div w:id="1249269873">
      <w:bodyDiv w:val="1"/>
      <w:marLeft w:val="0"/>
      <w:marRight w:val="0"/>
      <w:marTop w:val="0"/>
      <w:marBottom w:val="0"/>
      <w:divBdr>
        <w:top w:val="none" w:sz="0" w:space="0" w:color="auto"/>
        <w:left w:val="none" w:sz="0" w:space="0" w:color="auto"/>
        <w:bottom w:val="none" w:sz="0" w:space="0" w:color="auto"/>
        <w:right w:val="none" w:sz="0" w:space="0" w:color="auto"/>
      </w:divBdr>
    </w:div>
    <w:div w:id="1300569630">
      <w:bodyDiv w:val="1"/>
      <w:marLeft w:val="0"/>
      <w:marRight w:val="0"/>
      <w:marTop w:val="0"/>
      <w:marBottom w:val="0"/>
      <w:divBdr>
        <w:top w:val="none" w:sz="0" w:space="0" w:color="auto"/>
        <w:left w:val="none" w:sz="0" w:space="0" w:color="auto"/>
        <w:bottom w:val="none" w:sz="0" w:space="0" w:color="auto"/>
        <w:right w:val="none" w:sz="0" w:space="0" w:color="auto"/>
      </w:divBdr>
    </w:div>
    <w:div w:id="1358390183">
      <w:bodyDiv w:val="1"/>
      <w:marLeft w:val="0"/>
      <w:marRight w:val="0"/>
      <w:marTop w:val="0"/>
      <w:marBottom w:val="0"/>
      <w:divBdr>
        <w:top w:val="none" w:sz="0" w:space="0" w:color="auto"/>
        <w:left w:val="none" w:sz="0" w:space="0" w:color="auto"/>
        <w:bottom w:val="none" w:sz="0" w:space="0" w:color="auto"/>
        <w:right w:val="none" w:sz="0" w:space="0" w:color="auto"/>
      </w:divBdr>
    </w:div>
    <w:div w:id="1478954516">
      <w:bodyDiv w:val="1"/>
      <w:marLeft w:val="0"/>
      <w:marRight w:val="0"/>
      <w:marTop w:val="0"/>
      <w:marBottom w:val="0"/>
      <w:divBdr>
        <w:top w:val="none" w:sz="0" w:space="0" w:color="auto"/>
        <w:left w:val="none" w:sz="0" w:space="0" w:color="auto"/>
        <w:bottom w:val="none" w:sz="0" w:space="0" w:color="auto"/>
        <w:right w:val="none" w:sz="0" w:space="0" w:color="auto"/>
      </w:divBdr>
    </w:div>
    <w:div w:id="1520123791">
      <w:bodyDiv w:val="1"/>
      <w:marLeft w:val="0"/>
      <w:marRight w:val="0"/>
      <w:marTop w:val="0"/>
      <w:marBottom w:val="0"/>
      <w:divBdr>
        <w:top w:val="none" w:sz="0" w:space="0" w:color="auto"/>
        <w:left w:val="none" w:sz="0" w:space="0" w:color="auto"/>
        <w:bottom w:val="none" w:sz="0" w:space="0" w:color="auto"/>
        <w:right w:val="none" w:sz="0" w:space="0" w:color="auto"/>
      </w:divBdr>
    </w:div>
    <w:div w:id="1533765645">
      <w:bodyDiv w:val="1"/>
      <w:marLeft w:val="0"/>
      <w:marRight w:val="0"/>
      <w:marTop w:val="0"/>
      <w:marBottom w:val="0"/>
      <w:divBdr>
        <w:top w:val="none" w:sz="0" w:space="0" w:color="auto"/>
        <w:left w:val="none" w:sz="0" w:space="0" w:color="auto"/>
        <w:bottom w:val="none" w:sz="0" w:space="0" w:color="auto"/>
        <w:right w:val="none" w:sz="0" w:space="0" w:color="auto"/>
      </w:divBdr>
    </w:div>
    <w:div w:id="1624186597">
      <w:bodyDiv w:val="1"/>
      <w:marLeft w:val="0"/>
      <w:marRight w:val="0"/>
      <w:marTop w:val="0"/>
      <w:marBottom w:val="0"/>
      <w:divBdr>
        <w:top w:val="none" w:sz="0" w:space="0" w:color="auto"/>
        <w:left w:val="none" w:sz="0" w:space="0" w:color="auto"/>
        <w:bottom w:val="none" w:sz="0" w:space="0" w:color="auto"/>
        <w:right w:val="none" w:sz="0" w:space="0" w:color="auto"/>
      </w:divBdr>
    </w:div>
    <w:div w:id="1643995567">
      <w:bodyDiv w:val="1"/>
      <w:marLeft w:val="0"/>
      <w:marRight w:val="0"/>
      <w:marTop w:val="0"/>
      <w:marBottom w:val="0"/>
      <w:divBdr>
        <w:top w:val="none" w:sz="0" w:space="0" w:color="auto"/>
        <w:left w:val="none" w:sz="0" w:space="0" w:color="auto"/>
        <w:bottom w:val="none" w:sz="0" w:space="0" w:color="auto"/>
        <w:right w:val="none" w:sz="0" w:space="0" w:color="auto"/>
      </w:divBdr>
    </w:div>
    <w:div w:id="1650524703">
      <w:bodyDiv w:val="1"/>
      <w:marLeft w:val="0"/>
      <w:marRight w:val="0"/>
      <w:marTop w:val="0"/>
      <w:marBottom w:val="0"/>
      <w:divBdr>
        <w:top w:val="none" w:sz="0" w:space="0" w:color="auto"/>
        <w:left w:val="none" w:sz="0" w:space="0" w:color="auto"/>
        <w:bottom w:val="none" w:sz="0" w:space="0" w:color="auto"/>
        <w:right w:val="none" w:sz="0" w:space="0" w:color="auto"/>
      </w:divBdr>
    </w:div>
    <w:div w:id="1677608166">
      <w:bodyDiv w:val="1"/>
      <w:marLeft w:val="0"/>
      <w:marRight w:val="0"/>
      <w:marTop w:val="0"/>
      <w:marBottom w:val="0"/>
      <w:divBdr>
        <w:top w:val="none" w:sz="0" w:space="0" w:color="auto"/>
        <w:left w:val="none" w:sz="0" w:space="0" w:color="auto"/>
        <w:bottom w:val="none" w:sz="0" w:space="0" w:color="auto"/>
        <w:right w:val="none" w:sz="0" w:space="0" w:color="auto"/>
      </w:divBdr>
    </w:div>
    <w:div w:id="1690140521">
      <w:bodyDiv w:val="1"/>
      <w:marLeft w:val="0"/>
      <w:marRight w:val="0"/>
      <w:marTop w:val="0"/>
      <w:marBottom w:val="0"/>
      <w:divBdr>
        <w:top w:val="none" w:sz="0" w:space="0" w:color="auto"/>
        <w:left w:val="none" w:sz="0" w:space="0" w:color="auto"/>
        <w:bottom w:val="none" w:sz="0" w:space="0" w:color="auto"/>
        <w:right w:val="none" w:sz="0" w:space="0" w:color="auto"/>
      </w:divBdr>
    </w:div>
    <w:div w:id="1796371170">
      <w:bodyDiv w:val="1"/>
      <w:marLeft w:val="0"/>
      <w:marRight w:val="0"/>
      <w:marTop w:val="0"/>
      <w:marBottom w:val="0"/>
      <w:divBdr>
        <w:top w:val="none" w:sz="0" w:space="0" w:color="auto"/>
        <w:left w:val="none" w:sz="0" w:space="0" w:color="auto"/>
        <w:bottom w:val="none" w:sz="0" w:space="0" w:color="auto"/>
        <w:right w:val="none" w:sz="0" w:space="0" w:color="auto"/>
      </w:divBdr>
    </w:div>
    <w:div w:id="1807507703">
      <w:bodyDiv w:val="1"/>
      <w:marLeft w:val="0"/>
      <w:marRight w:val="0"/>
      <w:marTop w:val="0"/>
      <w:marBottom w:val="0"/>
      <w:divBdr>
        <w:top w:val="none" w:sz="0" w:space="0" w:color="auto"/>
        <w:left w:val="none" w:sz="0" w:space="0" w:color="auto"/>
        <w:bottom w:val="none" w:sz="0" w:space="0" w:color="auto"/>
        <w:right w:val="none" w:sz="0" w:space="0" w:color="auto"/>
      </w:divBdr>
    </w:div>
    <w:div w:id="1957328069">
      <w:bodyDiv w:val="1"/>
      <w:marLeft w:val="0"/>
      <w:marRight w:val="0"/>
      <w:marTop w:val="0"/>
      <w:marBottom w:val="0"/>
      <w:divBdr>
        <w:top w:val="none" w:sz="0" w:space="0" w:color="auto"/>
        <w:left w:val="none" w:sz="0" w:space="0" w:color="auto"/>
        <w:bottom w:val="none" w:sz="0" w:space="0" w:color="auto"/>
        <w:right w:val="none" w:sz="0" w:space="0" w:color="auto"/>
      </w:divBdr>
    </w:div>
    <w:div w:id="1970475038">
      <w:bodyDiv w:val="1"/>
      <w:marLeft w:val="0"/>
      <w:marRight w:val="0"/>
      <w:marTop w:val="0"/>
      <w:marBottom w:val="0"/>
      <w:divBdr>
        <w:top w:val="none" w:sz="0" w:space="0" w:color="auto"/>
        <w:left w:val="none" w:sz="0" w:space="0" w:color="auto"/>
        <w:bottom w:val="none" w:sz="0" w:space="0" w:color="auto"/>
        <w:right w:val="none" w:sz="0" w:space="0" w:color="auto"/>
      </w:divBdr>
    </w:div>
    <w:div w:id="1991127435">
      <w:bodyDiv w:val="1"/>
      <w:marLeft w:val="0"/>
      <w:marRight w:val="0"/>
      <w:marTop w:val="0"/>
      <w:marBottom w:val="0"/>
      <w:divBdr>
        <w:top w:val="none" w:sz="0" w:space="0" w:color="auto"/>
        <w:left w:val="none" w:sz="0" w:space="0" w:color="auto"/>
        <w:bottom w:val="none" w:sz="0" w:space="0" w:color="auto"/>
        <w:right w:val="none" w:sz="0" w:space="0" w:color="auto"/>
      </w:divBdr>
    </w:div>
    <w:div w:id="2033483615">
      <w:bodyDiv w:val="1"/>
      <w:marLeft w:val="0"/>
      <w:marRight w:val="0"/>
      <w:marTop w:val="0"/>
      <w:marBottom w:val="0"/>
      <w:divBdr>
        <w:top w:val="none" w:sz="0" w:space="0" w:color="auto"/>
        <w:left w:val="none" w:sz="0" w:space="0" w:color="auto"/>
        <w:bottom w:val="none" w:sz="0" w:space="0" w:color="auto"/>
        <w:right w:val="none" w:sz="0" w:space="0" w:color="auto"/>
      </w:divBdr>
    </w:div>
    <w:div w:id="2055348251">
      <w:bodyDiv w:val="1"/>
      <w:marLeft w:val="0"/>
      <w:marRight w:val="0"/>
      <w:marTop w:val="0"/>
      <w:marBottom w:val="0"/>
      <w:divBdr>
        <w:top w:val="none" w:sz="0" w:space="0" w:color="auto"/>
        <w:left w:val="none" w:sz="0" w:space="0" w:color="auto"/>
        <w:bottom w:val="none" w:sz="0" w:space="0" w:color="auto"/>
        <w:right w:val="none" w:sz="0" w:space="0" w:color="auto"/>
      </w:divBdr>
    </w:div>
    <w:div w:id="20619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7034</Words>
  <Characters>47903</Characters>
  <Application>Microsoft Office Word</Application>
  <DocSecurity>0</DocSecurity>
  <Lines>399</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2024081236 punkt 4.2, 4.4, 4.5, 4.6, 4.8, 5.0, 5.1, 5.2</dc:description>
  <cp:lastModifiedBy>Iman El Kadiri</cp:lastModifiedBy>
  <cp:revision>3</cp:revision>
  <cp:lastPrinted>2020-12-21T13:00:00Z</cp:lastPrinted>
  <dcterms:created xsi:type="dcterms:W3CDTF">2025-02-10T07:21:00Z</dcterms:created>
  <dcterms:modified xsi:type="dcterms:W3CDTF">2025-02-14T14:33:00Z</dcterms:modified>
</cp:coreProperties>
</file>