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A5D" w:rsidRPr="00A507B3" w:rsidRDefault="00E05A5D" w:rsidP="00A507B3">
      <w:pPr>
        <w:rPr>
          <w:sz w:val="24"/>
          <w:szCs w:val="24"/>
        </w:rPr>
      </w:pPr>
      <w:bookmarkStart w:id="0" w:name="_GoBack"/>
      <w:bookmarkEnd w:id="0"/>
      <w:r w:rsidRPr="002F6D75">
        <w:rPr>
          <w:noProof/>
          <w:sz w:val="24"/>
          <w:szCs w:val="24"/>
          <w:lang w:eastAsia="da-DK"/>
        </w:rPr>
        <w:drawing>
          <wp:anchor distT="0" distB="0" distL="114300" distR="114300" simplePos="0" relativeHeight="251659264" behindDoc="0" locked="0" layoutInCell="1" allowOverlap="1" wp14:anchorId="44954F30" wp14:editId="2F0BAC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F6D75">
        <w:rPr>
          <w:sz w:val="24"/>
          <w:szCs w:val="24"/>
        </w:rPr>
        <w:br w:type="textWrapping" w:clear="all"/>
      </w:r>
    </w:p>
    <w:p w:rsidR="00E05A5D" w:rsidRPr="002F6D75" w:rsidRDefault="00E05A5D" w:rsidP="00E05A5D">
      <w:pPr>
        <w:pStyle w:val="Titel"/>
        <w:tabs>
          <w:tab w:val="right" w:pos="9356"/>
        </w:tabs>
        <w:jc w:val="left"/>
        <w:rPr>
          <w:b w:val="0"/>
          <w:szCs w:val="24"/>
          <w:lang w:eastAsia="en-US"/>
        </w:rPr>
      </w:pPr>
      <w:r w:rsidRPr="002F6D75">
        <w:rPr>
          <w:b w:val="0"/>
          <w:szCs w:val="24"/>
          <w:lang w:eastAsia="en-US"/>
        </w:rPr>
        <w:tab/>
      </w:r>
      <w:r w:rsidR="00D926EB">
        <w:rPr>
          <w:szCs w:val="24"/>
        </w:rPr>
        <w:t>29</w:t>
      </w:r>
      <w:r w:rsidR="008413FA">
        <w:rPr>
          <w:szCs w:val="24"/>
        </w:rPr>
        <w:t xml:space="preserve">. </w:t>
      </w:r>
      <w:r w:rsidR="001B3DC8">
        <w:rPr>
          <w:szCs w:val="24"/>
        </w:rPr>
        <w:t>august</w:t>
      </w:r>
      <w:r w:rsidR="008413FA">
        <w:rPr>
          <w:szCs w:val="24"/>
        </w:rPr>
        <w:t xml:space="preserve"> 20</w:t>
      </w:r>
      <w:r w:rsidR="001B3DC8">
        <w:rPr>
          <w:szCs w:val="24"/>
        </w:rPr>
        <w:t>2</w:t>
      </w:r>
      <w:r w:rsidR="00D926EB">
        <w:rPr>
          <w:szCs w:val="24"/>
        </w:rPr>
        <w:t>3</w:t>
      </w:r>
    </w:p>
    <w:p w:rsidR="00E05A5D" w:rsidRPr="002F6D75" w:rsidRDefault="00E05A5D" w:rsidP="00E05A5D">
      <w:pPr>
        <w:pStyle w:val="Titel"/>
        <w:tabs>
          <w:tab w:val="left" w:pos="8222"/>
        </w:tabs>
        <w:jc w:val="left"/>
        <w:rPr>
          <w:b w:val="0"/>
          <w:szCs w:val="24"/>
        </w:rPr>
      </w:pPr>
    </w:p>
    <w:p w:rsidR="00E05A5D" w:rsidRPr="002F6D75" w:rsidRDefault="00E05A5D" w:rsidP="00E05A5D">
      <w:pPr>
        <w:pStyle w:val="Titel"/>
        <w:jc w:val="left"/>
        <w:rPr>
          <w:b w:val="0"/>
          <w:szCs w:val="24"/>
        </w:rPr>
      </w:pPr>
    </w:p>
    <w:p w:rsidR="00E05A5D" w:rsidRPr="002F6D75" w:rsidRDefault="00E05A5D" w:rsidP="00E05A5D">
      <w:pPr>
        <w:jc w:val="center"/>
        <w:rPr>
          <w:b/>
          <w:sz w:val="24"/>
          <w:szCs w:val="24"/>
        </w:rPr>
      </w:pPr>
      <w:r w:rsidRPr="002F6D75">
        <w:rPr>
          <w:b/>
          <w:sz w:val="24"/>
          <w:szCs w:val="24"/>
        </w:rPr>
        <w:t>PRODUKTRESUMÉ</w:t>
      </w:r>
    </w:p>
    <w:p w:rsidR="00E05A5D" w:rsidRPr="002F6D75" w:rsidRDefault="00C63C08" w:rsidP="00C63C08">
      <w:pPr>
        <w:tabs>
          <w:tab w:val="left" w:pos="330"/>
        </w:tabs>
        <w:rPr>
          <w:b/>
          <w:sz w:val="24"/>
          <w:szCs w:val="24"/>
        </w:rPr>
      </w:pPr>
      <w:r>
        <w:rPr>
          <w:b/>
          <w:sz w:val="24"/>
          <w:szCs w:val="24"/>
        </w:rPr>
        <w:tab/>
      </w:r>
    </w:p>
    <w:p w:rsidR="00E05A5D" w:rsidRPr="002F6D75" w:rsidRDefault="00E05A5D" w:rsidP="00E05A5D">
      <w:pPr>
        <w:jc w:val="center"/>
        <w:rPr>
          <w:b/>
          <w:sz w:val="24"/>
          <w:szCs w:val="24"/>
        </w:rPr>
      </w:pPr>
      <w:r w:rsidRPr="002F6D75">
        <w:rPr>
          <w:b/>
          <w:sz w:val="24"/>
          <w:szCs w:val="24"/>
        </w:rPr>
        <w:t>for</w:t>
      </w:r>
    </w:p>
    <w:p w:rsidR="00E05A5D" w:rsidRPr="002F6D75" w:rsidRDefault="00E05A5D" w:rsidP="00E05A5D">
      <w:pPr>
        <w:jc w:val="center"/>
        <w:rPr>
          <w:b/>
          <w:sz w:val="24"/>
          <w:szCs w:val="24"/>
        </w:rPr>
      </w:pPr>
    </w:p>
    <w:p w:rsidR="00E05A5D" w:rsidRPr="002F6D75" w:rsidRDefault="00E05A5D" w:rsidP="00E05A5D">
      <w:pPr>
        <w:jc w:val="center"/>
        <w:rPr>
          <w:b/>
          <w:sz w:val="24"/>
          <w:szCs w:val="24"/>
        </w:rPr>
      </w:pPr>
      <w:proofErr w:type="spellStart"/>
      <w:r w:rsidRPr="002F6D75">
        <w:rPr>
          <w:b/>
          <w:sz w:val="24"/>
          <w:szCs w:val="24"/>
        </w:rPr>
        <w:t>Sufentanil</w:t>
      </w:r>
      <w:proofErr w:type="spellEnd"/>
      <w:r w:rsidRPr="002F6D75">
        <w:rPr>
          <w:b/>
          <w:sz w:val="24"/>
          <w:szCs w:val="24"/>
        </w:rPr>
        <w:t xml:space="preserve"> "Hameln", injektions-/infusionsvæske, opløsning</w:t>
      </w:r>
    </w:p>
    <w:p w:rsidR="00E05A5D" w:rsidRPr="002F6D75" w:rsidRDefault="00E05A5D" w:rsidP="00E05A5D">
      <w:pPr>
        <w:jc w:val="both"/>
        <w:rPr>
          <w:sz w:val="24"/>
          <w:szCs w:val="24"/>
        </w:rPr>
      </w:pPr>
    </w:p>
    <w:p w:rsidR="00E05A5D" w:rsidRPr="002F6D75" w:rsidRDefault="00E05A5D" w:rsidP="00E05A5D">
      <w:pPr>
        <w:jc w:val="both"/>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0.</w:t>
      </w:r>
      <w:r w:rsidRPr="002F6D75">
        <w:rPr>
          <w:b/>
          <w:sz w:val="24"/>
          <w:szCs w:val="24"/>
        </w:rPr>
        <w:tab/>
        <w:t>D.SP.NR.</w:t>
      </w:r>
    </w:p>
    <w:p w:rsidR="00E05A5D" w:rsidRPr="002F6D75" w:rsidRDefault="00E05A5D" w:rsidP="00E05A5D">
      <w:pPr>
        <w:tabs>
          <w:tab w:val="left" w:pos="851"/>
        </w:tabs>
        <w:ind w:left="851"/>
        <w:rPr>
          <w:sz w:val="24"/>
          <w:szCs w:val="24"/>
        </w:rPr>
      </w:pPr>
      <w:r w:rsidRPr="002F6D75">
        <w:rPr>
          <w:sz w:val="24"/>
          <w:szCs w:val="24"/>
        </w:rPr>
        <w:t>20775</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1.</w:t>
      </w:r>
      <w:r w:rsidRPr="002F6D75">
        <w:rPr>
          <w:b/>
          <w:sz w:val="24"/>
          <w:szCs w:val="24"/>
        </w:rPr>
        <w:tab/>
        <w:t>LÆGEMIDLETS NAVN</w:t>
      </w:r>
    </w:p>
    <w:p w:rsidR="00E05A5D" w:rsidRPr="002F6D75" w:rsidRDefault="00E05A5D" w:rsidP="00E05A5D">
      <w:pPr>
        <w:tabs>
          <w:tab w:val="left" w:pos="851"/>
        </w:tabs>
        <w:ind w:left="851"/>
        <w:rPr>
          <w:sz w:val="24"/>
          <w:szCs w:val="24"/>
        </w:rPr>
      </w:pPr>
      <w:proofErr w:type="spellStart"/>
      <w:r w:rsidRPr="002F6D75">
        <w:rPr>
          <w:sz w:val="24"/>
          <w:szCs w:val="24"/>
        </w:rPr>
        <w:t>Sufentanil</w:t>
      </w:r>
      <w:proofErr w:type="spellEnd"/>
      <w:r w:rsidRPr="002F6D75">
        <w:rPr>
          <w:sz w:val="24"/>
          <w:szCs w:val="24"/>
        </w:rPr>
        <w:t xml:space="preserve"> "Hameln"</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2.</w:t>
      </w:r>
      <w:r w:rsidRPr="002F6D75">
        <w:rPr>
          <w:b/>
          <w:sz w:val="24"/>
          <w:szCs w:val="24"/>
        </w:rPr>
        <w:tab/>
        <w:t>KVALITATIV OG KVANTITATIV SAMMENSÆTNING</w:t>
      </w:r>
    </w:p>
    <w:p w:rsidR="00E05A5D" w:rsidRPr="002F6D75" w:rsidRDefault="00E05A5D" w:rsidP="00E05A5D">
      <w:pPr>
        <w:tabs>
          <w:tab w:val="left" w:pos="851"/>
        </w:tabs>
        <w:ind w:left="851"/>
        <w:rPr>
          <w:sz w:val="24"/>
          <w:szCs w:val="24"/>
          <w:lang w:eastAsia="da-DK"/>
        </w:rPr>
      </w:pPr>
      <w:r w:rsidRPr="001D28AA">
        <w:rPr>
          <w:sz w:val="24"/>
          <w:szCs w:val="24"/>
          <w:lang w:eastAsia="da-DK"/>
        </w:rPr>
        <w:t xml:space="preserve">1 ml opløsning indeholder 10 mikrogram </w:t>
      </w:r>
      <w:proofErr w:type="spellStart"/>
      <w:r w:rsidRPr="001D28AA">
        <w:rPr>
          <w:sz w:val="24"/>
          <w:szCs w:val="24"/>
          <w:lang w:eastAsia="da-DK"/>
        </w:rPr>
        <w:t>sufentan</w:t>
      </w:r>
      <w:r w:rsidRPr="002F6D75">
        <w:rPr>
          <w:sz w:val="24"/>
          <w:szCs w:val="24"/>
          <w:lang w:eastAsia="da-DK"/>
        </w:rPr>
        <w:t>il</w:t>
      </w:r>
      <w:proofErr w:type="spellEnd"/>
      <w:r w:rsidRPr="002F6D75">
        <w:rPr>
          <w:sz w:val="24"/>
          <w:szCs w:val="24"/>
          <w:lang w:eastAsia="da-DK"/>
        </w:rPr>
        <w:t xml:space="preserve"> (som 15 mikrogram </w:t>
      </w:r>
      <w:proofErr w:type="spellStart"/>
      <w:r w:rsidRPr="002F6D75">
        <w:rPr>
          <w:sz w:val="24"/>
          <w:szCs w:val="24"/>
          <w:lang w:eastAsia="da-DK"/>
        </w:rPr>
        <w:t>sufentanil</w:t>
      </w:r>
      <w:r w:rsidRPr="001D28AA">
        <w:rPr>
          <w:sz w:val="24"/>
          <w:szCs w:val="24"/>
          <w:lang w:eastAsia="da-DK"/>
        </w:rPr>
        <w:t>citrat</w:t>
      </w:r>
      <w:proofErr w:type="spellEnd"/>
      <w:r w:rsidRPr="001D28AA">
        <w:rPr>
          <w:sz w:val="24"/>
          <w:szCs w:val="24"/>
          <w:lang w:eastAsia="da-DK"/>
        </w:rPr>
        <w:t>).</w:t>
      </w:r>
    </w:p>
    <w:p w:rsidR="00E05A5D" w:rsidRPr="001D28AA" w:rsidRDefault="00E05A5D" w:rsidP="00E05A5D">
      <w:pPr>
        <w:tabs>
          <w:tab w:val="left" w:pos="851"/>
        </w:tabs>
        <w:ind w:left="851"/>
        <w:rPr>
          <w:sz w:val="24"/>
          <w:szCs w:val="24"/>
          <w:lang w:eastAsia="da-DK"/>
        </w:rPr>
      </w:pPr>
    </w:p>
    <w:p w:rsidR="00E05A5D" w:rsidRPr="001D28AA" w:rsidRDefault="00E05A5D" w:rsidP="00E05A5D">
      <w:pPr>
        <w:tabs>
          <w:tab w:val="left" w:pos="851"/>
        </w:tabs>
        <w:ind w:left="851"/>
        <w:rPr>
          <w:sz w:val="24"/>
          <w:szCs w:val="24"/>
          <w:lang w:eastAsia="da-DK"/>
        </w:rPr>
      </w:pPr>
      <w:r w:rsidRPr="001D28AA">
        <w:rPr>
          <w:sz w:val="24"/>
          <w:szCs w:val="24"/>
          <w:lang w:eastAsia="da-DK"/>
        </w:rPr>
        <w:t xml:space="preserve">Hvert hætteglas med 50 ml opløsning indeholder 500 mikrogram </w:t>
      </w:r>
      <w:proofErr w:type="spellStart"/>
      <w:r w:rsidRPr="001D28AA">
        <w:rPr>
          <w:sz w:val="24"/>
          <w:szCs w:val="24"/>
          <w:lang w:eastAsia="da-DK"/>
        </w:rPr>
        <w:t>sufentanil</w:t>
      </w:r>
      <w:proofErr w:type="spellEnd"/>
      <w:r w:rsidRPr="001D28AA">
        <w:rPr>
          <w:sz w:val="24"/>
          <w:szCs w:val="24"/>
          <w:lang w:eastAsia="da-DK"/>
        </w:rPr>
        <w:t xml:space="preserve"> (som 750 mikrogram </w:t>
      </w:r>
      <w:proofErr w:type="spellStart"/>
      <w:r w:rsidRPr="001D28AA">
        <w:rPr>
          <w:sz w:val="24"/>
          <w:szCs w:val="24"/>
          <w:lang w:eastAsia="da-DK"/>
        </w:rPr>
        <w:t>sufentanilcitrat</w:t>
      </w:r>
      <w:proofErr w:type="spellEnd"/>
      <w:r w:rsidRPr="001D28AA">
        <w:rPr>
          <w:sz w:val="24"/>
          <w:szCs w:val="24"/>
          <w:lang w:eastAsia="da-DK"/>
        </w:rPr>
        <w:t>).</w:t>
      </w:r>
    </w:p>
    <w:p w:rsidR="00E05A5D" w:rsidRPr="001D28AA" w:rsidRDefault="00E05A5D" w:rsidP="00E05A5D">
      <w:pPr>
        <w:tabs>
          <w:tab w:val="left" w:pos="851"/>
        </w:tabs>
        <w:ind w:left="851"/>
        <w:rPr>
          <w:sz w:val="24"/>
          <w:szCs w:val="24"/>
          <w:lang w:eastAsia="da-DK"/>
        </w:rPr>
      </w:pPr>
    </w:p>
    <w:p w:rsidR="00E05A5D" w:rsidRPr="001D28AA" w:rsidRDefault="00E05A5D" w:rsidP="00E05A5D">
      <w:pPr>
        <w:tabs>
          <w:tab w:val="left" w:pos="851"/>
        </w:tabs>
        <w:ind w:left="851"/>
        <w:rPr>
          <w:sz w:val="24"/>
          <w:szCs w:val="24"/>
          <w:u w:val="single"/>
          <w:lang w:eastAsia="da-DK"/>
        </w:rPr>
      </w:pPr>
      <w:r w:rsidRPr="001D28AA">
        <w:rPr>
          <w:sz w:val="24"/>
          <w:szCs w:val="24"/>
          <w:u w:val="single"/>
          <w:lang w:eastAsia="da-DK"/>
        </w:rPr>
        <w:t>Hjælpestof, som beh</w:t>
      </w:r>
      <w:r w:rsidRPr="002F6D75">
        <w:rPr>
          <w:sz w:val="24"/>
          <w:szCs w:val="24"/>
          <w:u w:val="single"/>
          <w:lang w:eastAsia="da-DK"/>
        </w:rPr>
        <w:t>andleren skal være opmærksom på</w:t>
      </w:r>
    </w:p>
    <w:p w:rsidR="00E05A5D" w:rsidRPr="001D28AA" w:rsidRDefault="00E05A5D" w:rsidP="00E05A5D">
      <w:pPr>
        <w:tabs>
          <w:tab w:val="left" w:pos="851"/>
        </w:tabs>
        <w:ind w:left="851"/>
        <w:rPr>
          <w:sz w:val="24"/>
          <w:szCs w:val="24"/>
          <w:lang w:eastAsia="da-DK"/>
        </w:rPr>
      </w:pPr>
      <w:r w:rsidRPr="001D28AA">
        <w:rPr>
          <w:sz w:val="24"/>
          <w:szCs w:val="24"/>
          <w:lang w:eastAsia="da-DK"/>
        </w:rPr>
        <w:t>Hver ml indeholder 0,15 mmol (eller 3,54 mg) natrium.</w:t>
      </w:r>
    </w:p>
    <w:p w:rsidR="00E05A5D" w:rsidRPr="001D28AA" w:rsidRDefault="00E05A5D" w:rsidP="00E05A5D">
      <w:pPr>
        <w:tabs>
          <w:tab w:val="left" w:pos="851"/>
        </w:tabs>
        <w:ind w:left="851"/>
        <w:rPr>
          <w:sz w:val="24"/>
          <w:szCs w:val="24"/>
          <w:lang w:eastAsia="da-DK"/>
        </w:rPr>
      </w:pPr>
    </w:p>
    <w:p w:rsidR="00E05A5D" w:rsidRPr="002F6D75" w:rsidRDefault="00E05A5D" w:rsidP="00E05A5D">
      <w:pPr>
        <w:tabs>
          <w:tab w:val="left" w:pos="851"/>
        </w:tabs>
        <w:ind w:left="851"/>
        <w:rPr>
          <w:sz w:val="24"/>
          <w:szCs w:val="24"/>
          <w:lang w:eastAsia="da-DK"/>
        </w:rPr>
      </w:pPr>
      <w:r w:rsidRPr="001D28AA">
        <w:rPr>
          <w:sz w:val="24"/>
          <w:szCs w:val="24"/>
          <w:lang w:eastAsia="da-DK"/>
        </w:rPr>
        <w:t>Alle hjælpestoffer er anført under pkt. 6.1.</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3.</w:t>
      </w:r>
      <w:r w:rsidRPr="002F6D75">
        <w:rPr>
          <w:b/>
          <w:sz w:val="24"/>
          <w:szCs w:val="24"/>
        </w:rPr>
        <w:tab/>
        <w:t>LÆGEMIDDELFORM</w:t>
      </w:r>
    </w:p>
    <w:p w:rsidR="00E05A5D" w:rsidRPr="002F6D75" w:rsidRDefault="00E05A5D" w:rsidP="00E05A5D">
      <w:pPr>
        <w:tabs>
          <w:tab w:val="left" w:pos="851"/>
        </w:tabs>
        <w:ind w:left="851"/>
        <w:rPr>
          <w:sz w:val="24"/>
          <w:szCs w:val="24"/>
        </w:rPr>
      </w:pPr>
      <w:r w:rsidRPr="002F6D75">
        <w:rPr>
          <w:sz w:val="24"/>
          <w:szCs w:val="24"/>
        </w:rPr>
        <w:t>Injektions-/infusionsvæske, opløsning</w:t>
      </w:r>
    </w:p>
    <w:p w:rsidR="00E05A5D" w:rsidRPr="002F6D75" w:rsidRDefault="00E05A5D" w:rsidP="00E05A5D">
      <w:pPr>
        <w:tabs>
          <w:tab w:val="left" w:pos="851"/>
        </w:tabs>
        <w:ind w:left="851"/>
        <w:rPr>
          <w:sz w:val="24"/>
          <w:szCs w:val="24"/>
        </w:rPr>
      </w:pPr>
    </w:p>
    <w:p w:rsidR="00E05A5D" w:rsidRPr="001D28AA" w:rsidRDefault="00E05A5D" w:rsidP="00E05A5D">
      <w:pPr>
        <w:tabs>
          <w:tab w:val="left" w:pos="851"/>
        </w:tabs>
        <w:ind w:left="851"/>
        <w:rPr>
          <w:sz w:val="24"/>
          <w:szCs w:val="24"/>
          <w:lang w:eastAsia="da-DK"/>
        </w:rPr>
      </w:pPr>
      <w:r w:rsidRPr="001D28AA">
        <w:rPr>
          <w:sz w:val="24"/>
          <w:szCs w:val="24"/>
          <w:lang w:eastAsia="da-DK"/>
        </w:rPr>
        <w:t>Opløsningen er klar og farveløs.</w:t>
      </w:r>
    </w:p>
    <w:p w:rsidR="00E05A5D" w:rsidRPr="001D28AA" w:rsidRDefault="00E05A5D" w:rsidP="00E05A5D">
      <w:pPr>
        <w:tabs>
          <w:tab w:val="left" w:pos="851"/>
        </w:tabs>
        <w:ind w:left="851"/>
        <w:rPr>
          <w:sz w:val="24"/>
          <w:szCs w:val="24"/>
          <w:lang w:eastAsia="da-DK"/>
        </w:rPr>
      </w:pPr>
      <w:r w:rsidRPr="001D28AA">
        <w:rPr>
          <w:sz w:val="24"/>
          <w:szCs w:val="24"/>
          <w:lang w:eastAsia="da-DK"/>
        </w:rPr>
        <w:t>(pH: 3,5</w:t>
      </w:r>
      <w:r w:rsidRPr="002F6D75">
        <w:rPr>
          <w:sz w:val="24"/>
          <w:szCs w:val="24"/>
          <w:lang w:eastAsia="da-DK"/>
        </w:rPr>
        <w:t>-</w:t>
      </w:r>
      <w:r w:rsidRPr="001D28AA">
        <w:rPr>
          <w:sz w:val="24"/>
          <w:szCs w:val="24"/>
          <w:lang w:eastAsia="da-DK"/>
        </w:rPr>
        <w:t>5,0)</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4.</w:t>
      </w:r>
      <w:r w:rsidRPr="002F6D75">
        <w:rPr>
          <w:b/>
          <w:sz w:val="24"/>
          <w:szCs w:val="24"/>
        </w:rPr>
        <w:tab/>
        <w:t>KLINISKE OPLYSNINGER</w:t>
      </w:r>
    </w:p>
    <w:p w:rsidR="00E05A5D" w:rsidRPr="002F6D75" w:rsidRDefault="00E05A5D" w:rsidP="00E05A5D">
      <w:pPr>
        <w:tabs>
          <w:tab w:val="left" w:pos="851"/>
        </w:tabs>
        <w:ind w:left="851"/>
        <w:rPr>
          <w:b/>
          <w:sz w:val="24"/>
          <w:szCs w:val="24"/>
        </w:rPr>
      </w:pPr>
    </w:p>
    <w:p w:rsidR="00E05A5D" w:rsidRPr="002F6D75" w:rsidRDefault="00E05A5D" w:rsidP="00E05A5D">
      <w:pPr>
        <w:tabs>
          <w:tab w:val="left" w:pos="851"/>
        </w:tabs>
        <w:ind w:left="851" w:hanging="851"/>
        <w:rPr>
          <w:b/>
          <w:sz w:val="24"/>
          <w:szCs w:val="24"/>
          <w:u w:val="single"/>
        </w:rPr>
      </w:pPr>
      <w:r w:rsidRPr="002F6D75">
        <w:rPr>
          <w:b/>
          <w:sz w:val="24"/>
          <w:szCs w:val="24"/>
        </w:rPr>
        <w:t>4.1</w:t>
      </w:r>
      <w:r w:rsidRPr="002F6D75">
        <w:rPr>
          <w:b/>
          <w:sz w:val="24"/>
          <w:szCs w:val="24"/>
        </w:rPr>
        <w:tab/>
        <w:t>Terapeutiske indikationer</w:t>
      </w:r>
    </w:p>
    <w:p w:rsidR="00E05A5D" w:rsidRPr="007D510E" w:rsidRDefault="00E05A5D" w:rsidP="00E05A5D">
      <w:pPr>
        <w:tabs>
          <w:tab w:val="left" w:pos="851"/>
        </w:tabs>
        <w:ind w:left="851" w:firstLine="1"/>
        <w:rPr>
          <w:sz w:val="24"/>
          <w:szCs w:val="24"/>
          <w:lang w:eastAsia="da-DK"/>
        </w:rPr>
      </w:pPr>
      <w:r w:rsidRPr="007D510E">
        <w:rPr>
          <w:sz w:val="24"/>
          <w:szCs w:val="24"/>
          <w:lang w:eastAsia="da-DK"/>
        </w:rPr>
        <w:t>Intravenøs indgivelse ved anæstesi som analgetisk komponent i kombinationsanæstesi (</w:t>
      </w:r>
      <w:proofErr w:type="spellStart"/>
      <w:r w:rsidRPr="007D510E">
        <w:rPr>
          <w:sz w:val="24"/>
          <w:szCs w:val="24"/>
          <w:lang w:eastAsia="da-DK"/>
        </w:rPr>
        <w:t>dinitrogeno</w:t>
      </w:r>
      <w:r w:rsidRPr="002F6D75">
        <w:rPr>
          <w:sz w:val="24"/>
          <w:szCs w:val="24"/>
          <w:lang w:eastAsia="da-DK"/>
        </w:rPr>
        <w:t>x</w:t>
      </w:r>
      <w:r w:rsidRPr="007D510E">
        <w:rPr>
          <w:sz w:val="24"/>
          <w:szCs w:val="24"/>
          <w:lang w:eastAsia="da-DK"/>
        </w:rPr>
        <w:t>id</w:t>
      </w:r>
      <w:proofErr w:type="spellEnd"/>
      <w:r w:rsidRPr="007D510E">
        <w:rPr>
          <w:sz w:val="24"/>
          <w:szCs w:val="24"/>
          <w:lang w:eastAsia="da-DK"/>
        </w:rPr>
        <w:t xml:space="preserve">/ilt) under alle kirurgiske indgreb, der involverer </w:t>
      </w:r>
      <w:proofErr w:type="spellStart"/>
      <w:r w:rsidRPr="007D510E">
        <w:rPr>
          <w:sz w:val="24"/>
          <w:szCs w:val="24"/>
          <w:lang w:eastAsia="da-DK"/>
        </w:rPr>
        <w:t>endothracheal</w:t>
      </w:r>
      <w:proofErr w:type="spellEnd"/>
      <w:r w:rsidRPr="007D510E">
        <w:rPr>
          <w:sz w:val="24"/>
          <w:szCs w:val="24"/>
          <w:lang w:eastAsia="da-DK"/>
        </w:rPr>
        <w:t xml:space="preserve"> </w:t>
      </w:r>
      <w:proofErr w:type="spellStart"/>
      <w:r w:rsidRPr="007D510E">
        <w:rPr>
          <w:sz w:val="24"/>
          <w:szCs w:val="24"/>
          <w:lang w:eastAsia="da-DK"/>
        </w:rPr>
        <w:t>intubation</w:t>
      </w:r>
      <w:proofErr w:type="spellEnd"/>
      <w:r w:rsidRPr="007D510E">
        <w:rPr>
          <w:sz w:val="24"/>
          <w:szCs w:val="24"/>
          <w:lang w:eastAsia="da-DK"/>
        </w:rPr>
        <w:t xml:space="preserve"> og kunstig respiration.</w:t>
      </w:r>
    </w:p>
    <w:p w:rsidR="00E05A5D" w:rsidRPr="007D510E" w:rsidRDefault="00E05A5D" w:rsidP="00E05A5D">
      <w:pPr>
        <w:tabs>
          <w:tab w:val="left" w:pos="851"/>
        </w:tabs>
        <w:ind w:left="851" w:firstLine="1"/>
        <w:rPr>
          <w:sz w:val="24"/>
          <w:szCs w:val="24"/>
          <w:lang w:eastAsia="da-DK"/>
        </w:rPr>
      </w:pPr>
    </w:p>
    <w:p w:rsidR="00E05A5D" w:rsidRPr="007D510E" w:rsidRDefault="00E05A5D" w:rsidP="00E05A5D">
      <w:pPr>
        <w:tabs>
          <w:tab w:val="left" w:pos="851"/>
        </w:tabs>
        <w:ind w:left="851" w:firstLine="1"/>
        <w:rPr>
          <w:sz w:val="24"/>
          <w:szCs w:val="24"/>
          <w:u w:val="single"/>
          <w:lang w:eastAsia="da-DK"/>
        </w:rPr>
      </w:pPr>
      <w:r w:rsidRPr="007D510E">
        <w:rPr>
          <w:sz w:val="24"/>
          <w:szCs w:val="24"/>
          <w:u w:val="single"/>
          <w:lang w:eastAsia="da-DK"/>
        </w:rPr>
        <w:t xml:space="preserve">Intravenøs </w:t>
      </w:r>
      <w:proofErr w:type="spellStart"/>
      <w:r w:rsidRPr="007D510E">
        <w:rPr>
          <w:sz w:val="24"/>
          <w:szCs w:val="24"/>
          <w:u w:val="single"/>
          <w:lang w:eastAsia="da-DK"/>
        </w:rPr>
        <w:t>sufentanil</w:t>
      </w:r>
      <w:proofErr w:type="spellEnd"/>
      <w:r w:rsidRPr="007D510E">
        <w:rPr>
          <w:sz w:val="24"/>
          <w:szCs w:val="24"/>
          <w:u w:val="single"/>
          <w:lang w:eastAsia="da-DK"/>
        </w:rPr>
        <w:t xml:space="preserve"> </w:t>
      </w:r>
      <w:r w:rsidRPr="002F6D75">
        <w:rPr>
          <w:sz w:val="24"/>
          <w:szCs w:val="24"/>
          <w:u w:val="single"/>
          <w:lang w:eastAsia="da-DK"/>
        </w:rPr>
        <w:t>er indikeret hos voksne og unge</w:t>
      </w:r>
    </w:p>
    <w:p w:rsidR="00E05A5D" w:rsidRPr="007D510E" w:rsidRDefault="00E05A5D" w:rsidP="00E05A5D">
      <w:pPr>
        <w:numPr>
          <w:ilvl w:val="0"/>
          <w:numId w:val="6"/>
        </w:numPr>
        <w:tabs>
          <w:tab w:val="clear" w:pos="1271"/>
          <w:tab w:val="num" w:pos="1134"/>
        </w:tabs>
        <w:ind w:left="1134" w:hanging="283"/>
        <w:rPr>
          <w:sz w:val="24"/>
          <w:szCs w:val="24"/>
          <w:lang w:eastAsia="da-DK"/>
        </w:rPr>
      </w:pPr>
      <w:r w:rsidRPr="007D510E">
        <w:rPr>
          <w:sz w:val="24"/>
          <w:szCs w:val="24"/>
          <w:lang w:eastAsia="da-DK"/>
        </w:rPr>
        <w:t>som analgetisk komponent under induktion og vedligeholdelse af balanceret universel anæstesi.</w:t>
      </w:r>
    </w:p>
    <w:p w:rsidR="00E05A5D" w:rsidRPr="002F6D75" w:rsidRDefault="00E05A5D" w:rsidP="00E05A5D">
      <w:pPr>
        <w:numPr>
          <w:ilvl w:val="0"/>
          <w:numId w:val="6"/>
        </w:numPr>
        <w:tabs>
          <w:tab w:val="clear" w:pos="1271"/>
          <w:tab w:val="left" w:pos="851"/>
          <w:tab w:val="num" w:pos="1134"/>
        </w:tabs>
        <w:ind w:left="1134" w:hanging="283"/>
        <w:rPr>
          <w:sz w:val="24"/>
          <w:szCs w:val="24"/>
          <w:lang w:eastAsia="da-DK"/>
        </w:rPr>
      </w:pPr>
      <w:r w:rsidRPr="007D510E">
        <w:rPr>
          <w:sz w:val="24"/>
          <w:szCs w:val="24"/>
          <w:lang w:eastAsia="da-DK"/>
        </w:rPr>
        <w:t>som anæstesimiddel ved induktion og vedligeholdelse af anæstesi hos patienter under større kirurgiske procedurer.</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4.2</w:t>
      </w:r>
      <w:r w:rsidRPr="002F6D75">
        <w:rPr>
          <w:b/>
          <w:sz w:val="24"/>
          <w:szCs w:val="24"/>
        </w:rPr>
        <w:tab/>
        <w:t xml:space="preserve">Dosering og </w:t>
      </w:r>
      <w:r w:rsidR="00D926EB">
        <w:rPr>
          <w:b/>
          <w:sz w:val="24"/>
          <w:szCs w:val="24"/>
        </w:rPr>
        <w:t>administration</w:t>
      </w:r>
    </w:p>
    <w:p w:rsidR="00E05A5D" w:rsidRPr="007D510E" w:rsidRDefault="00E05A5D" w:rsidP="00E05A5D">
      <w:pPr>
        <w:ind w:left="851"/>
        <w:rPr>
          <w:spacing w:val="-3"/>
          <w:sz w:val="24"/>
          <w:szCs w:val="24"/>
          <w:lang w:eastAsia="da-DK"/>
        </w:rPr>
      </w:pPr>
      <w:proofErr w:type="spellStart"/>
      <w:r w:rsidRPr="007D510E">
        <w:rPr>
          <w:spacing w:val="-3"/>
          <w:sz w:val="24"/>
          <w:szCs w:val="24"/>
          <w:lang w:eastAsia="da-DK"/>
        </w:rPr>
        <w:t>Sufentanil</w:t>
      </w:r>
      <w:proofErr w:type="spellEnd"/>
      <w:r w:rsidRPr="007D510E">
        <w:rPr>
          <w:spacing w:val="-3"/>
          <w:sz w:val="24"/>
          <w:szCs w:val="24"/>
          <w:lang w:eastAsia="da-DK"/>
        </w:rPr>
        <w:t xml:space="preserve"> må kun gives af anæstesiologer eller læger, der er fortrolige med dets brug og virkninger eller under disses opsyn. </w:t>
      </w:r>
    </w:p>
    <w:p w:rsidR="00E05A5D" w:rsidRPr="002F6D75" w:rsidRDefault="00E05A5D" w:rsidP="00E05A5D">
      <w:pPr>
        <w:ind w:left="851"/>
        <w:rPr>
          <w:spacing w:val="-3"/>
          <w:sz w:val="24"/>
          <w:szCs w:val="24"/>
          <w:lang w:eastAsia="da-DK"/>
        </w:rPr>
      </w:pPr>
    </w:p>
    <w:p w:rsidR="00E05A5D" w:rsidRPr="002F6D75" w:rsidRDefault="00E05A5D" w:rsidP="00E05A5D">
      <w:pPr>
        <w:ind w:left="851"/>
        <w:rPr>
          <w:b/>
          <w:spacing w:val="-3"/>
          <w:sz w:val="24"/>
          <w:szCs w:val="24"/>
          <w:u w:val="single"/>
          <w:lang w:eastAsia="da-DK"/>
        </w:rPr>
      </w:pPr>
      <w:r w:rsidRPr="002F6D75">
        <w:rPr>
          <w:b/>
          <w:spacing w:val="-3"/>
          <w:sz w:val="24"/>
          <w:szCs w:val="24"/>
          <w:u w:val="single"/>
          <w:lang w:eastAsia="da-DK"/>
        </w:rPr>
        <w:t>Dosering</w:t>
      </w:r>
    </w:p>
    <w:p w:rsidR="00E05A5D" w:rsidRPr="007D510E" w:rsidRDefault="00E05A5D" w:rsidP="00E05A5D">
      <w:pPr>
        <w:ind w:left="851"/>
        <w:rPr>
          <w:spacing w:val="-3"/>
          <w:sz w:val="24"/>
          <w:szCs w:val="24"/>
          <w:lang w:eastAsia="da-DK"/>
        </w:rPr>
      </w:pPr>
      <w:r w:rsidRPr="007D510E">
        <w:rPr>
          <w:spacing w:val="-3"/>
          <w:sz w:val="24"/>
          <w:szCs w:val="24"/>
          <w:lang w:eastAsia="da-DK"/>
        </w:rPr>
        <w:t>Doseringen skal tilpasses den enkelte patients alder og legemsvægt samt den kliniske tilstand (klinisk diagnose, ledsagende medicinering, anæstesiprocedure, operationens varighed og art). Virkningen af initial dosis må tages i betragtning ved valget af supplerende doser.</w:t>
      </w:r>
    </w:p>
    <w:p w:rsidR="00E05A5D" w:rsidRPr="007D510E" w:rsidRDefault="00E05A5D" w:rsidP="00E05A5D">
      <w:pPr>
        <w:ind w:left="851"/>
        <w:rPr>
          <w:spacing w:val="-3"/>
          <w:sz w:val="24"/>
          <w:szCs w:val="24"/>
          <w:lang w:eastAsia="da-DK"/>
        </w:rPr>
      </w:pPr>
    </w:p>
    <w:p w:rsidR="00E05A5D" w:rsidRPr="007D510E" w:rsidRDefault="00E05A5D" w:rsidP="00E05A5D">
      <w:pPr>
        <w:ind w:left="851"/>
        <w:rPr>
          <w:spacing w:val="-3"/>
          <w:sz w:val="24"/>
          <w:szCs w:val="24"/>
          <w:lang w:eastAsia="da-DK"/>
        </w:rPr>
      </w:pPr>
      <w:r w:rsidRPr="007D510E">
        <w:rPr>
          <w:spacing w:val="-3"/>
          <w:sz w:val="24"/>
          <w:szCs w:val="24"/>
          <w:lang w:eastAsia="da-DK"/>
        </w:rPr>
        <w:t xml:space="preserve">For at undgå risiko for bradykardi tilrådes det at injicere en lille dosis af et </w:t>
      </w:r>
      <w:proofErr w:type="spellStart"/>
      <w:r w:rsidRPr="007D510E">
        <w:rPr>
          <w:spacing w:val="-3"/>
          <w:sz w:val="24"/>
          <w:szCs w:val="24"/>
          <w:lang w:eastAsia="da-DK"/>
        </w:rPr>
        <w:t>anticholinergikum</w:t>
      </w:r>
      <w:proofErr w:type="spellEnd"/>
      <w:r w:rsidRPr="007D510E">
        <w:rPr>
          <w:spacing w:val="-3"/>
          <w:sz w:val="24"/>
          <w:szCs w:val="24"/>
          <w:lang w:eastAsia="da-DK"/>
        </w:rPr>
        <w:t xml:space="preserve"> umiddelbart før induktion af anæstesi. Kvalme og opkastning kan undgås ved indgift af et </w:t>
      </w:r>
      <w:proofErr w:type="spellStart"/>
      <w:r w:rsidRPr="007D510E">
        <w:rPr>
          <w:spacing w:val="-3"/>
          <w:sz w:val="24"/>
          <w:szCs w:val="24"/>
          <w:lang w:eastAsia="da-DK"/>
        </w:rPr>
        <w:t>antiemetikum</w:t>
      </w:r>
      <w:proofErr w:type="spellEnd"/>
      <w:r w:rsidRPr="007D510E">
        <w:rPr>
          <w:spacing w:val="-3"/>
          <w:sz w:val="24"/>
          <w:szCs w:val="24"/>
          <w:lang w:eastAsia="da-DK"/>
        </w:rPr>
        <w:t xml:space="preserve">. Indgivelsen og </w:t>
      </w:r>
      <w:proofErr w:type="spellStart"/>
      <w:r w:rsidRPr="007D510E">
        <w:rPr>
          <w:spacing w:val="-3"/>
          <w:sz w:val="24"/>
          <w:szCs w:val="24"/>
          <w:lang w:eastAsia="da-DK"/>
        </w:rPr>
        <w:t>dosisen</w:t>
      </w:r>
      <w:proofErr w:type="spellEnd"/>
      <w:r w:rsidRPr="007D510E">
        <w:rPr>
          <w:spacing w:val="-3"/>
          <w:sz w:val="24"/>
          <w:szCs w:val="24"/>
          <w:lang w:eastAsia="da-DK"/>
        </w:rPr>
        <w:t xml:space="preserve"> er, afhængigt af de forskellige indikationer, som følger:</w:t>
      </w:r>
    </w:p>
    <w:p w:rsidR="00E05A5D" w:rsidRPr="007D510E" w:rsidRDefault="00E05A5D" w:rsidP="00E05A5D">
      <w:pPr>
        <w:ind w:left="1304" w:firstLine="4"/>
        <w:rPr>
          <w:spacing w:val="-3"/>
          <w:sz w:val="24"/>
          <w:szCs w:val="24"/>
          <w:lang w:eastAsia="da-DK"/>
        </w:rPr>
      </w:pPr>
    </w:p>
    <w:p w:rsidR="00E05A5D" w:rsidRPr="007D510E" w:rsidRDefault="00E05A5D" w:rsidP="00E05A5D">
      <w:pPr>
        <w:ind w:left="851"/>
        <w:rPr>
          <w:b/>
          <w:sz w:val="24"/>
          <w:szCs w:val="24"/>
          <w:lang w:eastAsia="da-DK"/>
        </w:rPr>
      </w:pPr>
      <w:r w:rsidRPr="002F6D75">
        <w:rPr>
          <w:b/>
          <w:sz w:val="24"/>
          <w:szCs w:val="24"/>
          <w:lang w:eastAsia="da-DK"/>
        </w:rPr>
        <w:t>Voksne og unge</w:t>
      </w:r>
    </w:p>
    <w:p w:rsidR="00E05A5D" w:rsidRPr="007D510E" w:rsidRDefault="00E05A5D" w:rsidP="00E05A5D">
      <w:pPr>
        <w:ind w:left="1304" w:firstLine="4"/>
        <w:rPr>
          <w:spacing w:val="-3"/>
          <w:sz w:val="24"/>
          <w:szCs w:val="24"/>
          <w:u w:val="single"/>
          <w:lang w:eastAsia="da-DK"/>
        </w:rPr>
      </w:pPr>
    </w:p>
    <w:p w:rsidR="00E05A5D" w:rsidRPr="002F6D75" w:rsidRDefault="00E05A5D" w:rsidP="00E05A5D">
      <w:pPr>
        <w:ind w:left="851"/>
        <w:rPr>
          <w:iCs/>
          <w:sz w:val="24"/>
          <w:szCs w:val="24"/>
          <w:u w:val="single"/>
          <w:lang w:eastAsia="da-DK"/>
        </w:rPr>
      </w:pPr>
      <w:r w:rsidRPr="007D510E">
        <w:rPr>
          <w:iCs/>
          <w:sz w:val="24"/>
          <w:szCs w:val="24"/>
          <w:u w:val="single"/>
          <w:lang w:eastAsia="da-DK"/>
        </w:rPr>
        <w:t>Som analgetisk komponent under balanceret anæstesi induceret og vedl</w:t>
      </w:r>
      <w:r w:rsidRPr="002F6D75">
        <w:rPr>
          <w:iCs/>
          <w:sz w:val="24"/>
          <w:szCs w:val="24"/>
          <w:u w:val="single"/>
          <w:lang w:eastAsia="da-DK"/>
        </w:rPr>
        <w:t>igeholdt i kombinationsanæstesi</w:t>
      </w:r>
    </w:p>
    <w:p w:rsidR="00E05A5D" w:rsidRPr="007D510E" w:rsidRDefault="00E05A5D" w:rsidP="00E05A5D">
      <w:pPr>
        <w:ind w:left="851"/>
        <w:rPr>
          <w:iCs/>
          <w:sz w:val="24"/>
          <w:szCs w:val="24"/>
          <w:u w:val="single"/>
          <w:lang w:eastAsia="da-DK"/>
        </w:rPr>
      </w:pPr>
    </w:p>
    <w:p w:rsidR="00E05A5D" w:rsidRPr="007D510E" w:rsidRDefault="00E05A5D" w:rsidP="00E05A5D">
      <w:pPr>
        <w:tabs>
          <w:tab w:val="num" w:pos="1134"/>
        </w:tabs>
        <w:ind w:left="1134" w:hanging="283"/>
        <w:rPr>
          <w:spacing w:val="-3"/>
          <w:sz w:val="24"/>
          <w:szCs w:val="24"/>
          <w:lang w:eastAsia="da-DK"/>
        </w:rPr>
      </w:pPr>
      <w:r w:rsidRPr="007D510E">
        <w:rPr>
          <w:i/>
          <w:spacing w:val="-3"/>
          <w:sz w:val="24"/>
          <w:szCs w:val="24"/>
          <w:lang w:eastAsia="da-DK"/>
        </w:rPr>
        <w:t>Initialdosis -</w:t>
      </w:r>
      <w:r w:rsidRPr="007D510E">
        <w:rPr>
          <w:spacing w:val="-3"/>
          <w:sz w:val="24"/>
          <w:szCs w:val="24"/>
          <w:lang w:eastAsia="da-DK"/>
        </w:rPr>
        <w:t xml:space="preserve"> som langsom </w:t>
      </w:r>
      <w:proofErr w:type="spellStart"/>
      <w:r w:rsidRPr="007D510E">
        <w:rPr>
          <w:spacing w:val="-3"/>
          <w:sz w:val="24"/>
          <w:szCs w:val="24"/>
          <w:lang w:eastAsia="da-DK"/>
        </w:rPr>
        <w:t>i.v</w:t>
      </w:r>
      <w:proofErr w:type="spellEnd"/>
      <w:r w:rsidRPr="007D510E">
        <w:rPr>
          <w:spacing w:val="-3"/>
          <w:sz w:val="24"/>
          <w:szCs w:val="24"/>
          <w:lang w:eastAsia="da-DK"/>
        </w:rPr>
        <w:t xml:space="preserve">. </w:t>
      </w:r>
      <w:proofErr w:type="spellStart"/>
      <w:r w:rsidRPr="007D510E">
        <w:rPr>
          <w:spacing w:val="-3"/>
          <w:sz w:val="24"/>
          <w:szCs w:val="24"/>
          <w:lang w:eastAsia="da-DK"/>
        </w:rPr>
        <w:t>bolus</w:t>
      </w:r>
      <w:proofErr w:type="spellEnd"/>
      <w:r w:rsidRPr="007D510E">
        <w:rPr>
          <w:spacing w:val="-3"/>
          <w:sz w:val="24"/>
          <w:szCs w:val="24"/>
          <w:lang w:eastAsia="da-DK"/>
        </w:rPr>
        <w:t xml:space="preserve"> eller infusion over 2</w:t>
      </w:r>
      <w:r w:rsidRPr="002F6D75">
        <w:rPr>
          <w:spacing w:val="-3"/>
          <w:sz w:val="24"/>
          <w:szCs w:val="24"/>
          <w:lang w:eastAsia="da-DK"/>
        </w:rPr>
        <w:t>-</w:t>
      </w:r>
      <w:r w:rsidRPr="007D510E">
        <w:rPr>
          <w:spacing w:val="-3"/>
          <w:sz w:val="24"/>
          <w:szCs w:val="24"/>
          <w:lang w:eastAsia="da-DK"/>
        </w:rPr>
        <w:t>10 minutter:</w:t>
      </w:r>
    </w:p>
    <w:p w:rsidR="00E05A5D" w:rsidRPr="007D510E" w:rsidRDefault="00E05A5D" w:rsidP="00E05A5D">
      <w:pPr>
        <w:tabs>
          <w:tab w:val="num" w:pos="1134"/>
        </w:tabs>
        <w:ind w:left="1134" w:hanging="283"/>
        <w:rPr>
          <w:spacing w:val="-3"/>
          <w:sz w:val="24"/>
          <w:szCs w:val="24"/>
          <w:lang w:eastAsia="da-DK"/>
        </w:rPr>
      </w:pPr>
      <w:r w:rsidRPr="007D510E">
        <w:rPr>
          <w:spacing w:val="-3"/>
          <w:sz w:val="24"/>
          <w:szCs w:val="24"/>
          <w:lang w:eastAsia="da-DK"/>
        </w:rPr>
        <w:t>0,5</w:t>
      </w:r>
      <w:r w:rsidRPr="002F6D75">
        <w:rPr>
          <w:spacing w:val="-3"/>
          <w:sz w:val="24"/>
          <w:szCs w:val="24"/>
          <w:lang w:eastAsia="da-DK"/>
        </w:rPr>
        <w:t>-</w:t>
      </w:r>
      <w:r w:rsidRPr="007D510E">
        <w:rPr>
          <w:spacing w:val="-3"/>
          <w:sz w:val="24"/>
          <w:szCs w:val="24"/>
          <w:lang w:eastAsia="da-DK"/>
        </w:rPr>
        <w:t xml:space="preserve">2 mikrogram </w:t>
      </w:r>
      <w:proofErr w:type="spellStart"/>
      <w:r w:rsidRPr="007D510E">
        <w:rPr>
          <w:spacing w:val="-3"/>
          <w:sz w:val="24"/>
          <w:szCs w:val="24"/>
          <w:lang w:eastAsia="da-DK"/>
        </w:rPr>
        <w:t>sufentanil</w:t>
      </w:r>
      <w:proofErr w:type="spellEnd"/>
      <w:r w:rsidRPr="007D510E">
        <w:rPr>
          <w:spacing w:val="-3"/>
          <w:sz w:val="24"/>
          <w:szCs w:val="24"/>
          <w:lang w:eastAsia="da-DK"/>
        </w:rPr>
        <w:t>/kg legemsvægt.</w:t>
      </w:r>
    </w:p>
    <w:p w:rsidR="00E05A5D" w:rsidRPr="007D510E" w:rsidRDefault="00E05A5D" w:rsidP="00E05A5D">
      <w:pPr>
        <w:tabs>
          <w:tab w:val="num" w:pos="851"/>
        </w:tabs>
        <w:ind w:left="851"/>
        <w:rPr>
          <w:spacing w:val="-3"/>
          <w:sz w:val="24"/>
          <w:szCs w:val="24"/>
          <w:lang w:eastAsia="da-DK"/>
        </w:rPr>
      </w:pPr>
      <w:r w:rsidRPr="007D510E">
        <w:rPr>
          <w:spacing w:val="-3"/>
          <w:sz w:val="24"/>
          <w:szCs w:val="24"/>
          <w:lang w:eastAsia="da-DK"/>
        </w:rPr>
        <w:t xml:space="preserve">Virkningens varighed afhænger af dosis. Varigheden af en dosis på 0,5 mikrogram </w:t>
      </w:r>
      <w:proofErr w:type="spellStart"/>
      <w:r w:rsidRPr="007D510E">
        <w:rPr>
          <w:spacing w:val="-3"/>
          <w:sz w:val="24"/>
          <w:szCs w:val="24"/>
          <w:lang w:eastAsia="da-DK"/>
        </w:rPr>
        <w:t>sufentanil</w:t>
      </w:r>
      <w:proofErr w:type="spellEnd"/>
      <w:r w:rsidRPr="007D510E">
        <w:rPr>
          <w:spacing w:val="-3"/>
          <w:sz w:val="24"/>
          <w:szCs w:val="24"/>
          <w:lang w:eastAsia="da-DK"/>
        </w:rPr>
        <w:t>/kg legemsvægt er ca. 50 minutter.</w:t>
      </w:r>
    </w:p>
    <w:p w:rsidR="00E05A5D" w:rsidRPr="007D510E" w:rsidRDefault="00E05A5D" w:rsidP="00E05A5D">
      <w:pPr>
        <w:tabs>
          <w:tab w:val="left" w:pos="709"/>
          <w:tab w:val="num" w:pos="1134"/>
        </w:tabs>
        <w:ind w:left="1134" w:hanging="283"/>
        <w:rPr>
          <w:sz w:val="24"/>
          <w:szCs w:val="24"/>
          <w:lang w:eastAsia="da-DK"/>
        </w:rPr>
      </w:pPr>
    </w:p>
    <w:p w:rsidR="00E05A5D" w:rsidRPr="007D510E" w:rsidRDefault="00E05A5D" w:rsidP="00E05A5D">
      <w:pPr>
        <w:tabs>
          <w:tab w:val="num" w:pos="1134"/>
        </w:tabs>
        <w:ind w:left="1134" w:hanging="283"/>
        <w:rPr>
          <w:spacing w:val="-3"/>
          <w:sz w:val="24"/>
          <w:szCs w:val="24"/>
          <w:lang w:eastAsia="da-DK"/>
        </w:rPr>
      </w:pPr>
      <w:r w:rsidRPr="007D510E">
        <w:rPr>
          <w:i/>
          <w:spacing w:val="-3"/>
          <w:sz w:val="24"/>
          <w:szCs w:val="24"/>
          <w:lang w:eastAsia="da-DK"/>
        </w:rPr>
        <w:t>Vedligeholdelsesdosis -</w:t>
      </w:r>
      <w:r w:rsidRPr="007D510E">
        <w:rPr>
          <w:spacing w:val="-3"/>
          <w:sz w:val="24"/>
          <w:szCs w:val="24"/>
          <w:lang w:eastAsia="da-DK"/>
        </w:rPr>
        <w:t xml:space="preserve"> indgives </w:t>
      </w:r>
      <w:proofErr w:type="spellStart"/>
      <w:r w:rsidRPr="007D510E">
        <w:rPr>
          <w:spacing w:val="-3"/>
          <w:sz w:val="24"/>
          <w:szCs w:val="24"/>
          <w:lang w:eastAsia="da-DK"/>
        </w:rPr>
        <w:t>i.v</w:t>
      </w:r>
      <w:proofErr w:type="spellEnd"/>
      <w:r w:rsidRPr="007D510E">
        <w:rPr>
          <w:spacing w:val="-3"/>
          <w:sz w:val="24"/>
          <w:szCs w:val="24"/>
          <w:lang w:eastAsia="da-DK"/>
        </w:rPr>
        <w:t>. ved tegn på anæstesiens aftagen:</w:t>
      </w:r>
    </w:p>
    <w:p w:rsidR="00E05A5D" w:rsidRPr="007D510E" w:rsidRDefault="00E05A5D" w:rsidP="00E05A5D">
      <w:pPr>
        <w:tabs>
          <w:tab w:val="num" w:pos="1134"/>
        </w:tabs>
        <w:ind w:left="1134" w:hanging="283"/>
        <w:rPr>
          <w:spacing w:val="-3"/>
          <w:sz w:val="24"/>
          <w:szCs w:val="24"/>
          <w:lang w:eastAsia="da-DK"/>
        </w:rPr>
      </w:pPr>
      <w:r w:rsidRPr="007D510E">
        <w:rPr>
          <w:spacing w:val="-3"/>
          <w:sz w:val="24"/>
          <w:szCs w:val="24"/>
          <w:lang w:eastAsia="da-DK"/>
        </w:rPr>
        <w:t>10</w:t>
      </w:r>
      <w:r w:rsidRPr="002F6D75">
        <w:rPr>
          <w:spacing w:val="-3"/>
          <w:sz w:val="24"/>
          <w:szCs w:val="24"/>
          <w:lang w:eastAsia="da-DK"/>
        </w:rPr>
        <w:t>-</w:t>
      </w:r>
      <w:r w:rsidRPr="007D510E">
        <w:rPr>
          <w:spacing w:val="-3"/>
          <w:sz w:val="24"/>
          <w:szCs w:val="24"/>
          <w:lang w:eastAsia="da-DK"/>
        </w:rPr>
        <w:t xml:space="preserve">50 mikrogram </w:t>
      </w:r>
      <w:proofErr w:type="spellStart"/>
      <w:r w:rsidRPr="007D510E">
        <w:rPr>
          <w:spacing w:val="-3"/>
          <w:sz w:val="24"/>
          <w:szCs w:val="24"/>
          <w:lang w:eastAsia="da-DK"/>
        </w:rPr>
        <w:t>sufentanil</w:t>
      </w:r>
      <w:proofErr w:type="spellEnd"/>
      <w:r w:rsidRPr="007D510E">
        <w:rPr>
          <w:spacing w:val="-3"/>
          <w:sz w:val="24"/>
          <w:szCs w:val="24"/>
          <w:lang w:eastAsia="da-DK"/>
        </w:rPr>
        <w:t xml:space="preserve"> (ca. 0,15</w:t>
      </w:r>
      <w:r w:rsidRPr="002F6D75">
        <w:rPr>
          <w:spacing w:val="-3"/>
          <w:sz w:val="24"/>
          <w:szCs w:val="24"/>
          <w:lang w:eastAsia="da-DK"/>
        </w:rPr>
        <w:t>-</w:t>
      </w:r>
      <w:r w:rsidRPr="007D510E">
        <w:rPr>
          <w:spacing w:val="-3"/>
          <w:sz w:val="24"/>
          <w:szCs w:val="24"/>
          <w:lang w:eastAsia="da-DK"/>
        </w:rPr>
        <w:t>0,7 mikrogram/kg legemsvægt).</w:t>
      </w:r>
    </w:p>
    <w:p w:rsidR="00E05A5D" w:rsidRPr="007D510E" w:rsidRDefault="00E05A5D" w:rsidP="00E05A5D">
      <w:pPr>
        <w:tabs>
          <w:tab w:val="left" w:pos="709"/>
          <w:tab w:val="num" w:pos="1134"/>
        </w:tabs>
        <w:ind w:left="1134" w:hanging="283"/>
        <w:rPr>
          <w:spacing w:val="-3"/>
          <w:sz w:val="24"/>
          <w:szCs w:val="24"/>
          <w:lang w:eastAsia="da-DK"/>
        </w:rPr>
      </w:pPr>
      <w:r w:rsidRPr="007D510E">
        <w:rPr>
          <w:spacing w:val="-3"/>
          <w:sz w:val="24"/>
          <w:szCs w:val="24"/>
          <w:lang w:eastAsia="da-DK"/>
        </w:rPr>
        <w:t>Afvænningsfasen</w:t>
      </w:r>
      <w:r w:rsidRPr="007D510E">
        <w:rPr>
          <w:i/>
          <w:spacing w:val="-3"/>
          <w:sz w:val="24"/>
          <w:szCs w:val="24"/>
          <w:lang w:eastAsia="da-DK"/>
        </w:rPr>
        <w:t> -</w:t>
      </w:r>
      <w:r w:rsidRPr="007D510E">
        <w:rPr>
          <w:spacing w:val="-3"/>
          <w:sz w:val="24"/>
          <w:szCs w:val="24"/>
          <w:lang w:eastAsia="da-DK"/>
        </w:rPr>
        <w:t> under denne fase er det nødvendigt at reducere dosis meget langsomt.</w:t>
      </w:r>
    </w:p>
    <w:p w:rsidR="00E05A5D" w:rsidRPr="007D510E" w:rsidRDefault="00E05A5D" w:rsidP="00E05A5D">
      <w:pPr>
        <w:tabs>
          <w:tab w:val="left" w:pos="709"/>
          <w:tab w:val="num" w:pos="1134"/>
        </w:tabs>
        <w:ind w:left="1134" w:hanging="283"/>
        <w:rPr>
          <w:spacing w:val="-3"/>
          <w:sz w:val="24"/>
          <w:szCs w:val="24"/>
          <w:lang w:eastAsia="da-DK"/>
        </w:rPr>
      </w:pPr>
    </w:p>
    <w:p w:rsidR="00E05A5D" w:rsidRPr="007D510E" w:rsidRDefault="00E05A5D" w:rsidP="00E05A5D">
      <w:pPr>
        <w:ind w:left="851"/>
        <w:rPr>
          <w:iCs/>
          <w:sz w:val="24"/>
          <w:szCs w:val="24"/>
          <w:u w:val="single"/>
          <w:lang w:eastAsia="da-DK"/>
        </w:rPr>
      </w:pPr>
      <w:r w:rsidRPr="007D510E">
        <w:rPr>
          <w:iCs/>
          <w:sz w:val="24"/>
          <w:szCs w:val="24"/>
          <w:u w:val="single"/>
          <w:lang w:eastAsia="da-DK"/>
        </w:rPr>
        <w:t xml:space="preserve">Som </w:t>
      </w:r>
      <w:proofErr w:type="spellStart"/>
      <w:r w:rsidRPr="007D510E">
        <w:rPr>
          <w:iCs/>
          <w:sz w:val="24"/>
          <w:szCs w:val="24"/>
          <w:u w:val="single"/>
          <w:lang w:eastAsia="da-DK"/>
        </w:rPr>
        <w:t>anæstetikum</w:t>
      </w:r>
      <w:proofErr w:type="spellEnd"/>
      <w:r w:rsidRPr="007D510E">
        <w:rPr>
          <w:iCs/>
          <w:sz w:val="24"/>
          <w:szCs w:val="24"/>
          <w:u w:val="single"/>
          <w:lang w:eastAsia="da-DK"/>
        </w:rPr>
        <w:t xml:space="preserve"> til induktion/vedligeholdelse af</w:t>
      </w:r>
      <w:r w:rsidRPr="002F6D75">
        <w:rPr>
          <w:iCs/>
          <w:sz w:val="24"/>
          <w:szCs w:val="24"/>
          <w:u w:val="single"/>
          <w:lang w:eastAsia="da-DK"/>
        </w:rPr>
        <w:t xml:space="preserve"> anæstesi</w:t>
      </w:r>
    </w:p>
    <w:p w:rsidR="00E05A5D" w:rsidRPr="002F6D75" w:rsidRDefault="00E05A5D" w:rsidP="00E05A5D">
      <w:pPr>
        <w:tabs>
          <w:tab w:val="num" w:pos="1134"/>
        </w:tabs>
        <w:ind w:left="1134" w:hanging="283"/>
        <w:rPr>
          <w:i/>
          <w:spacing w:val="-3"/>
          <w:sz w:val="24"/>
          <w:szCs w:val="24"/>
          <w:lang w:eastAsia="da-DK"/>
        </w:rPr>
      </w:pPr>
    </w:p>
    <w:p w:rsidR="00E05A5D" w:rsidRPr="007D510E" w:rsidRDefault="00E05A5D" w:rsidP="00E05A5D">
      <w:pPr>
        <w:tabs>
          <w:tab w:val="num" w:pos="1134"/>
        </w:tabs>
        <w:ind w:left="1134" w:hanging="283"/>
        <w:rPr>
          <w:spacing w:val="-3"/>
          <w:sz w:val="24"/>
          <w:szCs w:val="24"/>
          <w:lang w:eastAsia="da-DK"/>
        </w:rPr>
      </w:pPr>
      <w:r w:rsidRPr="007D510E">
        <w:rPr>
          <w:i/>
          <w:spacing w:val="-3"/>
          <w:sz w:val="24"/>
          <w:szCs w:val="24"/>
          <w:lang w:eastAsia="da-DK"/>
        </w:rPr>
        <w:t>Initialdosis</w:t>
      </w:r>
      <w:r w:rsidRPr="007D510E">
        <w:rPr>
          <w:spacing w:val="-3"/>
          <w:sz w:val="24"/>
          <w:szCs w:val="24"/>
          <w:lang w:eastAsia="da-DK"/>
        </w:rPr>
        <w:t xml:space="preserve"> - langsom injektion </w:t>
      </w:r>
      <w:proofErr w:type="spellStart"/>
      <w:r w:rsidRPr="007D510E">
        <w:rPr>
          <w:spacing w:val="-3"/>
          <w:sz w:val="24"/>
          <w:szCs w:val="24"/>
          <w:lang w:eastAsia="da-DK"/>
        </w:rPr>
        <w:t>i.v</w:t>
      </w:r>
      <w:proofErr w:type="spellEnd"/>
      <w:r w:rsidRPr="007D510E">
        <w:rPr>
          <w:spacing w:val="-3"/>
          <w:sz w:val="24"/>
          <w:szCs w:val="24"/>
          <w:lang w:eastAsia="da-DK"/>
        </w:rPr>
        <w:t>. eller kortvarig infusion over 2</w:t>
      </w:r>
      <w:r w:rsidRPr="002F6D75">
        <w:rPr>
          <w:spacing w:val="-3"/>
          <w:sz w:val="24"/>
          <w:szCs w:val="24"/>
          <w:lang w:eastAsia="da-DK"/>
        </w:rPr>
        <w:t>-</w:t>
      </w:r>
      <w:r w:rsidRPr="007D510E">
        <w:rPr>
          <w:spacing w:val="-3"/>
          <w:sz w:val="24"/>
          <w:szCs w:val="24"/>
          <w:lang w:eastAsia="da-DK"/>
        </w:rPr>
        <w:t>10 minutter:</w:t>
      </w:r>
    </w:p>
    <w:p w:rsidR="00E05A5D" w:rsidRPr="007D510E" w:rsidRDefault="00E05A5D" w:rsidP="00E05A5D">
      <w:pPr>
        <w:tabs>
          <w:tab w:val="num" w:pos="1134"/>
        </w:tabs>
        <w:ind w:left="1134" w:hanging="283"/>
        <w:rPr>
          <w:spacing w:val="-3"/>
          <w:sz w:val="24"/>
          <w:szCs w:val="24"/>
          <w:lang w:eastAsia="da-DK"/>
        </w:rPr>
      </w:pPr>
      <w:r w:rsidRPr="007D510E">
        <w:rPr>
          <w:spacing w:val="-3"/>
          <w:sz w:val="24"/>
          <w:szCs w:val="24"/>
          <w:lang w:eastAsia="da-DK"/>
        </w:rPr>
        <w:t>7</w:t>
      </w:r>
      <w:r w:rsidRPr="002F6D75">
        <w:rPr>
          <w:spacing w:val="-3"/>
          <w:sz w:val="24"/>
          <w:szCs w:val="24"/>
          <w:lang w:eastAsia="da-DK"/>
        </w:rPr>
        <w:t>-</w:t>
      </w:r>
      <w:r w:rsidRPr="007D510E">
        <w:rPr>
          <w:spacing w:val="-3"/>
          <w:sz w:val="24"/>
          <w:szCs w:val="24"/>
          <w:lang w:eastAsia="da-DK"/>
        </w:rPr>
        <w:t xml:space="preserve">20 mikrogram </w:t>
      </w:r>
      <w:proofErr w:type="spellStart"/>
      <w:r w:rsidRPr="007D510E">
        <w:rPr>
          <w:spacing w:val="-3"/>
          <w:sz w:val="24"/>
          <w:szCs w:val="24"/>
          <w:lang w:eastAsia="da-DK"/>
        </w:rPr>
        <w:t>sufentanil</w:t>
      </w:r>
      <w:proofErr w:type="spellEnd"/>
      <w:r w:rsidRPr="007D510E">
        <w:rPr>
          <w:spacing w:val="-3"/>
          <w:sz w:val="24"/>
          <w:szCs w:val="24"/>
          <w:lang w:eastAsia="da-DK"/>
        </w:rPr>
        <w:t>/kg legemsvægt.</w:t>
      </w:r>
    </w:p>
    <w:p w:rsidR="00E05A5D" w:rsidRPr="007D510E" w:rsidRDefault="00E05A5D" w:rsidP="00E05A5D">
      <w:pPr>
        <w:tabs>
          <w:tab w:val="num" w:pos="1134"/>
        </w:tabs>
        <w:spacing w:line="120" w:lineRule="exact"/>
        <w:ind w:left="1134" w:hanging="283"/>
        <w:rPr>
          <w:sz w:val="24"/>
          <w:szCs w:val="24"/>
          <w:lang w:eastAsia="da-DK"/>
        </w:rPr>
      </w:pPr>
    </w:p>
    <w:p w:rsidR="00E05A5D" w:rsidRPr="007D510E" w:rsidRDefault="00E05A5D" w:rsidP="00E05A5D">
      <w:pPr>
        <w:tabs>
          <w:tab w:val="num" w:pos="1134"/>
        </w:tabs>
        <w:ind w:left="1134" w:hanging="283"/>
        <w:rPr>
          <w:sz w:val="24"/>
          <w:szCs w:val="24"/>
          <w:lang w:eastAsia="da-DK"/>
        </w:rPr>
      </w:pPr>
      <w:r w:rsidRPr="007D510E">
        <w:rPr>
          <w:sz w:val="24"/>
          <w:szCs w:val="24"/>
          <w:lang w:eastAsia="da-DK"/>
        </w:rPr>
        <w:t>V</w:t>
      </w:r>
      <w:r w:rsidRPr="007D510E">
        <w:rPr>
          <w:i/>
          <w:sz w:val="24"/>
          <w:szCs w:val="24"/>
          <w:lang w:eastAsia="da-DK"/>
        </w:rPr>
        <w:t>edligeholdelsesdosis</w:t>
      </w:r>
      <w:r w:rsidRPr="007D510E">
        <w:rPr>
          <w:sz w:val="24"/>
          <w:szCs w:val="24"/>
          <w:lang w:eastAsia="da-DK"/>
        </w:rPr>
        <w:t xml:space="preserve"> - indgivet </w:t>
      </w:r>
      <w:proofErr w:type="spellStart"/>
      <w:r w:rsidRPr="007D510E">
        <w:rPr>
          <w:sz w:val="24"/>
          <w:szCs w:val="24"/>
          <w:lang w:eastAsia="da-DK"/>
        </w:rPr>
        <w:t>i.v</w:t>
      </w:r>
      <w:proofErr w:type="spellEnd"/>
      <w:r w:rsidRPr="007D510E">
        <w:rPr>
          <w:sz w:val="24"/>
          <w:szCs w:val="24"/>
          <w:lang w:eastAsia="da-DK"/>
        </w:rPr>
        <w:t>. ved tegn på anæstesiens aftagen:</w:t>
      </w:r>
    </w:p>
    <w:p w:rsidR="00E05A5D" w:rsidRPr="007D510E" w:rsidRDefault="00E05A5D" w:rsidP="00E05A5D">
      <w:pPr>
        <w:tabs>
          <w:tab w:val="num" w:pos="1134"/>
        </w:tabs>
        <w:ind w:left="1134" w:hanging="283"/>
        <w:rPr>
          <w:sz w:val="24"/>
          <w:szCs w:val="24"/>
          <w:lang w:eastAsia="da-DK"/>
        </w:rPr>
      </w:pPr>
      <w:r w:rsidRPr="007D510E">
        <w:rPr>
          <w:sz w:val="24"/>
          <w:szCs w:val="24"/>
          <w:lang w:eastAsia="da-DK"/>
        </w:rPr>
        <w:t>25</w:t>
      </w:r>
      <w:r w:rsidRPr="002F6D75">
        <w:rPr>
          <w:sz w:val="24"/>
          <w:szCs w:val="24"/>
          <w:lang w:eastAsia="da-DK"/>
        </w:rPr>
        <w:t>-</w:t>
      </w:r>
      <w:r w:rsidRPr="007D510E">
        <w:rPr>
          <w:sz w:val="24"/>
          <w:szCs w:val="24"/>
          <w:lang w:eastAsia="da-DK"/>
        </w:rPr>
        <w:t xml:space="preserve">50 mikrogram </w:t>
      </w:r>
      <w:proofErr w:type="spellStart"/>
      <w:r w:rsidRPr="007D510E">
        <w:rPr>
          <w:sz w:val="24"/>
          <w:szCs w:val="24"/>
          <w:lang w:eastAsia="da-DK"/>
        </w:rPr>
        <w:t>sufentanil</w:t>
      </w:r>
      <w:proofErr w:type="spellEnd"/>
      <w:r w:rsidRPr="007D510E">
        <w:rPr>
          <w:sz w:val="24"/>
          <w:szCs w:val="24"/>
          <w:lang w:eastAsia="da-DK"/>
        </w:rPr>
        <w:t xml:space="preserve"> (ca. 0,36</w:t>
      </w:r>
      <w:r w:rsidRPr="002F6D75">
        <w:rPr>
          <w:sz w:val="24"/>
          <w:szCs w:val="24"/>
          <w:lang w:eastAsia="da-DK"/>
        </w:rPr>
        <w:t>-</w:t>
      </w:r>
      <w:r w:rsidRPr="007D510E">
        <w:rPr>
          <w:sz w:val="24"/>
          <w:szCs w:val="24"/>
          <w:lang w:eastAsia="da-DK"/>
        </w:rPr>
        <w:t>0,7 mikrogram/kg legemsvægt).</w:t>
      </w:r>
    </w:p>
    <w:p w:rsidR="00E05A5D" w:rsidRPr="007D510E" w:rsidRDefault="00E05A5D" w:rsidP="00E05A5D">
      <w:pPr>
        <w:ind w:left="851"/>
        <w:rPr>
          <w:sz w:val="24"/>
          <w:szCs w:val="24"/>
          <w:lang w:eastAsia="da-DK"/>
        </w:rPr>
      </w:pPr>
      <w:r w:rsidRPr="007D510E">
        <w:rPr>
          <w:sz w:val="24"/>
          <w:szCs w:val="24"/>
          <w:lang w:eastAsia="da-DK"/>
        </w:rPr>
        <w:t>Vedligeholdelsesdoser fra 25</w:t>
      </w:r>
      <w:r w:rsidRPr="002F6D75">
        <w:rPr>
          <w:sz w:val="24"/>
          <w:szCs w:val="24"/>
          <w:lang w:eastAsia="da-DK"/>
        </w:rPr>
        <w:t>-</w:t>
      </w:r>
      <w:r w:rsidRPr="007D510E">
        <w:rPr>
          <w:sz w:val="24"/>
          <w:szCs w:val="24"/>
          <w:lang w:eastAsia="da-DK"/>
        </w:rPr>
        <w:t xml:space="preserve">50 mikrogram </w:t>
      </w:r>
      <w:proofErr w:type="spellStart"/>
      <w:r w:rsidRPr="007D510E">
        <w:rPr>
          <w:sz w:val="24"/>
          <w:szCs w:val="24"/>
          <w:lang w:eastAsia="da-DK"/>
        </w:rPr>
        <w:t>sufentanil</w:t>
      </w:r>
      <w:proofErr w:type="spellEnd"/>
      <w:r w:rsidRPr="007D510E">
        <w:rPr>
          <w:sz w:val="24"/>
          <w:szCs w:val="24"/>
          <w:lang w:eastAsia="da-DK"/>
        </w:rPr>
        <w:t xml:space="preserve"> er normalt tilstrækkelige til vedligeholdelse af en stabil </w:t>
      </w:r>
      <w:proofErr w:type="spellStart"/>
      <w:r w:rsidRPr="007D510E">
        <w:rPr>
          <w:sz w:val="24"/>
          <w:szCs w:val="24"/>
          <w:lang w:eastAsia="da-DK"/>
        </w:rPr>
        <w:t>kardiovaskulær</w:t>
      </w:r>
      <w:proofErr w:type="spellEnd"/>
      <w:r w:rsidRPr="007D510E">
        <w:rPr>
          <w:sz w:val="24"/>
          <w:szCs w:val="24"/>
          <w:lang w:eastAsia="da-DK"/>
        </w:rPr>
        <w:t xml:space="preserve"> tilstand under anæstesien.</w:t>
      </w:r>
    </w:p>
    <w:p w:rsidR="00E05A5D" w:rsidRPr="007D510E" w:rsidRDefault="00E05A5D" w:rsidP="00E05A5D">
      <w:pPr>
        <w:tabs>
          <w:tab w:val="num" w:pos="851"/>
        </w:tabs>
        <w:spacing w:line="120" w:lineRule="exact"/>
        <w:ind w:left="851"/>
        <w:rPr>
          <w:sz w:val="24"/>
          <w:szCs w:val="24"/>
          <w:lang w:eastAsia="da-DK"/>
        </w:rPr>
      </w:pPr>
    </w:p>
    <w:p w:rsidR="00E05A5D" w:rsidRPr="007D510E" w:rsidRDefault="00E05A5D" w:rsidP="00E05A5D">
      <w:pPr>
        <w:keepNext/>
        <w:tabs>
          <w:tab w:val="num" w:pos="851"/>
        </w:tabs>
        <w:ind w:left="851"/>
        <w:outlineLvl w:val="3"/>
        <w:rPr>
          <w:bCs/>
          <w:spacing w:val="-3"/>
          <w:sz w:val="24"/>
          <w:szCs w:val="24"/>
          <w:u w:val="single"/>
          <w:lang w:eastAsia="da-DK"/>
        </w:rPr>
      </w:pPr>
      <w:r w:rsidRPr="002F6D75">
        <w:rPr>
          <w:bCs/>
          <w:spacing w:val="-3"/>
          <w:sz w:val="24"/>
          <w:szCs w:val="24"/>
          <w:u w:val="single"/>
          <w:lang w:eastAsia="da-DK"/>
        </w:rPr>
        <w:t>Bemærk</w:t>
      </w:r>
    </w:p>
    <w:p w:rsidR="00E05A5D" w:rsidRPr="007D510E" w:rsidRDefault="00E05A5D" w:rsidP="00E05A5D">
      <w:pPr>
        <w:tabs>
          <w:tab w:val="num" w:pos="851"/>
        </w:tabs>
        <w:ind w:left="851"/>
        <w:rPr>
          <w:spacing w:val="-3"/>
          <w:sz w:val="24"/>
          <w:szCs w:val="24"/>
          <w:lang w:eastAsia="da-DK"/>
        </w:rPr>
      </w:pPr>
      <w:r w:rsidRPr="007D510E">
        <w:rPr>
          <w:spacing w:val="-3"/>
          <w:sz w:val="24"/>
          <w:szCs w:val="24"/>
          <w:lang w:eastAsia="da-DK"/>
        </w:rPr>
        <w:t xml:space="preserve">Vedligeholdelsesdosis bør tilpasses den enkelte patients behov og den forventede resterende operations-/proceduretid. </w:t>
      </w:r>
    </w:p>
    <w:p w:rsidR="00E05A5D" w:rsidRPr="007D510E" w:rsidRDefault="00E05A5D" w:rsidP="00E05A5D">
      <w:pPr>
        <w:tabs>
          <w:tab w:val="num" w:pos="851"/>
        </w:tabs>
        <w:ind w:left="851"/>
        <w:rPr>
          <w:spacing w:val="-3"/>
          <w:sz w:val="24"/>
          <w:szCs w:val="24"/>
          <w:lang w:eastAsia="da-DK"/>
        </w:rPr>
      </w:pPr>
      <w:proofErr w:type="spellStart"/>
      <w:r w:rsidRPr="007D510E">
        <w:rPr>
          <w:spacing w:val="-3"/>
          <w:sz w:val="24"/>
          <w:szCs w:val="24"/>
          <w:lang w:eastAsia="da-DK"/>
        </w:rPr>
        <w:t>Sufentanil</w:t>
      </w:r>
      <w:proofErr w:type="spellEnd"/>
      <w:r w:rsidRPr="007D510E">
        <w:rPr>
          <w:spacing w:val="-3"/>
          <w:sz w:val="24"/>
          <w:szCs w:val="24"/>
          <w:lang w:eastAsia="da-DK"/>
        </w:rPr>
        <w:t xml:space="preserve"> som eneste </w:t>
      </w:r>
      <w:proofErr w:type="spellStart"/>
      <w:r w:rsidRPr="007D510E">
        <w:rPr>
          <w:spacing w:val="-3"/>
          <w:sz w:val="24"/>
          <w:szCs w:val="24"/>
          <w:lang w:eastAsia="da-DK"/>
        </w:rPr>
        <w:t>anæstetikum</w:t>
      </w:r>
      <w:proofErr w:type="spellEnd"/>
      <w:r w:rsidRPr="007D510E">
        <w:rPr>
          <w:spacing w:val="-3"/>
          <w:sz w:val="24"/>
          <w:szCs w:val="24"/>
          <w:lang w:eastAsia="da-DK"/>
        </w:rPr>
        <w:t xml:space="preserve"> indgivet som </w:t>
      </w:r>
      <w:proofErr w:type="spellStart"/>
      <w:r w:rsidRPr="007D510E">
        <w:rPr>
          <w:spacing w:val="-3"/>
          <w:sz w:val="24"/>
          <w:szCs w:val="24"/>
          <w:lang w:eastAsia="da-DK"/>
        </w:rPr>
        <w:t>bolus</w:t>
      </w:r>
      <w:proofErr w:type="spellEnd"/>
      <w:r w:rsidRPr="007D510E">
        <w:rPr>
          <w:spacing w:val="-3"/>
          <w:sz w:val="24"/>
          <w:szCs w:val="24"/>
          <w:lang w:eastAsia="da-DK"/>
        </w:rPr>
        <w:t xml:space="preserve"> giver ikke sikker anæstesidybde og kræver tillæg af anæstesimedicinering.</w:t>
      </w:r>
    </w:p>
    <w:p w:rsidR="00E05A5D" w:rsidRPr="007D510E" w:rsidRDefault="00E05A5D" w:rsidP="00E05A5D">
      <w:pPr>
        <w:tabs>
          <w:tab w:val="num" w:pos="851"/>
        </w:tabs>
        <w:ind w:left="851"/>
        <w:rPr>
          <w:b/>
          <w:spacing w:val="-3"/>
          <w:sz w:val="24"/>
          <w:szCs w:val="24"/>
          <w:lang w:eastAsia="da-DK"/>
        </w:rPr>
      </w:pPr>
    </w:p>
    <w:p w:rsidR="00E05A5D" w:rsidRPr="007D510E" w:rsidRDefault="00E05A5D" w:rsidP="00E05A5D">
      <w:pPr>
        <w:keepNext/>
        <w:keepLines/>
        <w:tabs>
          <w:tab w:val="num" w:pos="851"/>
          <w:tab w:val="left" w:pos="993"/>
        </w:tabs>
        <w:ind w:left="851"/>
        <w:rPr>
          <w:b/>
          <w:sz w:val="24"/>
          <w:szCs w:val="24"/>
          <w:lang w:eastAsia="da-DK"/>
        </w:rPr>
      </w:pPr>
      <w:r w:rsidRPr="007D510E">
        <w:rPr>
          <w:b/>
          <w:sz w:val="24"/>
          <w:szCs w:val="24"/>
          <w:lang w:eastAsia="da-DK"/>
        </w:rPr>
        <w:t>Særlige f</w:t>
      </w:r>
      <w:r w:rsidRPr="002F6D75">
        <w:rPr>
          <w:b/>
          <w:sz w:val="24"/>
          <w:szCs w:val="24"/>
          <w:lang w:eastAsia="da-DK"/>
        </w:rPr>
        <w:t>orsigtighedsregler ved dosering</w:t>
      </w:r>
    </w:p>
    <w:p w:rsidR="00E05A5D" w:rsidRPr="007D510E" w:rsidRDefault="00E05A5D" w:rsidP="00E05A5D">
      <w:pPr>
        <w:tabs>
          <w:tab w:val="num" w:pos="851"/>
        </w:tabs>
        <w:ind w:left="851"/>
        <w:rPr>
          <w:sz w:val="24"/>
          <w:szCs w:val="24"/>
          <w:lang w:eastAsia="da-DK"/>
        </w:rPr>
      </w:pPr>
      <w:r w:rsidRPr="007D510E">
        <w:rPr>
          <w:sz w:val="24"/>
          <w:szCs w:val="24"/>
          <w:lang w:eastAsia="da-DK"/>
        </w:rPr>
        <w:t xml:space="preserve">Ældre og svækkede patienter behøver i reglen mindre doser. Eliminationshalveringstiden for </w:t>
      </w:r>
      <w:proofErr w:type="spellStart"/>
      <w:r w:rsidRPr="007D510E">
        <w:rPr>
          <w:sz w:val="24"/>
          <w:szCs w:val="24"/>
          <w:lang w:eastAsia="da-DK"/>
        </w:rPr>
        <w:t>sufentanil</w:t>
      </w:r>
      <w:proofErr w:type="spellEnd"/>
      <w:r w:rsidRPr="007D510E">
        <w:rPr>
          <w:sz w:val="24"/>
          <w:szCs w:val="24"/>
          <w:lang w:eastAsia="da-DK"/>
        </w:rPr>
        <w:t xml:space="preserve"> er ikke forlænget hos ældre, men der er en øget risiko for </w:t>
      </w:r>
      <w:proofErr w:type="spellStart"/>
      <w:r w:rsidRPr="007D510E">
        <w:rPr>
          <w:sz w:val="24"/>
          <w:szCs w:val="24"/>
          <w:lang w:eastAsia="da-DK"/>
        </w:rPr>
        <w:t>kardiovaskulære</w:t>
      </w:r>
      <w:proofErr w:type="spellEnd"/>
      <w:r w:rsidRPr="007D510E">
        <w:rPr>
          <w:sz w:val="24"/>
          <w:szCs w:val="24"/>
          <w:lang w:eastAsia="da-DK"/>
        </w:rPr>
        <w:t xml:space="preserve"> uregelmæssigheder.</w:t>
      </w:r>
    </w:p>
    <w:p w:rsidR="00E05A5D" w:rsidRPr="007D510E" w:rsidRDefault="00E05A5D" w:rsidP="00E05A5D">
      <w:pPr>
        <w:tabs>
          <w:tab w:val="num" w:pos="851"/>
        </w:tabs>
        <w:ind w:left="851"/>
        <w:rPr>
          <w:spacing w:val="-3"/>
          <w:sz w:val="24"/>
          <w:szCs w:val="24"/>
          <w:lang w:eastAsia="da-DK"/>
        </w:rPr>
      </w:pPr>
      <w:r w:rsidRPr="007D510E">
        <w:rPr>
          <w:spacing w:val="-3"/>
          <w:sz w:val="24"/>
          <w:szCs w:val="24"/>
          <w:lang w:eastAsia="da-DK"/>
        </w:rPr>
        <w:t>Den foreslåede totale dosis bør titreres omhyggeligt til patienter med en af følgende l</w:t>
      </w:r>
      <w:r w:rsidRPr="002F6D75">
        <w:rPr>
          <w:spacing w:val="-3"/>
          <w:sz w:val="24"/>
          <w:szCs w:val="24"/>
          <w:lang w:eastAsia="da-DK"/>
        </w:rPr>
        <w:t xml:space="preserve">idelser: </w:t>
      </w:r>
      <w:proofErr w:type="spellStart"/>
      <w:r w:rsidRPr="002F6D75">
        <w:rPr>
          <w:spacing w:val="-3"/>
          <w:sz w:val="24"/>
          <w:szCs w:val="24"/>
          <w:lang w:eastAsia="da-DK"/>
        </w:rPr>
        <w:t>U</w:t>
      </w:r>
      <w:r w:rsidRPr="007D510E">
        <w:rPr>
          <w:spacing w:val="-3"/>
          <w:sz w:val="24"/>
          <w:szCs w:val="24"/>
          <w:lang w:eastAsia="da-DK"/>
        </w:rPr>
        <w:t>kompenseret</w:t>
      </w:r>
      <w:proofErr w:type="spellEnd"/>
      <w:r w:rsidRPr="007D510E">
        <w:rPr>
          <w:spacing w:val="-3"/>
          <w:sz w:val="24"/>
          <w:szCs w:val="24"/>
          <w:lang w:eastAsia="da-DK"/>
        </w:rPr>
        <w:t xml:space="preserve"> </w:t>
      </w:r>
      <w:proofErr w:type="spellStart"/>
      <w:r w:rsidRPr="007D510E">
        <w:rPr>
          <w:spacing w:val="-3"/>
          <w:sz w:val="24"/>
          <w:szCs w:val="24"/>
          <w:lang w:eastAsia="da-DK"/>
        </w:rPr>
        <w:t>hypothyreoidisme</w:t>
      </w:r>
      <w:proofErr w:type="spellEnd"/>
      <w:r w:rsidRPr="007D510E">
        <w:rPr>
          <w:spacing w:val="-3"/>
          <w:sz w:val="24"/>
          <w:szCs w:val="24"/>
          <w:lang w:eastAsia="da-DK"/>
        </w:rPr>
        <w:t>, lungesygdom, særligt hvis vitalkapaciteten er nedsat, fedme og alkoholisme. Forlænget postoperativ overvågning af disse patienter er ligeledes tilrådelig.</w:t>
      </w:r>
    </w:p>
    <w:p w:rsidR="00E05A5D" w:rsidRPr="007D510E" w:rsidRDefault="00E05A5D" w:rsidP="00E05A5D">
      <w:pPr>
        <w:tabs>
          <w:tab w:val="num" w:pos="851"/>
        </w:tabs>
        <w:ind w:left="851"/>
        <w:rPr>
          <w:sz w:val="24"/>
          <w:szCs w:val="24"/>
          <w:lang w:eastAsia="da-DK"/>
        </w:rPr>
      </w:pPr>
      <w:r w:rsidRPr="007D510E">
        <w:rPr>
          <w:sz w:val="24"/>
          <w:szCs w:val="24"/>
          <w:lang w:eastAsia="da-DK"/>
        </w:rPr>
        <w:lastRenderedPageBreak/>
        <w:t xml:space="preserve">Mulighed for nedsat eliminering må tages i betragtning ved </w:t>
      </w:r>
      <w:proofErr w:type="spellStart"/>
      <w:r w:rsidRPr="007D510E">
        <w:rPr>
          <w:sz w:val="24"/>
          <w:szCs w:val="24"/>
          <w:lang w:eastAsia="da-DK"/>
        </w:rPr>
        <w:t>hepatisk</w:t>
      </w:r>
      <w:proofErr w:type="spellEnd"/>
      <w:r w:rsidRPr="007D510E">
        <w:rPr>
          <w:sz w:val="24"/>
          <w:szCs w:val="24"/>
          <w:lang w:eastAsia="da-DK"/>
        </w:rPr>
        <w:t xml:space="preserve"> og </w:t>
      </w:r>
      <w:proofErr w:type="spellStart"/>
      <w:r w:rsidRPr="007D510E">
        <w:rPr>
          <w:sz w:val="24"/>
          <w:szCs w:val="24"/>
          <w:lang w:eastAsia="da-DK"/>
        </w:rPr>
        <w:t>renal</w:t>
      </w:r>
      <w:proofErr w:type="spellEnd"/>
      <w:r w:rsidRPr="007D510E">
        <w:rPr>
          <w:sz w:val="24"/>
          <w:szCs w:val="24"/>
          <w:lang w:eastAsia="da-DK"/>
        </w:rPr>
        <w:t xml:space="preserve"> insufficiens, og dosis reduceres tilsvarende.</w:t>
      </w:r>
    </w:p>
    <w:p w:rsidR="00E05A5D" w:rsidRPr="007D510E" w:rsidRDefault="00E05A5D" w:rsidP="00E05A5D">
      <w:pPr>
        <w:tabs>
          <w:tab w:val="num" w:pos="851"/>
        </w:tabs>
        <w:ind w:left="851"/>
        <w:rPr>
          <w:sz w:val="24"/>
          <w:szCs w:val="24"/>
          <w:lang w:eastAsia="da-DK"/>
        </w:rPr>
      </w:pPr>
      <w:r w:rsidRPr="007D510E">
        <w:rPr>
          <w:sz w:val="24"/>
          <w:szCs w:val="24"/>
          <w:lang w:eastAsia="da-DK"/>
        </w:rPr>
        <w:t>Patienter under langvarig opioid behandling eller med et tidligere opioidmisbrug kan behøve højere doser.</w:t>
      </w:r>
    </w:p>
    <w:p w:rsidR="00E05A5D" w:rsidRPr="007D510E" w:rsidRDefault="00E05A5D" w:rsidP="00E05A5D">
      <w:pPr>
        <w:tabs>
          <w:tab w:val="num" w:pos="851"/>
        </w:tabs>
        <w:ind w:left="851"/>
        <w:rPr>
          <w:sz w:val="24"/>
          <w:szCs w:val="24"/>
          <w:lang w:eastAsia="da-DK"/>
        </w:rPr>
      </w:pPr>
      <w:r w:rsidRPr="007D510E">
        <w:rPr>
          <w:sz w:val="24"/>
          <w:szCs w:val="24"/>
          <w:lang w:eastAsia="da-DK"/>
        </w:rPr>
        <w:t>Anvendelsesvarighed afhænger af den forventede operationstid.</w:t>
      </w:r>
    </w:p>
    <w:p w:rsidR="00E05A5D" w:rsidRPr="007D510E" w:rsidRDefault="00E05A5D" w:rsidP="00E05A5D">
      <w:pPr>
        <w:tabs>
          <w:tab w:val="num" w:pos="851"/>
        </w:tabs>
        <w:ind w:left="851"/>
        <w:rPr>
          <w:sz w:val="24"/>
          <w:szCs w:val="24"/>
          <w:lang w:eastAsia="da-DK"/>
        </w:rPr>
      </w:pPr>
      <w:proofErr w:type="spellStart"/>
      <w:r w:rsidRPr="007D510E">
        <w:rPr>
          <w:sz w:val="24"/>
          <w:szCs w:val="24"/>
          <w:lang w:eastAsia="da-DK"/>
        </w:rPr>
        <w:t>Sufentanil</w:t>
      </w:r>
      <w:proofErr w:type="spellEnd"/>
      <w:r w:rsidRPr="007D510E">
        <w:rPr>
          <w:sz w:val="24"/>
          <w:szCs w:val="24"/>
          <w:lang w:eastAsia="da-DK"/>
        </w:rPr>
        <w:t xml:space="preserve"> kan gives som en enkelt dosis eller i gentagne doser.</w:t>
      </w:r>
    </w:p>
    <w:p w:rsidR="00E05A5D" w:rsidRPr="007D510E" w:rsidRDefault="00E05A5D" w:rsidP="00E05A5D">
      <w:pPr>
        <w:tabs>
          <w:tab w:val="num" w:pos="851"/>
        </w:tabs>
        <w:ind w:left="851"/>
        <w:rPr>
          <w:sz w:val="24"/>
          <w:szCs w:val="24"/>
          <w:lang w:eastAsia="da-DK"/>
        </w:rPr>
      </w:pPr>
      <w:r w:rsidRPr="007D510E">
        <w:rPr>
          <w:sz w:val="24"/>
          <w:szCs w:val="24"/>
          <w:lang w:eastAsia="da-DK"/>
        </w:rPr>
        <w:t xml:space="preserve">Indgift af hurtige </w:t>
      </w:r>
      <w:proofErr w:type="spellStart"/>
      <w:r w:rsidRPr="007D510E">
        <w:rPr>
          <w:sz w:val="24"/>
          <w:szCs w:val="24"/>
          <w:lang w:eastAsia="da-DK"/>
        </w:rPr>
        <w:t>bolus</w:t>
      </w:r>
      <w:proofErr w:type="spellEnd"/>
      <w:r w:rsidRPr="007D510E">
        <w:rPr>
          <w:sz w:val="24"/>
          <w:szCs w:val="24"/>
          <w:lang w:eastAsia="da-DK"/>
        </w:rPr>
        <w:t>-injektioner bør undgås. Såfremt indgiften foregår i kombination med et sedativt stof, bør begge lægemidler administreres i separate sprøjter.</w:t>
      </w:r>
    </w:p>
    <w:p w:rsidR="00E05A5D" w:rsidRPr="007D510E" w:rsidRDefault="00E05A5D" w:rsidP="00E05A5D">
      <w:pPr>
        <w:tabs>
          <w:tab w:val="num" w:pos="851"/>
        </w:tabs>
        <w:ind w:left="851"/>
        <w:rPr>
          <w:sz w:val="24"/>
          <w:szCs w:val="24"/>
          <w:lang w:eastAsia="da-DK"/>
        </w:rPr>
      </w:pPr>
    </w:p>
    <w:p w:rsidR="00E05A5D" w:rsidRPr="007D510E" w:rsidRDefault="00E05A5D" w:rsidP="00E05A5D">
      <w:pPr>
        <w:tabs>
          <w:tab w:val="num" w:pos="851"/>
        </w:tabs>
        <w:ind w:left="851"/>
        <w:rPr>
          <w:b/>
          <w:sz w:val="24"/>
          <w:szCs w:val="24"/>
          <w:lang w:eastAsia="da-DK"/>
        </w:rPr>
      </w:pPr>
      <w:r w:rsidRPr="007D510E">
        <w:rPr>
          <w:b/>
          <w:sz w:val="24"/>
          <w:szCs w:val="24"/>
          <w:lang w:eastAsia="da-DK"/>
        </w:rPr>
        <w:t>Pædiatrisk population</w:t>
      </w:r>
    </w:p>
    <w:p w:rsidR="00E05A5D" w:rsidRPr="007D510E" w:rsidRDefault="00E05A5D" w:rsidP="00E05A5D">
      <w:pPr>
        <w:tabs>
          <w:tab w:val="num" w:pos="851"/>
        </w:tabs>
        <w:ind w:left="851"/>
        <w:rPr>
          <w:b/>
          <w:sz w:val="24"/>
          <w:szCs w:val="24"/>
          <w:lang w:eastAsia="da-DK"/>
        </w:rPr>
      </w:pPr>
      <w:proofErr w:type="spellStart"/>
      <w:r w:rsidRPr="007D510E">
        <w:rPr>
          <w:sz w:val="24"/>
          <w:szCs w:val="24"/>
          <w:lang w:eastAsia="da-DK"/>
        </w:rPr>
        <w:t>Sufentanil</w:t>
      </w:r>
      <w:proofErr w:type="spellEnd"/>
      <w:r w:rsidRPr="002F6D75">
        <w:rPr>
          <w:sz w:val="24"/>
          <w:szCs w:val="24"/>
          <w:lang w:eastAsia="da-DK"/>
        </w:rPr>
        <w:t xml:space="preserve"> "Hameln"</w:t>
      </w:r>
      <w:r w:rsidRPr="007D510E">
        <w:rPr>
          <w:sz w:val="24"/>
          <w:szCs w:val="24"/>
          <w:lang w:eastAsia="da-DK"/>
        </w:rPr>
        <w:t xml:space="preserve"> 10 mikrogram/</w:t>
      </w:r>
      <w:proofErr w:type="spellStart"/>
      <w:r w:rsidRPr="007D510E">
        <w:rPr>
          <w:sz w:val="24"/>
          <w:szCs w:val="24"/>
          <w:lang w:eastAsia="da-DK"/>
        </w:rPr>
        <w:t>ml’s</w:t>
      </w:r>
      <w:proofErr w:type="spellEnd"/>
      <w:r w:rsidRPr="007D510E">
        <w:rPr>
          <w:sz w:val="24"/>
          <w:szCs w:val="24"/>
          <w:lang w:eastAsia="da-DK"/>
        </w:rPr>
        <w:t xml:space="preserve"> sikkerhed og virkning hos spædbørn og børn er ikke blevet klarlagt, da der ikke er nogen relevant applikation for denne specifikke præsentation i nogen af indikationerne i pkt. 4.1. </w:t>
      </w:r>
      <w:r w:rsidRPr="007D510E">
        <w:rPr>
          <w:b/>
          <w:sz w:val="24"/>
          <w:szCs w:val="24"/>
          <w:lang w:eastAsia="da-DK"/>
        </w:rPr>
        <w:t xml:space="preserve"> </w:t>
      </w:r>
    </w:p>
    <w:p w:rsidR="00E05A5D" w:rsidRPr="007D510E" w:rsidRDefault="00E05A5D" w:rsidP="00E05A5D">
      <w:pPr>
        <w:tabs>
          <w:tab w:val="num" w:pos="851"/>
        </w:tabs>
        <w:ind w:left="851"/>
        <w:rPr>
          <w:sz w:val="24"/>
          <w:szCs w:val="24"/>
          <w:lang w:eastAsia="da-DK"/>
        </w:rPr>
      </w:pPr>
    </w:p>
    <w:p w:rsidR="00E05A5D" w:rsidRPr="007D510E" w:rsidRDefault="00E05A5D" w:rsidP="00E05A5D">
      <w:pPr>
        <w:tabs>
          <w:tab w:val="num" w:pos="851"/>
        </w:tabs>
        <w:ind w:left="851"/>
        <w:rPr>
          <w:b/>
          <w:sz w:val="24"/>
          <w:szCs w:val="24"/>
          <w:u w:val="single"/>
          <w:lang w:eastAsia="da-DK"/>
        </w:rPr>
      </w:pPr>
      <w:r w:rsidRPr="007D510E">
        <w:rPr>
          <w:b/>
          <w:sz w:val="24"/>
          <w:szCs w:val="24"/>
          <w:u w:val="single"/>
          <w:lang w:eastAsia="da-DK"/>
        </w:rPr>
        <w:t>Administration</w:t>
      </w:r>
    </w:p>
    <w:p w:rsidR="00E05A5D" w:rsidRPr="007D510E" w:rsidRDefault="00E05A5D" w:rsidP="00E05A5D">
      <w:pPr>
        <w:tabs>
          <w:tab w:val="num" w:pos="851"/>
        </w:tabs>
        <w:ind w:left="851"/>
        <w:rPr>
          <w:sz w:val="24"/>
          <w:szCs w:val="24"/>
          <w:lang w:eastAsia="da-DK"/>
        </w:rPr>
      </w:pPr>
      <w:r w:rsidRPr="007D510E">
        <w:rPr>
          <w:sz w:val="24"/>
          <w:szCs w:val="24"/>
          <w:lang w:eastAsia="da-DK"/>
        </w:rPr>
        <w:t>Kun intravenøs anvendelse.</w:t>
      </w:r>
    </w:p>
    <w:p w:rsidR="00E05A5D" w:rsidRPr="007D510E" w:rsidRDefault="00E05A5D" w:rsidP="00E05A5D">
      <w:pPr>
        <w:tabs>
          <w:tab w:val="num" w:pos="851"/>
        </w:tabs>
        <w:ind w:left="851"/>
        <w:rPr>
          <w:sz w:val="24"/>
          <w:szCs w:val="24"/>
          <w:lang w:eastAsia="da-DK"/>
        </w:rPr>
      </w:pPr>
    </w:p>
    <w:p w:rsidR="00E05A5D" w:rsidRPr="007D510E" w:rsidRDefault="00E05A5D" w:rsidP="00E05A5D">
      <w:pPr>
        <w:tabs>
          <w:tab w:val="num" w:pos="851"/>
        </w:tabs>
        <w:ind w:left="851"/>
        <w:rPr>
          <w:b/>
          <w:sz w:val="24"/>
          <w:szCs w:val="24"/>
          <w:lang w:eastAsia="da-DK"/>
        </w:rPr>
      </w:pPr>
      <w:proofErr w:type="spellStart"/>
      <w:r w:rsidRPr="007D510E">
        <w:rPr>
          <w:sz w:val="24"/>
          <w:szCs w:val="24"/>
          <w:lang w:eastAsia="da-DK"/>
        </w:rPr>
        <w:t>Sufentanil</w:t>
      </w:r>
      <w:proofErr w:type="spellEnd"/>
      <w:r w:rsidRPr="002F6D75">
        <w:rPr>
          <w:sz w:val="24"/>
          <w:szCs w:val="24"/>
          <w:lang w:eastAsia="da-DK"/>
        </w:rPr>
        <w:t xml:space="preserve"> "H</w:t>
      </w:r>
      <w:r w:rsidRPr="007D510E">
        <w:rPr>
          <w:sz w:val="24"/>
          <w:szCs w:val="24"/>
          <w:lang w:eastAsia="da-DK"/>
        </w:rPr>
        <w:t>ameln</w:t>
      </w:r>
      <w:r w:rsidRPr="002F6D75">
        <w:rPr>
          <w:sz w:val="24"/>
          <w:szCs w:val="24"/>
          <w:lang w:eastAsia="da-DK"/>
        </w:rPr>
        <w:t xml:space="preserve">" </w:t>
      </w:r>
      <w:r w:rsidRPr="007D510E">
        <w:rPr>
          <w:sz w:val="24"/>
          <w:szCs w:val="24"/>
          <w:lang w:eastAsia="da-DK"/>
        </w:rPr>
        <w:t xml:space="preserve">10 mikrogram/ml skal ikke fortyndes før brug: </w:t>
      </w:r>
      <w:r w:rsidRPr="002F6D75">
        <w:rPr>
          <w:sz w:val="24"/>
          <w:szCs w:val="24"/>
          <w:lang w:eastAsia="da-DK"/>
        </w:rPr>
        <w:t>D</w:t>
      </w:r>
      <w:r w:rsidRPr="007D510E">
        <w:rPr>
          <w:sz w:val="24"/>
          <w:szCs w:val="24"/>
          <w:lang w:eastAsia="da-DK"/>
        </w:rPr>
        <w:t xml:space="preserve">et leveres klar til brug med en styrke på 10 </w:t>
      </w:r>
      <w:proofErr w:type="spellStart"/>
      <w:r w:rsidRPr="007D510E">
        <w:rPr>
          <w:sz w:val="24"/>
          <w:szCs w:val="24"/>
          <w:lang w:eastAsia="da-DK"/>
        </w:rPr>
        <w:t>mikrog</w:t>
      </w:r>
      <w:proofErr w:type="spellEnd"/>
      <w:r w:rsidRPr="007D510E">
        <w:rPr>
          <w:sz w:val="24"/>
          <w:szCs w:val="24"/>
          <w:lang w:eastAsia="da-DK"/>
        </w:rPr>
        <w:t xml:space="preserve">/ml. Der skal tages hensyn til dette for at undgå doserings-/medicinfejl. </w:t>
      </w:r>
    </w:p>
    <w:p w:rsidR="00E05A5D" w:rsidRPr="007D510E" w:rsidRDefault="00E05A5D" w:rsidP="00E05A5D">
      <w:pPr>
        <w:tabs>
          <w:tab w:val="num" w:pos="851"/>
        </w:tabs>
        <w:ind w:left="851"/>
        <w:rPr>
          <w:sz w:val="24"/>
          <w:szCs w:val="24"/>
          <w:lang w:eastAsia="da-DK"/>
        </w:rPr>
      </w:pPr>
    </w:p>
    <w:p w:rsidR="00E05A5D" w:rsidRPr="002F6D75" w:rsidRDefault="00E05A5D" w:rsidP="00E05A5D">
      <w:pPr>
        <w:tabs>
          <w:tab w:val="num" w:pos="851"/>
        </w:tabs>
        <w:ind w:left="851"/>
        <w:rPr>
          <w:b/>
          <w:sz w:val="24"/>
          <w:szCs w:val="24"/>
          <w:lang w:eastAsia="da-DK"/>
        </w:rPr>
      </w:pPr>
      <w:r w:rsidRPr="007D510E">
        <w:rPr>
          <w:sz w:val="24"/>
          <w:szCs w:val="24"/>
          <w:lang w:eastAsia="da-DK"/>
        </w:rPr>
        <w:t>Produktet skal forud for indgivelse inspiceres visuelt for partikler, beskadigelse af beholderen eller andre visuelle tegn på skade. Opløsningen skal kasseres, hvis nogle af ovenstående fejl observeres.</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4.3</w:t>
      </w:r>
      <w:r w:rsidRPr="002F6D75">
        <w:rPr>
          <w:b/>
          <w:sz w:val="24"/>
          <w:szCs w:val="24"/>
        </w:rPr>
        <w:tab/>
        <w:t>Kontraindikationer</w:t>
      </w:r>
    </w:p>
    <w:p w:rsidR="00E05A5D" w:rsidRPr="002F6D75" w:rsidRDefault="00E05A5D" w:rsidP="00E05A5D">
      <w:pPr>
        <w:ind w:left="851"/>
        <w:rPr>
          <w:sz w:val="24"/>
          <w:szCs w:val="24"/>
        </w:rPr>
      </w:pPr>
      <w:r w:rsidRPr="002F6D75">
        <w:rPr>
          <w:sz w:val="24"/>
          <w:szCs w:val="24"/>
        </w:rPr>
        <w:t xml:space="preserve">Anvendelse af </w:t>
      </w:r>
      <w:proofErr w:type="spellStart"/>
      <w:r w:rsidRPr="002F6D75">
        <w:rPr>
          <w:sz w:val="24"/>
          <w:szCs w:val="24"/>
        </w:rPr>
        <w:t>sufentanil</w:t>
      </w:r>
      <w:proofErr w:type="spellEnd"/>
      <w:r w:rsidRPr="002F6D75">
        <w:rPr>
          <w:sz w:val="24"/>
          <w:szCs w:val="24"/>
        </w:rPr>
        <w:t xml:space="preserve"> injektionsvæske er kontraindiceret til </w:t>
      </w:r>
      <w:r w:rsidR="00D926EB" w:rsidRPr="002F6D75">
        <w:rPr>
          <w:sz w:val="24"/>
          <w:szCs w:val="24"/>
        </w:rPr>
        <w:t>patienter</w:t>
      </w:r>
      <w:r w:rsidR="00D926EB">
        <w:rPr>
          <w:sz w:val="24"/>
          <w:szCs w:val="24"/>
        </w:rPr>
        <w:t>:</w:t>
      </w:r>
    </w:p>
    <w:p w:rsidR="00E05A5D" w:rsidRPr="002F6D75" w:rsidRDefault="00E05A5D" w:rsidP="00E05A5D">
      <w:pPr>
        <w:numPr>
          <w:ilvl w:val="0"/>
          <w:numId w:val="6"/>
        </w:numPr>
        <w:tabs>
          <w:tab w:val="clear" w:pos="1271"/>
          <w:tab w:val="num" w:pos="1134"/>
        </w:tabs>
        <w:ind w:left="1134" w:hanging="283"/>
        <w:rPr>
          <w:sz w:val="24"/>
          <w:szCs w:val="24"/>
        </w:rPr>
      </w:pPr>
      <w:r w:rsidRPr="002F6D75">
        <w:rPr>
          <w:sz w:val="24"/>
          <w:szCs w:val="24"/>
        </w:rPr>
        <w:t xml:space="preserve">med overfølsomhed over for det aktive stof, </w:t>
      </w:r>
      <w:proofErr w:type="spellStart"/>
      <w:r w:rsidRPr="002F6D75">
        <w:rPr>
          <w:sz w:val="24"/>
          <w:szCs w:val="24"/>
        </w:rPr>
        <w:t>morfinomimetika</w:t>
      </w:r>
      <w:proofErr w:type="spellEnd"/>
      <w:r w:rsidRPr="002F6D75">
        <w:rPr>
          <w:sz w:val="24"/>
          <w:szCs w:val="24"/>
        </w:rPr>
        <w:t xml:space="preserve"> eller over for et eller flere af hjælpestofferne anført i pkt. 6.1,</w:t>
      </w:r>
    </w:p>
    <w:p w:rsidR="00E05A5D" w:rsidRPr="002F6D75" w:rsidRDefault="00E05A5D" w:rsidP="00E05A5D">
      <w:pPr>
        <w:numPr>
          <w:ilvl w:val="0"/>
          <w:numId w:val="6"/>
        </w:numPr>
        <w:tabs>
          <w:tab w:val="clear" w:pos="1271"/>
          <w:tab w:val="num" w:pos="1134"/>
        </w:tabs>
        <w:ind w:left="1134" w:hanging="283"/>
        <w:rPr>
          <w:sz w:val="24"/>
          <w:szCs w:val="24"/>
        </w:rPr>
      </w:pPr>
      <w:r w:rsidRPr="002F6D75">
        <w:rPr>
          <w:sz w:val="24"/>
          <w:szCs w:val="24"/>
        </w:rPr>
        <w:t>med forstyrrelser, under hvilke depression af respirationscentret skal undgås,</w:t>
      </w:r>
    </w:p>
    <w:p w:rsidR="00E05A5D" w:rsidRPr="002F6D75" w:rsidRDefault="00E05A5D" w:rsidP="00E05A5D">
      <w:pPr>
        <w:numPr>
          <w:ilvl w:val="0"/>
          <w:numId w:val="6"/>
        </w:numPr>
        <w:tabs>
          <w:tab w:val="clear" w:pos="1271"/>
          <w:tab w:val="num" w:pos="1134"/>
        </w:tabs>
        <w:ind w:left="1134" w:hanging="283"/>
        <w:rPr>
          <w:sz w:val="24"/>
          <w:szCs w:val="24"/>
        </w:rPr>
      </w:pPr>
      <w:r w:rsidRPr="002F6D75">
        <w:rPr>
          <w:sz w:val="24"/>
          <w:szCs w:val="24"/>
        </w:rPr>
        <w:t xml:space="preserve">med akut </w:t>
      </w:r>
      <w:proofErr w:type="spellStart"/>
      <w:r w:rsidRPr="002F6D75">
        <w:rPr>
          <w:sz w:val="24"/>
          <w:szCs w:val="24"/>
        </w:rPr>
        <w:t>hepatisk</w:t>
      </w:r>
      <w:proofErr w:type="spellEnd"/>
      <w:r w:rsidRPr="002F6D75">
        <w:rPr>
          <w:sz w:val="24"/>
          <w:szCs w:val="24"/>
        </w:rPr>
        <w:t xml:space="preserve"> </w:t>
      </w:r>
      <w:proofErr w:type="spellStart"/>
      <w:r w:rsidRPr="002F6D75">
        <w:rPr>
          <w:sz w:val="24"/>
          <w:szCs w:val="24"/>
        </w:rPr>
        <w:t>porfyri</w:t>
      </w:r>
      <w:proofErr w:type="spellEnd"/>
      <w:r w:rsidRPr="002F6D75">
        <w:rPr>
          <w:sz w:val="24"/>
          <w:szCs w:val="24"/>
        </w:rPr>
        <w:t>,</w:t>
      </w:r>
    </w:p>
    <w:p w:rsidR="00E05A5D" w:rsidRPr="002F6D75" w:rsidRDefault="00E05A5D" w:rsidP="00E05A5D">
      <w:pPr>
        <w:numPr>
          <w:ilvl w:val="0"/>
          <w:numId w:val="6"/>
        </w:numPr>
        <w:tabs>
          <w:tab w:val="clear" w:pos="1271"/>
          <w:tab w:val="num" w:pos="1134"/>
        </w:tabs>
        <w:ind w:left="1134" w:hanging="283"/>
        <w:rPr>
          <w:sz w:val="24"/>
          <w:szCs w:val="24"/>
        </w:rPr>
      </w:pPr>
      <w:r w:rsidRPr="002F6D75">
        <w:rPr>
          <w:sz w:val="24"/>
          <w:szCs w:val="24"/>
        </w:rPr>
        <w:t>der samtidig får MAO-inhibitorer eller som har fået MAO-inhibitorer inden for de sidste 14 dage, se pkt. 4.5,</w:t>
      </w:r>
    </w:p>
    <w:p w:rsidR="00E05A5D" w:rsidRPr="002F6D75" w:rsidRDefault="00E05A5D" w:rsidP="00E05A5D">
      <w:pPr>
        <w:numPr>
          <w:ilvl w:val="0"/>
          <w:numId w:val="6"/>
        </w:numPr>
        <w:tabs>
          <w:tab w:val="clear" w:pos="1271"/>
          <w:tab w:val="num" w:pos="1134"/>
        </w:tabs>
        <w:ind w:left="1134" w:hanging="283"/>
        <w:rPr>
          <w:sz w:val="24"/>
          <w:szCs w:val="24"/>
        </w:rPr>
      </w:pPr>
      <w:r w:rsidRPr="002F6D75">
        <w:rPr>
          <w:sz w:val="24"/>
          <w:szCs w:val="24"/>
        </w:rPr>
        <w:t xml:space="preserve">der samtidig er i behandling med blandede morfin-agonist-antagonister (fx </w:t>
      </w:r>
      <w:proofErr w:type="spellStart"/>
      <w:r w:rsidRPr="002F6D75">
        <w:rPr>
          <w:sz w:val="24"/>
          <w:szCs w:val="24"/>
        </w:rPr>
        <w:t>nalbuphin</w:t>
      </w:r>
      <w:proofErr w:type="spellEnd"/>
      <w:r w:rsidRPr="002F6D75">
        <w:rPr>
          <w:sz w:val="24"/>
          <w:szCs w:val="24"/>
        </w:rPr>
        <w:t xml:space="preserve">, </w:t>
      </w:r>
      <w:proofErr w:type="spellStart"/>
      <w:r w:rsidRPr="002F6D75">
        <w:rPr>
          <w:sz w:val="24"/>
          <w:szCs w:val="24"/>
        </w:rPr>
        <w:t>buprenorphin</w:t>
      </w:r>
      <w:proofErr w:type="spellEnd"/>
      <w:r w:rsidRPr="002F6D75">
        <w:rPr>
          <w:sz w:val="24"/>
          <w:szCs w:val="24"/>
        </w:rPr>
        <w:t xml:space="preserve">, </w:t>
      </w:r>
      <w:proofErr w:type="spellStart"/>
      <w:r w:rsidRPr="002F6D75">
        <w:rPr>
          <w:sz w:val="24"/>
          <w:szCs w:val="24"/>
        </w:rPr>
        <w:t>pentazocin</w:t>
      </w:r>
      <w:proofErr w:type="spellEnd"/>
      <w:r w:rsidRPr="002F6D75">
        <w:rPr>
          <w:sz w:val="24"/>
          <w:szCs w:val="24"/>
        </w:rPr>
        <w:t>).</w:t>
      </w:r>
    </w:p>
    <w:p w:rsidR="00E05A5D" w:rsidRPr="002F6D75" w:rsidRDefault="00E05A5D" w:rsidP="00E05A5D">
      <w:pPr>
        <w:ind w:left="851"/>
        <w:rPr>
          <w:sz w:val="24"/>
          <w:szCs w:val="24"/>
        </w:rPr>
      </w:pPr>
    </w:p>
    <w:p w:rsidR="00E05A5D" w:rsidRPr="002F6D75" w:rsidRDefault="00E05A5D" w:rsidP="00E05A5D">
      <w:pPr>
        <w:tabs>
          <w:tab w:val="num" w:pos="360"/>
        </w:tabs>
        <w:ind w:left="851"/>
        <w:rPr>
          <w:sz w:val="24"/>
          <w:szCs w:val="24"/>
        </w:rPr>
      </w:pPr>
      <w:r w:rsidRPr="002F6D75">
        <w:rPr>
          <w:sz w:val="24"/>
          <w:szCs w:val="24"/>
        </w:rPr>
        <w:t xml:space="preserve">Intravenøs brug under fødslen eller inden </w:t>
      </w:r>
      <w:proofErr w:type="spellStart"/>
      <w:r w:rsidRPr="002F6D75">
        <w:rPr>
          <w:sz w:val="24"/>
          <w:szCs w:val="24"/>
        </w:rPr>
        <w:t>afklemning</w:t>
      </w:r>
      <w:proofErr w:type="spellEnd"/>
      <w:r w:rsidRPr="002F6D75">
        <w:rPr>
          <w:sz w:val="24"/>
          <w:szCs w:val="24"/>
        </w:rPr>
        <w:t xml:space="preserve"> af navlestrengen under kejsersnit er kontraindiceret på grund af muligheden for respirationsdepression hos det nyfødte barn.</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4.4</w:t>
      </w:r>
      <w:r w:rsidRPr="002F6D75">
        <w:rPr>
          <w:b/>
          <w:sz w:val="24"/>
          <w:szCs w:val="24"/>
        </w:rPr>
        <w:tab/>
        <w:t>Særlige advarsler og forsigtighedsregler vedrørende brugen</w:t>
      </w:r>
    </w:p>
    <w:p w:rsidR="00617196" w:rsidRPr="002F6D75" w:rsidRDefault="00617196" w:rsidP="00617196">
      <w:pPr>
        <w:ind w:left="851"/>
        <w:rPr>
          <w:sz w:val="24"/>
          <w:szCs w:val="24"/>
        </w:rPr>
      </w:pPr>
      <w:r w:rsidRPr="002F6D75">
        <w:rPr>
          <w:sz w:val="24"/>
          <w:szCs w:val="24"/>
        </w:rPr>
        <w:t>Respirationsdepression er dosisrelateret og kan reverseres med specifikke narkotiske antagonister (</w:t>
      </w:r>
      <w:proofErr w:type="spellStart"/>
      <w:r w:rsidRPr="002F6D75">
        <w:rPr>
          <w:sz w:val="24"/>
          <w:szCs w:val="24"/>
        </w:rPr>
        <w:t>naloxon</w:t>
      </w:r>
      <w:proofErr w:type="spellEnd"/>
      <w:r w:rsidRPr="002F6D75">
        <w:rPr>
          <w:sz w:val="24"/>
          <w:szCs w:val="24"/>
        </w:rPr>
        <w:t xml:space="preserve">), men det kan være nødvendigt med gentagen dosering deraf, da respirationsdepression kan være længere end opioidantagonistens virkning. Analgesi er ledsaget af udtalt respirationsdepression. Dette kan vare ved i den postoperative periode, og hvis </w:t>
      </w:r>
      <w:proofErr w:type="spellStart"/>
      <w:r w:rsidRPr="002F6D75">
        <w:rPr>
          <w:sz w:val="24"/>
          <w:szCs w:val="24"/>
        </w:rPr>
        <w:t>sufentanil</w:t>
      </w:r>
      <w:proofErr w:type="spellEnd"/>
      <w:r w:rsidRPr="002F6D75">
        <w:rPr>
          <w:sz w:val="24"/>
          <w:szCs w:val="24"/>
        </w:rPr>
        <w:t xml:space="preserve"> er blevet indgivet intravenøst, kan det endog vende tilbage. Patienterne skal derfor holdes under passende monitorering. Der skal være øjeblikkelig adgang til genoplivningsudstyr og narkotiske antagonister. Hyperventilation under anæstesi kan ændre patientens respons på CO</w:t>
      </w:r>
      <w:r w:rsidRPr="002F6D75">
        <w:rPr>
          <w:sz w:val="24"/>
          <w:szCs w:val="24"/>
          <w:vertAlign w:val="subscript"/>
        </w:rPr>
        <w:t xml:space="preserve">2 </w:t>
      </w:r>
      <w:r w:rsidRPr="002F6D75">
        <w:rPr>
          <w:sz w:val="24"/>
          <w:szCs w:val="24"/>
        </w:rPr>
        <w:t>og derved påvirke vejrtrækningen efter operationen.</w:t>
      </w:r>
    </w:p>
    <w:p w:rsidR="00617196" w:rsidRPr="002F6D75" w:rsidRDefault="00617196" w:rsidP="00617196">
      <w:pPr>
        <w:ind w:left="851"/>
        <w:rPr>
          <w:sz w:val="24"/>
          <w:szCs w:val="24"/>
        </w:rPr>
      </w:pPr>
    </w:p>
    <w:p w:rsidR="00617196" w:rsidRPr="0044006D" w:rsidRDefault="00617196" w:rsidP="00617196">
      <w:pPr>
        <w:ind w:left="851"/>
        <w:rPr>
          <w:sz w:val="24"/>
          <w:szCs w:val="24"/>
          <w:u w:val="single"/>
        </w:rPr>
      </w:pPr>
      <w:r w:rsidRPr="0044006D">
        <w:rPr>
          <w:sz w:val="24"/>
          <w:szCs w:val="24"/>
          <w:u w:val="single"/>
        </w:rPr>
        <w:t xml:space="preserve">Risiko ved samtidig brug af </w:t>
      </w:r>
      <w:proofErr w:type="spellStart"/>
      <w:r w:rsidRPr="0044006D">
        <w:rPr>
          <w:sz w:val="24"/>
          <w:szCs w:val="24"/>
          <w:u w:val="single"/>
        </w:rPr>
        <w:t>sedativa</w:t>
      </w:r>
      <w:proofErr w:type="spellEnd"/>
      <w:r w:rsidRPr="0044006D">
        <w:rPr>
          <w:sz w:val="24"/>
          <w:szCs w:val="24"/>
          <w:u w:val="single"/>
        </w:rPr>
        <w:t xml:space="preserve">, </w:t>
      </w:r>
      <w:proofErr w:type="spellStart"/>
      <w:proofErr w:type="gramStart"/>
      <w:r w:rsidRPr="0044006D">
        <w:rPr>
          <w:sz w:val="24"/>
          <w:szCs w:val="24"/>
          <w:u w:val="single"/>
        </w:rPr>
        <w:t>f.eks.benzodiazepiner</w:t>
      </w:r>
      <w:proofErr w:type="spellEnd"/>
      <w:proofErr w:type="gramEnd"/>
      <w:r w:rsidRPr="0044006D">
        <w:rPr>
          <w:sz w:val="24"/>
          <w:szCs w:val="24"/>
          <w:u w:val="single"/>
        </w:rPr>
        <w:t>, eller lignende lægemidler:</w:t>
      </w:r>
    </w:p>
    <w:p w:rsidR="00617196" w:rsidRPr="0044006D" w:rsidRDefault="00617196" w:rsidP="00617196">
      <w:pPr>
        <w:ind w:left="851"/>
        <w:rPr>
          <w:sz w:val="24"/>
          <w:szCs w:val="24"/>
          <w:u w:val="single"/>
        </w:rPr>
      </w:pPr>
    </w:p>
    <w:p w:rsidR="00617196" w:rsidRPr="0044006D" w:rsidRDefault="00617196" w:rsidP="00617196">
      <w:pPr>
        <w:ind w:left="851"/>
        <w:rPr>
          <w:sz w:val="24"/>
          <w:szCs w:val="24"/>
        </w:rPr>
      </w:pPr>
      <w:r w:rsidRPr="0044006D">
        <w:rPr>
          <w:sz w:val="24"/>
          <w:szCs w:val="24"/>
        </w:rPr>
        <w:lastRenderedPageBreak/>
        <w:t xml:space="preserve">Samtidig brug af </w:t>
      </w:r>
      <w:proofErr w:type="spellStart"/>
      <w:r w:rsidRPr="0044006D">
        <w:rPr>
          <w:sz w:val="24"/>
          <w:szCs w:val="24"/>
        </w:rPr>
        <w:t>Sufentanil</w:t>
      </w:r>
      <w:proofErr w:type="spellEnd"/>
      <w:r w:rsidRPr="0044006D">
        <w:rPr>
          <w:sz w:val="24"/>
          <w:szCs w:val="24"/>
        </w:rPr>
        <w:t xml:space="preserve"> "Hameln" og </w:t>
      </w:r>
      <w:proofErr w:type="spellStart"/>
      <w:r w:rsidRPr="0044006D">
        <w:rPr>
          <w:sz w:val="24"/>
          <w:szCs w:val="24"/>
        </w:rPr>
        <w:t>sedativa</w:t>
      </w:r>
      <w:proofErr w:type="spellEnd"/>
      <w:r w:rsidRPr="0044006D">
        <w:rPr>
          <w:sz w:val="24"/>
          <w:szCs w:val="24"/>
        </w:rPr>
        <w:t xml:space="preserve">, </w:t>
      </w:r>
      <w:proofErr w:type="spellStart"/>
      <w:proofErr w:type="gramStart"/>
      <w:r w:rsidRPr="0044006D">
        <w:rPr>
          <w:sz w:val="24"/>
          <w:szCs w:val="24"/>
        </w:rPr>
        <w:t>f.eks.benzodiazepiner</w:t>
      </w:r>
      <w:proofErr w:type="spellEnd"/>
      <w:proofErr w:type="gramEnd"/>
      <w:r w:rsidRPr="0044006D">
        <w:rPr>
          <w:sz w:val="24"/>
          <w:szCs w:val="24"/>
        </w:rPr>
        <w:t xml:space="preserve">, eller lignende lægemidler kan medføre sedation, respirationsdepression, koma og dødsfald. Som følge af denne risiko bør samtidig ordination af </w:t>
      </w:r>
      <w:proofErr w:type="spellStart"/>
      <w:r w:rsidRPr="0044006D">
        <w:rPr>
          <w:sz w:val="24"/>
          <w:szCs w:val="24"/>
        </w:rPr>
        <w:t>sedativa</w:t>
      </w:r>
      <w:proofErr w:type="spellEnd"/>
      <w:r w:rsidRPr="0044006D">
        <w:rPr>
          <w:sz w:val="24"/>
          <w:szCs w:val="24"/>
        </w:rPr>
        <w:t xml:space="preserve"> forbeholdes patienter, for hvem der ikke er andre behandlingsmuligheder. Hvis det besluttes at ordinere </w:t>
      </w:r>
      <w:proofErr w:type="spellStart"/>
      <w:r w:rsidRPr="0044006D">
        <w:rPr>
          <w:sz w:val="24"/>
          <w:szCs w:val="24"/>
        </w:rPr>
        <w:t>Sufentanil</w:t>
      </w:r>
      <w:proofErr w:type="spellEnd"/>
      <w:r w:rsidRPr="0044006D">
        <w:rPr>
          <w:sz w:val="24"/>
          <w:szCs w:val="24"/>
        </w:rPr>
        <w:t xml:space="preserve"> "Hameln" samtidig med sedativer, skal den lavest mulige effektive dosis anvendes, og varigheden af behandlingen bør være så kort som mulig.</w:t>
      </w:r>
    </w:p>
    <w:p w:rsidR="00617196" w:rsidRPr="0044006D" w:rsidRDefault="00617196" w:rsidP="00617196">
      <w:pPr>
        <w:ind w:left="851"/>
        <w:rPr>
          <w:sz w:val="24"/>
          <w:szCs w:val="24"/>
        </w:rPr>
      </w:pPr>
    </w:p>
    <w:p w:rsidR="00617196" w:rsidRPr="001A7F79" w:rsidRDefault="00617196" w:rsidP="00617196">
      <w:pPr>
        <w:ind w:left="851"/>
        <w:rPr>
          <w:sz w:val="24"/>
          <w:szCs w:val="24"/>
        </w:rPr>
      </w:pPr>
      <w:r w:rsidRPr="0044006D">
        <w:rPr>
          <w:sz w:val="24"/>
          <w:szCs w:val="24"/>
        </w:rPr>
        <w:t>Patienten bør nøje overvåges for tegn og symptomer på respirationsdepression og sedation. I denne henseende anbefales det på det kraftigste at instruere patienten og dennes omsorgspersoner i at være opmærksom på symptomerne (se afsnit 4.5).</w:t>
      </w:r>
    </w:p>
    <w:p w:rsidR="00617196" w:rsidRDefault="00617196" w:rsidP="00617196">
      <w:pPr>
        <w:ind w:left="851"/>
        <w:rPr>
          <w:sz w:val="24"/>
          <w:szCs w:val="24"/>
          <w:u w:val="single"/>
        </w:rPr>
      </w:pPr>
    </w:p>
    <w:p w:rsidR="00617196" w:rsidRPr="002F6D75" w:rsidRDefault="00617196" w:rsidP="00617196">
      <w:pPr>
        <w:ind w:left="851"/>
        <w:rPr>
          <w:sz w:val="24"/>
          <w:szCs w:val="24"/>
        </w:rPr>
      </w:pPr>
      <w:proofErr w:type="spellStart"/>
      <w:r w:rsidRPr="002F6D75">
        <w:rPr>
          <w:sz w:val="24"/>
          <w:szCs w:val="24"/>
        </w:rPr>
        <w:t>Sufentanil</w:t>
      </w:r>
      <w:proofErr w:type="spellEnd"/>
      <w:r w:rsidRPr="002F6D75">
        <w:rPr>
          <w:sz w:val="24"/>
          <w:szCs w:val="24"/>
        </w:rPr>
        <w:t xml:space="preserve"> bør kun gives intravenøst til patienter med </w:t>
      </w:r>
      <w:proofErr w:type="spellStart"/>
      <w:r w:rsidRPr="002F6D75">
        <w:rPr>
          <w:sz w:val="24"/>
          <w:szCs w:val="24"/>
        </w:rPr>
        <w:t>intratracheal</w:t>
      </w:r>
      <w:proofErr w:type="spellEnd"/>
      <w:r w:rsidRPr="002F6D75">
        <w:rPr>
          <w:sz w:val="24"/>
          <w:szCs w:val="24"/>
        </w:rPr>
        <w:t xml:space="preserve"> </w:t>
      </w:r>
      <w:proofErr w:type="spellStart"/>
      <w:r w:rsidRPr="002F6D75">
        <w:rPr>
          <w:sz w:val="24"/>
          <w:szCs w:val="24"/>
        </w:rPr>
        <w:t>intubation</w:t>
      </w:r>
      <w:proofErr w:type="spellEnd"/>
      <w:r w:rsidRPr="002F6D75">
        <w:rPr>
          <w:sz w:val="24"/>
          <w:szCs w:val="24"/>
        </w:rPr>
        <w:t xml:space="preserve"> og kunstig respiration.</w:t>
      </w:r>
    </w:p>
    <w:p w:rsidR="00617196" w:rsidRPr="002F6D75" w:rsidRDefault="00617196" w:rsidP="00617196">
      <w:pPr>
        <w:ind w:left="851"/>
        <w:rPr>
          <w:sz w:val="24"/>
          <w:szCs w:val="24"/>
        </w:rPr>
      </w:pPr>
    </w:p>
    <w:p w:rsidR="00617196" w:rsidRPr="002F6D75" w:rsidRDefault="00617196" w:rsidP="00617196">
      <w:pPr>
        <w:ind w:left="851"/>
        <w:rPr>
          <w:sz w:val="24"/>
          <w:szCs w:val="24"/>
        </w:rPr>
      </w:pPr>
      <w:r w:rsidRPr="002F6D75">
        <w:rPr>
          <w:sz w:val="24"/>
          <w:szCs w:val="24"/>
        </w:rPr>
        <w:t>Der kan opstå ikke-epileptiske (</w:t>
      </w:r>
      <w:proofErr w:type="spellStart"/>
      <w:r w:rsidRPr="002F6D75">
        <w:rPr>
          <w:sz w:val="24"/>
          <w:szCs w:val="24"/>
        </w:rPr>
        <w:t>myo</w:t>
      </w:r>
      <w:proofErr w:type="spellEnd"/>
      <w:r w:rsidRPr="002F6D75">
        <w:rPr>
          <w:sz w:val="24"/>
          <w:szCs w:val="24"/>
        </w:rPr>
        <w:t>)kloniske bevægelser.</w:t>
      </w:r>
    </w:p>
    <w:p w:rsidR="00617196" w:rsidRPr="002F6D75" w:rsidRDefault="00617196" w:rsidP="00617196">
      <w:pPr>
        <w:ind w:left="851"/>
        <w:rPr>
          <w:sz w:val="24"/>
          <w:szCs w:val="24"/>
        </w:rPr>
      </w:pPr>
    </w:p>
    <w:p w:rsidR="00617196" w:rsidRPr="002F6D75" w:rsidRDefault="00617196" w:rsidP="00617196">
      <w:pPr>
        <w:ind w:left="851"/>
        <w:rPr>
          <w:sz w:val="24"/>
          <w:szCs w:val="24"/>
        </w:rPr>
      </w:pPr>
      <w:r w:rsidRPr="002F6D75">
        <w:rPr>
          <w:sz w:val="24"/>
          <w:szCs w:val="24"/>
        </w:rPr>
        <w:t xml:space="preserve">Brug af hurtige </w:t>
      </w:r>
      <w:proofErr w:type="spellStart"/>
      <w:r w:rsidRPr="002F6D75">
        <w:rPr>
          <w:sz w:val="24"/>
          <w:szCs w:val="24"/>
        </w:rPr>
        <w:t>bolusinjektioner</w:t>
      </w:r>
      <w:proofErr w:type="spellEnd"/>
      <w:r w:rsidRPr="002F6D75">
        <w:rPr>
          <w:sz w:val="24"/>
          <w:szCs w:val="24"/>
        </w:rPr>
        <w:t xml:space="preserve"> af opioider skal undgås hos patienter med kompromitteret intracerebral compliance. Hos sådanne patienter har den forbigående stigning i det gennemsnitlige arterielle tryk af og til været ledsaget af en kortvarig reduktion i det cerebrale </w:t>
      </w:r>
      <w:proofErr w:type="spellStart"/>
      <w:r w:rsidRPr="002F6D75">
        <w:rPr>
          <w:sz w:val="24"/>
          <w:szCs w:val="24"/>
        </w:rPr>
        <w:t>perfusionstryk</w:t>
      </w:r>
      <w:proofErr w:type="spellEnd"/>
      <w:r w:rsidRPr="002F6D75">
        <w:rPr>
          <w:sz w:val="24"/>
          <w:szCs w:val="24"/>
        </w:rPr>
        <w:t>.</w:t>
      </w:r>
    </w:p>
    <w:p w:rsidR="00617196" w:rsidRPr="002F6D75" w:rsidRDefault="00617196" w:rsidP="00617196">
      <w:pPr>
        <w:ind w:left="851"/>
        <w:rPr>
          <w:sz w:val="24"/>
          <w:szCs w:val="24"/>
        </w:rPr>
      </w:pPr>
    </w:p>
    <w:p w:rsidR="00617196" w:rsidRPr="002F6D75" w:rsidRDefault="00617196" w:rsidP="00617196">
      <w:pPr>
        <w:ind w:left="851"/>
        <w:rPr>
          <w:sz w:val="24"/>
          <w:szCs w:val="24"/>
        </w:rPr>
      </w:pPr>
      <w:r w:rsidRPr="002F6D75">
        <w:rPr>
          <w:sz w:val="24"/>
          <w:szCs w:val="24"/>
        </w:rPr>
        <w:t xml:space="preserve">Det anbefales at reducere doseringen hos ældre og svækkede patienter. Opioider skal titreres med forsigtighed hos patienter med en eller flere af følgende sygdomme: ukontrolleret </w:t>
      </w:r>
      <w:proofErr w:type="spellStart"/>
      <w:r w:rsidRPr="002F6D75">
        <w:rPr>
          <w:sz w:val="24"/>
          <w:szCs w:val="24"/>
        </w:rPr>
        <w:t>hypothyreoidisme</w:t>
      </w:r>
      <w:proofErr w:type="spellEnd"/>
      <w:r w:rsidRPr="002F6D75">
        <w:rPr>
          <w:sz w:val="24"/>
          <w:szCs w:val="24"/>
        </w:rPr>
        <w:t>, lungesygdom, nedsat respirationsreserve, alkoholisme, nedsat lever- eller nyrefunktion. Hos sådanne patienter er langvarig postoperativ monitorering påkrævet.</w:t>
      </w:r>
    </w:p>
    <w:p w:rsidR="00617196" w:rsidRPr="002F6D75" w:rsidRDefault="00617196" w:rsidP="00617196">
      <w:pPr>
        <w:ind w:left="851"/>
        <w:rPr>
          <w:spacing w:val="-3"/>
          <w:sz w:val="24"/>
          <w:szCs w:val="24"/>
        </w:rPr>
      </w:pPr>
    </w:p>
    <w:p w:rsidR="00617196" w:rsidRPr="002F6D75" w:rsidRDefault="00617196" w:rsidP="00617196">
      <w:pPr>
        <w:ind w:left="851"/>
        <w:rPr>
          <w:spacing w:val="-3"/>
          <w:sz w:val="24"/>
          <w:szCs w:val="24"/>
        </w:rPr>
      </w:pPr>
      <w:r w:rsidRPr="002F6D75">
        <w:rPr>
          <w:spacing w:val="-3"/>
          <w:sz w:val="24"/>
          <w:szCs w:val="24"/>
        </w:rPr>
        <w:t xml:space="preserve">Der kan opstå muskelrigiditet, som også kan berøre respirationsmusklerne i thorax, men dette kan undgås ved hjælp af følgende tiltag: Langsom </w:t>
      </w:r>
      <w:proofErr w:type="spellStart"/>
      <w:r w:rsidRPr="002F6D75">
        <w:rPr>
          <w:spacing w:val="-3"/>
          <w:sz w:val="24"/>
          <w:szCs w:val="24"/>
        </w:rPr>
        <w:t>i.v</w:t>
      </w:r>
      <w:proofErr w:type="spellEnd"/>
      <w:r w:rsidRPr="002F6D75">
        <w:rPr>
          <w:spacing w:val="-3"/>
          <w:sz w:val="24"/>
          <w:szCs w:val="24"/>
        </w:rPr>
        <w:t xml:space="preserve">. injektion (normalt tilstrækkeligt til lave doser), præmedicinering med benzodiazepiner og brug af </w:t>
      </w:r>
      <w:proofErr w:type="spellStart"/>
      <w:r w:rsidRPr="002F6D75">
        <w:rPr>
          <w:spacing w:val="-3"/>
          <w:sz w:val="24"/>
          <w:szCs w:val="24"/>
        </w:rPr>
        <w:t>muskelrelaksantia</w:t>
      </w:r>
      <w:proofErr w:type="spellEnd"/>
      <w:r w:rsidRPr="002F6D75">
        <w:rPr>
          <w:spacing w:val="-3"/>
          <w:sz w:val="24"/>
          <w:szCs w:val="24"/>
        </w:rPr>
        <w:t>.</w:t>
      </w:r>
    </w:p>
    <w:p w:rsidR="00617196" w:rsidRPr="002F6D75" w:rsidRDefault="00617196" w:rsidP="00617196">
      <w:pPr>
        <w:ind w:left="851"/>
        <w:rPr>
          <w:spacing w:val="-3"/>
          <w:sz w:val="24"/>
          <w:szCs w:val="24"/>
        </w:rPr>
      </w:pPr>
    </w:p>
    <w:p w:rsidR="00617196" w:rsidRPr="002F6D75" w:rsidRDefault="00617196" w:rsidP="00617196">
      <w:pPr>
        <w:ind w:left="851"/>
        <w:rPr>
          <w:spacing w:val="-3"/>
          <w:sz w:val="24"/>
          <w:szCs w:val="24"/>
        </w:rPr>
      </w:pPr>
      <w:r w:rsidRPr="002F6D75">
        <w:rPr>
          <w:spacing w:val="-3"/>
          <w:sz w:val="24"/>
          <w:szCs w:val="24"/>
        </w:rPr>
        <w:t xml:space="preserve">Der kan opstå bradykardi og muligvis hjertestop, hvis patienten ikke har fået en tilstrækkelig mængde </w:t>
      </w:r>
      <w:proofErr w:type="spellStart"/>
      <w:r w:rsidRPr="002F6D75">
        <w:rPr>
          <w:spacing w:val="-3"/>
          <w:sz w:val="24"/>
          <w:szCs w:val="24"/>
        </w:rPr>
        <w:t>antikolinergika</w:t>
      </w:r>
      <w:proofErr w:type="spellEnd"/>
      <w:r w:rsidRPr="002F6D75">
        <w:rPr>
          <w:spacing w:val="-3"/>
          <w:sz w:val="24"/>
          <w:szCs w:val="24"/>
        </w:rPr>
        <w:t xml:space="preserve">, eller hvis </w:t>
      </w:r>
      <w:proofErr w:type="spellStart"/>
      <w:r w:rsidRPr="002F6D75">
        <w:rPr>
          <w:spacing w:val="-3"/>
          <w:sz w:val="24"/>
          <w:szCs w:val="24"/>
        </w:rPr>
        <w:t>sufentanil</w:t>
      </w:r>
      <w:proofErr w:type="spellEnd"/>
      <w:r w:rsidRPr="002F6D75">
        <w:rPr>
          <w:spacing w:val="-3"/>
          <w:sz w:val="24"/>
          <w:szCs w:val="24"/>
        </w:rPr>
        <w:t xml:space="preserve"> kombineres med ikke-</w:t>
      </w:r>
      <w:proofErr w:type="spellStart"/>
      <w:r w:rsidRPr="002F6D75">
        <w:rPr>
          <w:spacing w:val="-3"/>
          <w:sz w:val="24"/>
          <w:szCs w:val="24"/>
        </w:rPr>
        <w:t>vagolytiske</w:t>
      </w:r>
      <w:proofErr w:type="spellEnd"/>
      <w:r w:rsidRPr="002F6D75">
        <w:rPr>
          <w:spacing w:val="-3"/>
          <w:sz w:val="24"/>
          <w:szCs w:val="24"/>
        </w:rPr>
        <w:t xml:space="preserve"> </w:t>
      </w:r>
      <w:proofErr w:type="spellStart"/>
      <w:r w:rsidRPr="002F6D75">
        <w:rPr>
          <w:spacing w:val="-3"/>
          <w:sz w:val="24"/>
          <w:szCs w:val="24"/>
        </w:rPr>
        <w:t>muskelrelaksantia</w:t>
      </w:r>
      <w:proofErr w:type="spellEnd"/>
      <w:r w:rsidRPr="002F6D75">
        <w:rPr>
          <w:spacing w:val="-3"/>
          <w:sz w:val="24"/>
          <w:szCs w:val="24"/>
        </w:rPr>
        <w:t>. Bradykardi kan behandles med atropin.</w:t>
      </w:r>
    </w:p>
    <w:p w:rsidR="00617196" w:rsidRPr="002F6D75" w:rsidRDefault="00617196" w:rsidP="00617196">
      <w:pPr>
        <w:ind w:left="851"/>
        <w:rPr>
          <w:sz w:val="24"/>
          <w:szCs w:val="24"/>
        </w:rPr>
      </w:pPr>
    </w:p>
    <w:p w:rsidR="00D926EB" w:rsidRPr="002F6D75" w:rsidRDefault="00D926EB" w:rsidP="00D926EB">
      <w:pPr>
        <w:ind w:left="851"/>
        <w:rPr>
          <w:sz w:val="24"/>
          <w:szCs w:val="24"/>
        </w:rPr>
      </w:pPr>
      <w:r w:rsidRPr="002F6D75">
        <w:rPr>
          <w:sz w:val="24"/>
          <w:szCs w:val="24"/>
        </w:rPr>
        <w:t xml:space="preserve">Den </w:t>
      </w:r>
      <w:proofErr w:type="spellStart"/>
      <w:r w:rsidRPr="002F6D75">
        <w:rPr>
          <w:sz w:val="24"/>
          <w:szCs w:val="24"/>
        </w:rPr>
        <w:t>tachykardiske</w:t>
      </w:r>
      <w:proofErr w:type="spellEnd"/>
      <w:r w:rsidRPr="002F6D75">
        <w:rPr>
          <w:sz w:val="24"/>
          <w:szCs w:val="24"/>
        </w:rPr>
        <w:t xml:space="preserve"> virkning, som er forårsaget af indgift af </w:t>
      </w:r>
      <w:proofErr w:type="spellStart"/>
      <w:r w:rsidRPr="002F6D75">
        <w:rPr>
          <w:sz w:val="24"/>
          <w:szCs w:val="24"/>
        </w:rPr>
        <w:t>pancuronium</w:t>
      </w:r>
      <w:proofErr w:type="spellEnd"/>
      <w:r w:rsidRPr="002F6D75">
        <w:rPr>
          <w:sz w:val="24"/>
          <w:szCs w:val="24"/>
        </w:rPr>
        <w:t>, kan overstige den inducerede bradykardi.</w:t>
      </w:r>
    </w:p>
    <w:p w:rsidR="00D926EB" w:rsidRPr="002F6D75" w:rsidRDefault="00D926EB" w:rsidP="00D926EB">
      <w:pPr>
        <w:ind w:left="851"/>
        <w:rPr>
          <w:sz w:val="24"/>
          <w:szCs w:val="24"/>
        </w:rPr>
      </w:pPr>
    </w:p>
    <w:p w:rsidR="00D926EB" w:rsidRPr="002F6D75" w:rsidRDefault="00D926EB" w:rsidP="00D926EB">
      <w:pPr>
        <w:ind w:left="851"/>
        <w:rPr>
          <w:sz w:val="24"/>
          <w:szCs w:val="24"/>
        </w:rPr>
      </w:pPr>
      <w:r w:rsidRPr="002F6D75">
        <w:rPr>
          <w:sz w:val="24"/>
          <w:szCs w:val="24"/>
        </w:rPr>
        <w:t xml:space="preserve">Opioider kan forårsage hypotension, især hos patienter med </w:t>
      </w:r>
      <w:proofErr w:type="spellStart"/>
      <w:r w:rsidRPr="002F6D75">
        <w:rPr>
          <w:sz w:val="24"/>
          <w:szCs w:val="24"/>
        </w:rPr>
        <w:t>hypovolæmi</w:t>
      </w:r>
      <w:proofErr w:type="spellEnd"/>
      <w:r w:rsidRPr="002F6D75">
        <w:rPr>
          <w:sz w:val="24"/>
          <w:szCs w:val="24"/>
        </w:rPr>
        <w:t>. Der skal træffes passende foranstaltninger til opretholdelse af et stabilt arterielt tryk.</w:t>
      </w:r>
    </w:p>
    <w:p w:rsidR="00D926EB" w:rsidRDefault="00D926EB" w:rsidP="00D926EB">
      <w:pPr>
        <w:ind w:left="851"/>
        <w:rPr>
          <w:sz w:val="24"/>
          <w:szCs w:val="24"/>
        </w:rPr>
      </w:pPr>
    </w:p>
    <w:p w:rsidR="00D926EB" w:rsidRPr="00A54162" w:rsidRDefault="00D926EB" w:rsidP="00D926EB">
      <w:pPr>
        <w:ind w:left="851"/>
        <w:rPr>
          <w:sz w:val="24"/>
          <w:szCs w:val="24"/>
          <w:u w:val="single"/>
        </w:rPr>
      </w:pPr>
      <w:r w:rsidRPr="00A54162">
        <w:rPr>
          <w:sz w:val="24"/>
          <w:szCs w:val="24"/>
          <w:u w:val="single"/>
        </w:rPr>
        <w:t>Tolerance og opioidmisbrug (misbrug og afhængighed)</w:t>
      </w:r>
    </w:p>
    <w:p w:rsidR="00D926EB" w:rsidRDefault="00D926EB" w:rsidP="00D926EB">
      <w:pPr>
        <w:ind w:left="851"/>
        <w:rPr>
          <w:sz w:val="24"/>
          <w:szCs w:val="24"/>
        </w:rPr>
      </w:pPr>
    </w:p>
    <w:p w:rsidR="00D926EB" w:rsidRPr="002079D1" w:rsidRDefault="00D926EB" w:rsidP="00D926EB">
      <w:pPr>
        <w:ind w:left="851"/>
        <w:rPr>
          <w:sz w:val="24"/>
          <w:szCs w:val="24"/>
        </w:rPr>
      </w:pPr>
      <w:r w:rsidRPr="002079D1">
        <w:rPr>
          <w:sz w:val="24"/>
          <w:szCs w:val="24"/>
        </w:rPr>
        <w:t>Tolerance, fysisk og psykisk afhængighed og opioidmisbrug</w:t>
      </w:r>
      <w:r>
        <w:rPr>
          <w:sz w:val="24"/>
          <w:szCs w:val="24"/>
        </w:rPr>
        <w:t xml:space="preserve"> </w:t>
      </w:r>
      <w:r w:rsidRPr="00107EF9">
        <w:rPr>
          <w:sz w:val="24"/>
          <w:szCs w:val="24"/>
        </w:rPr>
        <w:t xml:space="preserve">(OUD - opioid </w:t>
      </w:r>
      <w:proofErr w:type="spellStart"/>
      <w:r w:rsidRPr="00107EF9">
        <w:rPr>
          <w:sz w:val="24"/>
          <w:szCs w:val="24"/>
        </w:rPr>
        <w:t>use</w:t>
      </w:r>
      <w:proofErr w:type="spellEnd"/>
      <w:r w:rsidRPr="00107EF9">
        <w:rPr>
          <w:sz w:val="24"/>
          <w:szCs w:val="24"/>
        </w:rPr>
        <w:t xml:space="preserve"> </w:t>
      </w:r>
      <w:proofErr w:type="spellStart"/>
      <w:r w:rsidRPr="00107EF9">
        <w:rPr>
          <w:sz w:val="24"/>
          <w:szCs w:val="24"/>
        </w:rPr>
        <w:t>disorder</w:t>
      </w:r>
      <w:proofErr w:type="spellEnd"/>
      <w:r w:rsidRPr="00107EF9">
        <w:rPr>
          <w:sz w:val="24"/>
          <w:szCs w:val="24"/>
        </w:rPr>
        <w:t>)</w:t>
      </w:r>
      <w:r w:rsidRPr="002079D1">
        <w:rPr>
          <w:sz w:val="24"/>
          <w:szCs w:val="24"/>
        </w:rPr>
        <w:t>, kan udvikles ved gentagen</w:t>
      </w:r>
    </w:p>
    <w:p w:rsidR="00D926EB" w:rsidRDefault="00D926EB" w:rsidP="00D926EB">
      <w:pPr>
        <w:ind w:left="851"/>
        <w:rPr>
          <w:sz w:val="24"/>
          <w:szCs w:val="24"/>
        </w:rPr>
      </w:pPr>
      <w:r w:rsidRPr="002079D1">
        <w:rPr>
          <w:sz w:val="24"/>
          <w:szCs w:val="24"/>
        </w:rPr>
        <w:t>administration af opioider.</w:t>
      </w:r>
    </w:p>
    <w:p w:rsidR="00D926EB" w:rsidRPr="002079D1" w:rsidRDefault="00D926EB" w:rsidP="00D926EB">
      <w:pPr>
        <w:ind w:left="851"/>
        <w:rPr>
          <w:sz w:val="24"/>
          <w:szCs w:val="24"/>
        </w:rPr>
      </w:pPr>
    </w:p>
    <w:p w:rsidR="00D926EB" w:rsidRDefault="00D926EB" w:rsidP="00D926EB">
      <w:pPr>
        <w:ind w:left="851"/>
        <w:rPr>
          <w:sz w:val="24"/>
          <w:szCs w:val="24"/>
        </w:rPr>
      </w:pPr>
      <w:r w:rsidRPr="002079D1">
        <w:rPr>
          <w:sz w:val="24"/>
          <w:szCs w:val="24"/>
        </w:rPr>
        <w:t xml:space="preserve">Misbrug eller forsætlig misbrug af </w:t>
      </w:r>
      <w:proofErr w:type="spellStart"/>
      <w:r>
        <w:rPr>
          <w:sz w:val="24"/>
          <w:szCs w:val="24"/>
        </w:rPr>
        <w:t>Sufentanil</w:t>
      </w:r>
      <w:proofErr w:type="spellEnd"/>
      <w:r>
        <w:rPr>
          <w:sz w:val="24"/>
          <w:szCs w:val="24"/>
        </w:rPr>
        <w:t xml:space="preserve"> </w:t>
      </w:r>
      <w:proofErr w:type="spellStart"/>
      <w:r>
        <w:rPr>
          <w:sz w:val="24"/>
          <w:szCs w:val="24"/>
        </w:rPr>
        <w:t>hameln</w:t>
      </w:r>
      <w:proofErr w:type="spellEnd"/>
      <w:r w:rsidRPr="002079D1">
        <w:rPr>
          <w:sz w:val="24"/>
          <w:szCs w:val="24"/>
        </w:rPr>
        <w:t xml:space="preserve"> kan resultere i overdosering og/eller død.</w:t>
      </w:r>
      <w:r>
        <w:rPr>
          <w:sz w:val="24"/>
          <w:szCs w:val="24"/>
        </w:rPr>
        <w:t xml:space="preserve"> </w:t>
      </w:r>
      <w:r w:rsidRPr="002079D1">
        <w:rPr>
          <w:sz w:val="24"/>
          <w:szCs w:val="24"/>
        </w:rPr>
        <w:t xml:space="preserve">Risikoen for at udvikle </w:t>
      </w:r>
      <w:proofErr w:type="spellStart"/>
      <w:r>
        <w:rPr>
          <w:sz w:val="24"/>
          <w:szCs w:val="24"/>
        </w:rPr>
        <w:t>OUD</w:t>
      </w:r>
      <w:r w:rsidRPr="002079D1">
        <w:rPr>
          <w:sz w:val="24"/>
          <w:szCs w:val="24"/>
        </w:rPr>
        <w:t>er</w:t>
      </w:r>
      <w:proofErr w:type="spellEnd"/>
      <w:r w:rsidRPr="002079D1">
        <w:rPr>
          <w:sz w:val="24"/>
          <w:szCs w:val="24"/>
        </w:rPr>
        <w:t xml:space="preserve"> øget hos patienter med en personlig historik eller</w:t>
      </w:r>
      <w:r>
        <w:rPr>
          <w:sz w:val="24"/>
          <w:szCs w:val="24"/>
        </w:rPr>
        <w:t xml:space="preserve"> </w:t>
      </w:r>
      <w:r w:rsidRPr="002079D1">
        <w:rPr>
          <w:sz w:val="24"/>
          <w:szCs w:val="24"/>
        </w:rPr>
        <w:t>familiehistorik (forældre eller søskende) med stofmisbrugslidelser (herunder</w:t>
      </w:r>
      <w:r>
        <w:rPr>
          <w:sz w:val="24"/>
          <w:szCs w:val="24"/>
        </w:rPr>
        <w:t xml:space="preserve"> </w:t>
      </w:r>
      <w:r w:rsidRPr="002079D1">
        <w:rPr>
          <w:sz w:val="24"/>
          <w:szCs w:val="24"/>
        </w:rPr>
        <w:t xml:space="preserve">alkoholmisbrug), hos nuværende tobaksbrugere eller hos patienter med en personlig </w:t>
      </w:r>
      <w:r w:rsidRPr="002079D1">
        <w:rPr>
          <w:sz w:val="24"/>
          <w:szCs w:val="24"/>
        </w:rPr>
        <w:lastRenderedPageBreak/>
        <w:t>historik</w:t>
      </w:r>
      <w:r>
        <w:rPr>
          <w:sz w:val="24"/>
          <w:szCs w:val="24"/>
        </w:rPr>
        <w:t xml:space="preserve"> </w:t>
      </w:r>
      <w:r w:rsidRPr="002079D1">
        <w:rPr>
          <w:sz w:val="24"/>
          <w:szCs w:val="24"/>
        </w:rPr>
        <w:t>med andre psykiske lidelser (f.eks. svær depression, angst og</w:t>
      </w:r>
      <w:r>
        <w:rPr>
          <w:sz w:val="24"/>
          <w:szCs w:val="24"/>
        </w:rPr>
        <w:t xml:space="preserve"> </w:t>
      </w:r>
      <w:r w:rsidRPr="002079D1">
        <w:rPr>
          <w:sz w:val="24"/>
          <w:szCs w:val="24"/>
        </w:rPr>
        <w:t>personlighedsforstyrrelser).</w:t>
      </w:r>
    </w:p>
    <w:p w:rsidR="00D926EB" w:rsidRPr="002079D1" w:rsidRDefault="00D926EB" w:rsidP="00D926EB">
      <w:pPr>
        <w:ind w:left="851"/>
        <w:rPr>
          <w:sz w:val="24"/>
          <w:szCs w:val="24"/>
        </w:rPr>
      </w:pPr>
    </w:p>
    <w:p w:rsidR="00D926EB" w:rsidRDefault="00D926EB" w:rsidP="00D926EB">
      <w:pPr>
        <w:ind w:left="851"/>
        <w:rPr>
          <w:sz w:val="24"/>
          <w:szCs w:val="24"/>
        </w:rPr>
      </w:pPr>
      <w:r w:rsidRPr="002079D1">
        <w:rPr>
          <w:sz w:val="24"/>
          <w:szCs w:val="24"/>
        </w:rPr>
        <w:t>Patienterne skal overvåges for tegn på lægemiddelsøgende adfærd (f.eks. for tidlige</w:t>
      </w:r>
      <w:r>
        <w:rPr>
          <w:sz w:val="24"/>
          <w:szCs w:val="24"/>
        </w:rPr>
        <w:t xml:space="preserve"> </w:t>
      </w:r>
      <w:r w:rsidRPr="002079D1">
        <w:rPr>
          <w:sz w:val="24"/>
          <w:szCs w:val="24"/>
        </w:rPr>
        <w:t xml:space="preserve">anmodninger om </w:t>
      </w:r>
      <w:r>
        <w:rPr>
          <w:sz w:val="24"/>
          <w:szCs w:val="24"/>
        </w:rPr>
        <w:t>receptfornyelse</w:t>
      </w:r>
      <w:r w:rsidRPr="002079D1">
        <w:rPr>
          <w:sz w:val="24"/>
          <w:szCs w:val="24"/>
        </w:rPr>
        <w:t>). Dette omfatter gennemgang af samtidige opioider og</w:t>
      </w:r>
      <w:r>
        <w:rPr>
          <w:sz w:val="24"/>
          <w:szCs w:val="24"/>
        </w:rPr>
        <w:t xml:space="preserve"> </w:t>
      </w:r>
      <w:r w:rsidRPr="002079D1">
        <w:rPr>
          <w:sz w:val="24"/>
          <w:szCs w:val="24"/>
        </w:rPr>
        <w:t>psykoaktive lægemidler (såsom benzodiazepiner). For patienter med tegn og symptomer på</w:t>
      </w:r>
      <w:r>
        <w:rPr>
          <w:sz w:val="24"/>
          <w:szCs w:val="24"/>
        </w:rPr>
        <w:t xml:space="preserve"> OUD,</w:t>
      </w:r>
      <w:r w:rsidRPr="002079D1">
        <w:rPr>
          <w:sz w:val="24"/>
          <w:szCs w:val="24"/>
        </w:rPr>
        <w:t xml:space="preserve"> </w:t>
      </w:r>
      <w:r>
        <w:t>skal rådføring med en misbrugsspecialist overvejes.</w:t>
      </w:r>
    </w:p>
    <w:p w:rsidR="00D926EB" w:rsidRPr="00223368" w:rsidRDefault="00D926EB" w:rsidP="00D926EB">
      <w:pPr>
        <w:rPr>
          <w:sz w:val="24"/>
          <w:szCs w:val="24"/>
        </w:rPr>
      </w:pPr>
    </w:p>
    <w:p w:rsidR="00D926EB" w:rsidRPr="00A54162" w:rsidRDefault="00D926EB" w:rsidP="00D926EB">
      <w:pPr>
        <w:ind w:left="851"/>
        <w:rPr>
          <w:sz w:val="24"/>
          <w:szCs w:val="24"/>
          <w:u w:val="single"/>
        </w:rPr>
      </w:pPr>
      <w:proofErr w:type="spellStart"/>
      <w:r w:rsidRPr="00A54162">
        <w:rPr>
          <w:sz w:val="24"/>
          <w:szCs w:val="24"/>
          <w:u w:val="single"/>
        </w:rPr>
        <w:t>Seponering</w:t>
      </w:r>
      <w:proofErr w:type="spellEnd"/>
      <w:r w:rsidRPr="00A54162">
        <w:rPr>
          <w:sz w:val="24"/>
          <w:szCs w:val="24"/>
          <w:u w:val="single"/>
        </w:rPr>
        <w:t xml:space="preserve"> af behandling og abstinenssymptomer</w:t>
      </w:r>
    </w:p>
    <w:p w:rsidR="00D926EB" w:rsidRPr="002F6D75" w:rsidRDefault="00D926EB" w:rsidP="00D926EB">
      <w:pPr>
        <w:ind w:left="851"/>
        <w:rPr>
          <w:sz w:val="24"/>
          <w:szCs w:val="24"/>
        </w:rPr>
      </w:pPr>
      <w:r w:rsidRPr="002079D1">
        <w:rPr>
          <w:sz w:val="24"/>
          <w:szCs w:val="24"/>
        </w:rPr>
        <w:t>Gentagen administration med korte mellemrum i længere perioder kan resultere i udvikling</w:t>
      </w:r>
      <w:r>
        <w:rPr>
          <w:sz w:val="24"/>
          <w:szCs w:val="24"/>
        </w:rPr>
        <w:t xml:space="preserve"> </w:t>
      </w:r>
      <w:r w:rsidRPr="002079D1">
        <w:rPr>
          <w:sz w:val="24"/>
          <w:szCs w:val="24"/>
        </w:rPr>
        <w:t xml:space="preserve">af abstinenssymptomer efter behandlingsophør. Symptomer efter </w:t>
      </w:r>
      <w:proofErr w:type="spellStart"/>
      <w:r w:rsidRPr="002079D1">
        <w:rPr>
          <w:sz w:val="24"/>
          <w:szCs w:val="24"/>
        </w:rPr>
        <w:t>seponering</w:t>
      </w:r>
      <w:proofErr w:type="spellEnd"/>
      <w:r w:rsidRPr="002079D1">
        <w:rPr>
          <w:sz w:val="24"/>
          <w:szCs w:val="24"/>
        </w:rPr>
        <w:t xml:space="preserve"> af </w:t>
      </w:r>
      <w:proofErr w:type="spellStart"/>
      <w:r>
        <w:rPr>
          <w:sz w:val="24"/>
          <w:szCs w:val="24"/>
        </w:rPr>
        <w:t>Sufentanil</w:t>
      </w:r>
      <w:proofErr w:type="spellEnd"/>
      <w:r>
        <w:rPr>
          <w:sz w:val="24"/>
          <w:szCs w:val="24"/>
        </w:rPr>
        <w:t xml:space="preserve"> </w:t>
      </w:r>
      <w:proofErr w:type="spellStart"/>
      <w:r>
        <w:rPr>
          <w:sz w:val="24"/>
          <w:szCs w:val="24"/>
        </w:rPr>
        <w:t>hameln</w:t>
      </w:r>
      <w:proofErr w:type="spellEnd"/>
      <w:r w:rsidRPr="002079D1">
        <w:rPr>
          <w:sz w:val="24"/>
          <w:szCs w:val="24"/>
        </w:rPr>
        <w:t xml:space="preserve">, herunder </w:t>
      </w:r>
      <w:proofErr w:type="spellStart"/>
      <w:r w:rsidRPr="002079D1">
        <w:rPr>
          <w:sz w:val="24"/>
          <w:szCs w:val="24"/>
        </w:rPr>
        <w:t>takykardi</w:t>
      </w:r>
      <w:proofErr w:type="spellEnd"/>
      <w:r w:rsidRPr="002079D1">
        <w:rPr>
          <w:sz w:val="24"/>
          <w:szCs w:val="24"/>
        </w:rPr>
        <w:t>, hypertension og oprevethed er blevet rapporteret i</w:t>
      </w:r>
      <w:r>
        <w:rPr>
          <w:sz w:val="24"/>
          <w:szCs w:val="24"/>
        </w:rPr>
        <w:t xml:space="preserve"> </w:t>
      </w:r>
      <w:r w:rsidRPr="002079D1">
        <w:rPr>
          <w:sz w:val="24"/>
          <w:szCs w:val="24"/>
        </w:rPr>
        <w:t>sjældne tilfælde efter pludseligt ophør, især efter langvarig administration i mere end 3</w:t>
      </w:r>
      <w:r>
        <w:rPr>
          <w:sz w:val="24"/>
          <w:szCs w:val="24"/>
        </w:rPr>
        <w:t xml:space="preserve"> </w:t>
      </w:r>
      <w:r w:rsidRPr="002079D1">
        <w:rPr>
          <w:sz w:val="24"/>
          <w:szCs w:val="24"/>
        </w:rPr>
        <w:t>dage. Hvor det er rapporteret, har genopstart og nedtrapning af infusionen været gavnligt.</w:t>
      </w:r>
      <w:r>
        <w:rPr>
          <w:sz w:val="24"/>
          <w:szCs w:val="24"/>
        </w:rPr>
        <w:t xml:space="preserve"> </w:t>
      </w:r>
      <w:r w:rsidRPr="002079D1">
        <w:rPr>
          <w:sz w:val="24"/>
          <w:szCs w:val="24"/>
        </w:rPr>
        <w:t xml:space="preserve">Anvendelse af </w:t>
      </w:r>
      <w:proofErr w:type="spellStart"/>
      <w:r>
        <w:rPr>
          <w:sz w:val="24"/>
          <w:szCs w:val="24"/>
        </w:rPr>
        <w:t>Sufentanil</w:t>
      </w:r>
      <w:proofErr w:type="spellEnd"/>
      <w:r>
        <w:rPr>
          <w:sz w:val="24"/>
          <w:szCs w:val="24"/>
        </w:rPr>
        <w:t xml:space="preserve"> </w:t>
      </w:r>
      <w:proofErr w:type="spellStart"/>
      <w:r>
        <w:rPr>
          <w:sz w:val="24"/>
          <w:szCs w:val="24"/>
        </w:rPr>
        <w:t>hameln</w:t>
      </w:r>
      <w:proofErr w:type="spellEnd"/>
      <w:r w:rsidRPr="002079D1">
        <w:rPr>
          <w:sz w:val="24"/>
          <w:szCs w:val="24"/>
        </w:rPr>
        <w:t xml:space="preserve"> til patienter i respirator på intensivafdeling bør ikke</w:t>
      </w:r>
      <w:r>
        <w:rPr>
          <w:sz w:val="24"/>
          <w:szCs w:val="24"/>
        </w:rPr>
        <w:t xml:space="preserve"> </w:t>
      </w:r>
      <w:r w:rsidRPr="002079D1">
        <w:rPr>
          <w:sz w:val="24"/>
          <w:szCs w:val="24"/>
        </w:rPr>
        <w:t>anvendes til behandling i mere end 3 dage.</w:t>
      </w:r>
    </w:p>
    <w:p w:rsidR="00D926EB" w:rsidRPr="00A54162" w:rsidRDefault="00D926EB" w:rsidP="00D926EB">
      <w:pPr>
        <w:ind w:firstLine="851"/>
        <w:rPr>
          <w:spacing w:val="-3"/>
          <w:sz w:val="24"/>
          <w:szCs w:val="24"/>
          <w:u w:val="single"/>
        </w:rPr>
      </w:pPr>
      <w:r w:rsidRPr="00A54162">
        <w:rPr>
          <w:spacing w:val="-3"/>
          <w:sz w:val="24"/>
          <w:szCs w:val="24"/>
          <w:u w:val="single"/>
        </w:rPr>
        <w:t>Søvnrelaterede vejrtrækningsforstyrrelser</w:t>
      </w:r>
    </w:p>
    <w:p w:rsidR="00D926EB" w:rsidRPr="003A2775" w:rsidRDefault="00D926EB" w:rsidP="00D926EB">
      <w:pPr>
        <w:ind w:left="851"/>
        <w:rPr>
          <w:spacing w:val="-3"/>
          <w:sz w:val="24"/>
          <w:szCs w:val="24"/>
        </w:rPr>
      </w:pPr>
      <w:r w:rsidRPr="003A2775">
        <w:rPr>
          <w:spacing w:val="-3"/>
          <w:sz w:val="24"/>
          <w:szCs w:val="24"/>
        </w:rPr>
        <w:t>Opioider kan forårsage søvnrelaterede vejrtrækningsforstyrrelser, herunder central</w:t>
      </w:r>
    </w:p>
    <w:p w:rsidR="00D926EB" w:rsidRPr="003A2775" w:rsidRDefault="00D926EB" w:rsidP="00D926EB">
      <w:pPr>
        <w:ind w:left="851"/>
        <w:rPr>
          <w:spacing w:val="-3"/>
          <w:sz w:val="24"/>
          <w:szCs w:val="24"/>
        </w:rPr>
      </w:pPr>
      <w:r w:rsidRPr="003A2775">
        <w:rPr>
          <w:spacing w:val="-3"/>
          <w:sz w:val="24"/>
          <w:szCs w:val="24"/>
        </w:rPr>
        <w:t xml:space="preserve">søvnapnø (CSA) og søvnrelateret </w:t>
      </w:r>
      <w:proofErr w:type="spellStart"/>
      <w:r w:rsidRPr="003A2775">
        <w:rPr>
          <w:spacing w:val="-3"/>
          <w:sz w:val="24"/>
          <w:szCs w:val="24"/>
        </w:rPr>
        <w:t>hypoxæmi</w:t>
      </w:r>
      <w:proofErr w:type="spellEnd"/>
      <w:r w:rsidRPr="003A2775">
        <w:rPr>
          <w:spacing w:val="-3"/>
          <w:sz w:val="24"/>
          <w:szCs w:val="24"/>
        </w:rPr>
        <w:t>. Opioidbrug øger risikoen for CSA på en</w:t>
      </w:r>
    </w:p>
    <w:p w:rsidR="00D926EB" w:rsidRPr="003A2775" w:rsidRDefault="00D926EB" w:rsidP="00D926EB">
      <w:pPr>
        <w:ind w:left="851"/>
        <w:rPr>
          <w:spacing w:val="-3"/>
          <w:sz w:val="24"/>
          <w:szCs w:val="24"/>
        </w:rPr>
      </w:pPr>
      <w:r w:rsidRPr="003A2775">
        <w:rPr>
          <w:spacing w:val="-3"/>
          <w:sz w:val="24"/>
          <w:szCs w:val="24"/>
        </w:rPr>
        <w:t>dosisafhængig vis. Hos patienter, som har CSA, skal det overvejes at reducere den samlede</w:t>
      </w:r>
    </w:p>
    <w:p w:rsidR="00D926EB" w:rsidRPr="00223368" w:rsidRDefault="00D926EB" w:rsidP="00D926EB">
      <w:pPr>
        <w:ind w:left="851"/>
        <w:rPr>
          <w:spacing w:val="-3"/>
          <w:sz w:val="24"/>
          <w:szCs w:val="24"/>
        </w:rPr>
      </w:pPr>
      <w:r w:rsidRPr="003A2775">
        <w:rPr>
          <w:spacing w:val="-3"/>
          <w:sz w:val="24"/>
          <w:szCs w:val="24"/>
        </w:rPr>
        <w:t>opioiddosis.</w:t>
      </w:r>
    </w:p>
    <w:p w:rsidR="00D926EB" w:rsidRPr="00223368" w:rsidRDefault="00D926EB" w:rsidP="00D926EB">
      <w:pPr>
        <w:rPr>
          <w:spacing w:val="-3"/>
          <w:sz w:val="24"/>
          <w:szCs w:val="24"/>
        </w:rPr>
      </w:pPr>
    </w:p>
    <w:p w:rsidR="00D926EB" w:rsidRPr="00A54162" w:rsidRDefault="00D926EB" w:rsidP="00D926EB">
      <w:pPr>
        <w:ind w:left="851"/>
        <w:rPr>
          <w:spacing w:val="-3"/>
          <w:sz w:val="24"/>
          <w:szCs w:val="24"/>
          <w:u w:val="single"/>
        </w:rPr>
      </w:pPr>
      <w:r w:rsidRPr="00A54162">
        <w:rPr>
          <w:spacing w:val="-3"/>
          <w:sz w:val="24"/>
          <w:szCs w:val="24"/>
          <w:u w:val="single"/>
        </w:rPr>
        <w:t xml:space="preserve">Opioidinduceret </w:t>
      </w:r>
      <w:proofErr w:type="spellStart"/>
      <w:r w:rsidRPr="00A54162">
        <w:rPr>
          <w:spacing w:val="-3"/>
          <w:sz w:val="24"/>
          <w:szCs w:val="24"/>
          <w:u w:val="single"/>
        </w:rPr>
        <w:t>hyperalgesi</w:t>
      </w:r>
      <w:proofErr w:type="spellEnd"/>
    </w:p>
    <w:p w:rsidR="00D926EB" w:rsidRPr="00D74B98" w:rsidRDefault="00D926EB" w:rsidP="00D926EB">
      <w:pPr>
        <w:ind w:left="851"/>
        <w:rPr>
          <w:spacing w:val="-3"/>
          <w:sz w:val="24"/>
          <w:szCs w:val="24"/>
        </w:rPr>
      </w:pPr>
      <w:r w:rsidRPr="00D74B98">
        <w:rPr>
          <w:spacing w:val="-3"/>
          <w:sz w:val="24"/>
          <w:szCs w:val="24"/>
        </w:rPr>
        <w:t xml:space="preserve">Som med andre opioider bør muligheden for opioidinduceret </w:t>
      </w:r>
      <w:proofErr w:type="spellStart"/>
      <w:r w:rsidRPr="00D74B98">
        <w:rPr>
          <w:spacing w:val="-3"/>
          <w:sz w:val="24"/>
          <w:szCs w:val="24"/>
        </w:rPr>
        <w:t>hyperalgesi</w:t>
      </w:r>
      <w:proofErr w:type="spellEnd"/>
      <w:r w:rsidRPr="00D74B98">
        <w:rPr>
          <w:spacing w:val="-3"/>
          <w:sz w:val="24"/>
          <w:szCs w:val="24"/>
        </w:rPr>
        <w:t xml:space="preserve"> overvejes i tilfælde</w:t>
      </w:r>
    </w:p>
    <w:p w:rsidR="00D926EB" w:rsidRPr="00D74B98" w:rsidRDefault="00D926EB" w:rsidP="00D926EB">
      <w:pPr>
        <w:ind w:left="851"/>
        <w:rPr>
          <w:spacing w:val="-3"/>
          <w:sz w:val="24"/>
          <w:szCs w:val="24"/>
        </w:rPr>
      </w:pPr>
      <w:r w:rsidRPr="00D74B98">
        <w:rPr>
          <w:spacing w:val="-3"/>
          <w:sz w:val="24"/>
          <w:szCs w:val="24"/>
        </w:rPr>
        <w:t xml:space="preserve">af utilstrækkelig smertekontrol som reaktion på en øget dosis </w:t>
      </w:r>
      <w:proofErr w:type="spellStart"/>
      <w:r w:rsidRPr="00D74B98">
        <w:rPr>
          <w:spacing w:val="-3"/>
          <w:sz w:val="24"/>
          <w:szCs w:val="24"/>
        </w:rPr>
        <w:t>sufentanil</w:t>
      </w:r>
      <w:proofErr w:type="spellEnd"/>
      <w:r w:rsidRPr="00D74B98">
        <w:rPr>
          <w:spacing w:val="-3"/>
          <w:sz w:val="24"/>
          <w:szCs w:val="24"/>
        </w:rPr>
        <w:t>. En dosisreduktion</w:t>
      </w:r>
    </w:p>
    <w:p w:rsidR="00D926EB" w:rsidRPr="00223368" w:rsidRDefault="00D926EB" w:rsidP="00D926EB">
      <w:pPr>
        <w:ind w:left="851"/>
        <w:rPr>
          <w:spacing w:val="-3"/>
          <w:sz w:val="24"/>
          <w:szCs w:val="24"/>
        </w:rPr>
      </w:pPr>
      <w:r w:rsidRPr="00D74B98">
        <w:rPr>
          <w:spacing w:val="-3"/>
          <w:sz w:val="24"/>
          <w:szCs w:val="24"/>
        </w:rPr>
        <w:t xml:space="preserve">eller </w:t>
      </w:r>
      <w:proofErr w:type="spellStart"/>
      <w:r w:rsidRPr="00D74B98">
        <w:rPr>
          <w:spacing w:val="-3"/>
          <w:sz w:val="24"/>
          <w:szCs w:val="24"/>
        </w:rPr>
        <w:t>seponering</w:t>
      </w:r>
      <w:proofErr w:type="spellEnd"/>
      <w:r w:rsidRPr="00D74B98">
        <w:rPr>
          <w:spacing w:val="-3"/>
          <w:sz w:val="24"/>
          <w:szCs w:val="24"/>
        </w:rPr>
        <w:t xml:space="preserve"> af </w:t>
      </w:r>
      <w:proofErr w:type="spellStart"/>
      <w:r w:rsidRPr="00D74B98">
        <w:rPr>
          <w:spacing w:val="-3"/>
          <w:sz w:val="24"/>
          <w:szCs w:val="24"/>
        </w:rPr>
        <w:t>sufentanil</w:t>
      </w:r>
      <w:proofErr w:type="spellEnd"/>
      <w:r w:rsidRPr="00D74B98">
        <w:rPr>
          <w:spacing w:val="-3"/>
          <w:sz w:val="24"/>
          <w:szCs w:val="24"/>
        </w:rPr>
        <w:t>-behandling eller behandlingsgennemgang kan være indiceret</w:t>
      </w:r>
      <w:r>
        <w:rPr>
          <w:spacing w:val="-3"/>
          <w:sz w:val="24"/>
          <w:szCs w:val="24"/>
        </w:rPr>
        <w:t>.</w:t>
      </w:r>
    </w:p>
    <w:p w:rsidR="00D926EB" w:rsidRPr="00223368" w:rsidRDefault="00D926EB" w:rsidP="00D926EB">
      <w:pPr>
        <w:ind w:left="851"/>
        <w:rPr>
          <w:spacing w:val="-3"/>
          <w:sz w:val="24"/>
          <w:szCs w:val="24"/>
        </w:rPr>
      </w:pPr>
    </w:p>
    <w:p w:rsidR="00D926EB" w:rsidRPr="00A54162" w:rsidRDefault="00D926EB" w:rsidP="00D926EB">
      <w:pPr>
        <w:ind w:left="851"/>
        <w:rPr>
          <w:spacing w:val="-3"/>
          <w:sz w:val="24"/>
          <w:szCs w:val="24"/>
          <w:u w:val="single"/>
        </w:rPr>
      </w:pPr>
      <w:proofErr w:type="spellStart"/>
      <w:r w:rsidRPr="00A54162">
        <w:rPr>
          <w:spacing w:val="-3"/>
          <w:sz w:val="24"/>
          <w:szCs w:val="24"/>
          <w:u w:val="single"/>
        </w:rPr>
        <w:t>Gastrointestinale</w:t>
      </w:r>
      <w:proofErr w:type="spellEnd"/>
      <w:r w:rsidRPr="00A54162">
        <w:rPr>
          <w:spacing w:val="-3"/>
          <w:sz w:val="24"/>
          <w:szCs w:val="24"/>
          <w:u w:val="single"/>
        </w:rPr>
        <w:t xml:space="preserve"> virkninger</w:t>
      </w:r>
    </w:p>
    <w:p w:rsidR="00D926EB" w:rsidRDefault="00D926EB" w:rsidP="00D926EB">
      <w:pPr>
        <w:ind w:left="851"/>
        <w:rPr>
          <w:spacing w:val="-3"/>
          <w:sz w:val="24"/>
          <w:szCs w:val="24"/>
        </w:rPr>
      </w:pPr>
      <w:proofErr w:type="spellStart"/>
      <w:r w:rsidRPr="00A01548">
        <w:rPr>
          <w:spacing w:val="-3"/>
          <w:sz w:val="24"/>
          <w:szCs w:val="24"/>
        </w:rPr>
        <w:t>Sufentanil</w:t>
      </w:r>
      <w:proofErr w:type="spellEnd"/>
      <w:r w:rsidRPr="00A01548">
        <w:rPr>
          <w:spacing w:val="-3"/>
          <w:sz w:val="24"/>
          <w:szCs w:val="24"/>
        </w:rPr>
        <w:t xml:space="preserve"> kan som en μ-opioid receptoragonist forsinke </w:t>
      </w:r>
      <w:proofErr w:type="spellStart"/>
      <w:r w:rsidRPr="00A01548">
        <w:rPr>
          <w:spacing w:val="-3"/>
          <w:sz w:val="24"/>
          <w:szCs w:val="24"/>
        </w:rPr>
        <w:t>gastrointestinal</w:t>
      </w:r>
      <w:proofErr w:type="spellEnd"/>
      <w:r w:rsidRPr="00A01548">
        <w:rPr>
          <w:spacing w:val="-3"/>
          <w:sz w:val="24"/>
          <w:szCs w:val="24"/>
        </w:rPr>
        <w:t xml:space="preserve"> </w:t>
      </w:r>
      <w:proofErr w:type="spellStart"/>
      <w:r w:rsidRPr="00A01548">
        <w:rPr>
          <w:spacing w:val="-3"/>
          <w:sz w:val="24"/>
          <w:szCs w:val="24"/>
        </w:rPr>
        <w:t>motilitet</w:t>
      </w:r>
      <w:proofErr w:type="spellEnd"/>
      <w:r w:rsidRPr="00A01548">
        <w:rPr>
          <w:spacing w:val="-3"/>
          <w:sz w:val="24"/>
          <w:szCs w:val="24"/>
        </w:rPr>
        <w:t>. Derfor</w:t>
      </w:r>
      <w:r>
        <w:rPr>
          <w:spacing w:val="-3"/>
          <w:sz w:val="24"/>
          <w:szCs w:val="24"/>
        </w:rPr>
        <w:t xml:space="preserve"> </w:t>
      </w:r>
      <w:r w:rsidRPr="00A01548">
        <w:rPr>
          <w:spacing w:val="-3"/>
          <w:sz w:val="24"/>
          <w:szCs w:val="24"/>
        </w:rPr>
        <w:t xml:space="preserve">skal </w:t>
      </w:r>
      <w:proofErr w:type="spellStart"/>
      <w:r>
        <w:rPr>
          <w:spacing w:val="-3"/>
          <w:sz w:val="24"/>
          <w:szCs w:val="24"/>
        </w:rPr>
        <w:t>Sufentanil</w:t>
      </w:r>
      <w:proofErr w:type="spellEnd"/>
      <w:r>
        <w:rPr>
          <w:spacing w:val="-3"/>
          <w:sz w:val="24"/>
          <w:szCs w:val="24"/>
        </w:rPr>
        <w:t xml:space="preserve"> </w:t>
      </w:r>
      <w:proofErr w:type="spellStart"/>
      <w:r>
        <w:rPr>
          <w:spacing w:val="-3"/>
          <w:sz w:val="24"/>
          <w:szCs w:val="24"/>
        </w:rPr>
        <w:t>hameln</w:t>
      </w:r>
      <w:proofErr w:type="spellEnd"/>
      <w:r w:rsidRPr="00A01548">
        <w:rPr>
          <w:spacing w:val="-3"/>
          <w:sz w:val="24"/>
          <w:szCs w:val="24"/>
        </w:rPr>
        <w:t xml:space="preserve"> anvendes med forsigtighed hos patienter med risiko for </w:t>
      </w:r>
      <w:proofErr w:type="spellStart"/>
      <w:r w:rsidRPr="00A01548">
        <w:rPr>
          <w:spacing w:val="-3"/>
          <w:sz w:val="24"/>
          <w:szCs w:val="24"/>
        </w:rPr>
        <w:t>ileus</w:t>
      </w:r>
      <w:proofErr w:type="spellEnd"/>
      <w:r w:rsidRPr="00A01548">
        <w:rPr>
          <w:spacing w:val="-3"/>
          <w:sz w:val="24"/>
          <w:szCs w:val="24"/>
        </w:rPr>
        <w:t>.</w:t>
      </w:r>
      <w:r>
        <w:rPr>
          <w:spacing w:val="-3"/>
          <w:sz w:val="24"/>
          <w:szCs w:val="24"/>
        </w:rPr>
        <w:t xml:space="preserve"> </w:t>
      </w:r>
      <w:proofErr w:type="spellStart"/>
      <w:r w:rsidRPr="00A01548">
        <w:rPr>
          <w:spacing w:val="-3"/>
          <w:sz w:val="24"/>
          <w:szCs w:val="24"/>
        </w:rPr>
        <w:t>Sufentanil</w:t>
      </w:r>
      <w:proofErr w:type="spellEnd"/>
      <w:r w:rsidRPr="00A01548">
        <w:rPr>
          <w:spacing w:val="-3"/>
          <w:sz w:val="24"/>
          <w:szCs w:val="24"/>
        </w:rPr>
        <w:t xml:space="preserve"> kan som en μ-opioid receptoragonist forårsage spasmer i </w:t>
      </w:r>
      <w:proofErr w:type="spellStart"/>
      <w:r w:rsidRPr="00A01548">
        <w:rPr>
          <w:spacing w:val="-3"/>
          <w:sz w:val="24"/>
          <w:szCs w:val="24"/>
        </w:rPr>
        <w:t>sphincter</w:t>
      </w:r>
      <w:proofErr w:type="spellEnd"/>
      <w:r w:rsidRPr="00A01548">
        <w:rPr>
          <w:spacing w:val="-3"/>
          <w:sz w:val="24"/>
          <w:szCs w:val="24"/>
        </w:rPr>
        <w:t xml:space="preserve"> </w:t>
      </w:r>
      <w:proofErr w:type="spellStart"/>
      <w:r w:rsidRPr="00A01548">
        <w:rPr>
          <w:spacing w:val="-3"/>
          <w:sz w:val="24"/>
          <w:szCs w:val="24"/>
        </w:rPr>
        <w:t>Oddi</w:t>
      </w:r>
      <w:proofErr w:type="spellEnd"/>
      <w:r w:rsidRPr="00A01548">
        <w:rPr>
          <w:spacing w:val="-3"/>
          <w:sz w:val="24"/>
          <w:szCs w:val="24"/>
        </w:rPr>
        <w:t>. Derfor</w:t>
      </w:r>
      <w:r>
        <w:rPr>
          <w:spacing w:val="-3"/>
          <w:sz w:val="24"/>
          <w:szCs w:val="24"/>
        </w:rPr>
        <w:t xml:space="preserve"> </w:t>
      </w:r>
      <w:r w:rsidRPr="00A01548">
        <w:rPr>
          <w:spacing w:val="-3"/>
          <w:sz w:val="24"/>
          <w:szCs w:val="24"/>
        </w:rPr>
        <w:t>Bør</w:t>
      </w:r>
      <w:r>
        <w:rPr>
          <w:spacing w:val="-3"/>
          <w:sz w:val="24"/>
          <w:szCs w:val="24"/>
        </w:rPr>
        <w:t xml:space="preserve"> </w:t>
      </w:r>
      <w:proofErr w:type="spellStart"/>
      <w:r>
        <w:rPr>
          <w:spacing w:val="-3"/>
          <w:sz w:val="24"/>
          <w:szCs w:val="24"/>
        </w:rPr>
        <w:t>Sufentanil</w:t>
      </w:r>
      <w:proofErr w:type="spellEnd"/>
      <w:r>
        <w:rPr>
          <w:spacing w:val="-3"/>
          <w:sz w:val="24"/>
          <w:szCs w:val="24"/>
        </w:rPr>
        <w:t xml:space="preserve"> </w:t>
      </w:r>
      <w:proofErr w:type="spellStart"/>
      <w:r>
        <w:rPr>
          <w:spacing w:val="-3"/>
          <w:sz w:val="24"/>
          <w:szCs w:val="24"/>
        </w:rPr>
        <w:t>hameln</w:t>
      </w:r>
      <w:proofErr w:type="spellEnd"/>
      <w:r w:rsidRPr="00A01548">
        <w:rPr>
          <w:spacing w:val="-3"/>
          <w:sz w:val="24"/>
          <w:szCs w:val="24"/>
        </w:rPr>
        <w:t xml:space="preserve"> anvendes med forsigtighed hos patienter med</w:t>
      </w:r>
      <w:r>
        <w:rPr>
          <w:spacing w:val="-3"/>
          <w:sz w:val="24"/>
          <w:szCs w:val="24"/>
        </w:rPr>
        <w:t xml:space="preserve"> </w:t>
      </w:r>
      <w:r w:rsidRPr="00A01548">
        <w:rPr>
          <w:spacing w:val="-3"/>
          <w:sz w:val="24"/>
          <w:szCs w:val="24"/>
        </w:rPr>
        <w:t xml:space="preserve">galdevejssygdom, herunder akut </w:t>
      </w:r>
      <w:proofErr w:type="spellStart"/>
      <w:r w:rsidRPr="00A01548">
        <w:rPr>
          <w:spacing w:val="-3"/>
          <w:sz w:val="24"/>
          <w:szCs w:val="24"/>
        </w:rPr>
        <w:t>pankreatitis</w:t>
      </w:r>
      <w:proofErr w:type="spellEnd"/>
      <w:r>
        <w:rPr>
          <w:spacing w:val="-3"/>
          <w:sz w:val="24"/>
          <w:szCs w:val="24"/>
        </w:rPr>
        <w:t>.</w:t>
      </w:r>
    </w:p>
    <w:p w:rsidR="00D926EB" w:rsidRPr="002F6D75" w:rsidRDefault="00D926EB" w:rsidP="00D926EB">
      <w:pPr>
        <w:ind w:left="851"/>
        <w:rPr>
          <w:spacing w:val="-3"/>
          <w:sz w:val="24"/>
          <w:szCs w:val="24"/>
        </w:rPr>
      </w:pPr>
    </w:p>
    <w:p w:rsidR="00D926EB" w:rsidRPr="002F6D75" w:rsidRDefault="00D926EB" w:rsidP="00D926EB">
      <w:pPr>
        <w:ind w:left="851"/>
        <w:rPr>
          <w:sz w:val="24"/>
          <w:szCs w:val="24"/>
          <w:u w:val="single"/>
        </w:rPr>
      </w:pPr>
      <w:r w:rsidRPr="002F6D75">
        <w:rPr>
          <w:sz w:val="24"/>
          <w:szCs w:val="24"/>
          <w:u w:val="single"/>
        </w:rPr>
        <w:t>Pædiatrisk population</w:t>
      </w:r>
    </w:p>
    <w:p w:rsidR="00D926EB" w:rsidRPr="002F6D75" w:rsidRDefault="00D926EB" w:rsidP="00D926EB">
      <w:pPr>
        <w:ind w:left="851"/>
        <w:rPr>
          <w:b/>
          <w:sz w:val="24"/>
          <w:szCs w:val="24"/>
        </w:rPr>
      </w:pPr>
      <w:proofErr w:type="spellStart"/>
      <w:r w:rsidRPr="002F6D75">
        <w:rPr>
          <w:sz w:val="24"/>
          <w:szCs w:val="24"/>
        </w:rPr>
        <w:t>Sufentanil</w:t>
      </w:r>
      <w:proofErr w:type="spellEnd"/>
      <w:r w:rsidRPr="002F6D75">
        <w:rPr>
          <w:sz w:val="24"/>
          <w:szCs w:val="24"/>
        </w:rPr>
        <w:t xml:space="preserve"> "Hameln" 10 mikrogram/</w:t>
      </w:r>
      <w:proofErr w:type="spellStart"/>
      <w:r w:rsidRPr="002F6D75">
        <w:rPr>
          <w:sz w:val="24"/>
          <w:szCs w:val="24"/>
        </w:rPr>
        <w:t>ml’s</w:t>
      </w:r>
      <w:proofErr w:type="spellEnd"/>
      <w:r w:rsidRPr="002F6D75">
        <w:rPr>
          <w:sz w:val="24"/>
          <w:szCs w:val="24"/>
        </w:rPr>
        <w:t xml:space="preserve"> sikkerhed og virkning hos spædbørn og børn er ikke blevet klarlagt, da der ikke er nogen relevant applikation for denne specifikke præsentation i nogen af indikationerne i pkt. 4.1. </w:t>
      </w:r>
      <w:r w:rsidRPr="002F6D75">
        <w:rPr>
          <w:b/>
          <w:sz w:val="24"/>
          <w:szCs w:val="24"/>
        </w:rPr>
        <w:t xml:space="preserve"> </w:t>
      </w:r>
    </w:p>
    <w:p w:rsidR="00D926EB" w:rsidRPr="002F6D75" w:rsidRDefault="00D926EB" w:rsidP="00D926EB">
      <w:pPr>
        <w:ind w:left="851"/>
        <w:rPr>
          <w:spacing w:val="-3"/>
          <w:sz w:val="24"/>
          <w:szCs w:val="24"/>
        </w:rPr>
      </w:pPr>
    </w:p>
    <w:p w:rsidR="00D926EB" w:rsidRPr="002F6D75" w:rsidRDefault="00D926EB" w:rsidP="00D926EB">
      <w:pPr>
        <w:ind w:left="851"/>
        <w:rPr>
          <w:color w:val="000000"/>
          <w:spacing w:val="-3"/>
          <w:sz w:val="24"/>
          <w:szCs w:val="24"/>
        </w:rPr>
      </w:pPr>
      <w:r w:rsidRPr="00E550D7">
        <w:rPr>
          <w:color w:val="000000"/>
          <w:spacing w:val="-3"/>
          <w:sz w:val="24"/>
          <w:szCs w:val="24"/>
        </w:rPr>
        <w:t>Dette l</w:t>
      </w:r>
      <w:r w:rsidRPr="00E550D7">
        <w:rPr>
          <w:sz w:val="24"/>
          <w:szCs w:val="24"/>
        </w:rPr>
        <w:t>ægemiddel</w:t>
      </w:r>
      <w:r w:rsidRPr="00E550D7">
        <w:rPr>
          <w:color w:val="000000"/>
          <w:spacing w:val="-3"/>
          <w:sz w:val="24"/>
          <w:szCs w:val="24"/>
        </w:rPr>
        <w:t xml:space="preserve"> indeholder 3.54 mg natrium per milliliter opløsning, svarende til 0.2% af den WHO anbefalede </w:t>
      </w:r>
      <w:proofErr w:type="gramStart"/>
      <w:r w:rsidRPr="00E550D7">
        <w:rPr>
          <w:color w:val="000000"/>
          <w:spacing w:val="-3"/>
          <w:sz w:val="24"/>
          <w:szCs w:val="24"/>
        </w:rPr>
        <w:t>maximale</w:t>
      </w:r>
      <w:proofErr w:type="gramEnd"/>
      <w:r w:rsidRPr="00E550D7">
        <w:rPr>
          <w:color w:val="000000"/>
          <w:spacing w:val="-3"/>
          <w:sz w:val="24"/>
          <w:szCs w:val="24"/>
        </w:rPr>
        <w:t xml:space="preserve"> daglige indtagelse af 2 g natrium for en voksen.</w:t>
      </w:r>
      <w:r w:rsidRPr="002F6D75">
        <w:rPr>
          <w:color w:val="000000"/>
          <w:spacing w:val="-3"/>
          <w:sz w:val="24"/>
          <w:szCs w:val="24"/>
        </w:rPr>
        <w:t xml:space="preserve"> Hvis store mængder af opløsningen indgives (f.eks. mere end 6,5 ml svarende til mere end 1 mmol natrium) skal der tages højde for patienter der er på </w:t>
      </w:r>
      <w:proofErr w:type="gramStart"/>
      <w:r w:rsidRPr="002F6D75">
        <w:rPr>
          <w:color w:val="000000"/>
          <w:spacing w:val="-3"/>
          <w:sz w:val="24"/>
          <w:szCs w:val="24"/>
        </w:rPr>
        <w:t>en natrium</w:t>
      </w:r>
      <w:proofErr w:type="gramEnd"/>
      <w:r w:rsidRPr="002F6D75">
        <w:rPr>
          <w:color w:val="000000"/>
          <w:spacing w:val="-3"/>
          <w:sz w:val="24"/>
          <w:szCs w:val="24"/>
        </w:rPr>
        <w:t xml:space="preserve"> kontrolleret diæt.</w:t>
      </w:r>
    </w:p>
    <w:p w:rsidR="00E05A5D" w:rsidRPr="002F6D75" w:rsidRDefault="00E05A5D" w:rsidP="00617196">
      <w:pPr>
        <w:tabs>
          <w:tab w:val="left" w:pos="851"/>
        </w:tabs>
        <w:rPr>
          <w:sz w:val="24"/>
          <w:szCs w:val="24"/>
        </w:rPr>
      </w:pPr>
    </w:p>
    <w:p w:rsidR="00E05A5D" w:rsidRPr="00AC1C6A" w:rsidRDefault="00E05A5D" w:rsidP="00E05A5D">
      <w:pPr>
        <w:tabs>
          <w:tab w:val="left" w:pos="851"/>
        </w:tabs>
        <w:ind w:left="851" w:hanging="851"/>
        <w:rPr>
          <w:b/>
          <w:sz w:val="24"/>
          <w:szCs w:val="24"/>
        </w:rPr>
      </w:pPr>
      <w:r w:rsidRPr="002F6D75">
        <w:rPr>
          <w:b/>
          <w:sz w:val="24"/>
          <w:szCs w:val="24"/>
        </w:rPr>
        <w:t>4.5</w:t>
      </w:r>
      <w:r w:rsidRPr="002F6D75">
        <w:rPr>
          <w:b/>
          <w:sz w:val="24"/>
          <w:szCs w:val="24"/>
        </w:rPr>
        <w:tab/>
        <w:t>Interaktion med andre lægemidler og andre former for interaktion</w:t>
      </w:r>
    </w:p>
    <w:p w:rsidR="00D926EB" w:rsidRPr="0044006D" w:rsidRDefault="00D926EB" w:rsidP="00D926EB">
      <w:pPr>
        <w:ind w:left="851"/>
        <w:rPr>
          <w:i/>
          <w:spacing w:val="-3"/>
          <w:sz w:val="24"/>
          <w:szCs w:val="24"/>
        </w:rPr>
      </w:pPr>
      <w:proofErr w:type="spellStart"/>
      <w:r w:rsidRPr="00A54162">
        <w:rPr>
          <w:spacing w:val="-3"/>
          <w:sz w:val="24"/>
          <w:szCs w:val="24"/>
          <w:u w:val="single"/>
        </w:rPr>
        <w:t>Sedativa</w:t>
      </w:r>
      <w:proofErr w:type="spellEnd"/>
      <w:r w:rsidRPr="00A54162">
        <w:rPr>
          <w:spacing w:val="-3"/>
          <w:sz w:val="24"/>
          <w:szCs w:val="24"/>
          <w:u w:val="single"/>
        </w:rPr>
        <w:t xml:space="preserve">, </w:t>
      </w:r>
      <w:proofErr w:type="spellStart"/>
      <w:proofErr w:type="gramStart"/>
      <w:r w:rsidRPr="00A54162">
        <w:rPr>
          <w:spacing w:val="-3"/>
          <w:sz w:val="24"/>
          <w:szCs w:val="24"/>
          <w:u w:val="single"/>
        </w:rPr>
        <w:t>f.eks.benzodiazepiner</w:t>
      </w:r>
      <w:proofErr w:type="spellEnd"/>
      <w:proofErr w:type="gramEnd"/>
      <w:r w:rsidRPr="00A54162">
        <w:rPr>
          <w:spacing w:val="-3"/>
          <w:sz w:val="24"/>
          <w:szCs w:val="24"/>
          <w:u w:val="single"/>
        </w:rPr>
        <w:t>, eller lignende lægemidler</w:t>
      </w:r>
    </w:p>
    <w:p w:rsidR="00D926EB" w:rsidRPr="0044006D" w:rsidRDefault="00D926EB" w:rsidP="00D926EB">
      <w:pPr>
        <w:ind w:left="851"/>
        <w:rPr>
          <w:spacing w:val="-3"/>
          <w:sz w:val="24"/>
          <w:szCs w:val="24"/>
        </w:rPr>
      </w:pPr>
      <w:r w:rsidRPr="0044006D">
        <w:rPr>
          <w:spacing w:val="-3"/>
          <w:sz w:val="24"/>
          <w:szCs w:val="24"/>
        </w:rPr>
        <w:t xml:space="preserve">Samtidig brug af opioider og </w:t>
      </w:r>
      <w:proofErr w:type="spellStart"/>
      <w:r w:rsidRPr="0044006D">
        <w:rPr>
          <w:spacing w:val="-3"/>
          <w:sz w:val="24"/>
          <w:szCs w:val="24"/>
        </w:rPr>
        <w:t>sedativa</w:t>
      </w:r>
      <w:proofErr w:type="spellEnd"/>
      <w:r w:rsidRPr="0044006D">
        <w:rPr>
          <w:spacing w:val="-3"/>
          <w:sz w:val="24"/>
          <w:szCs w:val="24"/>
        </w:rPr>
        <w:t xml:space="preserve">, </w:t>
      </w:r>
      <w:proofErr w:type="spellStart"/>
      <w:proofErr w:type="gramStart"/>
      <w:r w:rsidRPr="0044006D">
        <w:rPr>
          <w:spacing w:val="-3"/>
          <w:sz w:val="24"/>
          <w:szCs w:val="24"/>
        </w:rPr>
        <w:t>f.eks.benzodiazepiner</w:t>
      </w:r>
      <w:proofErr w:type="spellEnd"/>
      <w:proofErr w:type="gramEnd"/>
      <w:r w:rsidRPr="0044006D">
        <w:rPr>
          <w:spacing w:val="-3"/>
          <w:sz w:val="24"/>
          <w:szCs w:val="24"/>
        </w:rPr>
        <w:t>, eller lignende lægemidler, øger risikoen for sedation, respirationsdepression, koma og dødsfald som følge af supplerende CNS-dæmpende effekt. Dosering og varighed af samtidig brug bør begrænses (se punkt 4.4).</w:t>
      </w:r>
    </w:p>
    <w:p w:rsidR="00D926EB" w:rsidRPr="00C21F12" w:rsidRDefault="00D926EB" w:rsidP="00D926EB">
      <w:pPr>
        <w:pStyle w:val="Brdtekstindrykning3"/>
        <w:ind w:left="851" w:firstLine="0"/>
        <w:rPr>
          <w:sz w:val="24"/>
          <w:szCs w:val="24"/>
          <w:lang w:val="da-DK"/>
        </w:rPr>
      </w:pPr>
      <w:r w:rsidRPr="0044006D">
        <w:rPr>
          <w:sz w:val="24"/>
          <w:szCs w:val="24"/>
          <w:lang w:val="da-DK"/>
        </w:rPr>
        <w:t>Den samtidige administration af benzodiazepiner kan medføre et fald i blodtrykket.</w:t>
      </w:r>
    </w:p>
    <w:p w:rsidR="00D926EB" w:rsidRDefault="00D926EB" w:rsidP="00D926EB">
      <w:pPr>
        <w:ind w:left="851"/>
        <w:rPr>
          <w:spacing w:val="-3"/>
          <w:sz w:val="24"/>
          <w:szCs w:val="24"/>
        </w:rPr>
      </w:pPr>
    </w:p>
    <w:p w:rsidR="00D926EB" w:rsidRPr="00A54162" w:rsidRDefault="00D926EB" w:rsidP="00D926EB">
      <w:pPr>
        <w:ind w:left="851"/>
        <w:rPr>
          <w:spacing w:val="-3"/>
          <w:sz w:val="24"/>
          <w:szCs w:val="24"/>
          <w:u w:val="single"/>
        </w:rPr>
      </w:pPr>
      <w:proofErr w:type="spellStart"/>
      <w:r w:rsidRPr="00A54162">
        <w:rPr>
          <w:spacing w:val="-3"/>
          <w:sz w:val="24"/>
          <w:szCs w:val="24"/>
          <w:u w:val="single"/>
        </w:rPr>
        <w:lastRenderedPageBreak/>
        <w:t>Gabapentinoider</w:t>
      </w:r>
      <w:proofErr w:type="spellEnd"/>
    </w:p>
    <w:p w:rsidR="00D926EB" w:rsidRDefault="00D926EB" w:rsidP="00D926EB">
      <w:pPr>
        <w:ind w:left="851"/>
        <w:rPr>
          <w:spacing w:val="-3"/>
          <w:sz w:val="24"/>
          <w:szCs w:val="24"/>
        </w:rPr>
      </w:pPr>
      <w:r w:rsidRPr="00F87DBE">
        <w:rPr>
          <w:spacing w:val="-3"/>
          <w:sz w:val="24"/>
          <w:szCs w:val="24"/>
        </w:rPr>
        <w:t xml:space="preserve">Samtidig brug af opioider og </w:t>
      </w:r>
      <w:proofErr w:type="spellStart"/>
      <w:r w:rsidRPr="00F87DBE">
        <w:rPr>
          <w:spacing w:val="-3"/>
          <w:sz w:val="24"/>
          <w:szCs w:val="24"/>
        </w:rPr>
        <w:t>gabapentinoider</w:t>
      </w:r>
      <w:proofErr w:type="spellEnd"/>
      <w:r w:rsidRPr="00F87DBE">
        <w:rPr>
          <w:spacing w:val="-3"/>
          <w:sz w:val="24"/>
          <w:szCs w:val="24"/>
        </w:rPr>
        <w:t xml:space="preserve"> (</w:t>
      </w:r>
      <w:proofErr w:type="spellStart"/>
      <w:r w:rsidRPr="00F87DBE">
        <w:rPr>
          <w:spacing w:val="-3"/>
          <w:sz w:val="24"/>
          <w:szCs w:val="24"/>
        </w:rPr>
        <w:t>gabapentin</w:t>
      </w:r>
      <w:proofErr w:type="spellEnd"/>
      <w:r w:rsidRPr="00F87DBE">
        <w:rPr>
          <w:spacing w:val="-3"/>
          <w:sz w:val="24"/>
          <w:szCs w:val="24"/>
        </w:rPr>
        <w:t xml:space="preserve"> og </w:t>
      </w:r>
      <w:proofErr w:type="spellStart"/>
      <w:r w:rsidRPr="00F87DBE">
        <w:rPr>
          <w:spacing w:val="-3"/>
          <w:sz w:val="24"/>
          <w:szCs w:val="24"/>
        </w:rPr>
        <w:t>pregabalin</w:t>
      </w:r>
      <w:proofErr w:type="spellEnd"/>
      <w:r w:rsidRPr="00F87DBE">
        <w:rPr>
          <w:spacing w:val="-3"/>
          <w:sz w:val="24"/>
          <w:szCs w:val="24"/>
        </w:rPr>
        <w:t>) øger risikoen for</w:t>
      </w:r>
      <w:r>
        <w:rPr>
          <w:spacing w:val="-3"/>
          <w:sz w:val="24"/>
          <w:szCs w:val="24"/>
        </w:rPr>
        <w:t xml:space="preserve"> </w:t>
      </w:r>
      <w:r w:rsidRPr="00F87DBE">
        <w:rPr>
          <w:spacing w:val="-3"/>
          <w:sz w:val="24"/>
          <w:szCs w:val="24"/>
        </w:rPr>
        <w:t>opioidoverdosis, respirationsdepression og død.</w:t>
      </w:r>
    </w:p>
    <w:p w:rsidR="00D926EB" w:rsidRPr="00E550D7" w:rsidRDefault="00D926EB" w:rsidP="00D926EB">
      <w:pPr>
        <w:ind w:left="851"/>
        <w:rPr>
          <w:spacing w:val="-3"/>
          <w:sz w:val="24"/>
          <w:szCs w:val="24"/>
        </w:rPr>
      </w:pPr>
    </w:p>
    <w:p w:rsidR="00D926EB" w:rsidRPr="00A54162" w:rsidRDefault="00D926EB" w:rsidP="00D926EB">
      <w:pPr>
        <w:pStyle w:val="Brdtekstindrykning3"/>
        <w:ind w:left="851" w:firstLine="0"/>
        <w:rPr>
          <w:sz w:val="24"/>
          <w:szCs w:val="24"/>
          <w:u w:val="single"/>
          <w:lang w:val="da-DK"/>
        </w:rPr>
      </w:pPr>
      <w:r w:rsidRPr="00A54162">
        <w:rPr>
          <w:sz w:val="24"/>
          <w:szCs w:val="24"/>
          <w:u w:val="single"/>
          <w:lang w:val="da-DK"/>
        </w:rPr>
        <w:t xml:space="preserve">Andre </w:t>
      </w:r>
      <w:proofErr w:type="spellStart"/>
      <w:r w:rsidRPr="00A54162">
        <w:rPr>
          <w:sz w:val="24"/>
          <w:szCs w:val="24"/>
          <w:u w:val="single"/>
          <w:lang w:val="da-DK"/>
        </w:rPr>
        <w:t>depressiva</w:t>
      </w:r>
      <w:proofErr w:type="spellEnd"/>
      <w:r w:rsidRPr="00A54162">
        <w:rPr>
          <w:sz w:val="24"/>
          <w:szCs w:val="24"/>
          <w:u w:val="single"/>
          <w:lang w:val="da-DK"/>
        </w:rPr>
        <w:t xml:space="preserve"> til </w:t>
      </w:r>
      <w:proofErr w:type="gramStart"/>
      <w:r w:rsidRPr="00A54162">
        <w:rPr>
          <w:sz w:val="24"/>
          <w:szCs w:val="24"/>
          <w:u w:val="single"/>
          <w:lang w:val="da-DK"/>
        </w:rPr>
        <w:t>centralnervesystemet(</w:t>
      </w:r>
      <w:proofErr w:type="gramEnd"/>
      <w:r w:rsidRPr="00A54162">
        <w:rPr>
          <w:sz w:val="24"/>
          <w:szCs w:val="24"/>
          <w:u w:val="single"/>
          <w:lang w:val="da-DK"/>
        </w:rPr>
        <w:t>CNS)</w:t>
      </w:r>
    </w:p>
    <w:p w:rsidR="00D926EB" w:rsidRPr="002F6D75" w:rsidRDefault="00D926EB" w:rsidP="00D926EB">
      <w:pPr>
        <w:ind w:left="851"/>
        <w:rPr>
          <w:spacing w:val="-3"/>
          <w:sz w:val="24"/>
          <w:szCs w:val="24"/>
        </w:rPr>
      </w:pPr>
      <w:r w:rsidRPr="002F6D75">
        <w:rPr>
          <w:spacing w:val="-3"/>
          <w:sz w:val="24"/>
          <w:szCs w:val="24"/>
        </w:rPr>
        <w:t xml:space="preserve">Lægemidler såsom </w:t>
      </w:r>
      <w:r w:rsidRPr="00B446BF">
        <w:rPr>
          <w:spacing w:val="-3"/>
          <w:sz w:val="24"/>
          <w:szCs w:val="24"/>
        </w:rPr>
        <w:t xml:space="preserve">barbiturater, </w:t>
      </w:r>
      <w:proofErr w:type="spellStart"/>
      <w:r w:rsidRPr="00B446BF">
        <w:rPr>
          <w:spacing w:val="-3"/>
          <w:sz w:val="24"/>
          <w:szCs w:val="24"/>
        </w:rPr>
        <w:t>opioiderneuroleptika</w:t>
      </w:r>
      <w:proofErr w:type="spellEnd"/>
      <w:r w:rsidRPr="00B446BF">
        <w:rPr>
          <w:spacing w:val="-3"/>
          <w:sz w:val="24"/>
          <w:szCs w:val="24"/>
        </w:rPr>
        <w:t xml:space="preserve">, generelle </w:t>
      </w:r>
      <w:proofErr w:type="spellStart"/>
      <w:r w:rsidRPr="00B446BF">
        <w:rPr>
          <w:spacing w:val="-3"/>
          <w:sz w:val="24"/>
          <w:szCs w:val="24"/>
        </w:rPr>
        <w:t>anæstetika</w:t>
      </w:r>
      <w:proofErr w:type="spellEnd"/>
      <w:r>
        <w:rPr>
          <w:spacing w:val="-3"/>
          <w:sz w:val="24"/>
          <w:szCs w:val="24"/>
        </w:rPr>
        <w:t xml:space="preserve"> </w:t>
      </w:r>
      <w:r w:rsidRPr="002F6D75">
        <w:rPr>
          <w:spacing w:val="-3"/>
          <w:sz w:val="24"/>
          <w:szCs w:val="24"/>
        </w:rPr>
        <w:t>og andre ikke-selektive CNS-</w:t>
      </w:r>
      <w:proofErr w:type="spellStart"/>
      <w:r w:rsidRPr="002F6D75">
        <w:rPr>
          <w:spacing w:val="-3"/>
          <w:sz w:val="24"/>
          <w:szCs w:val="24"/>
        </w:rPr>
        <w:t>depressiva</w:t>
      </w:r>
      <w:proofErr w:type="spellEnd"/>
      <w:r w:rsidRPr="002F6D75">
        <w:rPr>
          <w:spacing w:val="-3"/>
          <w:sz w:val="24"/>
          <w:szCs w:val="24"/>
        </w:rPr>
        <w:t xml:space="preserve"> (f.eks. alkohol) kan forstærke den narkotikaforårsagede respirationsdepression. </w:t>
      </w:r>
    </w:p>
    <w:p w:rsidR="00617196" w:rsidRDefault="00617196" w:rsidP="00617196">
      <w:pPr>
        <w:ind w:left="851"/>
        <w:rPr>
          <w:spacing w:val="-3"/>
          <w:sz w:val="24"/>
          <w:szCs w:val="24"/>
        </w:rPr>
      </w:pPr>
    </w:p>
    <w:p w:rsidR="00617196" w:rsidRPr="002A1B5C" w:rsidRDefault="00617196" w:rsidP="00617196">
      <w:pPr>
        <w:ind w:left="851"/>
        <w:jc w:val="both"/>
        <w:rPr>
          <w:color w:val="000000"/>
        </w:rPr>
      </w:pPr>
      <w:r w:rsidRPr="002A1B5C">
        <w:rPr>
          <w:color w:val="000000"/>
        </w:rPr>
        <w:t>Hvis patienter har fået andre CNS-</w:t>
      </w:r>
      <w:proofErr w:type="spellStart"/>
      <w:r w:rsidRPr="002A1B5C">
        <w:rPr>
          <w:color w:val="000000"/>
        </w:rPr>
        <w:t>depressiva</w:t>
      </w:r>
      <w:proofErr w:type="spellEnd"/>
      <w:r w:rsidRPr="002A1B5C">
        <w:rPr>
          <w:color w:val="000000"/>
        </w:rPr>
        <w:t xml:space="preserve">, er den nødvendige dosis </w:t>
      </w:r>
      <w:proofErr w:type="spellStart"/>
      <w:r w:rsidRPr="002A1B5C">
        <w:rPr>
          <w:color w:val="000000"/>
        </w:rPr>
        <w:t>sufentanil</w:t>
      </w:r>
      <w:proofErr w:type="spellEnd"/>
      <w:r w:rsidRPr="002A1B5C">
        <w:rPr>
          <w:color w:val="000000"/>
        </w:rPr>
        <w:t xml:space="preserve"> muligvis mindre end sædvanlig. Samtidig </w:t>
      </w:r>
      <w:r>
        <w:rPr>
          <w:color w:val="000000"/>
        </w:rPr>
        <w:t>anvendelse</w:t>
      </w:r>
      <w:r w:rsidRPr="002A1B5C">
        <w:rPr>
          <w:color w:val="000000"/>
        </w:rPr>
        <w:t xml:space="preserve"> med </w:t>
      </w:r>
      <w:proofErr w:type="spellStart"/>
      <w:r w:rsidRPr="002A1B5C">
        <w:rPr>
          <w:color w:val="000000"/>
        </w:rPr>
        <w:t>sufentanil</w:t>
      </w:r>
      <w:proofErr w:type="spellEnd"/>
      <w:r w:rsidRPr="002A1B5C">
        <w:rPr>
          <w:color w:val="000000"/>
        </w:rPr>
        <w:t xml:space="preserve"> hos patienter </w:t>
      </w:r>
      <w:r>
        <w:rPr>
          <w:color w:val="000000"/>
        </w:rPr>
        <w:t xml:space="preserve">medspontan respiration </w:t>
      </w:r>
      <w:r w:rsidRPr="002A1B5C">
        <w:rPr>
          <w:color w:val="000000"/>
        </w:rPr>
        <w:t xml:space="preserve">kan øge risikoen for respirationsdepression, dyb bedøvelse, koma </w:t>
      </w:r>
      <w:proofErr w:type="spellStart"/>
      <w:r>
        <w:rPr>
          <w:color w:val="000000"/>
        </w:rPr>
        <w:t>og</w:t>
      </w:r>
      <w:r w:rsidRPr="002A1B5C">
        <w:rPr>
          <w:color w:val="000000"/>
        </w:rPr>
        <w:t>død</w:t>
      </w:r>
      <w:proofErr w:type="spellEnd"/>
      <w:r w:rsidRPr="002A1B5C">
        <w:rPr>
          <w:color w:val="000000"/>
        </w:rPr>
        <w:t>.</w:t>
      </w:r>
    </w:p>
    <w:p w:rsidR="00617196" w:rsidRPr="002A1B5C" w:rsidRDefault="00617196" w:rsidP="00617196">
      <w:pPr>
        <w:ind w:left="709"/>
        <w:rPr>
          <w:color w:val="000000"/>
        </w:rPr>
      </w:pPr>
    </w:p>
    <w:p w:rsidR="00D926EB" w:rsidRPr="002A1B5C" w:rsidRDefault="00D926EB" w:rsidP="00D926EB">
      <w:pPr>
        <w:shd w:val="clear" w:color="auto" w:fill="FFFFFF"/>
        <w:ind w:firstLine="851"/>
        <w:rPr>
          <w:b/>
          <w:iCs/>
          <w:color w:val="000000"/>
          <w:u w:val="single"/>
          <w:lang w:eastAsia="en-GB"/>
        </w:rPr>
      </w:pPr>
      <w:r w:rsidRPr="002A1B5C">
        <w:rPr>
          <w:b/>
          <w:iCs/>
          <w:color w:val="000000"/>
          <w:u w:val="single"/>
          <w:lang w:eastAsia="en-GB"/>
        </w:rPr>
        <w:t xml:space="preserve">Effekten af </w:t>
      </w:r>
      <w:proofErr w:type="spellStart"/>
      <w:r w:rsidRPr="002A1B5C">
        <w:rPr>
          <w:b/>
          <w:iCs/>
          <w:color w:val="000000"/>
          <w:u w:val="single"/>
          <w:lang w:eastAsia="en-GB"/>
        </w:rPr>
        <w:t>sufentanil</w:t>
      </w:r>
      <w:proofErr w:type="spellEnd"/>
      <w:r w:rsidRPr="002A1B5C">
        <w:rPr>
          <w:b/>
          <w:iCs/>
          <w:color w:val="000000"/>
          <w:u w:val="single"/>
          <w:lang w:eastAsia="en-GB"/>
        </w:rPr>
        <w:t xml:space="preserve"> på andre lægemidler</w:t>
      </w:r>
    </w:p>
    <w:p w:rsidR="00D926EB" w:rsidRPr="002A1B5C" w:rsidRDefault="00D926EB" w:rsidP="00D926EB">
      <w:pPr>
        <w:shd w:val="clear" w:color="auto" w:fill="FFFFFF"/>
        <w:ind w:left="851"/>
        <w:jc w:val="both"/>
        <w:rPr>
          <w:bCs/>
          <w:iCs/>
        </w:rPr>
      </w:pPr>
      <w:r w:rsidRPr="002A1B5C">
        <w:rPr>
          <w:color w:val="000000"/>
          <w:lang w:eastAsia="en-GB"/>
        </w:rPr>
        <w:t xml:space="preserve">Efter </w:t>
      </w:r>
      <w:r>
        <w:rPr>
          <w:color w:val="000000"/>
          <w:lang w:eastAsia="en-GB"/>
        </w:rPr>
        <w:t>administration</w:t>
      </w:r>
      <w:r w:rsidRPr="002A1B5C">
        <w:rPr>
          <w:color w:val="000000"/>
          <w:lang w:eastAsia="en-GB"/>
        </w:rPr>
        <w:t xml:space="preserve"> af </w:t>
      </w:r>
      <w:proofErr w:type="spellStart"/>
      <w:r w:rsidRPr="002A1B5C">
        <w:rPr>
          <w:color w:val="000000"/>
          <w:lang w:eastAsia="en-GB"/>
        </w:rPr>
        <w:t>sufentanil</w:t>
      </w:r>
      <w:proofErr w:type="spellEnd"/>
      <w:r w:rsidRPr="002A1B5C">
        <w:rPr>
          <w:color w:val="000000"/>
          <w:lang w:eastAsia="en-GB"/>
        </w:rPr>
        <w:t xml:space="preserve"> skal dos</w:t>
      </w:r>
      <w:r>
        <w:rPr>
          <w:color w:val="000000"/>
          <w:lang w:eastAsia="en-GB"/>
        </w:rPr>
        <w:t>is</w:t>
      </w:r>
      <w:r w:rsidRPr="002A1B5C">
        <w:rPr>
          <w:color w:val="000000"/>
          <w:lang w:eastAsia="en-GB"/>
        </w:rPr>
        <w:t xml:space="preserve"> af andre CNS-depressive lægemidler reduceres. Dette er især vigtigt efter kirurgi, da dyb </w:t>
      </w:r>
      <w:r>
        <w:rPr>
          <w:color w:val="000000"/>
          <w:lang w:eastAsia="en-GB"/>
        </w:rPr>
        <w:t>analgesi</w:t>
      </w:r>
      <w:r w:rsidRPr="002A1B5C">
        <w:rPr>
          <w:color w:val="000000"/>
          <w:lang w:eastAsia="en-GB"/>
        </w:rPr>
        <w:t xml:space="preserve"> ledsages af markant respirationsdepression, som kan vedvare eller blusse op i den postoperative periode. Administration af et CNS-</w:t>
      </w:r>
      <w:proofErr w:type="spellStart"/>
      <w:r w:rsidRPr="002A1B5C">
        <w:rPr>
          <w:color w:val="000000"/>
          <w:lang w:eastAsia="en-GB"/>
        </w:rPr>
        <w:t>depressivum</w:t>
      </w:r>
      <w:proofErr w:type="spellEnd"/>
      <w:r w:rsidRPr="002A1B5C">
        <w:rPr>
          <w:color w:val="000000"/>
          <w:lang w:eastAsia="en-GB"/>
        </w:rPr>
        <w:t xml:space="preserve"> som f.eks. benzodiazepin i denne periode, kan øge risikoen for respirationsdepression uforholdsmæssigt (se ovenfor). </w:t>
      </w:r>
    </w:p>
    <w:p w:rsidR="00D926EB" w:rsidRPr="002A1B5C" w:rsidRDefault="00D926EB" w:rsidP="00D926EB">
      <w:pPr>
        <w:ind w:left="709"/>
        <w:rPr>
          <w:b/>
        </w:rPr>
      </w:pPr>
    </w:p>
    <w:p w:rsidR="00D926EB" w:rsidRPr="00A54162" w:rsidRDefault="00D926EB" w:rsidP="00D926EB">
      <w:pPr>
        <w:ind w:left="709" w:firstLine="142"/>
        <w:rPr>
          <w:u w:val="single"/>
        </w:rPr>
      </w:pPr>
      <w:proofErr w:type="spellStart"/>
      <w:r w:rsidRPr="00A54162">
        <w:rPr>
          <w:iCs/>
          <w:color w:val="000000"/>
          <w:u w:val="single"/>
        </w:rPr>
        <w:t>Cytokrom</w:t>
      </w:r>
      <w:proofErr w:type="spellEnd"/>
      <w:r w:rsidRPr="00A54162">
        <w:rPr>
          <w:iCs/>
          <w:color w:val="000000"/>
          <w:u w:val="single"/>
        </w:rPr>
        <w:t xml:space="preserve"> P450 3A4 (CYP3A4) </w:t>
      </w:r>
      <w:proofErr w:type="spellStart"/>
      <w:r w:rsidRPr="00A54162">
        <w:rPr>
          <w:iCs/>
          <w:color w:val="000000"/>
          <w:u w:val="single"/>
        </w:rPr>
        <w:t>hæmmere</w:t>
      </w:r>
      <w:proofErr w:type="spellEnd"/>
    </w:p>
    <w:p w:rsidR="00D926EB" w:rsidRPr="001A7F79" w:rsidRDefault="00D926EB" w:rsidP="00D926EB">
      <w:pPr>
        <w:ind w:left="851"/>
        <w:jc w:val="both"/>
      </w:pPr>
      <w:proofErr w:type="spellStart"/>
      <w:r w:rsidRPr="002A1B5C">
        <w:t>Sufentanil</w:t>
      </w:r>
      <w:proofErr w:type="spellEnd"/>
      <w:r w:rsidRPr="002A1B5C">
        <w:t xml:space="preserve"> </w:t>
      </w:r>
      <w:proofErr w:type="spellStart"/>
      <w:r w:rsidRPr="002A1B5C">
        <w:t>metaboliseres</w:t>
      </w:r>
      <w:proofErr w:type="spellEnd"/>
      <w:r w:rsidRPr="002A1B5C">
        <w:t xml:space="preserve"> hovedsageligt via</w:t>
      </w:r>
      <w:r>
        <w:t xml:space="preserve"> det</w:t>
      </w:r>
      <w:r w:rsidRPr="002A1B5C">
        <w:t xml:space="preserve"> human</w:t>
      </w:r>
      <w:r>
        <w:t xml:space="preserve">e </w:t>
      </w:r>
      <w:proofErr w:type="spellStart"/>
      <w:r w:rsidRPr="002A1B5C">
        <w:t>cytokrom</w:t>
      </w:r>
      <w:proofErr w:type="spellEnd"/>
      <w:r w:rsidRPr="002A1B5C">
        <w:t xml:space="preserve"> P450 3A4-enzym. Der er imidlertid ikke observeret </w:t>
      </w:r>
      <w:r w:rsidRPr="002A1B5C">
        <w:rPr>
          <w:i/>
        </w:rPr>
        <w:t xml:space="preserve">in </w:t>
      </w:r>
      <w:proofErr w:type="spellStart"/>
      <w:r w:rsidRPr="002A1B5C">
        <w:rPr>
          <w:i/>
        </w:rPr>
        <w:t>vivo</w:t>
      </w:r>
      <w:proofErr w:type="spellEnd"/>
      <w:r w:rsidRPr="002A1B5C">
        <w:t xml:space="preserve"> hæmning af </w:t>
      </w:r>
      <w:proofErr w:type="spellStart"/>
      <w:r w:rsidRPr="002A1B5C">
        <w:t>erythromycin</w:t>
      </w:r>
      <w:proofErr w:type="spellEnd"/>
      <w:r w:rsidRPr="002A1B5C">
        <w:t xml:space="preserve"> (en kendt </w:t>
      </w:r>
      <w:proofErr w:type="spellStart"/>
      <w:r w:rsidRPr="002A1B5C">
        <w:t>cytokrom</w:t>
      </w:r>
      <w:proofErr w:type="spellEnd"/>
      <w:r w:rsidRPr="002A1B5C">
        <w:t xml:space="preserve"> P450 3A4 enzymhæmmer). Selvom der mangler kliniske data, tyder </w:t>
      </w:r>
      <w:r w:rsidRPr="002A1B5C">
        <w:rPr>
          <w:i/>
        </w:rPr>
        <w:t xml:space="preserve">in </w:t>
      </w:r>
      <w:proofErr w:type="spellStart"/>
      <w:r w:rsidRPr="002A1B5C">
        <w:rPr>
          <w:i/>
        </w:rPr>
        <w:t>vitro</w:t>
      </w:r>
      <w:proofErr w:type="spellEnd"/>
      <w:r w:rsidRPr="002A1B5C">
        <w:rPr>
          <w:i/>
        </w:rPr>
        <w:t>-</w:t>
      </w:r>
      <w:r w:rsidRPr="002A1B5C">
        <w:t xml:space="preserve">data på, at andre </w:t>
      </w:r>
      <w:r>
        <w:t>potente</w:t>
      </w:r>
      <w:r w:rsidRPr="002A1B5C">
        <w:t xml:space="preserve"> </w:t>
      </w:r>
      <w:proofErr w:type="spellStart"/>
      <w:r w:rsidRPr="002A1B5C">
        <w:t>cytokrome</w:t>
      </w:r>
      <w:proofErr w:type="spellEnd"/>
      <w:r w:rsidRPr="002A1B5C">
        <w:t xml:space="preserve"> P450 3A4-enzymhæmmere (f.eks. </w:t>
      </w:r>
      <w:proofErr w:type="spellStart"/>
      <w:r w:rsidRPr="002A1B5C">
        <w:t>ketoconazol</w:t>
      </w:r>
      <w:proofErr w:type="spellEnd"/>
      <w:r w:rsidRPr="002A1B5C">
        <w:t xml:space="preserve">, </w:t>
      </w:r>
      <w:proofErr w:type="spellStart"/>
      <w:r w:rsidRPr="002A1B5C">
        <w:t>itraconazol</w:t>
      </w:r>
      <w:proofErr w:type="spellEnd"/>
      <w:r w:rsidRPr="002A1B5C">
        <w:t xml:space="preserve">, </w:t>
      </w:r>
      <w:proofErr w:type="spellStart"/>
      <w:r w:rsidRPr="002A1B5C">
        <w:t>ritonavir</w:t>
      </w:r>
      <w:proofErr w:type="spellEnd"/>
      <w:r w:rsidRPr="002A1B5C">
        <w:t>) kan hæmme</w:t>
      </w:r>
      <w:r>
        <w:t xml:space="preserve"> metabolismen af</w:t>
      </w:r>
      <w:r w:rsidRPr="002A1B5C">
        <w:t xml:space="preserve"> </w:t>
      </w:r>
      <w:proofErr w:type="spellStart"/>
      <w:proofErr w:type="gramStart"/>
      <w:r w:rsidRPr="002A1B5C">
        <w:t>sufentanil</w:t>
      </w:r>
      <w:proofErr w:type="spellEnd"/>
      <w:r>
        <w:t>.</w:t>
      </w:r>
      <w:r w:rsidRPr="002A1B5C">
        <w:t>.</w:t>
      </w:r>
      <w:proofErr w:type="gramEnd"/>
      <w:r w:rsidRPr="002A1B5C">
        <w:t xml:space="preserve"> Dette kan øge risikoen for </w:t>
      </w:r>
      <w:r>
        <w:t xml:space="preserve">forlænget </w:t>
      </w:r>
      <w:r w:rsidRPr="002A1B5C">
        <w:t>eller forsinket respirationsdepression</w:t>
      </w:r>
      <w:r>
        <w:t>.</w:t>
      </w:r>
      <w:r w:rsidRPr="002A1B5C">
        <w:t xml:space="preserve"> Den samtidige brug af sådanne lægemidler fordrer særlig patientpleje og observation, især kan det blive nødvendigt at sænke</w:t>
      </w:r>
      <w:r>
        <w:t xml:space="preserve"> dosen af</w:t>
      </w:r>
      <w:r w:rsidRPr="002A1B5C">
        <w:t xml:space="preserve"> </w:t>
      </w:r>
      <w:proofErr w:type="spellStart"/>
      <w:r w:rsidRPr="002A1B5C">
        <w:t>sufentanil</w:t>
      </w:r>
      <w:proofErr w:type="spellEnd"/>
      <w:r w:rsidRPr="002A1B5C">
        <w:t>.</w:t>
      </w:r>
    </w:p>
    <w:p w:rsidR="00D926EB" w:rsidRPr="002F6D75" w:rsidRDefault="00D926EB" w:rsidP="00D926EB">
      <w:pPr>
        <w:ind w:left="851"/>
        <w:rPr>
          <w:spacing w:val="-3"/>
          <w:sz w:val="24"/>
          <w:szCs w:val="24"/>
        </w:rPr>
      </w:pPr>
      <w:r w:rsidRPr="002F6D75">
        <w:rPr>
          <w:spacing w:val="-3"/>
          <w:sz w:val="24"/>
          <w:szCs w:val="24"/>
        </w:rPr>
        <w:t xml:space="preserve">Hvis høje doser af </w:t>
      </w:r>
      <w:proofErr w:type="spellStart"/>
      <w:r w:rsidRPr="002F6D75">
        <w:rPr>
          <w:spacing w:val="-3"/>
          <w:sz w:val="24"/>
          <w:szCs w:val="24"/>
        </w:rPr>
        <w:t>sufentanilinjektionsvæske</w:t>
      </w:r>
      <w:proofErr w:type="spellEnd"/>
      <w:r w:rsidRPr="002F6D75">
        <w:rPr>
          <w:spacing w:val="-3"/>
          <w:sz w:val="24"/>
          <w:szCs w:val="24"/>
        </w:rPr>
        <w:t xml:space="preserve"> og nitrogenoxid indgives samtidigt, kan der opstå en nedsættelse af blodtryk, hjertefrekvens og hjertets minutvolumen.</w:t>
      </w:r>
    </w:p>
    <w:p w:rsidR="00D926EB" w:rsidRPr="00A507B3" w:rsidRDefault="00D926EB" w:rsidP="00D926EB">
      <w:pPr>
        <w:rPr>
          <w:sz w:val="24"/>
          <w:szCs w:val="24"/>
        </w:rPr>
      </w:pPr>
    </w:p>
    <w:p w:rsidR="00D926EB" w:rsidRPr="00A54162" w:rsidRDefault="00D926EB" w:rsidP="00D926EB">
      <w:pPr>
        <w:ind w:left="709" w:firstLine="142"/>
        <w:rPr>
          <w:u w:val="single"/>
        </w:rPr>
      </w:pPr>
      <w:proofErr w:type="spellStart"/>
      <w:r w:rsidRPr="00A54162">
        <w:rPr>
          <w:u w:val="single"/>
        </w:rPr>
        <w:t>Serotonerge</w:t>
      </w:r>
      <w:proofErr w:type="spellEnd"/>
      <w:r w:rsidRPr="00A54162">
        <w:rPr>
          <w:u w:val="single"/>
        </w:rPr>
        <w:t xml:space="preserve"> lægemidler, herunter </w:t>
      </w:r>
      <w:proofErr w:type="spellStart"/>
      <w:r w:rsidRPr="00A54162">
        <w:rPr>
          <w:u w:val="single"/>
        </w:rPr>
        <w:t>monoaminoxidase-hæmmere</w:t>
      </w:r>
      <w:proofErr w:type="spellEnd"/>
      <w:r w:rsidRPr="00A54162">
        <w:rPr>
          <w:u w:val="single"/>
        </w:rPr>
        <w:t xml:space="preserve"> (</w:t>
      </w:r>
      <w:proofErr w:type="spellStart"/>
      <w:r w:rsidRPr="00A54162">
        <w:rPr>
          <w:u w:val="single"/>
        </w:rPr>
        <w:t>MAOI’er</w:t>
      </w:r>
      <w:proofErr w:type="spellEnd"/>
      <w:r w:rsidRPr="00A54162">
        <w:rPr>
          <w:u w:val="single"/>
        </w:rPr>
        <w:t>)</w:t>
      </w:r>
    </w:p>
    <w:p w:rsidR="00D926EB" w:rsidRPr="00B07B8B" w:rsidRDefault="00D926EB" w:rsidP="00D926EB">
      <w:pPr>
        <w:shd w:val="clear" w:color="auto" w:fill="FFFFFF"/>
        <w:ind w:left="851"/>
        <w:rPr>
          <w:color w:val="000000"/>
          <w:lang w:eastAsia="en-GB"/>
        </w:rPr>
      </w:pPr>
      <w:r w:rsidRPr="004F6939">
        <w:rPr>
          <w:color w:val="000000"/>
          <w:lang w:eastAsia="en-GB"/>
        </w:rPr>
        <w:t xml:space="preserve">Samtidig administration af </w:t>
      </w:r>
      <w:proofErr w:type="spellStart"/>
      <w:r w:rsidRPr="004F6939">
        <w:rPr>
          <w:color w:val="000000"/>
          <w:lang w:eastAsia="en-GB"/>
        </w:rPr>
        <w:t>sufentanil</w:t>
      </w:r>
      <w:proofErr w:type="spellEnd"/>
      <w:r w:rsidRPr="004F6939">
        <w:rPr>
          <w:color w:val="000000"/>
          <w:lang w:eastAsia="en-GB"/>
        </w:rPr>
        <w:t xml:space="preserve"> og et </w:t>
      </w:r>
      <w:proofErr w:type="spellStart"/>
      <w:r w:rsidRPr="004F6939">
        <w:rPr>
          <w:color w:val="000000"/>
          <w:lang w:eastAsia="en-GB"/>
        </w:rPr>
        <w:t>serotonergt</w:t>
      </w:r>
      <w:proofErr w:type="spellEnd"/>
      <w:r w:rsidRPr="004F6939">
        <w:rPr>
          <w:color w:val="000000"/>
          <w:lang w:eastAsia="en-GB"/>
        </w:rPr>
        <w:t xml:space="preserve"> middel som f.eks. selektive </w:t>
      </w:r>
      <w:proofErr w:type="spellStart"/>
      <w:r w:rsidRPr="004F6939">
        <w:rPr>
          <w:color w:val="000000"/>
          <w:lang w:eastAsia="en-GB"/>
        </w:rPr>
        <w:t>serotoningenoptagelseshæmmere</w:t>
      </w:r>
      <w:proofErr w:type="spellEnd"/>
      <w:r w:rsidRPr="004F6939">
        <w:rPr>
          <w:color w:val="000000"/>
          <w:lang w:eastAsia="en-GB"/>
        </w:rPr>
        <w:t xml:space="preserve"> (</w:t>
      </w:r>
      <w:proofErr w:type="spellStart"/>
      <w:r w:rsidRPr="004F6939">
        <w:rPr>
          <w:color w:val="000000"/>
          <w:lang w:eastAsia="en-GB"/>
        </w:rPr>
        <w:t>SSRI'er</w:t>
      </w:r>
      <w:proofErr w:type="spellEnd"/>
      <w:r w:rsidRPr="004F6939">
        <w:rPr>
          <w:color w:val="000000"/>
          <w:lang w:eastAsia="en-GB"/>
        </w:rPr>
        <w:t>), serotonin-</w:t>
      </w:r>
      <w:proofErr w:type="spellStart"/>
      <w:r w:rsidRPr="004F6939">
        <w:rPr>
          <w:color w:val="000000"/>
          <w:lang w:eastAsia="en-GB"/>
        </w:rPr>
        <w:t>norepinephrin</w:t>
      </w:r>
      <w:proofErr w:type="spellEnd"/>
      <w:r w:rsidRPr="004F6939">
        <w:rPr>
          <w:color w:val="000000"/>
          <w:lang w:eastAsia="en-GB"/>
        </w:rPr>
        <w:t>-</w:t>
      </w:r>
      <w:proofErr w:type="spellStart"/>
      <w:r w:rsidRPr="004F6939">
        <w:rPr>
          <w:color w:val="000000"/>
          <w:lang w:eastAsia="en-GB"/>
        </w:rPr>
        <w:t>genoptagelseshæmmere</w:t>
      </w:r>
      <w:proofErr w:type="spellEnd"/>
      <w:r w:rsidRPr="004F6939">
        <w:rPr>
          <w:color w:val="000000"/>
          <w:lang w:eastAsia="en-GB"/>
        </w:rPr>
        <w:t xml:space="preserve"> (</w:t>
      </w:r>
      <w:proofErr w:type="spellStart"/>
      <w:r w:rsidRPr="004F6939">
        <w:rPr>
          <w:color w:val="000000"/>
          <w:lang w:eastAsia="en-GB"/>
        </w:rPr>
        <w:t>SNRI'er</w:t>
      </w:r>
      <w:proofErr w:type="spellEnd"/>
      <w:r w:rsidRPr="004F6939">
        <w:rPr>
          <w:color w:val="000000"/>
          <w:lang w:eastAsia="en-GB"/>
        </w:rPr>
        <w:t xml:space="preserve">) eller </w:t>
      </w:r>
      <w:proofErr w:type="spellStart"/>
      <w:r w:rsidRPr="004F6939">
        <w:rPr>
          <w:color w:val="000000"/>
          <w:lang w:eastAsia="en-GB"/>
        </w:rPr>
        <w:t>monoaminoxidase-hæmmere</w:t>
      </w:r>
      <w:proofErr w:type="spellEnd"/>
      <w:r w:rsidRPr="004F6939">
        <w:rPr>
          <w:color w:val="000000"/>
          <w:lang w:eastAsia="en-GB"/>
        </w:rPr>
        <w:t xml:space="preserve"> (</w:t>
      </w:r>
      <w:proofErr w:type="spellStart"/>
      <w:r w:rsidRPr="004F6939">
        <w:rPr>
          <w:color w:val="000000"/>
          <w:lang w:eastAsia="en-GB"/>
        </w:rPr>
        <w:t>MAOI'er</w:t>
      </w:r>
      <w:proofErr w:type="spellEnd"/>
      <w:r w:rsidRPr="004F6939">
        <w:rPr>
          <w:color w:val="000000"/>
          <w:lang w:eastAsia="en-GB"/>
        </w:rPr>
        <w:t xml:space="preserve">) kan øge risikoen for serotoninsyndrom, som er en potentielt livstruende tilstand. </w:t>
      </w:r>
      <w:proofErr w:type="spellStart"/>
      <w:r w:rsidRPr="004F6939">
        <w:rPr>
          <w:color w:val="000000"/>
          <w:lang w:eastAsia="en-GB"/>
        </w:rPr>
        <w:t>Monoaminoxidase-hæmmere</w:t>
      </w:r>
      <w:proofErr w:type="spellEnd"/>
      <w:r w:rsidRPr="004F6939">
        <w:rPr>
          <w:color w:val="000000"/>
          <w:lang w:eastAsia="en-GB"/>
        </w:rPr>
        <w:t xml:space="preserve"> må ikke tages i 2 uger før eller samtidigt med, at der gives </w:t>
      </w:r>
      <w:proofErr w:type="spellStart"/>
      <w:r w:rsidRPr="004F6939">
        <w:rPr>
          <w:color w:val="000000"/>
          <w:lang w:eastAsia="en-GB"/>
        </w:rPr>
        <w:t>Sufentanil</w:t>
      </w:r>
      <w:proofErr w:type="spellEnd"/>
      <w:r w:rsidRPr="004F6939">
        <w:rPr>
          <w:color w:val="000000"/>
          <w:lang w:eastAsia="en-GB"/>
        </w:rPr>
        <w:t xml:space="preserve"> “Hameln”.</w:t>
      </w:r>
    </w:p>
    <w:p w:rsidR="00D926EB" w:rsidRPr="00E550D7" w:rsidRDefault="00D926EB" w:rsidP="00D926EB">
      <w:pPr>
        <w:ind w:left="851"/>
        <w:rPr>
          <w:strike/>
          <w:spacing w:val="-3"/>
          <w:sz w:val="24"/>
          <w:szCs w:val="24"/>
        </w:rPr>
      </w:pPr>
    </w:p>
    <w:p w:rsidR="00D926EB" w:rsidRPr="002F6D75" w:rsidRDefault="00D926EB" w:rsidP="00D926EB">
      <w:pPr>
        <w:ind w:left="851"/>
        <w:rPr>
          <w:sz w:val="24"/>
          <w:szCs w:val="24"/>
        </w:rPr>
      </w:pPr>
      <w:r w:rsidRPr="002F6D75">
        <w:rPr>
          <w:sz w:val="24"/>
          <w:szCs w:val="24"/>
        </w:rPr>
        <w:t xml:space="preserve">Samtidig indgift af </w:t>
      </w:r>
      <w:proofErr w:type="spellStart"/>
      <w:r w:rsidRPr="002F6D75">
        <w:rPr>
          <w:sz w:val="24"/>
          <w:szCs w:val="24"/>
        </w:rPr>
        <w:t>sufentanil</w:t>
      </w:r>
      <w:proofErr w:type="spellEnd"/>
      <w:r w:rsidRPr="002F6D75">
        <w:rPr>
          <w:sz w:val="24"/>
          <w:szCs w:val="24"/>
        </w:rPr>
        <w:t xml:space="preserve">, </w:t>
      </w:r>
      <w:proofErr w:type="spellStart"/>
      <w:r w:rsidRPr="002F6D75">
        <w:rPr>
          <w:sz w:val="24"/>
          <w:szCs w:val="24"/>
        </w:rPr>
        <w:t>vecuronium</w:t>
      </w:r>
      <w:proofErr w:type="spellEnd"/>
      <w:r w:rsidRPr="002F6D75">
        <w:rPr>
          <w:sz w:val="24"/>
          <w:szCs w:val="24"/>
        </w:rPr>
        <w:t xml:space="preserve"> eller </w:t>
      </w:r>
      <w:proofErr w:type="spellStart"/>
      <w:r w:rsidRPr="002F6D75">
        <w:rPr>
          <w:sz w:val="24"/>
          <w:szCs w:val="24"/>
        </w:rPr>
        <w:t>suxamethonium</w:t>
      </w:r>
      <w:proofErr w:type="spellEnd"/>
      <w:r w:rsidRPr="002F6D75">
        <w:rPr>
          <w:sz w:val="24"/>
          <w:szCs w:val="24"/>
        </w:rPr>
        <w:t xml:space="preserve"> kan inducere bradykardi, især hvis pulsen allerede er langsom (f.eks. hos patienter, som får calciumantagonister eller betablokkere. Det er derfor tilrådeligt at foretage en passende dosisreduktion af det ene eller af begge lægemidler.</w:t>
      </w:r>
    </w:p>
    <w:p w:rsidR="00E05A5D" w:rsidRPr="002F6D75" w:rsidRDefault="00E05A5D" w:rsidP="00E05A5D">
      <w:pPr>
        <w:tabs>
          <w:tab w:val="left" w:pos="851"/>
        </w:tabs>
        <w:ind w:left="851"/>
        <w:rPr>
          <w:sz w:val="24"/>
          <w:szCs w:val="24"/>
        </w:rPr>
      </w:pPr>
    </w:p>
    <w:p w:rsidR="00E05A5D" w:rsidRPr="00C81059" w:rsidRDefault="00E05A5D" w:rsidP="00E05A5D">
      <w:pPr>
        <w:keepNext/>
        <w:tabs>
          <w:tab w:val="left" w:pos="851"/>
        </w:tabs>
        <w:ind w:left="851" w:hanging="851"/>
        <w:rPr>
          <w:b/>
          <w:sz w:val="24"/>
          <w:szCs w:val="24"/>
        </w:rPr>
      </w:pPr>
      <w:r w:rsidRPr="002F6D75">
        <w:rPr>
          <w:b/>
          <w:sz w:val="24"/>
          <w:szCs w:val="24"/>
        </w:rPr>
        <w:t>4.6</w:t>
      </w:r>
      <w:r w:rsidRPr="002F6D75">
        <w:rPr>
          <w:b/>
          <w:sz w:val="24"/>
          <w:szCs w:val="24"/>
        </w:rPr>
        <w:tab/>
      </w:r>
      <w:r w:rsidR="00D926EB">
        <w:rPr>
          <w:b/>
          <w:sz w:val="24"/>
          <w:szCs w:val="24"/>
        </w:rPr>
        <w:t>Fertilitet, g</w:t>
      </w:r>
      <w:r w:rsidRPr="002F6D75">
        <w:rPr>
          <w:b/>
          <w:sz w:val="24"/>
          <w:szCs w:val="24"/>
        </w:rPr>
        <w:t>raviditet og amning</w:t>
      </w:r>
    </w:p>
    <w:p w:rsidR="00E05A5D" w:rsidRPr="002F6D75" w:rsidRDefault="00E05A5D" w:rsidP="00E05A5D">
      <w:pPr>
        <w:ind w:left="851"/>
        <w:rPr>
          <w:spacing w:val="-3"/>
          <w:sz w:val="24"/>
          <w:szCs w:val="24"/>
          <w:u w:val="single"/>
        </w:rPr>
      </w:pPr>
      <w:r w:rsidRPr="002F6D75">
        <w:rPr>
          <w:spacing w:val="-3"/>
          <w:sz w:val="24"/>
          <w:szCs w:val="24"/>
          <w:u w:val="single"/>
        </w:rPr>
        <w:t>Graviditet</w:t>
      </w:r>
    </w:p>
    <w:p w:rsidR="00E05A5D" w:rsidRPr="002F6D75" w:rsidRDefault="00E05A5D" w:rsidP="00E05A5D">
      <w:pPr>
        <w:ind w:left="851"/>
        <w:rPr>
          <w:spacing w:val="-3"/>
          <w:sz w:val="24"/>
          <w:szCs w:val="24"/>
        </w:rPr>
      </w:pPr>
      <w:r w:rsidRPr="002F6D75">
        <w:rPr>
          <w:spacing w:val="-3"/>
          <w:sz w:val="24"/>
          <w:szCs w:val="24"/>
        </w:rPr>
        <w:t xml:space="preserve">Sikkerheden ved brug af intravenøs </w:t>
      </w:r>
      <w:proofErr w:type="spellStart"/>
      <w:r w:rsidRPr="002F6D75">
        <w:rPr>
          <w:spacing w:val="-3"/>
          <w:sz w:val="24"/>
          <w:szCs w:val="24"/>
        </w:rPr>
        <w:t>sufentanil</w:t>
      </w:r>
      <w:proofErr w:type="spellEnd"/>
      <w:r w:rsidRPr="002F6D75">
        <w:rPr>
          <w:spacing w:val="-3"/>
          <w:sz w:val="24"/>
          <w:szCs w:val="24"/>
        </w:rPr>
        <w:t xml:space="preserve"> under graviditeten er ikke fastlagt, men dyreforsøg har ikke påvist nogen </w:t>
      </w:r>
      <w:proofErr w:type="spellStart"/>
      <w:r w:rsidRPr="002F6D75">
        <w:rPr>
          <w:spacing w:val="-3"/>
          <w:sz w:val="24"/>
          <w:szCs w:val="24"/>
        </w:rPr>
        <w:t>teratogene</w:t>
      </w:r>
      <w:proofErr w:type="spellEnd"/>
      <w:r w:rsidRPr="002F6D75">
        <w:rPr>
          <w:spacing w:val="-3"/>
          <w:sz w:val="24"/>
          <w:szCs w:val="24"/>
        </w:rPr>
        <w:t xml:space="preserve"> effekter.</w:t>
      </w:r>
    </w:p>
    <w:p w:rsidR="00E05A5D" w:rsidRPr="002F6D75" w:rsidRDefault="00E05A5D" w:rsidP="00E05A5D">
      <w:pPr>
        <w:ind w:left="851"/>
        <w:rPr>
          <w:sz w:val="24"/>
          <w:szCs w:val="24"/>
        </w:rPr>
      </w:pPr>
      <w:r w:rsidRPr="002F6D75">
        <w:rPr>
          <w:sz w:val="24"/>
          <w:szCs w:val="24"/>
        </w:rPr>
        <w:t>Som med andre lægemidler skal risikoen afvejes i forhold til den potentielle gavnlige effekt for patienten.</w:t>
      </w:r>
    </w:p>
    <w:p w:rsidR="00E05A5D" w:rsidRPr="002F6D75" w:rsidRDefault="00E05A5D" w:rsidP="00E05A5D">
      <w:pPr>
        <w:ind w:left="851"/>
        <w:rPr>
          <w:sz w:val="24"/>
          <w:szCs w:val="24"/>
          <w:u w:val="single"/>
        </w:rPr>
      </w:pPr>
    </w:p>
    <w:p w:rsidR="00E05A5D" w:rsidRPr="002F6D75" w:rsidRDefault="00E05A5D" w:rsidP="00E05A5D">
      <w:pPr>
        <w:ind w:left="851"/>
        <w:rPr>
          <w:sz w:val="24"/>
          <w:szCs w:val="24"/>
          <w:u w:val="single"/>
        </w:rPr>
      </w:pPr>
      <w:r w:rsidRPr="002F6D75">
        <w:rPr>
          <w:sz w:val="24"/>
          <w:szCs w:val="24"/>
          <w:u w:val="single"/>
        </w:rPr>
        <w:t>Amning</w:t>
      </w:r>
    </w:p>
    <w:p w:rsidR="00A507B3" w:rsidRPr="002F6D75" w:rsidRDefault="00A507B3" w:rsidP="00A507B3">
      <w:pPr>
        <w:ind w:left="851"/>
        <w:rPr>
          <w:sz w:val="24"/>
          <w:szCs w:val="24"/>
          <w:u w:val="single"/>
        </w:rPr>
      </w:pPr>
      <w:proofErr w:type="spellStart"/>
      <w:r w:rsidRPr="002F6D75">
        <w:rPr>
          <w:sz w:val="24"/>
          <w:szCs w:val="24"/>
        </w:rPr>
        <w:t>Sufentanil</w:t>
      </w:r>
      <w:proofErr w:type="spellEnd"/>
      <w:r w:rsidRPr="002F6D75">
        <w:rPr>
          <w:sz w:val="24"/>
          <w:szCs w:val="24"/>
        </w:rPr>
        <w:t xml:space="preserve"> udskilles i human mælk. </w:t>
      </w:r>
    </w:p>
    <w:p w:rsidR="00E05A5D" w:rsidRPr="002F6D75" w:rsidRDefault="00A507B3" w:rsidP="00A507B3">
      <w:pPr>
        <w:ind w:left="851"/>
        <w:rPr>
          <w:sz w:val="24"/>
          <w:szCs w:val="24"/>
        </w:rPr>
      </w:pPr>
      <w:r w:rsidRPr="00A12FF5">
        <w:rPr>
          <w:sz w:val="24"/>
          <w:szCs w:val="24"/>
        </w:rPr>
        <w:lastRenderedPageBreak/>
        <w:t xml:space="preserve">Det skal besluttes, om amning skal ophøre eller </w:t>
      </w:r>
      <w:r>
        <w:rPr>
          <w:sz w:val="24"/>
          <w:szCs w:val="24"/>
        </w:rPr>
        <w:t xml:space="preserve">om </w:t>
      </w:r>
      <w:r w:rsidRPr="00A12FF5">
        <w:rPr>
          <w:sz w:val="24"/>
          <w:szCs w:val="24"/>
        </w:rPr>
        <w:t xml:space="preserve">behandling med </w:t>
      </w:r>
      <w:proofErr w:type="spellStart"/>
      <w:r>
        <w:rPr>
          <w:sz w:val="24"/>
          <w:szCs w:val="24"/>
        </w:rPr>
        <w:t>sufentanil</w:t>
      </w:r>
      <w:proofErr w:type="spellEnd"/>
      <w:r w:rsidRPr="00A12FF5">
        <w:rPr>
          <w:sz w:val="24"/>
          <w:szCs w:val="24"/>
        </w:rPr>
        <w:t xml:space="preserve"> </w:t>
      </w:r>
      <w:r>
        <w:rPr>
          <w:sz w:val="24"/>
          <w:szCs w:val="24"/>
        </w:rPr>
        <w:t xml:space="preserve">skal </w:t>
      </w:r>
      <w:r w:rsidRPr="00A12FF5">
        <w:rPr>
          <w:sz w:val="24"/>
          <w:szCs w:val="24"/>
        </w:rPr>
        <w:t>seponeres, idet der tages højde for fordelene ved amning for barnet i forhold til de terapeutiske fordele for kvinden.</w:t>
      </w:r>
      <w:r w:rsidRPr="003D43CA">
        <w:t xml:space="preserve"> </w:t>
      </w:r>
      <w:r w:rsidRPr="003D43CA">
        <w:rPr>
          <w:sz w:val="24"/>
          <w:szCs w:val="24"/>
        </w:rPr>
        <w:t xml:space="preserve">Amning kan genoptages 24 timer efter sidste brug af </w:t>
      </w:r>
      <w:proofErr w:type="spellStart"/>
      <w:r w:rsidRPr="003D43CA">
        <w:rPr>
          <w:sz w:val="24"/>
          <w:szCs w:val="24"/>
        </w:rPr>
        <w:t>sufentanil</w:t>
      </w:r>
      <w:proofErr w:type="spellEnd"/>
      <w:r>
        <w:rPr>
          <w:sz w:val="24"/>
          <w:szCs w:val="24"/>
        </w:rPr>
        <w:t>.</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4.7</w:t>
      </w:r>
      <w:r w:rsidRPr="002F6D75">
        <w:rPr>
          <w:b/>
          <w:sz w:val="24"/>
          <w:szCs w:val="24"/>
        </w:rPr>
        <w:tab/>
        <w:t xml:space="preserve">Virkninger på evnen til at føre motorkøretøj </w:t>
      </w:r>
      <w:r w:rsidR="00D926EB">
        <w:rPr>
          <w:b/>
          <w:sz w:val="24"/>
          <w:szCs w:val="24"/>
        </w:rPr>
        <w:t>og</w:t>
      </w:r>
      <w:r w:rsidRPr="002F6D75">
        <w:rPr>
          <w:b/>
          <w:sz w:val="24"/>
          <w:szCs w:val="24"/>
        </w:rPr>
        <w:t xml:space="preserve"> betjene maskiner</w:t>
      </w:r>
    </w:p>
    <w:p w:rsidR="00E05A5D" w:rsidRPr="002F6D75" w:rsidRDefault="00E05A5D" w:rsidP="00E05A5D">
      <w:pPr>
        <w:ind w:left="851"/>
        <w:rPr>
          <w:sz w:val="24"/>
          <w:szCs w:val="24"/>
        </w:rPr>
      </w:pPr>
      <w:r w:rsidRPr="002F6D75">
        <w:rPr>
          <w:sz w:val="24"/>
          <w:szCs w:val="24"/>
        </w:rPr>
        <w:t>Ikke mærkning.</w:t>
      </w:r>
    </w:p>
    <w:p w:rsidR="00E05A5D" w:rsidRPr="002F6D75" w:rsidRDefault="00E05A5D" w:rsidP="00E05A5D">
      <w:pPr>
        <w:ind w:left="851"/>
        <w:rPr>
          <w:spacing w:val="-3"/>
          <w:sz w:val="24"/>
          <w:szCs w:val="24"/>
        </w:rPr>
      </w:pPr>
      <w:r w:rsidRPr="002F6D75">
        <w:rPr>
          <w:spacing w:val="-3"/>
          <w:sz w:val="24"/>
          <w:szCs w:val="24"/>
        </w:rPr>
        <w:t xml:space="preserve">Patienterne må først føre motorkøretøj eller betjene maskiner, når der er gået tilstrækkelig tid siden administrationen af </w:t>
      </w:r>
      <w:proofErr w:type="spellStart"/>
      <w:r w:rsidRPr="002F6D75">
        <w:rPr>
          <w:spacing w:val="-3"/>
          <w:sz w:val="24"/>
          <w:szCs w:val="24"/>
        </w:rPr>
        <w:t>sufentanil</w:t>
      </w:r>
      <w:proofErr w:type="spellEnd"/>
      <w:r w:rsidRPr="002F6D75">
        <w:rPr>
          <w:spacing w:val="-3"/>
          <w:sz w:val="24"/>
          <w:szCs w:val="24"/>
        </w:rPr>
        <w:t>. Patienten bør sendes hjem under ledsagelse.</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4.8</w:t>
      </w:r>
      <w:r w:rsidRPr="002F6D75">
        <w:rPr>
          <w:b/>
          <w:sz w:val="24"/>
          <w:szCs w:val="24"/>
        </w:rPr>
        <w:tab/>
        <w:t>Bivirkninger</w:t>
      </w:r>
    </w:p>
    <w:p w:rsidR="00E05A5D" w:rsidRPr="002F6D75" w:rsidRDefault="00E05A5D" w:rsidP="00E05A5D">
      <w:pPr>
        <w:tabs>
          <w:tab w:val="left" w:pos="1134"/>
        </w:tabs>
        <w:ind w:left="851"/>
        <w:rPr>
          <w:sz w:val="24"/>
          <w:szCs w:val="24"/>
          <w:lang w:eastAsia="da-DK"/>
        </w:rPr>
      </w:pPr>
      <w:r w:rsidRPr="002F6D75">
        <w:rPr>
          <w:sz w:val="24"/>
          <w:szCs w:val="24"/>
        </w:rPr>
        <w:t xml:space="preserve">Sikkerheden ved </w:t>
      </w:r>
      <w:proofErr w:type="spellStart"/>
      <w:r w:rsidRPr="002F6D75">
        <w:rPr>
          <w:sz w:val="24"/>
          <w:szCs w:val="24"/>
        </w:rPr>
        <w:t>sufentanil</w:t>
      </w:r>
      <w:proofErr w:type="spellEnd"/>
      <w:r w:rsidRPr="002F6D75">
        <w:rPr>
          <w:sz w:val="24"/>
          <w:szCs w:val="24"/>
        </w:rPr>
        <w:t xml:space="preserve"> er blevet vurderet hos 650 </w:t>
      </w:r>
      <w:proofErr w:type="spellStart"/>
      <w:r w:rsidRPr="002F6D75">
        <w:rPr>
          <w:sz w:val="24"/>
          <w:szCs w:val="24"/>
        </w:rPr>
        <w:t>sufentanilbehandlede</w:t>
      </w:r>
      <w:proofErr w:type="spellEnd"/>
      <w:r w:rsidRPr="002F6D75">
        <w:rPr>
          <w:sz w:val="24"/>
          <w:szCs w:val="24"/>
        </w:rPr>
        <w:t xml:space="preserve"> forsøgsdeltagere, der deltog i 6 kliniske forsøg. Ud af disse deltog 78 forsøgsdeltagere i to forsøg, hvor </w:t>
      </w:r>
      <w:proofErr w:type="spellStart"/>
      <w:r w:rsidRPr="002F6D75">
        <w:rPr>
          <w:sz w:val="24"/>
          <w:szCs w:val="24"/>
        </w:rPr>
        <w:t>sufentanil</w:t>
      </w:r>
      <w:proofErr w:type="spellEnd"/>
      <w:r w:rsidRPr="002F6D75">
        <w:rPr>
          <w:sz w:val="24"/>
          <w:szCs w:val="24"/>
        </w:rPr>
        <w:t xml:space="preserve"> blev administreret intravenøst som et </w:t>
      </w:r>
      <w:proofErr w:type="spellStart"/>
      <w:r w:rsidRPr="002F6D75">
        <w:rPr>
          <w:sz w:val="24"/>
          <w:szCs w:val="24"/>
        </w:rPr>
        <w:t>analgetikum</w:t>
      </w:r>
      <w:proofErr w:type="spellEnd"/>
      <w:r w:rsidRPr="002F6D75">
        <w:rPr>
          <w:sz w:val="24"/>
          <w:szCs w:val="24"/>
        </w:rPr>
        <w:t xml:space="preserve"> til induktion og vedligeholdelse af anæstesi hos forsøgsdeltagere, der fik foretaget større kirurgiske indgreb (koronararterie-bypass eller åben hjertekirurgi). De resterende 572 forsøgsdeltagere deltog i 4 forsøg, hvor </w:t>
      </w:r>
      <w:proofErr w:type="spellStart"/>
      <w:r w:rsidRPr="002F6D75">
        <w:rPr>
          <w:sz w:val="24"/>
          <w:szCs w:val="24"/>
        </w:rPr>
        <w:t>sufentanil</w:t>
      </w:r>
      <w:proofErr w:type="spellEnd"/>
      <w:r w:rsidRPr="002F6D75">
        <w:rPr>
          <w:sz w:val="24"/>
          <w:szCs w:val="24"/>
        </w:rPr>
        <w:t xml:space="preserve"> blev administreret </w:t>
      </w:r>
      <w:proofErr w:type="spellStart"/>
      <w:r w:rsidRPr="002F6D75">
        <w:rPr>
          <w:sz w:val="24"/>
          <w:szCs w:val="24"/>
        </w:rPr>
        <w:t>epiduralt</w:t>
      </w:r>
      <w:proofErr w:type="spellEnd"/>
      <w:r w:rsidRPr="002F6D75">
        <w:rPr>
          <w:sz w:val="24"/>
          <w:szCs w:val="24"/>
        </w:rPr>
        <w:t xml:space="preserve"> som et postoperativ </w:t>
      </w:r>
      <w:proofErr w:type="spellStart"/>
      <w:r w:rsidRPr="002F6D75">
        <w:rPr>
          <w:sz w:val="24"/>
          <w:szCs w:val="24"/>
        </w:rPr>
        <w:t>analgetikum</w:t>
      </w:r>
      <w:proofErr w:type="spellEnd"/>
      <w:r w:rsidRPr="002F6D75">
        <w:rPr>
          <w:sz w:val="24"/>
          <w:szCs w:val="24"/>
        </w:rPr>
        <w:t xml:space="preserve">, eller som et </w:t>
      </w:r>
      <w:proofErr w:type="spellStart"/>
      <w:r w:rsidRPr="002F6D75">
        <w:rPr>
          <w:sz w:val="24"/>
          <w:szCs w:val="24"/>
        </w:rPr>
        <w:t>analgetikum</w:t>
      </w:r>
      <w:proofErr w:type="spellEnd"/>
      <w:r w:rsidRPr="002F6D75">
        <w:rPr>
          <w:sz w:val="24"/>
          <w:szCs w:val="24"/>
        </w:rPr>
        <w:t xml:space="preserve"> i tillæg til </w:t>
      </w:r>
      <w:proofErr w:type="spellStart"/>
      <w:r w:rsidRPr="002F6D75">
        <w:rPr>
          <w:sz w:val="24"/>
          <w:szCs w:val="24"/>
        </w:rPr>
        <w:t>epidural</w:t>
      </w:r>
      <w:proofErr w:type="spellEnd"/>
      <w:r w:rsidRPr="002F6D75">
        <w:rPr>
          <w:sz w:val="24"/>
          <w:szCs w:val="24"/>
        </w:rPr>
        <w:t xml:space="preserve"> </w:t>
      </w:r>
      <w:proofErr w:type="spellStart"/>
      <w:r w:rsidRPr="002F6D75">
        <w:rPr>
          <w:sz w:val="24"/>
          <w:szCs w:val="24"/>
        </w:rPr>
        <w:t>bupivacain</w:t>
      </w:r>
      <w:proofErr w:type="spellEnd"/>
      <w:r w:rsidRPr="002F6D75">
        <w:rPr>
          <w:sz w:val="24"/>
          <w:szCs w:val="24"/>
        </w:rPr>
        <w:t xml:space="preserve"> under fødslen og den vaginale forløsning. Disse forsøgsdeltagere modtog mindst 1 dosis </w:t>
      </w:r>
      <w:proofErr w:type="spellStart"/>
      <w:r w:rsidRPr="002F6D75">
        <w:rPr>
          <w:sz w:val="24"/>
          <w:szCs w:val="24"/>
        </w:rPr>
        <w:t>sufentanil</w:t>
      </w:r>
      <w:proofErr w:type="spellEnd"/>
      <w:r w:rsidRPr="002F6D75">
        <w:rPr>
          <w:sz w:val="24"/>
          <w:szCs w:val="24"/>
        </w:rPr>
        <w:t xml:space="preserve"> og tilvejebragte sikkerhedsdata. På baggrund af de samlede sikkerhedsdata fra disse kliniske forsøg var de hyppigst indberettede (≥ 5 % </w:t>
      </w:r>
      <w:proofErr w:type="spellStart"/>
      <w:r w:rsidRPr="002F6D75">
        <w:rPr>
          <w:sz w:val="24"/>
          <w:szCs w:val="24"/>
        </w:rPr>
        <w:t>incidens</w:t>
      </w:r>
      <w:proofErr w:type="spellEnd"/>
      <w:r w:rsidRPr="002F6D75">
        <w:rPr>
          <w:sz w:val="24"/>
          <w:szCs w:val="24"/>
        </w:rPr>
        <w:t>) bivirkninger (</w:t>
      </w:r>
      <w:proofErr w:type="spellStart"/>
      <w:r w:rsidRPr="002F6D75">
        <w:rPr>
          <w:sz w:val="24"/>
          <w:szCs w:val="24"/>
        </w:rPr>
        <w:t>incidens</w:t>
      </w:r>
      <w:proofErr w:type="spellEnd"/>
      <w:r w:rsidRPr="002F6D75">
        <w:rPr>
          <w:sz w:val="24"/>
          <w:szCs w:val="24"/>
        </w:rPr>
        <w:t xml:space="preserve"> angivet i %): Sedation (19,5); </w:t>
      </w:r>
      <w:proofErr w:type="spellStart"/>
      <w:r w:rsidRPr="002F6D75">
        <w:rPr>
          <w:sz w:val="24"/>
          <w:szCs w:val="24"/>
        </w:rPr>
        <w:t>pruritus</w:t>
      </w:r>
      <w:proofErr w:type="spellEnd"/>
      <w:r w:rsidRPr="002F6D75">
        <w:rPr>
          <w:sz w:val="24"/>
          <w:szCs w:val="24"/>
        </w:rPr>
        <w:t xml:space="preserve"> (15,2); kvalme (9,8) og opkastning (5,7).</w:t>
      </w:r>
    </w:p>
    <w:p w:rsidR="00E05A5D" w:rsidRPr="002F6D75" w:rsidRDefault="00E05A5D" w:rsidP="00E05A5D">
      <w:pPr>
        <w:tabs>
          <w:tab w:val="left" w:pos="1134"/>
        </w:tabs>
        <w:ind w:left="851"/>
        <w:rPr>
          <w:sz w:val="24"/>
          <w:szCs w:val="24"/>
        </w:rPr>
      </w:pPr>
    </w:p>
    <w:p w:rsidR="00D926EB" w:rsidRPr="002F6D75" w:rsidRDefault="00D926EB" w:rsidP="00D926EB">
      <w:pPr>
        <w:autoSpaceDE w:val="0"/>
        <w:autoSpaceDN w:val="0"/>
        <w:adjustRightInd w:val="0"/>
        <w:ind w:left="851"/>
        <w:rPr>
          <w:sz w:val="24"/>
          <w:szCs w:val="24"/>
        </w:rPr>
      </w:pPr>
      <w:r w:rsidRPr="002F6D75">
        <w:rPr>
          <w:color w:val="000000"/>
          <w:sz w:val="24"/>
          <w:szCs w:val="24"/>
        </w:rPr>
        <w:t xml:space="preserve">Tabellen nedenfor angiver de bivirkninger (inklusive ovennævnte bivirkninger), der er indberettet i forbindelse med brug af </w:t>
      </w:r>
      <w:proofErr w:type="spellStart"/>
      <w:r w:rsidRPr="002F6D75">
        <w:rPr>
          <w:color w:val="000000"/>
          <w:sz w:val="24"/>
          <w:szCs w:val="24"/>
        </w:rPr>
        <w:t>sufentanil</w:t>
      </w:r>
      <w:proofErr w:type="spellEnd"/>
      <w:r w:rsidRPr="002F6D75">
        <w:rPr>
          <w:color w:val="000000"/>
          <w:sz w:val="24"/>
          <w:szCs w:val="24"/>
        </w:rPr>
        <w:t>, enten i kliniske forsøg eller efter markedsføring af lægemidlet De angivne hyppighedskategorier følger nedenstående konvention:</w:t>
      </w:r>
    </w:p>
    <w:tbl>
      <w:tblPr>
        <w:tblpPr w:leftFromText="141" w:rightFromText="141" w:vertAnchor="text" w:tblpX="84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tblGrid>
      <w:tr w:rsidR="00D926EB" w:rsidRPr="002F6D75" w:rsidTr="00A54162">
        <w:tc>
          <w:tcPr>
            <w:tcW w:w="7087" w:type="dxa"/>
            <w:tcBorders>
              <w:top w:val="single" w:sz="4" w:space="0" w:color="auto"/>
              <w:left w:val="single" w:sz="4" w:space="0" w:color="auto"/>
              <w:bottom w:val="single" w:sz="4" w:space="0" w:color="auto"/>
              <w:right w:val="single" w:sz="4" w:space="0" w:color="auto"/>
            </w:tcBorders>
            <w:hideMark/>
          </w:tcPr>
          <w:p w:rsidR="00D926EB" w:rsidRPr="002F6D75" w:rsidRDefault="00D926EB" w:rsidP="00A54162">
            <w:pPr>
              <w:tabs>
                <w:tab w:val="left" w:pos="1872"/>
              </w:tabs>
              <w:ind w:left="29"/>
              <w:rPr>
                <w:sz w:val="24"/>
                <w:szCs w:val="24"/>
                <w:lang w:eastAsia="da-DK"/>
              </w:rPr>
            </w:pPr>
            <w:r>
              <w:rPr>
                <w:sz w:val="24"/>
                <w:szCs w:val="24"/>
              </w:rPr>
              <w:t>Meget almindelig</w:t>
            </w:r>
            <w:r>
              <w:rPr>
                <w:sz w:val="24"/>
                <w:szCs w:val="24"/>
              </w:rPr>
              <w:tab/>
            </w:r>
            <w:r w:rsidRPr="002F6D75">
              <w:rPr>
                <w:sz w:val="24"/>
                <w:szCs w:val="24"/>
              </w:rPr>
              <w:t>(≥1/10)</w:t>
            </w:r>
          </w:p>
        </w:tc>
      </w:tr>
      <w:tr w:rsidR="00D926EB" w:rsidRPr="002F6D75" w:rsidTr="00A54162">
        <w:tc>
          <w:tcPr>
            <w:tcW w:w="7087" w:type="dxa"/>
            <w:tcBorders>
              <w:top w:val="single" w:sz="4" w:space="0" w:color="auto"/>
              <w:left w:val="single" w:sz="4" w:space="0" w:color="auto"/>
              <w:bottom w:val="single" w:sz="4" w:space="0" w:color="auto"/>
              <w:right w:val="single" w:sz="4" w:space="0" w:color="auto"/>
            </w:tcBorders>
            <w:hideMark/>
          </w:tcPr>
          <w:p w:rsidR="00D926EB" w:rsidRPr="002F6D75" w:rsidRDefault="00D926EB" w:rsidP="00A54162">
            <w:pPr>
              <w:tabs>
                <w:tab w:val="left" w:pos="1872"/>
              </w:tabs>
              <w:ind w:left="29"/>
              <w:rPr>
                <w:sz w:val="24"/>
                <w:szCs w:val="24"/>
              </w:rPr>
            </w:pPr>
            <w:r>
              <w:rPr>
                <w:sz w:val="24"/>
                <w:szCs w:val="24"/>
              </w:rPr>
              <w:t>Almindelig</w:t>
            </w:r>
            <w:r>
              <w:rPr>
                <w:sz w:val="24"/>
                <w:szCs w:val="24"/>
              </w:rPr>
              <w:tab/>
            </w:r>
            <w:r w:rsidRPr="002F6D75">
              <w:rPr>
                <w:sz w:val="24"/>
                <w:szCs w:val="24"/>
              </w:rPr>
              <w:t>(≥1/100 til &lt;1/10)</w:t>
            </w:r>
          </w:p>
        </w:tc>
      </w:tr>
      <w:tr w:rsidR="00D926EB" w:rsidRPr="002F6D75" w:rsidTr="00A54162">
        <w:tc>
          <w:tcPr>
            <w:tcW w:w="7087" w:type="dxa"/>
            <w:tcBorders>
              <w:top w:val="single" w:sz="4" w:space="0" w:color="auto"/>
              <w:left w:val="single" w:sz="4" w:space="0" w:color="auto"/>
              <w:bottom w:val="single" w:sz="4" w:space="0" w:color="auto"/>
              <w:right w:val="single" w:sz="4" w:space="0" w:color="auto"/>
            </w:tcBorders>
            <w:hideMark/>
          </w:tcPr>
          <w:p w:rsidR="00D926EB" w:rsidRPr="002F6D75" w:rsidRDefault="00D926EB" w:rsidP="00A54162">
            <w:pPr>
              <w:tabs>
                <w:tab w:val="left" w:pos="1872"/>
              </w:tabs>
              <w:ind w:left="29"/>
              <w:rPr>
                <w:sz w:val="24"/>
                <w:szCs w:val="24"/>
              </w:rPr>
            </w:pPr>
            <w:r>
              <w:rPr>
                <w:sz w:val="24"/>
                <w:szCs w:val="24"/>
              </w:rPr>
              <w:t>Ikke almindelig</w:t>
            </w:r>
            <w:r>
              <w:rPr>
                <w:sz w:val="24"/>
                <w:szCs w:val="24"/>
              </w:rPr>
              <w:tab/>
            </w:r>
            <w:r w:rsidRPr="002F6D75">
              <w:rPr>
                <w:sz w:val="24"/>
                <w:szCs w:val="24"/>
              </w:rPr>
              <w:t>(≥1/1</w:t>
            </w:r>
            <w:r>
              <w:rPr>
                <w:sz w:val="24"/>
                <w:szCs w:val="24"/>
              </w:rPr>
              <w:t xml:space="preserve"> </w:t>
            </w:r>
            <w:r w:rsidRPr="002F6D75">
              <w:rPr>
                <w:sz w:val="24"/>
                <w:szCs w:val="24"/>
              </w:rPr>
              <w:t>000 til &lt;1/100)</w:t>
            </w:r>
          </w:p>
        </w:tc>
      </w:tr>
      <w:tr w:rsidR="00D926EB" w:rsidRPr="002F6D75" w:rsidTr="00A54162">
        <w:tc>
          <w:tcPr>
            <w:tcW w:w="7087" w:type="dxa"/>
            <w:tcBorders>
              <w:top w:val="single" w:sz="4" w:space="0" w:color="auto"/>
              <w:left w:val="single" w:sz="4" w:space="0" w:color="auto"/>
              <w:bottom w:val="single" w:sz="4" w:space="0" w:color="auto"/>
              <w:right w:val="single" w:sz="4" w:space="0" w:color="auto"/>
            </w:tcBorders>
            <w:hideMark/>
          </w:tcPr>
          <w:p w:rsidR="00D926EB" w:rsidRPr="002F6D75" w:rsidRDefault="00D926EB" w:rsidP="00A54162">
            <w:pPr>
              <w:tabs>
                <w:tab w:val="left" w:pos="1872"/>
              </w:tabs>
              <w:ind w:left="29"/>
              <w:rPr>
                <w:sz w:val="24"/>
                <w:szCs w:val="24"/>
              </w:rPr>
            </w:pPr>
            <w:r>
              <w:rPr>
                <w:sz w:val="24"/>
                <w:szCs w:val="24"/>
              </w:rPr>
              <w:t>Sjælden</w:t>
            </w:r>
            <w:r>
              <w:rPr>
                <w:sz w:val="24"/>
                <w:szCs w:val="24"/>
              </w:rPr>
              <w:tab/>
            </w:r>
            <w:r w:rsidRPr="002F6D75">
              <w:rPr>
                <w:sz w:val="24"/>
                <w:szCs w:val="24"/>
              </w:rPr>
              <w:t>(≥1/10</w:t>
            </w:r>
            <w:r>
              <w:rPr>
                <w:sz w:val="24"/>
                <w:szCs w:val="24"/>
              </w:rPr>
              <w:t xml:space="preserve"> </w:t>
            </w:r>
            <w:r w:rsidRPr="002F6D75">
              <w:rPr>
                <w:sz w:val="24"/>
                <w:szCs w:val="24"/>
              </w:rPr>
              <w:t>000 til &lt;1/1</w:t>
            </w:r>
            <w:r>
              <w:rPr>
                <w:sz w:val="24"/>
                <w:szCs w:val="24"/>
              </w:rPr>
              <w:t xml:space="preserve"> </w:t>
            </w:r>
            <w:r w:rsidRPr="002F6D75">
              <w:rPr>
                <w:sz w:val="24"/>
                <w:szCs w:val="24"/>
              </w:rPr>
              <w:t>000)</w:t>
            </w:r>
          </w:p>
        </w:tc>
      </w:tr>
      <w:tr w:rsidR="00D926EB" w:rsidRPr="002F6D75" w:rsidTr="00A54162">
        <w:tc>
          <w:tcPr>
            <w:tcW w:w="7087" w:type="dxa"/>
            <w:tcBorders>
              <w:top w:val="single" w:sz="4" w:space="0" w:color="auto"/>
              <w:left w:val="single" w:sz="4" w:space="0" w:color="auto"/>
              <w:bottom w:val="single" w:sz="4" w:space="0" w:color="auto"/>
              <w:right w:val="single" w:sz="4" w:space="0" w:color="auto"/>
            </w:tcBorders>
            <w:hideMark/>
          </w:tcPr>
          <w:p w:rsidR="00D926EB" w:rsidRPr="002F6D75" w:rsidRDefault="00D926EB" w:rsidP="00A54162">
            <w:pPr>
              <w:tabs>
                <w:tab w:val="left" w:pos="1872"/>
              </w:tabs>
              <w:ind w:left="29"/>
              <w:rPr>
                <w:sz w:val="24"/>
                <w:szCs w:val="24"/>
              </w:rPr>
            </w:pPr>
            <w:r>
              <w:rPr>
                <w:sz w:val="24"/>
                <w:szCs w:val="24"/>
              </w:rPr>
              <w:t>Meget sjælden</w:t>
            </w:r>
            <w:r>
              <w:rPr>
                <w:sz w:val="24"/>
                <w:szCs w:val="24"/>
              </w:rPr>
              <w:tab/>
            </w:r>
            <w:r w:rsidRPr="002F6D75">
              <w:rPr>
                <w:sz w:val="24"/>
                <w:szCs w:val="24"/>
              </w:rPr>
              <w:t>(&lt;1/10</w:t>
            </w:r>
            <w:r>
              <w:rPr>
                <w:sz w:val="24"/>
                <w:szCs w:val="24"/>
              </w:rPr>
              <w:t xml:space="preserve"> </w:t>
            </w:r>
            <w:r w:rsidRPr="002F6D75">
              <w:rPr>
                <w:sz w:val="24"/>
                <w:szCs w:val="24"/>
              </w:rPr>
              <w:t>000)</w:t>
            </w:r>
          </w:p>
        </w:tc>
      </w:tr>
      <w:tr w:rsidR="00D926EB" w:rsidRPr="002F6D75" w:rsidTr="00A54162">
        <w:tc>
          <w:tcPr>
            <w:tcW w:w="7087" w:type="dxa"/>
            <w:tcBorders>
              <w:top w:val="single" w:sz="4" w:space="0" w:color="auto"/>
              <w:left w:val="single" w:sz="4" w:space="0" w:color="auto"/>
              <w:bottom w:val="single" w:sz="4" w:space="0" w:color="auto"/>
              <w:right w:val="single" w:sz="4" w:space="0" w:color="auto"/>
            </w:tcBorders>
            <w:hideMark/>
          </w:tcPr>
          <w:p w:rsidR="00D926EB" w:rsidRPr="002F6D75" w:rsidRDefault="00D926EB" w:rsidP="00A54162">
            <w:pPr>
              <w:tabs>
                <w:tab w:val="left" w:pos="1879"/>
              </w:tabs>
              <w:ind w:left="29"/>
              <w:rPr>
                <w:sz w:val="24"/>
                <w:szCs w:val="24"/>
              </w:rPr>
            </w:pPr>
            <w:r>
              <w:rPr>
                <w:sz w:val="24"/>
                <w:szCs w:val="24"/>
              </w:rPr>
              <w:t>Ikke kendt</w:t>
            </w:r>
            <w:r>
              <w:rPr>
                <w:sz w:val="24"/>
                <w:szCs w:val="24"/>
              </w:rPr>
              <w:tab/>
            </w:r>
            <w:r w:rsidRPr="002F6D75">
              <w:rPr>
                <w:sz w:val="24"/>
                <w:szCs w:val="24"/>
              </w:rPr>
              <w:t>(kan ikke estimeres ud fra forhåndenværende data)</w:t>
            </w:r>
          </w:p>
        </w:tc>
      </w:tr>
    </w:tbl>
    <w:p w:rsidR="00E05A5D" w:rsidRPr="002F6D75" w:rsidRDefault="00E05A5D" w:rsidP="00E05A5D">
      <w:pPr>
        <w:ind w:left="851"/>
        <w:rPr>
          <w:sz w:val="24"/>
          <w:szCs w:val="24"/>
        </w:rPr>
      </w:pPr>
    </w:p>
    <w:p w:rsidR="00E05A5D" w:rsidRPr="002F6D75" w:rsidRDefault="00E05A5D" w:rsidP="00E05A5D">
      <w:pPr>
        <w:ind w:left="851"/>
        <w:rPr>
          <w:spacing w:val="-3"/>
          <w:sz w:val="24"/>
          <w:szCs w:val="24"/>
          <w:u w:val="single"/>
        </w:rPr>
      </w:pPr>
    </w:p>
    <w:p w:rsidR="00E05A5D" w:rsidRPr="002F6D75" w:rsidRDefault="00E05A5D" w:rsidP="00E05A5D">
      <w:pPr>
        <w:ind w:left="851"/>
        <w:rPr>
          <w:spacing w:val="-3"/>
          <w:sz w:val="24"/>
          <w:szCs w:val="24"/>
          <w:u w:val="single"/>
        </w:rPr>
      </w:pPr>
    </w:p>
    <w:p w:rsidR="00E05A5D" w:rsidRPr="002F6D75" w:rsidRDefault="00E05A5D" w:rsidP="00E05A5D">
      <w:pPr>
        <w:ind w:left="851"/>
        <w:rPr>
          <w:spacing w:val="-3"/>
          <w:sz w:val="24"/>
          <w:szCs w:val="24"/>
          <w:u w:val="single"/>
        </w:rPr>
      </w:pPr>
    </w:p>
    <w:p w:rsidR="00E05A5D" w:rsidRPr="002F6D75" w:rsidRDefault="00E05A5D" w:rsidP="00E05A5D">
      <w:pPr>
        <w:rPr>
          <w:spacing w:val="-3"/>
          <w:sz w:val="24"/>
          <w:szCs w:val="24"/>
          <w:u w:val="single"/>
        </w:rPr>
      </w:pPr>
    </w:p>
    <w:tbl>
      <w:tblPr>
        <w:tblW w:w="865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1702"/>
        <w:gridCol w:w="3829"/>
      </w:tblGrid>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Systemorganklasse</w:t>
            </w:r>
          </w:p>
        </w:tc>
        <w:tc>
          <w:tcPr>
            <w:tcW w:w="1702"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rPr>
                <w:spacing w:val="-3"/>
                <w:sz w:val="24"/>
                <w:szCs w:val="24"/>
              </w:rPr>
            </w:pPr>
            <w:r w:rsidRPr="002F6D75">
              <w:rPr>
                <w:b/>
                <w:spacing w:val="-3"/>
                <w:sz w:val="24"/>
                <w:szCs w:val="24"/>
              </w:rPr>
              <w:t>Hyppigheds-kategori</w:t>
            </w:r>
          </w:p>
        </w:tc>
        <w:tc>
          <w:tcPr>
            <w:tcW w:w="3829"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rPr>
                <w:spacing w:val="-3"/>
                <w:sz w:val="24"/>
                <w:szCs w:val="24"/>
              </w:rPr>
            </w:pPr>
            <w:bookmarkStart w:id="1" w:name="OLE_LINK2"/>
            <w:r w:rsidRPr="002F6D75">
              <w:rPr>
                <w:b/>
                <w:spacing w:val="-3"/>
                <w:sz w:val="24"/>
                <w:szCs w:val="24"/>
              </w:rPr>
              <w:t>Bivirkning</w:t>
            </w:r>
            <w:bookmarkEnd w:id="1"/>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Infektioner og parasitære sygdomme</w:t>
            </w:r>
          </w:p>
        </w:tc>
        <w:tc>
          <w:tcPr>
            <w:tcW w:w="1702"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rPr>
                <w:spacing w:val="-3"/>
                <w:sz w:val="24"/>
                <w:szCs w:val="24"/>
              </w:rPr>
            </w:pPr>
            <w:r w:rsidRPr="002F6D75">
              <w:rPr>
                <w:spacing w:val="-3"/>
                <w:sz w:val="24"/>
                <w:szCs w:val="24"/>
              </w:rPr>
              <w:t>Ikke almindelig:</w:t>
            </w:r>
          </w:p>
        </w:tc>
        <w:tc>
          <w:tcPr>
            <w:tcW w:w="3829" w:type="dxa"/>
            <w:tcBorders>
              <w:top w:val="single" w:sz="4" w:space="0" w:color="auto"/>
              <w:left w:val="single" w:sz="4" w:space="0" w:color="auto"/>
              <w:bottom w:val="single" w:sz="4" w:space="0" w:color="auto"/>
              <w:right w:val="single" w:sz="4" w:space="0" w:color="auto"/>
            </w:tcBorders>
            <w:hideMark/>
          </w:tcPr>
          <w:p w:rsidR="00E05A5D" w:rsidRDefault="00E05A5D" w:rsidP="003B4BCE">
            <w:pPr>
              <w:rPr>
                <w:spacing w:val="-3"/>
                <w:sz w:val="24"/>
                <w:szCs w:val="24"/>
              </w:rPr>
            </w:pPr>
          </w:p>
          <w:p w:rsidR="00E05A5D" w:rsidRPr="002F6D75" w:rsidRDefault="00E05A5D" w:rsidP="003B4BCE">
            <w:pPr>
              <w:rPr>
                <w:spacing w:val="-3"/>
                <w:sz w:val="24"/>
                <w:szCs w:val="24"/>
              </w:rPr>
            </w:pPr>
            <w:proofErr w:type="spellStart"/>
            <w:r w:rsidRPr="002F6D75">
              <w:rPr>
                <w:spacing w:val="-3"/>
                <w:sz w:val="24"/>
                <w:szCs w:val="24"/>
              </w:rPr>
              <w:t>Rhinitis</w:t>
            </w:r>
            <w:proofErr w:type="spellEnd"/>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Immunsystemet</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Ikke 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Ikke kendt: </w:t>
            </w:r>
          </w:p>
          <w:p w:rsidR="00E05A5D" w:rsidRPr="002F6D75" w:rsidRDefault="00E05A5D" w:rsidP="003B4BCE">
            <w:pPr>
              <w:rPr>
                <w:spacing w:val="-3"/>
                <w:sz w:val="24"/>
                <w:szCs w:val="24"/>
              </w:rPr>
            </w:pPr>
          </w:p>
        </w:tc>
        <w:tc>
          <w:tcPr>
            <w:tcW w:w="3829" w:type="dxa"/>
            <w:tcBorders>
              <w:top w:val="single" w:sz="4" w:space="0" w:color="auto"/>
              <w:left w:val="single" w:sz="4" w:space="0" w:color="auto"/>
              <w:bottom w:val="single" w:sz="4" w:space="0" w:color="auto"/>
              <w:right w:val="single" w:sz="4" w:space="0" w:color="auto"/>
            </w:tcBorders>
          </w:tcPr>
          <w:p w:rsidR="00E05A5D"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Overfølsomhed</w:t>
            </w:r>
          </w:p>
          <w:p w:rsidR="00E05A5D" w:rsidRPr="002F6D75" w:rsidRDefault="00E05A5D" w:rsidP="003B4BCE">
            <w:pPr>
              <w:rPr>
                <w:spacing w:val="-3"/>
                <w:sz w:val="24"/>
                <w:szCs w:val="24"/>
              </w:rPr>
            </w:pPr>
          </w:p>
          <w:p w:rsidR="00E05A5D" w:rsidRPr="002F6D75" w:rsidRDefault="00E05A5D" w:rsidP="003B4BCE">
            <w:pPr>
              <w:rPr>
                <w:spacing w:val="-3"/>
                <w:sz w:val="24"/>
                <w:szCs w:val="24"/>
              </w:rPr>
            </w:pPr>
            <w:proofErr w:type="spellStart"/>
            <w:r w:rsidRPr="002F6D75">
              <w:rPr>
                <w:spacing w:val="-3"/>
                <w:sz w:val="24"/>
                <w:szCs w:val="24"/>
              </w:rPr>
              <w:t>Anafylaktisk</w:t>
            </w:r>
            <w:proofErr w:type="spellEnd"/>
            <w:r w:rsidRPr="002F6D75">
              <w:rPr>
                <w:spacing w:val="-3"/>
                <w:sz w:val="24"/>
                <w:szCs w:val="24"/>
              </w:rPr>
              <w:t xml:space="preserve"> </w:t>
            </w:r>
            <w:proofErr w:type="spellStart"/>
            <w:r w:rsidRPr="002F6D75">
              <w:rPr>
                <w:spacing w:val="-3"/>
                <w:sz w:val="24"/>
                <w:szCs w:val="24"/>
              </w:rPr>
              <w:t>shock</w:t>
            </w:r>
            <w:proofErr w:type="spellEnd"/>
            <w:r w:rsidRPr="002F6D75">
              <w:rPr>
                <w:spacing w:val="-3"/>
                <w:sz w:val="24"/>
                <w:szCs w:val="24"/>
              </w:rPr>
              <w:t xml:space="preserve">, </w:t>
            </w:r>
            <w:proofErr w:type="spellStart"/>
            <w:r w:rsidRPr="002F6D75">
              <w:rPr>
                <w:spacing w:val="-3"/>
                <w:sz w:val="24"/>
                <w:szCs w:val="24"/>
              </w:rPr>
              <w:t>anafylaktisk</w:t>
            </w:r>
            <w:proofErr w:type="spellEnd"/>
            <w:r w:rsidRPr="002F6D75">
              <w:rPr>
                <w:spacing w:val="-3"/>
                <w:sz w:val="24"/>
                <w:szCs w:val="24"/>
              </w:rPr>
              <w:t xml:space="preserve"> reaktion, </w:t>
            </w:r>
            <w:proofErr w:type="spellStart"/>
            <w:r w:rsidRPr="002F6D75">
              <w:rPr>
                <w:spacing w:val="-3"/>
                <w:sz w:val="24"/>
                <w:szCs w:val="24"/>
              </w:rPr>
              <w:t>anafylaktoid</w:t>
            </w:r>
            <w:proofErr w:type="spellEnd"/>
            <w:r w:rsidRPr="002F6D75">
              <w:rPr>
                <w:spacing w:val="-3"/>
                <w:sz w:val="24"/>
                <w:szCs w:val="24"/>
              </w:rPr>
              <w:t xml:space="preserve"> reaktion</w:t>
            </w:r>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ind w:left="63"/>
              <w:rPr>
                <w:b/>
                <w:spacing w:val="-3"/>
                <w:sz w:val="24"/>
                <w:szCs w:val="24"/>
              </w:rPr>
            </w:pPr>
            <w:r w:rsidRPr="002F6D75">
              <w:rPr>
                <w:b/>
                <w:spacing w:val="-3"/>
                <w:sz w:val="24"/>
                <w:szCs w:val="24"/>
              </w:rPr>
              <w:t>Psykiske forstyrrelser</w:t>
            </w:r>
          </w:p>
          <w:p w:rsidR="00E05A5D" w:rsidRPr="002F6D75" w:rsidRDefault="00E05A5D" w:rsidP="003B4BCE">
            <w:pPr>
              <w:ind w:left="63"/>
              <w:rPr>
                <w:spacing w:val="-3"/>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rPr>
                <w:spacing w:val="-3"/>
                <w:sz w:val="24"/>
                <w:szCs w:val="24"/>
              </w:rPr>
            </w:pPr>
            <w:r w:rsidRPr="002F6D75">
              <w:rPr>
                <w:spacing w:val="-3"/>
                <w:sz w:val="24"/>
                <w:szCs w:val="24"/>
              </w:rPr>
              <w:t>Ikke almindelig:</w:t>
            </w:r>
          </w:p>
        </w:tc>
        <w:tc>
          <w:tcPr>
            <w:tcW w:w="3829" w:type="dxa"/>
            <w:tcBorders>
              <w:top w:val="single" w:sz="4" w:space="0" w:color="auto"/>
              <w:left w:val="single" w:sz="4" w:space="0" w:color="auto"/>
              <w:bottom w:val="single" w:sz="4" w:space="0" w:color="auto"/>
              <w:right w:val="single" w:sz="4" w:space="0" w:color="auto"/>
            </w:tcBorders>
            <w:hideMark/>
          </w:tcPr>
          <w:p w:rsidR="00E05A5D"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Apati, nervøsitet</w:t>
            </w:r>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ind w:left="63"/>
              <w:rPr>
                <w:spacing w:val="-3"/>
                <w:sz w:val="24"/>
                <w:szCs w:val="24"/>
              </w:rPr>
            </w:pPr>
            <w:r w:rsidRPr="002F6D75">
              <w:rPr>
                <w:b/>
                <w:spacing w:val="-3"/>
                <w:sz w:val="24"/>
                <w:szCs w:val="24"/>
              </w:rPr>
              <w:t>Nervesystemet</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Meget 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lastRenderedPageBreak/>
              <w:t xml:space="preserve">Ikke almindelig: </w:t>
            </w: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Ikke kendt: </w:t>
            </w:r>
          </w:p>
          <w:p w:rsidR="00E05A5D" w:rsidRPr="002F6D75" w:rsidRDefault="00E05A5D" w:rsidP="003B4BCE">
            <w:pPr>
              <w:rPr>
                <w:spacing w:val="-3"/>
                <w:sz w:val="24"/>
                <w:szCs w:val="24"/>
              </w:rPr>
            </w:pPr>
          </w:p>
          <w:p w:rsidR="00E05A5D" w:rsidRPr="002F6D75" w:rsidRDefault="00E05A5D" w:rsidP="003B4BCE">
            <w:pPr>
              <w:rPr>
                <w:spacing w:val="-3"/>
                <w:sz w:val="24"/>
                <w:szCs w:val="24"/>
              </w:rPr>
            </w:pPr>
          </w:p>
        </w:tc>
        <w:tc>
          <w:tcPr>
            <w:tcW w:w="3829" w:type="dxa"/>
            <w:tcBorders>
              <w:top w:val="single" w:sz="4" w:space="0" w:color="auto"/>
              <w:left w:val="single" w:sz="4" w:space="0" w:color="auto"/>
              <w:bottom w:val="single" w:sz="4" w:space="0" w:color="auto"/>
              <w:right w:val="single" w:sz="4" w:space="0" w:color="auto"/>
            </w:tcBorders>
          </w:tcPr>
          <w:p w:rsidR="00E05A5D"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Sedation</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Neonatal </w:t>
            </w:r>
            <w:proofErr w:type="spellStart"/>
            <w:r w:rsidRPr="002F6D75">
              <w:rPr>
                <w:spacing w:val="-3"/>
                <w:sz w:val="24"/>
                <w:szCs w:val="24"/>
              </w:rPr>
              <w:t>tremor</w:t>
            </w:r>
            <w:proofErr w:type="spellEnd"/>
            <w:r w:rsidRPr="002F6D75">
              <w:rPr>
                <w:spacing w:val="-3"/>
                <w:sz w:val="24"/>
                <w:szCs w:val="24"/>
              </w:rPr>
              <w:t>, svimmelhed, hovedpine</w:t>
            </w:r>
          </w:p>
          <w:p w:rsidR="00E05A5D" w:rsidRPr="002F6D75" w:rsidRDefault="00E05A5D" w:rsidP="003B4BCE">
            <w:pPr>
              <w:rPr>
                <w:spacing w:val="-3"/>
                <w:sz w:val="24"/>
                <w:szCs w:val="24"/>
              </w:rPr>
            </w:pPr>
          </w:p>
          <w:p w:rsidR="00E05A5D"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lastRenderedPageBreak/>
              <w:t>Intraoperative muskelbevægelser,</w:t>
            </w:r>
          </w:p>
          <w:p w:rsidR="00E05A5D" w:rsidRPr="002F6D75" w:rsidRDefault="00E05A5D" w:rsidP="003B4BCE">
            <w:pPr>
              <w:rPr>
                <w:spacing w:val="-3"/>
                <w:sz w:val="24"/>
                <w:szCs w:val="24"/>
              </w:rPr>
            </w:pPr>
            <w:proofErr w:type="spellStart"/>
            <w:r w:rsidRPr="002F6D75">
              <w:rPr>
                <w:spacing w:val="-3"/>
                <w:sz w:val="24"/>
                <w:szCs w:val="24"/>
              </w:rPr>
              <w:t>ataksi</w:t>
            </w:r>
            <w:proofErr w:type="spellEnd"/>
            <w:r w:rsidRPr="002F6D75">
              <w:rPr>
                <w:spacing w:val="-3"/>
                <w:sz w:val="24"/>
                <w:szCs w:val="24"/>
              </w:rPr>
              <w:t xml:space="preserve">, neonatal </w:t>
            </w:r>
            <w:proofErr w:type="spellStart"/>
            <w:r w:rsidRPr="002F6D75">
              <w:rPr>
                <w:spacing w:val="-3"/>
                <w:sz w:val="24"/>
                <w:szCs w:val="24"/>
              </w:rPr>
              <w:t>dyskinesi</w:t>
            </w:r>
            <w:proofErr w:type="spellEnd"/>
            <w:r w:rsidRPr="002F6D75">
              <w:rPr>
                <w:spacing w:val="-3"/>
                <w:sz w:val="24"/>
                <w:szCs w:val="24"/>
              </w:rPr>
              <w:t xml:space="preserve">, </w:t>
            </w:r>
            <w:proofErr w:type="spellStart"/>
            <w:r w:rsidRPr="002F6D75">
              <w:rPr>
                <w:spacing w:val="-3"/>
                <w:sz w:val="24"/>
                <w:szCs w:val="24"/>
              </w:rPr>
              <w:t>dystoni</w:t>
            </w:r>
            <w:proofErr w:type="spellEnd"/>
            <w:r w:rsidRPr="002F6D75">
              <w:rPr>
                <w:spacing w:val="-3"/>
                <w:sz w:val="24"/>
                <w:szCs w:val="24"/>
              </w:rPr>
              <w:t>,</w:t>
            </w:r>
          </w:p>
          <w:p w:rsidR="00E05A5D" w:rsidRPr="002F6D75" w:rsidRDefault="00E05A5D" w:rsidP="003B4BCE">
            <w:pPr>
              <w:rPr>
                <w:spacing w:val="-3"/>
                <w:sz w:val="24"/>
                <w:szCs w:val="24"/>
              </w:rPr>
            </w:pPr>
            <w:proofErr w:type="spellStart"/>
            <w:r w:rsidRPr="002F6D75">
              <w:rPr>
                <w:spacing w:val="-3"/>
                <w:sz w:val="24"/>
                <w:szCs w:val="24"/>
              </w:rPr>
              <w:t>hyperrefleksi</w:t>
            </w:r>
            <w:proofErr w:type="spellEnd"/>
            <w:r w:rsidRPr="002F6D75">
              <w:rPr>
                <w:spacing w:val="-3"/>
                <w:sz w:val="24"/>
                <w:szCs w:val="24"/>
              </w:rPr>
              <w:t xml:space="preserve">, </w:t>
            </w:r>
            <w:proofErr w:type="spellStart"/>
            <w:r w:rsidRPr="002F6D75">
              <w:rPr>
                <w:spacing w:val="-3"/>
                <w:sz w:val="24"/>
                <w:szCs w:val="24"/>
              </w:rPr>
              <w:t>hypertoni</w:t>
            </w:r>
            <w:proofErr w:type="spellEnd"/>
            <w:r w:rsidRPr="002F6D75">
              <w:rPr>
                <w:spacing w:val="-3"/>
                <w:sz w:val="24"/>
                <w:szCs w:val="24"/>
              </w:rPr>
              <w:t xml:space="preserve">, neonatal </w:t>
            </w:r>
            <w:proofErr w:type="spellStart"/>
            <w:r w:rsidRPr="002F6D75">
              <w:rPr>
                <w:spacing w:val="-3"/>
                <w:sz w:val="24"/>
                <w:szCs w:val="24"/>
              </w:rPr>
              <w:t>hypokinesi</w:t>
            </w:r>
            <w:proofErr w:type="spellEnd"/>
            <w:r w:rsidRPr="002F6D75">
              <w:rPr>
                <w:spacing w:val="-3"/>
                <w:sz w:val="24"/>
                <w:szCs w:val="24"/>
              </w:rPr>
              <w:t>, døsighed</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Tonisk-kloniske bevægelser (ufrivillige muskelsammentrækninger</w:t>
            </w:r>
            <w:r>
              <w:rPr>
                <w:spacing w:val="-3"/>
                <w:sz w:val="24"/>
                <w:szCs w:val="24"/>
              </w:rPr>
              <w:t>/</w:t>
            </w:r>
            <w:proofErr w:type="spellStart"/>
            <w:r w:rsidRPr="002F6D75">
              <w:rPr>
                <w:spacing w:val="-3"/>
                <w:sz w:val="24"/>
                <w:szCs w:val="24"/>
              </w:rPr>
              <w:t>myoclonic</w:t>
            </w:r>
            <w:proofErr w:type="spellEnd"/>
            <w:r w:rsidRPr="002F6D75">
              <w:rPr>
                <w:spacing w:val="-3"/>
                <w:sz w:val="24"/>
                <w:szCs w:val="24"/>
              </w:rPr>
              <w:t xml:space="preserve"> </w:t>
            </w:r>
            <w:proofErr w:type="spellStart"/>
            <w:r w:rsidRPr="002F6D75">
              <w:rPr>
                <w:spacing w:val="-3"/>
                <w:sz w:val="24"/>
                <w:szCs w:val="24"/>
              </w:rPr>
              <w:t>spasm</w:t>
            </w:r>
            <w:proofErr w:type="spellEnd"/>
            <w:r w:rsidRPr="002F6D75">
              <w:rPr>
                <w:spacing w:val="-3"/>
                <w:sz w:val="24"/>
                <w:szCs w:val="24"/>
              </w:rPr>
              <w:t xml:space="preserve">), eufori, </w:t>
            </w:r>
            <w:proofErr w:type="spellStart"/>
            <w:r w:rsidRPr="002F6D75">
              <w:rPr>
                <w:spacing w:val="-3"/>
                <w:sz w:val="24"/>
                <w:szCs w:val="24"/>
              </w:rPr>
              <w:t>vertigo</w:t>
            </w:r>
            <w:proofErr w:type="spellEnd"/>
            <w:r w:rsidRPr="002F6D75">
              <w:rPr>
                <w:spacing w:val="-3"/>
                <w:sz w:val="24"/>
                <w:szCs w:val="24"/>
              </w:rPr>
              <w:t>, koma, kramper</w:t>
            </w:r>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lastRenderedPageBreak/>
              <w:t>Øjne</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Ikke 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Ikke kendt: </w:t>
            </w:r>
          </w:p>
          <w:p w:rsidR="00E05A5D" w:rsidRPr="002F6D75" w:rsidRDefault="00E05A5D" w:rsidP="003B4BCE">
            <w:pPr>
              <w:rPr>
                <w:spacing w:val="-3"/>
                <w:sz w:val="24"/>
                <w:szCs w:val="24"/>
              </w:rPr>
            </w:pPr>
          </w:p>
        </w:tc>
        <w:tc>
          <w:tcPr>
            <w:tcW w:w="3829" w:type="dxa"/>
            <w:tcBorders>
              <w:top w:val="single" w:sz="4" w:space="0" w:color="auto"/>
              <w:left w:val="single" w:sz="4" w:space="0" w:color="auto"/>
              <w:bottom w:val="single" w:sz="4" w:space="0" w:color="auto"/>
              <w:right w:val="single" w:sz="4" w:space="0" w:color="auto"/>
            </w:tcBorders>
          </w:tcPr>
          <w:p w:rsidR="00E05A5D"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Synsforstyrrelser</w:t>
            </w:r>
          </w:p>
          <w:p w:rsidR="00E05A5D" w:rsidRPr="002F6D75" w:rsidRDefault="00E05A5D" w:rsidP="003B4BCE">
            <w:pPr>
              <w:rPr>
                <w:spacing w:val="-3"/>
                <w:sz w:val="24"/>
                <w:szCs w:val="24"/>
              </w:rPr>
            </w:pPr>
          </w:p>
          <w:p w:rsidR="00E05A5D" w:rsidRPr="002F6D75" w:rsidRDefault="00E05A5D" w:rsidP="003B4BCE">
            <w:pPr>
              <w:rPr>
                <w:spacing w:val="-3"/>
                <w:sz w:val="24"/>
                <w:szCs w:val="24"/>
              </w:rPr>
            </w:pPr>
            <w:proofErr w:type="spellStart"/>
            <w:r w:rsidRPr="002F6D75">
              <w:rPr>
                <w:spacing w:val="-3"/>
                <w:sz w:val="24"/>
                <w:szCs w:val="24"/>
              </w:rPr>
              <w:t>Miosis</w:t>
            </w:r>
            <w:proofErr w:type="spellEnd"/>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Hjerte</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 xml:space="preserve">Almindelig: </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Ikke almindelig: </w:t>
            </w: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Ikke kendt: </w:t>
            </w:r>
          </w:p>
        </w:tc>
        <w:tc>
          <w:tcPr>
            <w:tcW w:w="3829"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proofErr w:type="spellStart"/>
            <w:r w:rsidRPr="002F6D75">
              <w:rPr>
                <w:spacing w:val="-3"/>
                <w:sz w:val="24"/>
                <w:szCs w:val="24"/>
              </w:rPr>
              <w:t>Takykardi</w:t>
            </w:r>
            <w:proofErr w:type="spellEnd"/>
          </w:p>
          <w:p w:rsidR="00E05A5D" w:rsidRPr="002F6D75" w:rsidRDefault="00E05A5D" w:rsidP="003B4BCE">
            <w:pPr>
              <w:rPr>
                <w:spacing w:val="-3"/>
                <w:sz w:val="24"/>
                <w:szCs w:val="24"/>
              </w:rPr>
            </w:pPr>
          </w:p>
          <w:p w:rsidR="00E05A5D" w:rsidRDefault="00E05A5D" w:rsidP="003B4BCE">
            <w:pPr>
              <w:rPr>
                <w:spacing w:val="-3"/>
                <w:sz w:val="24"/>
                <w:szCs w:val="24"/>
              </w:rPr>
            </w:pPr>
          </w:p>
          <w:p w:rsidR="00E05A5D" w:rsidRPr="002F6D75" w:rsidRDefault="00E05A5D" w:rsidP="003B4BCE">
            <w:pPr>
              <w:rPr>
                <w:spacing w:val="-3"/>
                <w:sz w:val="24"/>
                <w:szCs w:val="24"/>
              </w:rPr>
            </w:pPr>
            <w:proofErr w:type="spellStart"/>
            <w:r w:rsidRPr="002F6D75">
              <w:rPr>
                <w:spacing w:val="-3"/>
                <w:sz w:val="24"/>
                <w:szCs w:val="24"/>
              </w:rPr>
              <w:t>Atrioventrikulært</w:t>
            </w:r>
            <w:proofErr w:type="spellEnd"/>
            <w:r w:rsidRPr="002F6D75">
              <w:rPr>
                <w:spacing w:val="-3"/>
                <w:sz w:val="24"/>
                <w:szCs w:val="24"/>
              </w:rPr>
              <w:t xml:space="preserve"> blok, cyanose, bradykardi, </w:t>
            </w:r>
            <w:proofErr w:type="spellStart"/>
            <w:r w:rsidRPr="002F6D75">
              <w:rPr>
                <w:spacing w:val="-3"/>
                <w:sz w:val="24"/>
                <w:szCs w:val="24"/>
              </w:rPr>
              <w:t>arytmi</w:t>
            </w:r>
            <w:proofErr w:type="spellEnd"/>
          </w:p>
          <w:p w:rsidR="00E05A5D" w:rsidRPr="002F6D75" w:rsidRDefault="00E05A5D" w:rsidP="003B4BCE">
            <w:pPr>
              <w:rPr>
                <w:spacing w:val="-3"/>
                <w:sz w:val="24"/>
                <w:szCs w:val="24"/>
              </w:rPr>
            </w:pPr>
            <w:r w:rsidRPr="002F6D75">
              <w:rPr>
                <w:spacing w:val="-3"/>
                <w:sz w:val="24"/>
                <w:szCs w:val="24"/>
              </w:rPr>
              <w:t xml:space="preserve">Abnormt elektrokardiogram, </w:t>
            </w:r>
            <w:proofErr w:type="spellStart"/>
            <w:r w:rsidRPr="002F6D75">
              <w:rPr>
                <w:spacing w:val="-3"/>
                <w:sz w:val="24"/>
                <w:szCs w:val="24"/>
              </w:rPr>
              <w:t>asystoli</w:t>
            </w:r>
            <w:proofErr w:type="spellEnd"/>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Hjertestop</w:t>
            </w:r>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proofErr w:type="spellStart"/>
            <w:r w:rsidRPr="002F6D75">
              <w:rPr>
                <w:b/>
                <w:spacing w:val="-3"/>
                <w:sz w:val="24"/>
                <w:szCs w:val="24"/>
              </w:rPr>
              <w:t>Vaskulære</w:t>
            </w:r>
            <w:proofErr w:type="spellEnd"/>
            <w:r w:rsidRPr="002F6D75">
              <w:rPr>
                <w:b/>
                <w:spacing w:val="-3"/>
                <w:sz w:val="24"/>
                <w:szCs w:val="24"/>
              </w:rPr>
              <w:t xml:space="preserve"> sygdomme</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Ikke kendt:</w:t>
            </w:r>
          </w:p>
        </w:tc>
        <w:tc>
          <w:tcPr>
            <w:tcW w:w="3829"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Hypertension, hypotension, bleghed</w:t>
            </w:r>
          </w:p>
          <w:p w:rsidR="00E05A5D" w:rsidRPr="002F6D75" w:rsidRDefault="00E05A5D" w:rsidP="003B4BCE">
            <w:pPr>
              <w:rPr>
                <w:spacing w:val="-3"/>
                <w:sz w:val="24"/>
                <w:szCs w:val="24"/>
              </w:rPr>
            </w:pPr>
          </w:p>
          <w:p w:rsidR="00E05A5D" w:rsidRPr="002F6D75" w:rsidRDefault="00E05A5D" w:rsidP="003B4BCE">
            <w:pPr>
              <w:rPr>
                <w:spacing w:val="-3"/>
                <w:sz w:val="24"/>
                <w:szCs w:val="24"/>
              </w:rPr>
            </w:pPr>
            <w:proofErr w:type="spellStart"/>
            <w:r w:rsidRPr="002F6D75">
              <w:rPr>
                <w:spacing w:val="-3"/>
                <w:sz w:val="24"/>
                <w:szCs w:val="24"/>
              </w:rPr>
              <w:t>Shock</w:t>
            </w:r>
            <w:proofErr w:type="spellEnd"/>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 xml:space="preserve">Luftveje, thorax og </w:t>
            </w:r>
            <w:proofErr w:type="spellStart"/>
            <w:r w:rsidRPr="002F6D75">
              <w:rPr>
                <w:b/>
                <w:spacing w:val="-3"/>
                <w:sz w:val="24"/>
                <w:szCs w:val="24"/>
              </w:rPr>
              <w:t>mediastinum</w:t>
            </w:r>
            <w:proofErr w:type="spellEnd"/>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 xml:space="preserve">Almindelig: </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Ikke almindelig: </w:t>
            </w: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 </w:t>
            </w:r>
          </w:p>
          <w:p w:rsidR="00E05A5D" w:rsidRPr="002F6D75" w:rsidRDefault="00E05A5D" w:rsidP="003B4BCE">
            <w:pPr>
              <w:rPr>
                <w:spacing w:val="-3"/>
                <w:sz w:val="24"/>
                <w:szCs w:val="24"/>
              </w:rPr>
            </w:pPr>
            <w:r w:rsidRPr="002F6D75">
              <w:rPr>
                <w:spacing w:val="-3"/>
                <w:sz w:val="24"/>
                <w:szCs w:val="24"/>
              </w:rPr>
              <w:t>Ikke kendt:</w:t>
            </w:r>
          </w:p>
        </w:tc>
        <w:tc>
          <w:tcPr>
            <w:tcW w:w="3829"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Neonatal cyanose</w:t>
            </w:r>
          </w:p>
          <w:p w:rsidR="00E05A5D" w:rsidRPr="002F6D75" w:rsidRDefault="00E05A5D" w:rsidP="003B4BCE">
            <w:pPr>
              <w:rPr>
                <w:spacing w:val="-3"/>
                <w:sz w:val="24"/>
                <w:szCs w:val="24"/>
              </w:rPr>
            </w:pPr>
          </w:p>
          <w:p w:rsidR="00E05A5D" w:rsidRDefault="00E05A5D" w:rsidP="003B4BCE">
            <w:pPr>
              <w:rPr>
                <w:spacing w:val="-3"/>
                <w:sz w:val="24"/>
                <w:szCs w:val="24"/>
              </w:rPr>
            </w:pPr>
          </w:p>
          <w:p w:rsidR="00E05A5D" w:rsidRPr="002F6D75" w:rsidRDefault="00E05A5D" w:rsidP="003B4BCE">
            <w:pPr>
              <w:rPr>
                <w:spacing w:val="-3"/>
                <w:sz w:val="24"/>
                <w:szCs w:val="24"/>
              </w:rPr>
            </w:pPr>
            <w:proofErr w:type="spellStart"/>
            <w:r w:rsidRPr="002F6D75">
              <w:rPr>
                <w:spacing w:val="-3"/>
                <w:sz w:val="24"/>
                <w:szCs w:val="24"/>
              </w:rPr>
              <w:t>Bronkospasme</w:t>
            </w:r>
            <w:proofErr w:type="spellEnd"/>
            <w:r w:rsidRPr="002F6D75">
              <w:rPr>
                <w:spacing w:val="-3"/>
                <w:sz w:val="24"/>
                <w:szCs w:val="24"/>
              </w:rPr>
              <w:t xml:space="preserve">, </w:t>
            </w:r>
            <w:proofErr w:type="spellStart"/>
            <w:r w:rsidRPr="002F6D75">
              <w:rPr>
                <w:spacing w:val="-3"/>
                <w:sz w:val="24"/>
                <w:szCs w:val="24"/>
              </w:rPr>
              <w:t>hypoventilation</w:t>
            </w:r>
            <w:proofErr w:type="spellEnd"/>
            <w:r w:rsidRPr="002F6D75">
              <w:rPr>
                <w:spacing w:val="-3"/>
                <w:sz w:val="24"/>
                <w:szCs w:val="24"/>
              </w:rPr>
              <w:t xml:space="preserve">, </w:t>
            </w:r>
            <w:proofErr w:type="spellStart"/>
            <w:r w:rsidRPr="002F6D75">
              <w:rPr>
                <w:spacing w:val="-3"/>
                <w:sz w:val="24"/>
                <w:szCs w:val="24"/>
              </w:rPr>
              <w:t>dysfoni</w:t>
            </w:r>
            <w:proofErr w:type="spellEnd"/>
            <w:r w:rsidRPr="002F6D75">
              <w:rPr>
                <w:spacing w:val="-3"/>
                <w:sz w:val="24"/>
                <w:szCs w:val="24"/>
              </w:rPr>
              <w:t>, hoste, hikke, vejtrækningsforstyrrelser</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Respirationsstop, apnø, respirations-</w:t>
            </w:r>
          </w:p>
          <w:p w:rsidR="00E05A5D" w:rsidRPr="002F6D75" w:rsidRDefault="00E05A5D" w:rsidP="003B4BCE">
            <w:pPr>
              <w:rPr>
                <w:spacing w:val="-3"/>
                <w:sz w:val="24"/>
                <w:szCs w:val="24"/>
              </w:rPr>
            </w:pPr>
            <w:r w:rsidRPr="002F6D75">
              <w:rPr>
                <w:spacing w:val="-3"/>
                <w:sz w:val="24"/>
                <w:szCs w:val="24"/>
              </w:rPr>
              <w:t xml:space="preserve">Depression, lungeødem, </w:t>
            </w:r>
            <w:proofErr w:type="spellStart"/>
            <w:r w:rsidRPr="002F6D75">
              <w:rPr>
                <w:spacing w:val="-3"/>
                <w:sz w:val="24"/>
                <w:szCs w:val="24"/>
              </w:rPr>
              <w:t>laryngospasme</w:t>
            </w:r>
            <w:proofErr w:type="spellEnd"/>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Mave-tarm-kanalen</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Almindelig:</w:t>
            </w:r>
          </w:p>
          <w:p w:rsidR="00E05A5D" w:rsidRPr="002F6D75" w:rsidRDefault="00E05A5D" w:rsidP="003B4BCE">
            <w:pPr>
              <w:rPr>
                <w:spacing w:val="-3"/>
                <w:sz w:val="24"/>
                <w:szCs w:val="24"/>
              </w:rPr>
            </w:pPr>
          </w:p>
        </w:tc>
        <w:tc>
          <w:tcPr>
            <w:tcW w:w="3829"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rPr>
                <w:spacing w:val="-3"/>
                <w:sz w:val="24"/>
                <w:szCs w:val="24"/>
              </w:rPr>
            </w:pPr>
            <w:r w:rsidRPr="002F6D75">
              <w:rPr>
                <w:spacing w:val="-3"/>
                <w:sz w:val="24"/>
                <w:szCs w:val="24"/>
              </w:rPr>
              <w:t>Kvalme, opkastning</w:t>
            </w:r>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Hud og subkutane væv</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Meget 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Ikke almindelig: </w:t>
            </w: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Ikke kendt:</w:t>
            </w:r>
          </w:p>
        </w:tc>
        <w:tc>
          <w:tcPr>
            <w:tcW w:w="3829" w:type="dxa"/>
            <w:tcBorders>
              <w:top w:val="single" w:sz="4" w:space="0" w:color="auto"/>
              <w:left w:val="single" w:sz="4" w:space="0" w:color="auto"/>
              <w:bottom w:val="single" w:sz="4" w:space="0" w:color="auto"/>
              <w:right w:val="single" w:sz="4" w:space="0" w:color="auto"/>
            </w:tcBorders>
          </w:tcPr>
          <w:p w:rsidR="00E05A5D" w:rsidRDefault="00E05A5D" w:rsidP="003B4BCE">
            <w:pPr>
              <w:rPr>
                <w:spacing w:val="-3"/>
                <w:sz w:val="24"/>
                <w:szCs w:val="24"/>
              </w:rPr>
            </w:pPr>
          </w:p>
          <w:p w:rsidR="00E05A5D" w:rsidRPr="002F6D75" w:rsidRDefault="00E05A5D" w:rsidP="003B4BCE">
            <w:pPr>
              <w:rPr>
                <w:spacing w:val="-3"/>
                <w:sz w:val="24"/>
                <w:szCs w:val="24"/>
              </w:rPr>
            </w:pPr>
            <w:proofErr w:type="spellStart"/>
            <w:r w:rsidRPr="002F6D75">
              <w:rPr>
                <w:spacing w:val="-3"/>
                <w:sz w:val="24"/>
                <w:szCs w:val="24"/>
              </w:rPr>
              <w:t>Pruritus</w:t>
            </w:r>
            <w:proofErr w:type="spellEnd"/>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Misfarvning af huden</w:t>
            </w:r>
          </w:p>
          <w:p w:rsidR="00E05A5D" w:rsidRPr="002F6D75" w:rsidRDefault="00E05A5D" w:rsidP="003B4BCE">
            <w:pPr>
              <w:rPr>
                <w:spacing w:val="-3"/>
                <w:sz w:val="24"/>
                <w:szCs w:val="24"/>
              </w:rPr>
            </w:pPr>
          </w:p>
          <w:p w:rsidR="00E05A5D"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Allergisk </w:t>
            </w:r>
            <w:proofErr w:type="spellStart"/>
            <w:r w:rsidRPr="002F6D75">
              <w:rPr>
                <w:spacing w:val="-3"/>
                <w:sz w:val="24"/>
                <w:szCs w:val="24"/>
              </w:rPr>
              <w:t>dermatitis</w:t>
            </w:r>
            <w:proofErr w:type="spellEnd"/>
            <w:r w:rsidRPr="002F6D75">
              <w:rPr>
                <w:spacing w:val="-3"/>
                <w:sz w:val="24"/>
                <w:szCs w:val="24"/>
              </w:rPr>
              <w:t xml:space="preserve">, </w:t>
            </w:r>
            <w:proofErr w:type="spellStart"/>
            <w:r w:rsidRPr="002F6D75">
              <w:rPr>
                <w:spacing w:val="-3"/>
                <w:sz w:val="24"/>
                <w:szCs w:val="24"/>
              </w:rPr>
              <w:t>hyperhidrose</w:t>
            </w:r>
            <w:proofErr w:type="spellEnd"/>
            <w:r w:rsidRPr="002F6D75">
              <w:rPr>
                <w:spacing w:val="-3"/>
                <w:sz w:val="24"/>
                <w:szCs w:val="24"/>
              </w:rPr>
              <w:t>, udslæt, neonatalt udslæt, tør hud</w:t>
            </w:r>
          </w:p>
          <w:p w:rsidR="00E05A5D" w:rsidRPr="002F6D75" w:rsidRDefault="00E05A5D" w:rsidP="003B4BCE">
            <w:pPr>
              <w:rPr>
                <w:spacing w:val="-3"/>
                <w:sz w:val="24"/>
                <w:szCs w:val="24"/>
              </w:rPr>
            </w:pPr>
          </w:p>
          <w:p w:rsidR="00E05A5D" w:rsidRPr="002F6D75" w:rsidRDefault="00E05A5D" w:rsidP="003B4BCE">
            <w:pPr>
              <w:rPr>
                <w:spacing w:val="-3"/>
                <w:sz w:val="24"/>
                <w:szCs w:val="24"/>
              </w:rPr>
            </w:pPr>
            <w:proofErr w:type="spellStart"/>
            <w:r w:rsidRPr="002F6D75">
              <w:rPr>
                <w:spacing w:val="-3"/>
                <w:sz w:val="24"/>
                <w:szCs w:val="24"/>
              </w:rPr>
              <w:t>Erytem</w:t>
            </w:r>
            <w:proofErr w:type="spellEnd"/>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Knogler, led, muskler og bindevæv</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 xml:space="preserve">Almindelig: </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lastRenderedPageBreak/>
              <w:t>Ikke 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Ikke kendt:</w:t>
            </w:r>
          </w:p>
        </w:tc>
        <w:tc>
          <w:tcPr>
            <w:tcW w:w="3829"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lastRenderedPageBreak/>
              <w:t>Muskeltrækninger</w:t>
            </w:r>
          </w:p>
          <w:p w:rsidR="00E05A5D" w:rsidRPr="002F6D75" w:rsidRDefault="00E05A5D" w:rsidP="003B4BCE">
            <w:pPr>
              <w:rPr>
                <w:spacing w:val="-3"/>
                <w:sz w:val="24"/>
                <w:szCs w:val="24"/>
              </w:rPr>
            </w:pPr>
          </w:p>
          <w:p w:rsidR="00E05A5D"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lastRenderedPageBreak/>
              <w:t xml:space="preserve">Rygsmerter, neonatal </w:t>
            </w:r>
            <w:proofErr w:type="spellStart"/>
            <w:r w:rsidRPr="002F6D75">
              <w:rPr>
                <w:spacing w:val="-3"/>
                <w:sz w:val="24"/>
                <w:szCs w:val="24"/>
              </w:rPr>
              <w:t>hypotoni</w:t>
            </w:r>
            <w:proofErr w:type="spellEnd"/>
            <w:r w:rsidRPr="002F6D75">
              <w:rPr>
                <w:spacing w:val="-3"/>
                <w:sz w:val="24"/>
                <w:szCs w:val="24"/>
              </w:rPr>
              <w:t xml:space="preserve">, skeletal muskelstivhed (inklusive stivhed i </w:t>
            </w:r>
            <w:proofErr w:type="spellStart"/>
            <w:r w:rsidRPr="002F6D75">
              <w:rPr>
                <w:spacing w:val="-3"/>
                <w:sz w:val="24"/>
                <w:szCs w:val="24"/>
              </w:rPr>
              <w:t>thoraxvæg</w:t>
            </w:r>
            <w:proofErr w:type="spellEnd"/>
            <w:r w:rsidRPr="002F6D75">
              <w:rPr>
                <w:spacing w:val="-3"/>
                <w:sz w:val="24"/>
                <w:szCs w:val="24"/>
              </w:rPr>
              <w:t>)</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Muskelspasmer.</w:t>
            </w:r>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ind w:left="63"/>
              <w:rPr>
                <w:b/>
                <w:spacing w:val="-3"/>
                <w:sz w:val="24"/>
                <w:szCs w:val="24"/>
              </w:rPr>
            </w:pPr>
            <w:r w:rsidRPr="002F6D75">
              <w:rPr>
                <w:b/>
                <w:spacing w:val="-3"/>
                <w:sz w:val="24"/>
                <w:szCs w:val="24"/>
              </w:rPr>
              <w:lastRenderedPageBreak/>
              <w:t>Nyrer og urinveje</w:t>
            </w:r>
          </w:p>
          <w:p w:rsidR="00E05A5D" w:rsidRPr="002F6D75" w:rsidRDefault="00E05A5D" w:rsidP="003B4BCE">
            <w:pPr>
              <w:ind w:left="63"/>
              <w:rPr>
                <w:spacing w:val="-3"/>
                <w:sz w:val="24"/>
                <w:szCs w:val="24"/>
              </w:rPr>
            </w:pPr>
          </w:p>
        </w:tc>
        <w:tc>
          <w:tcPr>
            <w:tcW w:w="1702"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rPr>
                <w:spacing w:val="-3"/>
                <w:sz w:val="24"/>
                <w:szCs w:val="24"/>
              </w:rPr>
            </w:pPr>
            <w:r w:rsidRPr="002F6D75">
              <w:rPr>
                <w:spacing w:val="-3"/>
                <w:sz w:val="24"/>
                <w:szCs w:val="24"/>
              </w:rPr>
              <w:t xml:space="preserve">Almindelig: </w:t>
            </w:r>
          </w:p>
        </w:tc>
        <w:tc>
          <w:tcPr>
            <w:tcW w:w="3829"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rPr>
                <w:spacing w:val="-3"/>
                <w:sz w:val="24"/>
                <w:szCs w:val="24"/>
              </w:rPr>
            </w:pPr>
            <w:r w:rsidRPr="002F6D75">
              <w:rPr>
                <w:spacing w:val="-3"/>
                <w:sz w:val="24"/>
                <w:szCs w:val="24"/>
              </w:rPr>
              <w:t>Urinretention, urininkontinens.</w:t>
            </w:r>
          </w:p>
        </w:tc>
      </w:tr>
      <w:tr w:rsidR="00E05A5D" w:rsidRPr="002F6D75" w:rsidTr="003B4BCE">
        <w:tc>
          <w:tcPr>
            <w:tcW w:w="3121" w:type="dxa"/>
            <w:tcBorders>
              <w:top w:val="single" w:sz="4" w:space="0" w:color="auto"/>
              <w:left w:val="single" w:sz="4" w:space="0" w:color="auto"/>
              <w:bottom w:val="single" w:sz="4" w:space="0" w:color="auto"/>
              <w:right w:val="single" w:sz="4" w:space="0" w:color="auto"/>
            </w:tcBorders>
            <w:hideMark/>
          </w:tcPr>
          <w:p w:rsidR="00E05A5D" w:rsidRPr="002F6D75" w:rsidRDefault="00E05A5D" w:rsidP="003B4BCE">
            <w:pPr>
              <w:ind w:left="63"/>
              <w:rPr>
                <w:spacing w:val="-3"/>
                <w:sz w:val="24"/>
                <w:szCs w:val="24"/>
              </w:rPr>
            </w:pPr>
            <w:r w:rsidRPr="002F6D75">
              <w:rPr>
                <w:b/>
                <w:spacing w:val="-3"/>
                <w:sz w:val="24"/>
                <w:szCs w:val="24"/>
              </w:rPr>
              <w:t>Almene symptomer og reaktioner på administrationsstedet</w:t>
            </w:r>
          </w:p>
        </w:tc>
        <w:tc>
          <w:tcPr>
            <w:tcW w:w="1702"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r w:rsidRPr="002F6D75">
              <w:rPr>
                <w:spacing w:val="-3"/>
                <w:sz w:val="24"/>
                <w:szCs w:val="24"/>
              </w:rPr>
              <w:t>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Ikke almindelig:</w:t>
            </w:r>
          </w:p>
          <w:p w:rsidR="00E05A5D" w:rsidRPr="002F6D75" w:rsidRDefault="00E05A5D" w:rsidP="003B4BCE">
            <w:pPr>
              <w:rPr>
                <w:spacing w:val="-3"/>
                <w:sz w:val="24"/>
                <w:szCs w:val="24"/>
              </w:rPr>
            </w:pPr>
          </w:p>
          <w:p w:rsidR="00E05A5D" w:rsidRPr="002F6D75" w:rsidRDefault="00E05A5D" w:rsidP="003B4BCE">
            <w:pPr>
              <w:rPr>
                <w:spacing w:val="-3"/>
                <w:sz w:val="24"/>
                <w:szCs w:val="24"/>
              </w:rPr>
            </w:pPr>
          </w:p>
        </w:tc>
        <w:tc>
          <w:tcPr>
            <w:tcW w:w="3829" w:type="dxa"/>
            <w:tcBorders>
              <w:top w:val="single" w:sz="4" w:space="0" w:color="auto"/>
              <w:left w:val="single" w:sz="4" w:space="0" w:color="auto"/>
              <w:bottom w:val="single" w:sz="4" w:space="0" w:color="auto"/>
              <w:right w:val="single" w:sz="4" w:space="0" w:color="auto"/>
            </w:tcBorders>
          </w:tcPr>
          <w:p w:rsidR="00E05A5D" w:rsidRPr="002F6D75" w:rsidRDefault="00E05A5D" w:rsidP="003B4BCE">
            <w:pPr>
              <w:rPr>
                <w:spacing w:val="-3"/>
                <w:sz w:val="24"/>
                <w:szCs w:val="24"/>
              </w:rPr>
            </w:pPr>
            <w:proofErr w:type="spellStart"/>
            <w:r w:rsidRPr="002F6D75">
              <w:rPr>
                <w:spacing w:val="-3"/>
                <w:sz w:val="24"/>
                <w:szCs w:val="24"/>
              </w:rPr>
              <w:t>Pyreksi</w:t>
            </w:r>
            <w:proofErr w:type="spellEnd"/>
          </w:p>
          <w:p w:rsidR="00E05A5D" w:rsidRPr="002F6D75" w:rsidRDefault="00E05A5D" w:rsidP="003B4BCE">
            <w:pPr>
              <w:rPr>
                <w:spacing w:val="-3"/>
                <w:sz w:val="24"/>
                <w:szCs w:val="24"/>
              </w:rPr>
            </w:pPr>
          </w:p>
          <w:p w:rsidR="00E05A5D" w:rsidRDefault="00E05A5D" w:rsidP="003B4BCE">
            <w:pPr>
              <w:rPr>
                <w:spacing w:val="-3"/>
                <w:sz w:val="24"/>
                <w:szCs w:val="24"/>
              </w:rPr>
            </w:pPr>
          </w:p>
          <w:p w:rsidR="00E05A5D" w:rsidRPr="002F6D75" w:rsidRDefault="00E05A5D" w:rsidP="003B4BCE">
            <w:pPr>
              <w:rPr>
                <w:spacing w:val="-3"/>
                <w:sz w:val="24"/>
                <w:szCs w:val="24"/>
              </w:rPr>
            </w:pPr>
            <w:r w:rsidRPr="002F6D75">
              <w:rPr>
                <w:spacing w:val="-3"/>
                <w:sz w:val="24"/>
                <w:szCs w:val="24"/>
              </w:rPr>
              <w:t xml:space="preserve">Kulderystelser, </w:t>
            </w:r>
            <w:proofErr w:type="spellStart"/>
            <w:r w:rsidRPr="002F6D75">
              <w:rPr>
                <w:spacing w:val="-3"/>
                <w:sz w:val="24"/>
                <w:szCs w:val="24"/>
              </w:rPr>
              <w:t>hypotermi</w:t>
            </w:r>
            <w:proofErr w:type="spellEnd"/>
            <w:r w:rsidRPr="002F6D75">
              <w:rPr>
                <w:spacing w:val="-3"/>
                <w:sz w:val="24"/>
                <w:szCs w:val="24"/>
              </w:rPr>
              <w:t>, nedsat legemstemperatur, øget legemstemperatur, reaktion på injektionsstedet, smerte på injektionsstedet, smerte.</w:t>
            </w:r>
          </w:p>
        </w:tc>
      </w:tr>
    </w:tbl>
    <w:p w:rsidR="00E05A5D" w:rsidRPr="002F6D75" w:rsidRDefault="00E05A5D" w:rsidP="00E05A5D">
      <w:pPr>
        <w:ind w:left="851"/>
        <w:rPr>
          <w:spacing w:val="-3"/>
          <w:sz w:val="24"/>
          <w:szCs w:val="24"/>
          <w:u w:val="single"/>
        </w:rPr>
      </w:pPr>
    </w:p>
    <w:p w:rsidR="00E05A5D" w:rsidRPr="002F6D75" w:rsidRDefault="00E05A5D" w:rsidP="00E05A5D">
      <w:pPr>
        <w:ind w:left="851"/>
        <w:rPr>
          <w:spacing w:val="-3"/>
          <w:sz w:val="24"/>
          <w:szCs w:val="24"/>
          <w:u w:val="single"/>
        </w:rPr>
      </w:pPr>
      <w:r w:rsidRPr="002F6D75">
        <w:rPr>
          <w:spacing w:val="-3"/>
          <w:sz w:val="24"/>
          <w:szCs w:val="24"/>
          <w:u w:val="single"/>
        </w:rPr>
        <w:t>Pædiatrisk population</w:t>
      </w:r>
    </w:p>
    <w:p w:rsidR="00E05A5D" w:rsidRPr="002F6D75" w:rsidRDefault="00E05A5D" w:rsidP="00E05A5D">
      <w:pPr>
        <w:ind w:left="851"/>
        <w:rPr>
          <w:spacing w:val="-3"/>
          <w:sz w:val="24"/>
          <w:szCs w:val="24"/>
        </w:rPr>
      </w:pPr>
      <w:r w:rsidRPr="002F6D75">
        <w:rPr>
          <w:spacing w:val="-3"/>
          <w:sz w:val="24"/>
          <w:szCs w:val="24"/>
        </w:rPr>
        <w:t>Hyppigheden, typen og sværhedsgraden af bivirkninger hos børn forventes at være de samme som hos voksne.</w:t>
      </w:r>
    </w:p>
    <w:p w:rsidR="00E05A5D" w:rsidRPr="002F6D75" w:rsidRDefault="00E05A5D" w:rsidP="00E05A5D">
      <w:pPr>
        <w:ind w:left="851"/>
        <w:rPr>
          <w:sz w:val="24"/>
          <w:szCs w:val="24"/>
        </w:rPr>
      </w:pPr>
    </w:p>
    <w:p w:rsidR="00E05A5D" w:rsidRDefault="00E05A5D" w:rsidP="00E05A5D">
      <w:pPr>
        <w:autoSpaceDE w:val="0"/>
        <w:autoSpaceDN w:val="0"/>
        <w:ind w:left="851"/>
        <w:rPr>
          <w:sz w:val="24"/>
          <w:szCs w:val="24"/>
          <w:u w:val="single"/>
          <w:lang w:eastAsia="da-DK"/>
        </w:rPr>
      </w:pPr>
      <w:r>
        <w:rPr>
          <w:sz w:val="24"/>
          <w:szCs w:val="24"/>
          <w:u w:val="single"/>
          <w:lang w:eastAsia="da-DK"/>
        </w:rPr>
        <w:t>Indberetning af formodede bivirkninger</w:t>
      </w:r>
    </w:p>
    <w:p w:rsidR="00E05A5D" w:rsidRDefault="00E05A5D" w:rsidP="00E05A5D">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1B3DC8">
        <w:rPr>
          <w:sz w:val="24"/>
          <w:szCs w:val="24"/>
          <w:lang w:eastAsia="da-DK"/>
        </w:rPr>
        <w:t>S</w:t>
      </w:r>
      <w:r>
        <w:rPr>
          <w:sz w:val="24"/>
          <w:szCs w:val="24"/>
          <w:lang w:eastAsia="da-DK"/>
        </w:rPr>
        <w:t>undhedsperson</w:t>
      </w:r>
      <w:r w:rsidR="001B3DC8">
        <w:rPr>
          <w:sz w:val="24"/>
          <w:szCs w:val="24"/>
          <w:lang w:eastAsia="da-DK"/>
        </w:rPr>
        <w:t>er</w:t>
      </w:r>
      <w:r>
        <w:rPr>
          <w:sz w:val="24"/>
          <w:szCs w:val="24"/>
          <w:lang w:eastAsia="da-DK"/>
        </w:rPr>
        <w:t xml:space="preserve"> anmodes om at indberette alle formodede bivirkninger via:</w:t>
      </w:r>
    </w:p>
    <w:p w:rsidR="00E05A5D" w:rsidRDefault="00E05A5D" w:rsidP="00E05A5D">
      <w:pPr>
        <w:ind w:left="851"/>
        <w:rPr>
          <w:sz w:val="24"/>
          <w:szCs w:val="24"/>
          <w:lang w:eastAsia="da-DK"/>
        </w:rPr>
      </w:pPr>
    </w:p>
    <w:p w:rsidR="00E05A5D" w:rsidRDefault="00E05A5D" w:rsidP="00E05A5D">
      <w:pPr>
        <w:ind w:left="851"/>
        <w:rPr>
          <w:sz w:val="24"/>
          <w:szCs w:val="24"/>
          <w:lang w:eastAsia="da-DK"/>
        </w:rPr>
      </w:pPr>
      <w:r>
        <w:rPr>
          <w:sz w:val="24"/>
          <w:szCs w:val="24"/>
          <w:lang w:eastAsia="da-DK"/>
        </w:rPr>
        <w:t>Lægemiddelstyrelsen</w:t>
      </w:r>
    </w:p>
    <w:p w:rsidR="00E05A5D" w:rsidRDefault="00E05A5D" w:rsidP="00E05A5D">
      <w:pPr>
        <w:ind w:left="851"/>
        <w:rPr>
          <w:sz w:val="24"/>
          <w:szCs w:val="24"/>
          <w:lang w:eastAsia="da-DK"/>
        </w:rPr>
      </w:pPr>
      <w:r>
        <w:rPr>
          <w:sz w:val="24"/>
          <w:szCs w:val="24"/>
          <w:lang w:eastAsia="da-DK"/>
        </w:rPr>
        <w:t>Axel Heides Gade 1</w:t>
      </w:r>
    </w:p>
    <w:p w:rsidR="00E05A5D" w:rsidRDefault="00E05A5D" w:rsidP="00E05A5D">
      <w:pPr>
        <w:ind w:left="851"/>
        <w:rPr>
          <w:sz w:val="24"/>
          <w:szCs w:val="24"/>
          <w:lang w:eastAsia="da-DK"/>
        </w:rPr>
      </w:pPr>
      <w:r>
        <w:rPr>
          <w:sz w:val="24"/>
          <w:szCs w:val="24"/>
          <w:lang w:eastAsia="da-DK"/>
        </w:rPr>
        <w:t>DK-2300 København S</w:t>
      </w:r>
    </w:p>
    <w:p w:rsidR="00E05A5D" w:rsidRPr="003021AB" w:rsidRDefault="00E05A5D" w:rsidP="00E05A5D">
      <w:pPr>
        <w:ind w:left="851"/>
        <w:rPr>
          <w:sz w:val="24"/>
          <w:szCs w:val="24"/>
          <w:lang w:eastAsia="da-DK"/>
        </w:rPr>
      </w:pPr>
      <w:r w:rsidRPr="003021AB">
        <w:rPr>
          <w:sz w:val="24"/>
          <w:szCs w:val="24"/>
          <w:lang w:eastAsia="da-DK"/>
        </w:rPr>
        <w:t xml:space="preserve">Websted: </w:t>
      </w:r>
      <w:hyperlink r:id="rId8" w:history="1">
        <w:r w:rsidRPr="003021AB">
          <w:rPr>
            <w:rStyle w:val="Hyperlink"/>
            <w:sz w:val="24"/>
            <w:lang w:eastAsia="da-DK"/>
          </w:rPr>
          <w:t>www.meldenbivirkning.dk</w:t>
        </w:r>
      </w:hyperlink>
    </w:p>
    <w:p w:rsidR="00E05A5D" w:rsidRPr="003021AB" w:rsidRDefault="00E05A5D" w:rsidP="00E05A5D">
      <w:pPr>
        <w:pStyle w:val="Sidehoved"/>
        <w:tabs>
          <w:tab w:val="left" w:pos="851"/>
        </w:tabs>
        <w:ind w:left="851"/>
        <w:rPr>
          <w:szCs w:val="24"/>
        </w:rPr>
      </w:pPr>
    </w:p>
    <w:p w:rsidR="00E05A5D" w:rsidRPr="00C81059" w:rsidRDefault="00E05A5D" w:rsidP="0019649B">
      <w:pPr>
        <w:keepNext/>
        <w:tabs>
          <w:tab w:val="left" w:pos="851"/>
        </w:tabs>
        <w:ind w:left="851" w:hanging="851"/>
        <w:rPr>
          <w:b/>
          <w:sz w:val="24"/>
          <w:szCs w:val="24"/>
        </w:rPr>
      </w:pPr>
      <w:r w:rsidRPr="002F6D75">
        <w:rPr>
          <w:b/>
          <w:sz w:val="24"/>
          <w:szCs w:val="24"/>
        </w:rPr>
        <w:t>4.9</w:t>
      </w:r>
      <w:r w:rsidRPr="002F6D75">
        <w:rPr>
          <w:b/>
          <w:sz w:val="24"/>
          <w:szCs w:val="24"/>
        </w:rPr>
        <w:tab/>
        <w:t>Overdosering</w:t>
      </w:r>
    </w:p>
    <w:p w:rsidR="00E05A5D" w:rsidRPr="008316AC" w:rsidRDefault="00E05A5D" w:rsidP="00E05A5D">
      <w:pPr>
        <w:keepNext/>
        <w:keepLines/>
        <w:ind w:left="851"/>
        <w:rPr>
          <w:sz w:val="24"/>
          <w:szCs w:val="24"/>
          <w:u w:val="single"/>
          <w:lang w:eastAsia="de-DE"/>
        </w:rPr>
      </w:pPr>
      <w:r w:rsidRPr="008316AC">
        <w:rPr>
          <w:sz w:val="24"/>
          <w:szCs w:val="24"/>
          <w:u w:val="single"/>
          <w:lang w:eastAsia="de-DE"/>
        </w:rPr>
        <w:t>Tegn og symptomer</w:t>
      </w:r>
    </w:p>
    <w:p w:rsidR="00E05A5D" w:rsidRPr="008316AC" w:rsidRDefault="00E05A5D" w:rsidP="00E05A5D">
      <w:pPr>
        <w:tabs>
          <w:tab w:val="left" w:pos="851"/>
        </w:tabs>
        <w:ind w:left="851"/>
        <w:rPr>
          <w:sz w:val="24"/>
          <w:szCs w:val="24"/>
          <w:lang w:eastAsia="de-DE"/>
        </w:rPr>
      </w:pPr>
      <w:r w:rsidRPr="008316AC">
        <w:rPr>
          <w:sz w:val="24"/>
          <w:szCs w:val="24"/>
          <w:lang w:eastAsia="de-DE"/>
        </w:rPr>
        <w:t xml:space="preserve">En overdosis af </w:t>
      </w:r>
      <w:proofErr w:type="spellStart"/>
      <w:r w:rsidRPr="008316AC">
        <w:rPr>
          <w:sz w:val="24"/>
          <w:szCs w:val="24"/>
          <w:lang w:eastAsia="de-DE"/>
        </w:rPr>
        <w:t>sufentanil</w:t>
      </w:r>
      <w:proofErr w:type="spellEnd"/>
      <w:r w:rsidRPr="008316AC">
        <w:rPr>
          <w:sz w:val="24"/>
          <w:szCs w:val="24"/>
          <w:lang w:eastAsia="de-DE"/>
        </w:rPr>
        <w:t xml:space="preserve"> manifesterer sig som en forlængelse af dets farmakologiske virkninger. Afhængigt af patientens individuelle følsomhed vurderes det kliniske billede primært ved hjælp af graden af respirationsdepression, der varierer fra </w:t>
      </w:r>
      <w:proofErr w:type="spellStart"/>
      <w:r w:rsidRPr="008316AC">
        <w:rPr>
          <w:sz w:val="24"/>
          <w:szCs w:val="24"/>
          <w:lang w:eastAsia="de-DE"/>
        </w:rPr>
        <w:t>bradypnø</w:t>
      </w:r>
      <w:proofErr w:type="spellEnd"/>
      <w:r w:rsidRPr="008316AC">
        <w:rPr>
          <w:sz w:val="24"/>
          <w:szCs w:val="24"/>
          <w:lang w:eastAsia="de-DE"/>
        </w:rPr>
        <w:t xml:space="preserve"> til apnø.</w:t>
      </w:r>
    </w:p>
    <w:p w:rsidR="00E05A5D" w:rsidRPr="008316AC" w:rsidRDefault="00E05A5D" w:rsidP="00E05A5D">
      <w:pPr>
        <w:tabs>
          <w:tab w:val="left" w:pos="851"/>
        </w:tabs>
        <w:ind w:left="851"/>
        <w:rPr>
          <w:b/>
          <w:sz w:val="24"/>
          <w:szCs w:val="24"/>
          <w:lang w:eastAsia="da-DK"/>
        </w:rPr>
      </w:pPr>
      <w:r w:rsidRPr="008316AC">
        <w:rPr>
          <w:sz w:val="24"/>
          <w:szCs w:val="24"/>
          <w:lang w:eastAsia="da-DK"/>
        </w:rPr>
        <w:t xml:space="preserve">På grund af </w:t>
      </w:r>
      <w:proofErr w:type="spellStart"/>
      <w:r w:rsidRPr="008316AC">
        <w:rPr>
          <w:sz w:val="24"/>
          <w:szCs w:val="24"/>
          <w:lang w:eastAsia="da-DK"/>
        </w:rPr>
        <w:t>sufentanils</w:t>
      </w:r>
      <w:proofErr w:type="spellEnd"/>
      <w:r w:rsidRPr="008316AC">
        <w:rPr>
          <w:sz w:val="24"/>
          <w:szCs w:val="24"/>
          <w:lang w:eastAsia="da-DK"/>
        </w:rPr>
        <w:t xml:space="preserve"> farmakologiske forhold kan respirationsdepressionen allerede forekomme i det terapeutiske dosisinterval (</w:t>
      </w:r>
      <w:proofErr w:type="spellStart"/>
      <w:r w:rsidRPr="008316AC">
        <w:rPr>
          <w:sz w:val="24"/>
          <w:szCs w:val="24"/>
          <w:lang w:eastAsia="da-DK"/>
        </w:rPr>
        <w:t>i.v</w:t>
      </w:r>
      <w:proofErr w:type="spellEnd"/>
      <w:r w:rsidRPr="008316AC">
        <w:rPr>
          <w:sz w:val="24"/>
          <w:szCs w:val="24"/>
          <w:lang w:eastAsia="da-DK"/>
        </w:rPr>
        <w:t xml:space="preserve">.: &gt;0,3 mikrogram/kg legemsvægt). Da </w:t>
      </w:r>
      <w:proofErr w:type="spellStart"/>
      <w:r w:rsidRPr="008316AC">
        <w:rPr>
          <w:sz w:val="24"/>
          <w:szCs w:val="24"/>
          <w:lang w:eastAsia="da-DK"/>
        </w:rPr>
        <w:t>sufentanil</w:t>
      </w:r>
      <w:proofErr w:type="spellEnd"/>
      <w:r w:rsidRPr="008316AC">
        <w:rPr>
          <w:sz w:val="24"/>
          <w:szCs w:val="24"/>
          <w:lang w:eastAsia="da-DK"/>
        </w:rPr>
        <w:t xml:space="preserve"> indgives under kontrollerede forhold skal passende håndtering af aktuelle symptomer sikres.</w:t>
      </w:r>
    </w:p>
    <w:p w:rsidR="00E05A5D" w:rsidRPr="008316AC" w:rsidRDefault="00E05A5D" w:rsidP="00E05A5D">
      <w:pPr>
        <w:tabs>
          <w:tab w:val="left" w:pos="851"/>
        </w:tabs>
        <w:ind w:left="851"/>
        <w:rPr>
          <w:sz w:val="24"/>
          <w:szCs w:val="24"/>
          <w:lang w:eastAsia="da-DK"/>
        </w:rPr>
      </w:pPr>
    </w:p>
    <w:p w:rsidR="00E05A5D" w:rsidRPr="008316AC" w:rsidRDefault="00E05A5D" w:rsidP="00E05A5D">
      <w:pPr>
        <w:keepNext/>
        <w:tabs>
          <w:tab w:val="left" w:pos="851"/>
        </w:tabs>
        <w:ind w:left="851"/>
        <w:rPr>
          <w:sz w:val="24"/>
          <w:szCs w:val="24"/>
          <w:lang w:eastAsia="da-DK"/>
        </w:rPr>
      </w:pPr>
      <w:r w:rsidRPr="008316AC">
        <w:rPr>
          <w:sz w:val="24"/>
          <w:szCs w:val="24"/>
          <w:u w:val="single"/>
          <w:lang w:eastAsia="da-DK"/>
        </w:rPr>
        <w:t>Behandling</w:t>
      </w:r>
    </w:p>
    <w:p w:rsidR="00E05A5D" w:rsidRPr="008316AC" w:rsidRDefault="00E05A5D" w:rsidP="00E05A5D">
      <w:pPr>
        <w:tabs>
          <w:tab w:val="left" w:pos="851"/>
        </w:tabs>
        <w:ind w:left="851"/>
        <w:rPr>
          <w:sz w:val="24"/>
          <w:szCs w:val="24"/>
          <w:lang w:eastAsia="da-DK"/>
        </w:rPr>
      </w:pPr>
      <w:r w:rsidRPr="008316AC">
        <w:rPr>
          <w:sz w:val="24"/>
          <w:szCs w:val="24"/>
          <w:lang w:eastAsia="da-DK"/>
        </w:rPr>
        <w:t xml:space="preserve">I tilfælde af </w:t>
      </w:r>
      <w:proofErr w:type="spellStart"/>
      <w:r w:rsidRPr="008316AC">
        <w:rPr>
          <w:sz w:val="24"/>
          <w:szCs w:val="24"/>
          <w:lang w:eastAsia="da-DK"/>
        </w:rPr>
        <w:t>hypoventilation</w:t>
      </w:r>
      <w:proofErr w:type="spellEnd"/>
      <w:r w:rsidRPr="008316AC">
        <w:rPr>
          <w:sz w:val="24"/>
          <w:szCs w:val="24"/>
          <w:lang w:eastAsia="da-DK"/>
        </w:rPr>
        <w:t xml:space="preserve"> eller apnø skal der administreres ilt, og respirationen understøttes eller kontrolleres efter behov. Der bør anvendes en specifik narkotikaantagonist, såsom </w:t>
      </w:r>
      <w:proofErr w:type="spellStart"/>
      <w:r w:rsidRPr="008316AC">
        <w:rPr>
          <w:sz w:val="24"/>
          <w:szCs w:val="24"/>
          <w:lang w:eastAsia="da-DK"/>
        </w:rPr>
        <w:t>naloxon</w:t>
      </w:r>
      <w:proofErr w:type="spellEnd"/>
      <w:r w:rsidRPr="008316AC">
        <w:rPr>
          <w:sz w:val="24"/>
          <w:szCs w:val="24"/>
          <w:lang w:eastAsia="da-DK"/>
        </w:rPr>
        <w:t>, efter behov for at kontrollere respirationsdepression. Dette udelukker ikke brug af yderligere øjeblikkelige modforanstaltninger. Respirationsdepressionen kan vare i længere tid end effekten af antagonisten. Det kan derfor være nødvendigt med yderligere doser efterfølgende.</w:t>
      </w:r>
    </w:p>
    <w:p w:rsidR="00E05A5D" w:rsidRPr="008316AC" w:rsidRDefault="00E05A5D" w:rsidP="00E05A5D">
      <w:pPr>
        <w:tabs>
          <w:tab w:val="left" w:pos="851"/>
        </w:tabs>
        <w:ind w:left="851"/>
        <w:rPr>
          <w:sz w:val="24"/>
          <w:szCs w:val="24"/>
          <w:lang w:eastAsia="da-DK"/>
        </w:rPr>
      </w:pPr>
      <w:r w:rsidRPr="008316AC">
        <w:rPr>
          <w:sz w:val="24"/>
          <w:szCs w:val="24"/>
          <w:lang w:eastAsia="da-DK"/>
        </w:rPr>
        <w:t xml:space="preserve">Hvis respirationsdepression er forbundet med muskelrigiditet, kan det være nødvendigt at administrere et intravenøst </w:t>
      </w:r>
      <w:proofErr w:type="spellStart"/>
      <w:r w:rsidRPr="008316AC">
        <w:rPr>
          <w:sz w:val="24"/>
          <w:szCs w:val="24"/>
          <w:lang w:eastAsia="da-DK"/>
        </w:rPr>
        <w:t>neuromuskulært</w:t>
      </w:r>
      <w:proofErr w:type="spellEnd"/>
      <w:r w:rsidRPr="008316AC">
        <w:rPr>
          <w:sz w:val="24"/>
          <w:szCs w:val="24"/>
          <w:lang w:eastAsia="da-DK"/>
        </w:rPr>
        <w:t xml:space="preserve"> bloklægemidler for at lette understøttet eller kontrolleret respiration.</w:t>
      </w:r>
    </w:p>
    <w:p w:rsidR="00E05A5D" w:rsidRDefault="00E05A5D" w:rsidP="00E05A5D">
      <w:pPr>
        <w:tabs>
          <w:tab w:val="left" w:pos="851"/>
        </w:tabs>
        <w:ind w:left="851"/>
        <w:rPr>
          <w:sz w:val="24"/>
          <w:szCs w:val="24"/>
          <w:lang w:eastAsia="da-DK"/>
        </w:rPr>
      </w:pPr>
      <w:r w:rsidRPr="008316AC">
        <w:rPr>
          <w:sz w:val="24"/>
          <w:szCs w:val="24"/>
          <w:lang w:eastAsia="da-DK"/>
        </w:rPr>
        <w:lastRenderedPageBreak/>
        <w:t xml:space="preserve">Patienten skal holdes unde nøje observation. Legemsvarme og tilstrækkeligt væskeindtag skal opretholdes. Hvis hypotension optræder i svær grad eller er vedvarende, skal muligheden for </w:t>
      </w:r>
      <w:proofErr w:type="spellStart"/>
      <w:r w:rsidRPr="008316AC">
        <w:rPr>
          <w:sz w:val="24"/>
          <w:szCs w:val="24"/>
          <w:lang w:eastAsia="da-DK"/>
        </w:rPr>
        <w:t>hypovolæmi</w:t>
      </w:r>
      <w:proofErr w:type="spellEnd"/>
      <w:r w:rsidRPr="008316AC">
        <w:rPr>
          <w:sz w:val="24"/>
          <w:szCs w:val="24"/>
          <w:lang w:eastAsia="da-DK"/>
        </w:rPr>
        <w:t xml:space="preserve"> overvejes. Skulle </w:t>
      </w:r>
      <w:proofErr w:type="spellStart"/>
      <w:r w:rsidRPr="008316AC">
        <w:rPr>
          <w:sz w:val="24"/>
          <w:szCs w:val="24"/>
          <w:lang w:eastAsia="da-DK"/>
        </w:rPr>
        <w:t>hypovolæmi</w:t>
      </w:r>
      <w:proofErr w:type="spellEnd"/>
      <w:r w:rsidRPr="008316AC">
        <w:rPr>
          <w:sz w:val="24"/>
          <w:szCs w:val="24"/>
          <w:lang w:eastAsia="da-DK"/>
        </w:rPr>
        <w:t xml:space="preserve"> optræde, kontrolleres det med parenteral administration af tilstrækkelig væske.</w:t>
      </w:r>
    </w:p>
    <w:p w:rsidR="00E05A5D" w:rsidRPr="0072739B" w:rsidRDefault="00E05A5D" w:rsidP="00E05A5D">
      <w:pPr>
        <w:tabs>
          <w:tab w:val="left" w:pos="851"/>
        </w:tabs>
        <w:ind w:left="851"/>
        <w:rPr>
          <w:vanish/>
          <w:sz w:val="24"/>
          <w:szCs w:val="24"/>
          <w:highlight w:val="yellow"/>
          <w:lang w:eastAsia="da-DK"/>
        </w:rPr>
      </w:pPr>
    </w:p>
    <w:p w:rsidR="00E05A5D" w:rsidRPr="0072739B" w:rsidRDefault="00E05A5D" w:rsidP="00E05A5D">
      <w:pPr>
        <w:tabs>
          <w:tab w:val="left" w:pos="851"/>
        </w:tabs>
        <w:ind w:left="851"/>
        <w:rPr>
          <w:sz w:val="24"/>
          <w:szCs w:val="24"/>
        </w:rPr>
      </w:pPr>
    </w:p>
    <w:p w:rsidR="00E05A5D" w:rsidRPr="0072739B" w:rsidRDefault="00E05A5D" w:rsidP="00E05A5D">
      <w:pPr>
        <w:tabs>
          <w:tab w:val="left" w:pos="851"/>
        </w:tabs>
        <w:ind w:left="851" w:hanging="851"/>
        <w:rPr>
          <w:b/>
          <w:sz w:val="24"/>
          <w:szCs w:val="24"/>
        </w:rPr>
      </w:pPr>
      <w:r w:rsidRPr="0072739B">
        <w:rPr>
          <w:b/>
          <w:sz w:val="24"/>
          <w:szCs w:val="24"/>
        </w:rPr>
        <w:t>4.10</w:t>
      </w:r>
      <w:r w:rsidRPr="0072739B">
        <w:rPr>
          <w:b/>
          <w:sz w:val="24"/>
          <w:szCs w:val="24"/>
        </w:rPr>
        <w:tab/>
        <w:t>Udlevering</w:t>
      </w:r>
    </w:p>
    <w:p w:rsidR="00E05A5D" w:rsidRPr="0072739B" w:rsidRDefault="00E05A5D" w:rsidP="00E05A5D">
      <w:pPr>
        <w:tabs>
          <w:tab w:val="left" w:pos="851"/>
        </w:tabs>
        <w:ind w:left="851"/>
        <w:rPr>
          <w:sz w:val="24"/>
          <w:szCs w:val="24"/>
          <w:lang w:eastAsia="da-DK"/>
        </w:rPr>
      </w:pPr>
      <w:r w:rsidRPr="0072739B">
        <w:rPr>
          <w:sz w:val="24"/>
          <w:szCs w:val="24"/>
        </w:rPr>
        <w:t>A§4 (kopieringspligtigt)</w:t>
      </w:r>
    </w:p>
    <w:p w:rsidR="00E05A5D" w:rsidRPr="0072739B" w:rsidRDefault="00E05A5D" w:rsidP="00E05A5D">
      <w:pPr>
        <w:tabs>
          <w:tab w:val="left" w:pos="851"/>
        </w:tabs>
        <w:ind w:left="851"/>
        <w:rPr>
          <w:sz w:val="24"/>
          <w:szCs w:val="24"/>
        </w:rPr>
      </w:pPr>
    </w:p>
    <w:p w:rsidR="00E05A5D" w:rsidRPr="0072739B"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5.</w:t>
      </w:r>
      <w:r w:rsidRPr="002F6D75">
        <w:rPr>
          <w:b/>
          <w:sz w:val="24"/>
          <w:szCs w:val="24"/>
        </w:rPr>
        <w:tab/>
        <w:t>FARMAKOLOGISKE EGENSKABER</w:t>
      </w:r>
    </w:p>
    <w:p w:rsidR="00E05A5D" w:rsidRPr="002F6D75" w:rsidRDefault="00E05A5D" w:rsidP="00E05A5D">
      <w:pPr>
        <w:tabs>
          <w:tab w:val="left" w:pos="851"/>
        </w:tabs>
        <w:ind w:left="851"/>
        <w:rPr>
          <w:sz w:val="24"/>
          <w:szCs w:val="24"/>
        </w:rPr>
      </w:pPr>
    </w:p>
    <w:p w:rsidR="00E05A5D" w:rsidRDefault="00E05A5D" w:rsidP="00E05A5D">
      <w:pPr>
        <w:tabs>
          <w:tab w:val="num" w:pos="851"/>
        </w:tabs>
        <w:ind w:left="851" w:hanging="851"/>
        <w:rPr>
          <w:b/>
          <w:sz w:val="24"/>
          <w:szCs w:val="24"/>
        </w:rPr>
      </w:pPr>
      <w:r w:rsidRPr="002F6D75">
        <w:rPr>
          <w:b/>
          <w:sz w:val="24"/>
          <w:szCs w:val="24"/>
        </w:rPr>
        <w:t>5.1</w:t>
      </w:r>
      <w:r w:rsidRPr="002F6D75">
        <w:rPr>
          <w:b/>
          <w:sz w:val="24"/>
          <w:szCs w:val="24"/>
        </w:rPr>
        <w:tab/>
      </w:r>
      <w:proofErr w:type="spellStart"/>
      <w:r w:rsidRPr="002F6D75">
        <w:rPr>
          <w:b/>
          <w:sz w:val="24"/>
          <w:szCs w:val="24"/>
        </w:rPr>
        <w:t>Farmakodynamiske</w:t>
      </w:r>
      <w:proofErr w:type="spellEnd"/>
      <w:r w:rsidRPr="002F6D75">
        <w:rPr>
          <w:b/>
          <w:sz w:val="24"/>
          <w:szCs w:val="24"/>
        </w:rPr>
        <w:t xml:space="preserve"> egenskaber</w:t>
      </w:r>
    </w:p>
    <w:p w:rsidR="00E05A5D" w:rsidRDefault="00E05A5D" w:rsidP="00E05A5D">
      <w:pPr>
        <w:tabs>
          <w:tab w:val="num" w:pos="851"/>
        </w:tabs>
        <w:ind w:left="851" w:hanging="851"/>
        <w:rPr>
          <w:sz w:val="24"/>
          <w:szCs w:val="24"/>
          <w:lang w:eastAsia="da-DK"/>
        </w:rPr>
      </w:pPr>
      <w:r>
        <w:rPr>
          <w:sz w:val="24"/>
          <w:szCs w:val="24"/>
        </w:rPr>
        <w:tab/>
      </w:r>
      <w:proofErr w:type="spellStart"/>
      <w:r>
        <w:rPr>
          <w:sz w:val="24"/>
          <w:szCs w:val="24"/>
        </w:rPr>
        <w:t>Farmakoterapeutisk</w:t>
      </w:r>
      <w:proofErr w:type="spellEnd"/>
      <w:r>
        <w:rPr>
          <w:sz w:val="24"/>
          <w:szCs w:val="24"/>
        </w:rPr>
        <w:t xml:space="preserve"> klassifikation: </w:t>
      </w:r>
      <w:proofErr w:type="spellStart"/>
      <w:r>
        <w:rPr>
          <w:sz w:val="24"/>
          <w:szCs w:val="24"/>
          <w:lang w:eastAsia="da-DK"/>
        </w:rPr>
        <w:t>A</w:t>
      </w:r>
      <w:r w:rsidRPr="00201657">
        <w:rPr>
          <w:sz w:val="24"/>
          <w:szCs w:val="24"/>
          <w:lang w:eastAsia="da-DK"/>
        </w:rPr>
        <w:t>næstetika</w:t>
      </w:r>
      <w:proofErr w:type="spellEnd"/>
      <w:r w:rsidRPr="00201657">
        <w:rPr>
          <w:sz w:val="24"/>
          <w:szCs w:val="24"/>
          <w:lang w:eastAsia="da-DK"/>
        </w:rPr>
        <w:t>; opioid-</w:t>
      </w:r>
      <w:proofErr w:type="spellStart"/>
      <w:r w:rsidRPr="00201657">
        <w:rPr>
          <w:sz w:val="24"/>
          <w:szCs w:val="24"/>
          <w:lang w:eastAsia="da-DK"/>
        </w:rPr>
        <w:t>anæstetika</w:t>
      </w:r>
      <w:proofErr w:type="spellEnd"/>
      <w:r>
        <w:rPr>
          <w:sz w:val="24"/>
          <w:szCs w:val="24"/>
          <w:lang w:eastAsia="da-DK"/>
        </w:rPr>
        <w:t xml:space="preserve">, </w:t>
      </w:r>
    </w:p>
    <w:p w:rsidR="00E05A5D" w:rsidRDefault="00E05A5D" w:rsidP="00E05A5D">
      <w:pPr>
        <w:tabs>
          <w:tab w:val="num" w:pos="851"/>
        </w:tabs>
        <w:ind w:left="851" w:hanging="851"/>
        <w:rPr>
          <w:sz w:val="24"/>
          <w:szCs w:val="24"/>
          <w:lang w:eastAsia="da-DK"/>
        </w:rPr>
      </w:pPr>
      <w:r>
        <w:rPr>
          <w:sz w:val="24"/>
          <w:szCs w:val="24"/>
          <w:lang w:eastAsia="da-DK"/>
        </w:rPr>
        <w:tab/>
      </w:r>
      <w:r w:rsidRPr="00201657">
        <w:rPr>
          <w:sz w:val="24"/>
          <w:szCs w:val="24"/>
          <w:lang w:eastAsia="da-DK"/>
        </w:rPr>
        <w:t>ATC-kode: N</w:t>
      </w:r>
      <w:r>
        <w:rPr>
          <w:sz w:val="24"/>
          <w:szCs w:val="24"/>
          <w:lang w:eastAsia="da-DK"/>
        </w:rPr>
        <w:t xml:space="preserve"> </w:t>
      </w:r>
      <w:r w:rsidRPr="00201657">
        <w:rPr>
          <w:sz w:val="24"/>
          <w:szCs w:val="24"/>
          <w:lang w:eastAsia="da-DK"/>
        </w:rPr>
        <w:t>01</w:t>
      </w:r>
      <w:r>
        <w:rPr>
          <w:sz w:val="24"/>
          <w:szCs w:val="24"/>
          <w:lang w:eastAsia="da-DK"/>
        </w:rPr>
        <w:t xml:space="preserve"> </w:t>
      </w:r>
      <w:r w:rsidRPr="00201657">
        <w:rPr>
          <w:sz w:val="24"/>
          <w:szCs w:val="24"/>
          <w:lang w:eastAsia="da-DK"/>
        </w:rPr>
        <w:t>AH</w:t>
      </w:r>
      <w:r>
        <w:rPr>
          <w:sz w:val="24"/>
          <w:szCs w:val="24"/>
          <w:lang w:eastAsia="da-DK"/>
        </w:rPr>
        <w:t xml:space="preserve"> </w:t>
      </w:r>
      <w:r w:rsidRPr="00201657">
        <w:rPr>
          <w:sz w:val="24"/>
          <w:szCs w:val="24"/>
          <w:lang w:eastAsia="da-DK"/>
        </w:rPr>
        <w:t>03</w:t>
      </w:r>
      <w:r>
        <w:rPr>
          <w:sz w:val="24"/>
          <w:szCs w:val="24"/>
          <w:lang w:eastAsia="da-DK"/>
        </w:rPr>
        <w:t>.</w:t>
      </w:r>
    </w:p>
    <w:p w:rsidR="00E05A5D" w:rsidRPr="002F6D75" w:rsidRDefault="00E05A5D" w:rsidP="00E05A5D">
      <w:pPr>
        <w:tabs>
          <w:tab w:val="num" w:pos="851"/>
        </w:tabs>
        <w:ind w:left="851" w:hanging="851"/>
        <w:rPr>
          <w:b/>
          <w:sz w:val="24"/>
          <w:szCs w:val="24"/>
        </w:rPr>
      </w:pPr>
    </w:p>
    <w:p w:rsidR="00E05A5D" w:rsidRPr="009568BF" w:rsidRDefault="00E05A5D" w:rsidP="00E05A5D">
      <w:pPr>
        <w:tabs>
          <w:tab w:val="left" w:pos="851"/>
        </w:tabs>
        <w:ind w:left="851"/>
        <w:rPr>
          <w:sz w:val="24"/>
          <w:szCs w:val="24"/>
          <w:lang w:eastAsia="da-DK"/>
        </w:rPr>
      </w:pPr>
      <w:proofErr w:type="spellStart"/>
      <w:r w:rsidRPr="009568BF">
        <w:rPr>
          <w:sz w:val="24"/>
          <w:szCs w:val="24"/>
          <w:lang w:eastAsia="da-DK"/>
        </w:rPr>
        <w:t>Sufentanil</w:t>
      </w:r>
      <w:proofErr w:type="spellEnd"/>
      <w:r w:rsidRPr="009568BF">
        <w:rPr>
          <w:sz w:val="24"/>
          <w:szCs w:val="24"/>
          <w:lang w:eastAsia="da-DK"/>
        </w:rPr>
        <w:t xml:space="preserve">, et højpotent </w:t>
      </w:r>
      <w:proofErr w:type="spellStart"/>
      <w:r w:rsidRPr="009568BF">
        <w:rPr>
          <w:sz w:val="24"/>
          <w:szCs w:val="24"/>
          <w:lang w:eastAsia="da-DK"/>
        </w:rPr>
        <w:t>opioidanalgetikum</w:t>
      </w:r>
      <w:proofErr w:type="spellEnd"/>
      <w:r w:rsidRPr="009568BF">
        <w:rPr>
          <w:sz w:val="24"/>
          <w:szCs w:val="24"/>
          <w:lang w:eastAsia="da-DK"/>
        </w:rPr>
        <w:t xml:space="preserve">, er en specifik µ-agonist, som har 7-10 gange større affinitet til µ-receptorer end fentanyl. </w:t>
      </w:r>
      <w:proofErr w:type="spellStart"/>
      <w:r w:rsidRPr="009568BF">
        <w:rPr>
          <w:sz w:val="24"/>
          <w:szCs w:val="24"/>
          <w:lang w:eastAsia="da-DK"/>
        </w:rPr>
        <w:t>Sufentanil</w:t>
      </w:r>
      <w:proofErr w:type="spellEnd"/>
      <w:r w:rsidRPr="009568BF">
        <w:rPr>
          <w:sz w:val="24"/>
          <w:szCs w:val="24"/>
          <w:lang w:eastAsia="da-DK"/>
        </w:rPr>
        <w:t xml:space="preserve"> har en langt kraftigere analgetisk virkning end fentanyl, mens den </w:t>
      </w:r>
      <w:proofErr w:type="spellStart"/>
      <w:r w:rsidRPr="009568BF">
        <w:rPr>
          <w:sz w:val="24"/>
          <w:szCs w:val="24"/>
          <w:lang w:eastAsia="da-DK"/>
        </w:rPr>
        <w:t>hæmodynamiske</w:t>
      </w:r>
      <w:proofErr w:type="spellEnd"/>
      <w:r w:rsidRPr="009568BF">
        <w:rPr>
          <w:sz w:val="24"/>
          <w:szCs w:val="24"/>
          <w:lang w:eastAsia="da-DK"/>
        </w:rPr>
        <w:t xml:space="preserve"> stabilitet og en tilfredsstillende iltforsyning til hjertet opretholdes under tilstedeværelsen af </w:t>
      </w:r>
      <w:proofErr w:type="spellStart"/>
      <w:r w:rsidRPr="009568BF">
        <w:rPr>
          <w:sz w:val="24"/>
          <w:szCs w:val="24"/>
          <w:lang w:eastAsia="da-DK"/>
        </w:rPr>
        <w:t>sufentanil</w:t>
      </w:r>
      <w:proofErr w:type="spellEnd"/>
      <w:r w:rsidRPr="009568BF">
        <w:rPr>
          <w:sz w:val="24"/>
          <w:szCs w:val="24"/>
          <w:lang w:eastAsia="da-DK"/>
        </w:rPr>
        <w:t>.</w:t>
      </w:r>
    </w:p>
    <w:p w:rsidR="00E05A5D" w:rsidRPr="009568BF" w:rsidRDefault="00E05A5D" w:rsidP="00E05A5D">
      <w:pPr>
        <w:tabs>
          <w:tab w:val="left" w:pos="851"/>
        </w:tabs>
        <w:ind w:left="851"/>
        <w:rPr>
          <w:sz w:val="24"/>
          <w:szCs w:val="24"/>
          <w:lang w:eastAsia="da-DK"/>
        </w:rPr>
      </w:pPr>
      <w:r w:rsidRPr="009568BF">
        <w:rPr>
          <w:sz w:val="24"/>
          <w:szCs w:val="24"/>
          <w:lang w:eastAsia="da-DK"/>
        </w:rPr>
        <w:t xml:space="preserve">Efter </w:t>
      </w:r>
      <w:proofErr w:type="spellStart"/>
      <w:r w:rsidRPr="009568BF">
        <w:rPr>
          <w:sz w:val="24"/>
          <w:szCs w:val="24"/>
          <w:lang w:eastAsia="da-DK"/>
        </w:rPr>
        <w:t>i.v</w:t>
      </w:r>
      <w:proofErr w:type="spellEnd"/>
      <w:r w:rsidRPr="009568BF">
        <w:rPr>
          <w:sz w:val="24"/>
          <w:szCs w:val="24"/>
          <w:lang w:eastAsia="da-DK"/>
        </w:rPr>
        <w:t xml:space="preserve">. administration opnås den maksimale virkning inden for få minutter. Farmakologiske undersøgelser viser </w:t>
      </w:r>
      <w:proofErr w:type="spellStart"/>
      <w:r w:rsidRPr="009568BF">
        <w:rPr>
          <w:sz w:val="24"/>
          <w:szCs w:val="24"/>
          <w:lang w:eastAsia="da-DK"/>
        </w:rPr>
        <w:t>kardiovaskulær</w:t>
      </w:r>
      <w:proofErr w:type="spellEnd"/>
      <w:r w:rsidRPr="009568BF">
        <w:rPr>
          <w:sz w:val="24"/>
          <w:szCs w:val="24"/>
          <w:lang w:eastAsia="da-DK"/>
        </w:rPr>
        <w:t xml:space="preserve"> stabilitet og </w:t>
      </w:r>
      <w:proofErr w:type="gramStart"/>
      <w:r w:rsidRPr="009568BF">
        <w:rPr>
          <w:sz w:val="24"/>
          <w:szCs w:val="24"/>
          <w:lang w:eastAsia="da-DK"/>
        </w:rPr>
        <w:t>EEG respons</w:t>
      </w:r>
      <w:proofErr w:type="gramEnd"/>
      <w:r w:rsidRPr="009568BF">
        <w:rPr>
          <w:sz w:val="24"/>
          <w:szCs w:val="24"/>
          <w:lang w:eastAsia="da-DK"/>
        </w:rPr>
        <w:t xml:space="preserve"> svarende til fentanyl. Der var ingen </w:t>
      </w:r>
      <w:proofErr w:type="spellStart"/>
      <w:r w:rsidRPr="009568BF">
        <w:rPr>
          <w:sz w:val="24"/>
          <w:szCs w:val="24"/>
          <w:lang w:eastAsia="da-DK"/>
        </w:rPr>
        <w:t>immunosuppression</w:t>
      </w:r>
      <w:proofErr w:type="spellEnd"/>
      <w:r w:rsidRPr="009568BF">
        <w:rPr>
          <w:sz w:val="24"/>
          <w:szCs w:val="24"/>
          <w:lang w:eastAsia="da-DK"/>
        </w:rPr>
        <w:t xml:space="preserve">, </w:t>
      </w:r>
      <w:proofErr w:type="spellStart"/>
      <w:r w:rsidRPr="009568BF">
        <w:rPr>
          <w:sz w:val="24"/>
          <w:szCs w:val="24"/>
          <w:lang w:eastAsia="da-DK"/>
        </w:rPr>
        <w:t>hæmolyse</w:t>
      </w:r>
      <w:proofErr w:type="spellEnd"/>
      <w:r w:rsidRPr="009568BF">
        <w:rPr>
          <w:sz w:val="24"/>
          <w:szCs w:val="24"/>
          <w:lang w:eastAsia="da-DK"/>
        </w:rPr>
        <w:t xml:space="preserve"> eller stimulering af histaminfrigørelsen, som set hos andre opioider Som det er tilfældet med andre opioider, kan </w:t>
      </w:r>
      <w:proofErr w:type="spellStart"/>
      <w:r w:rsidRPr="009568BF">
        <w:rPr>
          <w:sz w:val="24"/>
          <w:szCs w:val="24"/>
          <w:lang w:eastAsia="da-DK"/>
        </w:rPr>
        <w:t>sufentanil</w:t>
      </w:r>
      <w:proofErr w:type="spellEnd"/>
      <w:r w:rsidRPr="009568BF">
        <w:rPr>
          <w:sz w:val="24"/>
          <w:szCs w:val="24"/>
          <w:lang w:eastAsia="da-DK"/>
        </w:rPr>
        <w:t xml:space="preserve"> forårsage bradykardi, muligvis ved virkning på den centrale </w:t>
      </w:r>
      <w:proofErr w:type="spellStart"/>
      <w:r w:rsidRPr="009568BF">
        <w:rPr>
          <w:sz w:val="24"/>
          <w:szCs w:val="24"/>
          <w:lang w:eastAsia="da-DK"/>
        </w:rPr>
        <w:t>vagus</w:t>
      </w:r>
      <w:proofErr w:type="spellEnd"/>
      <w:r w:rsidRPr="009568BF">
        <w:rPr>
          <w:sz w:val="24"/>
          <w:szCs w:val="24"/>
          <w:lang w:eastAsia="da-DK"/>
        </w:rPr>
        <w:t xml:space="preserve"> </w:t>
      </w:r>
      <w:proofErr w:type="spellStart"/>
      <w:r w:rsidRPr="009568BF">
        <w:rPr>
          <w:sz w:val="24"/>
          <w:szCs w:val="24"/>
          <w:lang w:eastAsia="da-DK"/>
        </w:rPr>
        <w:t>nucleus</w:t>
      </w:r>
      <w:proofErr w:type="spellEnd"/>
      <w:r w:rsidRPr="009568BF">
        <w:rPr>
          <w:sz w:val="24"/>
          <w:szCs w:val="24"/>
          <w:lang w:eastAsia="da-DK"/>
        </w:rPr>
        <w:t xml:space="preserve">. </w:t>
      </w:r>
    </w:p>
    <w:p w:rsidR="00E05A5D" w:rsidRPr="009568BF" w:rsidRDefault="00E05A5D" w:rsidP="00E05A5D">
      <w:pPr>
        <w:tabs>
          <w:tab w:val="left" w:pos="851"/>
        </w:tabs>
        <w:ind w:left="851"/>
        <w:rPr>
          <w:sz w:val="24"/>
          <w:szCs w:val="24"/>
          <w:lang w:eastAsia="da-DK"/>
        </w:rPr>
      </w:pPr>
      <w:proofErr w:type="spellStart"/>
      <w:r>
        <w:rPr>
          <w:sz w:val="24"/>
          <w:szCs w:val="24"/>
          <w:lang w:eastAsia="da-DK"/>
        </w:rPr>
        <w:t>Pancuronium</w:t>
      </w:r>
      <w:proofErr w:type="spellEnd"/>
      <w:r>
        <w:rPr>
          <w:sz w:val="24"/>
          <w:szCs w:val="24"/>
          <w:lang w:eastAsia="da-DK"/>
        </w:rPr>
        <w:t>-</w:t>
      </w:r>
      <w:r w:rsidRPr="009568BF">
        <w:rPr>
          <w:sz w:val="24"/>
          <w:szCs w:val="24"/>
          <w:lang w:eastAsia="da-DK"/>
        </w:rPr>
        <w:t xml:space="preserve">induceret forøgelse af hjertefrekvensen kan ikke eller kun i mindre udstrækning undertrykkes af </w:t>
      </w:r>
      <w:proofErr w:type="spellStart"/>
      <w:r w:rsidRPr="009568BF">
        <w:rPr>
          <w:sz w:val="24"/>
          <w:szCs w:val="24"/>
          <w:lang w:eastAsia="da-DK"/>
        </w:rPr>
        <w:t>sufentanil</w:t>
      </w:r>
      <w:proofErr w:type="spellEnd"/>
      <w:r w:rsidRPr="009568BF">
        <w:rPr>
          <w:sz w:val="24"/>
          <w:szCs w:val="24"/>
          <w:lang w:eastAsia="da-DK"/>
        </w:rPr>
        <w:t>.</w:t>
      </w:r>
    </w:p>
    <w:p w:rsidR="00E05A5D" w:rsidRPr="009568BF" w:rsidRDefault="00E05A5D" w:rsidP="00E05A5D">
      <w:pPr>
        <w:tabs>
          <w:tab w:val="left" w:pos="851"/>
        </w:tabs>
        <w:ind w:left="851"/>
        <w:rPr>
          <w:sz w:val="24"/>
          <w:szCs w:val="24"/>
          <w:lang w:eastAsia="da-DK"/>
        </w:rPr>
      </w:pPr>
    </w:p>
    <w:p w:rsidR="00E05A5D" w:rsidRPr="009568BF" w:rsidRDefault="00E05A5D" w:rsidP="00E05A5D">
      <w:pPr>
        <w:tabs>
          <w:tab w:val="left" w:pos="851"/>
        </w:tabs>
        <w:ind w:left="851"/>
        <w:rPr>
          <w:spacing w:val="-3"/>
          <w:sz w:val="24"/>
          <w:szCs w:val="24"/>
          <w:lang w:eastAsia="da-DK"/>
        </w:rPr>
      </w:pPr>
      <w:proofErr w:type="spellStart"/>
      <w:r w:rsidRPr="009568BF">
        <w:rPr>
          <w:spacing w:val="-3"/>
          <w:sz w:val="24"/>
          <w:szCs w:val="24"/>
          <w:lang w:eastAsia="da-DK"/>
        </w:rPr>
        <w:t>Sufentanil</w:t>
      </w:r>
      <w:proofErr w:type="spellEnd"/>
      <w:r w:rsidRPr="009568BF">
        <w:rPr>
          <w:spacing w:val="-3"/>
          <w:sz w:val="24"/>
          <w:szCs w:val="24"/>
          <w:lang w:eastAsia="da-DK"/>
        </w:rPr>
        <w:t xml:space="preserve"> har et højt </w:t>
      </w:r>
      <w:proofErr w:type="spellStart"/>
      <w:r w:rsidRPr="009568BF">
        <w:rPr>
          <w:spacing w:val="-3"/>
          <w:sz w:val="24"/>
          <w:szCs w:val="24"/>
          <w:lang w:eastAsia="da-DK"/>
        </w:rPr>
        <w:t>sikkerhedsindex</w:t>
      </w:r>
      <w:proofErr w:type="spellEnd"/>
      <w:r w:rsidRPr="009568BF">
        <w:rPr>
          <w:spacing w:val="-3"/>
          <w:sz w:val="24"/>
          <w:szCs w:val="24"/>
          <w:lang w:eastAsia="da-DK"/>
        </w:rPr>
        <w:t xml:space="preserve"> (LD</w:t>
      </w:r>
      <w:r w:rsidRPr="009568BF">
        <w:rPr>
          <w:spacing w:val="-3"/>
          <w:sz w:val="24"/>
          <w:szCs w:val="24"/>
          <w:vertAlign w:val="subscript"/>
          <w:lang w:eastAsia="da-DK"/>
        </w:rPr>
        <w:t>50</w:t>
      </w:r>
      <w:r w:rsidRPr="009568BF">
        <w:rPr>
          <w:spacing w:val="-3"/>
          <w:sz w:val="24"/>
          <w:szCs w:val="24"/>
          <w:lang w:eastAsia="da-DK"/>
        </w:rPr>
        <w:t>/ED</w:t>
      </w:r>
      <w:r w:rsidRPr="009568BF">
        <w:rPr>
          <w:spacing w:val="-3"/>
          <w:sz w:val="24"/>
          <w:szCs w:val="24"/>
          <w:vertAlign w:val="subscript"/>
          <w:lang w:eastAsia="da-DK"/>
        </w:rPr>
        <w:t>50</w:t>
      </w:r>
      <w:r w:rsidRPr="009568BF">
        <w:rPr>
          <w:spacing w:val="-3"/>
          <w:sz w:val="24"/>
          <w:szCs w:val="24"/>
          <w:lang w:eastAsia="da-DK"/>
        </w:rPr>
        <w:t xml:space="preserve"> for den laveste anæstesigrad) hos rotter. Ved 25.211 er </w:t>
      </w:r>
      <w:proofErr w:type="spellStart"/>
      <w:r w:rsidRPr="009568BF">
        <w:rPr>
          <w:spacing w:val="-3"/>
          <w:sz w:val="24"/>
          <w:szCs w:val="24"/>
          <w:lang w:eastAsia="da-DK"/>
        </w:rPr>
        <w:t>indexet</w:t>
      </w:r>
      <w:proofErr w:type="spellEnd"/>
      <w:r w:rsidRPr="009568BF">
        <w:rPr>
          <w:spacing w:val="-3"/>
          <w:sz w:val="24"/>
          <w:szCs w:val="24"/>
          <w:lang w:eastAsia="da-DK"/>
        </w:rPr>
        <w:t xml:space="preserve"> højere end for fentanyl (277) eller morfin (69,5). Den begrænsede akkumulering og hurtige elimination fra vævenes depoter tillader en hurtig normalisering. Dybden af analgesien er dosisafhængig og kan tilpasses smerteniveauet efter behov under operation.</w:t>
      </w:r>
    </w:p>
    <w:p w:rsidR="00E05A5D" w:rsidRPr="002F6D75" w:rsidRDefault="00E05A5D" w:rsidP="00E05A5D">
      <w:pPr>
        <w:tabs>
          <w:tab w:val="left" w:pos="851"/>
        </w:tabs>
        <w:ind w:left="851"/>
        <w:rPr>
          <w:sz w:val="24"/>
          <w:szCs w:val="24"/>
          <w:lang w:eastAsia="da-DK"/>
        </w:rPr>
      </w:pPr>
      <w:r w:rsidRPr="009568BF">
        <w:rPr>
          <w:sz w:val="24"/>
          <w:szCs w:val="24"/>
          <w:lang w:eastAsia="da-DK"/>
        </w:rPr>
        <w:t xml:space="preserve">Flere virkninger af </w:t>
      </w:r>
      <w:proofErr w:type="spellStart"/>
      <w:r w:rsidRPr="009568BF">
        <w:rPr>
          <w:sz w:val="24"/>
          <w:szCs w:val="24"/>
          <w:lang w:eastAsia="da-DK"/>
        </w:rPr>
        <w:t>sufentanil</w:t>
      </w:r>
      <w:proofErr w:type="spellEnd"/>
      <w:r w:rsidRPr="009568BF">
        <w:rPr>
          <w:sz w:val="24"/>
          <w:szCs w:val="24"/>
          <w:lang w:eastAsia="da-DK"/>
        </w:rPr>
        <w:t xml:space="preserve"> (især respiratorisk depression) kan ophæves ved administration af en antagonist som </w:t>
      </w:r>
      <w:proofErr w:type="spellStart"/>
      <w:r w:rsidRPr="009568BF">
        <w:rPr>
          <w:sz w:val="24"/>
          <w:szCs w:val="24"/>
          <w:lang w:eastAsia="da-DK"/>
        </w:rPr>
        <w:t>naloxon</w:t>
      </w:r>
      <w:proofErr w:type="spellEnd"/>
      <w:r w:rsidRPr="009568BF">
        <w:rPr>
          <w:sz w:val="24"/>
          <w:szCs w:val="24"/>
          <w:lang w:eastAsia="da-DK"/>
        </w:rPr>
        <w:t>.</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5.2</w:t>
      </w:r>
      <w:r w:rsidRPr="002F6D75">
        <w:rPr>
          <w:b/>
          <w:sz w:val="24"/>
          <w:szCs w:val="24"/>
        </w:rPr>
        <w:tab/>
      </w:r>
      <w:proofErr w:type="spellStart"/>
      <w:r w:rsidRPr="002F6D75">
        <w:rPr>
          <w:b/>
          <w:sz w:val="24"/>
          <w:szCs w:val="24"/>
        </w:rPr>
        <w:t>Farmakokinetiske</w:t>
      </w:r>
      <w:proofErr w:type="spellEnd"/>
      <w:r w:rsidRPr="002F6D75">
        <w:rPr>
          <w:b/>
          <w:sz w:val="24"/>
          <w:szCs w:val="24"/>
        </w:rPr>
        <w:t xml:space="preserve"> egenskaber</w:t>
      </w:r>
    </w:p>
    <w:p w:rsidR="00E05A5D" w:rsidRPr="004E7650" w:rsidRDefault="00E05A5D" w:rsidP="00E05A5D">
      <w:pPr>
        <w:tabs>
          <w:tab w:val="left" w:pos="851"/>
        </w:tabs>
        <w:ind w:left="851"/>
        <w:rPr>
          <w:sz w:val="24"/>
          <w:szCs w:val="24"/>
          <w:lang w:eastAsia="da-DK"/>
        </w:rPr>
      </w:pPr>
      <w:r w:rsidRPr="004E7650">
        <w:rPr>
          <w:sz w:val="24"/>
          <w:szCs w:val="24"/>
          <w:lang w:eastAsia="da-DK"/>
        </w:rPr>
        <w:t xml:space="preserve">Resultaterne af undersøgelser med intravenøs indgift af 250-1500 mikrogram </w:t>
      </w:r>
      <w:proofErr w:type="spellStart"/>
      <w:r w:rsidRPr="004E7650">
        <w:rPr>
          <w:sz w:val="24"/>
          <w:szCs w:val="24"/>
          <w:lang w:eastAsia="da-DK"/>
        </w:rPr>
        <w:t>sufentanil</w:t>
      </w:r>
      <w:proofErr w:type="spellEnd"/>
      <w:r w:rsidRPr="004E7650">
        <w:rPr>
          <w:sz w:val="24"/>
          <w:szCs w:val="24"/>
          <w:lang w:eastAsia="da-DK"/>
        </w:rPr>
        <w:t>, hvor blodprøvetagning og måling af serumkoncentrationer var mulige over et længere tidsrum, var som følger:</w:t>
      </w:r>
    </w:p>
    <w:p w:rsidR="00E05A5D" w:rsidRPr="004E7650" w:rsidRDefault="00E05A5D" w:rsidP="00E05A5D">
      <w:pPr>
        <w:tabs>
          <w:tab w:val="left" w:pos="851"/>
        </w:tabs>
        <w:ind w:left="851"/>
        <w:rPr>
          <w:sz w:val="24"/>
          <w:szCs w:val="24"/>
          <w:lang w:eastAsia="da-DK"/>
        </w:rPr>
      </w:pPr>
      <w:r w:rsidRPr="004E7650">
        <w:rPr>
          <w:sz w:val="24"/>
          <w:szCs w:val="24"/>
          <w:lang w:eastAsia="da-DK"/>
        </w:rPr>
        <w:t>Halveringstiderne i fordelingsfasen var 2,3-4,5 minutter og 35-73 minutter. Den gennemsnitlige terminale eliminationshalveringstid var 784 minutter</w:t>
      </w:r>
      <w:r>
        <w:rPr>
          <w:sz w:val="24"/>
          <w:szCs w:val="24"/>
          <w:lang w:eastAsia="da-DK"/>
        </w:rPr>
        <w:t xml:space="preserve"> </w:t>
      </w:r>
      <w:r w:rsidRPr="004E7650">
        <w:rPr>
          <w:sz w:val="24"/>
          <w:szCs w:val="24"/>
          <w:lang w:eastAsia="da-DK"/>
        </w:rPr>
        <w:t xml:space="preserve">(659-938) minutter. </w:t>
      </w:r>
      <w:proofErr w:type="spellStart"/>
      <w:r w:rsidRPr="004E7650">
        <w:rPr>
          <w:sz w:val="24"/>
          <w:szCs w:val="24"/>
          <w:lang w:eastAsia="da-DK"/>
        </w:rPr>
        <w:t>Fordelingvolumen</w:t>
      </w:r>
      <w:proofErr w:type="spellEnd"/>
      <w:r w:rsidRPr="004E7650">
        <w:rPr>
          <w:sz w:val="24"/>
          <w:szCs w:val="24"/>
          <w:lang w:eastAsia="da-DK"/>
        </w:rPr>
        <w:t xml:space="preserve"> i det centrale rum var 14,2 l, og fordelingsvolumen i </w:t>
      </w:r>
      <w:proofErr w:type="spellStart"/>
      <w:r w:rsidRPr="004E7650">
        <w:rPr>
          <w:sz w:val="24"/>
          <w:szCs w:val="24"/>
          <w:lang w:eastAsia="da-DK"/>
        </w:rPr>
        <w:t>steady</w:t>
      </w:r>
      <w:proofErr w:type="spellEnd"/>
      <w:r w:rsidRPr="004E7650">
        <w:rPr>
          <w:sz w:val="24"/>
          <w:szCs w:val="24"/>
          <w:lang w:eastAsia="da-DK"/>
        </w:rPr>
        <w:t xml:space="preserve"> </w:t>
      </w:r>
      <w:proofErr w:type="spellStart"/>
      <w:r w:rsidRPr="004E7650">
        <w:rPr>
          <w:sz w:val="24"/>
          <w:szCs w:val="24"/>
          <w:lang w:eastAsia="da-DK"/>
        </w:rPr>
        <w:t>state</w:t>
      </w:r>
      <w:proofErr w:type="spellEnd"/>
      <w:r w:rsidRPr="004E7650">
        <w:rPr>
          <w:sz w:val="24"/>
          <w:szCs w:val="24"/>
          <w:lang w:eastAsia="da-DK"/>
        </w:rPr>
        <w:t xml:space="preserve"> var 344 l. </w:t>
      </w:r>
      <w:proofErr w:type="spellStart"/>
      <w:r w:rsidRPr="004E7650">
        <w:rPr>
          <w:sz w:val="24"/>
          <w:szCs w:val="24"/>
          <w:lang w:eastAsia="da-DK"/>
        </w:rPr>
        <w:t>Clearance</w:t>
      </w:r>
      <w:proofErr w:type="spellEnd"/>
      <w:r w:rsidRPr="004E7650">
        <w:rPr>
          <w:sz w:val="24"/>
          <w:szCs w:val="24"/>
          <w:lang w:eastAsia="da-DK"/>
        </w:rPr>
        <w:t xml:space="preserve"> var 917 ml/min.</w:t>
      </w:r>
    </w:p>
    <w:p w:rsidR="00E05A5D" w:rsidRPr="004E7650" w:rsidRDefault="00E05A5D" w:rsidP="00E05A5D">
      <w:pPr>
        <w:tabs>
          <w:tab w:val="left" w:pos="851"/>
        </w:tabs>
        <w:ind w:left="851"/>
        <w:rPr>
          <w:sz w:val="24"/>
          <w:szCs w:val="24"/>
          <w:lang w:eastAsia="da-DK"/>
        </w:rPr>
      </w:pPr>
    </w:p>
    <w:p w:rsidR="00E05A5D" w:rsidRPr="004E7650" w:rsidRDefault="00E05A5D" w:rsidP="00E05A5D">
      <w:pPr>
        <w:tabs>
          <w:tab w:val="left" w:pos="851"/>
        </w:tabs>
        <w:ind w:left="851"/>
        <w:rPr>
          <w:sz w:val="24"/>
          <w:szCs w:val="24"/>
          <w:lang w:eastAsia="da-DK"/>
        </w:rPr>
      </w:pPr>
      <w:r w:rsidRPr="004E7650">
        <w:rPr>
          <w:sz w:val="24"/>
          <w:szCs w:val="24"/>
          <w:lang w:eastAsia="da-DK"/>
        </w:rPr>
        <w:t xml:space="preserve">På grund af analysemetodens detektionsgrænse fandtes signifikant kortere halveringstid (240 min.) for </w:t>
      </w:r>
      <w:proofErr w:type="spellStart"/>
      <w:r w:rsidRPr="004E7650">
        <w:rPr>
          <w:sz w:val="24"/>
          <w:szCs w:val="24"/>
          <w:lang w:eastAsia="da-DK"/>
        </w:rPr>
        <w:t>sufentanil</w:t>
      </w:r>
      <w:proofErr w:type="spellEnd"/>
      <w:r w:rsidRPr="004E7650">
        <w:rPr>
          <w:sz w:val="24"/>
          <w:szCs w:val="24"/>
          <w:lang w:eastAsia="da-DK"/>
        </w:rPr>
        <w:t xml:space="preserve"> efter dosering af 250 mikrogram end efter 500</w:t>
      </w:r>
      <w:r w:rsidRPr="004E7650">
        <w:rPr>
          <w:b/>
          <w:sz w:val="24"/>
          <w:szCs w:val="24"/>
          <w:lang w:eastAsia="da-DK"/>
        </w:rPr>
        <w:t>-</w:t>
      </w:r>
      <w:r w:rsidRPr="004E7650">
        <w:rPr>
          <w:sz w:val="24"/>
          <w:szCs w:val="24"/>
          <w:lang w:eastAsia="da-DK"/>
        </w:rPr>
        <w:t>1500 mikrogram (10-16 timer).</w:t>
      </w:r>
    </w:p>
    <w:p w:rsidR="00E05A5D" w:rsidRPr="004E7650" w:rsidRDefault="00E05A5D" w:rsidP="00E05A5D">
      <w:pPr>
        <w:tabs>
          <w:tab w:val="left" w:pos="851"/>
        </w:tabs>
        <w:ind w:left="851"/>
        <w:rPr>
          <w:sz w:val="24"/>
          <w:szCs w:val="24"/>
          <w:lang w:eastAsia="da-DK"/>
        </w:rPr>
      </w:pPr>
    </w:p>
    <w:p w:rsidR="00E05A5D" w:rsidRPr="004E7650" w:rsidRDefault="00E05A5D" w:rsidP="00E05A5D">
      <w:pPr>
        <w:tabs>
          <w:tab w:val="left" w:pos="851"/>
        </w:tabs>
        <w:ind w:left="851"/>
        <w:rPr>
          <w:sz w:val="24"/>
          <w:szCs w:val="24"/>
          <w:lang w:eastAsia="da-DK"/>
        </w:rPr>
      </w:pPr>
      <w:r w:rsidRPr="004E7650">
        <w:rPr>
          <w:sz w:val="24"/>
          <w:szCs w:val="24"/>
          <w:lang w:eastAsia="da-DK"/>
        </w:rPr>
        <w:lastRenderedPageBreak/>
        <w:t xml:space="preserve">Faldet i plasmakoncentration fra et terapeutisk til et subterapeutisk niveau bestemmes snarere af distributionsfasens halveringstider end af eliminationshalveringstiden. </w:t>
      </w:r>
      <w:proofErr w:type="spellStart"/>
      <w:r w:rsidRPr="004E7650">
        <w:rPr>
          <w:sz w:val="24"/>
          <w:szCs w:val="24"/>
          <w:lang w:eastAsia="da-DK"/>
        </w:rPr>
        <w:t>Sufentanil</w:t>
      </w:r>
      <w:proofErr w:type="spellEnd"/>
      <w:r w:rsidRPr="004E7650">
        <w:rPr>
          <w:sz w:val="24"/>
          <w:szCs w:val="24"/>
          <w:lang w:eastAsia="da-DK"/>
        </w:rPr>
        <w:t xml:space="preserve"> viste lineær farmakokinetik i det undersøgte dosisområde.</w:t>
      </w:r>
    </w:p>
    <w:p w:rsidR="00E05A5D" w:rsidRPr="004E7650" w:rsidRDefault="00E05A5D" w:rsidP="00E05A5D">
      <w:pPr>
        <w:tabs>
          <w:tab w:val="left" w:pos="851"/>
        </w:tabs>
        <w:ind w:left="851"/>
        <w:rPr>
          <w:b/>
          <w:i/>
          <w:sz w:val="24"/>
          <w:szCs w:val="24"/>
          <w:lang w:eastAsia="da-DK"/>
        </w:rPr>
      </w:pPr>
      <w:r w:rsidRPr="004E7650">
        <w:rPr>
          <w:sz w:val="24"/>
          <w:szCs w:val="24"/>
          <w:lang w:eastAsia="da-DK"/>
        </w:rPr>
        <w:t>Biotransformationen forekom hovedsagelig i leveren og tyndtarmen. Ca. 80</w:t>
      </w:r>
      <w:r>
        <w:rPr>
          <w:sz w:val="24"/>
          <w:szCs w:val="24"/>
          <w:lang w:eastAsia="da-DK"/>
        </w:rPr>
        <w:t xml:space="preserve"> </w:t>
      </w:r>
      <w:r w:rsidRPr="004E7650">
        <w:rPr>
          <w:sz w:val="24"/>
          <w:szCs w:val="24"/>
          <w:lang w:eastAsia="da-DK"/>
        </w:rPr>
        <w:t>% af den indgivne dosis blev udskilt indenfor 24 timer</w:t>
      </w:r>
      <w:r>
        <w:rPr>
          <w:sz w:val="24"/>
          <w:szCs w:val="24"/>
          <w:lang w:eastAsia="da-DK"/>
        </w:rPr>
        <w:t>;</w:t>
      </w:r>
      <w:r w:rsidRPr="004E7650">
        <w:rPr>
          <w:sz w:val="24"/>
          <w:szCs w:val="24"/>
          <w:lang w:eastAsia="da-DK"/>
        </w:rPr>
        <w:t xml:space="preserve"> kun 2</w:t>
      </w:r>
      <w:r>
        <w:rPr>
          <w:sz w:val="24"/>
          <w:szCs w:val="24"/>
          <w:lang w:eastAsia="da-DK"/>
        </w:rPr>
        <w:t xml:space="preserve"> </w:t>
      </w:r>
      <w:r w:rsidRPr="004E7650">
        <w:rPr>
          <w:sz w:val="24"/>
          <w:szCs w:val="24"/>
          <w:lang w:eastAsia="da-DK"/>
        </w:rPr>
        <w:t xml:space="preserve">% blev udskilt </w:t>
      </w:r>
      <w:proofErr w:type="spellStart"/>
      <w:r w:rsidRPr="004E7650">
        <w:rPr>
          <w:sz w:val="24"/>
          <w:szCs w:val="24"/>
          <w:lang w:eastAsia="da-DK"/>
        </w:rPr>
        <w:t>uomdannet</w:t>
      </w:r>
      <w:proofErr w:type="spellEnd"/>
      <w:r w:rsidRPr="004E7650">
        <w:rPr>
          <w:sz w:val="24"/>
          <w:szCs w:val="24"/>
          <w:lang w:eastAsia="da-DK"/>
        </w:rPr>
        <w:t xml:space="preserve">. </w:t>
      </w:r>
      <w:proofErr w:type="spellStart"/>
      <w:r w:rsidRPr="004E7650">
        <w:rPr>
          <w:sz w:val="24"/>
          <w:szCs w:val="24"/>
          <w:lang w:eastAsia="da-DK"/>
        </w:rPr>
        <w:t>Sufentanils</w:t>
      </w:r>
      <w:proofErr w:type="spellEnd"/>
      <w:r w:rsidRPr="004E7650">
        <w:rPr>
          <w:sz w:val="24"/>
          <w:szCs w:val="24"/>
          <w:lang w:eastAsia="da-DK"/>
        </w:rPr>
        <w:t xml:space="preserve"> plasmaproteinbinding er 92,5</w:t>
      </w:r>
      <w:r>
        <w:rPr>
          <w:sz w:val="24"/>
          <w:szCs w:val="24"/>
          <w:lang w:eastAsia="da-DK"/>
        </w:rPr>
        <w:t xml:space="preserve"> </w:t>
      </w:r>
      <w:r w:rsidRPr="004E7650">
        <w:rPr>
          <w:sz w:val="24"/>
          <w:szCs w:val="24"/>
          <w:lang w:eastAsia="da-DK"/>
        </w:rPr>
        <w:t xml:space="preserve">%. Tilføjelse af </w:t>
      </w:r>
      <w:proofErr w:type="spellStart"/>
      <w:r w:rsidRPr="004E7650">
        <w:rPr>
          <w:sz w:val="24"/>
          <w:szCs w:val="24"/>
          <w:lang w:eastAsia="da-DK"/>
        </w:rPr>
        <w:t>epinephrine</w:t>
      </w:r>
      <w:proofErr w:type="spellEnd"/>
      <w:r w:rsidRPr="004E7650">
        <w:rPr>
          <w:sz w:val="24"/>
          <w:szCs w:val="24"/>
          <w:lang w:eastAsia="da-DK"/>
        </w:rPr>
        <w:t xml:space="preserve"> (50</w:t>
      </w:r>
      <w:r>
        <w:rPr>
          <w:sz w:val="24"/>
          <w:szCs w:val="24"/>
          <w:lang w:eastAsia="da-DK"/>
        </w:rPr>
        <w:t>-</w:t>
      </w:r>
      <w:r w:rsidRPr="004E7650">
        <w:rPr>
          <w:sz w:val="24"/>
          <w:szCs w:val="24"/>
          <w:lang w:eastAsia="da-DK"/>
        </w:rPr>
        <w:t xml:space="preserve">75 mikrogram) nedsætter den initiale absorptionshastighed af </w:t>
      </w:r>
      <w:proofErr w:type="spellStart"/>
      <w:r w:rsidRPr="004E7650">
        <w:rPr>
          <w:sz w:val="24"/>
          <w:szCs w:val="24"/>
          <w:lang w:eastAsia="da-DK"/>
        </w:rPr>
        <w:t>sufentanil</w:t>
      </w:r>
      <w:proofErr w:type="spellEnd"/>
      <w:r w:rsidRPr="004E7650">
        <w:rPr>
          <w:sz w:val="24"/>
          <w:szCs w:val="24"/>
          <w:lang w:eastAsia="da-DK"/>
        </w:rPr>
        <w:t xml:space="preserve"> med 25</w:t>
      </w:r>
      <w:r>
        <w:rPr>
          <w:sz w:val="24"/>
          <w:szCs w:val="24"/>
          <w:lang w:eastAsia="da-DK"/>
        </w:rPr>
        <w:t>-</w:t>
      </w:r>
      <w:r w:rsidRPr="004E7650">
        <w:rPr>
          <w:sz w:val="24"/>
          <w:szCs w:val="24"/>
          <w:lang w:eastAsia="da-DK"/>
        </w:rPr>
        <w:t>50</w:t>
      </w:r>
      <w:r>
        <w:rPr>
          <w:sz w:val="24"/>
          <w:szCs w:val="24"/>
          <w:lang w:eastAsia="da-DK"/>
        </w:rPr>
        <w:t xml:space="preserve"> </w:t>
      </w:r>
      <w:r w:rsidRPr="004E7650">
        <w:rPr>
          <w:sz w:val="24"/>
          <w:szCs w:val="24"/>
          <w:lang w:eastAsia="da-DK"/>
        </w:rPr>
        <w:t>%.</w:t>
      </w:r>
    </w:p>
    <w:p w:rsidR="00E05A5D" w:rsidRPr="004E7650" w:rsidRDefault="00E05A5D" w:rsidP="00E05A5D">
      <w:pPr>
        <w:ind w:left="851"/>
        <w:rPr>
          <w:b/>
          <w:i/>
          <w:sz w:val="24"/>
          <w:szCs w:val="24"/>
          <w:lang w:eastAsia="da-DK"/>
        </w:rPr>
      </w:pPr>
    </w:p>
    <w:p w:rsidR="00E05A5D" w:rsidRPr="004E7650" w:rsidRDefault="00E05A5D" w:rsidP="00E05A5D">
      <w:pPr>
        <w:ind w:left="851"/>
        <w:rPr>
          <w:b/>
          <w:i/>
          <w:sz w:val="24"/>
          <w:szCs w:val="24"/>
          <w:u w:val="single"/>
          <w:lang w:eastAsia="da-DK"/>
        </w:rPr>
      </w:pPr>
      <w:r w:rsidRPr="004E7650">
        <w:rPr>
          <w:sz w:val="24"/>
          <w:szCs w:val="24"/>
          <w:u w:val="single"/>
          <w:lang w:eastAsia="da-DK"/>
        </w:rPr>
        <w:t>Pædiatrisk population</w:t>
      </w:r>
    </w:p>
    <w:p w:rsidR="00E05A5D" w:rsidRPr="004E7650" w:rsidRDefault="00E05A5D" w:rsidP="00E05A5D">
      <w:pPr>
        <w:ind w:left="851"/>
        <w:rPr>
          <w:sz w:val="24"/>
          <w:szCs w:val="24"/>
          <w:lang w:eastAsia="da-DK"/>
        </w:rPr>
      </w:pPr>
      <w:proofErr w:type="spellStart"/>
      <w:r w:rsidRPr="004E7650">
        <w:rPr>
          <w:sz w:val="24"/>
          <w:szCs w:val="24"/>
          <w:lang w:eastAsia="da-DK"/>
        </w:rPr>
        <w:t>Farmakokinetiske</w:t>
      </w:r>
      <w:proofErr w:type="spellEnd"/>
      <w:r w:rsidRPr="004E7650">
        <w:rPr>
          <w:sz w:val="24"/>
          <w:szCs w:val="24"/>
          <w:lang w:eastAsia="da-DK"/>
        </w:rPr>
        <w:t xml:space="preserve"> data vedrørende børn er begrænsede.</w:t>
      </w:r>
    </w:p>
    <w:p w:rsidR="00E05A5D" w:rsidRPr="004E7650" w:rsidRDefault="00E05A5D" w:rsidP="00E05A5D">
      <w:pPr>
        <w:rPr>
          <w:sz w:val="24"/>
          <w:szCs w:val="24"/>
          <w:lang w:eastAsia="da-DK"/>
        </w:rPr>
      </w:pPr>
    </w:p>
    <w:p w:rsidR="00E05A5D" w:rsidRPr="004E7650" w:rsidRDefault="00E05A5D" w:rsidP="00E05A5D">
      <w:pPr>
        <w:ind w:left="851"/>
        <w:rPr>
          <w:sz w:val="24"/>
          <w:szCs w:val="24"/>
          <w:u w:val="single"/>
          <w:lang w:eastAsia="da-DK"/>
        </w:rPr>
      </w:pPr>
      <w:r w:rsidRPr="004E7650">
        <w:rPr>
          <w:sz w:val="24"/>
          <w:szCs w:val="24"/>
          <w:u w:val="single"/>
          <w:lang w:eastAsia="da-DK"/>
        </w:rPr>
        <w:t>Intravenøs administration</w:t>
      </w:r>
    </w:p>
    <w:p w:rsidR="00E05A5D" w:rsidRPr="004E7650" w:rsidRDefault="00E05A5D" w:rsidP="00E05A5D">
      <w:pPr>
        <w:ind w:left="851"/>
        <w:rPr>
          <w:sz w:val="24"/>
          <w:szCs w:val="24"/>
          <w:lang w:eastAsia="da-DK"/>
        </w:rPr>
      </w:pPr>
      <w:r w:rsidRPr="004E7650">
        <w:rPr>
          <w:sz w:val="24"/>
          <w:szCs w:val="24"/>
          <w:lang w:eastAsia="da-DK"/>
        </w:rPr>
        <w:t xml:space="preserve">Plasmaproteinbindingen hos børn er lavere end hos voksne og stiger med alderen. Hos nyfødte spædbørn bindes ca. 80,5 % af </w:t>
      </w:r>
      <w:proofErr w:type="spellStart"/>
      <w:r w:rsidRPr="004E7650">
        <w:rPr>
          <w:sz w:val="24"/>
          <w:szCs w:val="24"/>
          <w:lang w:eastAsia="da-DK"/>
        </w:rPr>
        <w:t>sufentanil</w:t>
      </w:r>
      <w:proofErr w:type="spellEnd"/>
      <w:r w:rsidRPr="004E7650">
        <w:rPr>
          <w:sz w:val="24"/>
          <w:szCs w:val="24"/>
          <w:lang w:eastAsia="da-DK"/>
        </w:rPr>
        <w:t xml:space="preserve"> til proteiner sammenlignet med 88,5 % hos spædbørn, 91,9 % hos børn og 92,5 % hos voksne.</w:t>
      </w:r>
    </w:p>
    <w:p w:rsidR="00E05A5D" w:rsidRPr="004E7650" w:rsidRDefault="00E05A5D" w:rsidP="00E05A5D">
      <w:pPr>
        <w:ind w:left="851"/>
        <w:rPr>
          <w:sz w:val="24"/>
          <w:szCs w:val="24"/>
          <w:lang w:eastAsia="da-DK"/>
        </w:rPr>
      </w:pPr>
    </w:p>
    <w:p w:rsidR="00E05A5D" w:rsidRPr="004E7650" w:rsidRDefault="00E05A5D" w:rsidP="00E05A5D">
      <w:pPr>
        <w:ind w:left="851"/>
        <w:rPr>
          <w:sz w:val="24"/>
          <w:szCs w:val="24"/>
          <w:lang w:eastAsia="da-DK"/>
        </w:rPr>
      </w:pPr>
      <w:r w:rsidRPr="004E7650">
        <w:rPr>
          <w:sz w:val="24"/>
          <w:szCs w:val="24"/>
          <w:lang w:eastAsia="da-DK"/>
        </w:rPr>
        <w:t>Efter administration af en intr</w:t>
      </w:r>
      <w:r>
        <w:rPr>
          <w:sz w:val="24"/>
          <w:szCs w:val="24"/>
          <w:lang w:eastAsia="da-DK"/>
        </w:rPr>
        <w:t xml:space="preserve">avenøs </w:t>
      </w:r>
      <w:proofErr w:type="spellStart"/>
      <w:r>
        <w:rPr>
          <w:sz w:val="24"/>
          <w:szCs w:val="24"/>
          <w:lang w:eastAsia="da-DK"/>
        </w:rPr>
        <w:t>bolusinjektion</w:t>
      </w:r>
      <w:proofErr w:type="spellEnd"/>
      <w:r>
        <w:rPr>
          <w:sz w:val="24"/>
          <w:szCs w:val="24"/>
          <w:lang w:eastAsia="da-DK"/>
        </w:rPr>
        <w:t xml:space="preserve"> på 10-15 mikrogram</w:t>
      </w:r>
      <w:r w:rsidRPr="004E7650">
        <w:rPr>
          <w:sz w:val="24"/>
          <w:szCs w:val="24"/>
          <w:lang w:eastAsia="da-DK"/>
        </w:rPr>
        <w:t xml:space="preserve"> </w:t>
      </w:r>
      <w:proofErr w:type="spellStart"/>
      <w:r w:rsidRPr="004E7650">
        <w:rPr>
          <w:sz w:val="24"/>
          <w:szCs w:val="24"/>
          <w:lang w:eastAsia="da-DK"/>
        </w:rPr>
        <w:t>sufentanil</w:t>
      </w:r>
      <w:proofErr w:type="spellEnd"/>
      <w:r w:rsidRPr="004E7650">
        <w:rPr>
          <w:sz w:val="24"/>
          <w:szCs w:val="24"/>
          <w:lang w:eastAsia="da-DK"/>
        </w:rPr>
        <w:t xml:space="preserve">/kg hos pædiatriske patienter, der gennemgik hjertekirurgi, kan </w:t>
      </w:r>
      <w:proofErr w:type="spellStart"/>
      <w:r w:rsidRPr="004E7650">
        <w:rPr>
          <w:sz w:val="24"/>
          <w:szCs w:val="24"/>
          <w:lang w:eastAsia="da-DK"/>
        </w:rPr>
        <w:t>sufentanils</w:t>
      </w:r>
      <w:proofErr w:type="spellEnd"/>
      <w:r w:rsidRPr="004E7650">
        <w:rPr>
          <w:sz w:val="24"/>
          <w:szCs w:val="24"/>
          <w:lang w:eastAsia="da-DK"/>
        </w:rPr>
        <w:t xml:space="preserve"> farmakokinetik beskrives som en trieksponentiel kurve hos voksne (tabel 1). Den legemsvægtnormaliserede </w:t>
      </w:r>
      <w:proofErr w:type="spellStart"/>
      <w:r w:rsidRPr="004E7650">
        <w:rPr>
          <w:sz w:val="24"/>
          <w:szCs w:val="24"/>
          <w:lang w:eastAsia="da-DK"/>
        </w:rPr>
        <w:t>clearance</w:t>
      </w:r>
      <w:proofErr w:type="spellEnd"/>
      <w:r w:rsidRPr="004E7650">
        <w:rPr>
          <w:sz w:val="24"/>
          <w:szCs w:val="24"/>
          <w:lang w:eastAsia="da-DK"/>
        </w:rPr>
        <w:t xml:space="preserve"> blev påvist at være højere hos spædbørn og børn end hos unge, hvor </w:t>
      </w:r>
      <w:proofErr w:type="spellStart"/>
      <w:r w:rsidRPr="004E7650">
        <w:rPr>
          <w:sz w:val="24"/>
          <w:szCs w:val="24"/>
          <w:lang w:eastAsia="da-DK"/>
        </w:rPr>
        <w:t>clearancehastighederne</w:t>
      </w:r>
      <w:proofErr w:type="spellEnd"/>
      <w:r w:rsidRPr="004E7650">
        <w:rPr>
          <w:sz w:val="24"/>
          <w:szCs w:val="24"/>
          <w:lang w:eastAsia="da-DK"/>
        </w:rPr>
        <w:t xml:space="preserve"> var sammenlignelige med dem, ser ses hos voksne. Hos nyfødte spædbørn var </w:t>
      </w:r>
      <w:proofErr w:type="spellStart"/>
      <w:r w:rsidRPr="004E7650">
        <w:rPr>
          <w:sz w:val="24"/>
          <w:szCs w:val="24"/>
          <w:lang w:eastAsia="da-DK"/>
        </w:rPr>
        <w:t>clearance</w:t>
      </w:r>
      <w:proofErr w:type="spellEnd"/>
      <w:r w:rsidRPr="004E7650">
        <w:rPr>
          <w:sz w:val="24"/>
          <w:szCs w:val="24"/>
          <w:lang w:eastAsia="da-DK"/>
        </w:rPr>
        <w:t xml:space="preserve"> signifikant reduceret og udviste større variabilitet (området 1,2 til 8,8 ml/min./kg og én fjerntliggende værdi på 21,4 ml/min.). Nyfødte spædbørn viste sig at have et større distributionsvolumen ved </w:t>
      </w:r>
      <w:proofErr w:type="spellStart"/>
      <w:r w:rsidRPr="004E7650">
        <w:rPr>
          <w:sz w:val="24"/>
          <w:szCs w:val="24"/>
          <w:lang w:eastAsia="da-DK"/>
        </w:rPr>
        <w:t>steady</w:t>
      </w:r>
      <w:proofErr w:type="spellEnd"/>
      <w:r w:rsidRPr="004E7650">
        <w:rPr>
          <w:sz w:val="24"/>
          <w:szCs w:val="24"/>
          <w:lang w:eastAsia="da-DK"/>
        </w:rPr>
        <w:t xml:space="preserve"> </w:t>
      </w:r>
      <w:proofErr w:type="spellStart"/>
      <w:r w:rsidRPr="004E7650">
        <w:rPr>
          <w:sz w:val="24"/>
          <w:szCs w:val="24"/>
          <w:lang w:eastAsia="da-DK"/>
        </w:rPr>
        <w:t>state</w:t>
      </w:r>
      <w:proofErr w:type="spellEnd"/>
      <w:r w:rsidRPr="004E7650">
        <w:rPr>
          <w:sz w:val="24"/>
          <w:szCs w:val="24"/>
          <w:lang w:eastAsia="da-DK"/>
        </w:rPr>
        <w:t xml:space="preserve"> og en længere eliminationshalveringstid. Der kan være større </w:t>
      </w:r>
      <w:proofErr w:type="spellStart"/>
      <w:r w:rsidRPr="004E7650">
        <w:rPr>
          <w:sz w:val="24"/>
          <w:szCs w:val="24"/>
          <w:lang w:eastAsia="da-DK"/>
        </w:rPr>
        <w:t>farmakodynamiske</w:t>
      </w:r>
      <w:proofErr w:type="spellEnd"/>
      <w:r w:rsidRPr="004E7650">
        <w:rPr>
          <w:sz w:val="24"/>
          <w:szCs w:val="24"/>
          <w:lang w:eastAsia="da-DK"/>
        </w:rPr>
        <w:t xml:space="preserve"> forskelle på grund af forskelle i de </w:t>
      </w:r>
      <w:proofErr w:type="spellStart"/>
      <w:r w:rsidRPr="004E7650">
        <w:rPr>
          <w:sz w:val="24"/>
          <w:szCs w:val="24"/>
          <w:lang w:eastAsia="da-DK"/>
        </w:rPr>
        <w:t>farmakokinetiske</w:t>
      </w:r>
      <w:proofErr w:type="spellEnd"/>
      <w:r w:rsidRPr="004E7650">
        <w:rPr>
          <w:sz w:val="24"/>
          <w:szCs w:val="24"/>
          <w:lang w:eastAsia="da-DK"/>
        </w:rPr>
        <w:t xml:space="preserve"> parametre, hvis der tages højde for den ubundne fraktion.</w:t>
      </w:r>
    </w:p>
    <w:p w:rsidR="00E05A5D" w:rsidRPr="004E7650" w:rsidRDefault="00E05A5D" w:rsidP="0019649B">
      <w:pPr>
        <w:rPr>
          <w:sz w:val="24"/>
          <w:szCs w:val="24"/>
          <w:lang w:eastAsia="da-DK"/>
        </w:rPr>
      </w:pPr>
    </w:p>
    <w:p w:rsidR="00E05A5D" w:rsidRPr="004E7650" w:rsidRDefault="00E05A5D" w:rsidP="00E05A5D">
      <w:pPr>
        <w:ind w:left="851"/>
        <w:rPr>
          <w:sz w:val="24"/>
          <w:szCs w:val="24"/>
          <w:lang w:eastAsia="da-DK"/>
        </w:rPr>
      </w:pPr>
      <w:r w:rsidRPr="004E7650">
        <w:rPr>
          <w:sz w:val="24"/>
          <w:szCs w:val="24"/>
          <w:lang w:eastAsia="da-DK"/>
        </w:rPr>
        <w:t xml:space="preserve">Tabel 1: Gennemsnitlige </w:t>
      </w:r>
      <w:proofErr w:type="spellStart"/>
      <w:r w:rsidRPr="004E7650">
        <w:rPr>
          <w:sz w:val="24"/>
          <w:szCs w:val="24"/>
          <w:lang w:eastAsia="da-DK"/>
        </w:rPr>
        <w:t>farmakokinetiske</w:t>
      </w:r>
      <w:proofErr w:type="spellEnd"/>
      <w:r w:rsidRPr="004E7650">
        <w:rPr>
          <w:sz w:val="24"/>
          <w:szCs w:val="24"/>
          <w:lang w:eastAsia="da-DK"/>
        </w:rPr>
        <w:t xml:space="preserve"> parametre af </w:t>
      </w:r>
      <w:proofErr w:type="spellStart"/>
      <w:r w:rsidRPr="004E7650">
        <w:rPr>
          <w:sz w:val="24"/>
          <w:szCs w:val="24"/>
          <w:lang w:eastAsia="da-DK"/>
        </w:rPr>
        <w:t>sufentanil</w:t>
      </w:r>
      <w:proofErr w:type="spellEnd"/>
      <w:r w:rsidRPr="004E7650">
        <w:rPr>
          <w:sz w:val="24"/>
          <w:szCs w:val="24"/>
          <w:lang w:eastAsia="da-DK"/>
        </w:rPr>
        <w:t xml:space="preserve"> hos børn efter administration af 10-15 </w:t>
      </w:r>
      <w:r>
        <w:rPr>
          <w:sz w:val="24"/>
          <w:szCs w:val="24"/>
          <w:lang w:eastAsia="da-DK"/>
        </w:rPr>
        <w:t>mikrogram</w:t>
      </w:r>
      <w:r w:rsidRPr="004E7650">
        <w:rPr>
          <w:sz w:val="24"/>
          <w:szCs w:val="24"/>
          <w:lang w:eastAsia="da-DK"/>
        </w:rPr>
        <w:t xml:space="preserve">/kg </w:t>
      </w:r>
      <w:proofErr w:type="spellStart"/>
      <w:r w:rsidRPr="004E7650">
        <w:rPr>
          <w:sz w:val="24"/>
          <w:szCs w:val="24"/>
          <w:lang w:eastAsia="da-DK"/>
        </w:rPr>
        <w:t>sufentanil</w:t>
      </w:r>
      <w:proofErr w:type="spellEnd"/>
      <w:r w:rsidRPr="004E7650">
        <w:rPr>
          <w:sz w:val="24"/>
          <w:szCs w:val="24"/>
          <w:lang w:eastAsia="da-DK"/>
        </w:rPr>
        <w:t xml:space="preserve"> som en enkelt intravenøs </w:t>
      </w:r>
      <w:proofErr w:type="spellStart"/>
      <w:r w:rsidRPr="004E7650">
        <w:rPr>
          <w:sz w:val="24"/>
          <w:szCs w:val="24"/>
          <w:lang w:eastAsia="da-DK"/>
        </w:rPr>
        <w:t>bolusdosis</w:t>
      </w:r>
      <w:proofErr w:type="spellEnd"/>
      <w:r w:rsidRPr="004E7650">
        <w:rPr>
          <w:sz w:val="24"/>
          <w:szCs w:val="24"/>
          <w:lang w:eastAsia="da-DK"/>
        </w:rPr>
        <w:t xml:space="preserve"> (N = 28).</w:t>
      </w:r>
    </w:p>
    <w:tbl>
      <w:tblPr>
        <w:tblW w:w="8315" w:type="dxa"/>
        <w:tblInd w:w="82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137"/>
        <w:gridCol w:w="569"/>
        <w:gridCol w:w="1559"/>
        <w:gridCol w:w="1559"/>
        <w:gridCol w:w="1491"/>
      </w:tblGrid>
      <w:tr w:rsidR="00E05A5D" w:rsidRPr="004E7650" w:rsidTr="003B4BCE">
        <w:trPr>
          <w:trHeight w:val="355"/>
        </w:trPr>
        <w:tc>
          <w:tcPr>
            <w:tcW w:w="3137" w:type="dxa"/>
          </w:tcPr>
          <w:p w:rsidR="00E05A5D" w:rsidRPr="004E7650" w:rsidRDefault="00E05A5D" w:rsidP="003B4BCE">
            <w:pPr>
              <w:autoSpaceDE w:val="0"/>
              <w:autoSpaceDN w:val="0"/>
              <w:adjustRightInd w:val="0"/>
              <w:ind w:left="161"/>
              <w:rPr>
                <w:color w:val="000000"/>
                <w:sz w:val="24"/>
                <w:szCs w:val="24"/>
              </w:rPr>
            </w:pPr>
            <w:r w:rsidRPr="004E7650">
              <w:rPr>
                <w:b/>
                <w:bCs/>
                <w:color w:val="000000"/>
                <w:sz w:val="24"/>
                <w:szCs w:val="24"/>
              </w:rPr>
              <w:t xml:space="preserve">Aldersgruppe </w:t>
            </w:r>
          </w:p>
        </w:tc>
        <w:tc>
          <w:tcPr>
            <w:tcW w:w="569" w:type="dxa"/>
          </w:tcPr>
          <w:p w:rsidR="00E05A5D" w:rsidRPr="004E7650" w:rsidRDefault="00E05A5D" w:rsidP="003B4BCE">
            <w:pPr>
              <w:autoSpaceDE w:val="0"/>
              <w:autoSpaceDN w:val="0"/>
              <w:adjustRightInd w:val="0"/>
              <w:ind w:left="144"/>
              <w:rPr>
                <w:color w:val="000000"/>
                <w:sz w:val="24"/>
                <w:szCs w:val="24"/>
              </w:rPr>
            </w:pPr>
            <w:r w:rsidRPr="004E7650">
              <w:rPr>
                <w:b/>
                <w:bCs/>
                <w:color w:val="000000"/>
                <w:sz w:val="24"/>
                <w:szCs w:val="24"/>
              </w:rPr>
              <w:t xml:space="preserve">N </w:t>
            </w:r>
          </w:p>
        </w:tc>
        <w:tc>
          <w:tcPr>
            <w:tcW w:w="1559" w:type="dxa"/>
          </w:tcPr>
          <w:p w:rsidR="00E05A5D" w:rsidRPr="004E7650" w:rsidRDefault="00E05A5D" w:rsidP="003B4BCE">
            <w:pPr>
              <w:autoSpaceDE w:val="0"/>
              <w:autoSpaceDN w:val="0"/>
              <w:adjustRightInd w:val="0"/>
              <w:ind w:left="110"/>
              <w:rPr>
                <w:color w:val="000000"/>
                <w:sz w:val="24"/>
                <w:szCs w:val="24"/>
              </w:rPr>
            </w:pPr>
            <w:proofErr w:type="spellStart"/>
            <w:r w:rsidRPr="004E7650">
              <w:rPr>
                <w:b/>
                <w:bCs/>
                <w:color w:val="000000"/>
                <w:sz w:val="24"/>
                <w:szCs w:val="24"/>
              </w:rPr>
              <w:t>Vdss</w:t>
            </w:r>
            <w:proofErr w:type="spellEnd"/>
            <w:r w:rsidRPr="004E7650">
              <w:rPr>
                <w:b/>
                <w:bCs/>
                <w:color w:val="000000"/>
                <w:sz w:val="24"/>
                <w:szCs w:val="24"/>
              </w:rPr>
              <w:t xml:space="preserve"> </w:t>
            </w:r>
          </w:p>
          <w:p w:rsidR="00E05A5D" w:rsidRPr="004E7650" w:rsidRDefault="00E05A5D" w:rsidP="003B4BCE">
            <w:pPr>
              <w:autoSpaceDE w:val="0"/>
              <w:autoSpaceDN w:val="0"/>
              <w:adjustRightInd w:val="0"/>
              <w:ind w:left="110"/>
              <w:rPr>
                <w:color w:val="000000"/>
                <w:sz w:val="24"/>
                <w:szCs w:val="24"/>
              </w:rPr>
            </w:pPr>
            <w:r w:rsidRPr="004E7650">
              <w:rPr>
                <w:b/>
                <w:bCs/>
                <w:color w:val="000000"/>
                <w:sz w:val="24"/>
                <w:szCs w:val="24"/>
              </w:rPr>
              <w:t xml:space="preserve">(L/kg) </w:t>
            </w:r>
          </w:p>
          <w:p w:rsidR="00E05A5D" w:rsidRPr="004E7650" w:rsidRDefault="00E05A5D" w:rsidP="003B4BCE">
            <w:pPr>
              <w:autoSpaceDE w:val="0"/>
              <w:autoSpaceDN w:val="0"/>
              <w:adjustRightInd w:val="0"/>
              <w:ind w:left="110"/>
              <w:rPr>
                <w:b/>
                <w:bCs/>
                <w:color w:val="000000"/>
                <w:sz w:val="24"/>
                <w:szCs w:val="24"/>
              </w:rPr>
            </w:pPr>
            <w:r w:rsidRPr="004E7650">
              <w:rPr>
                <w:b/>
                <w:bCs/>
                <w:color w:val="000000"/>
                <w:sz w:val="24"/>
                <w:szCs w:val="24"/>
              </w:rPr>
              <w:t>Gennemsnit</w:t>
            </w:r>
          </w:p>
          <w:p w:rsidR="00E05A5D" w:rsidRPr="004E7650" w:rsidRDefault="00E05A5D" w:rsidP="003B4BCE">
            <w:pPr>
              <w:autoSpaceDE w:val="0"/>
              <w:autoSpaceDN w:val="0"/>
              <w:adjustRightInd w:val="0"/>
              <w:ind w:left="110"/>
              <w:rPr>
                <w:color w:val="000000"/>
                <w:sz w:val="24"/>
                <w:szCs w:val="24"/>
              </w:rPr>
            </w:pPr>
            <w:r w:rsidRPr="004E7650">
              <w:rPr>
                <w:b/>
                <w:bCs/>
                <w:color w:val="000000"/>
                <w:sz w:val="24"/>
                <w:szCs w:val="24"/>
              </w:rPr>
              <w:t xml:space="preserve">(± SD) </w:t>
            </w:r>
          </w:p>
        </w:tc>
        <w:tc>
          <w:tcPr>
            <w:tcW w:w="1559" w:type="dxa"/>
          </w:tcPr>
          <w:p w:rsidR="00E05A5D" w:rsidRPr="004E7650" w:rsidRDefault="00E05A5D" w:rsidP="003B4BCE">
            <w:pPr>
              <w:autoSpaceDE w:val="0"/>
              <w:autoSpaceDN w:val="0"/>
              <w:adjustRightInd w:val="0"/>
              <w:ind w:left="110"/>
              <w:rPr>
                <w:color w:val="000000"/>
                <w:sz w:val="24"/>
                <w:szCs w:val="24"/>
              </w:rPr>
            </w:pPr>
            <w:r w:rsidRPr="004E7650">
              <w:rPr>
                <w:b/>
                <w:bCs/>
                <w:color w:val="000000"/>
                <w:sz w:val="24"/>
                <w:szCs w:val="24"/>
              </w:rPr>
              <w:t xml:space="preserve">T1/2β </w:t>
            </w:r>
          </w:p>
          <w:p w:rsidR="00E05A5D" w:rsidRPr="004E7650" w:rsidRDefault="00E05A5D" w:rsidP="003B4BCE">
            <w:pPr>
              <w:autoSpaceDE w:val="0"/>
              <w:autoSpaceDN w:val="0"/>
              <w:adjustRightInd w:val="0"/>
              <w:ind w:left="110"/>
              <w:rPr>
                <w:color w:val="000000"/>
                <w:sz w:val="24"/>
                <w:szCs w:val="24"/>
              </w:rPr>
            </w:pPr>
            <w:r w:rsidRPr="004E7650">
              <w:rPr>
                <w:b/>
                <w:bCs/>
                <w:color w:val="000000"/>
                <w:sz w:val="24"/>
                <w:szCs w:val="24"/>
              </w:rPr>
              <w:t xml:space="preserve">(min) </w:t>
            </w:r>
          </w:p>
          <w:p w:rsidR="00E05A5D" w:rsidRPr="004E7650" w:rsidRDefault="00E05A5D" w:rsidP="003B4BCE">
            <w:pPr>
              <w:autoSpaceDE w:val="0"/>
              <w:autoSpaceDN w:val="0"/>
              <w:adjustRightInd w:val="0"/>
              <w:ind w:left="110"/>
              <w:rPr>
                <w:b/>
                <w:bCs/>
                <w:color w:val="000000"/>
                <w:sz w:val="24"/>
                <w:szCs w:val="24"/>
              </w:rPr>
            </w:pPr>
            <w:r w:rsidRPr="004E7650">
              <w:rPr>
                <w:b/>
                <w:bCs/>
                <w:color w:val="000000"/>
                <w:sz w:val="24"/>
                <w:szCs w:val="24"/>
              </w:rPr>
              <w:t>Gennemsnit</w:t>
            </w:r>
          </w:p>
          <w:p w:rsidR="00E05A5D" w:rsidRPr="004E7650" w:rsidRDefault="00E05A5D" w:rsidP="003B4BCE">
            <w:pPr>
              <w:autoSpaceDE w:val="0"/>
              <w:autoSpaceDN w:val="0"/>
              <w:adjustRightInd w:val="0"/>
              <w:ind w:left="110"/>
              <w:rPr>
                <w:color w:val="000000"/>
                <w:sz w:val="24"/>
                <w:szCs w:val="24"/>
              </w:rPr>
            </w:pPr>
            <w:r w:rsidRPr="004E7650">
              <w:rPr>
                <w:b/>
                <w:bCs/>
                <w:color w:val="000000"/>
                <w:sz w:val="24"/>
                <w:szCs w:val="24"/>
              </w:rPr>
              <w:t xml:space="preserve">(± SD) </w:t>
            </w:r>
          </w:p>
        </w:tc>
        <w:tc>
          <w:tcPr>
            <w:tcW w:w="1491" w:type="dxa"/>
          </w:tcPr>
          <w:p w:rsidR="00E05A5D" w:rsidRPr="004E7650" w:rsidRDefault="00E05A5D" w:rsidP="003B4BCE">
            <w:pPr>
              <w:autoSpaceDE w:val="0"/>
              <w:autoSpaceDN w:val="0"/>
              <w:adjustRightInd w:val="0"/>
              <w:ind w:left="111"/>
              <w:rPr>
                <w:color w:val="000000"/>
                <w:sz w:val="24"/>
                <w:szCs w:val="24"/>
              </w:rPr>
            </w:pPr>
            <w:proofErr w:type="spellStart"/>
            <w:r w:rsidRPr="004E7650">
              <w:rPr>
                <w:b/>
                <w:bCs/>
                <w:color w:val="000000"/>
                <w:sz w:val="24"/>
                <w:szCs w:val="24"/>
              </w:rPr>
              <w:t>Clearance</w:t>
            </w:r>
            <w:proofErr w:type="spellEnd"/>
            <w:r w:rsidRPr="004E7650">
              <w:rPr>
                <w:b/>
                <w:bCs/>
                <w:color w:val="000000"/>
                <w:sz w:val="24"/>
                <w:szCs w:val="24"/>
              </w:rPr>
              <w:t xml:space="preserve"> </w:t>
            </w:r>
          </w:p>
          <w:p w:rsidR="00E05A5D" w:rsidRPr="004E7650" w:rsidRDefault="00E05A5D" w:rsidP="003B4BCE">
            <w:pPr>
              <w:autoSpaceDE w:val="0"/>
              <w:autoSpaceDN w:val="0"/>
              <w:adjustRightInd w:val="0"/>
              <w:ind w:left="111"/>
              <w:rPr>
                <w:color w:val="000000"/>
                <w:sz w:val="24"/>
                <w:szCs w:val="24"/>
              </w:rPr>
            </w:pPr>
            <w:r w:rsidRPr="004E7650">
              <w:rPr>
                <w:b/>
                <w:bCs/>
                <w:color w:val="000000"/>
                <w:sz w:val="24"/>
                <w:szCs w:val="24"/>
              </w:rPr>
              <w:t xml:space="preserve">(ml/kg/min) </w:t>
            </w:r>
          </w:p>
          <w:p w:rsidR="00E05A5D" w:rsidRPr="004E7650" w:rsidRDefault="00E05A5D" w:rsidP="003B4BCE">
            <w:pPr>
              <w:autoSpaceDE w:val="0"/>
              <w:autoSpaceDN w:val="0"/>
              <w:adjustRightInd w:val="0"/>
              <w:ind w:left="111"/>
              <w:rPr>
                <w:color w:val="000000"/>
                <w:sz w:val="24"/>
                <w:szCs w:val="24"/>
              </w:rPr>
            </w:pPr>
            <w:r w:rsidRPr="004E7650">
              <w:rPr>
                <w:b/>
                <w:bCs/>
                <w:color w:val="000000"/>
                <w:sz w:val="24"/>
                <w:szCs w:val="24"/>
              </w:rPr>
              <w:t xml:space="preserve">Gennemsnit (± SD) </w:t>
            </w:r>
          </w:p>
        </w:tc>
      </w:tr>
      <w:tr w:rsidR="00E05A5D" w:rsidRPr="004E7650" w:rsidTr="003B4BCE">
        <w:trPr>
          <w:trHeight w:val="103"/>
        </w:trPr>
        <w:tc>
          <w:tcPr>
            <w:tcW w:w="3137" w:type="dxa"/>
          </w:tcPr>
          <w:p w:rsidR="00E05A5D" w:rsidRPr="004E7650" w:rsidRDefault="00E05A5D" w:rsidP="003B4BCE">
            <w:pPr>
              <w:autoSpaceDE w:val="0"/>
              <w:autoSpaceDN w:val="0"/>
              <w:adjustRightInd w:val="0"/>
              <w:spacing w:before="60" w:after="60"/>
              <w:ind w:left="161"/>
              <w:rPr>
                <w:color w:val="000000"/>
                <w:sz w:val="24"/>
                <w:szCs w:val="24"/>
              </w:rPr>
            </w:pPr>
            <w:r w:rsidRPr="004E7650">
              <w:rPr>
                <w:color w:val="000000"/>
                <w:sz w:val="24"/>
                <w:szCs w:val="24"/>
              </w:rPr>
              <w:t>Nyfødte spædbørn (0</w:t>
            </w:r>
            <w:r>
              <w:rPr>
                <w:color w:val="000000"/>
                <w:sz w:val="24"/>
                <w:szCs w:val="24"/>
              </w:rPr>
              <w:t>-</w:t>
            </w:r>
            <w:r w:rsidRPr="004E7650">
              <w:rPr>
                <w:color w:val="000000"/>
                <w:sz w:val="24"/>
                <w:szCs w:val="24"/>
              </w:rPr>
              <w:t xml:space="preserve">30 dage) </w:t>
            </w:r>
          </w:p>
        </w:tc>
        <w:tc>
          <w:tcPr>
            <w:tcW w:w="569" w:type="dxa"/>
          </w:tcPr>
          <w:p w:rsidR="00E05A5D" w:rsidRPr="004E7650" w:rsidRDefault="00E05A5D" w:rsidP="003B4BCE">
            <w:pPr>
              <w:autoSpaceDE w:val="0"/>
              <w:autoSpaceDN w:val="0"/>
              <w:adjustRightInd w:val="0"/>
              <w:spacing w:before="60" w:after="60"/>
              <w:ind w:left="144"/>
              <w:rPr>
                <w:color w:val="000000"/>
                <w:sz w:val="24"/>
                <w:szCs w:val="24"/>
              </w:rPr>
            </w:pPr>
            <w:r w:rsidRPr="004E7650">
              <w:rPr>
                <w:color w:val="000000"/>
                <w:sz w:val="24"/>
                <w:szCs w:val="24"/>
              </w:rPr>
              <w:t xml:space="preserve">9 </w:t>
            </w:r>
          </w:p>
        </w:tc>
        <w:tc>
          <w:tcPr>
            <w:tcW w:w="1559" w:type="dxa"/>
          </w:tcPr>
          <w:p w:rsidR="00E05A5D" w:rsidRPr="004E7650" w:rsidRDefault="00E05A5D" w:rsidP="003B4BCE">
            <w:pPr>
              <w:autoSpaceDE w:val="0"/>
              <w:autoSpaceDN w:val="0"/>
              <w:adjustRightInd w:val="0"/>
              <w:spacing w:before="60" w:after="60"/>
              <w:ind w:left="110"/>
              <w:rPr>
                <w:color w:val="000000"/>
                <w:sz w:val="24"/>
                <w:szCs w:val="24"/>
              </w:rPr>
            </w:pPr>
            <w:r w:rsidRPr="004E7650">
              <w:rPr>
                <w:color w:val="000000"/>
                <w:sz w:val="24"/>
                <w:szCs w:val="24"/>
              </w:rPr>
              <w:t xml:space="preserve">4,15 (1,01) </w:t>
            </w:r>
          </w:p>
        </w:tc>
        <w:tc>
          <w:tcPr>
            <w:tcW w:w="1559" w:type="dxa"/>
          </w:tcPr>
          <w:p w:rsidR="00E05A5D" w:rsidRPr="004E7650" w:rsidRDefault="00E05A5D" w:rsidP="003B4BCE">
            <w:pPr>
              <w:autoSpaceDE w:val="0"/>
              <w:autoSpaceDN w:val="0"/>
              <w:adjustRightInd w:val="0"/>
              <w:spacing w:before="60" w:after="60"/>
              <w:ind w:left="110"/>
              <w:rPr>
                <w:color w:val="000000"/>
                <w:sz w:val="24"/>
                <w:szCs w:val="24"/>
              </w:rPr>
            </w:pPr>
            <w:r w:rsidRPr="004E7650">
              <w:rPr>
                <w:color w:val="000000"/>
                <w:sz w:val="24"/>
                <w:szCs w:val="24"/>
              </w:rPr>
              <w:t xml:space="preserve">737 (346) </w:t>
            </w:r>
          </w:p>
        </w:tc>
        <w:tc>
          <w:tcPr>
            <w:tcW w:w="1491" w:type="dxa"/>
          </w:tcPr>
          <w:p w:rsidR="00E05A5D" w:rsidRPr="004E7650" w:rsidRDefault="00E05A5D" w:rsidP="003B4BCE">
            <w:pPr>
              <w:autoSpaceDE w:val="0"/>
              <w:autoSpaceDN w:val="0"/>
              <w:adjustRightInd w:val="0"/>
              <w:spacing w:before="60" w:after="60"/>
              <w:ind w:left="111"/>
              <w:rPr>
                <w:color w:val="000000"/>
                <w:sz w:val="24"/>
                <w:szCs w:val="24"/>
              </w:rPr>
            </w:pPr>
            <w:r w:rsidRPr="004E7650">
              <w:rPr>
                <w:color w:val="000000"/>
                <w:sz w:val="24"/>
                <w:szCs w:val="24"/>
              </w:rPr>
              <w:t xml:space="preserve">6,7 (6,1) </w:t>
            </w:r>
          </w:p>
        </w:tc>
      </w:tr>
      <w:tr w:rsidR="00E05A5D" w:rsidRPr="004E7650" w:rsidTr="003B4BCE">
        <w:trPr>
          <w:trHeight w:val="103"/>
        </w:trPr>
        <w:tc>
          <w:tcPr>
            <w:tcW w:w="3137" w:type="dxa"/>
          </w:tcPr>
          <w:p w:rsidR="00E05A5D" w:rsidRPr="004E7650" w:rsidRDefault="00E05A5D" w:rsidP="003B4BCE">
            <w:pPr>
              <w:autoSpaceDE w:val="0"/>
              <w:autoSpaceDN w:val="0"/>
              <w:adjustRightInd w:val="0"/>
              <w:spacing w:before="60" w:after="60"/>
              <w:ind w:left="161"/>
              <w:rPr>
                <w:color w:val="000000"/>
                <w:sz w:val="24"/>
                <w:szCs w:val="24"/>
              </w:rPr>
            </w:pPr>
            <w:r w:rsidRPr="004E7650">
              <w:rPr>
                <w:color w:val="000000"/>
                <w:sz w:val="24"/>
                <w:szCs w:val="24"/>
              </w:rPr>
              <w:t>Spædbørn (1</w:t>
            </w:r>
            <w:r>
              <w:rPr>
                <w:color w:val="000000"/>
                <w:sz w:val="24"/>
                <w:szCs w:val="24"/>
              </w:rPr>
              <w:t>-</w:t>
            </w:r>
            <w:r w:rsidRPr="004E7650">
              <w:rPr>
                <w:color w:val="000000"/>
                <w:sz w:val="24"/>
                <w:szCs w:val="24"/>
              </w:rPr>
              <w:t xml:space="preserve">23 mdr.) </w:t>
            </w:r>
          </w:p>
        </w:tc>
        <w:tc>
          <w:tcPr>
            <w:tcW w:w="569" w:type="dxa"/>
          </w:tcPr>
          <w:p w:rsidR="00E05A5D" w:rsidRPr="004E7650" w:rsidRDefault="00E05A5D" w:rsidP="003B4BCE">
            <w:pPr>
              <w:autoSpaceDE w:val="0"/>
              <w:autoSpaceDN w:val="0"/>
              <w:adjustRightInd w:val="0"/>
              <w:spacing w:before="60" w:after="60"/>
              <w:ind w:left="144"/>
              <w:rPr>
                <w:color w:val="000000"/>
                <w:sz w:val="24"/>
                <w:szCs w:val="24"/>
              </w:rPr>
            </w:pPr>
            <w:r w:rsidRPr="004E7650">
              <w:rPr>
                <w:color w:val="000000"/>
                <w:sz w:val="24"/>
                <w:szCs w:val="24"/>
              </w:rPr>
              <w:t xml:space="preserve">7 </w:t>
            </w:r>
          </w:p>
        </w:tc>
        <w:tc>
          <w:tcPr>
            <w:tcW w:w="1559" w:type="dxa"/>
          </w:tcPr>
          <w:p w:rsidR="00E05A5D" w:rsidRPr="004E7650" w:rsidRDefault="00E05A5D" w:rsidP="003B4BCE">
            <w:pPr>
              <w:autoSpaceDE w:val="0"/>
              <w:autoSpaceDN w:val="0"/>
              <w:adjustRightInd w:val="0"/>
              <w:spacing w:before="60" w:after="60"/>
              <w:ind w:left="110"/>
              <w:rPr>
                <w:color w:val="000000"/>
                <w:sz w:val="24"/>
                <w:szCs w:val="24"/>
              </w:rPr>
            </w:pPr>
            <w:r w:rsidRPr="004E7650">
              <w:rPr>
                <w:color w:val="000000"/>
                <w:sz w:val="24"/>
                <w:szCs w:val="24"/>
              </w:rPr>
              <w:t xml:space="preserve">3,09 (0,95) </w:t>
            </w:r>
          </w:p>
        </w:tc>
        <w:tc>
          <w:tcPr>
            <w:tcW w:w="1559" w:type="dxa"/>
          </w:tcPr>
          <w:p w:rsidR="00E05A5D" w:rsidRPr="004E7650" w:rsidRDefault="00E05A5D" w:rsidP="003B4BCE">
            <w:pPr>
              <w:autoSpaceDE w:val="0"/>
              <w:autoSpaceDN w:val="0"/>
              <w:adjustRightInd w:val="0"/>
              <w:spacing w:before="60" w:after="60"/>
              <w:ind w:left="110"/>
              <w:rPr>
                <w:color w:val="000000"/>
                <w:sz w:val="24"/>
                <w:szCs w:val="24"/>
              </w:rPr>
            </w:pPr>
            <w:r w:rsidRPr="004E7650">
              <w:rPr>
                <w:color w:val="000000"/>
                <w:sz w:val="24"/>
                <w:szCs w:val="24"/>
              </w:rPr>
              <w:t xml:space="preserve">214 (41) </w:t>
            </w:r>
          </w:p>
        </w:tc>
        <w:tc>
          <w:tcPr>
            <w:tcW w:w="1491" w:type="dxa"/>
          </w:tcPr>
          <w:p w:rsidR="00E05A5D" w:rsidRPr="004E7650" w:rsidRDefault="00E05A5D" w:rsidP="003B4BCE">
            <w:pPr>
              <w:autoSpaceDE w:val="0"/>
              <w:autoSpaceDN w:val="0"/>
              <w:adjustRightInd w:val="0"/>
              <w:spacing w:before="60" w:after="60"/>
              <w:ind w:left="111"/>
              <w:rPr>
                <w:color w:val="000000"/>
                <w:sz w:val="24"/>
                <w:szCs w:val="24"/>
              </w:rPr>
            </w:pPr>
            <w:r w:rsidRPr="004E7650">
              <w:rPr>
                <w:color w:val="000000"/>
                <w:sz w:val="24"/>
                <w:szCs w:val="24"/>
              </w:rPr>
              <w:t xml:space="preserve">18,1 (2,8) </w:t>
            </w:r>
          </w:p>
        </w:tc>
      </w:tr>
      <w:tr w:rsidR="00E05A5D" w:rsidRPr="004E7650" w:rsidTr="003B4BCE">
        <w:trPr>
          <w:trHeight w:val="103"/>
        </w:trPr>
        <w:tc>
          <w:tcPr>
            <w:tcW w:w="3137" w:type="dxa"/>
          </w:tcPr>
          <w:p w:rsidR="00E05A5D" w:rsidRPr="004E7650" w:rsidRDefault="00E05A5D" w:rsidP="003B4BCE">
            <w:pPr>
              <w:autoSpaceDE w:val="0"/>
              <w:autoSpaceDN w:val="0"/>
              <w:adjustRightInd w:val="0"/>
              <w:spacing w:before="60" w:after="60"/>
              <w:ind w:left="161"/>
              <w:rPr>
                <w:color w:val="000000"/>
                <w:sz w:val="24"/>
                <w:szCs w:val="24"/>
              </w:rPr>
            </w:pPr>
            <w:r w:rsidRPr="004E7650">
              <w:rPr>
                <w:color w:val="000000"/>
                <w:sz w:val="24"/>
                <w:szCs w:val="24"/>
              </w:rPr>
              <w:t>Børn (3</w:t>
            </w:r>
            <w:r>
              <w:rPr>
                <w:color w:val="000000"/>
                <w:sz w:val="24"/>
                <w:szCs w:val="24"/>
              </w:rPr>
              <w:t>-</w:t>
            </w:r>
            <w:r w:rsidRPr="004E7650">
              <w:rPr>
                <w:color w:val="000000"/>
                <w:sz w:val="24"/>
                <w:szCs w:val="24"/>
              </w:rPr>
              <w:t xml:space="preserve">11 år) </w:t>
            </w:r>
          </w:p>
        </w:tc>
        <w:tc>
          <w:tcPr>
            <w:tcW w:w="569" w:type="dxa"/>
          </w:tcPr>
          <w:p w:rsidR="00E05A5D" w:rsidRPr="004E7650" w:rsidRDefault="00E05A5D" w:rsidP="003B4BCE">
            <w:pPr>
              <w:autoSpaceDE w:val="0"/>
              <w:autoSpaceDN w:val="0"/>
              <w:adjustRightInd w:val="0"/>
              <w:spacing w:before="60" w:after="60"/>
              <w:ind w:left="144"/>
              <w:rPr>
                <w:color w:val="000000"/>
                <w:sz w:val="24"/>
                <w:szCs w:val="24"/>
              </w:rPr>
            </w:pPr>
            <w:r w:rsidRPr="004E7650">
              <w:rPr>
                <w:color w:val="000000"/>
                <w:sz w:val="24"/>
                <w:szCs w:val="24"/>
              </w:rPr>
              <w:t xml:space="preserve">7 </w:t>
            </w:r>
          </w:p>
        </w:tc>
        <w:tc>
          <w:tcPr>
            <w:tcW w:w="1559" w:type="dxa"/>
          </w:tcPr>
          <w:p w:rsidR="00E05A5D" w:rsidRPr="004E7650" w:rsidRDefault="00E05A5D" w:rsidP="003B4BCE">
            <w:pPr>
              <w:autoSpaceDE w:val="0"/>
              <w:autoSpaceDN w:val="0"/>
              <w:adjustRightInd w:val="0"/>
              <w:spacing w:before="60" w:after="60"/>
              <w:ind w:left="110"/>
              <w:rPr>
                <w:color w:val="000000"/>
                <w:sz w:val="24"/>
                <w:szCs w:val="24"/>
              </w:rPr>
            </w:pPr>
            <w:r w:rsidRPr="004E7650">
              <w:rPr>
                <w:color w:val="000000"/>
                <w:sz w:val="24"/>
                <w:szCs w:val="24"/>
              </w:rPr>
              <w:t xml:space="preserve">2,73 (0,50) </w:t>
            </w:r>
          </w:p>
        </w:tc>
        <w:tc>
          <w:tcPr>
            <w:tcW w:w="1559" w:type="dxa"/>
          </w:tcPr>
          <w:p w:rsidR="00E05A5D" w:rsidRPr="004E7650" w:rsidRDefault="00E05A5D" w:rsidP="003B4BCE">
            <w:pPr>
              <w:autoSpaceDE w:val="0"/>
              <w:autoSpaceDN w:val="0"/>
              <w:adjustRightInd w:val="0"/>
              <w:spacing w:before="60" w:after="60"/>
              <w:ind w:left="110"/>
              <w:rPr>
                <w:color w:val="000000"/>
                <w:sz w:val="24"/>
                <w:szCs w:val="24"/>
              </w:rPr>
            </w:pPr>
            <w:r w:rsidRPr="004E7650">
              <w:rPr>
                <w:color w:val="000000"/>
                <w:sz w:val="24"/>
                <w:szCs w:val="24"/>
              </w:rPr>
              <w:t xml:space="preserve">140 (30) </w:t>
            </w:r>
          </w:p>
        </w:tc>
        <w:tc>
          <w:tcPr>
            <w:tcW w:w="1491" w:type="dxa"/>
          </w:tcPr>
          <w:p w:rsidR="00E05A5D" w:rsidRPr="004E7650" w:rsidRDefault="00E05A5D" w:rsidP="003B4BCE">
            <w:pPr>
              <w:autoSpaceDE w:val="0"/>
              <w:autoSpaceDN w:val="0"/>
              <w:adjustRightInd w:val="0"/>
              <w:spacing w:before="60" w:after="60"/>
              <w:ind w:left="111"/>
              <w:rPr>
                <w:color w:val="000000"/>
                <w:sz w:val="24"/>
                <w:szCs w:val="24"/>
              </w:rPr>
            </w:pPr>
            <w:r w:rsidRPr="004E7650">
              <w:rPr>
                <w:color w:val="000000"/>
                <w:sz w:val="24"/>
                <w:szCs w:val="24"/>
              </w:rPr>
              <w:t xml:space="preserve">16,9 (3,2) </w:t>
            </w:r>
          </w:p>
        </w:tc>
      </w:tr>
      <w:tr w:rsidR="00E05A5D" w:rsidRPr="004E7650" w:rsidTr="003B4BCE">
        <w:trPr>
          <w:trHeight w:val="103"/>
        </w:trPr>
        <w:tc>
          <w:tcPr>
            <w:tcW w:w="3137" w:type="dxa"/>
          </w:tcPr>
          <w:p w:rsidR="00E05A5D" w:rsidRPr="004E7650" w:rsidRDefault="00E05A5D" w:rsidP="003B4BCE">
            <w:pPr>
              <w:autoSpaceDE w:val="0"/>
              <w:autoSpaceDN w:val="0"/>
              <w:adjustRightInd w:val="0"/>
              <w:spacing w:before="60" w:after="60"/>
              <w:ind w:left="161"/>
              <w:rPr>
                <w:color w:val="000000"/>
                <w:sz w:val="24"/>
                <w:szCs w:val="24"/>
              </w:rPr>
            </w:pPr>
            <w:r w:rsidRPr="004E7650">
              <w:rPr>
                <w:color w:val="000000"/>
                <w:sz w:val="24"/>
                <w:szCs w:val="24"/>
              </w:rPr>
              <w:t>Unge (13</w:t>
            </w:r>
            <w:r>
              <w:rPr>
                <w:color w:val="000000"/>
                <w:sz w:val="24"/>
                <w:szCs w:val="24"/>
              </w:rPr>
              <w:t>-</w:t>
            </w:r>
            <w:r w:rsidRPr="004E7650">
              <w:rPr>
                <w:color w:val="000000"/>
                <w:sz w:val="24"/>
                <w:szCs w:val="24"/>
              </w:rPr>
              <w:t xml:space="preserve">18 år) </w:t>
            </w:r>
          </w:p>
        </w:tc>
        <w:tc>
          <w:tcPr>
            <w:tcW w:w="569" w:type="dxa"/>
          </w:tcPr>
          <w:p w:rsidR="00E05A5D" w:rsidRPr="004E7650" w:rsidRDefault="00E05A5D" w:rsidP="003B4BCE">
            <w:pPr>
              <w:autoSpaceDE w:val="0"/>
              <w:autoSpaceDN w:val="0"/>
              <w:adjustRightInd w:val="0"/>
              <w:spacing w:before="60" w:after="60"/>
              <w:ind w:left="144"/>
              <w:rPr>
                <w:color w:val="000000"/>
                <w:sz w:val="24"/>
                <w:szCs w:val="24"/>
              </w:rPr>
            </w:pPr>
            <w:r w:rsidRPr="004E7650">
              <w:rPr>
                <w:color w:val="000000"/>
                <w:sz w:val="24"/>
                <w:szCs w:val="24"/>
              </w:rPr>
              <w:t xml:space="preserve">5 </w:t>
            </w:r>
          </w:p>
        </w:tc>
        <w:tc>
          <w:tcPr>
            <w:tcW w:w="1559" w:type="dxa"/>
          </w:tcPr>
          <w:p w:rsidR="00E05A5D" w:rsidRPr="004E7650" w:rsidRDefault="00E05A5D" w:rsidP="003B4BCE">
            <w:pPr>
              <w:autoSpaceDE w:val="0"/>
              <w:autoSpaceDN w:val="0"/>
              <w:adjustRightInd w:val="0"/>
              <w:spacing w:before="60" w:after="60"/>
              <w:ind w:left="110"/>
              <w:rPr>
                <w:color w:val="000000"/>
                <w:sz w:val="24"/>
                <w:szCs w:val="24"/>
              </w:rPr>
            </w:pPr>
            <w:r w:rsidRPr="004E7650">
              <w:rPr>
                <w:color w:val="000000"/>
                <w:sz w:val="24"/>
                <w:szCs w:val="24"/>
              </w:rPr>
              <w:t xml:space="preserve">2,75 (0,53) </w:t>
            </w:r>
          </w:p>
        </w:tc>
        <w:tc>
          <w:tcPr>
            <w:tcW w:w="1559" w:type="dxa"/>
          </w:tcPr>
          <w:p w:rsidR="00E05A5D" w:rsidRPr="004E7650" w:rsidRDefault="00E05A5D" w:rsidP="003B4BCE">
            <w:pPr>
              <w:autoSpaceDE w:val="0"/>
              <w:autoSpaceDN w:val="0"/>
              <w:adjustRightInd w:val="0"/>
              <w:spacing w:before="60" w:after="60"/>
              <w:ind w:left="110"/>
              <w:rPr>
                <w:color w:val="000000"/>
                <w:sz w:val="24"/>
                <w:szCs w:val="24"/>
              </w:rPr>
            </w:pPr>
            <w:r w:rsidRPr="004E7650">
              <w:rPr>
                <w:color w:val="000000"/>
                <w:sz w:val="24"/>
                <w:szCs w:val="24"/>
              </w:rPr>
              <w:t xml:space="preserve">209 (23) </w:t>
            </w:r>
          </w:p>
        </w:tc>
        <w:tc>
          <w:tcPr>
            <w:tcW w:w="1491" w:type="dxa"/>
          </w:tcPr>
          <w:p w:rsidR="00E05A5D" w:rsidRPr="004E7650" w:rsidRDefault="00E05A5D" w:rsidP="003B4BCE">
            <w:pPr>
              <w:autoSpaceDE w:val="0"/>
              <w:autoSpaceDN w:val="0"/>
              <w:adjustRightInd w:val="0"/>
              <w:spacing w:before="60" w:after="60"/>
              <w:ind w:left="111"/>
              <w:rPr>
                <w:color w:val="000000"/>
                <w:sz w:val="24"/>
                <w:szCs w:val="24"/>
              </w:rPr>
            </w:pPr>
            <w:r w:rsidRPr="004E7650">
              <w:rPr>
                <w:color w:val="000000"/>
                <w:sz w:val="24"/>
                <w:szCs w:val="24"/>
              </w:rPr>
              <w:t xml:space="preserve">13,1 (3,6) </w:t>
            </w:r>
          </w:p>
        </w:tc>
      </w:tr>
    </w:tbl>
    <w:p w:rsidR="00E05A5D" w:rsidRPr="006612F6" w:rsidRDefault="00E05A5D" w:rsidP="00E05A5D">
      <w:pPr>
        <w:ind w:left="851"/>
        <w:rPr>
          <w:sz w:val="24"/>
          <w:szCs w:val="24"/>
          <w:lang w:eastAsia="de-DE"/>
        </w:rPr>
      </w:pPr>
      <w:r w:rsidRPr="004E7650">
        <w:rPr>
          <w:sz w:val="24"/>
          <w:szCs w:val="24"/>
          <w:lang w:eastAsia="de-DE"/>
        </w:rPr>
        <w:t xml:space="preserve">Cl = </w:t>
      </w:r>
      <w:proofErr w:type="spellStart"/>
      <w:r w:rsidRPr="004E7650">
        <w:rPr>
          <w:sz w:val="24"/>
          <w:szCs w:val="24"/>
          <w:lang w:eastAsia="de-DE"/>
        </w:rPr>
        <w:t>clearance</w:t>
      </w:r>
      <w:proofErr w:type="spellEnd"/>
      <w:r w:rsidRPr="004E7650">
        <w:rPr>
          <w:sz w:val="24"/>
          <w:szCs w:val="24"/>
          <w:lang w:eastAsia="de-DE"/>
        </w:rPr>
        <w:t xml:space="preserve">, </w:t>
      </w:r>
      <w:proofErr w:type="spellStart"/>
      <w:r w:rsidRPr="004E7650">
        <w:rPr>
          <w:sz w:val="24"/>
          <w:szCs w:val="24"/>
          <w:lang w:eastAsia="de-DE"/>
        </w:rPr>
        <w:t>legemsvægtnormaliserett</w:t>
      </w:r>
      <w:proofErr w:type="spellEnd"/>
      <w:r w:rsidRPr="004E7650">
        <w:rPr>
          <w:sz w:val="24"/>
          <w:szCs w:val="24"/>
          <w:lang w:eastAsia="de-DE"/>
        </w:rPr>
        <w:t xml:space="preserve">; N=antal patienter inkluderet i en analyse; SD = standardafvigelse; T1/2β = eliminationshalveringstid; </w:t>
      </w:r>
      <w:proofErr w:type="spellStart"/>
      <w:r w:rsidRPr="004E7650">
        <w:rPr>
          <w:sz w:val="24"/>
          <w:szCs w:val="24"/>
          <w:lang w:eastAsia="de-DE"/>
        </w:rPr>
        <w:t>Vdss</w:t>
      </w:r>
      <w:proofErr w:type="spellEnd"/>
      <w:r w:rsidRPr="004E7650">
        <w:rPr>
          <w:sz w:val="24"/>
          <w:szCs w:val="24"/>
          <w:lang w:eastAsia="de-DE"/>
        </w:rPr>
        <w:t xml:space="preserve"> = distributionsvolumen ved </w:t>
      </w:r>
      <w:proofErr w:type="spellStart"/>
      <w:r w:rsidRPr="004E7650">
        <w:rPr>
          <w:sz w:val="24"/>
          <w:szCs w:val="24"/>
          <w:lang w:eastAsia="de-DE"/>
        </w:rPr>
        <w:t>steady</w:t>
      </w:r>
      <w:proofErr w:type="spellEnd"/>
      <w:r w:rsidRPr="004E7650">
        <w:rPr>
          <w:sz w:val="24"/>
          <w:szCs w:val="24"/>
          <w:lang w:eastAsia="de-DE"/>
        </w:rPr>
        <w:t xml:space="preserve"> </w:t>
      </w:r>
      <w:proofErr w:type="spellStart"/>
      <w:r w:rsidRPr="004E7650">
        <w:rPr>
          <w:sz w:val="24"/>
          <w:szCs w:val="24"/>
          <w:lang w:eastAsia="de-DE"/>
        </w:rPr>
        <w:t>state</w:t>
      </w:r>
      <w:proofErr w:type="spellEnd"/>
      <w:r w:rsidRPr="004E7650">
        <w:rPr>
          <w:sz w:val="24"/>
          <w:szCs w:val="24"/>
          <w:lang w:eastAsia="de-DE"/>
        </w:rPr>
        <w:t>. De angivne aldersområder stemmer overens med de børn, der blev undersøgt.</w:t>
      </w:r>
    </w:p>
    <w:p w:rsidR="00E05A5D" w:rsidRPr="006612F6" w:rsidRDefault="00E05A5D" w:rsidP="00E05A5D">
      <w:pPr>
        <w:tabs>
          <w:tab w:val="left" w:pos="851"/>
        </w:tabs>
        <w:ind w:left="851"/>
        <w:rPr>
          <w:sz w:val="24"/>
          <w:szCs w:val="24"/>
        </w:rPr>
      </w:pPr>
    </w:p>
    <w:p w:rsidR="00E05A5D" w:rsidRPr="006612F6" w:rsidRDefault="00E05A5D" w:rsidP="00E05A5D">
      <w:pPr>
        <w:tabs>
          <w:tab w:val="left" w:pos="851"/>
        </w:tabs>
        <w:ind w:left="851" w:hanging="851"/>
        <w:rPr>
          <w:b/>
          <w:sz w:val="24"/>
          <w:szCs w:val="24"/>
        </w:rPr>
      </w:pPr>
      <w:r w:rsidRPr="006612F6">
        <w:rPr>
          <w:b/>
          <w:sz w:val="24"/>
          <w:szCs w:val="24"/>
        </w:rPr>
        <w:t>5.3</w:t>
      </w:r>
      <w:r w:rsidRPr="006612F6">
        <w:rPr>
          <w:b/>
          <w:sz w:val="24"/>
          <w:szCs w:val="24"/>
        </w:rPr>
        <w:tab/>
      </w:r>
      <w:r w:rsidR="00D926EB">
        <w:rPr>
          <w:b/>
          <w:sz w:val="24"/>
          <w:szCs w:val="24"/>
        </w:rPr>
        <w:t>Non-</w:t>
      </w:r>
      <w:r w:rsidRPr="006612F6">
        <w:rPr>
          <w:b/>
          <w:sz w:val="24"/>
          <w:szCs w:val="24"/>
        </w:rPr>
        <w:t>kliniske sikkerhedsdata</w:t>
      </w:r>
    </w:p>
    <w:p w:rsidR="00E05A5D" w:rsidRPr="006612F6" w:rsidRDefault="00E05A5D" w:rsidP="00E05A5D">
      <w:pPr>
        <w:tabs>
          <w:tab w:val="left" w:pos="709"/>
        </w:tabs>
        <w:ind w:left="851"/>
        <w:rPr>
          <w:spacing w:val="-3"/>
          <w:sz w:val="24"/>
          <w:szCs w:val="24"/>
        </w:rPr>
      </w:pPr>
      <w:r w:rsidRPr="006612F6">
        <w:rPr>
          <w:spacing w:val="-3"/>
          <w:sz w:val="24"/>
          <w:szCs w:val="24"/>
        </w:rPr>
        <w:t xml:space="preserve">Virkningerne på reproduktionen (nedsat frugtbarhed, embryotoksiske virkninger, </w:t>
      </w:r>
      <w:proofErr w:type="spellStart"/>
      <w:r w:rsidRPr="006612F6">
        <w:rPr>
          <w:spacing w:val="-3"/>
          <w:sz w:val="24"/>
          <w:szCs w:val="24"/>
        </w:rPr>
        <w:t>føtotoksiske</w:t>
      </w:r>
      <w:proofErr w:type="spellEnd"/>
      <w:r w:rsidRPr="006612F6">
        <w:rPr>
          <w:spacing w:val="-3"/>
          <w:sz w:val="24"/>
          <w:szCs w:val="24"/>
        </w:rPr>
        <w:t xml:space="preserve"> virkninger, neonatal dødelighed) forekom kun hos rotter og kaniner efter indgift af doser, som var toksiske i </w:t>
      </w:r>
      <w:proofErr w:type="spellStart"/>
      <w:r w:rsidRPr="006612F6">
        <w:rPr>
          <w:spacing w:val="-3"/>
          <w:sz w:val="24"/>
          <w:szCs w:val="24"/>
        </w:rPr>
        <w:t>moderdyrerne</w:t>
      </w:r>
      <w:proofErr w:type="spellEnd"/>
      <w:r w:rsidRPr="006612F6">
        <w:rPr>
          <w:spacing w:val="-3"/>
          <w:sz w:val="24"/>
          <w:szCs w:val="24"/>
        </w:rPr>
        <w:t xml:space="preserve"> 2,5 gange den humane dosis i 10-30 dage. Ingen </w:t>
      </w:r>
      <w:proofErr w:type="spellStart"/>
      <w:r w:rsidRPr="006612F6">
        <w:rPr>
          <w:spacing w:val="-3"/>
          <w:sz w:val="24"/>
          <w:szCs w:val="24"/>
        </w:rPr>
        <w:t>teratogene</w:t>
      </w:r>
      <w:proofErr w:type="spellEnd"/>
      <w:r w:rsidRPr="006612F6">
        <w:rPr>
          <w:spacing w:val="-3"/>
          <w:sz w:val="24"/>
          <w:szCs w:val="24"/>
        </w:rPr>
        <w:t xml:space="preserve"> virkninger er rapporteret.</w:t>
      </w:r>
    </w:p>
    <w:p w:rsidR="00E05A5D" w:rsidRPr="006612F6" w:rsidRDefault="00E05A5D" w:rsidP="00E05A5D">
      <w:pPr>
        <w:ind w:left="851"/>
        <w:rPr>
          <w:sz w:val="24"/>
          <w:szCs w:val="24"/>
        </w:rPr>
      </w:pPr>
      <w:r w:rsidRPr="006612F6">
        <w:rPr>
          <w:sz w:val="24"/>
          <w:szCs w:val="24"/>
        </w:rPr>
        <w:t xml:space="preserve">Der er ikke publiceret langtidsundersøgelser af </w:t>
      </w:r>
      <w:proofErr w:type="spellStart"/>
      <w:r w:rsidRPr="006612F6">
        <w:rPr>
          <w:sz w:val="24"/>
          <w:szCs w:val="24"/>
        </w:rPr>
        <w:t>sufentanils</w:t>
      </w:r>
      <w:proofErr w:type="spellEnd"/>
      <w:r w:rsidRPr="006612F6">
        <w:rPr>
          <w:sz w:val="24"/>
          <w:szCs w:val="24"/>
        </w:rPr>
        <w:t xml:space="preserve"> </w:t>
      </w:r>
      <w:proofErr w:type="spellStart"/>
      <w:r w:rsidRPr="006612F6">
        <w:rPr>
          <w:sz w:val="24"/>
          <w:szCs w:val="24"/>
        </w:rPr>
        <w:t>karcinogene</w:t>
      </w:r>
      <w:proofErr w:type="spellEnd"/>
      <w:r w:rsidRPr="006612F6">
        <w:rPr>
          <w:sz w:val="24"/>
          <w:szCs w:val="24"/>
        </w:rPr>
        <w:t xml:space="preserve"> potentiale hos dyr.</w:t>
      </w:r>
    </w:p>
    <w:p w:rsidR="00E05A5D" w:rsidRPr="006612F6" w:rsidRDefault="00E05A5D" w:rsidP="00E05A5D">
      <w:pPr>
        <w:tabs>
          <w:tab w:val="left" w:pos="851"/>
        </w:tabs>
        <w:ind w:left="851"/>
        <w:rPr>
          <w:sz w:val="24"/>
          <w:szCs w:val="24"/>
        </w:rPr>
      </w:pPr>
    </w:p>
    <w:p w:rsidR="00E05A5D" w:rsidRPr="006612F6"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6.</w:t>
      </w:r>
      <w:r w:rsidRPr="002F6D75">
        <w:rPr>
          <w:b/>
          <w:sz w:val="24"/>
          <w:szCs w:val="24"/>
        </w:rPr>
        <w:tab/>
        <w:t>FARMACEUTISKE OPLYSNINGER</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6.1</w:t>
      </w:r>
      <w:r w:rsidRPr="002F6D75">
        <w:rPr>
          <w:b/>
          <w:sz w:val="24"/>
          <w:szCs w:val="24"/>
        </w:rPr>
        <w:tab/>
        <w:t>Hjælpestoffer</w:t>
      </w:r>
    </w:p>
    <w:p w:rsidR="00E05A5D" w:rsidRPr="00E46491" w:rsidRDefault="00E05A5D" w:rsidP="00E05A5D">
      <w:pPr>
        <w:tabs>
          <w:tab w:val="left" w:pos="851"/>
        </w:tabs>
        <w:ind w:left="851"/>
        <w:rPr>
          <w:sz w:val="24"/>
          <w:szCs w:val="24"/>
        </w:rPr>
      </w:pPr>
      <w:r w:rsidRPr="00E46491">
        <w:rPr>
          <w:sz w:val="24"/>
          <w:szCs w:val="24"/>
        </w:rPr>
        <w:t>Vand til injektionsvæsker</w:t>
      </w:r>
    </w:p>
    <w:p w:rsidR="00E05A5D" w:rsidRPr="00E46491" w:rsidRDefault="00E05A5D" w:rsidP="00E05A5D">
      <w:pPr>
        <w:tabs>
          <w:tab w:val="left" w:pos="851"/>
        </w:tabs>
        <w:ind w:left="851"/>
        <w:rPr>
          <w:sz w:val="24"/>
          <w:szCs w:val="24"/>
        </w:rPr>
      </w:pPr>
      <w:proofErr w:type="spellStart"/>
      <w:r w:rsidRPr="00E46491">
        <w:rPr>
          <w:sz w:val="24"/>
          <w:szCs w:val="24"/>
        </w:rPr>
        <w:t>Natriumchlorid</w:t>
      </w:r>
      <w:proofErr w:type="spellEnd"/>
    </w:p>
    <w:p w:rsidR="00E05A5D" w:rsidRPr="00E46491" w:rsidRDefault="00E05A5D" w:rsidP="00E05A5D">
      <w:pPr>
        <w:tabs>
          <w:tab w:val="left" w:pos="851"/>
        </w:tabs>
        <w:ind w:left="851"/>
        <w:rPr>
          <w:sz w:val="24"/>
          <w:szCs w:val="24"/>
        </w:rPr>
      </w:pPr>
      <w:r>
        <w:rPr>
          <w:sz w:val="24"/>
          <w:szCs w:val="24"/>
        </w:rPr>
        <w:t>C</w:t>
      </w:r>
      <w:r w:rsidRPr="00E46491">
        <w:rPr>
          <w:sz w:val="24"/>
          <w:szCs w:val="24"/>
        </w:rPr>
        <w:t>itronsyreopløsning 0,1M (for pH-justering)</w:t>
      </w:r>
    </w:p>
    <w:p w:rsidR="00E05A5D" w:rsidRPr="00E46491" w:rsidRDefault="00E05A5D" w:rsidP="00E05A5D">
      <w:pPr>
        <w:tabs>
          <w:tab w:val="left" w:pos="851"/>
        </w:tabs>
        <w:ind w:left="851"/>
        <w:rPr>
          <w:sz w:val="24"/>
          <w:szCs w:val="24"/>
        </w:rPr>
      </w:pPr>
      <w:r>
        <w:rPr>
          <w:sz w:val="24"/>
          <w:szCs w:val="24"/>
        </w:rPr>
        <w:t>C</w:t>
      </w:r>
      <w:r w:rsidRPr="00E46491">
        <w:rPr>
          <w:sz w:val="24"/>
          <w:szCs w:val="24"/>
        </w:rPr>
        <w:t>itronsyremonohydrat</w:t>
      </w:r>
    </w:p>
    <w:p w:rsidR="00E05A5D" w:rsidRPr="00E46491" w:rsidRDefault="00E05A5D" w:rsidP="00E05A5D">
      <w:pPr>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6.2</w:t>
      </w:r>
      <w:r w:rsidRPr="002F6D75">
        <w:rPr>
          <w:b/>
          <w:sz w:val="24"/>
          <w:szCs w:val="24"/>
        </w:rPr>
        <w:tab/>
        <w:t>Uforligeligheder</w:t>
      </w:r>
    </w:p>
    <w:p w:rsidR="00E05A5D" w:rsidRPr="00E46491" w:rsidRDefault="00E05A5D" w:rsidP="00E05A5D">
      <w:pPr>
        <w:tabs>
          <w:tab w:val="left" w:pos="851"/>
        </w:tabs>
        <w:ind w:left="851"/>
        <w:rPr>
          <w:szCs w:val="24"/>
        </w:rPr>
      </w:pPr>
      <w:proofErr w:type="spellStart"/>
      <w:r w:rsidRPr="00F74EB6">
        <w:rPr>
          <w:szCs w:val="24"/>
        </w:rPr>
        <w:t>Sufentanilcitrat</w:t>
      </w:r>
      <w:proofErr w:type="spellEnd"/>
      <w:r w:rsidRPr="00F74EB6">
        <w:rPr>
          <w:szCs w:val="24"/>
        </w:rPr>
        <w:t xml:space="preserve"> er fysisk </w:t>
      </w:r>
      <w:proofErr w:type="spellStart"/>
      <w:r w:rsidRPr="00F74EB6">
        <w:rPr>
          <w:szCs w:val="24"/>
        </w:rPr>
        <w:t>uforligeligt</w:t>
      </w:r>
      <w:proofErr w:type="spellEnd"/>
      <w:r w:rsidRPr="00F74EB6">
        <w:rPr>
          <w:szCs w:val="24"/>
        </w:rPr>
        <w:t xml:space="preserve"> med </w:t>
      </w:r>
      <w:proofErr w:type="spellStart"/>
      <w:r w:rsidRPr="00F74EB6">
        <w:rPr>
          <w:szCs w:val="24"/>
        </w:rPr>
        <w:t>diazepam</w:t>
      </w:r>
      <w:proofErr w:type="spellEnd"/>
      <w:r w:rsidRPr="00F74EB6">
        <w:rPr>
          <w:szCs w:val="24"/>
        </w:rPr>
        <w:t xml:space="preserve">, </w:t>
      </w:r>
      <w:proofErr w:type="spellStart"/>
      <w:r w:rsidRPr="00F74EB6">
        <w:rPr>
          <w:szCs w:val="24"/>
        </w:rPr>
        <w:t>lorazepam</w:t>
      </w:r>
      <w:proofErr w:type="spellEnd"/>
      <w:r w:rsidRPr="00F74EB6">
        <w:rPr>
          <w:szCs w:val="24"/>
        </w:rPr>
        <w:t xml:space="preserve">, </w:t>
      </w:r>
      <w:proofErr w:type="spellStart"/>
      <w:r w:rsidRPr="00F74EB6">
        <w:rPr>
          <w:szCs w:val="24"/>
        </w:rPr>
        <w:t>phenobarbitalnatrium</w:t>
      </w:r>
      <w:proofErr w:type="spellEnd"/>
      <w:r w:rsidRPr="00F74EB6">
        <w:rPr>
          <w:szCs w:val="24"/>
        </w:rPr>
        <w:t xml:space="preserve">, </w:t>
      </w:r>
      <w:proofErr w:type="spellStart"/>
      <w:r w:rsidRPr="00F74EB6">
        <w:rPr>
          <w:szCs w:val="24"/>
        </w:rPr>
        <w:t>phenytoinnatrium</w:t>
      </w:r>
      <w:proofErr w:type="spellEnd"/>
      <w:r w:rsidRPr="00F74EB6">
        <w:rPr>
          <w:szCs w:val="24"/>
        </w:rPr>
        <w:t xml:space="preserve"> og </w:t>
      </w:r>
      <w:proofErr w:type="spellStart"/>
      <w:r w:rsidRPr="00F74EB6">
        <w:rPr>
          <w:szCs w:val="24"/>
        </w:rPr>
        <w:t>thiopentalnatrium</w:t>
      </w:r>
      <w:proofErr w:type="spellEnd"/>
      <w:r w:rsidRPr="00F74EB6">
        <w:rPr>
          <w:szCs w:val="24"/>
        </w:rPr>
        <w:t>.</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6.3</w:t>
      </w:r>
      <w:r w:rsidRPr="002F6D75">
        <w:rPr>
          <w:b/>
          <w:sz w:val="24"/>
          <w:szCs w:val="24"/>
        </w:rPr>
        <w:tab/>
        <w:t>Opbevaringstid</w:t>
      </w:r>
    </w:p>
    <w:p w:rsidR="00E05A5D" w:rsidRPr="00E46491" w:rsidRDefault="00E05A5D" w:rsidP="00E05A5D">
      <w:pPr>
        <w:ind w:left="851"/>
        <w:rPr>
          <w:sz w:val="24"/>
          <w:szCs w:val="24"/>
          <w:lang w:eastAsia="da-DK"/>
        </w:rPr>
      </w:pPr>
      <w:r w:rsidRPr="00E46491">
        <w:rPr>
          <w:sz w:val="24"/>
          <w:szCs w:val="24"/>
          <w:lang w:eastAsia="da-DK"/>
        </w:rPr>
        <w:t>3 år</w:t>
      </w:r>
      <w:r>
        <w:rPr>
          <w:sz w:val="24"/>
          <w:szCs w:val="24"/>
          <w:lang w:eastAsia="da-DK"/>
        </w:rPr>
        <w:t>.</w:t>
      </w:r>
    </w:p>
    <w:p w:rsidR="00E05A5D" w:rsidRPr="00E46491" w:rsidRDefault="00E05A5D" w:rsidP="00E05A5D">
      <w:pPr>
        <w:ind w:left="851"/>
        <w:rPr>
          <w:sz w:val="24"/>
          <w:szCs w:val="24"/>
          <w:lang w:eastAsia="da-DK"/>
        </w:rPr>
      </w:pPr>
    </w:p>
    <w:p w:rsidR="00E05A5D" w:rsidRPr="006C6C6C" w:rsidRDefault="00E05A5D" w:rsidP="00E05A5D">
      <w:pPr>
        <w:ind w:left="851"/>
        <w:rPr>
          <w:sz w:val="24"/>
          <w:szCs w:val="24"/>
          <w:u w:val="single"/>
          <w:lang w:eastAsia="da-DK"/>
        </w:rPr>
      </w:pPr>
      <w:r w:rsidRPr="00E46491">
        <w:rPr>
          <w:sz w:val="24"/>
          <w:szCs w:val="24"/>
          <w:lang w:eastAsia="da-DK"/>
        </w:rPr>
        <w:t>Lægemidle</w:t>
      </w:r>
      <w:r w:rsidRPr="006C6C6C">
        <w:rPr>
          <w:sz w:val="24"/>
          <w:szCs w:val="24"/>
          <w:lang w:eastAsia="da-DK"/>
        </w:rPr>
        <w:t>t</w:t>
      </w:r>
      <w:r w:rsidRPr="00E46491">
        <w:rPr>
          <w:sz w:val="24"/>
          <w:szCs w:val="24"/>
          <w:lang w:eastAsia="da-DK"/>
        </w:rPr>
        <w:t xml:space="preserve"> skal anvendes straks efter første åbning.</w:t>
      </w:r>
    </w:p>
    <w:p w:rsidR="00E05A5D" w:rsidRPr="006C6C6C" w:rsidRDefault="00E05A5D" w:rsidP="00E05A5D">
      <w:pPr>
        <w:tabs>
          <w:tab w:val="left" w:pos="851"/>
        </w:tabs>
        <w:ind w:left="851"/>
        <w:rPr>
          <w:sz w:val="24"/>
          <w:szCs w:val="24"/>
        </w:rPr>
      </w:pPr>
    </w:p>
    <w:p w:rsidR="00E05A5D" w:rsidRPr="006C6C6C" w:rsidRDefault="00E05A5D" w:rsidP="00E05A5D">
      <w:pPr>
        <w:tabs>
          <w:tab w:val="left" w:pos="851"/>
        </w:tabs>
        <w:ind w:left="851" w:hanging="851"/>
        <w:rPr>
          <w:b/>
          <w:sz w:val="24"/>
          <w:szCs w:val="24"/>
        </w:rPr>
      </w:pPr>
      <w:r w:rsidRPr="006C6C6C">
        <w:rPr>
          <w:b/>
          <w:sz w:val="24"/>
          <w:szCs w:val="24"/>
        </w:rPr>
        <w:t>6.4</w:t>
      </w:r>
      <w:r w:rsidRPr="006C6C6C">
        <w:rPr>
          <w:b/>
          <w:sz w:val="24"/>
          <w:szCs w:val="24"/>
        </w:rPr>
        <w:tab/>
        <w:t>Særlige opbevaringsforhold</w:t>
      </w:r>
    </w:p>
    <w:p w:rsidR="00E05A5D" w:rsidRPr="006C6C6C" w:rsidRDefault="00E05A5D" w:rsidP="00E05A5D">
      <w:pPr>
        <w:ind w:left="851"/>
        <w:rPr>
          <w:sz w:val="24"/>
          <w:szCs w:val="24"/>
        </w:rPr>
      </w:pPr>
      <w:r w:rsidRPr="006C6C6C">
        <w:rPr>
          <w:sz w:val="24"/>
          <w:szCs w:val="24"/>
        </w:rPr>
        <w:t>Opbevares i den ydre karton for at beskytte mod lys.</w:t>
      </w:r>
    </w:p>
    <w:p w:rsidR="00E05A5D" w:rsidRPr="006C6C6C" w:rsidRDefault="00E05A5D" w:rsidP="00E05A5D">
      <w:pPr>
        <w:ind w:left="851"/>
        <w:rPr>
          <w:noProof/>
          <w:sz w:val="24"/>
          <w:szCs w:val="24"/>
        </w:rPr>
      </w:pPr>
      <w:r w:rsidRPr="006C6C6C">
        <w:rPr>
          <w:noProof/>
          <w:sz w:val="24"/>
          <w:szCs w:val="24"/>
        </w:rPr>
        <w:t>Der er ingen særlige krav vedrørende opbevaringstemperaturer for dette lægemiddel.</w:t>
      </w:r>
    </w:p>
    <w:p w:rsidR="00E05A5D" w:rsidRPr="006C6C6C" w:rsidRDefault="00E05A5D" w:rsidP="00E05A5D">
      <w:pPr>
        <w:tabs>
          <w:tab w:val="left" w:pos="709"/>
        </w:tabs>
        <w:ind w:left="851"/>
        <w:rPr>
          <w:sz w:val="24"/>
          <w:szCs w:val="24"/>
        </w:rPr>
      </w:pPr>
    </w:p>
    <w:p w:rsidR="00E05A5D" w:rsidRPr="006C6C6C" w:rsidRDefault="00E05A5D" w:rsidP="00E05A5D">
      <w:pPr>
        <w:tabs>
          <w:tab w:val="left" w:pos="709"/>
        </w:tabs>
        <w:ind w:left="851"/>
        <w:rPr>
          <w:sz w:val="24"/>
          <w:szCs w:val="24"/>
        </w:rPr>
      </w:pPr>
      <w:r w:rsidRPr="006C6C6C">
        <w:rPr>
          <w:sz w:val="24"/>
          <w:szCs w:val="24"/>
        </w:rPr>
        <w:t>Opbevaringsforhold efter anbrud og fortynding af lægemiddel, se pkt. 6.3.</w:t>
      </w:r>
    </w:p>
    <w:p w:rsidR="00E05A5D" w:rsidRPr="006C6C6C" w:rsidRDefault="00E05A5D" w:rsidP="00E05A5D">
      <w:pPr>
        <w:tabs>
          <w:tab w:val="left" w:pos="851"/>
        </w:tabs>
        <w:ind w:left="851"/>
        <w:rPr>
          <w:sz w:val="24"/>
          <w:szCs w:val="24"/>
        </w:rPr>
      </w:pPr>
    </w:p>
    <w:p w:rsidR="00E05A5D" w:rsidRPr="006C6C6C" w:rsidRDefault="00E05A5D" w:rsidP="00E05A5D">
      <w:pPr>
        <w:tabs>
          <w:tab w:val="left" w:pos="851"/>
        </w:tabs>
        <w:ind w:left="851" w:hanging="851"/>
        <w:rPr>
          <w:b/>
          <w:sz w:val="24"/>
          <w:szCs w:val="24"/>
        </w:rPr>
      </w:pPr>
      <w:r w:rsidRPr="006C6C6C">
        <w:rPr>
          <w:b/>
          <w:sz w:val="24"/>
          <w:szCs w:val="24"/>
        </w:rPr>
        <w:t>6.5</w:t>
      </w:r>
      <w:r w:rsidRPr="006C6C6C">
        <w:rPr>
          <w:b/>
          <w:sz w:val="24"/>
          <w:szCs w:val="24"/>
        </w:rPr>
        <w:tab/>
        <w:t>Emballagetype og pakningsstørrelser</w:t>
      </w:r>
    </w:p>
    <w:p w:rsidR="00E05A5D" w:rsidRPr="008D2C31" w:rsidRDefault="00E05A5D" w:rsidP="00E05A5D">
      <w:pPr>
        <w:tabs>
          <w:tab w:val="left" w:pos="851"/>
        </w:tabs>
        <w:ind w:left="851"/>
        <w:rPr>
          <w:sz w:val="24"/>
          <w:szCs w:val="24"/>
          <w:lang w:eastAsia="da-DK"/>
        </w:rPr>
      </w:pPr>
      <w:r w:rsidRPr="008D2C31">
        <w:rPr>
          <w:sz w:val="24"/>
          <w:szCs w:val="24"/>
          <w:lang w:eastAsia="da-DK"/>
        </w:rPr>
        <w:t xml:space="preserve">Hætteglas (farveløs glas type I) med en prop af </w:t>
      </w:r>
      <w:proofErr w:type="spellStart"/>
      <w:r w:rsidRPr="008D2C31">
        <w:rPr>
          <w:sz w:val="24"/>
          <w:szCs w:val="24"/>
          <w:lang w:eastAsia="da-DK"/>
        </w:rPr>
        <w:t>bromobutylgummi</w:t>
      </w:r>
      <w:proofErr w:type="spellEnd"/>
      <w:r w:rsidRPr="008D2C31">
        <w:rPr>
          <w:sz w:val="24"/>
          <w:szCs w:val="24"/>
          <w:lang w:eastAsia="da-DK"/>
        </w:rPr>
        <w:t>.</w:t>
      </w:r>
    </w:p>
    <w:p w:rsidR="00E05A5D" w:rsidRPr="006C6C6C" w:rsidRDefault="00E05A5D" w:rsidP="00E05A5D">
      <w:pPr>
        <w:tabs>
          <w:tab w:val="left" w:pos="851"/>
        </w:tabs>
        <w:ind w:left="851"/>
        <w:rPr>
          <w:sz w:val="24"/>
          <w:szCs w:val="24"/>
          <w:lang w:eastAsia="da-DK"/>
        </w:rPr>
      </w:pPr>
      <w:r w:rsidRPr="006C6C6C">
        <w:rPr>
          <w:sz w:val="24"/>
          <w:szCs w:val="24"/>
          <w:lang w:eastAsia="da-DK"/>
        </w:rPr>
        <w:t>Hvert hætteglas indeholder 50 ml opløsning.</w:t>
      </w:r>
    </w:p>
    <w:p w:rsidR="00E05A5D" w:rsidRPr="008D2C31" w:rsidRDefault="00E05A5D" w:rsidP="00E05A5D">
      <w:pPr>
        <w:tabs>
          <w:tab w:val="left" w:pos="851"/>
        </w:tabs>
        <w:ind w:left="851"/>
        <w:rPr>
          <w:sz w:val="24"/>
          <w:szCs w:val="24"/>
          <w:lang w:eastAsia="da-DK"/>
        </w:rPr>
      </w:pPr>
    </w:p>
    <w:p w:rsidR="00E05A5D" w:rsidRPr="008D2C31" w:rsidRDefault="00E05A5D" w:rsidP="00E05A5D">
      <w:pPr>
        <w:tabs>
          <w:tab w:val="left" w:pos="851"/>
        </w:tabs>
        <w:ind w:left="851"/>
        <w:rPr>
          <w:sz w:val="24"/>
          <w:szCs w:val="24"/>
          <w:lang w:eastAsia="da-DK"/>
        </w:rPr>
      </w:pPr>
      <w:r w:rsidRPr="008D2C31">
        <w:rPr>
          <w:sz w:val="24"/>
          <w:szCs w:val="24"/>
          <w:lang w:eastAsia="da-DK"/>
        </w:rPr>
        <w:t>Pakning</w:t>
      </w:r>
      <w:r w:rsidRPr="006C6C6C">
        <w:rPr>
          <w:sz w:val="24"/>
          <w:szCs w:val="24"/>
          <w:lang w:eastAsia="da-DK"/>
        </w:rPr>
        <w:t xml:space="preserve">sstørrelser: </w:t>
      </w:r>
      <w:r w:rsidRPr="008D2C31">
        <w:rPr>
          <w:sz w:val="24"/>
          <w:szCs w:val="24"/>
          <w:lang w:eastAsia="da-DK"/>
        </w:rPr>
        <w:t xml:space="preserve">1, 5 </w:t>
      </w:r>
      <w:r w:rsidRPr="006C6C6C">
        <w:rPr>
          <w:sz w:val="24"/>
          <w:szCs w:val="24"/>
          <w:lang w:eastAsia="da-DK"/>
        </w:rPr>
        <w:t>og 10 stk.</w:t>
      </w:r>
    </w:p>
    <w:p w:rsidR="00E05A5D" w:rsidRPr="008D2C31" w:rsidRDefault="00E05A5D" w:rsidP="00E05A5D">
      <w:pPr>
        <w:ind w:left="851"/>
        <w:rPr>
          <w:sz w:val="24"/>
          <w:szCs w:val="24"/>
          <w:lang w:eastAsia="da-DK"/>
        </w:rPr>
      </w:pPr>
      <w:r w:rsidRPr="008D2C31">
        <w:rPr>
          <w:sz w:val="24"/>
          <w:szCs w:val="24"/>
          <w:lang w:eastAsia="da-DK"/>
        </w:rPr>
        <w:t>Ikke alle pakningsstørrelser er nødvendigvis markedsført.</w:t>
      </w:r>
    </w:p>
    <w:p w:rsidR="00E05A5D" w:rsidRPr="006C6C6C" w:rsidRDefault="00E05A5D" w:rsidP="00E05A5D">
      <w:pPr>
        <w:tabs>
          <w:tab w:val="left" w:pos="851"/>
        </w:tabs>
        <w:ind w:left="851"/>
        <w:rPr>
          <w:sz w:val="24"/>
          <w:szCs w:val="24"/>
        </w:rPr>
      </w:pPr>
    </w:p>
    <w:p w:rsidR="00E05A5D" w:rsidRPr="006C6C6C" w:rsidRDefault="00E05A5D" w:rsidP="0019649B">
      <w:pPr>
        <w:keepNext/>
        <w:tabs>
          <w:tab w:val="left" w:pos="851"/>
        </w:tabs>
        <w:ind w:left="851" w:hanging="851"/>
        <w:rPr>
          <w:b/>
          <w:sz w:val="24"/>
          <w:szCs w:val="24"/>
        </w:rPr>
      </w:pPr>
      <w:r w:rsidRPr="006C6C6C">
        <w:rPr>
          <w:b/>
          <w:sz w:val="24"/>
          <w:szCs w:val="24"/>
        </w:rPr>
        <w:t>6.6</w:t>
      </w:r>
      <w:r w:rsidRPr="006C6C6C">
        <w:rPr>
          <w:b/>
          <w:sz w:val="24"/>
          <w:szCs w:val="24"/>
        </w:rPr>
        <w:tab/>
        <w:t xml:space="preserve">Regler for </w:t>
      </w:r>
      <w:r w:rsidR="00D926EB">
        <w:rPr>
          <w:b/>
          <w:sz w:val="24"/>
          <w:szCs w:val="24"/>
        </w:rPr>
        <w:t>bortskaffelse</w:t>
      </w:r>
      <w:r w:rsidRPr="006C6C6C">
        <w:rPr>
          <w:b/>
          <w:sz w:val="24"/>
          <w:szCs w:val="24"/>
        </w:rPr>
        <w:t xml:space="preserve"> og anden håndtering</w:t>
      </w:r>
    </w:p>
    <w:p w:rsidR="00E05A5D" w:rsidRPr="002F6D75" w:rsidRDefault="00E05A5D" w:rsidP="00E05A5D">
      <w:pPr>
        <w:tabs>
          <w:tab w:val="left" w:pos="709"/>
        </w:tabs>
        <w:ind w:left="851"/>
        <w:rPr>
          <w:sz w:val="24"/>
          <w:szCs w:val="24"/>
          <w:lang w:eastAsia="da-DK"/>
        </w:rPr>
      </w:pPr>
      <w:r w:rsidRPr="006C6C6C">
        <w:rPr>
          <w:sz w:val="24"/>
          <w:szCs w:val="24"/>
          <w:lang w:eastAsia="da-DK"/>
        </w:rPr>
        <w:t>Ikke anvendt lægemiddel samt affald heraf skal bortskaffes i henhold til lokale retningslinjer.</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7.</w:t>
      </w:r>
      <w:r w:rsidRPr="002F6D75">
        <w:rPr>
          <w:b/>
          <w:sz w:val="24"/>
          <w:szCs w:val="24"/>
        </w:rPr>
        <w:tab/>
        <w:t>INDEHAVER AF MARKEDSFØRINGSTILLADELSEN</w:t>
      </w:r>
    </w:p>
    <w:p w:rsidR="005E0E56" w:rsidRPr="00805736" w:rsidRDefault="005E0E56" w:rsidP="005E0E56">
      <w:pPr>
        <w:tabs>
          <w:tab w:val="left" w:pos="851"/>
        </w:tabs>
        <w:rPr>
          <w:spacing w:val="-3"/>
          <w:sz w:val="24"/>
          <w:szCs w:val="24"/>
        </w:rPr>
      </w:pPr>
      <w:r>
        <w:rPr>
          <w:spacing w:val="-3"/>
          <w:sz w:val="24"/>
          <w:szCs w:val="24"/>
        </w:rPr>
        <w:tab/>
      </w:r>
      <w:proofErr w:type="spellStart"/>
      <w:r w:rsidRPr="005F336E">
        <w:rPr>
          <w:spacing w:val="-3"/>
          <w:sz w:val="24"/>
          <w:szCs w:val="24"/>
        </w:rPr>
        <w:t>hameln</w:t>
      </w:r>
      <w:proofErr w:type="spellEnd"/>
      <w:r w:rsidRPr="005F336E">
        <w:rPr>
          <w:spacing w:val="-3"/>
          <w:sz w:val="24"/>
          <w:szCs w:val="24"/>
        </w:rPr>
        <w:t xml:space="preserve"> </w:t>
      </w:r>
      <w:proofErr w:type="spellStart"/>
      <w:r w:rsidRPr="005F336E">
        <w:rPr>
          <w:spacing w:val="-3"/>
          <w:sz w:val="24"/>
          <w:szCs w:val="24"/>
        </w:rPr>
        <w:t>pharma</w:t>
      </w:r>
      <w:proofErr w:type="spellEnd"/>
      <w:r w:rsidRPr="005F336E">
        <w:rPr>
          <w:spacing w:val="-3"/>
          <w:sz w:val="24"/>
          <w:szCs w:val="24"/>
        </w:rPr>
        <w:t xml:space="preserve"> </w:t>
      </w:r>
      <w:proofErr w:type="spellStart"/>
      <w:r w:rsidRPr="005F336E">
        <w:rPr>
          <w:spacing w:val="-3"/>
          <w:sz w:val="24"/>
          <w:szCs w:val="24"/>
        </w:rPr>
        <w:t>gmbh</w:t>
      </w:r>
      <w:proofErr w:type="spellEnd"/>
    </w:p>
    <w:p w:rsidR="005E0E56" w:rsidRPr="00805736" w:rsidRDefault="005E0E56" w:rsidP="005E0E56">
      <w:pPr>
        <w:tabs>
          <w:tab w:val="left" w:pos="851"/>
        </w:tabs>
        <w:rPr>
          <w:spacing w:val="-3"/>
          <w:sz w:val="24"/>
          <w:szCs w:val="24"/>
        </w:rPr>
      </w:pPr>
      <w:r w:rsidRPr="00805736">
        <w:rPr>
          <w:spacing w:val="-3"/>
          <w:sz w:val="24"/>
          <w:szCs w:val="24"/>
        </w:rPr>
        <w:tab/>
      </w:r>
      <w:proofErr w:type="spellStart"/>
      <w:r w:rsidRPr="005F336E">
        <w:rPr>
          <w:spacing w:val="-3"/>
          <w:sz w:val="24"/>
          <w:szCs w:val="24"/>
        </w:rPr>
        <w:t>Inselstraße</w:t>
      </w:r>
      <w:proofErr w:type="spellEnd"/>
      <w:r w:rsidRPr="005F336E">
        <w:rPr>
          <w:spacing w:val="-3"/>
          <w:sz w:val="24"/>
          <w:szCs w:val="24"/>
        </w:rPr>
        <w:t xml:space="preserve"> 1</w:t>
      </w:r>
    </w:p>
    <w:p w:rsidR="005E0E56" w:rsidRPr="00805736" w:rsidRDefault="005E0E56" w:rsidP="005E0E56">
      <w:pPr>
        <w:tabs>
          <w:tab w:val="left" w:pos="851"/>
        </w:tabs>
        <w:rPr>
          <w:spacing w:val="-3"/>
          <w:sz w:val="24"/>
          <w:szCs w:val="24"/>
        </w:rPr>
      </w:pPr>
      <w:r w:rsidRPr="00805736">
        <w:rPr>
          <w:spacing w:val="-3"/>
          <w:sz w:val="24"/>
          <w:szCs w:val="24"/>
        </w:rPr>
        <w:tab/>
        <w:t>3178</w:t>
      </w:r>
      <w:r>
        <w:rPr>
          <w:spacing w:val="-3"/>
          <w:sz w:val="24"/>
          <w:szCs w:val="24"/>
        </w:rPr>
        <w:t>7</w:t>
      </w:r>
      <w:r w:rsidRPr="00805736">
        <w:rPr>
          <w:spacing w:val="-3"/>
          <w:sz w:val="24"/>
          <w:szCs w:val="24"/>
        </w:rPr>
        <w:t xml:space="preserve"> Hameln</w:t>
      </w:r>
    </w:p>
    <w:p w:rsidR="00E05A5D" w:rsidRPr="00034B92" w:rsidRDefault="005E0E56" w:rsidP="005E0E56">
      <w:pPr>
        <w:tabs>
          <w:tab w:val="left" w:pos="851"/>
        </w:tabs>
        <w:ind w:left="851"/>
        <w:rPr>
          <w:spacing w:val="-3"/>
          <w:sz w:val="24"/>
          <w:szCs w:val="24"/>
          <w:lang w:eastAsia="da-DK"/>
        </w:rPr>
      </w:pPr>
      <w:r w:rsidRPr="00805736">
        <w:rPr>
          <w:spacing w:val="-3"/>
          <w:sz w:val="24"/>
          <w:szCs w:val="24"/>
        </w:rPr>
        <w:t>Tyskland</w:t>
      </w:r>
    </w:p>
    <w:p w:rsidR="00E05A5D" w:rsidRPr="00034B92" w:rsidRDefault="00E05A5D" w:rsidP="00E05A5D">
      <w:pPr>
        <w:tabs>
          <w:tab w:val="left" w:pos="851"/>
        </w:tabs>
        <w:ind w:left="851"/>
        <w:rPr>
          <w:spacing w:val="-3"/>
          <w:sz w:val="24"/>
          <w:szCs w:val="24"/>
          <w:lang w:eastAsia="da-DK"/>
        </w:rPr>
      </w:pPr>
    </w:p>
    <w:p w:rsidR="00E05A5D" w:rsidRPr="000B5A12" w:rsidRDefault="00E05A5D" w:rsidP="00E05A5D">
      <w:pPr>
        <w:tabs>
          <w:tab w:val="left" w:pos="851"/>
        </w:tabs>
        <w:ind w:left="851"/>
        <w:rPr>
          <w:b/>
          <w:spacing w:val="-3"/>
          <w:sz w:val="24"/>
          <w:szCs w:val="24"/>
          <w:lang w:eastAsia="da-DK"/>
        </w:rPr>
      </w:pPr>
      <w:r w:rsidRPr="000B5A12">
        <w:rPr>
          <w:b/>
          <w:spacing w:val="-3"/>
          <w:sz w:val="24"/>
          <w:szCs w:val="24"/>
          <w:lang w:eastAsia="da-DK"/>
        </w:rPr>
        <w:t>Repræsentant</w:t>
      </w:r>
    </w:p>
    <w:p w:rsidR="001B3DC8" w:rsidRDefault="001B3DC8" w:rsidP="00E05A5D">
      <w:pPr>
        <w:tabs>
          <w:tab w:val="left" w:pos="851"/>
        </w:tabs>
        <w:ind w:left="851"/>
        <w:rPr>
          <w:spacing w:val="-3"/>
          <w:sz w:val="24"/>
          <w:szCs w:val="24"/>
          <w:lang w:eastAsia="da-DK"/>
        </w:rPr>
      </w:pPr>
      <w:proofErr w:type="spellStart"/>
      <w:r w:rsidRPr="001B3DC8">
        <w:rPr>
          <w:spacing w:val="-3"/>
          <w:sz w:val="24"/>
          <w:szCs w:val="24"/>
          <w:lang w:eastAsia="da-DK"/>
        </w:rPr>
        <w:t>hameln</w:t>
      </w:r>
      <w:proofErr w:type="spellEnd"/>
      <w:r w:rsidRPr="001B3DC8">
        <w:rPr>
          <w:spacing w:val="-3"/>
          <w:sz w:val="24"/>
          <w:szCs w:val="24"/>
          <w:lang w:eastAsia="da-DK"/>
        </w:rPr>
        <w:t xml:space="preserve"> </w:t>
      </w:r>
      <w:proofErr w:type="spellStart"/>
      <w:r w:rsidRPr="001B3DC8">
        <w:rPr>
          <w:spacing w:val="-3"/>
          <w:sz w:val="24"/>
          <w:szCs w:val="24"/>
          <w:lang w:eastAsia="da-DK"/>
        </w:rPr>
        <w:t>pharma</w:t>
      </w:r>
      <w:proofErr w:type="spellEnd"/>
      <w:r w:rsidRPr="001B3DC8">
        <w:rPr>
          <w:spacing w:val="-3"/>
          <w:sz w:val="24"/>
          <w:szCs w:val="24"/>
          <w:lang w:eastAsia="da-DK"/>
        </w:rPr>
        <w:t xml:space="preserve"> ApS</w:t>
      </w:r>
    </w:p>
    <w:p w:rsidR="00E05A5D" w:rsidRPr="00C63C08" w:rsidRDefault="00E05A5D" w:rsidP="00E05A5D">
      <w:pPr>
        <w:tabs>
          <w:tab w:val="left" w:pos="851"/>
        </w:tabs>
        <w:ind w:left="851"/>
        <w:rPr>
          <w:spacing w:val="-3"/>
          <w:sz w:val="24"/>
          <w:szCs w:val="24"/>
          <w:lang w:eastAsia="da-DK"/>
        </w:rPr>
      </w:pPr>
      <w:r w:rsidRPr="00C63C08">
        <w:rPr>
          <w:spacing w:val="-3"/>
          <w:sz w:val="24"/>
          <w:szCs w:val="24"/>
          <w:lang w:eastAsia="da-DK"/>
        </w:rPr>
        <w:t xml:space="preserve">Naverland 22 </w:t>
      </w:r>
    </w:p>
    <w:p w:rsidR="00E05A5D" w:rsidRPr="00034B92" w:rsidRDefault="00E05A5D" w:rsidP="00E05A5D">
      <w:pPr>
        <w:tabs>
          <w:tab w:val="left" w:pos="851"/>
        </w:tabs>
        <w:ind w:left="851"/>
        <w:rPr>
          <w:spacing w:val="-3"/>
          <w:sz w:val="24"/>
          <w:szCs w:val="24"/>
          <w:lang w:eastAsia="da-DK"/>
        </w:rPr>
      </w:pPr>
      <w:r w:rsidRPr="00747CC9">
        <w:rPr>
          <w:spacing w:val="-3"/>
          <w:sz w:val="24"/>
          <w:szCs w:val="24"/>
          <w:lang w:eastAsia="da-DK"/>
        </w:rPr>
        <w:t xml:space="preserve">2600 </w:t>
      </w:r>
      <w:r>
        <w:rPr>
          <w:spacing w:val="-3"/>
          <w:sz w:val="24"/>
          <w:szCs w:val="24"/>
          <w:lang w:eastAsia="da-DK"/>
        </w:rPr>
        <w:t>Glostrup</w:t>
      </w:r>
    </w:p>
    <w:p w:rsidR="00E05A5D" w:rsidRPr="002F6D75" w:rsidRDefault="00E05A5D" w:rsidP="00E05A5D">
      <w:pPr>
        <w:tabs>
          <w:tab w:val="left" w:pos="851"/>
        </w:tabs>
        <w:ind w:left="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8.</w:t>
      </w:r>
      <w:r w:rsidRPr="002F6D75">
        <w:rPr>
          <w:b/>
          <w:sz w:val="24"/>
          <w:szCs w:val="24"/>
        </w:rPr>
        <w:tab/>
        <w:t>MARKEDSFØRINGSTILLADELSESNUMMER (</w:t>
      </w:r>
      <w:r w:rsidR="00D926EB">
        <w:rPr>
          <w:b/>
          <w:sz w:val="24"/>
          <w:szCs w:val="24"/>
        </w:rPr>
        <w:t>-</w:t>
      </w:r>
      <w:r w:rsidRPr="002F6D75">
        <w:rPr>
          <w:b/>
          <w:sz w:val="24"/>
          <w:szCs w:val="24"/>
        </w:rPr>
        <w:t>NUMRE)</w:t>
      </w:r>
    </w:p>
    <w:p w:rsidR="00E05A5D" w:rsidRPr="002F6D75" w:rsidRDefault="00E05A5D" w:rsidP="00E05A5D">
      <w:pPr>
        <w:tabs>
          <w:tab w:val="left" w:pos="851"/>
        </w:tabs>
        <w:ind w:left="851"/>
        <w:rPr>
          <w:sz w:val="24"/>
          <w:szCs w:val="24"/>
        </w:rPr>
      </w:pPr>
      <w:r>
        <w:rPr>
          <w:sz w:val="24"/>
          <w:szCs w:val="24"/>
        </w:rPr>
        <w:t>55609</w:t>
      </w:r>
    </w:p>
    <w:p w:rsidR="00E05A5D" w:rsidRDefault="00E05A5D" w:rsidP="00E05A5D">
      <w:pPr>
        <w:tabs>
          <w:tab w:val="left" w:pos="851"/>
        </w:tabs>
        <w:ind w:left="851"/>
        <w:rPr>
          <w:sz w:val="24"/>
          <w:szCs w:val="24"/>
        </w:rPr>
      </w:pPr>
    </w:p>
    <w:p w:rsidR="00D926EB" w:rsidRDefault="00D926EB" w:rsidP="00E05A5D">
      <w:pPr>
        <w:tabs>
          <w:tab w:val="left" w:pos="851"/>
        </w:tabs>
        <w:ind w:left="851"/>
        <w:rPr>
          <w:sz w:val="24"/>
          <w:szCs w:val="24"/>
        </w:rPr>
      </w:pPr>
    </w:p>
    <w:p w:rsidR="00D926EB" w:rsidRPr="002F6D75" w:rsidRDefault="00D926EB" w:rsidP="00E05A5D">
      <w:pPr>
        <w:tabs>
          <w:tab w:val="left" w:pos="851"/>
        </w:tabs>
        <w:ind w:left="851"/>
        <w:rPr>
          <w:sz w:val="24"/>
          <w:szCs w:val="24"/>
        </w:rPr>
      </w:pPr>
    </w:p>
    <w:p w:rsidR="00D926EB" w:rsidRPr="00D926EB" w:rsidRDefault="00E05A5D" w:rsidP="00D926EB">
      <w:pPr>
        <w:tabs>
          <w:tab w:val="left" w:pos="851"/>
        </w:tabs>
        <w:ind w:left="851" w:hanging="851"/>
        <w:rPr>
          <w:b/>
          <w:sz w:val="24"/>
          <w:szCs w:val="24"/>
        </w:rPr>
      </w:pPr>
      <w:r w:rsidRPr="002F6D75">
        <w:rPr>
          <w:b/>
          <w:sz w:val="24"/>
          <w:szCs w:val="24"/>
        </w:rPr>
        <w:lastRenderedPageBreak/>
        <w:t>9.</w:t>
      </w:r>
      <w:r w:rsidRPr="002F6D75">
        <w:rPr>
          <w:b/>
          <w:sz w:val="24"/>
          <w:szCs w:val="24"/>
        </w:rPr>
        <w:tab/>
      </w:r>
      <w:r w:rsidR="00D926EB" w:rsidRPr="002F6D75">
        <w:rPr>
          <w:b/>
          <w:sz w:val="24"/>
          <w:szCs w:val="24"/>
        </w:rPr>
        <w:t>DATO FOR FØRSTE MARKEDSFØRINGSTILLADELSE</w:t>
      </w:r>
      <w:r w:rsidR="00D926EB" w:rsidRPr="00D926EB">
        <w:rPr>
          <w:b/>
          <w:sz w:val="24"/>
          <w:szCs w:val="24"/>
        </w:rPr>
        <w:t>/FORNYELSE AF TILLADELSEN</w:t>
      </w:r>
    </w:p>
    <w:p w:rsidR="00D926EB" w:rsidRPr="00D926EB" w:rsidRDefault="00D926EB" w:rsidP="00D926EB">
      <w:pPr>
        <w:tabs>
          <w:tab w:val="left" w:pos="851"/>
        </w:tabs>
        <w:ind w:left="851"/>
        <w:rPr>
          <w:sz w:val="24"/>
          <w:szCs w:val="24"/>
        </w:rPr>
      </w:pPr>
      <w:r w:rsidRPr="00D926EB">
        <w:rPr>
          <w:sz w:val="24"/>
          <w:szCs w:val="24"/>
        </w:rPr>
        <w:t>Dato for første markedsføringstilladelse: 10. september 2001 (injektionsvæske, opløsning 5 mikrogram/ml og 50 mikrogram/ml)</w:t>
      </w:r>
    </w:p>
    <w:p w:rsidR="00D926EB" w:rsidRPr="002F6D75" w:rsidRDefault="00D926EB" w:rsidP="00D926EB">
      <w:pPr>
        <w:tabs>
          <w:tab w:val="left" w:pos="851"/>
        </w:tabs>
        <w:ind w:left="851"/>
        <w:rPr>
          <w:sz w:val="24"/>
          <w:szCs w:val="24"/>
        </w:rPr>
      </w:pPr>
      <w:r w:rsidRPr="00D926EB">
        <w:rPr>
          <w:sz w:val="24"/>
          <w:szCs w:val="24"/>
        </w:rPr>
        <w:t>Dato for seneste fornyelse: 09. februar 2021</w:t>
      </w:r>
    </w:p>
    <w:p w:rsidR="00E05A5D" w:rsidRPr="002F6D75" w:rsidRDefault="00E05A5D" w:rsidP="00D926EB">
      <w:pPr>
        <w:tabs>
          <w:tab w:val="left" w:pos="851"/>
        </w:tabs>
        <w:ind w:left="851" w:hanging="851"/>
        <w:rPr>
          <w:sz w:val="24"/>
          <w:szCs w:val="24"/>
        </w:rPr>
      </w:pPr>
    </w:p>
    <w:p w:rsidR="00E05A5D" w:rsidRPr="002F6D75" w:rsidRDefault="00E05A5D" w:rsidP="00E05A5D">
      <w:pPr>
        <w:tabs>
          <w:tab w:val="left" w:pos="851"/>
        </w:tabs>
        <w:ind w:left="851" w:hanging="851"/>
        <w:rPr>
          <w:b/>
          <w:sz w:val="24"/>
          <w:szCs w:val="24"/>
        </w:rPr>
      </w:pPr>
      <w:r w:rsidRPr="002F6D75">
        <w:rPr>
          <w:b/>
          <w:sz w:val="24"/>
          <w:szCs w:val="24"/>
        </w:rPr>
        <w:t>10.</w:t>
      </w:r>
      <w:r w:rsidRPr="002F6D75">
        <w:rPr>
          <w:b/>
          <w:sz w:val="24"/>
          <w:szCs w:val="24"/>
        </w:rPr>
        <w:tab/>
        <w:t>DATO FOR ÆNDRING AF TEKSTEN</w:t>
      </w:r>
    </w:p>
    <w:p w:rsidR="00E05A5D" w:rsidRPr="002F6D75" w:rsidRDefault="00D926EB" w:rsidP="00E05A5D">
      <w:pPr>
        <w:tabs>
          <w:tab w:val="left" w:pos="851"/>
        </w:tabs>
        <w:ind w:left="851"/>
        <w:rPr>
          <w:sz w:val="24"/>
          <w:szCs w:val="24"/>
        </w:rPr>
      </w:pPr>
      <w:r>
        <w:rPr>
          <w:sz w:val="24"/>
          <w:szCs w:val="24"/>
        </w:rPr>
        <w:t>29. august 2023</w:t>
      </w:r>
    </w:p>
    <w:p w:rsidR="00E05A5D" w:rsidRPr="000D3FAA" w:rsidRDefault="00E05A5D" w:rsidP="00E05A5D"/>
    <w:p w:rsidR="00E05A5D" w:rsidRPr="00BF66D1" w:rsidRDefault="00E05A5D" w:rsidP="00E05A5D"/>
    <w:p w:rsidR="009260DE" w:rsidRPr="00E05A5D" w:rsidRDefault="009260DE" w:rsidP="00E05A5D"/>
    <w:sectPr w:rsidR="009260DE" w:rsidRPr="00E05A5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A5D" w:rsidRDefault="00E05A5D">
      <w:r>
        <w:separator/>
      </w:r>
    </w:p>
  </w:endnote>
  <w:endnote w:type="continuationSeparator" w:id="0">
    <w:p w:rsidR="00E05A5D" w:rsidRDefault="00E0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1524F">
      <w:rPr>
        <w:i/>
        <w:noProof/>
        <w:sz w:val="18"/>
        <w:szCs w:val="18"/>
      </w:rPr>
      <w:t>Sufentanil Hameln, injektions--infusionsvæske, opløsning 10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A5D" w:rsidRDefault="00E05A5D">
      <w:r>
        <w:separator/>
      </w:r>
    </w:p>
  </w:footnote>
  <w:footnote w:type="continuationSeparator" w:id="0">
    <w:p w:rsidR="00E05A5D" w:rsidRDefault="00E0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8D1F8C"/>
    <w:multiLevelType w:val="singleLevel"/>
    <w:tmpl w:val="E1AAC2D8"/>
    <w:lvl w:ilvl="0">
      <w:start w:val="31"/>
      <w:numFmt w:val="bullet"/>
      <w:lvlText w:val="-"/>
      <w:lvlJc w:val="left"/>
      <w:pPr>
        <w:tabs>
          <w:tab w:val="num" w:pos="1271"/>
        </w:tabs>
        <w:ind w:left="1271" w:hanging="420"/>
      </w:pPr>
      <w:rPr>
        <w:rFont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E97A7C"/>
    <w:multiLevelType w:val="singleLevel"/>
    <w:tmpl w:val="77A68FC2"/>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5D"/>
    <w:rsid w:val="000259B9"/>
    <w:rsid w:val="00041491"/>
    <w:rsid w:val="00050D16"/>
    <w:rsid w:val="000553FB"/>
    <w:rsid w:val="00061DEC"/>
    <w:rsid w:val="00074F2A"/>
    <w:rsid w:val="000A1CA8"/>
    <w:rsid w:val="000A2DC9"/>
    <w:rsid w:val="000A466B"/>
    <w:rsid w:val="000B058C"/>
    <w:rsid w:val="000E4EE6"/>
    <w:rsid w:val="001454E2"/>
    <w:rsid w:val="0019649B"/>
    <w:rsid w:val="001B3DC8"/>
    <w:rsid w:val="00206CE8"/>
    <w:rsid w:val="0021526C"/>
    <w:rsid w:val="00283A2B"/>
    <w:rsid w:val="002B30AD"/>
    <w:rsid w:val="002C2C01"/>
    <w:rsid w:val="003021AB"/>
    <w:rsid w:val="003203A1"/>
    <w:rsid w:val="003A29AE"/>
    <w:rsid w:val="003A32D7"/>
    <w:rsid w:val="003B4074"/>
    <w:rsid w:val="003C769A"/>
    <w:rsid w:val="003F1838"/>
    <w:rsid w:val="0045746C"/>
    <w:rsid w:val="0049104B"/>
    <w:rsid w:val="004B40F2"/>
    <w:rsid w:val="004E3B12"/>
    <w:rsid w:val="0051524F"/>
    <w:rsid w:val="00532310"/>
    <w:rsid w:val="00560ECC"/>
    <w:rsid w:val="00565F0F"/>
    <w:rsid w:val="00594A86"/>
    <w:rsid w:val="00596D86"/>
    <w:rsid w:val="005E0E56"/>
    <w:rsid w:val="00617196"/>
    <w:rsid w:val="00637F5A"/>
    <w:rsid w:val="006560B1"/>
    <w:rsid w:val="006756DD"/>
    <w:rsid w:val="00737275"/>
    <w:rsid w:val="00740EEC"/>
    <w:rsid w:val="0078011A"/>
    <w:rsid w:val="00782AF4"/>
    <w:rsid w:val="00790EE7"/>
    <w:rsid w:val="007B6649"/>
    <w:rsid w:val="007F782C"/>
    <w:rsid w:val="0081546F"/>
    <w:rsid w:val="0082576E"/>
    <w:rsid w:val="008413FA"/>
    <w:rsid w:val="00907F75"/>
    <w:rsid w:val="009260DE"/>
    <w:rsid w:val="0093258A"/>
    <w:rsid w:val="009C7BA3"/>
    <w:rsid w:val="009D1F5A"/>
    <w:rsid w:val="00A11599"/>
    <w:rsid w:val="00A507B3"/>
    <w:rsid w:val="00A60724"/>
    <w:rsid w:val="00AF7AE4"/>
    <w:rsid w:val="00B003BF"/>
    <w:rsid w:val="00B373D7"/>
    <w:rsid w:val="00C36276"/>
    <w:rsid w:val="00C42586"/>
    <w:rsid w:val="00C60CCD"/>
    <w:rsid w:val="00C63C08"/>
    <w:rsid w:val="00C84483"/>
    <w:rsid w:val="00C95551"/>
    <w:rsid w:val="00CB20D7"/>
    <w:rsid w:val="00CD0A61"/>
    <w:rsid w:val="00D020B0"/>
    <w:rsid w:val="00D11748"/>
    <w:rsid w:val="00D366CF"/>
    <w:rsid w:val="00D926EB"/>
    <w:rsid w:val="00DE3CB2"/>
    <w:rsid w:val="00E05A5D"/>
    <w:rsid w:val="00E108AA"/>
    <w:rsid w:val="00E31812"/>
    <w:rsid w:val="00E3749A"/>
    <w:rsid w:val="00E7437F"/>
    <w:rsid w:val="00E865B8"/>
    <w:rsid w:val="00EB296A"/>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ED4D3"/>
  <w15:chartTrackingRefBased/>
  <w15:docId w15:val="{7BD6A57F-5E68-439F-8BB5-F7E70DD9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E05A5D"/>
    <w:rPr>
      <w:color w:val="0000FF"/>
      <w:u w:val="single"/>
    </w:rPr>
  </w:style>
  <w:style w:type="paragraph" w:styleId="Brdtekstindrykning3">
    <w:name w:val="Body Text Indent 3"/>
    <w:basedOn w:val="Normal"/>
    <w:link w:val="Brdtekstindrykning3Tegn"/>
    <w:rsid w:val="00E05A5D"/>
    <w:pPr>
      <w:ind w:left="1304" w:firstLine="4"/>
    </w:pPr>
    <w:rPr>
      <w:spacing w:val="-3"/>
      <w:sz w:val="22"/>
      <w:lang w:val="en-GB" w:eastAsia="da-DK"/>
    </w:rPr>
  </w:style>
  <w:style w:type="character" w:customStyle="1" w:styleId="Brdtekstindrykning3Tegn">
    <w:name w:val="Brødtekstindrykning 3 Tegn"/>
    <w:basedOn w:val="Standardskrifttypeiafsnit"/>
    <w:link w:val="Brdtekstindrykning3"/>
    <w:rsid w:val="00E05A5D"/>
    <w:rPr>
      <w:spacing w:val="-3"/>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13</Pages>
  <Words>3560</Words>
  <Characters>24812</Characters>
  <Application>Microsoft Office Word</Application>
  <DocSecurity>0</DocSecurity>
  <Lines>206</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2023021452_x000d_
SPC opdat. pkt. 4.3,4.4, 4.5, 4.8 + QRD overskrifter</dc:description>
  <cp:lastModifiedBy>Marianne Ott Jensen</cp:lastModifiedBy>
  <cp:revision>3</cp:revision>
  <cp:lastPrinted>2012-08-22T08:53:00Z</cp:lastPrinted>
  <dcterms:created xsi:type="dcterms:W3CDTF">2023-08-25T10:47:00Z</dcterms:created>
  <dcterms:modified xsi:type="dcterms:W3CDTF">2023-08-25T10:54:00Z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