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98BE" w14:textId="77777777" w:rsidR="004A3BF4" w:rsidRPr="002A7948" w:rsidRDefault="00056601" w:rsidP="004A3BF4">
      <w:pPr>
        <w:rPr>
          <w:sz w:val="24"/>
          <w:szCs w:val="24"/>
          <w:lang w:val="en-GB"/>
        </w:rPr>
      </w:pPr>
      <w:r w:rsidRPr="002A7948">
        <w:rPr>
          <w:noProof/>
          <w:sz w:val="24"/>
          <w:szCs w:val="24"/>
          <w:lang w:val="en-GB"/>
        </w:rPr>
        <w:drawing>
          <wp:inline distT="0" distB="0" distL="0" distR="0" wp14:anchorId="6CAFA1BC" wp14:editId="28DCA71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7EB6BC4" w14:textId="77777777" w:rsidR="006B3847" w:rsidRPr="002A7948" w:rsidRDefault="006B3847" w:rsidP="006B3847">
      <w:pPr>
        <w:rPr>
          <w:sz w:val="24"/>
          <w:szCs w:val="24"/>
          <w:lang w:val="en-GB"/>
        </w:rPr>
      </w:pPr>
    </w:p>
    <w:p w14:paraId="7D9227A0" w14:textId="3837B631" w:rsidR="006B3847" w:rsidRPr="002A7948" w:rsidRDefault="006B3847" w:rsidP="006B3847">
      <w:pPr>
        <w:tabs>
          <w:tab w:val="right" w:pos="9356"/>
        </w:tabs>
        <w:rPr>
          <w:b/>
          <w:sz w:val="24"/>
          <w:szCs w:val="24"/>
          <w:lang w:val="en-GB"/>
        </w:rPr>
      </w:pPr>
      <w:r w:rsidRPr="002A7948">
        <w:rPr>
          <w:b/>
          <w:sz w:val="24"/>
          <w:szCs w:val="24"/>
          <w:lang w:val="en-GB"/>
        </w:rPr>
        <w:tab/>
      </w:r>
      <w:r w:rsidR="000F54B0">
        <w:rPr>
          <w:b/>
          <w:sz w:val="24"/>
          <w:szCs w:val="24"/>
          <w:lang w:val="en-GB"/>
        </w:rPr>
        <w:t>6 June 2023</w:t>
      </w:r>
    </w:p>
    <w:p w14:paraId="6B0714C4" w14:textId="77777777" w:rsidR="006B3847" w:rsidRPr="002A7948" w:rsidRDefault="006B3847" w:rsidP="006B3847">
      <w:pPr>
        <w:rPr>
          <w:sz w:val="24"/>
          <w:szCs w:val="24"/>
          <w:lang w:val="en-GB"/>
        </w:rPr>
      </w:pPr>
    </w:p>
    <w:p w14:paraId="09B495EC" w14:textId="77777777" w:rsidR="007C5D2A" w:rsidRPr="002A7948" w:rsidRDefault="007C5D2A" w:rsidP="007C5D2A">
      <w:pPr>
        <w:rPr>
          <w:sz w:val="24"/>
          <w:szCs w:val="24"/>
          <w:lang w:val="en-GB"/>
        </w:rPr>
      </w:pPr>
    </w:p>
    <w:p w14:paraId="6FE835CE" w14:textId="77777777" w:rsidR="007C5D2A" w:rsidRPr="002A7948" w:rsidRDefault="007C5D2A" w:rsidP="007C5D2A">
      <w:pPr>
        <w:rPr>
          <w:sz w:val="24"/>
          <w:szCs w:val="24"/>
          <w:lang w:val="en-GB"/>
        </w:rPr>
      </w:pPr>
    </w:p>
    <w:p w14:paraId="3A650D15" w14:textId="77777777" w:rsidR="007C5D2A" w:rsidRPr="002A7948" w:rsidRDefault="007C5D2A" w:rsidP="007C5D2A">
      <w:pPr>
        <w:jc w:val="center"/>
        <w:rPr>
          <w:b/>
          <w:sz w:val="24"/>
          <w:szCs w:val="24"/>
          <w:lang w:val="en-GB"/>
        </w:rPr>
      </w:pPr>
      <w:bookmarkStart w:id="0" w:name="_Hlk49158549"/>
      <w:r w:rsidRPr="002A7948">
        <w:rPr>
          <w:b/>
          <w:sz w:val="24"/>
          <w:szCs w:val="24"/>
          <w:lang w:val="en-GB"/>
        </w:rPr>
        <w:t>SUMMARY OF PRODUCT CHARACTERISTICS</w:t>
      </w:r>
    </w:p>
    <w:bookmarkEnd w:id="0"/>
    <w:p w14:paraId="51B3B22C" w14:textId="77777777" w:rsidR="007C5D2A" w:rsidRPr="002A7948" w:rsidRDefault="007C5D2A" w:rsidP="007C5D2A">
      <w:pPr>
        <w:jc w:val="center"/>
        <w:rPr>
          <w:sz w:val="24"/>
          <w:szCs w:val="24"/>
          <w:lang w:val="en-GB"/>
        </w:rPr>
      </w:pPr>
    </w:p>
    <w:p w14:paraId="75C73020" w14:textId="77777777" w:rsidR="007C5D2A" w:rsidRPr="002A7948" w:rsidRDefault="007C5D2A" w:rsidP="007C5D2A">
      <w:pPr>
        <w:jc w:val="center"/>
        <w:rPr>
          <w:b/>
          <w:sz w:val="24"/>
          <w:szCs w:val="24"/>
          <w:lang w:val="en-GB"/>
        </w:rPr>
      </w:pPr>
      <w:r w:rsidRPr="002A7948">
        <w:rPr>
          <w:b/>
          <w:sz w:val="24"/>
          <w:szCs w:val="24"/>
          <w:lang w:val="en-GB"/>
        </w:rPr>
        <w:t>for</w:t>
      </w:r>
    </w:p>
    <w:p w14:paraId="758E3C46" w14:textId="77777777" w:rsidR="007C5D2A" w:rsidRPr="002A7948" w:rsidRDefault="007C5D2A" w:rsidP="007C5D2A">
      <w:pPr>
        <w:jc w:val="center"/>
        <w:rPr>
          <w:sz w:val="24"/>
          <w:szCs w:val="24"/>
          <w:lang w:val="en-GB"/>
        </w:rPr>
      </w:pPr>
    </w:p>
    <w:p w14:paraId="6CAB44FC" w14:textId="3545D1EC" w:rsidR="007C5D2A" w:rsidRPr="002A7948" w:rsidRDefault="00F60DA9" w:rsidP="007C5D2A">
      <w:pPr>
        <w:jc w:val="center"/>
        <w:rPr>
          <w:b/>
          <w:sz w:val="24"/>
          <w:szCs w:val="24"/>
          <w:lang w:val="en-GB"/>
        </w:rPr>
      </w:pPr>
      <w:proofErr w:type="spellStart"/>
      <w:r w:rsidRPr="002A7948">
        <w:rPr>
          <w:b/>
          <w:sz w:val="24"/>
          <w:szCs w:val="24"/>
          <w:lang w:val="en-GB"/>
        </w:rPr>
        <w:t>Sugammadex</w:t>
      </w:r>
      <w:proofErr w:type="spellEnd"/>
      <w:r w:rsidRPr="002A7948">
        <w:rPr>
          <w:b/>
          <w:sz w:val="24"/>
          <w:szCs w:val="24"/>
          <w:lang w:val="en-GB"/>
        </w:rPr>
        <w:t xml:space="preserve"> "</w:t>
      </w:r>
      <w:proofErr w:type="spellStart"/>
      <w:r w:rsidRPr="002A7948">
        <w:rPr>
          <w:b/>
          <w:sz w:val="24"/>
          <w:szCs w:val="24"/>
          <w:lang w:val="en-GB"/>
        </w:rPr>
        <w:t>Atnahs</w:t>
      </w:r>
      <w:proofErr w:type="spellEnd"/>
      <w:r w:rsidRPr="002A7948">
        <w:rPr>
          <w:b/>
          <w:sz w:val="24"/>
          <w:szCs w:val="24"/>
          <w:lang w:val="en-GB"/>
        </w:rPr>
        <w:t>", solution for injection</w:t>
      </w:r>
    </w:p>
    <w:p w14:paraId="0182659F" w14:textId="77777777" w:rsidR="007C5D2A" w:rsidRPr="002A7948" w:rsidRDefault="007C5D2A" w:rsidP="007C5D2A">
      <w:pPr>
        <w:jc w:val="both"/>
        <w:rPr>
          <w:sz w:val="24"/>
          <w:szCs w:val="24"/>
          <w:lang w:val="en-GB"/>
        </w:rPr>
      </w:pPr>
    </w:p>
    <w:p w14:paraId="028131CC" w14:textId="77777777" w:rsidR="0042292D" w:rsidRPr="002A7948" w:rsidRDefault="0042292D" w:rsidP="007C5D2A">
      <w:pPr>
        <w:jc w:val="both"/>
        <w:rPr>
          <w:sz w:val="24"/>
          <w:szCs w:val="24"/>
          <w:lang w:val="en-GB"/>
        </w:rPr>
      </w:pPr>
    </w:p>
    <w:p w14:paraId="316018F5" w14:textId="77777777" w:rsidR="008F2F8C" w:rsidRPr="002A7948" w:rsidRDefault="008F2F8C" w:rsidP="008F2F8C">
      <w:pPr>
        <w:tabs>
          <w:tab w:val="left" w:pos="8222"/>
        </w:tabs>
        <w:ind w:left="851" w:hanging="851"/>
        <w:rPr>
          <w:b/>
          <w:sz w:val="24"/>
          <w:szCs w:val="24"/>
          <w:lang w:val="en-GB"/>
        </w:rPr>
      </w:pPr>
      <w:r w:rsidRPr="002A7948">
        <w:rPr>
          <w:b/>
          <w:sz w:val="24"/>
          <w:szCs w:val="24"/>
          <w:lang w:val="en-GB"/>
        </w:rPr>
        <w:t>0.</w:t>
      </w:r>
      <w:r w:rsidRPr="002A7948">
        <w:rPr>
          <w:b/>
          <w:sz w:val="24"/>
          <w:szCs w:val="24"/>
          <w:lang w:val="en-GB"/>
        </w:rPr>
        <w:tab/>
      </w:r>
      <w:proofErr w:type="gramStart"/>
      <w:r w:rsidRPr="002A7948">
        <w:rPr>
          <w:b/>
          <w:sz w:val="24"/>
          <w:szCs w:val="24"/>
          <w:lang w:val="en-GB"/>
        </w:rPr>
        <w:t>D.SP.NO</w:t>
      </w:r>
      <w:proofErr w:type="gramEnd"/>
      <w:r w:rsidRPr="002A7948">
        <w:rPr>
          <w:b/>
          <w:sz w:val="24"/>
          <w:szCs w:val="24"/>
          <w:lang w:val="en-GB"/>
        </w:rPr>
        <w:t>.</w:t>
      </w:r>
    </w:p>
    <w:p w14:paraId="4EAA36AB" w14:textId="7AE54C65" w:rsidR="008F2F8C" w:rsidRPr="002A7948" w:rsidRDefault="00F60DA9" w:rsidP="008F2F8C">
      <w:pPr>
        <w:tabs>
          <w:tab w:val="left" w:pos="8222"/>
        </w:tabs>
        <w:ind w:left="851"/>
        <w:rPr>
          <w:sz w:val="24"/>
          <w:szCs w:val="24"/>
          <w:lang w:val="en-GB"/>
        </w:rPr>
      </w:pPr>
      <w:r w:rsidRPr="002A7948">
        <w:rPr>
          <w:sz w:val="24"/>
          <w:szCs w:val="24"/>
          <w:lang w:val="en-GB"/>
        </w:rPr>
        <w:t>32693</w:t>
      </w:r>
    </w:p>
    <w:p w14:paraId="7300307F" w14:textId="77777777" w:rsidR="007C5D2A" w:rsidRPr="002A7948" w:rsidRDefault="007C5D2A" w:rsidP="007C5D2A">
      <w:pPr>
        <w:tabs>
          <w:tab w:val="left" w:pos="851"/>
        </w:tabs>
        <w:jc w:val="both"/>
        <w:rPr>
          <w:sz w:val="24"/>
          <w:szCs w:val="24"/>
          <w:lang w:val="en-GB"/>
        </w:rPr>
      </w:pPr>
    </w:p>
    <w:p w14:paraId="69516FB8" w14:textId="77777777" w:rsidR="007C5D2A" w:rsidRPr="002A7948" w:rsidRDefault="009925C9" w:rsidP="007C5D2A">
      <w:pPr>
        <w:tabs>
          <w:tab w:val="left" w:pos="851"/>
        </w:tabs>
        <w:ind w:left="851" w:hanging="851"/>
        <w:rPr>
          <w:sz w:val="24"/>
          <w:szCs w:val="24"/>
          <w:lang w:val="en-GB"/>
        </w:rPr>
      </w:pPr>
      <w:r w:rsidRPr="002A7948">
        <w:rPr>
          <w:b/>
          <w:sz w:val="24"/>
          <w:szCs w:val="24"/>
          <w:lang w:val="en-GB"/>
        </w:rPr>
        <w:t>1.</w:t>
      </w:r>
      <w:r w:rsidR="007C5D2A" w:rsidRPr="002A7948">
        <w:rPr>
          <w:b/>
          <w:sz w:val="24"/>
          <w:szCs w:val="24"/>
          <w:lang w:val="en-GB"/>
        </w:rPr>
        <w:tab/>
        <w:t>NAME OF THE MEDICINAL PRODUCT</w:t>
      </w:r>
    </w:p>
    <w:p w14:paraId="7437E226" w14:textId="32E01C22" w:rsidR="007C5D2A" w:rsidRPr="002A7948" w:rsidRDefault="00F60DA9" w:rsidP="004A3BF4">
      <w:pPr>
        <w:tabs>
          <w:tab w:val="left" w:pos="851"/>
        </w:tabs>
        <w:ind w:left="851"/>
        <w:rPr>
          <w:sz w:val="24"/>
          <w:szCs w:val="24"/>
          <w:lang w:val="en-GB"/>
        </w:rPr>
      </w:pPr>
      <w:proofErr w:type="spellStart"/>
      <w:r w:rsidRPr="002A7948">
        <w:rPr>
          <w:sz w:val="24"/>
          <w:szCs w:val="24"/>
          <w:lang w:val="en-GB"/>
        </w:rPr>
        <w:t>Sugammadex</w:t>
      </w:r>
      <w:proofErr w:type="spellEnd"/>
      <w:r w:rsidRPr="002A7948">
        <w:rPr>
          <w:sz w:val="24"/>
          <w:szCs w:val="24"/>
          <w:lang w:val="en-GB"/>
        </w:rPr>
        <w:t xml:space="preserve"> "</w:t>
      </w:r>
      <w:proofErr w:type="spellStart"/>
      <w:r w:rsidRPr="002A7948">
        <w:rPr>
          <w:sz w:val="24"/>
          <w:szCs w:val="24"/>
          <w:lang w:val="en-GB"/>
        </w:rPr>
        <w:t>Atnahs</w:t>
      </w:r>
      <w:proofErr w:type="spellEnd"/>
      <w:r w:rsidRPr="002A7948">
        <w:rPr>
          <w:sz w:val="24"/>
          <w:szCs w:val="24"/>
          <w:lang w:val="en-GB"/>
        </w:rPr>
        <w:t>"</w:t>
      </w:r>
    </w:p>
    <w:p w14:paraId="1EEBB2C2" w14:textId="77777777" w:rsidR="007C5D2A" w:rsidRPr="002A7948" w:rsidRDefault="007C5D2A" w:rsidP="004A3BF4">
      <w:pPr>
        <w:tabs>
          <w:tab w:val="left" w:pos="851"/>
        </w:tabs>
        <w:ind w:left="851"/>
        <w:rPr>
          <w:sz w:val="24"/>
          <w:szCs w:val="24"/>
          <w:lang w:val="en-GB"/>
        </w:rPr>
      </w:pPr>
    </w:p>
    <w:p w14:paraId="53358621" w14:textId="77777777" w:rsidR="007C5D2A" w:rsidRPr="002A7948" w:rsidRDefault="009925C9" w:rsidP="007C5D2A">
      <w:pPr>
        <w:ind w:left="851" w:hanging="851"/>
        <w:rPr>
          <w:b/>
          <w:sz w:val="24"/>
          <w:szCs w:val="24"/>
          <w:lang w:val="en-GB"/>
        </w:rPr>
      </w:pPr>
      <w:r w:rsidRPr="002A7948">
        <w:rPr>
          <w:b/>
          <w:sz w:val="24"/>
          <w:szCs w:val="24"/>
          <w:lang w:val="en-GB"/>
        </w:rPr>
        <w:t>2.</w:t>
      </w:r>
      <w:r w:rsidR="007C5D2A" w:rsidRPr="002A7948">
        <w:rPr>
          <w:b/>
          <w:sz w:val="24"/>
          <w:szCs w:val="24"/>
          <w:lang w:val="en-GB"/>
        </w:rPr>
        <w:tab/>
        <w:t>QUALITATIVE AND QUANTITATIVE COMPOSITION</w:t>
      </w:r>
    </w:p>
    <w:p w14:paraId="556841A3" w14:textId="77777777" w:rsidR="00311DF4" w:rsidRPr="002A7948" w:rsidRDefault="00311DF4" w:rsidP="002A7948">
      <w:pPr>
        <w:ind w:left="851"/>
        <w:rPr>
          <w:sz w:val="24"/>
          <w:szCs w:val="24"/>
          <w:lang w:val="en-US"/>
        </w:rPr>
      </w:pPr>
      <w:r w:rsidRPr="002A7948">
        <w:rPr>
          <w:sz w:val="24"/>
          <w:szCs w:val="24"/>
          <w:lang w:val="en-US"/>
        </w:rPr>
        <w:t xml:space="preserve">1 mL contains </w:t>
      </w:r>
      <w:proofErr w:type="spellStart"/>
      <w:r w:rsidRPr="002A7948">
        <w:rPr>
          <w:sz w:val="24"/>
          <w:szCs w:val="24"/>
          <w:lang w:val="en-US"/>
        </w:rPr>
        <w:t>sugammadex</w:t>
      </w:r>
      <w:proofErr w:type="spellEnd"/>
      <w:r w:rsidRPr="002A7948">
        <w:rPr>
          <w:sz w:val="24"/>
          <w:szCs w:val="24"/>
          <w:lang w:val="en-US"/>
        </w:rPr>
        <w:t xml:space="preserve"> sodium equivalent to 100 mg </w:t>
      </w:r>
      <w:proofErr w:type="spellStart"/>
      <w:r w:rsidRPr="002A7948">
        <w:rPr>
          <w:sz w:val="24"/>
          <w:szCs w:val="24"/>
          <w:lang w:val="en-US"/>
        </w:rPr>
        <w:t>sugammadex</w:t>
      </w:r>
      <w:proofErr w:type="spellEnd"/>
      <w:r w:rsidRPr="002A7948">
        <w:rPr>
          <w:sz w:val="24"/>
          <w:szCs w:val="24"/>
          <w:lang w:val="en-US"/>
        </w:rPr>
        <w:t>.</w:t>
      </w:r>
    </w:p>
    <w:p w14:paraId="1BAADA8A" w14:textId="77777777" w:rsidR="00311DF4" w:rsidRPr="002A7948" w:rsidRDefault="00311DF4" w:rsidP="002A7948">
      <w:pPr>
        <w:ind w:left="851"/>
        <w:rPr>
          <w:sz w:val="24"/>
          <w:szCs w:val="24"/>
          <w:lang w:val="en-US"/>
        </w:rPr>
      </w:pPr>
      <w:r w:rsidRPr="002A7948">
        <w:rPr>
          <w:sz w:val="24"/>
          <w:szCs w:val="24"/>
          <w:lang w:val="en-US"/>
        </w:rPr>
        <w:t xml:space="preserve">Each vial of 2 mL contains </w:t>
      </w:r>
      <w:proofErr w:type="spellStart"/>
      <w:r w:rsidRPr="002A7948">
        <w:rPr>
          <w:sz w:val="24"/>
          <w:szCs w:val="24"/>
          <w:lang w:val="en-US"/>
        </w:rPr>
        <w:t>sugammadex</w:t>
      </w:r>
      <w:proofErr w:type="spellEnd"/>
      <w:r w:rsidRPr="002A7948">
        <w:rPr>
          <w:sz w:val="24"/>
          <w:szCs w:val="24"/>
          <w:lang w:val="en-US"/>
        </w:rPr>
        <w:t xml:space="preserve"> sodium equivalent to 200 mg </w:t>
      </w:r>
      <w:proofErr w:type="spellStart"/>
      <w:r w:rsidRPr="002A7948">
        <w:rPr>
          <w:sz w:val="24"/>
          <w:szCs w:val="24"/>
          <w:lang w:val="en-US"/>
        </w:rPr>
        <w:t>sugammadex</w:t>
      </w:r>
      <w:proofErr w:type="spellEnd"/>
      <w:r w:rsidRPr="002A7948">
        <w:rPr>
          <w:sz w:val="24"/>
          <w:szCs w:val="24"/>
          <w:lang w:val="en-US"/>
        </w:rPr>
        <w:t>.</w:t>
      </w:r>
    </w:p>
    <w:p w14:paraId="048EAF30" w14:textId="77777777" w:rsidR="00311DF4" w:rsidRPr="002A7948" w:rsidRDefault="00311DF4" w:rsidP="002A7948">
      <w:pPr>
        <w:ind w:left="851"/>
        <w:rPr>
          <w:sz w:val="24"/>
          <w:szCs w:val="24"/>
          <w:lang w:val="en-US"/>
        </w:rPr>
      </w:pPr>
      <w:r w:rsidRPr="002A7948">
        <w:rPr>
          <w:sz w:val="24"/>
          <w:szCs w:val="24"/>
          <w:lang w:val="en-US"/>
        </w:rPr>
        <w:t xml:space="preserve">Each vial of 5 mL contains </w:t>
      </w:r>
      <w:proofErr w:type="spellStart"/>
      <w:r w:rsidRPr="002A7948">
        <w:rPr>
          <w:sz w:val="24"/>
          <w:szCs w:val="24"/>
          <w:lang w:val="en-US"/>
        </w:rPr>
        <w:t>sugammadex</w:t>
      </w:r>
      <w:proofErr w:type="spellEnd"/>
      <w:r w:rsidRPr="002A7948">
        <w:rPr>
          <w:sz w:val="24"/>
          <w:szCs w:val="24"/>
          <w:lang w:val="en-US"/>
        </w:rPr>
        <w:t xml:space="preserve"> sodium equivalent to 500 mg </w:t>
      </w:r>
      <w:proofErr w:type="spellStart"/>
      <w:r w:rsidRPr="002A7948">
        <w:rPr>
          <w:sz w:val="24"/>
          <w:szCs w:val="24"/>
          <w:lang w:val="en-US"/>
        </w:rPr>
        <w:t>sugammadex</w:t>
      </w:r>
      <w:proofErr w:type="spellEnd"/>
      <w:r w:rsidRPr="002A7948">
        <w:rPr>
          <w:sz w:val="24"/>
          <w:szCs w:val="24"/>
          <w:lang w:val="en-US"/>
        </w:rPr>
        <w:t>.</w:t>
      </w:r>
    </w:p>
    <w:p w14:paraId="70E369C0" w14:textId="77777777" w:rsidR="00311DF4" w:rsidRPr="002A7948" w:rsidRDefault="00311DF4" w:rsidP="002A7948">
      <w:pPr>
        <w:ind w:left="851"/>
        <w:rPr>
          <w:i/>
          <w:iCs/>
          <w:sz w:val="24"/>
          <w:szCs w:val="24"/>
          <w:u w:val="single"/>
          <w:lang w:val="en-US"/>
        </w:rPr>
      </w:pPr>
    </w:p>
    <w:p w14:paraId="5F5CD61F" w14:textId="77777777" w:rsidR="00311DF4" w:rsidRPr="002A7948" w:rsidRDefault="00311DF4" w:rsidP="002A7948">
      <w:pPr>
        <w:ind w:left="851"/>
        <w:rPr>
          <w:sz w:val="24"/>
          <w:szCs w:val="24"/>
          <w:u w:val="single"/>
          <w:lang w:val="en-US"/>
        </w:rPr>
      </w:pPr>
      <w:r w:rsidRPr="002A7948">
        <w:rPr>
          <w:sz w:val="24"/>
          <w:szCs w:val="24"/>
          <w:u w:val="single"/>
          <w:lang w:val="en-US"/>
        </w:rPr>
        <w:t>Excipients with known effect</w:t>
      </w:r>
    </w:p>
    <w:p w14:paraId="078F4858" w14:textId="77777777" w:rsidR="00311DF4" w:rsidRPr="002A7948" w:rsidRDefault="00311DF4" w:rsidP="002A7948">
      <w:pPr>
        <w:ind w:left="851"/>
        <w:rPr>
          <w:sz w:val="24"/>
          <w:szCs w:val="24"/>
          <w:lang w:val="en-US"/>
        </w:rPr>
      </w:pPr>
      <w:r w:rsidRPr="002A7948">
        <w:rPr>
          <w:sz w:val="24"/>
          <w:szCs w:val="24"/>
          <w:lang w:val="en-US"/>
        </w:rPr>
        <w:t>Contains up to 9.7 mg/mL sodium (see section 4.4).</w:t>
      </w:r>
    </w:p>
    <w:p w14:paraId="1ED70CB8" w14:textId="77777777" w:rsidR="00311DF4" w:rsidRPr="002A7948" w:rsidRDefault="00311DF4" w:rsidP="002A7948">
      <w:pPr>
        <w:ind w:left="851"/>
        <w:rPr>
          <w:sz w:val="24"/>
          <w:szCs w:val="24"/>
          <w:lang w:val="en-US"/>
        </w:rPr>
      </w:pPr>
    </w:p>
    <w:p w14:paraId="3B0FC3E3" w14:textId="77777777" w:rsidR="00311DF4" w:rsidRPr="002A7948" w:rsidRDefault="00311DF4" w:rsidP="002A7948">
      <w:pPr>
        <w:ind w:left="851"/>
        <w:rPr>
          <w:sz w:val="24"/>
          <w:szCs w:val="24"/>
          <w:lang w:val="en-US"/>
        </w:rPr>
      </w:pPr>
      <w:r w:rsidRPr="002A7948">
        <w:rPr>
          <w:sz w:val="24"/>
          <w:szCs w:val="24"/>
          <w:lang w:val="en-US"/>
        </w:rPr>
        <w:t>For the full list of excipients, see section 6.1.</w:t>
      </w:r>
    </w:p>
    <w:p w14:paraId="6AE70716" w14:textId="77777777" w:rsidR="007C5D2A" w:rsidRPr="002A7948" w:rsidRDefault="007C5D2A" w:rsidP="004A3BF4">
      <w:pPr>
        <w:tabs>
          <w:tab w:val="left" w:pos="851"/>
        </w:tabs>
        <w:ind w:left="851"/>
        <w:rPr>
          <w:sz w:val="24"/>
          <w:szCs w:val="24"/>
          <w:lang w:val="en-GB"/>
        </w:rPr>
      </w:pPr>
    </w:p>
    <w:p w14:paraId="3C07C763" w14:textId="77777777" w:rsidR="007C5D2A" w:rsidRPr="002A7948" w:rsidRDefault="007C5D2A" w:rsidP="007C5D2A">
      <w:pPr>
        <w:tabs>
          <w:tab w:val="left" w:pos="851"/>
        </w:tabs>
        <w:ind w:left="851" w:hanging="851"/>
        <w:rPr>
          <w:b/>
          <w:sz w:val="24"/>
          <w:szCs w:val="24"/>
          <w:lang w:val="en-GB"/>
        </w:rPr>
      </w:pPr>
      <w:r w:rsidRPr="002A7948">
        <w:rPr>
          <w:b/>
          <w:sz w:val="24"/>
          <w:szCs w:val="24"/>
          <w:lang w:val="en-GB"/>
        </w:rPr>
        <w:t>3.</w:t>
      </w:r>
      <w:r w:rsidRPr="002A7948">
        <w:rPr>
          <w:b/>
          <w:sz w:val="24"/>
          <w:szCs w:val="24"/>
          <w:lang w:val="en-GB"/>
        </w:rPr>
        <w:tab/>
        <w:t>PHARMACEUTICAL FORM</w:t>
      </w:r>
    </w:p>
    <w:p w14:paraId="05AC773A" w14:textId="3B4C9F3D" w:rsidR="00311DF4" w:rsidRPr="002A7948" w:rsidRDefault="00311DF4" w:rsidP="002A7948">
      <w:pPr>
        <w:ind w:left="851"/>
        <w:rPr>
          <w:sz w:val="24"/>
          <w:szCs w:val="24"/>
          <w:lang w:val="en-US"/>
        </w:rPr>
      </w:pPr>
      <w:r w:rsidRPr="002A7948">
        <w:rPr>
          <w:sz w:val="24"/>
          <w:szCs w:val="24"/>
          <w:lang w:val="en-US"/>
        </w:rPr>
        <w:t>Solution for injection</w:t>
      </w:r>
    </w:p>
    <w:p w14:paraId="44668D57" w14:textId="77777777" w:rsidR="00311DF4" w:rsidRPr="002A7948" w:rsidRDefault="00311DF4" w:rsidP="002A7948">
      <w:pPr>
        <w:ind w:left="851"/>
        <w:rPr>
          <w:sz w:val="24"/>
          <w:szCs w:val="24"/>
          <w:lang w:val="en-US"/>
        </w:rPr>
      </w:pPr>
      <w:r w:rsidRPr="002A7948">
        <w:rPr>
          <w:sz w:val="24"/>
          <w:szCs w:val="24"/>
          <w:lang w:val="en-US"/>
        </w:rPr>
        <w:t xml:space="preserve">Clear and </w:t>
      </w:r>
      <w:proofErr w:type="spellStart"/>
      <w:r w:rsidRPr="002A7948">
        <w:rPr>
          <w:sz w:val="24"/>
          <w:szCs w:val="24"/>
          <w:lang w:val="en-US"/>
        </w:rPr>
        <w:t>colourless</w:t>
      </w:r>
      <w:proofErr w:type="spellEnd"/>
      <w:r w:rsidRPr="002A7948">
        <w:rPr>
          <w:sz w:val="24"/>
          <w:szCs w:val="24"/>
          <w:lang w:val="en-US"/>
        </w:rPr>
        <w:t xml:space="preserve"> to slightly yellow solution.</w:t>
      </w:r>
    </w:p>
    <w:p w14:paraId="2D490EF5" w14:textId="77777777" w:rsidR="00311DF4" w:rsidRPr="002A7948" w:rsidRDefault="00311DF4" w:rsidP="002A7948">
      <w:pPr>
        <w:ind w:left="851"/>
        <w:rPr>
          <w:sz w:val="24"/>
          <w:szCs w:val="24"/>
          <w:lang w:val="en-US"/>
        </w:rPr>
      </w:pPr>
      <w:r w:rsidRPr="002A7948">
        <w:rPr>
          <w:sz w:val="24"/>
          <w:szCs w:val="24"/>
          <w:lang w:val="en-US"/>
        </w:rPr>
        <w:t xml:space="preserve">The pH is between 7 and 8 and osmolality is between 300 and 500 </w:t>
      </w:r>
      <w:proofErr w:type="spellStart"/>
      <w:r w:rsidRPr="002A7948">
        <w:rPr>
          <w:sz w:val="24"/>
          <w:szCs w:val="24"/>
          <w:lang w:val="en-US"/>
        </w:rPr>
        <w:t>mOsm</w:t>
      </w:r>
      <w:proofErr w:type="spellEnd"/>
      <w:r w:rsidRPr="002A7948">
        <w:rPr>
          <w:sz w:val="24"/>
          <w:szCs w:val="24"/>
          <w:lang w:val="en-US"/>
        </w:rPr>
        <w:t>/kg.</w:t>
      </w:r>
    </w:p>
    <w:p w14:paraId="66212633" w14:textId="77777777" w:rsidR="007C5D2A" w:rsidRPr="002A7948" w:rsidRDefault="007C5D2A" w:rsidP="004A3BF4">
      <w:pPr>
        <w:tabs>
          <w:tab w:val="left" w:pos="851"/>
        </w:tabs>
        <w:ind w:left="851"/>
        <w:rPr>
          <w:sz w:val="24"/>
          <w:szCs w:val="24"/>
          <w:lang w:val="en-GB"/>
        </w:rPr>
      </w:pPr>
    </w:p>
    <w:p w14:paraId="20C364CC" w14:textId="77777777" w:rsidR="007C5D2A" w:rsidRPr="002A7948" w:rsidRDefault="007C5D2A" w:rsidP="004A3BF4">
      <w:pPr>
        <w:tabs>
          <w:tab w:val="left" w:pos="851"/>
        </w:tabs>
        <w:ind w:left="851"/>
        <w:rPr>
          <w:sz w:val="24"/>
          <w:szCs w:val="24"/>
          <w:lang w:val="en-GB"/>
        </w:rPr>
      </w:pPr>
    </w:p>
    <w:p w14:paraId="02FE99AA" w14:textId="77777777" w:rsidR="007C5D2A" w:rsidRPr="002A7948" w:rsidRDefault="007C5D2A" w:rsidP="007C5D2A">
      <w:pPr>
        <w:ind w:left="851" w:hanging="851"/>
        <w:rPr>
          <w:b/>
          <w:sz w:val="24"/>
          <w:szCs w:val="24"/>
          <w:lang w:val="en-GB"/>
        </w:rPr>
      </w:pPr>
      <w:r w:rsidRPr="002A7948">
        <w:rPr>
          <w:b/>
          <w:sz w:val="24"/>
          <w:szCs w:val="24"/>
          <w:lang w:val="en-GB"/>
        </w:rPr>
        <w:t>4.</w:t>
      </w:r>
      <w:r w:rsidRPr="002A7948">
        <w:rPr>
          <w:b/>
          <w:sz w:val="24"/>
          <w:szCs w:val="24"/>
          <w:lang w:val="en-GB"/>
        </w:rPr>
        <w:tab/>
        <w:t>CLINICAL PARTICULARS</w:t>
      </w:r>
    </w:p>
    <w:p w14:paraId="7C59C108" w14:textId="77777777" w:rsidR="007C5D2A" w:rsidRPr="002A7948" w:rsidRDefault="007C5D2A" w:rsidP="004A3BF4">
      <w:pPr>
        <w:tabs>
          <w:tab w:val="left" w:pos="851"/>
        </w:tabs>
        <w:ind w:left="851"/>
        <w:rPr>
          <w:sz w:val="24"/>
          <w:szCs w:val="24"/>
          <w:lang w:val="en-GB"/>
        </w:rPr>
      </w:pPr>
    </w:p>
    <w:p w14:paraId="1A4F4B8B" w14:textId="77777777" w:rsidR="007C5D2A" w:rsidRPr="002A7948" w:rsidRDefault="007C5D2A" w:rsidP="007C5D2A">
      <w:pPr>
        <w:ind w:left="851" w:hanging="851"/>
        <w:rPr>
          <w:b/>
          <w:sz w:val="24"/>
          <w:szCs w:val="24"/>
          <w:u w:val="single"/>
          <w:lang w:val="en-GB"/>
        </w:rPr>
      </w:pPr>
      <w:r w:rsidRPr="002A7948">
        <w:rPr>
          <w:b/>
          <w:sz w:val="24"/>
          <w:szCs w:val="24"/>
          <w:lang w:val="en-GB"/>
        </w:rPr>
        <w:t>4.1</w:t>
      </w:r>
      <w:r w:rsidRPr="002A7948">
        <w:rPr>
          <w:b/>
          <w:sz w:val="24"/>
          <w:szCs w:val="24"/>
          <w:lang w:val="en-GB"/>
        </w:rPr>
        <w:tab/>
        <w:t>Therapeutic indications</w:t>
      </w:r>
    </w:p>
    <w:p w14:paraId="69530659" w14:textId="77777777" w:rsidR="00311DF4" w:rsidRPr="002A7948" w:rsidRDefault="00311DF4" w:rsidP="002A7948">
      <w:pPr>
        <w:ind w:left="851"/>
        <w:rPr>
          <w:sz w:val="24"/>
          <w:szCs w:val="24"/>
          <w:lang w:val="en-US"/>
        </w:rPr>
      </w:pPr>
      <w:r w:rsidRPr="002A7948">
        <w:rPr>
          <w:sz w:val="24"/>
          <w:szCs w:val="24"/>
          <w:lang w:val="en-US"/>
        </w:rPr>
        <w:t>Reversal of neuromuscular blockade induced by rocuronium or vecuronium in adults.</w:t>
      </w:r>
    </w:p>
    <w:p w14:paraId="31278609" w14:textId="77777777" w:rsidR="00311DF4" w:rsidRPr="002A7948" w:rsidRDefault="00311DF4" w:rsidP="002A7948">
      <w:pPr>
        <w:ind w:left="851"/>
        <w:rPr>
          <w:sz w:val="24"/>
          <w:szCs w:val="24"/>
          <w:lang w:val="en-US"/>
        </w:rPr>
      </w:pPr>
    </w:p>
    <w:p w14:paraId="476C0741" w14:textId="1038C426" w:rsidR="00311DF4" w:rsidRPr="002A7948" w:rsidRDefault="00311DF4" w:rsidP="002A7948">
      <w:pPr>
        <w:ind w:left="851"/>
        <w:rPr>
          <w:sz w:val="24"/>
          <w:szCs w:val="24"/>
          <w:lang w:val="en-US"/>
        </w:rPr>
      </w:pPr>
      <w:r w:rsidRPr="002A7948">
        <w:rPr>
          <w:sz w:val="24"/>
          <w:szCs w:val="24"/>
          <w:lang w:val="en-US"/>
        </w:rPr>
        <w:t xml:space="preserve">For the paediatric population: </w:t>
      </w:r>
      <w:proofErr w:type="spellStart"/>
      <w:r w:rsidRPr="002A7948">
        <w:rPr>
          <w:sz w:val="24"/>
          <w:szCs w:val="24"/>
          <w:lang w:val="en-US"/>
        </w:rPr>
        <w:t>sugammadex</w:t>
      </w:r>
      <w:proofErr w:type="spellEnd"/>
      <w:r w:rsidRPr="002A7948">
        <w:rPr>
          <w:sz w:val="24"/>
          <w:szCs w:val="24"/>
          <w:lang w:val="en-US"/>
        </w:rPr>
        <w:t xml:space="preserve"> is only recommended for routine reversal of rocuronium</w:t>
      </w:r>
      <w:r w:rsidR="00D8692C" w:rsidRPr="002A7948">
        <w:rPr>
          <w:sz w:val="24"/>
          <w:szCs w:val="24"/>
          <w:lang w:val="en-US"/>
        </w:rPr>
        <w:t xml:space="preserve"> </w:t>
      </w:r>
      <w:r w:rsidRPr="002A7948">
        <w:rPr>
          <w:sz w:val="24"/>
          <w:szCs w:val="24"/>
          <w:lang w:val="en-US"/>
        </w:rPr>
        <w:t>induced blockade in children and adolescents aged 2 to 17 years.</w:t>
      </w:r>
    </w:p>
    <w:p w14:paraId="19D13BB3" w14:textId="77777777" w:rsidR="007C5D2A" w:rsidRPr="002A7948" w:rsidRDefault="007C5D2A" w:rsidP="00A85D26">
      <w:pPr>
        <w:tabs>
          <w:tab w:val="left" w:pos="851"/>
        </w:tabs>
        <w:ind w:left="851"/>
        <w:rPr>
          <w:sz w:val="24"/>
          <w:szCs w:val="24"/>
          <w:lang w:val="en-GB"/>
        </w:rPr>
      </w:pPr>
    </w:p>
    <w:p w14:paraId="0AEBF61B" w14:textId="77777777" w:rsidR="007C5D2A" w:rsidRPr="002A7948" w:rsidRDefault="009925C9" w:rsidP="007C5D2A">
      <w:pPr>
        <w:tabs>
          <w:tab w:val="left" w:pos="851"/>
        </w:tabs>
        <w:ind w:left="851" w:hanging="851"/>
        <w:rPr>
          <w:sz w:val="24"/>
          <w:szCs w:val="24"/>
          <w:lang w:val="en-GB"/>
        </w:rPr>
      </w:pPr>
      <w:r w:rsidRPr="002A7948">
        <w:rPr>
          <w:b/>
          <w:sz w:val="24"/>
          <w:szCs w:val="24"/>
          <w:lang w:val="en-GB"/>
        </w:rPr>
        <w:t>4.2</w:t>
      </w:r>
      <w:r w:rsidR="007C5D2A" w:rsidRPr="002A7948">
        <w:rPr>
          <w:b/>
          <w:sz w:val="24"/>
          <w:szCs w:val="24"/>
          <w:lang w:val="en-GB"/>
        </w:rPr>
        <w:tab/>
        <w:t>Posology and method of administration</w:t>
      </w:r>
    </w:p>
    <w:p w14:paraId="7877C117" w14:textId="77777777" w:rsidR="001C0E54" w:rsidRDefault="001C0E54" w:rsidP="002A7948">
      <w:pPr>
        <w:ind w:left="851"/>
        <w:rPr>
          <w:sz w:val="24"/>
          <w:szCs w:val="24"/>
          <w:lang w:val="en-US"/>
        </w:rPr>
      </w:pPr>
    </w:p>
    <w:p w14:paraId="7FFE991A" w14:textId="0585C8DF" w:rsidR="00311DF4" w:rsidRPr="001C0E54" w:rsidRDefault="00311DF4" w:rsidP="002A7948">
      <w:pPr>
        <w:ind w:left="851"/>
        <w:rPr>
          <w:sz w:val="24"/>
          <w:szCs w:val="24"/>
          <w:u w:val="single"/>
          <w:lang w:val="en-US"/>
        </w:rPr>
      </w:pPr>
      <w:r w:rsidRPr="001C0E54">
        <w:rPr>
          <w:sz w:val="24"/>
          <w:szCs w:val="24"/>
          <w:u w:val="single"/>
          <w:lang w:val="en-US"/>
        </w:rPr>
        <w:t>Posology</w:t>
      </w:r>
    </w:p>
    <w:p w14:paraId="65447B3F" w14:textId="77777777" w:rsidR="00311DF4" w:rsidRPr="002A7948" w:rsidRDefault="00311DF4" w:rsidP="002A7948">
      <w:pPr>
        <w:ind w:left="851"/>
        <w:rPr>
          <w:sz w:val="24"/>
          <w:szCs w:val="24"/>
          <w:lang w:val="en-US"/>
        </w:rPr>
      </w:pPr>
    </w:p>
    <w:p w14:paraId="0F390305" w14:textId="77777777"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should only be administered by, or under the supervision of an </w:t>
      </w:r>
      <w:proofErr w:type="spellStart"/>
      <w:r w:rsidRPr="002A7948">
        <w:rPr>
          <w:sz w:val="24"/>
          <w:szCs w:val="24"/>
          <w:lang w:val="en-US"/>
        </w:rPr>
        <w:t>anaesthetist</w:t>
      </w:r>
      <w:proofErr w:type="spellEnd"/>
      <w:r w:rsidRPr="002A7948">
        <w:rPr>
          <w:sz w:val="24"/>
          <w:szCs w:val="24"/>
          <w:lang w:val="en-US"/>
        </w:rPr>
        <w:t>.</w:t>
      </w:r>
    </w:p>
    <w:p w14:paraId="37D03C5B" w14:textId="0ED33C45" w:rsidR="00311DF4" w:rsidRPr="002A7948" w:rsidRDefault="00311DF4" w:rsidP="002A7948">
      <w:pPr>
        <w:ind w:left="851"/>
        <w:rPr>
          <w:sz w:val="24"/>
          <w:szCs w:val="24"/>
          <w:lang w:val="en-US"/>
        </w:rPr>
      </w:pPr>
      <w:r w:rsidRPr="002A7948">
        <w:rPr>
          <w:sz w:val="24"/>
          <w:szCs w:val="24"/>
          <w:lang w:val="en-US"/>
        </w:rPr>
        <w:lastRenderedPageBreak/>
        <w:t>The use of an appropriate neuromuscular monitoring technique is recommended to monitor the</w:t>
      </w:r>
      <w:r w:rsidR="00D8692C" w:rsidRPr="002A7948">
        <w:rPr>
          <w:sz w:val="24"/>
          <w:szCs w:val="24"/>
          <w:lang w:val="en-US"/>
        </w:rPr>
        <w:t xml:space="preserve"> </w:t>
      </w:r>
      <w:r w:rsidRPr="002A7948">
        <w:rPr>
          <w:sz w:val="24"/>
          <w:szCs w:val="24"/>
          <w:lang w:val="en-US"/>
        </w:rPr>
        <w:t>recovery of neuromuscular blockade (see section 4.4).</w:t>
      </w:r>
    </w:p>
    <w:p w14:paraId="347A574E" w14:textId="389E2A1E" w:rsidR="00311DF4" w:rsidRPr="002A7948" w:rsidRDefault="00311DF4" w:rsidP="002A7948">
      <w:pPr>
        <w:ind w:left="851"/>
        <w:rPr>
          <w:sz w:val="24"/>
          <w:szCs w:val="24"/>
          <w:lang w:val="en-US"/>
        </w:rPr>
      </w:pPr>
      <w:r w:rsidRPr="002A7948">
        <w:rPr>
          <w:sz w:val="24"/>
          <w:szCs w:val="24"/>
          <w:lang w:val="en-US"/>
        </w:rPr>
        <w:t xml:space="preserve">The recommended dose of </w:t>
      </w:r>
      <w:proofErr w:type="spellStart"/>
      <w:r w:rsidRPr="002A7948">
        <w:rPr>
          <w:sz w:val="24"/>
          <w:szCs w:val="24"/>
          <w:lang w:val="en-US"/>
        </w:rPr>
        <w:t>sugammadex</w:t>
      </w:r>
      <w:proofErr w:type="spellEnd"/>
      <w:r w:rsidRPr="002A7948">
        <w:rPr>
          <w:sz w:val="24"/>
          <w:szCs w:val="24"/>
          <w:lang w:val="en-US"/>
        </w:rPr>
        <w:t xml:space="preserve"> depends on the level of neuromuscular blockade to be</w:t>
      </w:r>
      <w:r w:rsidR="00D8692C" w:rsidRPr="002A7948">
        <w:rPr>
          <w:sz w:val="24"/>
          <w:szCs w:val="24"/>
          <w:lang w:val="en-US"/>
        </w:rPr>
        <w:t xml:space="preserve"> </w:t>
      </w:r>
      <w:r w:rsidRPr="002A7948">
        <w:rPr>
          <w:sz w:val="24"/>
          <w:szCs w:val="24"/>
          <w:lang w:val="en-US"/>
        </w:rPr>
        <w:t>reversed.</w:t>
      </w:r>
    </w:p>
    <w:p w14:paraId="54742699" w14:textId="77777777" w:rsidR="00311DF4" w:rsidRPr="002A7948" w:rsidRDefault="00311DF4" w:rsidP="002A7948">
      <w:pPr>
        <w:ind w:left="851"/>
        <w:rPr>
          <w:sz w:val="24"/>
          <w:szCs w:val="24"/>
          <w:lang w:val="en-US"/>
        </w:rPr>
      </w:pPr>
      <w:r w:rsidRPr="002A7948">
        <w:rPr>
          <w:sz w:val="24"/>
          <w:szCs w:val="24"/>
          <w:lang w:val="en-US"/>
        </w:rPr>
        <w:t xml:space="preserve">The recommended dose does not depend on the </w:t>
      </w:r>
      <w:proofErr w:type="spellStart"/>
      <w:r w:rsidRPr="002A7948">
        <w:rPr>
          <w:sz w:val="24"/>
          <w:szCs w:val="24"/>
          <w:lang w:val="en-US"/>
        </w:rPr>
        <w:t>anaesthetic</w:t>
      </w:r>
      <w:proofErr w:type="spellEnd"/>
      <w:r w:rsidRPr="002A7948">
        <w:rPr>
          <w:sz w:val="24"/>
          <w:szCs w:val="24"/>
          <w:lang w:val="en-US"/>
        </w:rPr>
        <w:t xml:space="preserve"> regimen.</w:t>
      </w:r>
    </w:p>
    <w:p w14:paraId="3144D221" w14:textId="124F9AFE"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can be used to reverse different levels of rocuronium or vecuronium induced</w:t>
      </w:r>
      <w:r w:rsidR="00D8692C" w:rsidRPr="002A7948">
        <w:rPr>
          <w:sz w:val="24"/>
          <w:szCs w:val="24"/>
          <w:lang w:val="en-US"/>
        </w:rPr>
        <w:t xml:space="preserve"> </w:t>
      </w:r>
      <w:r w:rsidRPr="002A7948">
        <w:rPr>
          <w:sz w:val="24"/>
          <w:szCs w:val="24"/>
          <w:lang w:val="en-US"/>
        </w:rPr>
        <w:t>neuromuscular blockade:</w:t>
      </w:r>
    </w:p>
    <w:p w14:paraId="383E1155" w14:textId="77777777" w:rsidR="00311DF4" w:rsidRPr="002A7948" w:rsidRDefault="00311DF4" w:rsidP="002A7948">
      <w:pPr>
        <w:ind w:left="851"/>
        <w:rPr>
          <w:sz w:val="24"/>
          <w:szCs w:val="24"/>
          <w:lang w:val="en-US"/>
        </w:rPr>
      </w:pPr>
    </w:p>
    <w:p w14:paraId="402BBF73" w14:textId="77777777" w:rsidR="00311DF4" w:rsidRPr="002A7948" w:rsidRDefault="00311DF4" w:rsidP="002A7948">
      <w:pPr>
        <w:ind w:left="851"/>
        <w:rPr>
          <w:i/>
          <w:iCs/>
          <w:sz w:val="24"/>
          <w:szCs w:val="24"/>
          <w:lang w:val="en-US"/>
        </w:rPr>
      </w:pPr>
      <w:r w:rsidRPr="002A7948">
        <w:rPr>
          <w:i/>
          <w:iCs/>
          <w:sz w:val="24"/>
          <w:szCs w:val="24"/>
          <w:lang w:val="en-US"/>
        </w:rPr>
        <w:t>Adults</w:t>
      </w:r>
    </w:p>
    <w:p w14:paraId="695C62E3" w14:textId="77777777" w:rsidR="00311DF4" w:rsidRPr="002A7948" w:rsidRDefault="00311DF4" w:rsidP="002A7948">
      <w:pPr>
        <w:ind w:left="851"/>
        <w:rPr>
          <w:sz w:val="24"/>
          <w:szCs w:val="24"/>
          <w:lang w:val="en-US"/>
        </w:rPr>
      </w:pPr>
    </w:p>
    <w:p w14:paraId="184A7C94" w14:textId="77777777" w:rsidR="00311DF4" w:rsidRPr="001C0E54" w:rsidRDefault="00311DF4" w:rsidP="002A7948">
      <w:pPr>
        <w:ind w:left="851"/>
        <w:rPr>
          <w:sz w:val="24"/>
          <w:szCs w:val="24"/>
          <w:u w:val="single"/>
          <w:lang w:val="en-US"/>
        </w:rPr>
      </w:pPr>
      <w:r w:rsidRPr="001C0E54">
        <w:rPr>
          <w:sz w:val="24"/>
          <w:szCs w:val="24"/>
          <w:u w:val="single"/>
          <w:lang w:val="en-US"/>
        </w:rPr>
        <w:t>Routine reversal:</w:t>
      </w:r>
    </w:p>
    <w:p w14:paraId="09E660D6" w14:textId="243C9959" w:rsidR="00311DF4" w:rsidRPr="002A7948" w:rsidRDefault="00311DF4" w:rsidP="002A7948">
      <w:pPr>
        <w:ind w:left="851"/>
        <w:rPr>
          <w:sz w:val="24"/>
          <w:szCs w:val="24"/>
          <w:lang w:val="en-US"/>
        </w:rPr>
      </w:pPr>
      <w:r w:rsidRPr="002A7948">
        <w:rPr>
          <w:sz w:val="24"/>
          <w:szCs w:val="24"/>
          <w:lang w:val="en-US"/>
        </w:rPr>
        <w:t xml:space="preserve">A dose of 4 mg/kg </w:t>
      </w:r>
      <w:proofErr w:type="spellStart"/>
      <w:r w:rsidRPr="002A7948">
        <w:rPr>
          <w:sz w:val="24"/>
          <w:szCs w:val="24"/>
          <w:lang w:val="en-US"/>
        </w:rPr>
        <w:t>sugammadex</w:t>
      </w:r>
      <w:proofErr w:type="spellEnd"/>
      <w:r w:rsidRPr="002A7948">
        <w:rPr>
          <w:sz w:val="24"/>
          <w:szCs w:val="24"/>
          <w:lang w:val="en-US"/>
        </w:rPr>
        <w:t xml:space="preserve"> is recommended if recovery has reached at least 1-2 post-tetanic</w:t>
      </w:r>
      <w:r w:rsidR="00D8692C" w:rsidRPr="002A7948">
        <w:rPr>
          <w:sz w:val="24"/>
          <w:szCs w:val="24"/>
          <w:lang w:val="en-US"/>
        </w:rPr>
        <w:t xml:space="preserve"> </w:t>
      </w:r>
      <w:r w:rsidRPr="002A7948">
        <w:rPr>
          <w:sz w:val="24"/>
          <w:szCs w:val="24"/>
          <w:lang w:val="en-US"/>
        </w:rPr>
        <w:t>counts (PTC) following rocuronium or vecuronium induced blockade. Median time to recovery of the</w:t>
      </w:r>
      <w:r w:rsidR="00D8692C" w:rsidRPr="002A7948">
        <w:rPr>
          <w:sz w:val="24"/>
          <w:szCs w:val="24"/>
          <w:lang w:val="en-US"/>
        </w:rPr>
        <w:t xml:space="preserve"> </w:t>
      </w:r>
      <w:r w:rsidRPr="002A7948">
        <w:rPr>
          <w:sz w:val="24"/>
          <w:szCs w:val="24"/>
          <w:lang w:val="en-US"/>
        </w:rPr>
        <w:t>T</w:t>
      </w:r>
      <w:r w:rsidRPr="002A7948">
        <w:rPr>
          <w:sz w:val="24"/>
          <w:szCs w:val="24"/>
          <w:vertAlign w:val="subscript"/>
          <w:lang w:val="en-US"/>
        </w:rPr>
        <w:t>4</w:t>
      </w:r>
      <w:r w:rsidRPr="002A7948">
        <w:rPr>
          <w:sz w:val="24"/>
          <w:szCs w:val="24"/>
          <w:lang w:val="en-US"/>
        </w:rPr>
        <w:t>/T</w:t>
      </w:r>
      <w:r w:rsidRPr="002A7948">
        <w:rPr>
          <w:sz w:val="24"/>
          <w:szCs w:val="24"/>
          <w:vertAlign w:val="subscript"/>
          <w:lang w:val="en-US"/>
        </w:rPr>
        <w:t>1</w:t>
      </w:r>
      <w:r w:rsidRPr="002A7948">
        <w:rPr>
          <w:sz w:val="24"/>
          <w:szCs w:val="24"/>
          <w:lang w:val="en-US"/>
        </w:rPr>
        <w:t xml:space="preserve"> ratio to 0.9 is around 3 minutes (see section 5.1).</w:t>
      </w:r>
    </w:p>
    <w:p w14:paraId="23959113" w14:textId="64FA59D8" w:rsidR="00311DF4" w:rsidRPr="002A7948" w:rsidRDefault="00311DF4" w:rsidP="002A7948">
      <w:pPr>
        <w:ind w:left="851"/>
        <w:rPr>
          <w:sz w:val="24"/>
          <w:szCs w:val="24"/>
          <w:lang w:val="en-GB"/>
        </w:rPr>
      </w:pPr>
      <w:r w:rsidRPr="002A7948">
        <w:rPr>
          <w:sz w:val="24"/>
          <w:szCs w:val="24"/>
          <w:lang w:val="en-US"/>
        </w:rPr>
        <w:t xml:space="preserve">A dose of 2 mg/kg </w:t>
      </w:r>
      <w:proofErr w:type="spellStart"/>
      <w:r w:rsidRPr="002A7948">
        <w:rPr>
          <w:sz w:val="24"/>
          <w:szCs w:val="24"/>
          <w:lang w:val="en-US"/>
        </w:rPr>
        <w:t>sugammadex</w:t>
      </w:r>
      <w:proofErr w:type="spellEnd"/>
      <w:r w:rsidRPr="002A7948">
        <w:rPr>
          <w:sz w:val="24"/>
          <w:szCs w:val="24"/>
          <w:lang w:val="en-US"/>
        </w:rPr>
        <w:t xml:space="preserve"> is recommended, if spontaneous recovery has occurred up to at least</w:t>
      </w:r>
      <w:r w:rsidR="00D8692C" w:rsidRPr="002A7948">
        <w:rPr>
          <w:sz w:val="24"/>
          <w:szCs w:val="24"/>
          <w:lang w:val="en-US"/>
        </w:rPr>
        <w:t xml:space="preserve"> </w:t>
      </w:r>
      <w:r w:rsidRPr="002A7948">
        <w:rPr>
          <w:sz w:val="24"/>
          <w:szCs w:val="24"/>
          <w:lang w:val="en-US"/>
        </w:rPr>
        <w:t>the reappearance of T</w:t>
      </w:r>
      <w:r w:rsidRPr="002A7948">
        <w:rPr>
          <w:sz w:val="24"/>
          <w:szCs w:val="24"/>
          <w:vertAlign w:val="subscript"/>
          <w:lang w:val="en-US"/>
        </w:rPr>
        <w:t>2</w:t>
      </w:r>
      <w:r w:rsidRPr="002A7948">
        <w:rPr>
          <w:sz w:val="24"/>
          <w:szCs w:val="24"/>
          <w:lang w:val="en-US"/>
        </w:rPr>
        <w:t xml:space="preserve"> following rocuronium or vecuronium induced blockade. Median time to</w:t>
      </w:r>
      <w:r w:rsidR="00D8692C" w:rsidRPr="002A7948">
        <w:rPr>
          <w:sz w:val="24"/>
          <w:szCs w:val="24"/>
          <w:lang w:val="en-US"/>
        </w:rPr>
        <w:t xml:space="preserve"> </w:t>
      </w:r>
      <w:r w:rsidRPr="002A7948">
        <w:rPr>
          <w:sz w:val="24"/>
          <w:szCs w:val="24"/>
          <w:lang w:val="en-GB"/>
        </w:rPr>
        <w:t>recovery of the T</w:t>
      </w:r>
      <w:r w:rsidRPr="002A7948">
        <w:rPr>
          <w:sz w:val="24"/>
          <w:szCs w:val="24"/>
          <w:vertAlign w:val="subscript"/>
          <w:lang w:val="en-GB"/>
        </w:rPr>
        <w:t>4</w:t>
      </w:r>
      <w:r w:rsidRPr="002A7948">
        <w:rPr>
          <w:sz w:val="24"/>
          <w:szCs w:val="24"/>
          <w:lang w:val="en-GB"/>
        </w:rPr>
        <w:t>/T</w:t>
      </w:r>
      <w:r w:rsidRPr="002A7948">
        <w:rPr>
          <w:sz w:val="24"/>
          <w:szCs w:val="24"/>
          <w:vertAlign w:val="subscript"/>
          <w:lang w:val="en-GB"/>
        </w:rPr>
        <w:t>1</w:t>
      </w:r>
      <w:r w:rsidRPr="002A7948">
        <w:rPr>
          <w:sz w:val="24"/>
          <w:szCs w:val="24"/>
          <w:lang w:val="en-GB"/>
        </w:rPr>
        <w:t xml:space="preserve"> ratio to 0.9 is around 2 minutes (see section 5.1).</w:t>
      </w:r>
    </w:p>
    <w:p w14:paraId="3BEB4D29" w14:textId="77777777" w:rsidR="00311DF4" w:rsidRPr="002A7948" w:rsidRDefault="00311DF4" w:rsidP="002A7948">
      <w:pPr>
        <w:ind w:left="851"/>
        <w:rPr>
          <w:sz w:val="24"/>
          <w:szCs w:val="24"/>
          <w:lang w:val="en-GB"/>
        </w:rPr>
      </w:pPr>
    </w:p>
    <w:p w14:paraId="043ED807" w14:textId="322756A0" w:rsidR="00311DF4" w:rsidRPr="002A7948" w:rsidRDefault="00311DF4" w:rsidP="002A7948">
      <w:pPr>
        <w:ind w:left="851"/>
        <w:rPr>
          <w:sz w:val="24"/>
          <w:szCs w:val="24"/>
          <w:lang w:val="en-US"/>
        </w:rPr>
      </w:pPr>
      <w:r w:rsidRPr="002A7948">
        <w:rPr>
          <w:sz w:val="24"/>
          <w:szCs w:val="24"/>
          <w:lang w:val="en-US"/>
        </w:rPr>
        <w:t>Using the recommended doses for routine reversal will result in a slightly faster median time to</w:t>
      </w:r>
      <w:r w:rsidR="00D8692C" w:rsidRPr="002A7948">
        <w:rPr>
          <w:sz w:val="24"/>
          <w:szCs w:val="24"/>
          <w:lang w:val="en-US"/>
        </w:rPr>
        <w:t xml:space="preserve"> </w:t>
      </w:r>
      <w:r w:rsidRPr="002A7948">
        <w:rPr>
          <w:sz w:val="24"/>
          <w:szCs w:val="24"/>
          <w:lang w:val="en-US"/>
        </w:rPr>
        <w:t>recovery of the T</w:t>
      </w:r>
      <w:r w:rsidRPr="002A7948">
        <w:rPr>
          <w:sz w:val="24"/>
          <w:szCs w:val="24"/>
          <w:vertAlign w:val="subscript"/>
          <w:lang w:val="en-US"/>
        </w:rPr>
        <w:t>4</w:t>
      </w:r>
      <w:r w:rsidRPr="002A7948">
        <w:rPr>
          <w:sz w:val="24"/>
          <w:szCs w:val="24"/>
          <w:lang w:val="en-US"/>
        </w:rPr>
        <w:t>/T</w:t>
      </w:r>
      <w:r w:rsidRPr="002A7948">
        <w:rPr>
          <w:sz w:val="24"/>
          <w:szCs w:val="24"/>
          <w:vertAlign w:val="subscript"/>
          <w:lang w:val="en-US"/>
        </w:rPr>
        <w:t>1</w:t>
      </w:r>
      <w:r w:rsidRPr="002A7948">
        <w:rPr>
          <w:sz w:val="24"/>
          <w:szCs w:val="24"/>
          <w:lang w:val="en-US"/>
        </w:rPr>
        <w:t xml:space="preserve"> ratio to 0.9 of rocuronium when compared to vecuronium induced</w:t>
      </w:r>
      <w:r w:rsidR="00D8692C" w:rsidRPr="002A7948">
        <w:rPr>
          <w:sz w:val="24"/>
          <w:szCs w:val="24"/>
          <w:lang w:val="en-US"/>
        </w:rPr>
        <w:t xml:space="preserve"> </w:t>
      </w:r>
      <w:r w:rsidRPr="002A7948">
        <w:rPr>
          <w:sz w:val="24"/>
          <w:szCs w:val="24"/>
          <w:lang w:val="en-US"/>
        </w:rPr>
        <w:t>neuromuscular blockade (see section 5.1).</w:t>
      </w:r>
    </w:p>
    <w:p w14:paraId="79F2474D" w14:textId="77777777" w:rsidR="00311DF4" w:rsidRPr="002A7948" w:rsidRDefault="00311DF4" w:rsidP="002A7948">
      <w:pPr>
        <w:ind w:left="851"/>
        <w:rPr>
          <w:sz w:val="24"/>
          <w:szCs w:val="24"/>
          <w:lang w:val="en-US"/>
        </w:rPr>
      </w:pPr>
    </w:p>
    <w:p w14:paraId="5EA64F1B" w14:textId="77777777" w:rsidR="00311DF4" w:rsidRPr="001C0E54" w:rsidRDefault="00311DF4" w:rsidP="002A7948">
      <w:pPr>
        <w:ind w:left="851"/>
        <w:rPr>
          <w:sz w:val="24"/>
          <w:szCs w:val="24"/>
          <w:u w:val="single"/>
          <w:lang w:val="en-US"/>
        </w:rPr>
      </w:pPr>
      <w:r w:rsidRPr="001C0E54">
        <w:rPr>
          <w:sz w:val="24"/>
          <w:szCs w:val="24"/>
          <w:u w:val="single"/>
          <w:lang w:val="en-US"/>
        </w:rPr>
        <w:t>Immediate reversal of rocuronium-induced blockade:</w:t>
      </w:r>
    </w:p>
    <w:p w14:paraId="2D359BA5" w14:textId="77777777" w:rsidR="00311DF4" w:rsidRPr="002A7948" w:rsidRDefault="00311DF4" w:rsidP="002A7948">
      <w:pPr>
        <w:ind w:left="851"/>
        <w:rPr>
          <w:sz w:val="24"/>
          <w:szCs w:val="24"/>
          <w:lang w:val="en-US"/>
        </w:rPr>
      </w:pPr>
      <w:r w:rsidRPr="002A7948">
        <w:rPr>
          <w:sz w:val="24"/>
          <w:szCs w:val="24"/>
          <w:lang w:val="en-US"/>
        </w:rPr>
        <w:t xml:space="preserve">If there is a clinical need for immediate reversal following administration of rocuronium a dose of 16 mg/kg </w:t>
      </w:r>
      <w:proofErr w:type="spellStart"/>
      <w:r w:rsidRPr="002A7948">
        <w:rPr>
          <w:sz w:val="24"/>
          <w:szCs w:val="24"/>
          <w:lang w:val="en-US"/>
        </w:rPr>
        <w:t>sugammadex</w:t>
      </w:r>
      <w:proofErr w:type="spellEnd"/>
      <w:r w:rsidRPr="002A7948">
        <w:rPr>
          <w:sz w:val="24"/>
          <w:szCs w:val="24"/>
          <w:lang w:val="en-US"/>
        </w:rPr>
        <w:t xml:space="preserve"> is recommended. When 16 mg/kg </w:t>
      </w:r>
      <w:proofErr w:type="spellStart"/>
      <w:r w:rsidRPr="002A7948">
        <w:rPr>
          <w:sz w:val="24"/>
          <w:szCs w:val="24"/>
          <w:lang w:val="en-US"/>
        </w:rPr>
        <w:t>sugammadex</w:t>
      </w:r>
      <w:proofErr w:type="spellEnd"/>
      <w:r w:rsidRPr="002A7948">
        <w:rPr>
          <w:sz w:val="24"/>
          <w:szCs w:val="24"/>
          <w:lang w:val="en-US"/>
        </w:rPr>
        <w:t xml:space="preserve"> is administered 3 minutes after a bolus dose of 1.2 mg/kg rocuronium bromide, a median time to recovery of the T</w:t>
      </w:r>
      <w:r w:rsidRPr="002A7948">
        <w:rPr>
          <w:sz w:val="24"/>
          <w:szCs w:val="24"/>
          <w:vertAlign w:val="subscript"/>
          <w:lang w:val="en-US"/>
        </w:rPr>
        <w:t>4</w:t>
      </w:r>
      <w:r w:rsidRPr="002A7948">
        <w:rPr>
          <w:sz w:val="24"/>
          <w:szCs w:val="24"/>
          <w:lang w:val="en-US"/>
        </w:rPr>
        <w:t>/T</w:t>
      </w:r>
      <w:r w:rsidRPr="002A7948">
        <w:rPr>
          <w:sz w:val="24"/>
          <w:szCs w:val="24"/>
          <w:vertAlign w:val="subscript"/>
          <w:lang w:val="en-US"/>
        </w:rPr>
        <w:t>1</w:t>
      </w:r>
      <w:r w:rsidRPr="002A7948">
        <w:rPr>
          <w:sz w:val="24"/>
          <w:szCs w:val="24"/>
          <w:lang w:val="en-US"/>
        </w:rPr>
        <w:t xml:space="preserve"> ratio to 0.9 of approximately 1.5 minutes can be expected (see section 5.1).</w:t>
      </w:r>
    </w:p>
    <w:p w14:paraId="437680D6" w14:textId="010EFE66" w:rsidR="00311DF4" w:rsidRPr="002A7948" w:rsidRDefault="00311DF4" w:rsidP="002A7948">
      <w:pPr>
        <w:ind w:left="851"/>
        <w:rPr>
          <w:sz w:val="24"/>
          <w:szCs w:val="24"/>
          <w:lang w:val="en-US"/>
        </w:rPr>
      </w:pPr>
      <w:r w:rsidRPr="002A7948">
        <w:rPr>
          <w:sz w:val="24"/>
          <w:szCs w:val="24"/>
          <w:lang w:val="en-US"/>
        </w:rPr>
        <w:t xml:space="preserve">There is no data to recommend the use of </w:t>
      </w:r>
      <w:proofErr w:type="spellStart"/>
      <w:r w:rsidRPr="002A7948">
        <w:rPr>
          <w:sz w:val="24"/>
          <w:szCs w:val="24"/>
          <w:lang w:val="en-US"/>
        </w:rPr>
        <w:t>sugammadex</w:t>
      </w:r>
      <w:proofErr w:type="spellEnd"/>
      <w:r w:rsidRPr="002A7948">
        <w:rPr>
          <w:sz w:val="24"/>
          <w:szCs w:val="24"/>
          <w:lang w:val="en-US"/>
        </w:rPr>
        <w:t xml:space="preserve"> for immediate reversal following vecuronium</w:t>
      </w:r>
      <w:r w:rsidR="00D8692C" w:rsidRPr="002A7948">
        <w:rPr>
          <w:sz w:val="24"/>
          <w:szCs w:val="24"/>
          <w:lang w:val="en-US"/>
        </w:rPr>
        <w:t xml:space="preserve"> </w:t>
      </w:r>
      <w:r w:rsidRPr="002A7948">
        <w:rPr>
          <w:sz w:val="24"/>
          <w:szCs w:val="24"/>
          <w:lang w:val="en-US"/>
        </w:rPr>
        <w:t>induced blockade.</w:t>
      </w:r>
    </w:p>
    <w:p w14:paraId="34396F07" w14:textId="77777777" w:rsidR="00311DF4" w:rsidRPr="002A7948" w:rsidRDefault="00311DF4" w:rsidP="002A7948">
      <w:pPr>
        <w:ind w:left="851"/>
        <w:rPr>
          <w:sz w:val="24"/>
          <w:szCs w:val="24"/>
          <w:lang w:val="en-US"/>
        </w:rPr>
      </w:pPr>
    </w:p>
    <w:p w14:paraId="1A653EDB" w14:textId="77777777" w:rsidR="00311DF4" w:rsidRPr="001C0E54" w:rsidRDefault="00311DF4" w:rsidP="002A7948">
      <w:pPr>
        <w:ind w:left="851"/>
        <w:rPr>
          <w:sz w:val="24"/>
          <w:szCs w:val="24"/>
          <w:u w:val="single"/>
          <w:lang w:val="en-US"/>
        </w:rPr>
      </w:pPr>
      <w:r w:rsidRPr="001C0E54">
        <w:rPr>
          <w:sz w:val="24"/>
          <w:szCs w:val="24"/>
          <w:u w:val="single"/>
          <w:lang w:val="en-US"/>
        </w:rPr>
        <w:t xml:space="preserve">Re-administration of </w:t>
      </w:r>
      <w:proofErr w:type="spellStart"/>
      <w:r w:rsidRPr="001C0E54">
        <w:rPr>
          <w:sz w:val="24"/>
          <w:szCs w:val="24"/>
          <w:u w:val="single"/>
          <w:lang w:val="en-US"/>
        </w:rPr>
        <w:t>sugammadex</w:t>
      </w:r>
      <w:proofErr w:type="spellEnd"/>
      <w:r w:rsidRPr="001C0E54">
        <w:rPr>
          <w:sz w:val="24"/>
          <w:szCs w:val="24"/>
          <w:u w:val="single"/>
          <w:lang w:val="en-US"/>
        </w:rPr>
        <w:t>:</w:t>
      </w:r>
    </w:p>
    <w:p w14:paraId="39290CD5" w14:textId="77777777" w:rsidR="00311DF4" w:rsidRPr="002A7948" w:rsidRDefault="00311DF4" w:rsidP="002A7948">
      <w:pPr>
        <w:ind w:left="851"/>
        <w:rPr>
          <w:sz w:val="24"/>
          <w:szCs w:val="24"/>
          <w:lang w:val="en-US"/>
        </w:rPr>
      </w:pPr>
      <w:r w:rsidRPr="002A7948">
        <w:rPr>
          <w:sz w:val="24"/>
          <w:szCs w:val="24"/>
          <w:lang w:val="en-US"/>
        </w:rPr>
        <w:t xml:space="preserve">In the exceptional situation of recurrence of neuromuscular blockade post-operatively (see section 4.4) after an initial dose of 2 mg/kg or 4 mg/kg </w:t>
      </w:r>
      <w:proofErr w:type="spellStart"/>
      <w:r w:rsidRPr="002A7948">
        <w:rPr>
          <w:sz w:val="24"/>
          <w:szCs w:val="24"/>
          <w:lang w:val="en-US"/>
        </w:rPr>
        <w:t>sugammadex</w:t>
      </w:r>
      <w:proofErr w:type="spellEnd"/>
      <w:r w:rsidRPr="002A7948">
        <w:rPr>
          <w:sz w:val="24"/>
          <w:szCs w:val="24"/>
          <w:lang w:val="en-US"/>
        </w:rPr>
        <w:t xml:space="preserve">, a repeat dose of 4 mg/kg </w:t>
      </w:r>
      <w:proofErr w:type="spellStart"/>
      <w:r w:rsidRPr="002A7948">
        <w:rPr>
          <w:sz w:val="24"/>
          <w:szCs w:val="24"/>
          <w:lang w:val="en-US"/>
        </w:rPr>
        <w:t>sugammadex</w:t>
      </w:r>
      <w:proofErr w:type="spellEnd"/>
      <w:r w:rsidRPr="002A7948">
        <w:rPr>
          <w:sz w:val="24"/>
          <w:szCs w:val="24"/>
          <w:lang w:val="en-US"/>
        </w:rPr>
        <w:t xml:space="preserve"> is recommended. Following a second dose of </w:t>
      </w:r>
      <w:proofErr w:type="spellStart"/>
      <w:r w:rsidRPr="002A7948">
        <w:rPr>
          <w:sz w:val="24"/>
          <w:szCs w:val="24"/>
          <w:lang w:val="en-US"/>
        </w:rPr>
        <w:t>sugammadex</w:t>
      </w:r>
      <w:proofErr w:type="spellEnd"/>
      <w:r w:rsidRPr="002A7948">
        <w:rPr>
          <w:sz w:val="24"/>
          <w:szCs w:val="24"/>
          <w:lang w:val="en-US"/>
        </w:rPr>
        <w:t>, the patient should be closely monitored to ascertain sustained return of neuromuscular function.</w:t>
      </w:r>
    </w:p>
    <w:p w14:paraId="76DE26D6" w14:textId="77777777" w:rsidR="00311DF4" w:rsidRPr="002A7948" w:rsidRDefault="00311DF4" w:rsidP="002A7948">
      <w:pPr>
        <w:ind w:left="851"/>
        <w:rPr>
          <w:sz w:val="24"/>
          <w:szCs w:val="24"/>
          <w:lang w:val="en-US"/>
        </w:rPr>
      </w:pPr>
    </w:p>
    <w:p w14:paraId="4384C951" w14:textId="77777777" w:rsidR="00311DF4" w:rsidRPr="001C0E54" w:rsidRDefault="00311DF4" w:rsidP="002A7948">
      <w:pPr>
        <w:ind w:left="851"/>
        <w:rPr>
          <w:sz w:val="24"/>
          <w:szCs w:val="24"/>
          <w:u w:val="single"/>
          <w:lang w:val="en-US"/>
        </w:rPr>
      </w:pPr>
      <w:r w:rsidRPr="001C0E54">
        <w:rPr>
          <w:sz w:val="24"/>
          <w:szCs w:val="24"/>
          <w:u w:val="single"/>
          <w:lang w:val="en-US"/>
        </w:rPr>
        <w:t xml:space="preserve">Re-administration of rocuronium or vecuronium after </w:t>
      </w:r>
      <w:proofErr w:type="spellStart"/>
      <w:r w:rsidRPr="001C0E54">
        <w:rPr>
          <w:sz w:val="24"/>
          <w:szCs w:val="24"/>
          <w:u w:val="single"/>
          <w:lang w:val="en-US"/>
        </w:rPr>
        <w:t>sugammadex</w:t>
      </w:r>
      <w:proofErr w:type="spellEnd"/>
      <w:r w:rsidRPr="001C0E54">
        <w:rPr>
          <w:sz w:val="24"/>
          <w:szCs w:val="24"/>
          <w:u w:val="single"/>
          <w:lang w:val="en-US"/>
        </w:rPr>
        <w:t>:</w:t>
      </w:r>
    </w:p>
    <w:p w14:paraId="582BFFB7" w14:textId="77777777" w:rsidR="00311DF4" w:rsidRPr="002A7948" w:rsidRDefault="00311DF4" w:rsidP="002A7948">
      <w:pPr>
        <w:ind w:left="851"/>
        <w:rPr>
          <w:sz w:val="24"/>
          <w:szCs w:val="24"/>
          <w:lang w:val="en-US"/>
        </w:rPr>
      </w:pPr>
      <w:r w:rsidRPr="002A7948">
        <w:rPr>
          <w:sz w:val="24"/>
          <w:szCs w:val="24"/>
          <w:lang w:val="en-US"/>
        </w:rPr>
        <w:t xml:space="preserve">For waiting times for re-administration of rocuronium or vecuronium after reversal with </w:t>
      </w:r>
      <w:proofErr w:type="spellStart"/>
      <w:r w:rsidRPr="002A7948">
        <w:rPr>
          <w:sz w:val="24"/>
          <w:szCs w:val="24"/>
          <w:lang w:val="en-US"/>
        </w:rPr>
        <w:t>sugammadex</w:t>
      </w:r>
      <w:proofErr w:type="spellEnd"/>
      <w:r w:rsidRPr="002A7948">
        <w:rPr>
          <w:sz w:val="24"/>
          <w:szCs w:val="24"/>
          <w:lang w:val="en-US"/>
        </w:rPr>
        <w:t>, see section 4.4.</w:t>
      </w:r>
    </w:p>
    <w:p w14:paraId="2AFE00C6" w14:textId="77777777" w:rsidR="00311DF4" w:rsidRPr="002A7948" w:rsidRDefault="00311DF4" w:rsidP="002A7948">
      <w:pPr>
        <w:ind w:left="851"/>
        <w:rPr>
          <w:sz w:val="24"/>
          <w:szCs w:val="24"/>
          <w:lang w:val="en-US"/>
        </w:rPr>
      </w:pPr>
    </w:p>
    <w:p w14:paraId="6D7077FB" w14:textId="77777777" w:rsidR="00311DF4" w:rsidRPr="002A7948" w:rsidRDefault="00311DF4" w:rsidP="002A7948">
      <w:pPr>
        <w:ind w:left="851"/>
        <w:rPr>
          <w:i/>
          <w:iCs/>
          <w:sz w:val="24"/>
          <w:szCs w:val="24"/>
          <w:lang w:val="en-US"/>
        </w:rPr>
      </w:pPr>
      <w:r w:rsidRPr="002A7948">
        <w:rPr>
          <w:i/>
          <w:iCs/>
          <w:sz w:val="24"/>
          <w:szCs w:val="24"/>
          <w:lang w:val="en-US"/>
        </w:rPr>
        <w:t>Additional information on special population</w:t>
      </w:r>
    </w:p>
    <w:p w14:paraId="0EB7C00A" w14:textId="77777777" w:rsidR="00311DF4" w:rsidRPr="002A7948" w:rsidRDefault="00311DF4" w:rsidP="002A7948">
      <w:pPr>
        <w:ind w:left="851"/>
        <w:rPr>
          <w:i/>
          <w:iCs/>
          <w:sz w:val="24"/>
          <w:szCs w:val="24"/>
          <w:lang w:val="en-US"/>
        </w:rPr>
      </w:pPr>
    </w:p>
    <w:p w14:paraId="3A4EE9D1" w14:textId="77777777" w:rsidR="00311DF4" w:rsidRPr="001C0E54" w:rsidRDefault="00311DF4" w:rsidP="002A7948">
      <w:pPr>
        <w:ind w:left="851"/>
        <w:rPr>
          <w:sz w:val="24"/>
          <w:szCs w:val="24"/>
          <w:u w:val="single"/>
          <w:lang w:val="en-US"/>
        </w:rPr>
      </w:pPr>
      <w:r w:rsidRPr="001C0E54">
        <w:rPr>
          <w:sz w:val="24"/>
          <w:szCs w:val="24"/>
          <w:u w:val="single"/>
          <w:lang w:val="en-US"/>
        </w:rPr>
        <w:t>Renal impairment:</w:t>
      </w:r>
    </w:p>
    <w:p w14:paraId="006CDAE2" w14:textId="77777777" w:rsidR="00311DF4" w:rsidRPr="002A7948" w:rsidRDefault="00311DF4" w:rsidP="002A7948">
      <w:pPr>
        <w:ind w:left="851"/>
        <w:rPr>
          <w:sz w:val="24"/>
          <w:szCs w:val="24"/>
          <w:lang w:val="en-US"/>
        </w:rPr>
      </w:pPr>
      <w:r w:rsidRPr="002A7948">
        <w:rPr>
          <w:sz w:val="24"/>
          <w:szCs w:val="24"/>
          <w:lang w:val="en-US"/>
        </w:rPr>
        <w:t xml:space="preserve">The use of </w:t>
      </w:r>
      <w:proofErr w:type="spellStart"/>
      <w:r w:rsidRPr="002A7948">
        <w:rPr>
          <w:sz w:val="24"/>
          <w:szCs w:val="24"/>
          <w:lang w:val="en-US"/>
        </w:rPr>
        <w:t>sugammadex</w:t>
      </w:r>
      <w:proofErr w:type="spellEnd"/>
      <w:r w:rsidRPr="002A7948">
        <w:rPr>
          <w:sz w:val="24"/>
          <w:szCs w:val="24"/>
          <w:lang w:val="en-US"/>
        </w:rPr>
        <w:t xml:space="preserve"> in patients with severe renal impairment (including patients requiring dialysis (</w:t>
      </w:r>
      <w:proofErr w:type="spellStart"/>
      <w:r w:rsidRPr="002A7948">
        <w:rPr>
          <w:sz w:val="24"/>
          <w:szCs w:val="24"/>
          <w:lang w:val="en-US"/>
        </w:rPr>
        <w:t>CrCl</w:t>
      </w:r>
      <w:proofErr w:type="spellEnd"/>
      <w:r w:rsidRPr="002A7948">
        <w:rPr>
          <w:sz w:val="24"/>
          <w:szCs w:val="24"/>
          <w:lang w:val="en-US"/>
        </w:rPr>
        <w:t xml:space="preserve"> &lt; 30 mL/min)) is not recommended (see section 4.4).</w:t>
      </w:r>
    </w:p>
    <w:p w14:paraId="6B15CF6A" w14:textId="77777777" w:rsidR="00311DF4" w:rsidRPr="002A7948" w:rsidRDefault="00311DF4" w:rsidP="002A7948">
      <w:pPr>
        <w:ind w:left="851"/>
        <w:rPr>
          <w:sz w:val="24"/>
          <w:szCs w:val="24"/>
          <w:lang w:val="en-US"/>
        </w:rPr>
      </w:pPr>
      <w:r w:rsidRPr="002A7948">
        <w:rPr>
          <w:sz w:val="24"/>
          <w:szCs w:val="24"/>
          <w:lang w:val="en-US"/>
        </w:rPr>
        <w:t xml:space="preserve">Studies in patients with severe renal impairment do not provide sufficient safety information to support the use of </w:t>
      </w:r>
      <w:proofErr w:type="spellStart"/>
      <w:r w:rsidRPr="002A7948">
        <w:rPr>
          <w:sz w:val="24"/>
          <w:szCs w:val="24"/>
          <w:lang w:val="en-US"/>
        </w:rPr>
        <w:t>sugammadex</w:t>
      </w:r>
      <w:proofErr w:type="spellEnd"/>
      <w:r w:rsidRPr="002A7948">
        <w:rPr>
          <w:sz w:val="24"/>
          <w:szCs w:val="24"/>
          <w:lang w:val="en-US"/>
        </w:rPr>
        <w:t xml:space="preserve"> in these patients (see also section 5.1).</w:t>
      </w:r>
    </w:p>
    <w:p w14:paraId="5A30C657" w14:textId="00F9EFDF" w:rsidR="00311DF4" w:rsidRPr="002A7948" w:rsidRDefault="00311DF4" w:rsidP="002A7948">
      <w:pPr>
        <w:ind w:left="851"/>
        <w:rPr>
          <w:sz w:val="24"/>
          <w:szCs w:val="24"/>
          <w:lang w:val="en-US"/>
        </w:rPr>
      </w:pPr>
      <w:r w:rsidRPr="002A7948">
        <w:rPr>
          <w:sz w:val="24"/>
          <w:szCs w:val="24"/>
          <w:lang w:val="en-US"/>
        </w:rPr>
        <w:t>For mild and moderate renal impairment (creatinine clearance ≥ 30 and &lt; 80 mL/min): the dose</w:t>
      </w:r>
      <w:r w:rsidR="00D8692C" w:rsidRPr="002A7948">
        <w:rPr>
          <w:sz w:val="24"/>
          <w:szCs w:val="24"/>
          <w:lang w:val="en-US"/>
        </w:rPr>
        <w:t xml:space="preserve"> </w:t>
      </w:r>
      <w:r w:rsidRPr="002A7948">
        <w:rPr>
          <w:sz w:val="24"/>
          <w:szCs w:val="24"/>
          <w:lang w:val="en-US"/>
        </w:rPr>
        <w:t>recommendations are the same as for adults without renal impairment.</w:t>
      </w:r>
    </w:p>
    <w:p w14:paraId="1C35D99D" w14:textId="77777777" w:rsidR="00311DF4" w:rsidRPr="002A7948" w:rsidRDefault="00311DF4" w:rsidP="002A7948">
      <w:pPr>
        <w:ind w:left="851"/>
        <w:rPr>
          <w:sz w:val="24"/>
          <w:szCs w:val="24"/>
          <w:lang w:val="en-US"/>
        </w:rPr>
      </w:pPr>
    </w:p>
    <w:p w14:paraId="58EA25FD" w14:textId="77777777" w:rsidR="00311DF4" w:rsidRPr="001C0E54" w:rsidRDefault="00311DF4" w:rsidP="002A7948">
      <w:pPr>
        <w:ind w:left="851"/>
        <w:rPr>
          <w:sz w:val="24"/>
          <w:szCs w:val="24"/>
          <w:u w:val="single"/>
          <w:lang w:val="en-US"/>
        </w:rPr>
      </w:pPr>
      <w:r w:rsidRPr="001C0E54">
        <w:rPr>
          <w:sz w:val="24"/>
          <w:szCs w:val="24"/>
          <w:u w:val="single"/>
          <w:lang w:val="en-US"/>
        </w:rPr>
        <w:t>Elderly patients:</w:t>
      </w:r>
    </w:p>
    <w:p w14:paraId="29C03F77" w14:textId="77777777" w:rsidR="00311DF4" w:rsidRPr="002A7948" w:rsidRDefault="00311DF4" w:rsidP="002A7948">
      <w:pPr>
        <w:ind w:left="851"/>
        <w:rPr>
          <w:sz w:val="24"/>
          <w:szCs w:val="24"/>
          <w:lang w:val="en-US"/>
        </w:rPr>
      </w:pPr>
      <w:r w:rsidRPr="002A7948">
        <w:rPr>
          <w:sz w:val="24"/>
          <w:szCs w:val="24"/>
          <w:lang w:val="en-US"/>
        </w:rPr>
        <w:t xml:space="preserve">After administration of </w:t>
      </w:r>
      <w:proofErr w:type="spellStart"/>
      <w:r w:rsidRPr="002A7948">
        <w:rPr>
          <w:sz w:val="24"/>
          <w:szCs w:val="24"/>
          <w:lang w:val="en-US"/>
        </w:rPr>
        <w:t>sugammadex</w:t>
      </w:r>
      <w:proofErr w:type="spellEnd"/>
      <w:r w:rsidRPr="002A7948">
        <w:rPr>
          <w:sz w:val="24"/>
          <w:szCs w:val="24"/>
          <w:lang w:val="en-US"/>
        </w:rPr>
        <w:t xml:space="preserve"> at reappearance of T</w:t>
      </w:r>
      <w:r w:rsidRPr="002A7948">
        <w:rPr>
          <w:sz w:val="24"/>
          <w:szCs w:val="24"/>
          <w:vertAlign w:val="subscript"/>
          <w:lang w:val="en-US"/>
        </w:rPr>
        <w:t>2</w:t>
      </w:r>
      <w:r w:rsidRPr="002A7948">
        <w:rPr>
          <w:sz w:val="24"/>
          <w:szCs w:val="24"/>
          <w:lang w:val="en-US"/>
        </w:rPr>
        <w:t xml:space="preserve"> following a rocuronium induced blockade, the median time to recovery of the T</w:t>
      </w:r>
      <w:r w:rsidRPr="002A7948">
        <w:rPr>
          <w:sz w:val="24"/>
          <w:szCs w:val="24"/>
          <w:vertAlign w:val="subscript"/>
          <w:lang w:val="en-US"/>
        </w:rPr>
        <w:t>4</w:t>
      </w:r>
      <w:r w:rsidRPr="002A7948">
        <w:rPr>
          <w:sz w:val="24"/>
          <w:szCs w:val="24"/>
          <w:lang w:val="en-US"/>
        </w:rPr>
        <w:t>/T</w:t>
      </w:r>
      <w:r w:rsidRPr="002A7948">
        <w:rPr>
          <w:sz w:val="24"/>
          <w:szCs w:val="24"/>
          <w:vertAlign w:val="subscript"/>
          <w:lang w:val="en-US"/>
        </w:rPr>
        <w:t>1</w:t>
      </w:r>
      <w:r w:rsidRPr="002A7948">
        <w:rPr>
          <w:sz w:val="24"/>
          <w:szCs w:val="24"/>
          <w:lang w:val="en-US"/>
        </w:rPr>
        <w:t xml:space="preserve"> ratio to 0.9 in adults (18-64 years) was 2.2 minutes, in elderly adults (65-74 years) it was 2.6 minutes and in very elderly adults (75 years or more) it was 3.6 minutes. Even though the recovery times in elderly tend to be slower, the same dose recommendation as for adults should be followed (see section 4.4).</w:t>
      </w:r>
    </w:p>
    <w:p w14:paraId="4F4F88ED" w14:textId="77777777" w:rsidR="00311DF4" w:rsidRPr="002A7948" w:rsidRDefault="00311DF4" w:rsidP="002A7948">
      <w:pPr>
        <w:ind w:left="851"/>
        <w:rPr>
          <w:sz w:val="24"/>
          <w:szCs w:val="24"/>
          <w:lang w:val="en-US"/>
        </w:rPr>
      </w:pPr>
    </w:p>
    <w:p w14:paraId="3944DDFD" w14:textId="77777777" w:rsidR="00311DF4" w:rsidRPr="001C0E54" w:rsidRDefault="00311DF4" w:rsidP="002A7948">
      <w:pPr>
        <w:ind w:left="851"/>
        <w:rPr>
          <w:sz w:val="24"/>
          <w:szCs w:val="24"/>
          <w:u w:val="single"/>
          <w:lang w:val="en-US"/>
        </w:rPr>
      </w:pPr>
      <w:r w:rsidRPr="001C0E54">
        <w:rPr>
          <w:sz w:val="24"/>
          <w:szCs w:val="24"/>
          <w:u w:val="single"/>
          <w:lang w:val="en-US"/>
        </w:rPr>
        <w:t>Obese patients:</w:t>
      </w:r>
    </w:p>
    <w:p w14:paraId="3750ED37" w14:textId="6A0BB1BA" w:rsidR="00311DF4" w:rsidRPr="002A7948" w:rsidRDefault="00311DF4" w:rsidP="002A7948">
      <w:pPr>
        <w:ind w:left="851"/>
        <w:rPr>
          <w:sz w:val="24"/>
          <w:szCs w:val="24"/>
          <w:lang w:val="en-US"/>
        </w:rPr>
      </w:pPr>
      <w:r w:rsidRPr="002A7948">
        <w:rPr>
          <w:sz w:val="24"/>
          <w:szCs w:val="24"/>
          <w:lang w:val="en-US"/>
        </w:rPr>
        <w:t>In obese patients, including morbidly obese patients (body mass index ≥ 40 kg/m</w:t>
      </w:r>
      <w:r w:rsidRPr="002A7948">
        <w:rPr>
          <w:sz w:val="24"/>
          <w:szCs w:val="24"/>
          <w:vertAlign w:val="superscript"/>
          <w:lang w:val="en-US"/>
        </w:rPr>
        <w:t>2</w:t>
      </w:r>
      <w:r w:rsidRPr="002A7948">
        <w:rPr>
          <w:sz w:val="24"/>
          <w:szCs w:val="24"/>
          <w:lang w:val="en-US"/>
        </w:rPr>
        <w:t xml:space="preserve">), the dose of </w:t>
      </w:r>
      <w:proofErr w:type="spellStart"/>
      <w:r w:rsidRPr="002A7948">
        <w:rPr>
          <w:sz w:val="24"/>
          <w:szCs w:val="24"/>
          <w:lang w:val="en-US"/>
        </w:rPr>
        <w:t>sugammadex</w:t>
      </w:r>
      <w:proofErr w:type="spellEnd"/>
      <w:r w:rsidRPr="002A7948">
        <w:rPr>
          <w:sz w:val="24"/>
          <w:szCs w:val="24"/>
          <w:lang w:val="en-US"/>
        </w:rPr>
        <w:t xml:space="preserve"> should be based on actual body weight. The same dose recommendations as for adults</w:t>
      </w:r>
      <w:r w:rsidR="00021333">
        <w:rPr>
          <w:sz w:val="24"/>
          <w:szCs w:val="24"/>
          <w:lang w:val="en-US"/>
        </w:rPr>
        <w:t xml:space="preserve"> </w:t>
      </w:r>
      <w:r w:rsidRPr="002A7948">
        <w:rPr>
          <w:sz w:val="24"/>
          <w:szCs w:val="24"/>
          <w:lang w:val="en-US"/>
        </w:rPr>
        <w:t>should be followed.</w:t>
      </w:r>
    </w:p>
    <w:p w14:paraId="36A92A60" w14:textId="77777777" w:rsidR="00311DF4" w:rsidRPr="002A7948" w:rsidRDefault="00311DF4" w:rsidP="002A7948">
      <w:pPr>
        <w:ind w:left="851"/>
        <w:rPr>
          <w:sz w:val="24"/>
          <w:szCs w:val="24"/>
          <w:lang w:val="en-US"/>
        </w:rPr>
      </w:pPr>
    </w:p>
    <w:p w14:paraId="12CB8516" w14:textId="77777777" w:rsidR="00311DF4" w:rsidRPr="001C0E54" w:rsidRDefault="00311DF4" w:rsidP="002A7948">
      <w:pPr>
        <w:ind w:left="851"/>
        <w:rPr>
          <w:sz w:val="24"/>
          <w:szCs w:val="24"/>
          <w:u w:val="single"/>
          <w:lang w:val="en-US"/>
        </w:rPr>
      </w:pPr>
      <w:r w:rsidRPr="001C0E54">
        <w:rPr>
          <w:sz w:val="24"/>
          <w:szCs w:val="24"/>
          <w:u w:val="single"/>
          <w:lang w:val="en-US"/>
        </w:rPr>
        <w:t>Hepatic impairment:</w:t>
      </w:r>
    </w:p>
    <w:p w14:paraId="24BD5929" w14:textId="77777777" w:rsidR="00311DF4" w:rsidRPr="002A7948" w:rsidRDefault="00311DF4" w:rsidP="002A7948">
      <w:pPr>
        <w:ind w:left="851"/>
        <w:rPr>
          <w:sz w:val="24"/>
          <w:szCs w:val="24"/>
          <w:lang w:val="en-US"/>
        </w:rPr>
      </w:pPr>
      <w:r w:rsidRPr="002A7948">
        <w:rPr>
          <w:sz w:val="24"/>
          <w:szCs w:val="24"/>
          <w:lang w:val="en-US"/>
        </w:rPr>
        <w:t xml:space="preserve">Studies in patients with hepatic impairment have not been conducted. Caution should be exercised when considering the use of </w:t>
      </w:r>
      <w:proofErr w:type="spellStart"/>
      <w:r w:rsidRPr="002A7948">
        <w:rPr>
          <w:sz w:val="24"/>
          <w:szCs w:val="24"/>
          <w:lang w:val="en-US"/>
        </w:rPr>
        <w:t>sugammadex</w:t>
      </w:r>
      <w:proofErr w:type="spellEnd"/>
      <w:r w:rsidRPr="002A7948">
        <w:rPr>
          <w:sz w:val="24"/>
          <w:szCs w:val="24"/>
          <w:lang w:val="en-US"/>
        </w:rPr>
        <w:t xml:space="preserve"> in patients with severe hepatic impairment or when hepatic impairment is accompanied by coagulopathy (see section 4.4).</w:t>
      </w:r>
    </w:p>
    <w:p w14:paraId="0F124E44" w14:textId="77777777" w:rsidR="00311DF4" w:rsidRPr="002A7948" w:rsidRDefault="00311DF4" w:rsidP="002A7948">
      <w:pPr>
        <w:ind w:left="851"/>
        <w:rPr>
          <w:sz w:val="24"/>
          <w:szCs w:val="24"/>
          <w:lang w:val="en-US"/>
        </w:rPr>
      </w:pPr>
    </w:p>
    <w:p w14:paraId="4C514E69" w14:textId="77777777" w:rsidR="00311DF4" w:rsidRPr="002A7948" w:rsidRDefault="00311DF4" w:rsidP="002A7948">
      <w:pPr>
        <w:ind w:left="851"/>
        <w:rPr>
          <w:sz w:val="24"/>
          <w:szCs w:val="24"/>
          <w:lang w:val="en-US"/>
        </w:rPr>
      </w:pPr>
      <w:r w:rsidRPr="002A7948">
        <w:rPr>
          <w:sz w:val="24"/>
          <w:szCs w:val="24"/>
          <w:lang w:val="en-US"/>
        </w:rPr>
        <w:t xml:space="preserve">For mild to moderate hepatic impairment: as </w:t>
      </w:r>
      <w:proofErr w:type="spellStart"/>
      <w:r w:rsidRPr="002A7948">
        <w:rPr>
          <w:sz w:val="24"/>
          <w:szCs w:val="24"/>
          <w:lang w:val="en-US"/>
        </w:rPr>
        <w:t>sugammadex</w:t>
      </w:r>
      <w:proofErr w:type="spellEnd"/>
      <w:r w:rsidRPr="002A7948">
        <w:rPr>
          <w:sz w:val="24"/>
          <w:szCs w:val="24"/>
          <w:lang w:val="en-US"/>
        </w:rPr>
        <w:t xml:space="preserve"> is mainly excreted renally no dose adjustments are required.</w:t>
      </w:r>
    </w:p>
    <w:p w14:paraId="6639E576" w14:textId="77777777" w:rsidR="00311DF4" w:rsidRPr="002A7948" w:rsidRDefault="00311DF4" w:rsidP="002A7948">
      <w:pPr>
        <w:ind w:left="851"/>
        <w:rPr>
          <w:sz w:val="24"/>
          <w:szCs w:val="24"/>
          <w:lang w:val="en-US"/>
        </w:rPr>
      </w:pPr>
    </w:p>
    <w:p w14:paraId="5624DF78" w14:textId="77777777" w:rsidR="00311DF4" w:rsidRPr="002A7948" w:rsidRDefault="00311DF4" w:rsidP="002A7948">
      <w:pPr>
        <w:ind w:left="851"/>
        <w:rPr>
          <w:i/>
          <w:sz w:val="24"/>
          <w:szCs w:val="24"/>
          <w:lang w:val="en-US"/>
        </w:rPr>
      </w:pPr>
      <w:r w:rsidRPr="002A7948">
        <w:rPr>
          <w:i/>
          <w:sz w:val="24"/>
          <w:szCs w:val="24"/>
          <w:lang w:val="en-US"/>
        </w:rPr>
        <w:t>Paediatric population</w:t>
      </w:r>
    </w:p>
    <w:p w14:paraId="5F9DE53E" w14:textId="77777777" w:rsidR="00311DF4" w:rsidRPr="002A7948" w:rsidRDefault="00311DF4" w:rsidP="002A7948">
      <w:pPr>
        <w:ind w:left="851"/>
        <w:rPr>
          <w:sz w:val="24"/>
          <w:szCs w:val="24"/>
          <w:lang w:val="en-US"/>
        </w:rPr>
      </w:pPr>
    </w:p>
    <w:p w14:paraId="40672A54" w14:textId="77777777" w:rsidR="00311DF4" w:rsidRPr="001C0E54" w:rsidRDefault="00311DF4" w:rsidP="002A7948">
      <w:pPr>
        <w:ind w:left="851"/>
        <w:rPr>
          <w:sz w:val="24"/>
          <w:szCs w:val="24"/>
          <w:u w:val="single"/>
          <w:lang w:val="en-US"/>
        </w:rPr>
      </w:pPr>
      <w:r w:rsidRPr="001C0E54">
        <w:rPr>
          <w:sz w:val="24"/>
          <w:szCs w:val="24"/>
          <w:u w:val="single"/>
          <w:lang w:val="en-US"/>
        </w:rPr>
        <w:t>Children and adolescents (2-17 years):</w:t>
      </w:r>
    </w:p>
    <w:p w14:paraId="50CFC071" w14:textId="77777777" w:rsidR="00311DF4" w:rsidRPr="002A7948" w:rsidRDefault="00311DF4" w:rsidP="002A7948">
      <w:pPr>
        <w:ind w:left="851"/>
        <w:rPr>
          <w:sz w:val="24"/>
          <w:szCs w:val="24"/>
          <w:lang w:val="en-US"/>
        </w:rPr>
      </w:pPr>
    </w:p>
    <w:p w14:paraId="4D16866B" w14:textId="4C241B31" w:rsidR="00311DF4" w:rsidRPr="002A7948" w:rsidRDefault="001C0E54" w:rsidP="002A7948">
      <w:pPr>
        <w:ind w:left="851"/>
        <w:rPr>
          <w:sz w:val="24"/>
          <w:szCs w:val="24"/>
          <w:lang w:val="en-US"/>
        </w:rPr>
      </w:pPr>
      <w:proofErr w:type="spellStart"/>
      <w:r>
        <w:rPr>
          <w:sz w:val="24"/>
          <w:szCs w:val="24"/>
          <w:lang w:val="en-US"/>
        </w:rPr>
        <w:t>Sugammadex</w:t>
      </w:r>
      <w:proofErr w:type="spellEnd"/>
      <w:r>
        <w:rPr>
          <w:sz w:val="24"/>
          <w:szCs w:val="24"/>
          <w:lang w:val="en-US"/>
        </w:rPr>
        <w:t xml:space="preserve"> "</w:t>
      </w:r>
      <w:proofErr w:type="spellStart"/>
      <w:r>
        <w:rPr>
          <w:sz w:val="24"/>
          <w:szCs w:val="24"/>
          <w:lang w:val="en-US"/>
        </w:rPr>
        <w:t>Atnahs</w:t>
      </w:r>
      <w:proofErr w:type="spellEnd"/>
      <w:r>
        <w:rPr>
          <w:sz w:val="24"/>
          <w:szCs w:val="24"/>
          <w:lang w:val="en-US"/>
        </w:rPr>
        <w:t>"</w:t>
      </w:r>
      <w:r w:rsidR="00311DF4" w:rsidRPr="002A7948">
        <w:rPr>
          <w:sz w:val="24"/>
          <w:szCs w:val="24"/>
          <w:lang w:val="en-US"/>
        </w:rPr>
        <w:t xml:space="preserve"> 100 mg/mL may be diluted to 10 mg/mL to increase the accuracy of dosing in the paediatric population (see section 6.6).</w:t>
      </w:r>
    </w:p>
    <w:p w14:paraId="742F88C4" w14:textId="77777777" w:rsidR="00311DF4" w:rsidRPr="002A7948" w:rsidRDefault="00311DF4" w:rsidP="002A7948">
      <w:pPr>
        <w:ind w:left="851"/>
        <w:rPr>
          <w:sz w:val="24"/>
          <w:szCs w:val="24"/>
          <w:lang w:val="en-US"/>
        </w:rPr>
      </w:pPr>
    </w:p>
    <w:p w14:paraId="5E9EB57F" w14:textId="77777777" w:rsidR="00311DF4" w:rsidRPr="001C0E54" w:rsidRDefault="00311DF4" w:rsidP="002A7948">
      <w:pPr>
        <w:ind w:left="851"/>
        <w:rPr>
          <w:sz w:val="24"/>
          <w:szCs w:val="24"/>
          <w:u w:val="single"/>
          <w:lang w:val="en-US"/>
        </w:rPr>
      </w:pPr>
      <w:r w:rsidRPr="001C0E54">
        <w:rPr>
          <w:sz w:val="24"/>
          <w:szCs w:val="24"/>
          <w:u w:val="single"/>
          <w:lang w:val="en-US"/>
        </w:rPr>
        <w:t>Routine reversal:</w:t>
      </w:r>
    </w:p>
    <w:p w14:paraId="09A5B15E" w14:textId="77777777" w:rsidR="00311DF4" w:rsidRPr="002A7948" w:rsidRDefault="00311DF4" w:rsidP="002A7948">
      <w:pPr>
        <w:ind w:left="851"/>
        <w:rPr>
          <w:sz w:val="24"/>
          <w:szCs w:val="24"/>
          <w:lang w:val="en-US"/>
        </w:rPr>
      </w:pPr>
    </w:p>
    <w:p w14:paraId="349209AA" w14:textId="77777777" w:rsidR="00311DF4" w:rsidRPr="002A7948" w:rsidRDefault="00311DF4" w:rsidP="002A7948">
      <w:pPr>
        <w:ind w:left="851"/>
        <w:rPr>
          <w:sz w:val="24"/>
          <w:szCs w:val="24"/>
          <w:lang w:val="en-US"/>
        </w:rPr>
      </w:pPr>
      <w:r w:rsidRPr="002A7948">
        <w:rPr>
          <w:sz w:val="24"/>
          <w:szCs w:val="24"/>
          <w:lang w:val="en-US"/>
        </w:rPr>
        <w:t xml:space="preserve">A dose of 4 mg/kg </w:t>
      </w:r>
      <w:proofErr w:type="spellStart"/>
      <w:r w:rsidRPr="002A7948">
        <w:rPr>
          <w:sz w:val="24"/>
          <w:szCs w:val="24"/>
          <w:lang w:val="en-US"/>
        </w:rPr>
        <w:t>sugammadex</w:t>
      </w:r>
      <w:proofErr w:type="spellEnd"/>
      <w:r w:rsidRPr="002A7948">
        <w:rPr>
          <w:sz w:val="24"/>
          <w:szCs w:val="24"/>
          <w:lang w:val="en-US"/>
        </w:rPr>
        <w:t xml:space="preserve"> is recommended for reversal of rocuronium induced blockade if recovery has reached at least 1-2 PTC.</w:t>
      </w:r>
    </w:p>
    <w:p w14:paraId="6189802B" w14:textId="77777777" w:rsidR="00311DF4" w:rsidRPr="002A7948" w:rsidRDefault="00311DF4" w:rsidP="002A7948">
      <w:pPr>
        <w:ind w:left="851"/>
        <w:rPr>
          <w:sz w:val="24"/>
          <w:szCs w:val="24"/>
          <w:lang w:val="en-US"/>
        </w:rPr>
      </w:pPr>
    </w:p>
    <w:p w14:paraId="7306E169" w14:textId="77777777" w:rsidR="00311DF4" w:rsidRPr="002A7948" w:rsidRDefault="00311DF4" w:rsidP="002A7948">
      <w:pPr>
        <w:ind w:left="851"/>
        <w:rPr>
          <w:sz w:val="24"/>
          <w:szCs w:val="24"/>
          <w:lang w:val="en-US"/>
        </w:rPr>
      </w:pPr>
      <w:r w:rsidRPr="002A7948">
        <w:rPr>
          <w:sz w:val="24"/>
          <w:szCs w:val="24"/>
          <w:lang w:val="en-US"/>
        </w:rPr>
        <w:t>A dose of 2 mg/kg is recommended for reversal of rocuronium induced blockade at reappearance of T2 (see section 5.1).</w:t>
      </w:r>
    </w:p>
    <w:p w14:paraId="6A0279A5" w14:textId="77777777" w:rsidR="00311DF4" w:rsidRPr="002A7948" w:rsidRDefault="00311DF4" w:rsidP="002A7948">
      <w:pPr>
        <w:ind w:left="851"/>
        <w:rPr>
          <w:sz w:val="24"/>
          <w:szCs w:val="24"/>
          <w:lang w:val="en-US"/>
        </w:rPr>
      </w:pPr>
    </w:p>
    <w:p w14:paraId="7C019C8F" w14:textId="77777777" w:rsidR="00311DF4" w:rsidRPr="001C0E54" w:rsidRDefault="00311DF4" w:rsidP="002A7948">
      <w:pPr>
        <w:ind w:left="851"/>
        <w:rPr>
          <w:sz w:val="24"/>
          <w:szCs w:val="24"/>
          <w:u w:val="single"/>
          <w:lang w:val="en-US"/>
        </w:rPr>
      </w:pPr>
      <w:r w:rsidRPr="001C0E54">
        <w:rPr>
          <w:sz w:val="24"/>
          <w:szCs w:val="24"/>
          <w:u w:val="single"/>
          <w:lang w:val="en-US"/>
        </w:rPr>
        <w:t>Immediate reversal:</w:t>
      </w:r>
    </w:p>
    <w:p w14:paraId="64E0102F" w14:textId="77777777" w:rsidR="00311DF4" w:rsidRPr="002A7948" w:rsidRDefault="00311DF4" w:rsidP="002A7948">
      <w:pPr>
        <w:ind w:left="851"/>
        <w:rPr>
          <w:sz w:val="24"/>
          <w:szCs w:val="24"/>
          <w:lang w:val="en-US"/>
        </w:rPr>
      </w:pPr>
    </w:p>
    <w:p w14:paraId="02D9CD32" w14:textId="77777777" w:rsidR="00311DF4" w:rsidRPr="002A7948" w:rsidRDefault="00311DF4" w:rsidP="002A7948">
      <w:pPr>
        <w:ind w:left="851"/>
        <w:rPr>
          <w:sz w:val="24"/>
          <w:szCs w:val="24"/>
          <w:lang w:val="en-US"/>
        </w:rPr>
      </w:pPr>
      <w:r w:rsidRPr="002A7948">
        <w:rPr>
          <w:sz w:val="24"/>
          <w:szCs w:val="24"/>
          <w:lang w:val="en-US"/>
        </w:rPr>
        <w:t>Immediate reversal in children and adolescents has not been investigated.</w:t>
      </w:r>
    </w:p>
    <w:p w14:paraId="78A19CC6" w14:textId="77777777" w:rsidR="00311DF4" w:rsidRPr="002A7948" w:rsidRDefault="00311DF4" w:rsidP="002A7948">
      <w:pPr>
        <w:ind w:left="851"/>
        <w:rPr>
          <w:sz w:val="24"/>
          <w:szCs w:val="24"/>
          <w:lang w:val="en-US"/>
        </w:rPr>
      </w:pPr>
    </w:p>
    <w:p w14:paraId="6B085F2D" w14:textId="77777777" w:rsidR="00311DF4" w:rsidRPr="001C0E54" w:rsidRDefault="00311DF4" w:rsidP="002A7948">
      <w:pPr>
        <w:ind w:left="851"/>
        <w:rPr>
          <w:sz w:val="24"/>
          <w:szCs w:val="24"/>
          <w:u w:val="single"/>
          <w:lang w:val="en-US"/>
        </w:rPr>
      </w:pPr>
      <w:r w:rsidRPr="001C0E54">
        <w:rPr>
          <w:sz w:val="24"/>
          <w:szCs w:val="24"/>
          <w:u w:val="single"/>
          <w:lang w:val="en-US"/>
        </w:rPr>
        <w:t>Term newborn infants and infants:</w:t>
      </w:r>
    </w:p>
    <w:p w14:paraId="3B382CDF" w14:textId="77777777" w:rsidR="00311DF4" w:rsidRPr="002A7948" w:rsidRDefault="00311DF4" w:rsidP="002A7948">
      <w:pPr>
        <w:ind w:left="851"/>
        <w:rPr>
          <w:sz w:val="24"/>
          <w:szCs w:val="24"/>
          <w:lang w:val="en-US"/>
        </w:rPr>
      </w:pPr>
    </w:p>
    <w:p w14:paraId="751E33A9" w14:textId="77777777" w:rsidR="00311DF4" w:rsidRPr="002A7948" w:rsidRDefault="00311DF4" w:rsidP="002A7948">
      <w:pPr>
        <w:ind w:left="851"/>
        <w:rPr>
          <w:sz w:val="24"/>
          <w:szCs w:val="24"/>
          <w:lang w:val="en-US"/>
        </w:rPr>
      </w:pPr>
      <w:r w:rsidRPr="002A7948">
        <w:rPr>
          <w:sz w:val="24"/>
          <w:szCs w:val="24"/>
          <w:lang w:val="en-US"/>
        </w:rPr>
        <w:t xml:space="preserve">There is only limited experience with the use of </w:t>
      </w:r>
      <w:proofErr w:type="spellStart"/>
      <w:r w:rsidRPr="002A7948">
        <w:rPr>
          <w:sz w:val="24"/>
          <w:szCs w:val="24"/>
          <w:lang w:val="en-US"/>
        </w:rPr>
        <w:t>sugammadex</w:t>
      </w:r>
      <w:proofErr w:type="spellEnd"/>
      <w:r w:rsidRPr="002A7948">
        <w:rPr>
          <w:sz w:val="24"/>
          <w:szCs w:val="24"/>
          <w:lang w:val="en-US"/>
        </w:rPr>
        <w:t xml:space="preserve"> in infants (30 days to 2 years), and term newborn infants (less than 30 days) have not been studied. The use of </w:t>
      </w:r>
      <w:proofErr w:type="spellStart"/>
      <w:r w:rsidRPr="002A7948">
        <w:rPr>
          <w:sz w:val="24"/>
          <w:szCs w:val="24"/>
          <w:lang w:val="en-US"/>
        </w:rPr>
        <w:t>sugammadex</w:t>
      </w:r>
      <w:proofErr w:type="spellEnd"/>
      <w:r w:rsidRPr="002A7948">
        <w:rPr>
          <w:sz w:val="24"/>
          <w:szCs w:val="24"/>
          <w:lang w:val="en-US"/>
        </w:rPr>
        <w:t xml:space="preserve"> in term newborn infants and infants is therefore not recommended until further data become available.</w:t>
      </w:r>
    </w:p>
    <w:p w14:paraId="22B0D3A1" w14:textId="25378465" w:rsidR="001C0E54" w:rsidRDefault="001C0E54">
      <w:pPr>
        <w:rPr>
          <w:sz w:val="24"/>
          <w:szCs w:val="24"/>
          <w:lang w:val="en-US"/>
        </w:rPr>
      </w:pPr>
      <w:r>
        <w:rPr>
          <w:sz w:val="24"/>
          <w:szCs w:val="24"/>
          <w:lang w:val="en-US"/>
        </w:rPr>
        <w:br w:type="page"/>
      </w:r>
    </w:p>
    <w:p w14:paraId="5DDEE60A" w14:textId="77777777" w:rsidR="00311DF4" w:rsidRPr="002A7948" w:rsidRDefault="00311DF4" w:rsidP="002A7948">
      <w:pPr>
        <w:ind w:left="851"/>
        <w:rPr>
          <w:sz w:val="24"/>
          <w:szCs w:val="24"/>
          <w:lang w:val="en-US"/>
        </w:rPr>
      </w:pPr>
    </w:p>
    <w:p w14:paraId="74B39D6E" w14:textId="77777777" w:rsidR="00311DF4" w:rsidRPr="001C0E54" w:rsidRDefault="00311DF4" w:rsidP="002A7948">
      <w:pPr>
        <w:ind w:left="851"/>
        <w:rPr>
          <w:sz w:val="24"/>
          <w:szCs w:val="24"/>
          <w:u w:val="single"/>
          <w:lang w:val="en-US"/>
        </w:rPr>
      </w:pPr>
      <w:r w:rsidRPr="001C0E54">
        <w:rPr>
          <w:sz w:val="24"/>
          <w:szCs w:val="24"/>
          <w:u w:val="single"/>
          <w:lang w:val="en-US"/>
        </w:rPr>
        <w:t>Method of administration</w:t>
      </w:r>
    </w:p>
    <w:p w14:paraId="29AB6BEA" w14:textId="77777777" w:rsidR="00311DF4" w:rsidRPr="002A7948" w:rsidRDefault="00311DF4" w:rsidP="002A7948">
      <w:pPr>
        <w:ind w:left="851"/>
        <w:rPr>
          <w:sz w:val="24"/>
          <w:szCs w:val="24"/>
          <w:lang w:val="en-US"/>
        </w:rPr>
      </w:pPr>
    </w:p>
    <w:p w14:paraId="3057B9AA" w14:textId="77777777"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should be administered intravenously as a single bolus injection (intravenous use). The bolus injection should be given rapidly, within 10 seconds, into an existing intravenous line (see section 6.6). </w:t>
      </w:r>
      <w:proofErr w:type="spellStart"/>
      <w:r w:rsidRPr="002A7948">
        <w:rPr>
          <w:sz w:val="24"/>
          <w:szCs w:val="24"/>
          <w:lang w:val="en-US"/>
        </w:rPr>
        <w:t>Sugammadex</w:t>
      </w:r>
      <w:proofErr w:type="spellEnd"/>
      <w:r w:rsidRPr="002A7948">
        <w:rPr>
          <w:sz w:val="24"/>
          <w:szCs w:val="24"/>
          <w:lang w:val="en-US"/>
        </w:rPr>
        <w:t xml:space="preserve"> has only been administered as a single bolus injection in clinical trials.</w:t>
      </w:r>
    </w:p>
    <w:p w14:paraId="3FCADB49" w14:textId="77777777" w:rsidR="007C5D2A" w:rsidRPr="002A7948" w:rsidRDefault="007C5D2A" w:rsidP="00A85D26">
      <w:pPr>
        <w:tabs>
          <w:tab w:val="left" w:pos="851"/>
        </w:tabs>
        <w:ind w:left="851"/>
        <w:rPr>
          <w:sz w:val="24"/>
          <w:szCs w:val="24"/>
          <w:lang w:val="en-GB"/>
        </w:rPr>
      </w:pPr>
    </w:p>
    <w:p w14:paraId="644B50BD" w14:textId="77777777" w:rsidR="007C5D2A" w:rsidRPr="002A7948" w:rsidRDefault="007C5D2A" w:rsidP="007C5D2A">
      <w:pPr>
        <w:tabs>
          <w:tab w:val="left" w:pos="851"/>
        </w:tabs>
        <w:ind w:left="851" w:hanging="851"/>
        <w:rPr>
          <w:b/>
          <w:sz w:val="24"/>
          <w:szCs w:val="24"/>
          <w:lang w:val="en-GB"/>
        </w:rPr>
      </w:pPr>
      <w:r w:rsidRPr="002A7948">
        <w:rPr>
          <w:b/>
          <w:sz w:val="24"/>
          <w:szCs w:val="24"/>
          <w:lang w:val="en-GB"/>
        </w:rPr>
        <w:t>4.3</w:t>
      </w:r>
      <w:r w:rsidRPr="002A7948">
        <w:rPr>
          <w:b/>
          <w:sz w:val="24"/>
          <w:szCs w:val="24"/>
          <w:lang w:val="en-GB"/>
        </w:rPr>
        <w:tab/>
        <w:t>Contraindications</w:t>
      </w:r>
    </w:p>
    <w:p w14:paraId="4C9EE991" w14:textId="77777777" w:rsidR="00311DF4" w:rsidRPr="002A7948" w:rsidRDefault="00311DF4" w:rsidP="002A7948">
      <w:pPr>
        <w:ind w:left="851"/>
        <w:rPr>
          <w:sz w:val="24"/>
          <w:szCs w:val="24"/>
          <w:lang w:val="en-GB"/>
        </w:rPr>
      </w:pPr>
      <w:r w:rsidRPr="002A7948">
        <w:rPr>
          <w:sz w:val="24"/>
          <w:szCs w:val="24"/>
          <w:lang w:val="en-GB"/>
        </w:rPr>
        <w:t>Hypersensitivity to the active substance or to any of the excipients listed in section 6.1.</w:t>
      </w:r>
    </w:p>
    <w:p w14:paraId="23F910AF" w14:textId="77777777" w:rsidR="007C5D2A" w:rsidRPr="002A7948" w:rsidRDefault="007C5D2A" w:rsidP="003E0341">
      <w:pPr>
        <w:tabs>
          <w:tab w:val="left" w:pos="851"/>
        </w:tabs>
        <w:ind w:left="851"/>
        <w:rPr>
          <w:sz w:val="24"/>
          <w:szCs w:val="24"/>
          <w:lang w:val="en-GB"/>
        </w:rPr>
      </w:pPr>
    </w:p>
    <w:p w14:paraId="2501D315" w14:textId="77777777" w:rsidR="007C5D2A" w:rsidRPr="002A7948" w:rsidRDefault="007C5D2A" w:rsidP="007C5D2A">
      <w:pPr>
        <w:tabs>
          <w:tab w:val="left" w:pos="851"/>
        </w:tabs>
        <w:rPr>
          <w:b/>
          <w:sz w:val="24"/>
          <w:szCs w:val="24"/>
          <w:lang w:val="en-GB"/>
        </w:rPr>
      </w:pPr>
      <w:r w:rsidRPr="002A7948">
        <w:rPr>
          <w:b/>
          <w:sz w:val="24"/>
          <w:szCs w:val="24"/>
          <w:lang w:val="en-GB"/>
        </w:rPr>
        <w:t>4.4</w:t>
      </w:r>
      <w:r w:rsidRPr="002A7948">
        <w:rPr>
          <w:b/>
          <w:sz w:val="24"/>
          <w:szCs w:val="24"/>
          <w:lang w:val="en-GB"/>
        </w:rPr>
        <w:tab/>
        <w:t>Special warnings and precautions for use</w:t>
      </w:r>
    </w:p>
    <w:p w14:paraId="0CABD03A" w14:textId="77777777" w:rsidR="00311DF4" w:rsidRPr="002A7948" w:rsidRDefault="00311DF4" w:rsidP="002A7948">
      <w:pPr>
        <w:ind w:left="851"/>
        <w:rPr>
          <w:sz w:val="24"/>
          <w:szCs w:val="24"/>
          <w:lang w:val="en-GB"/>
        </w:rPr>
      </w:pPr>
      <w:r w:rsidRPr="002A7948">
        <w:rPr>
          <w:sz w:val="24"/>
          <w:szCs w:val="24"/>
          <w:lang w:val="en-GB"/>
        </w:rPr>
        <w:t xml:space="preserve">As is normal post-anaesthetic practice following neuromuscular blockade, it is recommended to monitor the patient in the immediate post-operative period for untoward events including recurrence </w:t>
      </w:r>
      <w:proofErr w:type="spellStart"/>
      <w:r w:rsidRPr="002A7948">
        <w:rPr>
          <w:sz w:val="24"/>
          <w:szCs w:val="24"/>
          <w:lang w:val="en-GB"/>
        </w:rPr>
        <w:t>ofneuromuscular</w:t>
      </w:r>
      <w:proofErr w:type="spellEnd"/>
      <w:r w:rsidRPr="002A7948">
        <w:rPr>
          <w:sz w:val="24"/>
          <w:szCs w:val="24"/>
          <w:lang w:val="en-GB"/>
        </w:rPr>
        <w:t xml:space="preserve"> blockade. </w:t>
      </w:r>
    </w:p>
    <w:p w14:paraId="365FFB4A" w14:textId="77777777" w:rsidR="00311DF4" w:rsidRPr="002A7948" w:rsidRDefault="00311DF4" w:rsidP="002A7948">
      <w:pPr>
        <w:ind w:left="851"/>
        <w:rPr>
          <w:sz w:val="24"/>
          <w:szCs w:val="24"/>
          <w:lang w:val="en-GB"/>
        </w:rPr>
      </w:pPr>
    </w:p>
    <w:p w14:paraId="1B3824E5" w14:textId="77777777" w:rsidR="00311DF4" w:rsidRPr="002A7948" w:rsidRDefault="00311DF4" w:rsidP="002A7948">
      <w:pPr>
        <w:ind w:left="851"/>
        <w:rPr>
          <w:sz w:val="24"/>
          <w:szCs w:val="24"/>
          <w:u w:val="single"/>
          <w:lang w:val="en-US"/>
        </w:rPr>
      </w:pPr>
      <w:r w:rsidRPr="002A7948">
        <w:rPr>
          <w:sz w:val="24"/>
          <w:szCs w:val="24"/>
          <w:u w:val="single"/>
          <w:lang w:val="en-US"/>
        </w:rPr>
        <w:t>Monitoring respiratory function during recovery:</w:t>
      </w:r>
    </w:p>
    <w:p w14:paraId="53EC24F4" w14:textId="77777777" w:rsidR="00311DF4" w:rsidRPr="002A7948" w:rsidRDefault="00311DF4" w:rsidP="002A7948">
      <w:pPr>
        <w:ind w:left="851"/>
        <w:rPr>
          <w:sz w:val="24"/>
          <w:szCs w:val="24"/>
          <w:lang w:val="en-US"/>
        </w:rPr>
      </w:pPr>
      <w:r w:rsidRPr="002A7948">
        <w:rPr>
          <w:sz w:val="24"/>
          <w:szCs w:val="24"/>
          <w:lang w:val="en-US"/>
        </w:rPr>
        <w:t xml:space="preserve">Ventilatory support is mandatory for patients until adequate spontaneous respiration is restored following reversal of neuromuscular blockade. Even if recovery from neuromuscular blockade is complete, other medicinal products used in the peri- and post-operative period could depress respiratory function and therefore ventilatory support might still be required. Should neuromuscular blockade reoccur following </w:t>
      </w:r>
      <w:proofErr w:type="spellStart"/>
      <w:r w:rsidRPr="002A7948">
        <w:rPr>
          <w:sz w:val="24"/>
          <w:szCs w:val="24"/>
          <w:lang w:val="en-US"/>
        </w:rPr>
        <w:t>extubation</w:t>
      </w:r>
      <w:proofErr w:type="spellEnd"/>
      <w:r w:rsidRPr="002A7948">
        <w:rPr>
          <w:sz w:val="24"/>
          <w:szCs w:val="24"/>
          <w:lang w:val="en-US"/>
        </w:rPr>
        <w:t>, adequate ventilation should be provided.</w:t>
      </w:r>
    </w:p>
    <w:p w14:paraId="25529496" w14:textId="77777777" w:rsidR="00311DF4" w:rsidRPr="002A7948" w:rsidRDefault="00311DF4" w:rsidP="002A7948">
      <w:pPr>
        <w:ind w:left="851"/>
        <w:rPr>
          <w:sz w:val="24"/>
          <w:szCs w:val="24"/>
          <w:lang w:val="en-US"/>
        </w:rPr>
      </w:pPr>
    </w:p>
    <w:p w14:paraId="6C1B0034" w14:textId="77777777" w:rsidR="00311DF4" w:rsidRPr="002A7948" w:rsidRDefault="00311DF4" w:rsidP="002A7948">
      <w:pPr>
        <w:ind w:left="851"/>
        <w:rPr>
          <w:sz w:val="24"/>
          <w:szCs w:val="24"/>
          <w:u w:val="single"/>
          <w:lang w:val="en-US"/>
        </w:rPr>
      </w:pPr>
      <w:r w:rsidRPr="002A7948">
        <w:rPr>
          <w:sz w:val="24"/>
          <w:szCs w:val="24"/>
          <w:u w:val="single"/>
          <w:lang w:val="en-US"/>
        </w:rPr>
        <w:t>Recurrence of neuromuscular blockade:</w:t>
      </w:r>
    </w:p>
    <w:p w14:paraId="62E3B031" w14:textId="77777777" w:rsidR="00311DF4" w:rsidRPr="002A7948" w:rsidRDefault="00311DF4" w:rsidP="002A7948">
      <w:pPr>
        <w:ind w:left="851"/>
        <w:rPr>
          <w:sz w:val="24"/>
          <w:szCs w:val="24"/>
          <w:lang w:val="en-US"/>
        </w:rPr>
      </w:pPr>
      <w:r w:rsidRPr="002A7948">
        <w:rPr>
          <w:sz w:val="24"/>
          <w:szCs w:val="24"/>
          <w:lang w:val="en-US"/>
        </w:rPr>
        <w:t xml:space="preserve">In clinical studies with subjects treated with rocuronium or vecuronium, where </w:t>
      </w:r>
      <w:proofErr w:type="spellStart"/>
      <w:r w:rsidRPr="002A7948">
        <w:rPr>
          <w:sz w:val="24"/>
          <w:szCs w:val="24"/>
          <w:lang w:val="en-US"/>
        </w:rPr>
        <w:t>sugammadex</w:t>
      </w:r>
      <w:proofErr w:type="spellEnd"/>
      <w:r w:rsidRPr="002A7948">
        <w:rPr>
          <w:sz w:val="24"/>
          <w:szCs w:val="24"/>
          <w:lang w:val="en-US"/>
        </w:rPr>
        <w:t xml:space="preserve"> was administered using a dose labelled for the depth of neuromuscular blockade, an incidence of 0.20% was observed for recurrence of neuromuscular blockade as based on neuromuscular monitoring or clinical evidence. The use of lower than recommended doses may lead to an increased risk of recurrence of neuromuscular blockade after initial reversal and is not recommended (see section 4.2 and section 4.8). </w:t>
      </w:r>
    </w:p>
    <w:p w14:paraId="53EB37D1" w14:textId="77777777" w:rsidR="00311DF4" w:rsidRPr="002A7948" w:rsidRDefault="00311DF4" w:rsidP="002A7948">
      <w:pPr>
        <w:ind w:left="851"/>
        <w:rPr>
          <w:sz w:val="24"/>
          <w:szCs w:val="24"/>
          <w:lang w:val="en-US"/>
        </w:rPr>
      </w:pPr>
    </w:p>
    <w:p w14:paraId="01C93BF9" w14:textId="77777777" w:rsidR="00311DF4" w:rsidRPr="002A7948" w:rsidRDefault="00311DF4" w:rsidP="002A7948">
      <w:pPr>
        <w:ind w:left="851"/>
        <w:rPr>
          <w:sz w:val="24"/>
          <w:szCs w:val="24"/>
          <w:u w:val="single"/>
          <w:lang w:val="en-US"/>
        </w:rPr>
      </w:pPr>
      <w:r w:rsidRPr="002A7948">
        <w:rPr>
          <w:sz w:val="24"/>
          <w:szCs w:val="24"/>
          <w:u w:val="single"/>
          <w:lang w:val="en-US"/>
        </w:rPr>
        <w:t xml:space="preserve">Effect on </w:t>
      </w:r>
      <w:proofErr w:type="spellStart"/>
      <w:r w:rsidRPr="002A7948">
        <w:rPr>
          <w:sz w:val="24"/>
          <w:szCs w:val="24"/>
          <w:u w:val="single"/>
          <w:lang w:val="en-US"/>
        </w:rPr>
        <w:t>haemostasis</w:t>
      </w:r>
      <w:proofErr w:type="spellEnd"/>
      <w:r w:rsidRPr="002A7948">
        <w:rPr>
          <w:sz w:val="24"/>
          <w:szCs w:val="24"/>
          <w:u w:val="single"/>
          <w:lang w:val="en-US"/>
        </w:rPr>
        <w:t>:</w:t>
      </w:r>
    </w:p>
    <w:p w14:paraId="200E7A47" w14:textId="77777777" w:rsidR="00311DF4" w:rsidRPr="002A7948" w:rsidRDefault="00311DF4" w:rsidP="002A7948">
      <w:pPr>
        <w:ind w:left="851"/>
        <w:rPr>
          <w:sz w:val="24"/>
          <w:szCs w:val="24"/>
          <w:lang w:val="en-US"/>
        </w:rPr>
      </w:pPr>
      <w:r w:rsidRPr="002A7948">
        <w:rPr>
          <w:sz w:val="24"/>
          <w:szCs w:val="24"/>
          <w:lang w:val="en-US"/>
        </w:rPr>
        <w:t xml:space="preserve">In a study in </w:t>
      </w:r>
      <w:proofErr w:type="gramStart"/>
      <w:r w:rsidRPr="002A7948">
        <w:rPr>
          <w:sz w:val="24"/>
          <w:szCs w:val="24"/>
          <w:lang w:val="en-US"/>
        </w:rPr>
        <w:t>volunteers</w:t>
      </w:r>
      <w:proofErr w:type="gramEnd"/>
      <w:r w:rsidRPr="002A7948">
        <w:rPr>
          <w:sz w:val="24"/>
          <w:szCs w:val="24"/>
          <w:lang w:val="en-US"/>
        </w:rPr>
        <w:t xml:space="preserve"> doses of 4 mg/kg and 16 mg/kg of </w:t>
      </w:r>
      <w:proofErr w:type="spellStart"/>
      <w:r w:rsidRPr="002A7948">
        <w:rPr>
          <w:sz w:val="24"/>
          <w:szCs w:val="24"/>
          <w:lang w:val="en-US"/>
        </w:rPr>
        <w:t>sugammadex</w:t>
      </w:r>
      <w:proofErr w:type="spellEnd"/>
      <w:r w:rsidRPr="002A7948">
        <w:rPr>
          <w:sz w:val="24"/>
          <w:szCs w:val="24"/>
          <w:lang w:val="en-US"/>
        </w:rPr>
        <w:t xml:space="preserve"> resulted in maximum mean prolongations of the activated partial thromboplastin time (</w:t>
      </w:r>
      <w:proofErr w:type="spellStart"/>
      <w:r w:rsidRPr="002A7948">
        <w:rPr>
          <w:sz w:val="24"/>
          <w:szCs w:val="24"/>
          <w:lang w:val="en-US"/>
        </w:rPr>
        <w:t>aPTT</w:t>
      </w:r>
      <w:proofErr w:type="spellEnd"/>
      <w:r w:rsidRPr="002A7948">
        <w:rPr>
          <w:sz w:val="24"/>
          <w:szCs w:val="24"/>
          <w:lang w:val="en-US"/>
        </w:rPr>
        <w:t xml:space="preserve">) by 17 and 22% respectively and prothrombin time international normalized ratio [PT(INR)] by 11 and 22% respectively. These limited mean </w:t>
      </w:r>
      <w:proofErr w:type="spellStart"/>
      <w:r w:rsidRPr="002A7948">
        <w:rPr>
          <w:sz w:val="24"/>
          <w:szCs w:val="24"/>
          <w:lang w:val="en-US"/>
        </w:rPr>
        <w:t>aPTT</w:t>
      </w:r>
      <w:proofErr w:type="spellEnd"/>
      <w:r w:rsidRPr="002A7948">
        <w:rPr>
          <w:sz w:val="24"/>
          <w:szCs w:val="24"/>
          <w:lang w:val="en-US"/>
        </w:rPr>
        <w:t xml:space="preserve"> and PT(INR) prolongations were of short duration (≤ 30 minutes). Based on the clinical data-base (N=3,519) and on a specific study in 1184 patients undergoing hip fracture/major joint replacement surgery there was no clinically relevant effect of </w:t>
      </w:r>
      <w:proofErr w:type="spellStart"/>
      <w:r w:rsidRPr="002A7948">
        <w:rPr>
          <w:sz w:val="24"/>
          <w:szCs w:val="24"/>
          <w:lang w:val="en-US"/>
        </w:rPr>
        <w:t>sugammadex</w:t>
      </w:r>
      <w:proofErr w:type="spellEnd"/>
      <w:r w:rsidRPr="002A7948">
        <w:rPr>
          <w:sz w:val="24"/>
          <w:szCs w:val="24"/>
          <w:lang w:val="en-US"/>
        </w:rPr>
        <w:t xml:space="preserve"> 4 mg/kg alone or in combination with anticoagulants on the incidence of peri- or post-operative bleeding complications. </w:t>
      </w:r>
    </w:p>
    <w:p w14:paraId="6675BFD3" w14:textId="77777777" w:rsidR="00311DF4" w:rsidRPr="002A7948" w:rsidRDefault="00311DF4" w:rsidP="002A7948">
      <w:pPr>
        <w:ind w:left="851"/>
        <w:rPr>
          <w:sz w:val="24"/>
          <w:szCs w:val="24"/>
          <w:lang w:val="en-US"/>
        </w:rPr>
      </w:pPr>
    </w:p>
    <w:p w14:paraId="75E65E6F" w14:textId="7069E6F6" w:rsidR="00311DF4" w:rsidRPr="002A7948" w:rsidRDefault="00311DF4" w:rsidP="002A7948">
      <w:pPr>
        <w:ind w:left="851"/>
        <w:rPr>
          <w:sz w:val="24"/>
          <w:szCs w:val="24"/>
          <w:lang w:val="en-US"/>
        </w:rPr>
      </w:pPr>
      <w:r w:rsidRPr="002A7948">
        <w:rPr>
          <w:sz w:val="24"/>
          <w:szCs w:val="24"/>
          <w:lang w:val="en-US"/>
        </w:rPr>
        <w:t xml:space="preserve">In </w:t>
      </w:r>
      <w:r w:rsidRPr="002A7948">
        <w:rPr>
          <w:i/>
          <w:iCs/>
          <w:sz w:val="24"/>
          <w:szCs w:val="24"/>
          <w:lang w:val="en-US"/>
        </w:rPr>
        <w:t>in vitro</w:t>
      </w:r>
      <w:r w:rsidRPr="002A7948">
        <w:rPr>
          <w:sz w:val="24"/>
          <w:szCs w:val="24"/>
          <w:lang w:val="en-US"/>
        </w:rPr>
        <w:t xml:space="preserve"> experiments a pharmacodynamic interaction (</w:t>
      </w:r>
      <w:proofErr w:type="spellStart"/>
      <w:r w:rsidRPr="002A7948">
        <w:rPr>
          <w:sz w:val="24"/>
          <w:szCs w:val="24"/>
          <w:lang w:val="en-US"/>
        </w:rPr>
        <w:t>aPTT</w:t>
      </w:r>
      <w:proofErr w:type="spellEnd"/>
      <w:r w:rsidRPr="002A7948">
        <w:rPr>
          <w:sz w:val="24"/>
          <w:szCs w:val="24"/>
          <w:lang w:val="en-US"/>
        </w:rPr>
        <w:t xml:space="preserve"> and PT prolongation) was noted with vitamin K antagonists, unfractionated heparin, low molecular weight heparinoids, rivaroxaban and dabigatran. In patients receiving routine post-operative prophylactic anticoagulation this pharmacodynamic interaction is not clinically relevant. Caution should be exercised when considering</w:t>
      </w:r>
      <w:r w:rsidR="001C0E54">
        <w:rPr>
          <w:sz w:val="24"/>
          <w:szCs w:val="24"/>
          <w:lang w:val="en-US"/>
        </w:rPr>
        <w:t xml:space="preserve"> </w:t>
      </w:r>
      <w:r w:rsidRPr="002A7948">
        <w:rPr>
          <w:sz w:val="24"/>
          <w:szCs w:val="24"/>
          <w:lang w:val="en-US"/>
        </w:rPr>
        <w:t xml:space="preserve">the use of </w:t>
      </w:r>
      <w:proofErr w:type="spellStart"/>
      <w:r w:rsidRPr="002A7948">
        <w:rPr>
          <w:sz w:val="24"/>
          <w:szCs w:val="24"/>
          <w:lang w:val="en-US"/>
        </w:rPr>
        <w:t>sugammadex</w:t>
      </w:r>
      <w:proofErr w:type="spellEnd"/>
      <w:r w:rsidRPr="002A7948">
        <w:rPr>
          <w:sz w:val="24"/>
          <w:szCs w:val="24"/>
          <w:lang w:val="en-US"/>
        </w:rPr>
        <w:t xml:space="preserve"> in patients receiving therapeutic anticoagulation for a pre-existing or comorbid condition.</w:t>
      </w:r>
    </w:p>
    <w:p w14:paraId="21C1BB6B" w14:textId="77777777" w:rsidR="00311DF4" w:rsidRPr="002A7948" w:rsidRDefault="00311DF4" w:rsidP="002A7948">
      <w:pPr>
        <w:autoSpaceDE w:val="0"/>
        <w:autoSpaceDN w:val="0"/>
        <w:adjustRightInd w:val="0"/>
        <w:ind w:left="851"/>
        <w:rPr>
          <w:sz w:val="24"/>
          <w:szCs w:val="24"/>
          <w:lang w:val="en-US"/>
        </w:rPr>
      </w:pPr>
    </w:p>
    <w:p w14:paraId="203FAB59"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An increased risk of bleeding cannot be excluded in patients:</w:t>
      </w:r>
    </w:p>
    <w:p w14:paraId="459D4701" w14:textId="77777777" w:rsidR="00311DF4" w:rsidRPr="002A7948" w:rsidRDefault="00311DF4" w:rsidP="002A7948">
      <w:pPr>
        <w:pStyle w:val="Listeafsnit"/>
        <w:numPr>
          <w:ilvl w:val="0"/>
          <w:numId w:val="5"/>
        </w:numPr>
        <w:autoSpaceDE w:val="0"/>
        <w:autoSpaceDN w:val="0"/>
        <w:adjustRightInd w:val="0"/>
        <w:ind w:left="1276" w:hanging="425"/>
        <w:rPr>
          <w:sz w:val="24"/>
          <w:szCs w:val="24"/>
        </w:rPr>
      </w:pPr>
      <w:r w:rsidRPr="002A7948">
        <w:rPr>
          <w:sz w:val="24"/>
          <w:szCs w:val="24"/>
        </w:rPr>
        <w:t>with hereditary vitamin K dependent clotting factor deficiencies;</w:t>
      </w:r>
    </w:p>
    <w:p w14:paraId="3DB9CAC1" w14:textId="77777777" w:rsidR="00311DF4" w:rsidRPr="002A7948" w:rsidRDefault="00311DF4" w:rsidP="002A7948">
      <w:pPr>
        <w:pStyle w:val="Listeafsnit"/>
        <w:numPr>
          <w:ilvl w:val="0"/>
          <w:numId w:val="5"/>
        </w:numPr>
        <w:autoSpaceDE w:val="0"/>
        <w:autoSpaceDN w:val="0"/>
        <w:adjustRightInd w:val="0"/>
        <w:ind w:left="1276" w:hanging="425"/>
        <w:rPr>
          <w:sz w:val="24"/>
          <w:szCs w:val="24"/>
        </w:rPr>
      </w:pPr>
      <w:r w:rsidRPr="002A7948">
        <w:rPr>
          <w:sz w:val="24"/>
          <w:szCs w:val="24"/>
        </w:rPr>
        <w:lastRenderedPageBreak/>
        <w:t>with pre-existing coagulopathies;</w:t>
      </w:r>
    </w:p>
    <w:p w14:paraId="1BA41C57" w14:textId="77777777" w:rsidR="00311DF4" w:rsidRPr="002A7948" w:rsidRDefault="00311DF4" w:rsidP="002A7948">
      <w:pPr>
        <w:pStyle w:val="Listeafsnit"/>
        <w:numPr>
          <w:ilvl w:val="0"/>
          <w:numId w:val="5"/>
        </w:numPr>
        <w:autoSpaceDE w:val="0"/>
        <w:autoSpaceDN w:val="0"/>
        <w:adjustRightInd w:val="0"/>
        <w:ind w:left="1276" w:hanging="425"/>
        <w:rPr>
          <w:sz w:val="24"/>
          <w:szCs w:val="24"/>
        </w:rPr>
      </w:pPr>
      <w:r w:rsidRPr="002A7948">
        <w:rPr>
          <w:sz w:val="24"/>
          <w:szCs w:val="24"/>
        </w:rPr>
        <w:t>on coumarin derivates and at an INR above 3.5;</w:t>
      </w:r>
    </w:p>
    <w:p w14:paraId="01E0015D" w14:textId="77777777" w:rsidR="00311DF4" w:rsidRPr="002A7948" w:rsidRDefault="00311DF4" w:rsidP="002A7948">
      <w:pPr>
        <w:pStyle w:val="Listeafsnit"/>
        <w:numPr>
          <w:ilvl w:val="0"/>
          <w:numId w:val="5"/>
        </w:numPr>
        <w:autoSpaceDE w:val="0"/>
        <w:autoSpaceDN w:val="0"/>
        <w:adjustRightInd w:val="0"/>
        <w:ind w:left="1276" w:hanging="425"/>
        <w:rPr>
          <w:sz w:val="24"/>
          <w:szCs w:val="24"/>
        </w:rPr>
      </w:pPr>
      <w:r w:rsidRPr="002A7948">
        <w:rPr>
          <w:sz w:val="24"/>
          <w:szCs w:val="24"/>
        </w:rPr>
        <w:t xml:space="preserve">using anticoagulants who receive a dose of 16 mg/kg </w:t>
      </w:r>
      <w:proofErr w:type="spellStart"/>
      <w:r w:rsidRPr="002A7948">
        <w:rPr>
          <w:sz w:val="24"/>
          <w:szCs w:val="24"/>
        </w:rPr>
        <w:t>sugammadex</w:t>
      </w:r>
      <w:proofErr w:type="spellEnd"/>
      <w:r w:rsidRPr="002A7948">
        <w:rPr>
          <w:sz w:val="24"/>
          <w:szCs w:val="24"/>
        </w:rPr>
        <w:t>.</w:t>
      </w:r>
    </w:p>
    <w:p w14:paraId="09A0F267"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If there is a medical need to give </w:t>
      </w:r>
      <w:proofErr w:type="spellStart"/>
      <w:r w:rsidRPr="002A7948">
        <w:rPr>
          <w:sz w:val="24"/>
          <w:szCs w:val="24"/>
          <w:lang w:val="en-US"/>
        </w:rPr>
        <w:t>sugammadex</w:t>
      </w:r>
      <w:proofErr w:type="spellEnd"/>
      <w:r w:rsidRPr="002A7948">
        <w:rPr>
          <w:sz w:val="24"/>
          <w:szCs w:val="24"/>
          <w:lang w:val="en-US"/>
        </w:rPr>
        <w:t xml:space="preserve"> to these patients the </w:t>
      </w:r>
      <w:proofErr w:type="spellStart"/>
      <w:r w:rsidRPr="002A7948">
        <w:rPr>
          <w:sz w:val="24"/>
          <w:szCs w:val="24"/>
          <w:lang w:val="en-US"/>
        </w:rPr>
        <w:t>anaesthesiologist</w:t>
      </w:r>
      <w:proofErr w:type="spellEnd"/>
      <w:r w:rsidRPr="002A7948">
        <w:rPr>
          <w:sz w:val="24"/>
          <w:szCs w:val="24"/>
          <w:lang w:val="en-US"/>
        </w:rPr>
        <w:t xml:space="preserve"> needs to decide if the benefits outweigh the possible risk of bleeding complications taking into consideration the patients history of bleeding episodes and type of surgery scheduled. If </w:t>
      </w:r>
      <w:proofErr w:type="spellStart"/>
      <w:r w:rsidRPr="002A7948">
        <w:rPr>
          <w:sz w:val="24"/>
          <w:szCs w:val="24"/>
          <w:lang w:val="en-US"/>
        </w:rPr>
        <w:t>sugammadex</w:t>
      </w:r>
      <w:proofErr w:type="spellEnd"/>
      <w:r w:rsidRPr="002A7948">
        <w:rPr>
          <w:sz w:val="24"/>
          <w:szCs w:val="24"/>
          <w:lang w:val="en-US"/>
        </w:rPr>
        <w:t xml:space="preserve"> is administered to these patients monitoring of </w:t>
      </w:r>
      <w:proofErr w:type="spellStart"/>
      <w:r w:rsidRPr="002A7948">
        <w:rPr>
          <w:sz w:val="24"/>
          <w:szCs w:val="24"/>
          <w:lang w:val="en-US"/>
        </w:rPr>
        <w:t>haemostasis</w:t>
      </w:r>
      <w:proofErr w:type="spellEnd"/>
      <w:r w:rsidRPr="002A7948">
        <w:rPr>
          <w:sz w:val="24"/>
          <w:szCs w:val="24"/>
          <w:lang w:val="en-US"/>
        </w:rPr>
        <w:t xml:space="preserve"> and coagulation parameters is recommended.</w:t>
      </w:r>
    </w:p>
    <w:p w14:paraId="7E8013F0" w14:textId="77777777" w:rsidR="00311DF4" w:rsidRPr="002A7948" w:rsidRDefault="00311DF4" w:rsidP="002A7948">
      <w:pPr>
        <w:autoSpaceDE w:val="0"/>
        <w:autoSpaceDN w:val="0"/>
        <w:adjustRightInd w:val="0"/>
        <w:ind w:left="851"/>
        <w:rPr>
          <w:sz w:val="24"/>
          <w:szCs w:val="24"/>
          <w:lang w:val="en-US"/>
        </w:rPr>
      </w:pPr>
    </w:p>
    <w:p w14:paraId="4B0BBBC2" w14:textId="0DAB5C00" w:rsidR="00311DF4" w:rsidRPr="002A7948" w:rsidRDefault="00311DF4" w:rsidP="002A7948">
      <w:pPr>
        <w:autoSpaceDE w:val="0"/>
        <w:autoSpaceDN w:val="0"/>
        <w:adjustRightInd w:val="0"/>
        <w:ind w:left="851"/>
        <w:rPr>
          <w:sz w:val="24"/>
          <w:szCs w:val="24"/>
          <w:u w:val="single"/>
          <w:lang w:val="en-GB"/>
        </w:rPr>
      </w:pPr>
      <w:r w:rsidRPr="002A7948">
        <w:rPr>
          <w:sz w:val="24"/>
          <w:szCs w:val="24"/>
          <w:u w:val="single"/>
          <w:lang w:val="en-US"/>
        </w:rPr>
        <w:t>Waiting times for re-administration with neuromuscular blocking agents (NMBA) after reversal with</w:t>
      </w:r>
      <w:r w:rsidR="002A7948" w:rsidRPr="002A7948">
        <w:rPr>
          <w:sz w:val="24"/>
          <w:szCs w:val="24"/>
          <w:u w:val="single"/>
          <w:lang w:val="en-US"/>
        </w:rPr>
        <w:t xml:space="preserve"> </w:t>
      </w:r>
      <w:proofErr w:type="spellStart"/>
      <w:r w:rsidRPr="002A7948">
        <w:rPr>
          <w:sz w:val="24"/>
          <w:szCs w:val="24"/>
          <w:u w:val="single"/>
          <w:lang w:val="en-GB"/>
        </w:rPr>
        <w:t>sugammadex</w:t>
      </w:r>
      <w:proofErr w:type="spellEnd"/>
      <w:r w:rsidRPr="002A7948">
        <w:rPr>
          <w:sz w:val="24"/>
          <w:szCs w:val="24"/>
          <w:u w:val="single"/>
          <w:lang w:val="en-GB"/>
        </w:rPr>
        <w:t>:</w:t>
      </w:r>
    </w:p>
    <w:p w14:paraId="1C2ED240" w14:textId="77777777" w:rsidR="00311DF4" w:rsidRPr="002A7948" w:rsidRDefault="00311DF4" w:rsidP="002A7948">
      <w:pPr>
        <w:pStyle w:val="Brdtekst"/>
        <w:ind w:left="851"/>
        <w:jc w:val="left"/>
        <w:rPr>
          <w:rFonts w:ascii="Times New Roman" w:hAnsi="Times New Roman"/>
          <w:szCs w:val="24"/>
          <w:lang w:val="en-GB"/>
        </w:rPr>
      </w:pPr>
    </w:p>
    <w:p w14:paraId="25B07FB4" w14:textId="32163064" w:rsidR="00311DF4" w:rsidRPr="002A7948" w:rsidRDefault="00311DF4" w:rsidP="002A7948">
      <w:pPr>
        <w:pStyle w:val="Brdtekst"/>
        <w:ind w:left="851"/>
        <w:jc w:val="left"/>
        <w:rPr>
          <w:rFonts w:ascii="Times New Roman" w:hAnsi="Times New Roman"/>
          <w:b/>
          <w:bCs/>
          <w:szCs w:val="24"/>
          <w:lang w:val="en-GB"/>
        </w:rPr>
      </w:pPr>
      <w:r w:rsidRPr="002A7948">
        <w:rPr>
          <w:rFonts w:ascii="Times New Roman" w:hAnsi="Times New Roman"/>
          <w:b/>
          <w:bCs/>
          <w:szCs w:val="24"/>
          <w:lang w:val="en-GB"/>
        </w:rPr>
        <w:t>Table 1: Re-administration of rocuronium or vecuronium after routine reversal (up to 4 mg/kg</w:t>
      </w:r>
      <w:r w:rsidR="002A7948" w:rsidRPr="002A7948">
        <w:rPr>
          <w:rFonts w:ascii="Times New Roman" w:hAnsi="Times New Roman"/>
          <w:b/>
          <w:bCs/>
          <w:szCs w:val="24"/>
          <w:lang w:val="en-GB"/>
        </w:rPr>
        <w:t xml:space="preserve"> </w:t>
      </w:r>
      <w:proofErr w:type="spellStart"/>
      <w:r w:rsidRPr="002A7948">
        <w:rPr>
          <w:rFonts w:ascii="Times New Roman" w:hAnsi="Times New Roman"/>
          <w:b/>
          <w:bCs/>
          <w:szCs w:val="24"/>
          <w:lang w:val="en-GB"/>
        </w:rPr>
        <w:t>sugammadex</w:t>
      </w:r>
      <w:proofErr w:type="spellEnd"/>
      <w:r w:rsidRPr="002A7948">
        <w:rPr>
          <w:rFonts w:ascii="Times New Roman" w:hAnsi="Times New Roman"/>
          <w:b/>
          <w:bCs/>
          <w:szCs w:val="24"/>
          <w:lang w:val="en-GB"/>
        </w:rPr>
        <w:t>):</w:t>
      </w:r>
    </w:p>
    <w:tbl>
      <w:tblPr>
        <w:tblStyle w:val="Tabel-Gitter"/>
        <w:tblW w:w="8788" w:type="dxa"/>
        <w:tblInd w:w="846" w:type="dxa"/>
        <w:tblLook w:val="04A0" w:firstRow="1" w:lastRow="0" w:firstColumn="1" w:lastColumn="0" w:noHBand="0" w:noVBand="1"/>
      </w:tblPr>
      <w:tblGrid>
        <w:gridCol w:w="3539"/>
        <w:gridCol w:w="5249"/>
      </w:tblGrid>
      <w:tr w:rsidR="00311DF4" w:rsidRPr="008B0872" w14:paraId="4784DB77" w14:textId="77777777" w:rsidTr="002A7948">
        <w:tc>
          <w:tcPr>
            <w:tcW w:w="3539" w:type="dxa"/>
            <w:tcBorders>
              <w:top w:val="single" w:sz="4" w:space="0" w:color="auto"/>
              <w:left w:val="single" w:sz="4" w:space="0" w:color="auto"/>
              <w:bottom w:val="single" w:sz="4" w:space="0" w:color="auto"/>
              <w:right w:val="single" w:sz="4" w:space="0" w:color="auto"/>
            </w:tcBorders>
            <w:hideMark/>
          </w:tcPr>
          <w:p w14:paraId="7F1FE3A5" w14:textId="77777777" w:rsidR="00311DF4" w:rsidRPr="002A7948" w:rsidRDefault="00311DF4">
            <w:pPr>
              <w:pStyle w:val="Brdtekst"/>
              <w:rPr>
                <w:rFonts w:ascii="Times New Roman" w:hAnsi="Times New Roman" w:cs="Times New Roman"/>
                <w:b/>
                <w:bCs/>
                <w:szCs w:val="24"/>
                <w:lang w:val="en-GB"/>
              </w:rPr>
            </w:pPr>
            <w:r w:rsidRPr="002A7948">
              <w:rPr>
                <w:rFonts w:ascii="Times New Roman" w:hAnsi="Times New Roman" w:cs="Times New Roman"/>
                <w:b/>
                <w:bCs/>
                <w:szCs w:val="24"/>
                <w:lang w:val="en-GB"/>
              </w:rPr>
              <w:t>Minimum waiting time</w:t>
            </w:r>
          </w:p>
        </w:tc>
        <w:tc>
          <w:tcPr>
            <w:tcW w:w="5249" w:type="dxa"/>
            <w:tcBorders>
              <w:top w:val="single" w:sz="4" w:space="0" w:color="auto"/>
              <w:left w:val="single" w:sz="4" w:space="0" w:color="auto"/>
              <w:bottom w:val="single" w:sz="4" w:space="0" w:color="auto"/>
              <w:right w:val="single" w:sz="4" w:space="0" w:color="auto"/>
            </w:tcBorders>
            <w:hideMark/>
          </w:tcPr>
          <w:p w14:paraId="056D272F" w14:textId="77777777" w:rsidR="00311DF4" w:rsidRPr="002A7948" w:rsidRDefault="00311DF4">
            <w:pPr>
              <w:pStyle w:val="Brdtekst"/>
              <w:rPr>
                <w:rFonts w:ascii="Times New Roman" w:hAnsi="Times New Roman" w:cs="Times New Roman"/>
                <w:b/>
                <w:bCs/>
                <w:szCs w:val="24"/>
                <w:lang w:val="en-GB"/>
              </w:rPr>
            </w:pPr>
            <w:r w:rsidRPr="002A7948">
              <w:rPr>
                <w:rFonts w:ascii="Times New Roman" w:hAnsi="Times New Roman" w:cs="Times New Roman"/>
                <w:b/>
                <w:bCs/>
                <w:szCs w:val="24"/>
                <w:lang w:val="en-GB"/>
              </w:rPr>
              <w:t>NMBA and dose to be administered</w:t>
            </w:r>
          </w:p>
        </w:tc>
      </w:tr>
      <w:tr w:rsidR="00311DF4" w:rsidRPr="002A7948" w14:paraId="41680D3C" w14:textId="77777777" w:rsidTr="002A7948">
        <w:tc>
          <w:tcPr>
            <w:tcW w:w="3539" w:type="dxa"/>
            <w:tcBorders>
              <w:top w:val="single" w:sz="4" w:space="0" w:color="auto"/>
              <w:left w:val="single" w:sz="4" w:space="0" w:color="auto"/>
              <w:bottom w:val="single" w:sz="4" w:space="0" w:color="auto"/>
              <w:right w:val="single" w:sz="4" w:space="0" w:color="auto"/>
            </w:tcBorders>
            <w:hideMark/>
          </w:tcPr>
          <w:p w14:paraId="4EE43035" w14:textId="77777777" w:rsidR="00311DF4" w:rsidRPr="002A7948" w:rsidRDefault="00311DF4">
            <w:pPr>
              <w:pStyle w:val="Brdtekst"/>
              <w:rPr>
                <w:rFonts w:ascii="Times New Roman" w:hAnsi="Times New Roman" w:cs="Times New Roman"/>
                <w:szCs w:val="24"/>
                <w:lang w:val="en-GB"/>
              </w:rPr>
            </w:pPr>
            <w:r w:rsidRPr="002A7948">
              <w:rPr>
                <w:rFonts w:ascii="Times New Roman" w:hAnsi="Times New Roman" w:cs="Times New Roman"/>
                <w:szCs w:val="24"/>
                <w:lang w:val="en-GB"/>
              </w:rPr>
              <w:t>5 minutes</w:t>
            </w:r>
          </w:p>
        </w:tc>
        <w:tc>
          <w:tcPr>
            <w:tcW w:w="5249" w:type="dxa"/>
            <w:tcBorders>
              <w:top w:val="single" w:sz="4" w:space="0" w:color="auto"/>
              <w:left w:val="single" w:sz="4" w:space="0" w:color="auto"/>
              <w:bottom w:val="single" w:sz="4" w:space="0" w:color="auto"/>
              <w:right w:val="single" w:sz="4" w:space="0" w:color="auto"/>
            </w:tcBorders>
            <w:hideMark/>
          </w:tcPr>
          <w:p w14:paraId="231A4223" w14:textId="77777777" w:rsidR="00311DF4" w:rsidRPr="002A7948" w:rsidRDefault="00311DF4">
            <w:pPr>
              <w:pStyle w:val="Brdtekst"/>
              <w:rPr>
                <w:rFonts w:ascii="Times New Roman" w:hAnsi="Times New Roman" w:cs="Times New Roman"/>
                <w:szCs w:val="24"/>
                <w:lang w:val="en-GB"/>
              </w:rPr>
            </w:pPr>
            <w:r w:rsidRPr="002A7948">
              <w:rPr>
                <w:rFonts w:ascii="Times New Roman" w:hAnsi="Times New Roman" w:cs="Times New Roman"/>
                <w:szCs w:val="24"/>
                <w:lang w:val="en-GB"/>
              </w:rPr>
              <w:t>1.2 mg/kg rocuronium</w:t>
            </w:r>
          </w:p>
        </w:tc>
      </w:tr>
      <w:tr w:rsidR="00311DF4" w:rsidRPr="008B0872" w14:paraId="77E6DB6D" w14:textId="77777777" w:rsidTr="002A7948">
        <w:tc>
          <w:tcPr>
            <w:tcW w:w="3539" w:type="dxa"/>
            <w:tcBorders>
              <w:top w:val="single" w:sz="4" w:space="0" w:color="auto"/>
              <w:left w:val="single" w:sz="4" w:space="0" w:color="auto"/>
              <w:bottom w:val="single" w:sz="4" w:space="0" w:color="auto"/>
              <w:right w:val="single" w:sz="4" w:space="0" w:color="auto"/>
            </w:tcBorders>
            <w:hideMark/>
          </w:tcPr>
          <w:p w14:paraId="4FD08C70" w14:textId="77777777" w:rsidR="00311DF4" w:rsidRPr="002A7948" w:rsidRDefault="00311DF4">
            <w:pPr>
              <w:pStyle w:val="Brdtekst"/>
              <w:rPr>
                <w:rFonts w:ascii="Times New Roman" w:hAnsi="Times New Roman" w:cs="Times New Roman"/>
                <w:szCs w:val="24"/>
                <w:lang w:val="en-GB"/>
              </w:rPr>
            </w:pPr>
            <w:r w:rsidRPr="002A7948">
              <w:rPr>
                <w:rFonts w:ascii="Times New Roman" w:hAnsi="Times New Roman" w:cs="Times New Roman"/>
                <w:szCs w:val="24"/>
                <w:lang w:val="en-GB"/>
              </w:rPr>
              <w:t>4 hours</w:t>
            </w:r>
          </w:p>
        </w:tc>
        <w:tc>
          <w:tcPr>
            <w:tcW w:w="5249" w:type="dxa"/>
            <w:tcBorders>
              <w:top w:val="single" w:sz="4" w:space="0" w:color="auto"/>
              <w:left w:val="single" w:sz="4" w:space="0" w:color="auto"/>
              <w:bottom w:val="single" w:sz="4" w:space="0" w:color="auto"/>
              <w:right w:val="single" w:sz="4" w:space="0" w:color="auto"/>
            </w:tcBorders>
            <w:hideMark/>
          </w:tcPr>
          <w:p w14:paraId="0EA89622" w14:textId="77777777" w:rsidR="00311DF4" w:rsidRPr="002A7948" w:rsidRDefault="00311DF4">
            <w:pPr>
              <w:pStyle w:val="Brdtekst"/>
              <w:rPr>
                <w:rFonts w:ascii="Times New Roman" w:hAnsi="Times New Roman" w:cs="Times New Roman"/>
                <w:szCs w:val="24"/>
                <w:lang w:val="en-GB"/>
              </w:rPr>
            </w:pPr>
            <w:r w:rsidRPr="002A7948">
              <w:rPr>
                <w:rFonts w:ascii="Times New Roman" w:hAnsi="Times New Roman" w:cs="Times New Roman"/>
                <w:szCs w:val="24"/>
                <w:lang w:val="en-GB"/>
              </w:rPr>
              <w:t>0.6 mg/kg rocuronium or</w:t>
            </w:r>
          </w:p>
          <w:p w14:paraId="749449F9" w14:textId="77777777" w:rsidR="00311DF4" w:rsidRPr="002A7948" w:rsidRDefault="00311DF4">
            <w:pPr>
              <w:pStyle w:val="Brdtekst"/>
              <w:rPr>
                <w:rFonts w:ascii="Times New Roman" w:hAnsi="Times New Roman" w:cs="Times New Roman"/>
                <w:szCs w:val="24"/>
                <w:lang w:val="en-GB"/>
              </w:rPr>
            </w:pPr>
            <w:r w:rsidRPr="002A7948">
              <w:rPr>
                <w:rFonts w:ascii="Times New Roman" w:hAnsi="Times New Roman" w:cs="Times New Roman"/>
                <w:szCs w:val="24"/>
                <w:lang w:val="en-GB"/>
              </w:rPr>
              <w:t>0.1 mg/kg vecuronium</w:t>
            </w:r>
          </w:p>
        </w:tc>
      </w:tr>
    </w:tbl>
    <w:p w14:paraId="6E7CDC1B" w14:textId="77777777" w:rsidR="00311DF4" w:rsidRPr="002A7948" w:rsidRDefault="00311DF4" w:rsidP="002A7948">
      <w:pPr>
        <w:rPr>
          <w:sz w:val="24"/>
          <w:szCs w:val="24"/>
          <w:lang w:val="en-GB"/>
        </w:rPr>
      </w:pPr>
    </w:p>
    <w:p w14:paraId="4714ED39" w14:textId="77777777" w:rsidR="00311DF4" w:rsidRPr="002A7948" w:rsidRDefault="00311DF4" w:rsidP="002A7948">
      <w:pPr>
        <w:ind w:left="851"/>
        <w:rPr>
          <w:sz w:val="24"/>
          <w:szCs w:val="24"/>
          <w:lang w:val="en-GB"/>
        </w:rPr>
      </w:pPr>
      <w:r w:rsidRPr="002A7948">
        <w:rPr>
          <w:sz w:val="24"/>
          <w:szCs w:val="24"/>
          <w:lang w:val="en-US"/>
        </w:rPr>
        <w:t>The onset of neuromuscular blockade may be prolonged up to approximately 4 minutes, and the duration of neuromuscular blockade may be shortened up to approximately 15 minutes after re</w:t>
      </w:r>
      <w:r w:rsidRPr="002A7948">
        <w:rPr>
          <w:sz w:val="24"/>
          <w:szCs w:val="24"/>
          <w:lang w:val="en-US"/>
        </w:rPr>
        <w:noBreakHyphen/>
        <w:t xml:space="preserve">administration of rocuronium 1.2 mg/kg within 30 minutes after </w:t>
      </w:r>
      <w:proofErr w:type="spellStart"/>
      <w:r w:rsidRPr="002A7948">
        <w:rPr>
          <w:sz w:val="24"/>
          <w:szCs w:val="24"/>
          <w:lang w:val="en-US"/>
        </w:rPr>
        <w:t>sugammadex</w:t>
      </w:r>
      <w:proofErr w:type="spellEnd"/>
      <w:r w:rsidRPr="002A7948">
        <w:rPr>
          <w:sz w:val="24"/>
          <w:szCs w:val="24"/>
          <w:lang w:val="en-US"/>
        </w:rPr>
        <w:t xml:space="preserve"> administration.</w:t>
      </w:r>
    </w:p>
    <w:p w14:paraId="08DD6F77" w14:textId="77777777" w:rsidR="00311DF4" w:rsidRPr="002A7948" w:rsidRDefault="00311DF4" w:rsidP="002A7948">
      <w:pPr>
        <w:ind w:left="851"/>
        <w:rPr>
          <w:sz w:val="24"/>
          <w:szCs w:val="24"/>
          <w:lang w:val="en-US"/>
        </w:rPr>
      </w:pPr>
    </w:p>
    <w:p w14:paraId="3209CDD8" w14:textId="77777777" w:rsidR="00311DF4" w:rsidRPr="002A7948" w:rsidRDefault="00311DF4" w:rsidP="002A7948">
      <w:pPr>
        <w:ind w:left="851"/>
        <w:rPr>
          <w:sz w:val="24"/>
          <w:szCs w:val="24"/>
          <w:lang w:val="en-US"/>
        </w:rPr>
      </w:pPr>
      <w:r w:rsidRPr="002A7948">
        <w:rPr>
          <w:sz w:val="24"/>
          <w:szCs w:val="24"/>
          <w:lang w:val="en-US"/>
        </w:rPr>
        <w:t xml:space="preserve">Based on PK modelling the recommended waiting time in patients with mild or moderate renal impairment for re-use of 0.6 mg/kg rocuronium or 0.1 mg/kg vecuronium after routine reversal with </w:t>
      </w:r>
      <w:proofErr w:type="spellStart"/>
      <w:r w:rsidRPr="002A7948">
        <w:rPr>
          <w:sz w:val="24"/>
          <w:szCs w:val="24"/>
          <w:lang w:val="en-US"/>
        </w:rPr>
        <w:t>sugammadex</w:t>
      </w:r>
      <w:proofErr w:type="spellEnd"/>
      <w:r w:rsidRPr="002A7948">
        <w:rPr>
          <w:sz w:val="24"/>
          <w:szCs w:val="24"/>
          <w:lang w:val="en-US"/>
        </w:rPr>
        <w:t xml:space="preserve"> should be 24 hours. If a shorter waiting time is required, the rocuronium dose for a new</w:t>
      </w:r>
    </w:p>
    <w:p w14:paraId="3D2AB85A" w14:textId="77777777" w:rsidR="00311DF4" w:rsidRPr="002A7948" w:rsidRDefault="00311DF4" w:rsidP="002A7948">
      <w:pPr>
        <w:ind w:left="851"/>
        <w:rPr>
          <w:sz w:val="24"/>
          <w:szCs w:val="24"/>
          <w:lang w:val="en-US"/>
        </w:rPr>
      </w:pPr>
      <w:r w:rsidRPr="002A7948">
        <w:rPr>
          <w:sz w:val="24"/>
          <w:szCs w:val="24"/>
          <w:lang w:val="en-US"/>
        </w:rPr>
        <w:t>neuromuscular blockade should be 1.2 mg/kg.</w:t>
      </w:r>
    </w:p>
    <w:p w14:paraId="2AEF2937" w14:textId="77777777" w:rsidR="00311DF4" w:rsidRPr="002A7948" w:rsidRDefault="00311DF4" w:rsidP="002A7948">
      <w:pPr>
        <w:ind w:left="851"/>
        <w:rPr>
          <w:sz w:val="24"/>
          <w:szCs w:val="24"/>
          <w:lang w:val="en-US"/>
        </w:rPr>
      </w:pPr>
    </w:p>
    <w:p w14:paraId="340CF8A0" w14:textId="77777777" w:rsidR="00311DF4" w:rsidRPr="002A7948" w:rsidRDefault="00311DF4" w:rsidP="002A7948">
      <w:pPr>
        <w:ind w:left="851"/>
        <w:rPr>
          <w:sz w:val="24"/>
          <w:szCs w:val="24"/>
          <w:lang w:val="en-US"/>
        </w:rPr>
      </w:pPr>
      <w:r w:rsidRPr="002A7948">
        <w:rPr>
          <w:sz w:val="24"/>
          <w:szCs w:val="24"/>
          <w:lang w:val="en-US"/>
        </w:rPr>
        <w:t xml:space="preserve">Re-administration of rocuronium or vecuronium after immediate reversal (16 mg/kg </w:t>
      </w:r>
      <w:proofErr w:type="spellStart"/>
      <w:r w:rsidRPr="002A7948">
        <w:rPr>
          <w:sz w:val="24"/>
          <w:szCs w:val="24"/>
          <w:lang w:val="en-US"/>
        </w:rPr>
        <w:t>sugammadex</w:t>
      </w:r>
      <w:proofErr w:type="spellEnd"/>
      <w:r w:rsidRPr="002A7948">
        <w:rPr>
          <w:sz w:val="24"/>
          <w:szCs w:val="24"/>
          <w:lang w:val="en-US"/>
        </w:rPr>
        <w:t>):</w:t>
      </w:r>
    </w:p>
    <w:p w14:paraId="70AADD33" w14:textId="77777777" w:rsidR="00311DF4" w:rsidRPr="002A7948" w:rsidRDefault="00311DF4" w:rsidP="002A7948">
      <w:pPr>
        <w:ind w:left="851"/>
        <w:rPr>
          <w:sz w:val="24"/>
          <w:szCs w:val="24"/>
          <w:lang w:val="en-US"/>
        </w:rPr>
      </w:pPr>
      <w:r w:rsidRPr="002A7948">
        <w:rPr>
          <w:sz w:val="24"/>
          <w:szCs w:val="24"/>
          <w:lang w:val="en-US"/>
        </w:rPr>
        <w:t xml:space="preserve">For the very rare cases where this might be required, a waiting time of 24 hours is suggested. </w:t>
      </w:r>
    </w:p>
    <w:p w14:paraId="65F4EDE1" w14:textId="77777777" w:rsidR="00311DF4" w:rsidRPr="002A7948" w:rsidRDefault="00311DF4" w:rsidP="002A7948">
      <w:pPr>
        <w:ind w:left="851"/>
        <w:rPr>
          <w:sz w:val="24"/>
          <w:szCs w:val="24"/>
          <w:lang w:val="en-US"/>
        </w:rPr>
      </w:pPr>
    </w:p>
    <w:p w14:paraId="0056B06D" w14:textId="77777777" w:rsidR="00311DF4" w:rsidRPr="002A7948" w:rsidRDefault="00311DF4" w:rsidP="002A7948">
      <w:pPr>
        <w:ind w:left="851"/>
        <w:rPr>
          <w:sz w:val="24"/>
          <w:szCs w:val="24"/>
          <w:lang w:val="en-US"/>
        </w:rPr>
      </w:pPr>
      <w:r w:rsidRPr="002A7948">
        <w:rPr>
          <w:sz w:val="24"/>
          <w:szCs w:val="24"/>
          <w:lang w:val="en-US"/>
        </w:rPr>
        <w:t>If neuromuscular blockade is required before the recommended waiting time has passed, a</w:t>
      </w:r>
      <w:r w:rsidRPr="002A7948">
        <w:rPr>
          <w:b/>
          <w:bCs/>
          <w:sz w:val="24"/>
          <w:szCs w:val="24"/>
          <w:lang w:val="en-US"/>
        </w:rPr>
        <w:t xml:space="preserve"> nonsteroidal neuromuscular blocking agent</w:t>
      </w:r>
      <w:r w:rsidRPr="002A7948">
        <w:rPr>
          <w:sz w:val="24"/>
          <w:szCs w:val="24"/>
          <w:lang w:val="en-US"/>
        </w:rPr>
        <w:t xml:space="preserve"> should be used. The onset of a depolarizing neuromuscular blocking agent might be slower than expected, because a substantial fraction of </w:t>
      </w:r>
      <w:proofErr w:type="spellStart"/>
      <w:r w:rsidRPr="002A7948">
        <w:rPr>
          <w:sz w:val="24"/>
          <w:szCs w:val="24"/>
          <w:lang w:val="en-US"/>
        </w:rPr>
        <w:t>postjunctional</w:t>
      </w:r>
      <w:proofErr w:type="spellEnd"/>
      <w:r w:rsidRPr="002A7948">
        <w:rPr>
          <w:sz w:val="24"/>
          <w:szCs w:val="24"/>
          <w:lang w:val="en-US"/>
        </w:rPr>
        <w:t xml:space="preserve"> nicotinic receptors can still be occupied by the neuromuscular blocking agent.</w:t>
      </w:r>
    </w:p>
    <w:p w14:paraId="18BAF75A" w14:textId="77777777" w:rsidR="00311DF4" w:rsidRPr="002A7948" w:rsidRDefault="00311DF4" w:rsidP="002A7948">
      <w:pPr>
        <w:ind w:left="851"/>
        <w:rPr>
          <w:sz w:val="24"/>
          <w:szCs w:val="24"/>
          <w:lang w:val="en-GB"/>
        </w:rPr>
      </w:pPr>
    </w:p>
    <w:p w14:paraId="57B0028D" w14:textId="77777777" w:rsidR="00311DF4" w:rsidRPr="002A7948" w:rsidRDefault="00311DF4" w:rsidP="002A7948">
      <w:pPr>
        <w:ind w:left="851"/>
        <w:rPr>
          <w:sz w:val="24"/>
          <w:szCs w:val="24"/>
          <w:u w:val="single"/>
          <w:lang w:val="en-GB"/>
        </w:rPr>
      </w:pPr>
      <w:r w:rsidRPr="002A7948">
        <w:rPr>
          <w:sz w:val="24"/>
          <w:szCs w:val="24"/>
          <w:u w:val="single"/>
          <w:lang w:val="en-US"/>
        </w:rPr>
        <w:t>Renal impairment:</w:t>
      </w:r>
    </w:p>
    <w:p w14:paraId="165EAEAD" w14:textId="77777777"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is not recommended for use in patients with severe renal impairment, including those requiring dialysis (see section 5.1).</w:t>
      </w:r>
    </w:p>
    <w:p w14:paraId="495FEB87" w14:textId="77777777" w:rsidR="00311DF4" w:rsidRPr="002A7948" w:rsidRDefault="00311DF4" w:rsidP="002A7948">
      <w:pPr>
        <w:ind w:left="851"/>
        <w:rPr>
          <w:sz w:val="24"/>
          <w:szCs w:val="24"/>
          <w:lang w:val="en-US"/>
        </w:rPr>
      </w:pPr>
    </w:p>
    <w:p w14:paraId="7FDB7B39" w14:textId="77777777" w:rsidR="00311DF4" w:rsidRPr="002A7948" w:rsidRDefault="00311DF4" w:rsidP="002A7948">
      <w:pPr>
        <w:ind w:left="851"/>
        <w:rPr>
          <w:sz w:val="24"/>
          <w:szCs w:val="24"/>
          <w:u w:val="single"/>
          <w:lang w:val="en-US"/>
        </w:rPr>
      </w:pPr>
      <w:r w:rsidRPr="002A7948">
        <w:rPr>
          <w:sz w:val="24"/>
          <w:szCs w:val="24"/>
          <w:u w:val="single"/>
          <w:lang w:val="en-US"/>
        </w:rPr>
        <w:t xml:space="preserve">Light </w:t>
      </w:r>
      <w:proofErr w:type="spellStart"/>
      <w:r w:rsidRPr="002A7948">
        <w:rPr>
          <w:sz w:val="24"/>
          <w:szCs w:val="24"/>
          <w:u w:val="single"/>
          <w:lang w:val="en-US"/>
        </w:rPr>
        <w:t>anaesthesia</w:t>
      </w:r>
      <w:proofErr w:type="spellEnd"/>
      <w:r w:rsidRPr="002A7948">
        <w:rPr>
          <w:sz w:val="24"/>
          <w:szCs w:val="24"/>
          <w:u w:val="single"/>
          <w:lang w:val="en-US"/>
        </w:rPr>
        <w:t>:</w:t>
      </w:r>
    </w:p>
    <w:p w14:paraId="22132A1A" w14:textId="688F5E08" w:rsidR="00311DF4" w:rsidRPr="002A7948" w:rsidRDefault="00311DF4" w:rsidP="002A7948">
      <w:pPr>
        <w:ind w:left="851"/>
        <w:rPr>
          <w:sz w:val="24"/>
          <w:szCs w:val="24"/>
          <w:lang w:val="en-US"/>
        </w:rPr>
      </w:pPr>
      <w:r w:rsidRPr="002A7948">
        <w:rPr>
          <w:sz w:val="24"/>
          <w:szCs w:val="24"/>
          <w:lang w:val="en-US"/>
        </w:rPr>
        <w:t xml:space="preserve">When neuromuscular blockade was reversed intentionally in the middle of </w:t>
      </w:r>
      <w:proofErr w:type="spellStart"/>
      <w:r w:rsidRPr="002A7948">
        <w:rPr>
          <w:sz w:val="24"/>
          <w:szCs w:val="24"/>
          <w:lang w:val="en-US"/>
        </w:rPr>
        <w:t>anaesthesia</w:t>
      </w:r>
      <w:proofErr w:type="spellEnd"/>
      <w:r w:rsidRPr="002A7948">
        <w:rPr>
          <w:sz w:val="24"/>
          <w:szCs w:val="24"/>
          <w:lang w:val="en-US"/>
        </w:rPr>
        <w:t xml:space="preserve"> in clinical trials, signs of light </w:t>
      </w:r>
      <w:proofErr w:type="spellStart"/>
      <w:r w:rsidRPr="002A7948">
        <w:rPr>
          <w:sz w:val="24"/>
          <w:szCs w:val="24"/>
          <w:lang w:val="en-US"/>
        </w:rPr>
        <w:t>anaesthesia</w:t>
      </w:r>
      <w:proofErr w:type="spellEnd"/>
      <w:r w:rsidRPr="002A7948">
        <w:rPr>
          <w:sz w:val="24"/>
          <w:szCs w:val="24"/>
          <w:lang w:val="en-US"/>
        </w:rPr>
        <w:t xml:space="preserve"> were noted occasionally (movement, coughing, grimacing and suckling of the tracheal tube).</w:t>
      </w:r>
    </w:p>
    <w:p w14:paraId="5442EC9A" w14:textId="77777777" w:rsidR="00311DF4" w:rsidRPr="002A7948" w:rsidRDefault="00311DF4" w:rsidP="002A7948">
      <w:pPr>
        <w:ind w:left="851"/>
        <w:rPr>
          <w:sz w:val="24"/>
          <w:szCs w:val="24"/>
          <w:lang w:val="en-US"/>
        </w:rPr>
      </w:pPr>
      <w:r w:rsidRPr="002A7948">
        <w:rPr>
          <w:sz w:val="24"/>
          <w:szCs w:val="24"/>
          <w:lang w:val="en-US"/>
        </w:rPr>
        <w:lastRenderedPageBreak/>
        <w:t xml:space="preserve">If neuromuscular blockade is reversed, while </w:t>
      </w:r>
      <w:proofErr w:type="spellStart"/>
      <w:r w:rsidRPr="002A7948">
        <w:rPr>
          <w:sz w:val="24"/>
          <w:szCs w:val="24"/>
          <w:lang w:val="en-US"/>
        </w:rPr>
        <w:t>anaesthesia</w:t>
      </w:r>
      <w:proofErr w:type="spellEnd"/>
      <w:r w:rsidRPr="002A7948">
        <w:rPr>
          <w:sz w:val="24"/>
          <w:szCs w:val="24"/>
          <w:lang w:val="en-US"/>
        </w:rPr>
        <w:t xml:space="preserve"> is continued, additional doses of </w:t>
      </w:r>
      <w:proofErr w:type="spellStart"/>
      <w:r w:rsidRPr="002A7948">
        <w:rPr>
          <w:sz w:val="24"/>
          <w:szCs w:val="24"/>
          <w:lang w:val="en-US"/>
        </w:rPr>
        <w:t>anaesthetic</w:t>
      </w:r>
      <w:proofErr w:type="spellEnd"/>
      <w:r w:rsidRPr="002A7948">
        <w:rPr>
          <w:sz w:val="24"/>
          <w:szCs w:val="24"/>
          <w:lang w:val="en-US"/>
        </w:rPr>
        <w:t xml:space="preserve"> and/or opioid should be given as clinically indicated.</w:t>
      </w:r>
    </w:p>
    <w:p w14:paraId="267BC2E3" w14:textId="77777777" w:rsidR="00311DF4" w:rsidRPr="002A7948" w:rsidRDefault="00311DF4" w:rsidP="002A7948">
      <w:pPr>
        <w:ind w:left="851"/>
        <w:rPr>
          <w:sz w:val="24"/>
          <w:szCs w:val="24"/>
          <w:lang w:val="en-GB"/>
        </w:rPr>
      </w:pPr>
    </w:p>
    <w:p w14:paraId="74F04A5D" w14:textId="77777777" w:rsidR="00311DF4" w:rsidRPr="002A7948" w:rsidRDefault="00311DF4" w:rsidP="002A7948">
      <w:pPr>
        <w:ind w:left="851"/>
        <w:rPr>
          <w:sz w:val="24"/>
          <w:szCs w:val="24"/>
          <w:u w:val="single"/>
          <w:lang w:val="en-GB"/>
        </w:rPr>
      </w:pPr>
      <w:r w:rsidRPr="002A7948">
        <w:rPr>
          <w:sz w:val="24"/>
          <w:szCs w:val="24"/>
          <w:u w:val="single"/>
          <w:lang w:val="en-US"/>
        </w:rPr>
        <w:t>Marked bradycardia:</w:t>
      </w:r>
    </w:p>
    <w:p w14:paraId="4161D210" w14:textId="1891A376" w:rsidR="00311DF4" w:rsidRPr="002A7948" w:rsidRDefault="00311DF4" w:rsidP="002A7948">
      <w:pPr>
        <w:ind w:left="851"/>
        <w:rPr>
          <w:sz w:val="24"/>
          <w:szCs w:val="24"/>
          <w:lang w:val="en-US"/>
        </w:rPr>
      </w:pPr>
      <w:r w:rsidRPr="002A7948">
        <w:rPr>
          <w:sz w:val="24"/>
          <w:szCs w:val="24"/>
          <w:lang w:val="en-US"/>
        </w:rPr>
        <w:t xml:space="preserve">In rare instances, marked bradycardia has been observed within minutes after the administration of </w:t>
      </w:r>
      <w:proofErr w:type="spellStart"/>
      <w:r w:rsidRPr="002A7948">
        <w:rPr>
          <w:sz w:val="24"/>
          <w:szCs w:val="24"/>
          <w:lang w:val="en-US"/>
        </w:rPr>
        <w:t>sugammadex</w:t>
      </w:r>
      <w:proofErr w:type="spellEnd"/>
      <w:r w:rsidRPr="002A7948">
        <w:rPr>
          <w:sz w:val="24"/>
          <w:szCs w:val="24"/>
          <w:lang w:val="en-US"/>
        </w:rPr>
        <w:t xml:space="preserve"> for reversal of neuromuscular blockade. Bradycardia may occasionally lead to cardiac arrest. (See section 4.8.) Patients should be closely monitored for hemodynamic changes during and after reversal of neuromuscular blockade. Treatment with anti-cholinergic agents such as atropine should be administered if clinically significant bradycardia is observed.</w:t>
      </w:r>
    </w:p>
    <w:p w14:paraId="60C48873" w14:textId="77777777" w:rsidR="00311DF4" w:rsidRPr="002A7948" w:rsidRDefault="00311DF4" w:rsidP="002A7948">
      <w:pPr>
        <w:ind w:left="851"/>
        <w:rPr>
          <w:sz w:val="24"/>
          <w:szCs w:val="24"/>
          <w:lang w:val="en-US"/>
        </w:rPr>
      </w:pPr>
    </w:p>
    <w:p w14:paraId="6EB39F68" w14:textId="77777777" w:rsidR="00311DF4" w:rsidRPr="002A7948" w:rsidRDefault="00311DF4" w:rsidP="002A7948">
      <w:pPr>
        <w:ind w:left="851"/>
        <w:rPr>
          <w:sz w:val="24"/>
          <w:szCs w:val="24"/>
          <w:u w:val="single"/>
          <w:lang w:val="en-US"/>
        </w:rPr>
      </w:pPr>
      <w:r w:rsidRPr="002A7948">
        <w:rPr>
          <w:sz w:val="24"/>
          <w:szCs w:val="24"/>
          <w:u w:val="single"/>
          <w:lang w:val="en-US"/>
        </w:rPr>
        <w:t>Hepatic impairment:</w:t>
      </w:r>
    </w:p>
    <w:p w14:paraId="7BF74DBE" w14:textId="29CE51DF"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is not </w:t>
      </w:r>
      <w:proofErr w:type="spellStart"/>
      <w:r w:rsidRPr="002A7948">
        <w:rPr>
          <w:sz w:val="24"/>
          <w:szCs w:val="24"/>
          <w:lang w:val="en-US"/>
        </w:rPr>
        <w:t>metabolised</w:t>
      </w:r>
      <w:proofErr w:type="spellEnd"/>
      <w:r w:rsidRPr="002A7948">
        <w:rPr>
          <w:sz w:val="24"/>
          <w:szCs w:val="24"/>
          <w:lang w:val="en-US"/>
        </w:rPr>
        <w:t xml:space="preserve"> nor excreted by the liver; therefore</w:t>
      </w:r>
      <w:r w:rsidR="001C0E54">
        <w:rPr>
          <w:sz w:val="24"/>
          <w:szCs w:val="24"/>
          <w:lang w:val="en-US"/>
        </w:rPr>
        <w:t>,</w:t>
      </w:r>
      <w:r w:rsidRPr="002A7948">
        <w:rPr>
          <w:sz w:val="24"/>
          <w:szCs w:val="24"/>
          <w:lang w:val="en-US"/>
        </w:rPr>
        <w:t xml:space="preserve"> dedicated studies in patients with hepatic impairment have not been conducted. Patients with severe hepatic impairment should be treated with great caution. In case hepatic impairment is accompanied by coagulopathy see the information on the effect on </w:t>
      </w:r>
      <w:proofErr w:type="spellStart"/>
      <w:r w:rsidRPr="002A7948">
        <w:rPr>
          <w:sz w:val="24"/>
          <w:szCs w:val="24"/>
          <w:lang w:val="en-US"/>
        </w:rPr>
        <w:t>haemostasis</w:t>
      </w:r>
      <w:proofErr w:type="spellEnd"/>
      <w:r w:rsidRPr="002A7948">
        <w:rPr>
          <w:sz w:val="24"/>
          <w:szCs w:val="24"/>
          <w:lang w:val="en-US"/>
        </w:rPr>
        <w:t>.</w:t>
      </w:r>
    </w:p>
    <w:p w14:paraId="596E60B1" w14:textId="77777777" w:rsidR="00311DF4" w:rsidRPr="002A7948" w:rsidRDefault="00311DF4" w:rsidP="002A7948">
      <w:pPr>
        <w:ind w:left="851"/>
        <w:rPr>
          <w:sz w:val="24"/>
          <w:szCs w:val="24"/>
          <w:lang w:val="en-US"/>
        </w:rPr>
      </w:pPr>
    </w:p>
    <w:p w14:paraId="7A804B13" w14:textId="77777777" w:rsidR="00311DF4" w:rsidRPr="002A7948" w:rsidRDefault="00311DF4" w:rsidP="002A7948">
      <w:pPr>
        <w:ind w:left="851"/>
        <w:rPr>
          <w:sz w:val="24"/>
          <w:szCs w:val="24"/>
          <w:u w:val="single"/>
          <w:lang w:val="en-US"/>
        </w:rPr>
      </w:pPr>
      <w:r w:rsidRPr="002A7948">
        <w:rPr>
          <w:sz w:val="24"/>
          <w:szCs w:val="24"/>
          <w:u w:val="single"/>
          <w:lang w:val="en-US"/>
        </w:rPr>
        <w:t>Use in Intensive Care Unit (ICU):</w:t>
      </w:r>
    </w:p>
    <w:p w14:paraId="26CD23DF" w14:textId="263898E5"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has not been investigated in patients receiving rocuronium or vecuronium in the ICU setting.</w:t>
      </w:r>
    </w:p>
    <w:p w14:paraId="26E5E12E" w14:textId="77777777" w:rsidR="00311DF4" w:rsidRPr="002A7948" w:rsidRDefault="00311DF4" w:rsidP="002A7948">
      <w:pPr>
        <w:ind w:left="851"/>
        <w:rPr>
          <w:sz w:val="24"/>
          <w:szCs w:val="24"/>
          <w:lang w:val="en-US"/>
        </w:rPr>
      </w:pPr>
    </w:p>
    <w:p w14:paraId="5BFC59E8" w14:textId="77777777" w:rsidR="00311DF4" w:rsidRPr="002A7948" w:rsidRDefault="00311DF4" w:rsidP="002A7948">
      <w:pPr>
        <w:ind w:left="851"/>
        <w:rPr>
          <w:sz w:val="24"/>
          <w:szCs w:val="24"/>
          <w:u w:val="single"/>
          <w:lang w:val="en-US"/>
        </w:rPr>
      </w:pPr>
      <w:r w:rsidRPr="002A7948">
        <w:rPr>
          <w:sz w:val="24"/>
          <w:szCs w:val="24"/>
          <w:u w:val="single"/>
          <w:lang w:val="en-US"/>
        </w:rPr>
        <w:t>Use for reversal of neuromuscular blocking agents other than rocuronium or vecuronium:</w:t>
      </w:r>
    </w:p>
    <w:p w14:paraId="7B11FBF5" w14:textId="644E576A"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should not be used to reverse block induced by </w:t>
      </w:r>
      <w:r w:rsidRPr="002A7948">
        <w:rPr>
          <w:b/>
          <w:bCs/>
          <w:sz w:val="24"/>
          <w:szCs w:val="24"/>
          <w:lang w:val="en-US"/>
        </w:rPr>
        <w:t>nonsteroidal</w:t>
      </w:r>
      <w:r w:rsidRPr="002A7948">
        <w:rPr>
          <w:sz w:val="24"/>
          <w:szCs w:val="24"/>
          <w:lang w:val="en-US"/>
        </w:rPr>
        <w:t xml:space="preserve"> neuromuscular blocking agents such as succinylcholine or </w:t>
      </w:r>
      <w:proofErr w:type="spellStart"/>
      <w:r w:rsidRPr="002A7948">
        <w:rPr>
          <w:sz w:val="24"/>
          <w:szCs w:val="24"/>
          <w:lang w:val="en-US"/>
        </w:rPr>
        <w:t>benzylisoquinolinium</w:t>
      </w:r>
      <w:proofErr w:type="spellEnd"/>
      <w:r w:rsidRPr="002A7948">
        <w:rPr>
          <w:sz w:val="24"/>
          <w:szCs w:val="24"/>
          <w:lang w:val="en-US"/>
        </w:rPr>
        <w:t xml:space="preserve"> compounds.</w:t>
      </w:r>
    </w:p>
    <w:p w14:paraId="7BFBEEAB" w14:textId="0976DB55"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should not be used for reversal of neuromuscular blockade induced by </w:t>
      </w:r>
      <w:r w:rsidRPr="002A7948">
        <w:rPr>
          <w:b/>
          <w:bCs/>
          <w:sz w:val="24"/>
          <w:szCs w:val="24"/>
          <w:lang w:val="en-US"/>
        </w:rPr>
        <w:t>steroidal</w:t>
      </w:r>
      <w:r w:rsidRPr="002A7948">
        <w:rPr>
          <w:sz w:val="24"/>
          <w:szCs w:val="24"/>
          <w:lang w:val="en-US"/>
        </w:rPr>
        <w:t xml:space="preserve"> neuromuscular blocking agents other than rocuronium or vecuronium, since there are no efficacy and safety data for these situations. Limited data are available for reversal of </w:t>
      </w:r>
      <w:proofErr w:type="spellStart"/>
      <w:r w:rsidRPr="002A7948">
        <w:rPr>
          <w:sz w:val="24"/>
          <w:szCs w:val="24"/>
          <w:lang w:val="en-US"/>
        </w:rPr>
        <w:t>pancuronium</w:t>
      </w:r>
      <w:proofErr w:type="spellEnd"/>
      <w:r w:rsidRPr="002A7948">
        <w:rPr>
          <w:sz w:val="24"/>
          <w:szCs w:val="24"/>
          <w:lang w:val="en-US"/>
        </w:rPr>
        <w:t xml:space="preserve"> induced blockade, but it is advised not to use </w:t>
      </w:r>
      <w:proofErr w:type="spellStart"/>
      <w:r w:rsidRPr="002A7948">
        <w:rPr>
          <w:sz w:val="24"/>
          <w:szCs w:val="24"/>
          <w:lang w:val="en-US"/>
        </w:rPr>
        <w:t>sugammadex</w:t>
      </w:r>
      <w:proofErr w:type="spellEnd"/>
      <w:r w:rsidRPr="002A7948">
        <w:rPr>
          <w:sz w:val="24"/>
          <w:szCs w:val="24"/>
          <w:lang w:val="en-US"/>
        </w:rPr>
        <w:t xml:space="preserve"> in this situation.</w:t>
      </w:r>
    </w:p>
    <w:p w14:paraId="0B002251" w14:textId="77777777" w:rsidR="00311DF4" w:rsidRPr="002A7948" w:rsidRDefault="00311DF4" w:rsidP="002A7948">
      <w:pPr>
        <w:ind w:left="851"/>
        <w:rPr>
          <w:sz w:val="24"/>
          <w:szCs w:val="24"/>
          <w:lang w:val="en-US"/>
        </w:rPr>
      </w:pPr>
    </w:p>
    <w:p w14:paraId="1F312B36" w14:textId="77777777" w:rsidR="00311DF4" w:rsidRPr="002A7948" w:rsidRDefault="00311DF4" w:rsidP="002A7948">
      <w:pPr>
        <w:ind w:left="851"/>
        <w:rPr>
          <w:sz w:val="24"/>
          <w:szCs w:val="24"/>
          <w:u w:val="single"/>
          <w:lang w:val="en-US"/>
        </w:rPr>
      </w:pPr>
      <w:r w:rsidRPr="002A7948">
        <w:rPr>
          <w:sz w:val="24"/>
          <w:szCs w:val="24"/>
          <w:u w:val="single"/>
          <w:lang w:val="en-US"/>
        </w:rPr>
        <w:t>Delayed recovery:</w:t>
      </w:r>
    </w:p>
    <w:p w14:paraId="3C53696B" w14:textId="77777777" w:rsidR="00311DF4" w:rsidRPr="002A7948" w:rsidRDefault="00311DF4" w:rsidP="002A7948">
      <w:pPr>
        <w:ind w:left="851"/>
        <w:rPr>
          <w:sz w:val="24"/>
          <w:szCs w:val="24"/>
          <w:lang w:val="en-US"/>
        </w:rPr>
      </w:pPr>
      <w:r w:rsidRPr="002A7948">
        <w:rPr>
          <w:sz w:val="24"/>
          <w:szCs w:val="24"/>
          <w:lang w:val="en-US"/>
        </w:rPr>
        <w:t xml:space="preserve">Conditions associated with prolonged circulation time such as cardiovascular disease, old age (see section 4.2 for the time to recovery in elderly), or </w:t>
      </w:r>
      <w:proofErr w:type="spellStart"/>
      <w:r w:rsidRPr="002A7948">
        <w:rPr>
          <w:sz w:val="24"/>
          <w:szCs w:val="24"/>
          <w:lang w:val="en-US"/>
        </w:rPr>
        <w:t>oedematous</w:t>
      </w:r>
      <w:proofErr w:type="spellEnd"/>
      <w:r w:rsidRPr="002A7948">
        <w:rPr>
          <w:sz w:val="24"/>
          <w:szCs w:val="24"/>
          <w:lang w:val="en-US"/>
        </w:rPr>
        <w:t xml:space="preserve"> state (e.g., severe hepatic impairment) may be associated with longer recovery times.</w:t>
      </w:r>
    </w:p>
    <w:p w14:paraId="67000D8D" w14:textId="77777777" w:rsidR="00311DF4" w:rsidRPr="002A7948" w:rsidRDefault="00311DF4" w:rsidP="002A7948">
      <w:pPr>
        <w:ind w:left="851"/>
        <w:rPr>
          <w:sz w:val="24"/>
          <w:szCs w:val="24"/>
          <w:lang w:val="en-US"/>
        </w:rPr>
      </w:pPr>
    </w:p>
    <w:p w14:paraId="0814D8B5" w14:textId="77777777" w:rsidR="00311DF4" w:rsidRPr="002A7948" w:rsidRDefault="00311DF4" w:rsidP="002A7948">
      <w:pPr>
        <w:ind w:left="851"/>
        <w:rPr>
          <w:sz w:val="24"/>
          <w:szCs w:val="24"/>
          <w:u w:val="single"/>
          <w:lang w:val="en-US"/>
        </w:rPr>
      </w:pPr>
      <w:r w:rsidRPr="002A7948">
        <w:rPr>
          <w:sz w:val="24"/>
          <w:szCs w:val="24"/>
          <w:u w:val="single"/>
          <w:lang w:val="en-US"/>
        </w:rPr>
        <w:t>Drug hypersensitivity reactions:</w:t>
      </w:r>
    </w:p>
    <w:p w14:paraId="22CA3C3F" w14:textId="77777777" w:rsidR="00311DF4" w:rsidRPr="002A7948" w:rsidRDefault="00311DF4" w:rsidP="002A7948">
      <w:pPr>
        <w:ind w:left="851"/>
        <w:rPr>
          <w:sz w:val="24"/>
          <w:szCs w:val="24"/>
          <w:lang w:val="en-US"/>
        </w:rPr>
      </w:pPr>
      <w:r w:rsidRPr="002A7948">
        <w:rPr>
          <w:sz w:val="24"/>
          <w:szCs w:val="24"/>
          <w:lang w:val="en-US"/>
        </w:rPr>
        <w:t xml:space="preserve">Clinicians should be prepared for the possibility of drug hypersensitivity reactions (including anaphylactic reactions) and take the necessary </w:t>
      </w:r>
      <w:r w:rsidRPr="002A7948">
        <w:rPr>
          <w:sz w:val="24"/>
          <w:szCs w:val="24"/>
          <w:u w:val="single"/>
          <w:lang w:val="en-US"/>
        </w:rPr>
        <w:t>precautions</w:t>
      </w:r>
      <w:r w:rsidRPr="002A7948">
        <w:rPr>
          <w:sz w:val="24"/>
          <w:szCs w:val="24"/>
          <w:lang w:val="en-US"/>
        </w:rPr>
        <w:t xml:space="preserve"> (see section 4.8).</w:t>
      </w:r>
    </w:p>
    <w:p w14:paraId="437601F9" w14:textId="77777777" w:rsidR="00311DF4" w:rsidRPr="002A7948" w:rsidRDefault="00311DF4" w:rsidP="002A7948">
      <w:pPr>
        <w:ind w:left="851"/>
        <w:rPr>
          <w:sz w:val="24"/>
          <w:szCs w:val="24"/>
          <w:lang w:val="en-US"/>
        </w:rPr>
      </w:pPr>
    </w:p>
    <w:p w14:paraId="21367311" w14:textId="77777777" w:rsidR="00311DF4" w:rsidRPr="002A7948" w:rsidRDefault="00311DF4" w:rsidP="002A7948">
      <w:pPr>
        <w:ind w:left="851"/>
        <w:rPr>
          <w:sz w:val="24"/>
          <w:szCs w:val="24"/>
          <w:u w:val="single"/>
          <w:lang w:val="en-US"/>
        </w:rPr>
      </w:pPr>
      <w:r w:rsidRPr="002A7948">
        <w:rPr>
          <w:sz w:val="24"/>
          <w:szCs w:val="24"/>
          <w:u w:val="single"/>
          <w:lang w:val="en-US"/>
        </w:rPr>
        <w:t>Sodium:</w:t>
      </w:r>
    </w:p>
    <w:p w14:paraId="40E92333" w14:textId="77777777" w:rsidR="00311DF4" w:rsidRPr="002A7948" w:rsidRDefault="00311DF4" w:rsidP="002A7948">
      <w:pPr>
        <w:ind w:left="851"/>
        <w:rPr>
          <w:sz w:val="24"/>
          <w:szCs w:val="24"/>
          <w:lang w:val="en-US"/>
        </w:rPr>
      </w:pPr>
      <w:r w:rsidRPr="002A7948">
        <w:rPr>
          <w:sz w:val="24"/>
          <w:szCs w:val="24"/>
          <w:lang w:val="en-US"/>
        </w:rPr>
        <w:t>This medicinal product contains up to 9.7 mg sodium per mL, equivalent to 0.5 % of the WHO recommended maximum daily intake of 2 g sodium for an adult.</w:t>
      </w:r>
    </w:p>
    <w:p w14:paraId="1F5530F0" w14:textId="77777777" w:rsidR="007C5D2A" w:rsidRPr="002A7948" w:rsidRDefault="007C5D2A" w:rsidP="003E0341">
      <w:pPr>
        <w:tabs>
          <w:tab w:val="left" w:pos="851"/>
        </w:tabs>
        <w:ind w:left="851"/>
        <w:rPr>
          <w:sz w:val="24"/>
          <w:szCs w:val="24"/>
          <w:lang w:val="en-GB"/>
        </w:rPr>
      </w:pPr>
    </w:p>
    <w:p w14:paraId="22433078" w14:textId="77777777" w:rsidR="007C5D2A" w:rsidRPr="002A7948" w:rsidRDefault="007C5D2A" w:rsidP="007C5D2A">
      <w:pPr>
        <w:ind w:left="851" w:hanging="851"/>
        <w:rPr>
          <w:b/>
          <w:sz w:val="24"/>
          <w:szCs w:val="24"/>
          <w:lang w:val="en-GB"/>
        </w:rPr>
      </w:pPr>
      <w:r w:rsidRPr="002A7948">
        <w:rPr>
          <w:b/>
          <w:sz w:val="24"/>
          <w:szCs w:val="24"/>
          <w:lang w:val="en-GB"/>
        </w:rPr>
        <w:t>4.5</w:t>
      </w:r>
      <w:r w:rsidRPr="002A7948">
        <w:rPr>
          <w:b/>
          <w:sz w:val="24"/>
          <w:szCs w:val="24"/>
          <w:lang w:val="en-GB"/>
        </w:rPr>
        <w:tab/>
        <w:t>Interaction with other medicinal products and other forms of interaction</w:t>
      </w:r>
    </w:p>
    <w:p w14:paraId="61FFE2C9"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The information in this section is based on binding affinity between </w:t>
      </w:r>
      <w:proofErr w:type="spellStart"/>
      <w:r w:rsidRPr="002A7948">
        <w:rPr>
          <w:sz w:val="24"/>
          <w:szCs w:val="24"/>
          <w:lang w:val="en-US"/>
        </w:rPr>
        <w:t>sugammadex</w:t>
      </w:r>
      <w:proofErr w:type="spellEnd"/>
      <w:r w:rsidRPr="002A7948">
        <w:rPr>
          <w:sz w:val="24"/>
          <w:szCs w:val="24"/>
          <w:lang w:val="en-US"/>
        </w:rPr>
        <w:t xml:space="preserve"> and other medicinal products, non-clinical experiments, clinical studies and simulations using a model </w:t>
      </w:r>
      <w:proofErr w:type="gramStart"/>
      <w:r w:rsidRPr="002A7948">
        <w:rPr>
          <w:sz w:val="24"/>
          <w:szCs w:val="24"/>
          <w:lang w:val="en-US"/>
        </w:rPr>
        <w:t>taking into account</w:t>
      </w:r>
      <w:proofErr w:type="gramEnd"/>
      <w:r w:rsidRPr="002A7948">
        <w:rPr>
          <w:sz w:val="24"/>
          <w:szCs w:val="24"/>
          <w:lang w:val="en-US"/>
        </w:rPr>
        <w:t xml:space="preserve"> the pharmacodynamic effect of neuromuscular blocking agents and the pharmacokinetic interaction between neuromuscular blocking agents and </w:t>
      </w:r>
      <w:proofErr w:type="spellStart"/>
      <w:r w:rsidRPr="002A7948">
        <w:rPr>
          <w:sz w:val="24"/>
          <w:szCs w:val="24"/>
          <w:lang w:val="en-US"/>
        </w:rPr>
        <w:t>sugammadex</w:t>
      </w:r>
      <w:proofErr w:type="spellEnd"/>
      <w:r w:rsidRPr="002A7948">
        <w:rPr>
          <w:sz w:val="24"/>
          <w:szCs w:val="24"/>
          <w:lang w:val="en-US"/>
        </w:rPr>
        <w:t>. Based on these data, no clinically significant pharmacodynamic interaction with other medicinal products is expected, with exception of the following:</w:t>
      </w:r>
    </w:p>
    <w:p w14:paraId="30AC1E2D"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lastRenderedPageBreak/>
        <w:t xml:space="preserve">For toremifene and </w:t>
      </w:r>
      <w:proofErr w:type="spellStart"/>
      <w:r w:rsidRPr="002A7948">
        <w:rPr>
          <w:sz w:val="24"/>
          <w:szCs w:val="24"/>
          <w:lang w:val="en-US"/>
        </w:rPr>
        <w:t>fusidic</w:t>
      </w:r>
      <w:proofErr w:type="spellEnd"/>
      <w:r w:rsidRPr="002A7948">
        <w:rPr>
          <w:sz w:val="24"/>
          <w:szCs w:val="24"/>
          <w:lang w:val="en-US"/>
        </w:rPr>
        <w:t xml:space="preserve"> acid displacement interactions could not be excluded (no clinically relevant capturing interactions are expected).</w:t>
      </w:r>
    </w:p>
    <w:p w14:paraId="560E6011" w14:textId="77777777" w:rsidR="00311DF4" w:rsidRPr="002A7948" w:rsidRDefault="00311DF4" w:rsidP="002A7948">
      <w:pPr>
        <w:autoSpaceDE w:val="0"/>
        <w:autoSpaceDN w:val="0"/>
        <w:adjustRightInd w:val="0"/>
        <w:ind w:left="851"/>
        <w:rPr>
          <w:sz w:val="24"/>
          <w:szCs w:val="24"/>
          <w:lang w:val="en-US"/>
        </w:rPr>
      </w:pPr>
    </w:p>
    <w:p w14:paraId="059CC885" w14:textId="69E7EC02" w:rsidR="00311DF4" w:rsidRPr="002A7948" w:rsidRDefault="00311DF4" w:rsidP="002A7948">
      <w:pPr>
        <w:autoSpaceDE w:val="0"/>
        <w:autoSpaceDN w:val="0"/>
        <w:adjustRightInd w:val="0"/>
        <w:ind w:left="851"/>
        <w:rPr>
          <w:sz w:val="24"/>
          <w:szCs w:val="24"/>
          <w:lang w:val="en-US"/>
        </w:rPr>
      </w:pPr>
      <w:r w:rsidRPr="002A7948">
        <w:rPr>
          <w:sz w:val="24"/>
          <w:szCs w:val="24"/>
          <w:lang w:val="en-US"/>
        </w:rPr>
        <w:t>For hormonal contraceptives a clinically relevant capturing interaction could not be excluded (no</w:t>
      </w:r>
      <w:r w:rsidR="001C0E54">
        <w:rPr>
          <w:sz w:val="24"/>
          <w:szCs w:val="24"/>
          <w:lang w:val="en-US"/>
        </w:rPr>
        <w:t xml:space="preserve"> </w:t>
      </w:r>
      <w:r w:rsidRPr="002A7948">
        <w:rPr>
          <w:sz w:val="24"/>
          <w:szCs w:val="24"/>
          <w:lang w:val="en-US"/>
        </w:rPr>
        <w:t>displacement interactions are expected).</w:t>
      </w:r>
    </w:p>
    <w:p w14:paraId="6AC54106" w14:textId="77777777" w:rsidR="00311DF4" w:rsidRPr="002A7948" w:rsidRDefault="00311DF4" w:rsidP="002A7948">
      <w:pPr>
        <w:autoSpaceDE w:val="0"/>
        <w:autoSpaceDN w:val="0"/>
        <w:adjustRightInd w:val="0"/>
        <w:ind w:left="851"/>
        <w:rPr>
          <w:sz w:val="24"/>
          <w:szCs w:val="24"/>
          <w:lang w:val="en-US"/>
        </w:rPr>
      </w:pPr>
    </w:p>
    <w:p w14:paraId="2C5C7D0C" w14:textId="77777777" w:rsidR="00311DF4" w:rsidRPr="002A7948" w:rsidRDefault="00311DF4" w:rsidP="002A7948">
      <w:pPr>
        <w:autoSpaceDE w:val="0"/>
        <w:autoSpaceDN w:val="0"/>
        <w:adjustRightInd w:val="0"/>
        <w:ind w:left="851"/>
        <w:rPr>
          <w:sz w:val="24"/>
          <w:szCs w:val="24"/>
          <w:u w:val="single"/>
          <w:lang w:val="en-US"/>
        </w:rPr>
      </w:pPr>
      <w:r w:rsidRPr="002A7948">
        <w:rPr>
          <w:sz w:val="24"/>
          <w:szCs w:val="24"/>
          <w:u w:val="single"/>
          <w:lang w:val="en-US"/>
        </w:rPr>
        <w:t xml:space="preserve">Interactions potentially affecting the efficacy of </w:t>
      </w:r>
      <w:proofErr w:type="spellStart"/>
      <w:r w:rsidRPr="002A7948">
        <w:rPr>
          <w:sz w:val="24"/>
          <w:szCs w:val="24"/>
          <w:u w:val="single"/>
          <w:lang w:val="en-US"/>
        </w:rPr>
        <w:t>sugammadex</w:t>
      </w:r>
      <w:proofErr w:type="spellEnd"/>
      <w:r w:rsidRPr="002A7948">
        <w:rPr>
          <w:sz w:val="24"/>
          <w:szCs w:val="24"/>
          <w:u w:val="single"/>
          <w:lang w:val="en-US"/>
        </w:rPr>
        <w:t xml:space="preserve"> (displacement interactions):</w:t>
      </w:r>
    </w:p>
    <w:p w14:paraId="7336054E" w14:textId="0155F00F"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Due to the administration of certain medicinal products after </w:t>
      </w:r>
      <w:proofErr w:type="spellStart"/>
      <w:r w:rsidRPr="002A7948">
        <w:rPr>
          <w:sz w:val="24"/>
          <w:szCs w:val="24"/>
          <w:lang w:val="en-US"/>
        </w:rPr>
        <w:t>sugammadex</w:t>
      </w:r>
      <w:proofErr w:type="spellEnd"/>
      <w:r w:rsidRPr="002A7948">
        <w:rPr>
          <w:sz w:val="24"/>
          <w:szCs w:val="24"/>
          <w:lang w:val="en-US"/>
        </w:rPr>
        <w:t xml:space="preserve">, theoretically rocuronium or vecuronium could be displaced from </w:t>
      </w:r>
      <w:proofErr w:type="spellStart"/>
      <w:r w:rsidRPr="002A7948">
        <w:rPr>
          <w:sz w:val="24"/>
          <w:szCs w:val="24"/>
          <w:lang w:val="en-US"/>
        </w:rPr>
        <w:t>sugammadex</w:t>
      </w:r>
      <w:proofErr w:type="spellEnd"/>
      <w:r w:rsidRPr="002A7948">
        <w:rPr>
          <w:sz w:val="24"/>
          <w:szCs w:val="24"/>
          <w:lang w:val="en-US"/>
        </w:rPr>
        <w:t>. As a result</w:t>
      </w:r>
      <w:r w:rsidR="001C0E54">
        <w:rPr>
          <w:sz w:val="24"/>
          <w:szCs w:val="24"/>
          <w:lang w:val="en-US"/>
        </w:rPr>
        <w:t>,</w:t>
      </w:r>
      <w:r w:rsidRPr="002A7948">
        <w:rPr>
          <w:sz w:val="24"/>
          <w:szCs w:val="24"/>
          <w:lang w:val="en-US"/>
        </w:rPr>
        <w:t xml:space="preserve"> recurrence of neuromuscular blockade might be observed. In this situation the patient must be ventilated. Administration of the medicinal product which caused displacement should be stopped in case of an infusion. In situations when potential displacement interactions can be anticipated, patients should be carefully monitored for signs of recurrence of neuromuscular blockade (approximately up to 15 minutes) after parenteral administration of another medicinal product occurring within a period of 7.5 hours after </w:t>
      </w:r>
      <w:proofErr w:type="spellStart"/>
      <w:r w:rsidRPr="002A7948">
        <w:rPr>
          <w:sz w:val="24"/>
          <w:szCs w:val="24"/>
          <w:lang w:val="en-US"/>
        </w:rPr>
        <w:t>sugammadex</w:t>
      </w:r>
      <w:proofErr w:type="spellEnd"/>
      <w:r w:rsidRPr="002A7948">
        <w:rPr>
          <w:sz w:val="24"/>
          <w:szCs w:val="24"/>
          <w:lang w:val="en-US"/>
        </w:rPr>
        <w:t xml:space="preserve"> administration.</w:t>
      </w:r>
    </w:p>
    <w:p w14:paraId="1CBFA47C" w14:textId="77777777" w:rsidR="002A7948" w:rsidRDefault="002A7948" w:rsidP="002A7948">
      <w:pPr>
        <w:autoSpaceDE w:val="0"/>
        <w:autoSpaceDN w:val="0"/>
        <w:adjustRightInd w:val="0"/>
        <w:ind w:left="851"/>
        <w:rPr>
          <w:sz w:val="24"/>
          <w:szCs w:val="24"/>
          <w:lang w:val="en-US"/>
        </w:rPr>
      </w:pPr>
    </w:p>
    <w:p w14:paraId="2E3D8980" w14:textId="5F17525D" w:rsidR="00311DF4" w:rsidRPr="002A7948" w:rsidRDefault="00311DF4" w:rsidP="002A7948">
      <w:pPr>
        <w:autoSpaceDE w:val="0"/>
        <w:autoSpaceDN w:val="0"/>
        <w:adjustRightInd w:val="0"/>
        <w:ind w:left="851"/>
        <w:rPr>
          <w:sz w:val="24"/>
          <w:szCs w:val="24"/>
          <w:lang w:val="en-US"/>
        </w:rPr>
      </w:pPr>
      <w:r w:rsidRPr="002A7948">
        <w:rPr>
          <w:sz w:val="24"/>
          <w:szCs w:val="24"/>
          <w:lang w:val="en-US"/>
        </w:rPr>
        <w:t>Toremifene:</w:t>
      </w:r>
    </w:p>
    <w:p w14:paraId="09D0C4A7"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For toremifene, which has a relatively high binding affinity for </w:t>
      </w:r>
      <w:proofErr w:type="spellStart"/>
      <w:r w:rsidRPr="002A7948">
        <w:rPr>
          <w:sz w:val="24"/>
          <w:szCs w:val="24"/>
          <w:lang w:val="en-US"/>
        </w:rPr>
        <w:t>sugammadex</w:t>
      </w:r>
      <w:proofErr w:type="spellEnd"/>
      <w:r w:rsidRPr="002A7948">
        <w:rPr>
          <w:sz w:val="24"/>
          <w:szCs w:val="24"/>
          <w:lang w:val="en-US"/>
        </w:rPr>
        <w:t xml:space="preserve"> and for which relatively high plasma concentrations might be present, some displacement of vecuronium or rocuronium from the complex with </w:t>
      </w:r>
      <w:proofErr w:type="spellStart"/>
      <w:r w:rsidRPr="002A7948">
        <w:rPr>
          <w:sz w:val="24"/>
          <w:szCs w:val="24"/>
          <w:lang w:val="en-US"/>
        </w:rPr>
        <w:t>sugammadex</w:t>
      </w:r>
      <w:proofErr w:type="spellEnd"/>
      <w:r w:rsidRPr="002A7948">
        <w:rPr>
          <w:sz w:val="24"/>
          <w:szCs w:val="24"/>
          <w:lang w:val="en-US"/>
        </w:rPr>
        <w:t xml:space="preserve"> could occur. Clinicians should be aware that the recovery of the T</w:t>
      </w:r>
      <w:r w:rsidRPr="002A7948">
        <w:rPr>
          <w:sz w:val="24"/>
          <w:szCs w:val="24"/>
          <w:vertAlign w:val="subscript"/>
          <w:lang w:val="en-US"/>
        </w:rPr>
        <w:t>4</w:t>
      </w:r>
      <w:r w:rsidRPr="002A7948">
        <w:rPr>
          <w:sz w:val="24"/>
          <w:szCs w:val="24"/>
          <w:lang w:val="en-US"/>
        </w:rPr>
        <w:t>/T</w:t>
      </w:r>
      <w:r w:rsidRPr="002A7948">
        <w:rPr>
          <w:sz w:val="24"/>
          <w:szCs w:val="24"/>
          <w:vertAlign w:val="subscript"/>
          <w:lang w:val="en-US"/>
        </w:rPr>
        <w:t>1</w:t>
      </w:r>
      <w:r w:rsidRPr="002A7948">
        <w:rPr>
          <w:sz w:val="24"/>
          <w:szCs w:val="24"/>
          <w:lang w:val="en-US"/>
        </w:rPr>
        <w:t xml:space="preserve"> ratio to 0.9 could therefore be delayed in patients who have received toremifene on the same day of the operation.</w:t>
      </w:r>
    </w:p>
    <w:p w14:paraId="2914E348" w14:textId="77777777" w:rsidR="00311DF4" w:rsidRPr="002A7948" w:rsidRDefault="00311DF4" w:rsidP="002A7948">
      <w:pPr>
        <w:autoSpaceDE w:val="0"/>
        <w:autoSpaceDN w:val="0"/>
        <w:adjustRightInd w:val="0"/>
        <w:ind w:left="851"/>
        <w:rPr>
          <w:sz w:val="24"/>
          <w:szCs w:val="24"/>
          <w:lang w:val="en-US"/>
        </w:rPr>
      </w:pPr>
    </w:p>
    <w:p w14:paraId="216005DE"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Intravenous administration of </w:t>
      </w:r>
      <w:proofErr w:type="spellStart"/>
      <w:r w:rsidRPr="002A7948">
        <w:rPr>
          <w:sz w:val="24"/>
          <w:szCs w:val="24"/>
          <w:lang w:val="en-US"/>
        </w:rPr>
        <w:t>fusidic</w:t>
      </w:r>
      <w:proofErr w:type="spellEnd"/>
      <w:r w:rsidRPr="002A7948">
        <w:rPr>
          <w:sz w:val="24"/>
          <w:szCs w:val="24"/>
          <w:lang w:val="en-US"/>
        </w:rPr>
        <w:t xml:space="preserve"> acid:</w:t>
      </w:r>
    </w:p>
    <w:p w14:paraId="7BCDDEC6"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The use of </w:t>
      </w:r>
      <w:proofErr w:type="spellStart"/>
      <w:r w:rsidRPr="002A7948">
        <w:rPr>
          <w:sz w:val="24"/>
          <w:szCs w:val="24"/>
          <w:lang w:val="en-US"/>
        </w:rPr>
        <w:t>fusidic</w:t>
      </w:r>
      <w:proofErr w:type="spellEnd"/>
      <w:r w:rsidRPr="002A7948">
        <w:rPr>
          <w:sz w:val="24"/>
          <w:szCs w:val="24"/>
          <w:lang w:val="en-US"/>
        </w:rPr>
        <w:t xml:space="preserve"> acid in the pre-operative phase may give some delay in the recovery of the T</w:t>
      </w:r>
      <w:r w:rsidRPr="002A7948">
        <w:rPr>
          <w:sz w:val="24"/>
          <w:szCs w:val="24"/>
          <w:vertAlign w:val="subscript"/>
          <w:lang w:val="en-US"/>
        </w:rPr>
        <w:t>4</w:t>
      </w:r>
      <w:r w:rsidRPr="002A7948">
        <w:rPr>
          <w:sz w:val="24"/>
          <w:szCs w:val="24"/>
          <w:lang w:val="en-US"/>
        </w:rPr>
        <w:t>/T</w:t>
      </w:r>
      <w:r w:rsidRPr="002A7948">
        <w:rPr>
          <w:sz w:val="24"/>
          <w:szCs w:val="24"/>
          <w:vertAlign w:val="subscript"/>
          <w:lang w:val="en-US"/>
        </w:rPr>
        <w:t>1</w:t>
      </w:r>
      <w:r w:rsidRPr="002A7948">
        <w:rPr>
          <w:sz w:val="24"/>
          <w:szCs w:val="24"/>
          <w:lang w:val="en-US"/>
        </w:rPr>
        <w:t xml:space="preserve"> ratio to 0.9. No recurrence of neuromuscular blockade is expected in the post-operative phase, since the infusion rate of </w:t>
      </w:r>
      <w:proofErr w:type="spellStart"/>
      <w:r w:rsidRPr="002A7948">
        <w:rPr>
          <w:sz w:val="24"/>
          <w:szCs w:val="24"/>
          <w:lang w:val="en-US"/>
        </w:rPr>
        <w:t>fusidic</w:t>
      </w:r>
      <w:proofErr w:type="spellEnd"/>
      <w:r w:rsidRPr="002A7948">
        <w:rPr>
          <w:sz w:val="24"/>
          <w:szCs w:val="24"/>
          <w:lang w:val="en-US"/>
        </w:rPr>
        <w:t xml:space="preserve"> acid is over a period of several hours and the blood levels are cumulative over 2-3 days. For re-administration of </w:t>
      </w:r>
      <w:proofErr w:type="spellStart"/>
      <w:r w:rsidRPr="002A7948">
        <w:rPr>
          <w:sz w:val="24"/>
          <w:szCs w:val="24"/>
          <w:lang w:val="en-US"/>
        </w:rPr>
        <w:t>sugammadex</w:t>
      </w:r>
      <w:proofErr w:type="spellEnd"/>
      <w:r w:rsidRPr="002A7948">
        <w:rPr>
          <w:sz w:val="24"/>
          <w:szCs w:val="24"/>
          <w:lang w:val="en-US"/>
        </w:rPr>
        <w:t xml:space="preserve"> see section 4.2.</w:t>
      </w:r>
    </w:p>
    <w:p w14:paraId="23E85CEC" w14:textId="77777777" w:rsidR="00311DF4" w:rsidRPr="002A7948" w:rsidRDefault="00311DF4" w:rsidP="002A7948">
      <w:pPr>
        <w:autoSpaceDE w:val="0"/>
        <w:autoSpaceDN w:val="0"/>
        <w:adjustRightInd w:val="0"/>
        <w:ind w:left="851"/>
        <w:rPr>
          <w:sz w:val="24"/>
          <w:szCs w:val="24"/>
          <w:lang w:val="en-US"/>
        </w:rPr>
      </w:pPr>
    </w:p>
    <w:p w14:paraId="2441A17A" w14:textId="77777777" w:rsidR="00311DF4" w:rsidRPr="002A7948" w:rsidRDefault="00311DF4" w:rsidP="002A7948">
      <w:pPr>
        <w:autoSpaceDE w:val="0"/>
        <w:autoSpaceDN w:val="0"/>
        <w:adjustRightInd w:val="0"/>
        <w:ind w:left="851"/>
        <w:rPr>
          <w:sz w:val="24"/>
          <w:szCs w:val="24"/>
          <w:u w:val="single"/>
          <w:lang w:val="en-US"/>
        </w:rPr>
      </w:pPr>
      <w:r w:rsidRPr="002A7948">
        <w:rPr>
          <w:sz w:val="24"/>
          <w:szCs w:val="24"/>
          <w:u w:val="single"/>
          <w:lang w:val="en-US"/>
        </w:rPr>
        <w:t>Interactions potentially affecting the efficacy of other medicinal products (capturing interactions):</w:t>
      </w:r>
    </w:p>
    <w:p w14:paraId="04DC93B3"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Due to the administration of </w:t>
      </w:r>
      <w:proofErr w:type="spellStart"/>
      <w:r w:rsidRPr="002A7948">
        <w:rPr>
          <w:sz w:val="24"/>
          <w:szCs w:val="24"/>
          <w:lang w:val="en-US"/>
        </w:rPr>
        <w:t>sugammadex</w:t>
      </w:r>
      <w:proofErr w:type="spellEnd"/>
      <w:r w:rsidRPr="002A7948">
        <w:rPr>
          <w:sz w:val="24"/>
          <w:szCs w:val="24"/>
          <w:lang w:val="en-US"/>
        </w:rPr>
        <w:t>, certain medicinal products could become less effective due to a lowering of the (free) plasma concentrations. If such a situation is observed, the clinician is advised to consider the re-administration of the medicinal product, the administration of a therapeutically equivalent medicinal product (preferably from a different chemical class) and/or nonpharmacological interventions as appropriate.</w:t>
      </w:r>
    </w:p>
    <w:p w14:paraId="1D1AED5B" w14:textId="77777777" w:rsidR="00311DF4" w:rsidRPr="002A7948" w:rsidRDefault="00311DF4" w:rsidP="002A7948">
      <w:pPr>
        <w:autoSpaceDE w:val="0"/>
        <w:autoSpaceDN w:val="0"/>
        <w:adjustRightInd w:val="0"/>
        <w:ind w:left="851"/>
        <w:rPr>
          <w:sz w:val="24"/>
          <w:szCs w:val="24"/>
          <w:lang w:val="en-US"/>
        </w:rPr>
      </w:pPr>
    </w:p>
    <w:p w14:paraId="2D107FCC"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Hormonal contraceptives:</w:t>
      </w:r>
    </w:p>
    <w:p w14:paraId="6D037060" w14:textId="69F11DC3"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The interaction between 4 mg/kg </w:t>
      </w:r>
      <w:proofErr w:type="spellStart"/>
      <w:r w:rsidRPr="002A7948">
        <w:rPr>
          <w:sz w:val="24"/>
          <w:szCs w:val="24"/>
          <w:lang w:val="en-US"/>
        </w:rPr>
        <w:t>sugammadex</w:t>
      </w:r>
      <w:proofErr w:type="spellEnd"/>
      <w:r w:rsidRPr="002A7948">
        <w:rPr>
          <w:sz w:val="24"/>
          <w:szCs w:val="24"/>
          <w:lang w:val="en-US"/>
        </w:rPr>
        <w:t xml:space="preserve"> and a progestogen was predicted to lead to a decrease in progestogen exposure (34% of AUC) similar to the decrease seen when a daily dose of an oral contraceptive is taken 12 hours too late, which might lead to a reduction in effectiveness. For </w:t>
      </w:r>
      <w:proofErr w:type="spellStart"/>
      <w:r w:rsidRPr="002A7948">
        <w:rPr>
          <w:sz w:val="24"/>
          <w:szCs w:val="24"/>
          <w:lang w:val="en-US"/>
        </w:rPr>
        <w:t>oestrogens</w:t>
      </w:r>
      <w:proofErr w:type="spellEnd"/>
      <w:r w:rsidRPr="002A7948">
        <w:rPr>
          <w:sz w:val="24"/>
          <w:szCs w:val="24"/>
          <w:lang w:val="en-US"/>
        </w:rPr>
        <w:t>, the effect is expected to be lower. Therefore</w:t>
      </w:r>
      <w:r w:rsidR="00574AEF">
        <w:rPr>
          <w:sz w:val="24"/>
          <w:szCs w:val="24"/>
          <w:lang w:val="en-US"/>
        </w:rPr>
        <w:t>,</w:t>
      </w:r>
      <w:r w:rsidRPr="002A7948">
        <w:rPr>
          <w:sz w:val="24"/>
          <w:szCs w:val="24"/>
          <w:lang w:val="en-US"/>
        </w:rPr>
        <w:t xml:space="preserve"> the administration of a bolus dose of </w:t>
      </w:r>
      <w:proofErr w:type="spellStart"/>
      <w:r w:rsidRPr="002A7948">
        <w:rPr>
          <w:sz w:val="24"/>
          <w:szCs w:val="24"/>
          <w:lang w:val="en-US"/>
        </w:rPr>
        <w:t>sugammadex</w:t>
      </w:r>
      <w:proofErr w:type="spellEnd"/>
      <w:r w:rsidRPr="002A7948">
        <w:rPr>
          <w:sz w:val="24"/>
          <w:szCs w:val="24"/>
          <w:lang w:val="en-US"/>
        </w:rPr>
        <w:t xml:space="preserve"> is considered to be equivalent to one missed daily dose of </w:t>
      </w:r>
      <w:r w:rsidRPr="002A7948">
        <w:rPr>
          <w:b/>
          <w:bCs/>
          <w:sz w:val="24"/>
          <w:szCs w:val="24"/>
          <w:lang w:val="en-US"/>
        </w:rPr>
        <w:t>oral</w:t>
      </w:r>
      <w:r w:rsidRPr="002A7948">
        <w:rPr>
          <w:sz w:val="24"/>
          <w:szCs w:val="24"/>
          <w:lang w:val="en-US"/>
        </w:rPr>
        <w:t xml:space="preserve"> contraceptive steroids (either combined or progestogen only). If </w:t>
      </w:r>
      <w:proofErr w:type="spellStart"/>
      <w:r w:rsidRPr="002A7948">
        <w:rPr>
          <w:sz w:val="24"/>
          <w:szCs w:val="24"/>
          <w:lang w:val="en-US"/>
        </w:rPr>
        <w:t>sugammadex</w:t>
      </w:r>
      <w:proofErr w:type="spellEnd"/>
      <w:r w:rsidRPr="002A7948">
        <w:rPr>
          <w:sz w:val="24"/>
          <w:szCs w:val="24"/>
          <w:lang w:val="en-US"/>
        </w:rPr>
        <w:t xml:space="preserve"> is administered at the same day as an oral contraceptive is taken reference is made to missed dose advice in the package leaflet of the oral contraceptive. In the case of </w:t>
      </w:r>
      <w:r w:rsidRPr="002A7948">
        <w:rPr>
          <w:b/>
          <w:bCs/>
          <w:sz w:val="24"/>
          <w:szCs w:val="24"/>
          <w:lang w:val="en-US"/>
        </w:rPr>
        <w:t>non-oral</w:t>
      </w:r>
      <w:r w:rsidRPr="002A7948">
        <w:rPr>
          <w:sz w:val="24"/>
          <w:szCs w:val="24"/>
          <w:lang w:val="en-US"/>
        </w:rPr>
        <w:t xml:space="preserve"> hormonal contraceptives, the patient must use an additional </w:t>
      </w:r>
      <w:proofErr w:type="gramStart"/>
      <w:r w:rsidRPr="002A7948">
        <w:rPr>
          <w:sz w:val="24"/>
          <w:szCs w:val="24"/>
          <w:lang w:val="en-US"/>
        </w:rPr>
        <w:t>non hormonal</w:t>
      </w:r>
      <w:proofErr w:type="gramEnd"/>
      <w:r w:rsidRPr="002A7948">
        <w:rPr>
          <w:sz w:val="24"/>
          <w:szCs w:val="24"/>
          <w:lang w:val="en-US"/>
        </w:rPr>
        <w:t xml:space="preserve"> contraceptive method for the next 7 days and refer to the advice in the package leaflet of the product.</w:t>
      </w:r>
    </w:p>
    <w:p w14:paraId="37FB06B7" w14:textId="77777777" w:rsidR="00311DF4" w:rsidRPr="002A7948" w:rsidRDefault="00311DF4" w:rsidP="002A7948">
      <w:pPr>
        <w:autoSpaceDE w:val="0"/>
        <w:autoSpaceDN w:val="0"/>
        <w:adjustRightInd w:val="0"/>
        <w:ind w:left="851"/>
        <w:rPr>
          <w:sz w:val="24"/>
          <w:szCs w:val="24"/>
          <w:lang w:val="en-US"/>
        </w:rPr>
      </w:pPr>
    </w:p>
    <w:p w14:paraId="343D6D6D" w14:textId="77777777" w:rsidR="00311DF4" w:rsidRPr="002A7948" w:rsidRDefault="00311DF4" w:rsidP="002A7948">
      <w:pPr>
        <w:autoSpaceDE w:val="0"/>
        <w:autoSpaceDN w:val="0"/>
        <w:adjustRightInd w:val="0"/>
        <w:ind w:left="851"/>
        <w:rPr>
          <w:sz w:val="24"/>
          <w:szCs w:val="24"/>
          <w:u w:val="single"/>
          <w:lang w:val="en-US"/>
        </w:rPr>
      </w:pPr>
      <w:r w:rsidRPr="002A7948">
        <w:rPr>
          <w:sz w:val="24"/>
          <w:szCs w:val="24"/>
          <w:u w:val="single"/>
          <w:lang w:val="en-US"/>
        </w:rPr>
        <w:t>Interactions due to the lasting effect of rocuronium or vecuronium:</w:t>
      </w:r>
    </w:p>
    <w:p w14:paraId="339BCB5C"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When medicinal products which potentiate neuromuscular blockade are used in the post-operative period special attention should be paid to the possibility of recurrence of neuromuscular blockade. Please refer to the package leaflet of rocuronium or vecuronium for a list of the specific medicinal products which potentiate neuromuscular blockade. In case recurrence of neuromuscular blockade is observed, the patient may require mechanical ventilation and re-administration of </w:t>
      </w:r>
      <w:proofErr w:type="spellStart"/>
      <w:r w:rsidRPr="002A7948">
        <w:rPr>
          <w:sz w:val="24"/>
          <w:szCs w:val="24"/>
          <w:lang w:val="en-US"/>
        </w:rPr>
        <w:t>sugammadex</w:t>
      </w:r>
      <w:proofErr w:type="spellEnd"/>
      <w:r w:rsidRPr="002A7948">
        <w:rPr>
          <w:sz w:val="24"/>
          <w:szCs w:val="24"/>
          <w:lang w:val="en-US"/>
        </w:rPr>
        <w:t xml:space="preserve"> (see section 4.2).</w:t>
      </w:r>
    </w:p>
    <w:p w14:paraId="7AD55D50" w14:textId="77777777" w:rsidR="00311DF4" w:rsidRPr="002A7948" w:rsidRDefault="00311DF4" w:rsidP="002A7948">
      <w:pPr>
        <w:autoSpaceDE w:val="0"/>
        <w:autoSpaceDN w:val="0"/>
        <w:adjustRightInd w:val="0"/>
        <w:ind w:left="851"/>
        <w:rPr>
          <w:sz w:val="24"/>
          <w:szCs w:val="24"/>
          <w:lang w:val="en-US"/>
        </w:rPr>
      </w:pPr>
    </w:p>
    <w:p w14:paraId="6669BE8C" w14:textId="77777777" w:rsidR="00311DF4" w:rsidRPr="002A7948" w:rsidRDefault="00311DF4" w:rsidP="002A7948">
      <w:pPr>
        <w:autoSpaceDE w:val="0"/>
        <w:autoSpaceDN w:val="0"/>
        <w:adjustRightInd w:val="0"/>
        <w:ind w:left="851"/>
        <w:rPr>
          <w:sz w:val="24"/>
          <w:szCs w:val="24"/>
          <w:u w:val="single"/>
          <w:lang w:val="en-US"/>
        </w:rPr>
      </w:pPr>
      <w:r w:rsidRPr="002A7948">
        <w:rPr>
          <w:sz w:val="24"/>
          <w:szCs w:val="24"/>
          <w:u w:val="single"/>
          <w:lang w:val="en-US"/>
        </w:rPr>
        <w:t>Interference with laboratory tests:</w:t>
      </w:r>
    </w:p>
    <w:p w14:paraId="01BFDDB3" w14:textId="58E70F11" w:rsidR="00311DF4" w:rsidRPr="002A7948" w:rsidRDefault="00311DF4" w:rsidP="002A7948">
      <w:pPr>
        <w:autoSpaceDE w:val="0"/>
        <w:autoSpaceDN w:val="0"/>
        <w:adjustRightInd w:val="0"/>
        <w:ind w:left="851"/>
        <w:rPr>
          <w:sz w:val="24"/>
          <w:szCs w:val="24"/>
          <w:lang w:val="en-US"/>
        </w:rPr>
      </w:pPr>
      <w:r w:rsidRPr="002A7948">
        <w:rPr>
          <w:sz w:val="24"/>
          <w:szCs w:val="24"/>
          <w:lang w:val="en-US"/>
        </w:rPr>
        <w:t>In general</w:t>
      </w:r>
      <w:r w:rsidR="001C0E54">
        <w:rPr>
          <w:sz w:val="24"/>
          <w:szCs w:val="24"/>
          <w:lang w:val="en-US"/>
        </w:rPr>
        <w:t>,</w:t>
      </w:r>
      <w:r w:rsidRPr="002A7948">
        <w:rPr>
          <w:sz w:val="24"/>
          <w:szCs w:val="24"/>
          <w:lang w:val="en-US"/>
        </w:rPr>
        <w:t xml:space="preserve"> </w:t>
      </w:r>
      <w:proofErr w:type="spellStart"/>
      <w:r w:rsidRPr="002A7948">
        <w:rPr>
          <w:sz w:val="24"/>
          <w:szCs w:val="24"/>
          <w:lang w:val="en-US"/>
        </w:rPr>
        <w:t>sugammadex</w:t>
      </w:r>
      <w:proofErr w:type="spellEnd"/>
      <w:r w:rsidRPr="002A7948">
        <w:rPr>
          <w:sz w:val="24"/>
          <w:szCs w:val="24"/>
          <w:lang w:val="en-US"/>
        </w:rPr>
        <w:t xml:space="preserve"> does not interfere with laboratory tests, with the possible exception of the serum progesterone assay. Interference with this test is observed at </w:t>
      </w:r>
      <w:proofErr w:type="spellStart"/>
      <w:r w:rsidRPr="002A7948">
        <w:rPr>
          <w:sz w:val="24"/>
          <w:szCs w:val="24"/>
          <w:lang w:val="en-US"/>
        </w:rPr>
        <w:t>sugammadex</w:t>
      </w:r>
      <w:proofErr w:type="spellEnd"/>
      <w:r w:rsidRPr="002A7948">
        <w:rPr>
          <w:sz w:val="24"/>
          <w:szCs w:val="24"/>
          <w:lang w:val="en-US"/>
        </w:rPr>
        <w:t xml:space="preserve"> plasma concentrations of 100 microgram/mL (peak plasma level following 8 mg/kg bolus injection).</w:t>
      </w:r>
    </w:p>
    <w:p w14:paraId="38A8D187" w14:textId="77777777" w:rsidR="00311DF4" w:rsidRPr="002A7948" w:rsidRDefault="00311DF4" w:rsidP="002A7948">
      <w:pPr>
        <w:autoSpaceDE w:val="0"/>
        <w:autoSpaceDN w:val="0"/>
        <w:adjustRightInd w:val="0"/>
        <w:ind w:left="851"/>
        <w:rPr>
          <w:sz w:val="24"/>
          <w:szCs w:val="24"/>
          <w:lang w:val="en-US"/>
        </w:rPr>
      </w:pPr>
    </w:p>
    <w:p w14:paraId="3F7AF60C"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In a study in </w:t>
      </w:r>
      <w:proofErr w:type="gramStart"/>
      <w:r w:rsidRPr="002A7948">
        <w:rPr>
          <w:sz w:val="24"/>
          <w:szCs w:val="24"/>
          <w:lang w:val="en-US"/>
        </w:rPr>
        <w:t>volunteers</w:t>
      </w:r>
      <w:proofErr w:type="gramEnd"/>
      <w:r w:rsidRPr="002A7948">
        <w:rPr>
          <w:sz w:val="24"/>
          <w:szCs w:val="24"/>
          <w:lang w:val="en-US"/>
        </w:rPr>
        <w:t xml:space="preserve"> doses of 4 mg/kg and 16 mg/kg of </w:t>
      </w:r>
      <w:proofErr w:type="spellStart"/>
      <w:r w:rsidRPr="002A7948">
        <w:rPr>
          <w:sz w:val="24"/>
          <w:szCs w:val="24"/>
          <w:lang w:val="en-US"/>
        </w:rPr>
        <w:t>sugammadex</w:t>
      </w:r>
      <w:proofErr w:type="spellEnd"/>
      <w:r w:rsidRPr="002A7948">
        <w:rPr>
          <w:sz w:val="24"/>
          <w:szCs w:val="24"/>
          <w:lang w:val="en-US"/>
        </w:rPr>
        <w:t xml:space="preserve"> resulted in maximum mean prolongations of </w:t>
      </w:r>
      <w:proofErr w:type="spellStart"/>
      <w:r w:rsidRPr="002A7948">
        <w:rPr>
          <w:sz w:val="24"/>
          <w:szCs w:val="24"/>
          <w:lang w:val="en-US"/>
        </w:rPr>
        <w:t>aPTT</w:t>
      </w:r>
      <w:proofErr w:type="spellEnd"/>
      <w:r w:rsidRPr="002A7948">
        <w:rPr>
          <w:sz w:val="24"/>
          <w:szCs w:val="24"/>
          <w:lang w:val="en-US"/>
        </w:rPr>
        <w:t xml:space="preserve"> by 17 and 22% respectively and of PT(INR) by 11 and 22% respectively. These limited mean </w:t>
      </w:r>
      <w:proofErr w:type="spellStart"/>
      <w:r w:rsidRPr="002A7948">
        <w:rPr>
          <w:sz w:val="24"/>
          <w:szCs w:val="24"/>
          <w:lang w:val="en-US"/>
        </w:rPr>
        <w:t>aPTT</w:t>
      </w:r>
      <w:proofErr w:type="spellEnd"/>
      <w:r w:rsidRPr="002A7948">
        <w:rPr>
          <w:sz w:val="24"/>
          <w:szCs w:val="24"/>
          <w:lang w:val="en-US"/>
        </w:rPr>
        <w:t xml:space="preserve"> and PT(INR) prolongations were of short duration (≤ 30 minutes). </w:t>
      </w:r>
    </w:p>
    <w:p w14:paraId="6B3DF835"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In </w:t>
      </w:r>
      <w:r w:rsidRPr="002A7948">
        <w:rPr>
          <w:i/>
          <w:iCs/>
          <w:sz w:val="24"/>
          <w:szCs w:val="24"/>
          <w:lang w:val="en-US"/>
        </w:rPr>
        <w:t>in vitro</w:t>
      </w:r>
      <w:r w:rsidRPr="002A7948">
        <w:rPr>
          <w:sz w:val="24"/>
          <w:szCs w:val="24"/>
          <w:lang w:val="en-US"/>
        </w:rPr>
        <w:t xml:space="preserve"> experiments a pharmacodynamic interaction (</w:t>
      </w:r>
      <w:proofErr w:type="spellStart"/>
      <w:r w:rsidRPr="002A7948">
        <w:rPr>
          <w:sz w:val="24"/>
          <w:szCs w:val="24"/>
          <w:lang w:val="en-US"/>
        </w:rPr>
        <w:t>aPTT</w:t>
      </w:r>
      <w:proofErr w:type="spellEnd"/>
      <w:r w:rsidRPr="002A7948">
        <w:rPr>
          <w:sz w:val="24"/>
          <w:szCs w:val="24"/>
          <w:lang w:val="en-US"/>
        </w:rPr>
        <w:t xml:space="preserve"> and PT prolongation) was noted with vitamin K antagonists, unfractionated heparin, low molecular weight heparinoids, rivaroxaban and dabigatran (see section 4.4).</w:t>
      </w:r>
    </w:p>
    <w:p w14:paraId="087FA6E7" w14:textId="77777777" w:rsidR="002A7948" w:rsidRDefault="002A7948" w:rsidP="002A7948">
      <w:pPr>
        <w:autoSpaceDE w:val="0"/>
        <w:autoSpaceDN w:val="0"/>
        <w:adjustRightInd w:val="0"/>
        <w:ind w:left="851"/>
        <w:rPr>
          <w:sz w:val="24"/>
          <w:szCs w:val="24"/>
          <w:u w:val="single"/>
          <w:lang w:val="en-US"/>
        </w:rPr>
      </w:pPr>
    </w:p>
    <w:p w14:paraId="07AA5190" w14:textId="7F15F5B2" w:rsidR="00311DF4" w:rsidRPr="002A7948" w:rsidRDefault="00311DF4" w:rsidP="002A7948">
      <w:pPr>
        <w:autoSpaceDE w:val="0"/>
        <w:autoSpaceDN w:val="0"/>
        <w:adjustRightInd w:val="0"/>
        <w:ind w:left="851"/>
        <w:rPr>
          <w:sz w:val="24"/>
          <w:szCs w:val="24"/>
          <w:u w:val="single"/>
          <w:lang w:val="en-US"/>
        </w:rPr>
      </w:pPr>
      <w:r w:rsidRPr="002A7948">
        <w:rPr>
          <w:sz w:val="24"/>
          <w:szCs w:val="24"/>
          <w:u w:val="single"/>
          <w:lang w:val="en-US"/>
        </w:rPr>
        <w:t>Paediatric population</w:t>
      </w:r>
    </w:p>
    <w:p w14:paraId="2C07C7E6" w14:textId="77777777" w:rsidR="00311DF4" w:rsidRPr="002A7948" w:rsidRDefault="00311DF4" w:rsidP="002A7948">
      <w:pPr>
        <w:autoSpaceDE w:val="0"/>
        <w:autoSpaceDN w:val="0"/>
        <w:adjustRightInd w:val="0"/>
        <w:ind w:left="851"/>
        <w:rPr>
          <w:sz w:val="24"/>
          <w:szCs w:val="24"/>
          <w:u w:val="single"/>
          <w:lang w:val="en-US"/>
        </w:rPr>
      </w:pPr>
    </w:p>
    <w:p w14:paraId="45341B98" w14:textId="51076065"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No formal interaction studies have been performed. The </w:t>
      </w:r>
      <w:r w:rsidR="001C0E54" w:rsidRPr="002A7948">
        <w:rPr>
          <w:sz w:val="24"/>
          <w:szCs w:val="24"/>
          <w:lang w:val="en-US"/>
        </w:rPr>
        <w:t>above-mentioned</w:t>
      </w:r>
      <w:r w:rsidRPr="002A7948">
        <w:rPr>
          <w:sz w:val="24"/>
          <w:szCs w:val="24"/>
          <w:lang w:val="en-US"/>
        </w:rPr>
        <w:t xml:space="preserve"> interactions for adults and</w:t>
      </w:r>
      <w:r w:rsidR="00D8692C" w:rsidRPr="002A7948">
        <w:rPr>
          <w:sz w:val="24"/>
          <w:szCs w:val="24"/>
          <w:lang w:val="en-US"/>
        </w:rPr>
        <w:t xml:space="preserve"> </w:t>
      </w:r>
      <w:r w:rsidRPr="002A7948">
        <w:rPr>
          <w:sz w:val="24"/>
          <w:szCs w:val="24"/>
          <w:lang w:val="en-US"/>
        </w:rPr>
        <w:t xml:space="preserve">the warnings in section 4.4 should also be </w:t>
      </w:r>
      <w:proofErr w:type="gramStart"/>
      <w:r w:rsidRPr="002A7948">
        <w:rPr>
          <w:sz w:val="24"/>
          <w:szCs w:val="24"/>
          <w:lang w:val="en-US"/>
        </w:rPr>
        <w:t>taken into account</w:t>
      </w:r>
      <w:proofErr w:type="gramEnd"/>
      <w:r w:rsidRPr="002A7948">
        <w:rPr>
          <w:sz w:val="24"/>
          <w:szCs w:val="24"/>
          <w:lang w:val="en-US"/>
        </w:rPr>
        <w:t xml:space="preserve"> for the paediatric population.</w:t>
      </w:r>
    </w:p>
    <w:p w14:paraId="58145C88" w14:textId="77777777" w:rsidR="007C5D2A" w:rsidRPr="002A7948" w:rsidRDefault="007C5D2A" w:rsidP="003E0341">
      <w:pPr>
        <w:tabs>
          <w:tab w:val="left" w:pos="851"/>
        </w:tabs>
        <w:ind w:left="851"/>
        <w:rPr>
          <w:sz w:val="24"/>
          <w:szCs w:val="24"/>
          <w:lang w:val="en-GB"/>
        </w:rPr>
      </w:pPr>
    </w:p>
    <w:p w14:paraId="202EBBEE" w14:textId="77777777" w:rsidR="007C5D2A" w:rsidRPr="002A7948" w:rsidRDefault="007C5D2A" w:rsidP="007C5D2A">
      <w:pPr>
        <w:tabs>
          <w:tab w:val="left" w:pos="851"/>
        </w:tabs>
        <w:ind w:left="851" w:hanging="851"/>
        <w:rPr>
          <w:b/>
          <w:sz w:val="24"/>
          <w:szCs w:val="24"/>
          <w:lang w:val="en-GB"/>
        </w:rPr>
      </w:pPr>
      <w:r w:rsidRPr="002A7948">
        <w:rPr>
          <w:b/>
          <w:sz w:val="24"/>
          <w:szCs w:val="24"/>
          <w:lang w:val="en-GB"/>
        </w:rPr>
        <w:t>4.6</w:t>
      </w:r>
      <w:r w:rsidRPr="002A7948">
        <w:rPr>
          <w:b/>
          <w:sz w:val="24"/>
          <w:szCs w:val="24"/>
          <w:lang w:val="en-GB"/>
        </w:rPr>
        <w:tab/>
      </w:r>
      <w:r w:rsidR="004860D3" w:rsidRPr="002A7948">
        <w:rPr>
          <w:b/>
          <w:sz w:val="24"/>
          <w:szCs w:val="24"/>
          <w:lang w:val="en-GB"/>
        </w:rPr>
        <w:t>Fertility, p</w:t>
      </w:r>
      <w:r w:rsidRPr="002A7948">
        <w:rPr>
          <w:b/>
          <w:sz w:val="24"/>
          <w:szCs w:val="24"/>
          <w:lang w:val="en-GB"/>
        </w:rPr>
        <w:t>regnancy and lactation</w:t>
      </w:r>
    </w:p>
    <w:p w14:paraId="44843E17" w14:textId="77777777" w:rsidR="002A7948" w:rsidRDefault="002A7948" w:rsidP="002A7948">
      <w:pPr>
        <w:ind w:left="851"/>
        <w:rPr>
          <w:sz w:val="24"/>
          <w:szCs w:val="24"/>
          <w:lang w:val="en-US"/>
        </w:rPr>
      </w:pPr>
    </w:p>
    <w:p w14:paraId="0CAD2892" w14:textId="24329B80" w:rsidR="00311DF4" w:rsidRPr="001C0E54" w:rsidRDefault="00311DF4" w:rsidP="002A7948">
      <w:pPr>
        <w:ind w:left="851"/>
        <w:rPr>
          <w:sz w:val="24"/>
          <w:szCs w:val="24"/>
          <w:u w:val="single"/>
          <w:lang w:val="en-US"/>
        </w:rPr>
      </w:pPr>
      <w:r w:rsidRPr="001C0E54">
        <w:rPr>
          <w:sz w:val="24"/>
          <w:szCs w:val="24"/>
          <w:u w:val="single"/>
          <w:lang w:val="en-US"/>
        </w:rPr>
        <w:t>Pregnancy</w:t>
      </w:r>
    </w:p>
    <w:p w14:paraId="69FA158B" w14:textId="77777777" w:rsidR="00311DF4" w:rsidRPr="002A7948" w:rsidRDefault="00311DF4" w:rsidP="002A7948">
      <w:pPr>
        <w:ind w:left="851"/>
        <w:rPr>
          <w:sz w:val="24"/>
          <w:szCs w:val="24"/>
          <w:lang w:val="en-GB"/>
        </w:rPr>
      </w:pPr>
      <w:r w:rsidRPr="002A7948">
        <w:rPr>
          <w:sz w:val="24"/>
          <w:szCs w:val="24"/>
          <w:lang w:val="en-GB"/>
        </w:rPr>
        <w:t xml:space="preserve">For </w:t>
      </w:r>
      <w:proofErr w:type="spellStart"/>
      <w:r w:rsidRPr="002A7948">
        <w:rPr>
          <w:sz w:val="24"/>
          <w:szCs w:val="24"/>
          <w:lang w:val="en-GB"/>
        </w:rPr>
        <w:t>sugammadex</w:t>
      </w:r>
      <w:proofErr w:type="spellEnd"/>
      <w:r w:rsidRPr="002A7948">
        <w:rPr>
          <w:sz w:val="24"/>
          <w:szCs w:val="24"/>
          <w:lang w:val="en-GB"/>
        </w:rPr>
        <w:t xml:space="preserve"> no clinical data on exposed pregnancies are available.</w:t>
      </w:r>
    </w:p>
    <w:p w14:paraId="3A1971A7" w14:textId="77777777" w:rsidR="00311DF4" w:rsidRPr="002A7948" w:rsidRDefault="00311DF4" w:rsidP="002A7948">
      <w:pPr>
        <w:ind w:left="851"/>
        <w:rPr>
          <w:sz w:val="24"/>
          <w:szCs w:val="24"/>
          <w:lang w:val="en-GB"/>
        </w:rPr>
      </w:pPr>
      <w:r w:rsidRPr="002A7948">
        <w:rPr>
          <w:sz w:val="24"/>
          <w:szCs w:val="24"/>
          <w:lang w:val="en-GB"/>
        </w:rPr>
        <w:t>Animal studies do not indicate direct or indirect harmful effects with respect to pregnancy, embryonic/foetal development, parturition or postnatal development.</w:t>
      </w:r>
    </w:p>
    <w:p w14:paraId="7D29ECAE" w14:textId="77777777" w:rsidR="00311DF4" w:rsidRPr="002A7948" w:rsidRDefault="00311DF4" w:rsidP="002A7948">
      <w:pPr>
        <w:ind w:left="851"/>
        <w:rPr>
          <w:sz w:val="24"/>
          <w:szCs w:val="24"/>
          <w:lang w:val="en-GB"/>
        </w:rPr>
      </w:pPr>
      <w:r w:rsidRPr="002A7948">
        <w:rPr>
          <w:sz w:val="24"/>
          <w:szCs w:val="24"/>
          <w:lang w:val="en-GB"/>
        </w:rPr>
        <w:t xml:space="preserve">Caution should be exercised when administering </w:t>
      </w:r>
      <w:proofErr w:type="spellStart"/>
      <w:r w:rsidRPr="002A7948">
        <w:rPr>
          <w:sz w:val="24"/>
          <w:szCs w:val="24"/>
          <w:lang w:val="en-GB"/>
        </w:rPr>
        <w:t>sugammadex</w:t>
      </w:r>
      <w:proofErr w:type="spellEnd"/>
      <w:r w:rsidRPr="002A7948">
        <w:rPr>
          <w:sz w:val="24"/>
          <w:szCs w:val="24"/>
          <w:lang w:val="en-GB"/>
        </w:rPr>
        <w:t xml:space="preserve"> to pregnant women. </w:t>
      </w:r>
    </w:p>
    <w:p w14:paraId="4C69C752" w14:textId="77777777" w:rsidR="00311DF4" w:rsidRPr="002A7948" w:rsidRDefault="00311DF4" w:rsidP="002A7948">
      <w:pPr>
        <w:ind w:left="851"/>
        <w:rPr>
          <w:sz w:val="24"/>
          <w:szCs w:val="24"/>
          <w:lang w:val="en-GB"/>
        </w:rPr>
      </w:pPr>
    </w:p>
    <w:p w14:paraId="1110753A" w14:textId="77777777" w:rsidR="00311DF4" w:rsidRPr="001C0E54" w:rsidRDefault="00311DF4" w:rsidP="002A7948">
      <w:pPr>
        <w:ind w:left="851"/>
        <w:rPr>
          <w:sz w:val="24"/>
          <w:szCs w:val="24"/>
          <w:u w:val="single"/>
          <w:lang w:val="en-US"/>
        </w:rPr>
      </w:pPr>
      <w:r w:rsidRPr="001C0E54">
        <w:rPr>
          <w:sz w:val="24"/>
          <w:szCs w:val="24"/>
          <w:u w:val="single"/>
          <w:lang w:val="en-US"/>
        </w:rPr>
        <w:t>Breast-feeding</w:t>
      </w:r>
    </w:p>
    <w:p w14:paraId="3F6DDCC8" w14:textId="77777777" w:rsidR="00311DF4" w:rsidRPr="002A7948" w:rsidRDefault="00311DF4" w:rsidP="002A7948">
      <w:pPr>
        <w:ind w:left="851"/>
        <w:rPr>
          <w:sz w:val="24"/>
          <w:szCs w:val="24"/>
          <w:lang w:val="en-US"/>
        </w:rPr>
      </w:pPr>
      <w:r w:rsidRPr="002A7948">
        <w:rPr>
          <w:sz w:val="24"/>
          <w:szCs w:val="24"/>
          <w:lang w:val="en-US"/>
        </w:rPr>
        <w:t xml:space="preserve">It is unknown whether </w:t>
      </w:r>
      <w:proofErr w:type="spellStart"/>
      <w:r w:rsidRPr="002A7948">
        <w:rPr>
          <w:sz w:val="24"/>
          <w:szCs w:val="24"/>
          <w:lang w:val="en-US"/>
        </w:rPr>
        <w:t>sugammadex</w:t>
      </w:r>
      <w:proofErr w:type="spellEnd"/>
      <w:r w:rsidRPr="002A7948">
        <w:rPr>
          <w:sz w:val="24"/>
          <w:szCs w:val="24"/>
          <w:lang w:val="en-US"/>
        </w:rPr>
        <w:t xml:space="preserve"> is excreted in human breast milk. Animal studies have shown excretion of </w:t>
      </w:r>
      <w:proofErr w:type="spellStart"/>
      <w:r w:rsidRPr="002A7948">
        <w:rPr>
          <w:sz w:val="24"/>
          <w:szCs w:val="24"/>
          <w:lang w:val="en-US"/>
        </w:rPr>
        <w:t>sugammadex</w:t>
      </w:r>
      <w:proofErr w:type="spellEnd"/>
      <w:r w:rsidRPr="002A7948">
        <w:rPr>
          <w:sz w:val="24"/>
          <w:szCs w:val="24"/>
          <w:lang w:val="en-US"/>
        </w:rPr>
        <w:t xml:space="preserve"> in breast milk. Oral absorption of cyclodextrins in general is low and no effect on the suckling child is anticipated following a single dose to the breast-feeding woman.</w:t>
      </w:r>
    </w:p>
    <w:p w14:paraId="74BBACA9" w14:textId="77777777" w:rsidR="00311DF4" w:rsidRPr="002A7948" w:rsidRDefault="00311DF4" w:rsidP="002A7948">
      <w:pPr>
        <w:ind w:left="851"/>
        <w:rPr>
          <w:sz w:val="24"/>
          <w:szCs w:val="24"/>
          <w:lang w:val="en-US"/>
        </w:rPr>
      </w:pPr>
      <w:r w:rsidRPr="002A7948">
        <w:rPr>
          <w:sz w:val="24"/>
          <w:szCs w:val="24"/>
          <w:lang w:val="en-US"/>
        </w:rPr>
        <w:t xml:space="preserve">A decision must be made whether to discontinue breast-feeding or to discontinue/abstain from </w:t>
      </w:r>
      <w:proofErr w:type="spellStart"/>
      <w:r w:rsidRPr="002A7948">
        <w:rPr>
          <w:sz w:val="24"/>
          <w:szCs w:val="24"/>
          <w:lang w:val="en-US"/>
        </w:rPr>
        <w:t>sugammadex</w:t>
      </w:r>
      <w:proofErr w:type="spellEnd"/>
      <w:r w:rsidRPr="002A7948">
        <w:rPr>
          <w:sz w:val="24"/>
          <w:szCs w:val="24"/>
          <w:lang w:val="en-US"/>
        </w:rPr>
        <w:t xml:space="preserve"> therapy, </w:t>
      </w:r>
      <w:proofErr w:type="gramStart"/>
      <w:r w:rsidRPr="002A7948">
        <w:rPr>
          <w:sz w:val="24"/>
          <w:szCs w:val="24"/>
          <w:lang w:val="en-US"/>
        </w:rPr>
        <w:t>taking into account</w:t>
      </w:r>
      <w:proofErr w:type="gramEnd"/>
      <w:r w:rsidRPr="002A7948">
        <w:rPr>
          <w:sz w:val="24"/>
          <w:szCs w:val="24"/>
          <w:lang w:val="en-US"/>
        </w:rPr>
        <w:t xml:space="preserve"> the benefit of breast feeding for the child and the benefit of therapy for the woman. </w:t>
      </w:r>
    </w:p>
    <w:p w14:paraId="5EDBBE96" w14:textId="77777777" w:rsidR="00311DF4" w:rsidRPr="002A7948" w:rsidRDefault="00311DF4" w:rsidP="002A7948">
      <w:pPr>
        <w:ind w:left="851"/>
        <w:rPr>
          <w:sz w:val="24"/>
          <w:szCs w:val="24"/>
          <w:lang w:val="en-US"/>
        </w:rPr>
      </w:pPr>
    </w:p>
    <w:p w14:paraId="2F2B6F9D" w14:textId="77777777" w:rsidR="00311DF4" w:rsidRPr="001C0E54" w:rsidRDefault="00311DF4" w:rsidP="002A7948">
      <w:pPr>
        <w:ind w:left="851"/>
        <w:rPr>
          <w:sz w:val="24"/>
          <w:szCs w:val="24"/>
          <w:u w:val="single"/>
          <w:lang w:val="en-US"/>
        </w:rPr>
      </w:pPr>
      <w:r w:rsidRPr="001C0E54">
        <w:rPr>
          <w:sz w:val="24"/>
          <w:szCs w:val="24"/>
          <w:u w:val="single"/>
          <w:lang w:val="en-US"/>
        </w:rPr>
        <w:t>Fertility</w:t>
      </w:r>
    </w:p>
    <w:p w14:paraId="4517B38F" w14:textId="5E37B1FA" w:rsidR="00311DF4" w:rsidRPr="002A7948" w:rsidRDefault="00311DF4" w:rsidP="002A7948">
      <w:pPr>
        <w:ind w:left="851"/>
        <w:rPr>
          <w:sz w:val="24"/>
          <w:szCs w:val="24"/>
          <w:lang w:val="en-US"/>
        </w:rPr>
      </w:pPr>
      <w:r w:rsidRPr="002A7948">
        <w:rPr>
          <w:sz w:val="24"/>
          <w:szCs w:val="24"/>
          <w:lang w:val="en-US"/>
        </w:rPr>
        <w:t xml:space="preserve">The effects with </w:t>
      </w:r>
      <w:proofErr w:type="spellStart"/>
      <w:r w:rsidRPr="002A7948">
        <w:rPr>
          <w:sz w:val="24"/>
          <w:szCs w:val="24"/>
          <w:lang w:val="en-US"/>
        </w:rPr>
        <w:t>sugammadex</w:t>
      </w:r>
      <w:proofErr w:type="spellEnd"/>
      <w:r w:rsidRPr="002A7948">
        <w:rPr>
          <w:sz w:val="24"/>
          <w:szCs w:val="24"/>
          <w:lang w:val="en-US"/>
        </w:rPr>
        <w:t xml:space="preserve"> on human fertility have not been investigated. Animal studies to evaluate fertility do not reveal harmful effects.</w:t>
      </w:r>
    </w:p>
    <w:p w14:paraId="72DA8A29" w14:textId="2309D8B6" w:rsidR="001C0E54" w:rsidRDefault="001C0E54">
      <w:pPr>
        <w:rPr>
          <w:sz w:val="24"/>
          <w:szCs w:val="24"/>
          <w:lang w:val="en-GB"/>
        </w:rPr>
      </w:pPr>
      <w:r>
        <w:rPr>
          <w:sz w:val="24"/>
          <w:szCs w:val="24"/>
          <w:lang w:val="en-GB"/>
        </w:rPr>
        <w:br w:type="page"/>
      </w:r>
    </w:p>
    <w:p w14:paraId="4BCB85AC" w14:textId="77777777" w:rsidR="007C5D2A" w:rsidRPr="002A7948" w:rsidRDefault="007C5D2A" w:rsidP="003E0341">
      <w:pPr>
        <w:tabs>
          <w:tab w:val="left" w:pos="851"/>
        </w:tabs>
        <w:ind w:left="851"/>
        <w:rPr>
          <w:sz w:val="24"/>
          <w:szCs w:val="24"/>
          <w:lang w:val="en-GB"/>
        </w:rPr>
      </w:pPr>
    </w:p>
    <w:p w14:paraId="44F32FCB" w14:textId="77777777" w:rsidR="007C5D2A" w:rsidRPr="002A7948" w:rsidRDefault="007C5D2A" w:rsidP="007C5D2A">
      <w:pPr>
        <w:tabs>
          <w:tab w:val="left" w:pos="851"/>
        </w:tabs>
        <w:ind w:left="851" w:hanging="851"/>
        <w:rPr>
          <w:b/>
          <w:sz w:val="24"/>
          <w:szCs w:val="24"/>
          <w:lang w:val="en-GB"/>
        </w:rPr>
      </w:pPr>
      <w:r w:rsidRPr="002A7948">
        <w:rPr>
          <w:b/>
          <w:sz w:val="24"/>
          <w:szCs w:val="24"/>
          <w:lang w:val="en-GB"/>
        </w:rPr>
        <w:t>4.7</w:t>
      </w:r>
      <w:r w:rsidRPr="002A7948">
        <w:rPr>
          <w:b/>
          <w:sz w:val="24"/>
          <w:szCs w:val="24"/>
          <w:lang w:val="en-GB"/>
        </w:rPr>
        <w:tab/>
        <w:t>Effects on ability to drive and use machines</w:t>
      </w:r>
    </w:p>
    <w:p w14:paraId="626AF086" w14:textId="77777777" w:rsidR="008B0872" w:rsidRDefault="008B0872" w:rsidP="002A7948">
      <w:pPr>
        <w:ind w:left="851"/>
        <w:rPr>
          <w:sz w:val="24"/>
          <w:szCs w:val="24"/>
          <w:lang w:val="en-GB"/>
        </w:rPr>
      </w:pPr>
      <w:r>
        <w:rPr>
          <w:sz w:val="24"/>
          <w:szCs w:val="24"/>
          <w:lang w:val="en-GB"/>
        </w:rPr>
        <w:t>No traffic warning.</w:t>
      </w:r>
    </w:p>
    <w:p w14:paraId="3E98C472" w14:textId="5FE80093" w:rsidR="00311DF4" w:rsidRPr="002A7948" w:rsidRDefault="00311DF4" w:rsidP="002A7948">
      <w:pPr>
        <w:ind w:left="851"/>
        <w:rPr>
          <w:sz w:val="24"/>
          <w:szCs w:val="24"/>
          <w:lang w:val="en-GB"/>
        </w:rPr>
      </w:pPr>
      <w:proofErr w:type="spellStart"/>
      <w:r w:rsidRPr="002A7948">
        <w:rPr>
          <w:sz w:val="24"/>
          <w:szCs w:val="24"/>
          <w:lang w:val="en-GB"/>
        </w:rPr>
        <w:t>Sugammadex</w:t>
      </w:r>
      <w:proofErr w:type="spellEnd"/>
      <w:r w:rsidRPr="002A7948">
        <w:rPr>
          <w:sz w:val="24"/>
          <w:szCs w:val="24"/>
          <w:lang w:val="en-GB"/>
        </w:rPr>
        <w:t xml:space="preserve"> has no known influence on the ability to drive and use machines. </w:t>
      </w:r>
    </w:p>
    <w:p w14:paraId="25713082" w14:textId="77777777" w:rsidR="007C5D2A" w:rsidRPr="002A7948" w:rsidRDefault="007C5D2A" w:rsidP="003E0341">
      <w:pPr>
        <w:tabs>
          <w:tab w:val="left" w:pos="851"/>
        </w:tabs>
        <w:ind w:left="851"/>
        <w:rPr>
          <w:sz w:val="24"/>
          <w:szCs w:val="24"/>
          <w:lang w:val="en-GB"/>
        </w:rPr>
      </w:pPr>
    </w:p>
    <w:p w14:paraId="025EB808" w14:textId="77777777" w:rsidR="007C5D2A" w:rsidRPr="002A7948" w:rsidRDefault="007C5D2A" w:rsidP="007C5D2A">
      <w:pPr>
        <w:tabs>
          <w:tab w:val="left" w:pos="851"/>
        </w:tabs>
        <w:ind w:left="851" w:hanging="851"/>
        <w:rPr>
          <w:b/>
          <w:sz w:val="24"/>
          <w:szCs w:val="24"/>
          <w:lang w:val="en-GB"/>
        </w:rPr>
      </w:pPr>
      <w:r w:rsidRPr="002A7948">
        <w:rPr>
          <w:b/>
          <w:sz w:val="24"/>
          <w:szCs w:val="24"/>
          <w:lang w:val="en-GB"/>
        </w:rPr>
        <w:t>4.8</w:t>
      </w:r>
      <w:r w:rsidRPr="002A7948">
        <w:rPr>
          <w:b/>
          <w:sz w:val="24"/>
          <w:szCs w:val="24"/>
          <w:lang w:val="en-GB"/>
        </w:rPr>
        <w:tab/>
        <w:t>Undesirable effects</w:t>
      </w:r>
    </w:p>
    <w:p w14:paraId="358CCFEB" w14:textId="77777777" w:rsidR="001C0E54" w:rsidRDefault="001C0E54" w:rsidP="002A7948">
      <w:pPr>
        <w:ind w:left="851"/>
        <w:rPr>
          <w:sz w:val="24"/>
          <w:szCs w:val="24"/>
          <w:u w:val="single"/>
          <w:lang w:val="en-US"/>
        </w:rPr>
      </w:pPr>
    </w:p>
    <w:p w14:paraId="018D9BE8" w14:textId="59D4033B" w:rsidR="00311DF4" w:rsidRPr="002A7948" w:rsidRDefault="00311DF4" w:rsidP="002A7948">
      <w:pPr>
        <w:ind w:left="851"/>
        <w:rPr>
          <w:sz w:val="24"/>
          <w:szCs w:val="24"/>
          <w:u w:val="single"/>
          <w:lang w:val="en-US"/>
        </w:rPr>
      </w:pPr>
      <w:r w:rsidRPr="002A7948">
        <w:rPr>
          <w:sz w:val="24"/>
          <w:szCs w:val="24"/>
          <w:u w:val="single"/>
          <w:lang w:val="en-US"/>
        </w:rPr>
        <w:t>Summary of the safety profile</w:t>
      </w:r>
    </w:p>
    <w:p w14:paraId="30A2C08A" w14:textId="77777777"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is administered concomitantly with neuromuscular blocking agents and </w:t>
      </w:r>
      <w:proofErr w:type="spellStart"/>
      <w:r w:rsidRPr="002A7948">
        <w:rPr>
          <w:sz w:val="24"/>
          <w:szCs w:val="24"/>
          <w:lang w:val="en-US"/>
        </w:rPr>
        <w:t>anaesthetics</w:t>
      </w:r>
      <w:proofErr w:type="spellEnd"/>
      <w:r w:rsidRPr="002A7948">
        <w:rPr>
          <w:sz w:val="24"/>
          <w:szCs w:val="24"/>
          <w:lang w:val="en-US"/>
        </w:rPr>
        <w:t xml:space="preserve"> in surgical patients. The causality of adverse events is therefore difficult to assess.</w:t>
      </w:r>
    </w:p>
    <w:p w14:paraId="6EC13CE2" w14:textId="77777777" w:rsidR="00311DF4" w:rsidRPr="002A7948" w:rsidRDefault="00311DF4" w:rsidP="002A7948">
      <w:pPr>
        <w:ind w:left="851"/>
        <w:rPr>
          <w:sz w:val="24"/>
          <w:szCs w:val="24"/>
          <w:lang w:val="en-US"/>
        </w:rPr>
      </w:pPr>
      <w:r w:rsidRPr="002A7948">
        <w:rPr>
          <w:sz w:val="24"/>
          <w:szCs w:val="24"/>
          <w:lang w:val="en-US"/>
        </w:rPr>
        <w:t xml:space="preserve">The most commonly reported adverse reactions in surgical patients were cough, airway complication of </w:t>
      </w:r>
      <w:proofErr w:type="spellStart"/>
      <w:r w:rsidRPr="002A7948">
        <w:rPr>
          <w:sz w:val="24"/>
          <w:szCs w:val="24"/>
          <w:lang w:val="en-US"/>
        </w:rPr>
        <w:t>anaesthesia</w:t>
      </w:r>
      <w:proofErr w:type="spellEnd"/>
      <w:r w:rsidRPr="002A7948">
        <w:rPr>
          <w:sz w:val="24"/>
          <w:szCs w:val="24"/>
          <w:lang w:val="en-US"/>
        </w:rPr>
        <w:t xml:space="preserve">, </w:t>
      </w:r>
      <w:proofErr w:type="spellStart"/>
      <w:r w:rsidRPr="002A7948">
        <w:rPr>
          <w:sz w:val="24"/>
          <w:szCs w:val="24"/>
          <w:lang w:val="en-US"/>
        </w:rPr>
        <w:t>anaesthetic</w:t>
      </w:r>
      <w:proofErr w:type="spellEnd"/>
      <w:r w:rsidRPr="002A7948">
        <w:rPr>
          <w:sz w:val="24"/>
          <w:szCs w:val="24"/>
          <w:lang w:val="en-US"/>
        </w:rPr>
        <w:t xml:space="preserve"> complications, procedural hypotension and procedural complication (Common (≥ 1/100 to &lt; 1/10)).</w:t>
      </w:r>
    </w:p>
    <w:p w14:paraId="06498BC6" w14:textId="77777777" w:rsidR="00311DF4" w:rsidRPr="002A7948" w:rsidRDefault="00311DF4" w:rsidP="002A7948">
      <w:pPr>
        <w:ind w:left="851"/>
        <w:rPr>
          <w:sz w:val="24"/>
          <w:szCs w:val="24"/>
          <w:lang w:val="en-US"/>
        </w:rPr>
      </w:pPr>
    </w:p>
    <w:p w14:paraId="4E83E8BF" w14:textId="77777777" w:rsidR="00311DF4" w:rsidRPr="002A7948" w:rsidRDefault="00311DF4" w:rsidP="002A7948">
      <w:pPr>
        <w:ind w:left="851"/>
        <w:rPr>
          <w:b/>
          <w:sz w:val="24"/>
          <w:szCs w:val="24"/>
          <w:lang w:val="en-US"/>
        </w:rPr>
      </w:pPr>
      <w:r w:rsidRPr="002A7948">
        <w:rPr>
          <w:b/>
          <w:sz w:val="24"/>
          <w:szCs w:val="24"/>
          <w:lang w:val="en-US"/>
        </w:rPr>
        <w:t>Table 2: Tabulated list of adverse reactions</w:t>
      </w:r>
    </w:p>
    <w:p w14:paraId="3584BB9B" w14:textId="77777777" w:rsidR="00311DF4" w:rsidRPr="002A7948" w:rsidRDefault="00311DF4" w:rsidP="002A7948">
      <w:pPr>
        <w:ind w:left="851"/>
        <w:rPr>
          <w:sz w:val="24"/>
          <w:szCs w:val="24"/>
          <w:lang w:val="en-US"/>
        </w:rPr>
      </w:pPr>
      <w:r w:rsidRPr="002A7948">
        <w:rPr>
          <w:sz w:val="24"/>
          <w:szCs w:val="24"/>
          <w:lang w:val="en-US"/>
        </w:rPr>
        <w:t xml:space="preserve">The safety of </w:t>
      </w:r>
      <w:proofErr w:type="spellStart"/>
      <w:r w:rsidRPr="002A7948">
        <w:rPr>
          <w:sz w:val="24"/>
          <w:szCs w:val="24"/>
          <w:lang w:val="en-US"/>
        </w:rPr>
        <w:t>sugammadex</w:t>
      </w:r>
      <w:proofErr w:type="spellEnd"/>
      <w:r w:rsidRPr="002A7948">
        <w:rPr>
          <w:sz w:val="24"/>
          <w:szCs w:val="24"/>
          <w:lang w:val="en-US"/>
        </w:rPr>
        <w:t xml:space="preserve"> has been evaluated in 3,519 unique subjects across a pooled phase I-III safety database. The following adverse reactions were reported in </w:t>
      </w:r>
      <w:proofErr w:type="gramStart"/>
      <w:r w:rsidRPr="002A7948">
        <w:rPr>
          <w:sz w:val="24"/>
          <w:szCs w:val="24"/>
          <w:lang w:val="en-US"/>
        </w:rPr>
        <w:t>placebo controlled</w:t>
      </w:r>
      <w:proofErr w:type="gramEnd"/>
      <w:r w:rsidRPr="002A7948">
        <w:rPr>
          <w:sz w:val="24"/>
          <w:szCs w:val="24"/>
          <w:lang w:val="en-US"/>
        </w:rPr>
        <w:t xml:space="preserve"> trials where subjects received </w:t>
      </w:r>
      <w:proofErr w:type="spellStart"/>
      <w:r w:rsidRPr="002A7948">
        <w:rPr>
          <w:sz w:val="24"/>
          <w:szCs w:val="24"/>
          <w:lang w:val="en-US"/>
        </w:rPr>
        <w:t>anaesthesia</w:t>
      </w:r>
      <w:proofErr w:type="spellEnd"/>
      <w:r w:rsidRPr="002A7948">
        <w:rPr>
          <w:sz w:val="24"/>
          <w:szCs w:val="24"/>
          <w:lang w:val="en-US"/>
        </w:rPr>
        <w:t xml:space="preserve"> and/or neuromuscular blocking agents (1,078 subject exposures to </w:t>
      </w:r>
      <w:proofErr w:type="spellStart"/>
      <w:r w:rsidRPr="002A7948">
        <w:rPr>
          <w:sz w:val="24"/>
          <w:szCs w:val="24"/>
          <w:lang w:val="en-US"/>
        </w:rPr>
        <w:t>sugammadex</w:t>
      </w:r>
      <w:proofErr w:type="spellEnd"/>
      <w:r w:rsidRPr="002A7948">
        <w:rPr>
          <w:sz w:val="24"/>
          <w:szCs w:val="24"/>
          <w:lang w:val="en-US"/>
        </w:rPr>
        <w:t xml:space="preserve"> versus 544 to placebo):</w:t>
      </w:r>
    </w:p>
    <w:p w14:paraId="5B5D0F9D" w14:textId="086FF608" w:rsidR="00311DF4" w:rsidRPr="002A7948" w:rsidRDefault="00311DF4" w:rsidP="002A7948">
      <w:pPr>
        <w:ind w:left="851"/>
        <w:rPr>
          <w:i/>
          <w:iCs/>
          <w:sz w:val="24"/>
          <w:szCs w:val="24"/>
          <w:lang w:val="en-US"/>
        </w:rPr>
      </w:pPr>
      <w:r w:rsidRPr="002A7948">
        <w:rPr>
          <w:i/>
          <w:iCs/>
          <w:sz w:val="24"/>
          <w:szCs w:val="24"/>
          <w:lang w:val="en-US"/>
        </w:rPr>
        <w:t>[Very common (≥ 1/10), common (≥ 1/100 to &lt; 1/10), uncommon (≥ 1/1,000 to &lt; 1/100), rare</w:t>
      </w:r>
      <w:r w:rsidR="002A7948">
        <w:rPr>
          <w:i/>
          <w:iCs/>
          <w:sz w:val="24"/>
          <w:szCs w:val="24"/>
          <w:lang w:val="en-US"/>
        </w:rPr>
        <w:t xml:space="preserve"> </w:t>
      </w:r>
      <w:r w:rsidRPr="002A7948">
        <w:rPr>
          <w:i/>
          <w:iCs/>
          <w:sz w:val="24"/>
          <w:szCs w:val="24"/>
          <w:lang w:val="en-US"/>
        </w:rPr>
        <w:t>(≥ 1/10,000 to &lt; 1/1,000), very rare (&lt; 1/10,000)]</w:t>
      </w:r>
    </w:p>
    <w:p w14:paraId="1C2CD287" w14:textId="77777777" w:rsidR="00311DF4" w:rsidRPr="002A7948" w:rsidRDefault="00311DF4" w:rsidP="002A7948">
      <w:pPr>
        <w:ind w:left="851"/>
        <w:rPr>
          <w:i/>
          <w:iCs/>
          <w:sz w:val="24"/>
          <w:szCs w:val="24"/>
          <w:lang w:val="en-US"/>
        </w:rPr>
      </w:pPr>
    </w:p>
    <w:tbl>
      <w:tblPr>
        <w:tblStyle w:val="Tabel-Gitter"/>
        <w:tblW w:w="4538" w:type="pct"/>
        <w:tblInd w:w="846" w:type="dxa"/>
        <w:tblLook w:val="04A0" w:firstRow="1" w:lastRow="0" w:firstColumn="1" w:lastColumn="0" w:noHBand="0" w:noVBand="1"/>
      </w:tblPr>
      <w:tblGrid>
        <w:gridCol w:w="3208"/>
        <w:gridCol w:w="2321"/>
        <w:gridCol w:w="3209"/>
      </w:tblGrid>
      <w:tr w:rsidR="00311DF4" w:rsidRPr="002A7948" w14:paraId="17CA50F5" w14:textId="77777777" w:rsidTr="002A7948">
        <w:tc>
          <w:tcPr>
            <w:tcW w:w="1836" w:type="pct"/>
            <w:tcBorders>
              <w:top w:val="single" w:sz="4" w:space="0" w:color="auto"/>
              <w:left w:val="single" w:sz="4" w:space="0" w:color="auto"/>
              <w:bottom w:val="single" w:sz="4" w:space="0" w:color="auto"/>
              <w:right w:val="single" w:sz="4" w:space="0" w:color="auto"/>
            </w:tcBorders>
            <w:hideMark/>
          </w:tcPr>
          <w:p w14:paraId="7E954C5F"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System organ class</w:t>
            </w:r>
          </w:p>
        </w:tc>
        <w:tc>
          <w:tcPr>
            <w:tcW w:w="1328" w:type="pct"/>
            <w:tcBorders>
              <w:top w:val="single" w:sz="4" w:space="0" w:color="auto"/>
              <w:left w:val="single" w:sz="4" w:space="0" w:color="auto"/>
              <w:bottom w:val="single" w:sz="4" w:space="0" w:color="auto"/>
              <w:right w:val="single" w:sz="4" w:space="0" w:color="auto"/>
            </w:tcBorders>
            <w:hideMark/>
          </w:tcPr>
          <w:p w14:paraId="409FD5B8"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Frequencies</w:t>
            </w:r>
          </w:p>
        </w:tc>
        <w:tc>
          <w:tcPr>
            <w:tcW w:w="1837" w:type="pct"/>
            <w:tcBorders>
              <w:top w:val="single" w:sz="4" w:space="0" w:color="auto"/>
              <w:left w:val="single" w:sz="4" w:space="0" w:color="auto"/>
              <w:bottom w:val="single" w:sz="4" w:space="0" w:color="auto"/>
              <w:right w:val="single" w:sz="4" w:space="0" w:color="auto"/>
            </w:tcBorders>
            <w:hideMark/>
          </w:tcPr>
          <w:p w14:paraId="4ED6BB66" w14:textId="77777777" w:rsidR="00311DF4" w:rsidRPr="002A7948" w:rsidRDefault="00311DF4" w:rsidP="002A7948">
            <w:pPr>
              <w:autoSpaceDE w:val="0"/>
              <w:autoSpaceDN w:val="0"/>
              <w:adjustRightInd w:val="0"/>
              <w:rPr>
                <w:rFonts w:ascii="Times New Roman" w:hAnsi="Times New Roman" w:cs="Times New Roman"/>
                <w:sz w:val="24"/>
                <w:szCs w:val="24"/>
              </w:rPr>
            </w:pPr>
            <w:r w:rsidRPr="002A7948">
              <w:rPr>
                <w:rFonts w:ascii="Times New Roman" w:hAnsi="Times New Roman" w:cs="Times New Roman"/>
                <w:sz w:val="24"/>
                <w:szCs w:val="24"/>
              </w:rPr>
              <w:t>Adverse reactions</w:t>
            </w:r>
          </w:p>
          <w:p w14:paraId="1EE023CE"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(Preferred terms)</w:t>
            </w:r>
          </w:p>
        </w:tc>
      </w:tr>
      <w:tr w:rsidR="00311DF4" w:rsidRPr="008B0872" w14:paraId="6E973C86" w14:textId="77777777" w:rsidTr="002A7948">
        <w:tc>
          <w:tcPr>
            <w:tcW w:w="1836" w:type="pct"/>
            <w:tcBorders>
              <w:top w:val="single" w:sz="4" w:space="0" w:color="auto"/>
              <w:left w:val="single" w:sz="4" w:space="0" w:color="auto"/>
              <w:bottom w:val="single" w:sz="4" w:space="0" w:color="auto"/>
              <w:right w:val="single" w:sz="4" w:space="0" w:color="auto"/>
            </w:tcBorders>
            <w:hideMark/>
          </w:tcPr>
          <w:p w14:paraId="4790868B"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Immune system disorders</w:t>
            </w:r>
          </w:p>
        </w:tc>
        <w:tc>
          <w:tcPr>
            <w:tcW w:w="1328" w:type="pct"/>
            <w:tcBorders>
              <w:top w:val="single" w:sz="4" w:space="0" w:color="auto"/>
              <w:left w:val="single" w:sz="4" w:space="0" w:color="auto"/>
              <w:bottom w:val="single" w:sz="4" w:space="0" w:color="auto"/>
              <w:right w:val="single" w:sz="4" w:space="0" w:color="auto"/>
            </w:tcBorders>
            <w:hideMark/>
          </w:tcPr>
          <w:p w14:paraId="0E865D8A"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Uncommon</w:t>
            </w:r>
          </w:p>
        </w:tc>
        <w:tc>
          <w:tcPr>
            <w:tcW w:w="1837" w:type="pct"/>
            <w:tcBorders>
              <w:top w:val="single" w:sz="4" w:space="0" w:color="auto"/>
              <w:left w:val="single" w:sz="4" w:space="0" w:color="auto"/>
              <w:bottom w:val="single" w:sz="4" w:space="0" w:color="auto"/>
              <w:right w:val="single" w:sz="4" w:space="0" w:color="auto"/>
            </w:tcBorders>
            <w:hideMark/>
          </w:tcPr>
          <w:p w14:paraId="53BF1ED8" w14:textId="77777777" w:rsidR="00311DF4" w:rsidRPr="002A7948" w:rsidRDefault="00311DF4" w:rsidP="002A7948">
            <w:pPr>
              <w:autoSpaceDE w:val="0"/>
              <w:autoSpaceDN w:val="0"/>
              <w:adjustRightInd w:val="0"/>
              <w:rPr>
                <w:rFonts w:ascii="Times New Roman" w:hAnsi="Times New Roman" w:cs="Times New Roman"/>
                <w:sz w:val="24"/>
                <w:szCs w:val="24"/>
              </w:rPr>
            </w:pPr>
            <w:r w:rsidRPr="002A7948">
              <w:rPr>
                <w:rFonts w:ascii="Times New Roman" w:hAnsi="Times New Roman" w:cs="Times New Roman"/>
                <w:sz w:val="24"/>
                <w:szCs w:val="24"/>
              </w:rPr>
              <w:t>Drug hypersensitivity</w:t>
            </w:r>
          </w:p>
          <w:p w14:paraId="660F28A5"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reactions (see section 4.4)</w:t>
            </w:r>
          </w:p>
        </w:tc>
      </w:tr>
      <w:tr w:rsidR="00311DF4" w:rsidRPr="002A7948" w14:paraId="7B74138D" w14:textId="77777777" w:rsidTr="002A7948">
        <w:tc>
          <w:tcPr>
            <w:tcW w:w="1836" w:type="pct"/>
            <w:tcBorders>
              <w:top w:val="single" w:sz="4" w:space="0" w:color="auto"/>
              <w:left w:val="single" w:sz="4" w:space="0" w:color="auto"/>
              <w:bottom w:val="single" w:sz="4" w:space="0" w:color="auto"/>
              <w:right w:val="single" w:sz="4" w:space="0" w:color="auto"/>
            </w:tcBorders>
            <w:hideMark/>
          </w:tcPr>
          <w:p w14:paraId="1A66C734" w14:textId="1596C402" w:rsidR="00311DF4" w:rsidRPr="002A7948" w:rsidRDefault="00311DF4" w:rsidP="002A7948">
            <w:pPr>
              <w:autoSpaceDE w:val="0"/>
              <w:autoSpaceDN w:val="0"/>
              <w:adjustRightInd w:val="0"/>
              <w:rPr>
                <w:rFonts w:ascii="Times New Roman" w:hAnsi="Times New Roman" w:cs="Times New Roman"/>
                <w:sz w:val="24"/>
                <w:szCs w:val="24"/>
              </w:rPr>
            </w:pPr>
            <w:r w:rsidRPr="002A7948">
              <w:rPr>
                <w:rFonts w:ascii="Times New Roman" w:hAnsi="Times New Roman" w:cs="Times New Roman"/>
                <w:sz w:val="24"/>
                <w:szCs w:val="24"/>
              </w:rPr>
              <w:t>Respiratory, thoracic and</w:t>
            </w:r>
            <w:r w:rsidR="002A7948" w:rsidRPr="002A7948">
              <w:rPr>
                <w:rFonts w:ascii="Times New Roman" w:hAnsi="Times New Roman" w:cs="Times New Roman"/>
                <w:sz w:val="24"/>
                <w:szCs w:val="24"/>
              </w:rPr>
              <w:t xml:space="preserve"> </w:t>
            </w:r>
            <w:r w:rsidRPr="002A7948">
              <w:rPr>
                <w:rFonts w:ascii="Times New Roman" w:hAnsi="Times New Roman" w:cs="Times New Roman"/>
                <w:sz w:val="24"/>
                <w:szCs w:val="24"/>
              </w:rPr>
              <w:t>mediastinal disorders</w:t>
            </w:r>
          </w:p>
        </w:tc>
        <w:tc>
          <w:tcPr>
            <w:tcW w:w="1328" w:type="pct"/>
            <w:tcBorders>
              <w:top w:val="single" w:sz="4" w:space="0" w:color="auto"/>
              <w:left w:val="single" w:sz="4" w:space="0" w:color="auto"/>
              <w:bottom w:val="single" w:sz="4" w:space="0" w:color="auto"/>
              <w:right w:val="single" w:sz="4" w:space="0" w:color="auto"/>
            </w:tcBorders>
            <w:hideMark/>
          </w:tcPr>
          <w:p w14:paraId="73F4CEFC"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Common</w:t>
            </w:r>
          </w:p>
        </w:tc>
        <w:tc>
          <w:tcPr>
            <w:tcW w:w="1837" w:type="pct"/>
            <w:tcBorders>
              <w:top w:val="single" w:sz="4" w:space="0" w:color="auto"/>
              <w:left w:val="single" w:sz="4" w:space="0" w:color="auto"/>
              <w:bottom w:val="single" w:sz="4" w:space="0" w:color="auto"/>
              <w:right w:val="single" w:sz="4" w:space="0" w:color="auto"/>
            </w:tcBorders>
            <w:hideMark/>
          </w:tcPr>
          <w:p w14:paraId="11B58320"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Cough</w:t>
            </w:r>
          </w:p>
        </w:tc>
      </w:tr>
      <w:tr w:rsidR="00311DF4" w:rsidRPr="008B0872" w14:paraId="2DD82B0E" w14:textId="77777777" w:rsidTr="002A7948">
        <w:tc>
          <w:tcPr>
            <w:tcW w:w="1836" w:type="pct"/>
            <w:tcBorders>
              <w:top w:val="single" w:sz="4" w:space="0" w:color="auto"/>
              <w:left w:val="single" w:sz="4" w:space="0" w:color="auto"/>
              <w:bottom w:val="single" w:sz="4" w:space="0" w:color="auto"/>
              <w:right w:val="single" w:sz="4" w:space="0" w:color="auto"/>
            </w:tcBorders>
            <w:hideMark/>
          </w:tcPr>
          <w:p w14:paraId="52570901" w14:textId="5E8086DA" w:rsidR="00311DF4" w:rsidRPr="002A7948" w:rsidRDefault="00311DF4" w:rsidP="002A7948">
            <w:pPr>
              <w:autoSpaceDE w:val="0"/>
              <w:autoSpaceDN w:val="0"/>
              <w:adjustRightInd w:val="0"/>
              <w:rPr>
                <w:rFonts w:ascii="Times New Roman" w:hAnsi="Times New Roman" w:cs="Times New Roman"/>
                <w:sz w:val="24"/>
                <w:szCs w:val="24"/>
              </w:rPr>
            </w:pPr>
            <w:r w:rsidRPr="002A7948">
              <w:rPr>
                <w:rFonts w:ascii="Times New Roman" w:hAnsi="Times New Roman" w:cs="Times New Roman"/>
                <w:sz w:val="24"/>
                <w:szCs w:val="24"/>
              </w:rPr>
              <w:t>Injury, poisoning and</w:t>
            </w:r>
            <w:r w:rsidR="002A7948" w:rsidRPr="002A7948">
              <w:rPr>
                <w:rFonts w:ascii="Times New Roman" w:hAnsi="Times New Roman" w:cs="Times New Roman"/>
                <w:sz w:val="24"/>
                <w:szCs w:val="24"/>
              </w:rPr>
              <w:t xml:space="preserve"> </w:t>
            </w:r>
            <w:r w:rsidRPr="002A7948">
              <w:rPr>
                <w:rFonts w:ascii="Times New Roman" w:hAnsi="Times New Roman" w:cs="Times New Roman"/>
                <w:sz w:val="24"/>
                <w:szCs w:val="24"/>
              </w:rPr>
              <w:t>procedural complications</w:t>
            </w:r>
          </w:p>
        </w:tc>
        <w:tc>
          <w:tcPr>
            <w:tcW w:w="1328" w:type="pct"/>
            <w:tcBorders>
              <w:top w:val="single" w:sz="4" w:space="0" w:color="auto"/>
              <w:left w:val="single" w:sz="4" w:space="0" w:color="auto"/>
              <w:bottom w:val="single" w:sz="4" w:space="0" w:color="auto"/>
              <w:right w:val="single" w:sz="4" w:space="0" w:color="auto"/>
            </w:tcBorders>
            <w:hideMark/>
          </w:tcPr>
          <w:p w14:paraId="70015336"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Common</w:t>
            </w:r>
          </w:p>
        </w:tc>
        <w:tc>
          <w:tcPr>
            <w:tcW w:w="1837" w:type="pct"/>
            <w:tcBorders>
              <w:top w:val="single" w:sz="4" w:space="0" w:color="auto"/>
              <w:left w:val="single" w:sz="4" w:space="0" w:color="auto"/>
              <w:bottom w:val="single" w:sz="4" w:space="0" w:color="auto"/>
              <w:right w:val="single" w:sz="4" w:space="0" w:color="auto"/>
            </w:tcBorders>
          </w:tcPr>
          <w:p w14:paraId="7DE23560" w14:textId="77777777" w:rsidR="00311DF4" w:rsidRPr="002A7948" w:rsidRDefault="00311DF4" w:rsidP="002A7948">
            <w:pPr>
              <w:autoSpaceDE w:val="0"/>
              <w:autoSpaceDN w:val="0"/>
              <w:adjustRightInd w:val="0"/>
              <w:rPr>
                <w:rFonts w:ascii="Times New Roman" w:hAnsi="Times New Roman" w:cs="Times New Roman"/>
                <w:sz w:val="24"/>
                <w:szCs w:val="24"/>
              </w:rPr>
            </w:pPr>
            <w:r w:rsidRPr="002A7948">
              <w:rPr>
                <w:rFonts w:ascii="Times New Roman" w:hAnsi="Times New Roman" w:cs="Times New Roman"/>
                <w:sz w:val="24"/>
                <w:szCs w:val="24"/>
              </w:rPr>
              <w:t>Airway complication of</w:t>
            </w:r>
          </w:p>
          <w:p w14:paraId="6A26A054" w14:textId="77777777" w:rsidR="00311DF4" w:rsidRPr="002A7948" w:rsidRDefault="00311DF4" w:rsidP="002A7948">
            <w:pPr>
              <w:autoSpaceDE w:val="0"/>
              <w:autoSpaceDN w:val="0"/>
              <w:adjustRightInd w:val="0"/>
              <w:rPr>
                <w:rFonts w:ascii="Times New Roman" w:hAnsi="Times New Roman" w:cs="Times New Roman"/>
                <w:sz w:val="24"/>
                <w:szCs w:val="24"/>
              </w:rPr>
            </w:pPr>
            <w:r w:rsidRPr="002A7948">
              <w:rPr>
                <w:rFonts w:ascii="Times New Roman" w:hAnsi="Times New Roman" w:cs="Times New Roman"/>
                <w:sz w:val="24"/>
                <w:szCs w:val="24"/>
              </w:rPr>
              <w:t>Anaesthesia</w:t>
            </w:r>
          </w:p>
          <w:p w14:paraId="66E1AB7A" w14:textId="77777777" w:rsidR="00311DF4" w:rsidRPr="002A7948" w:rsidRDefault="00311DF4" w:rsidP="002A7948">
            <w:pPr>
              <w:autoSpaceDE w:val="0"/>
              <w:autoSpaceDN w:val="0"/>
              <w:adjustRightInd w:val="0"/>
              <w:rPr>
                <w:rFonts w:ascii="Times New Roman" w:hAnsi="Times New Roman" w:cs="Times New Roman"/>
                <w:sz w:val="24"/>
                <w:szCs w:val="24"/>
              </w:rPr>
            </w:pPr>
          </w:p>
          <w:p w14:paraId="7A7C55E9" w14:textId="77777777" w:rsidR="00311DF4" w:rsidRPr="002A7948" w:rsidRDefault="00311DF4" w:rsidP="002A7948">
            <w:pPr>
              <w:autoSpaceDE w:val="0"/>
              <w:autoSpaceDN w:val="0"/>
              <w:adjustRightInd w:val="0"/>
              <w:rPr>
                <w:rFonts w:ascii="Times New Roman" w:hAnsi="Times New Roman" w:cs="Times New Roman"/>
                <w:sz w:val="24"/>
                <w:szCs w:val="24"/>
              </w:rPr>
            </w:pPr>
            <w:r w:rsidRPr="002A7948">
              <w:rPr>
                <w:rFonts w:ascii="Times New Roman" w:hAnsi="Times New Roman" w:cs="Times New Roman"/>
                <w:sz w:val="24"/>
                <w:szCs w:val="24"/>
              </w:rPr>
              <w:t>Anaesthetic complication</w:t>
            </w:r>
          </w:p>
          <w:p w14:paraId="0EF8CFBF" w14:textId="77777777" w:rsidR="00311DF4" w:rsidRPr="002A7948" w:rsidRDefault="00311DF4" w:rsidP="002A7948">
            <w:pPr>
              <w:autoSpaceDE w:val="0"/>
              <w:autoSpaceDN w:val="0"/>
              <w:adjustRightInd w:val="0"/>
              <w:rPr>
                <w:rFonts w:ascii="Times New Roman" w:hAnsi="Times New Roman" w:cs="Times New Roman"/>
                <w:sz w:val="24"/>
                <w:szCs w:val="24"/>
              </w:rPr>
            </w:pPr>
            <w:r w:rsidRPr="002A7948">
              <w:rPr>
                <w:rFonts w:ascii="Times New Roman" w:hAnsi="Times New Roman" w:cs="Times New Roman"/>
                <w:sz w:val="24"/>
                <w:szCs w:val="24"/>
              </w:rPr>
              <w:t>(see section 4.4)</w:t>
            </w:r>
          </w:p>
          <w:p w14:paraId="7A468EDA" w14:textId="77777777" w:rsidR="00311DF4" w:rsidRPr="002A7948" w:rsidRDefault="00311DF4" w:rsidP="002A7948">
            <w:pPr>
              <w:autoSpaceDE w:val="0"/>
              <w:autoSpaceDN w:val="0"/>
              <w:adjustRightInd w:val="0"/>
              <w:rPr>
                <w:rFonts w:ascii="Times New Roman" w:hAnsi="Times New Roman" w:cs="Times New Roman"/>
                <w:sz w:val="24"/>
                <w:szCs w:val="24"/>
              </w:rPr>
            </w:pPr>
          </w:p>
          <w:p w14:paraId="7FE3316F" w14:textId="77777777" w:rsidR="00311DF4" w:rsidRPr="002A7948" w:rsidRDefault="00311DF4" w:rsidP="002A7948">
            <w:pPr>
              <w:autoSpaceDE w:val="0"/>
              <w:autoSpaceDN w:val="0"/>
              <w:adjustRightInd w:val="0"/>
              <w:rPr>
                <w:rFonts w:ascii="Times New Roman" w:hAnsi="Times New Roman" w:cs="Times New Roman"/>
                <w:sz w:val="24"/>
                <w:szCs w:val="24"/>
              </w:rPr>
            </w:pPr>
            <w:r w:rsidRPr="002A7948">
              <w:rPr>
                <w:rFonts w:ascii="Times New Roman" w:hAnsi="Times New Roman" w:cs="Times New Roman"/>
                <w:sz w:val="24"/>
                <w:szCs w:val="24"/>
              </w:rPr>
              <w:t>Procedural hypotension</w:t>
            </w:r>
          </w:p>
          <w:p w14:paraId="49EC736C" w14:textId="77777777" w:rsidR="00311DF4" w:rsidRPr="002A7948" w:rsidRDefault="00311DF4" w:rsidP="002A7948">
            <w:pPr>
              <w:rPr>
                <w:rFonts w:ascii="Times New Roman" w:hAnsi="Times New Roman" w:cs="Times New Roman"/>
                <w:sz w:val="24"/>
                <w:szCs w:val="24"/>
              </w:rPr>
            </w:pPr>
          </w:p>
          <w:p w14:paraId="0F14D911"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Procedural complication</w:t>
            </w:r>
          </w:p>
        </w:tc>
      </w:tr>
    </w:tbl>
    <w:p w14:paraId="58F895AC" w14:textId="77777777" w:rsidR="00311DF4" w:rsidRPr="002A7948" w:rsidRDefault="00311DF4" w:rsidP="00311DF4">
      <w:pPr>
        <w:jc w:val="both"/>
        <w:rPr>
          <w:sz w:val="24"/>
          <w:szCs w:val="24"/>
          <w:lang w:val="en-GB" w:eastAsia="en-US"/>
        </w:rPr>
      </w:pPr>
    </w:p>
    <w:p w14:paraId="5392BC4D" w14:textId="77777777" w:rsidR="00311DF4" w:rsidRPr="002A7948" w:rsidRDefault="00311DF4" w:rsidP="002A7948">
      <w:pPr>
        <w:ind w:left="851"/>
        <w:rPr>
          <w:sz w:val="24"/>
          <w:szCs w:val="24"/>
          <w:u w:val="single"/>
          <w:lang w:val="en-US"/>
        </w:rPr>
      </w:pPr>
      <w:r w:rsidRPr="002A7948">
        <w:rPr>
          <w:sz w:val="24"/>
          <w:szCs w:val="24"/>
          <w:u w:val="single"/>
          <w:lang w:val="en-US"/>
        </w:rPr>
        <w:t>Description of selected adverse reactions</w:t>
      </w:r>
    </w:p>
    <w:p w14:paraId="3F4EC77D" w14:textId="77777777" w:rsidR="00311DF4" w:rsidRPr="002A7948" w:rsidRDefault="00311DF4" w:rsidP="002A7948">
      <w:pPr>
        <w:ind w:left="851"/>
        <w:rPr>
          <w:sz w:val="24"/>
          <w:szCs w:val="24"/>
          <w:lang w:val="en-US"/>
        </w:rPr>
      </w:pPr>
      <w:r w:rsidRPr="002A7948">
        <w:rPr>
          <w:sz w:val="24"/>
          <w:szCs w:val="24"/>
          <w:lang w:val="en-US"/>
        </w:rPr>
        <w:t>Drug hypersensitivity reactions:</w:t>
      </w:r>
    </w:p>
    <w:p w14:paraId="4C47E75E" w14:textId="77777777" w:rsidR="00311DF4" w:rsidRPr="002A7948" w:rsidRDefault="00311DF4" w:rsidP="002A7948">
      <w:pPr>
        <w:ind w:left="851"/>
        <w:rPr>
          <w:sz w:val="24"/>
          <w:szCs w:val="24"/>
          <w:lang w:val="en-US"/>
        </w:rPr>
      </w:pPr>
      <w:r w:rsidRPr="002A7948">
        <w:rPr>
          <w:sz w:val="24"/>
          <w:szCs w:val="24"/>
          <w:lang w:val="en-US"/>
        </w:rPr>
        <w:t>Hypersensitivity reactions, including anaphylaxis, have occurred in some patients and volunteers (for information on volunteers, see Information on healthy volunteers below). In clinical trials of surgical patients these reactions were reported uncommonly and for post-marketing reports the frequency is unknown.</w:t>
      </w:r>
    </w:p>
    <w:p w14:paraId="7D83DCA2" w14:textId="77777777" w:rsidR="00311DF4" w:rsidRPr="002A7948" w:rsidRDefault="00311DF4" w:rsidP="002A7948">
      <w:pPr>
        <w:ind w:left="851"/>
        <w:rPr>
          <w:sz w:val="24"/>
          <w:szCs w:val="24"/>
          <w:lang w:val="en-US"/>
        </w:rPr>
      </w:pPr>
      <w:r w:rsidRPr="002A7948">
        <w:rPr>
          <w:sz w:val="24"/>
          <w:szCs w:val="24"/>
          <w:lang w:val="en-US"/>
        </w:rPr>
        <w:t xml:space="preserve">These reactions varied from isolated skin reactions to serious systemic reactions (i.e. anaphylaxis, anaphylactic shock) and have occurred in patients with no prior exposure to </w:t>
      </w:r>
      <w:proofErr w:type="spellStart"/>
      <w:r w:rsidRPr="002A7948">
        <w:rPr>
          <w:sz w:val="24"/>
          <w:szCs w:val="24"/>
          <w:lang w:val="en-US"/>
        </w:rPr>
        <w:t>sugammadex</w:t>
      </w:r>
      <w:proofErr w:type="spellEnd"/>
      <w:r w:rsidRPr="002A7948">
        <w:rPr>
          <w:sz w:val="24"/>
          <w:szCs w:val="24"/>
          <w:lang w:val="en-US"/>
        </w:rPr>
        <w:t>.</w:t>
      </w:r>
    </w:p>
    <w:p w14:paraId="08D8601E" w14:textId="04097EBB" w:rsidR="00311DF4" w:rsidRPr="002A7948" w:rsidRDefault="00311DF4" w:rsidP="002A7948">
      <w:pPr>
        <w:ind w:left="851"/>
        <w:rPr>
          <w:sz w:val="24"/>
          <w:szCs w:val="24"/>
          <w:lang w:val="en-US"/>
        </w:rPr>
      </w:pPr>
      <w:r w:rsidRPr="002A7948">
        <w:rPr>
          <w:sz w:val="24"/>
          <w:szCs w:val="24"/>
          <w:lang w:val="en-US"/>
        </w:rPr>
        <w:t xml:space="preserve">Symptoms associated with these reactions can include: flushing, urticaria, erythematous rash, (severe) hypotension, tachycardia, swelling of tongue, swelling of pharynx, </w:t>
      </w:r>
      <w:r w:rsidRPr="002A7948">
        <w:rPr>
          <w:sz w:val="24"/>
          <w:szCs w:val="24"/>
          <w:lang w:val="en-US"/>
        </w:rPr>
        <w:lastRenderedPageBreak/>
        <w:t>bronchospasm and pulmonary</w:t>
      </w:r>
      <w:r w:rsidR="002A7948" w:rsidRPr="002A7948">
        <w:rPr>
          <w:sz w:val="24"/>
          <w:szCs w:val="24"/>
          <w:lang w:val="en-US"/>
        </w:rPr>
        <w:t xml:space="preserve"> </w:t>
      </w:r>
      <w:r w:rsidRPr="002A7948">
        <w:rPr>
          <w:sz w:val="24"/>
          <w:szCs w:val="24"/>
          <w:lang w:val="en-US"/>
        </w:rPr>
        <w:t>obstructive events. Severe hypersensitivity reactions can be fatal.</w:t>
      </w:r>
    </w:p>
    <w:p w14:paraId="6FEC0F00" w14:textId="77777777" w:rsidR="00311DF4" w:rsidRPr="002A7948" w:rsidRDefault="00311DF4" w:rsidP="002A7948">
      <w:pPr>
        <w:ind w:left="851"/>
        <w:rPr>
          <w:sz w:val="24"/>
          <w:szCs w:val="24"/>
          <w:lang w:val="en-US"/>
        </w:rPr>
      </w:pPr>
    </w:p>
    <w:p w14:paraId="4E08645E" w14:textId="77777777" w:rsidR="00311DF4" w:rsidRPr="002A7948" w:rsidRDefault="00311DF4" w:rsidP="002A7948">
      <w:pPr>
        <w:ind w:left="851"/>
        <w:rPr>
          <w:sz w:val="24"/>
          <w:szCs w:val="24"/>
          <w:lang w:val="en-US"/>
        </w:rPr>
      </w:pPr>
      <w:r w:rsidRPr="002A7948">
        <w:rPr>
          <w:sz w:val="24"/>
          <w:szCs w:val="24"/>
          <w:lang w:val="en-US"/>
        </w:rPr>
        <w:t xml:space="preserve">Airway complication of </w:t>
      </w:r>
      <w:proofErr w:type="spellStart"/>
      <w:r w:rsidRPr="002A7948">
        <w:rPr>
          <w:sz w:val="24"/>
          <w:szCs w:val="24"/>
          <w:lang w:val="en-US"/>
        </w:rPr>
        <w:t>anaesthesia</w:t>
      </w:r>
      <w:proofErr w:type="spellEnd"/>
      <w:r w:rsidRPr="002A7948">
        <w:rPr>
          <w:sz w:val="24"/>
          <w:szCs w:val="24"/>
          <w:lang w:val="en-US"/>
        </w:rPr>
        <w:t>:</w:t>
      </w:r>
    </w:p>
    <w:p w14:paraId="32FF3D3F" w14:textId="77777777" w:rsidR="00311DF4" w:rsidRPr="002A7948" w:rsidRDefault="00311DF4" w:rsidP="002A7948">
      <w:pPr>
        <w:ind w:left="851"/>
        <w:rPr>
          <w:sz w:val="24"/>
          <w:szCs w:val="24"/>
          <w:lang w:val="en-US"/>
        </w:rPr>
      </w:pPr>
      <w:r w:rsidRPr="002A7948">
        <w:rPr>
          <w:sz w:val="24"/>
          <w:szCs w:val="24"/>
          <w:lang w:val="en-US"/>
        </w:rPr>
        <w:t xml:space="preserve">Airway complications of </w:t>
      </w:r>
      <w:proofErr w:type="spellStart"/>
      <w:r w:rsidRPr="002A7948">
        <w:rPr>
          <w:sz w:val="24"/>
          <w:szCs w:val="24"/>
          <w:lang w:val="en-US"/>
        </w:rPr>
        <w:t>anaesthesia</w:t>
      </w:r>
      <w:proofErr w:type="spellEnd"/>
      <w:r w:rsidRPr="002A7948">
        <w:rPr>
          <w:sz w:val="24"/>
          <w:szCs w:val="24"/>
          <w:lang w:val="en-US"/>
        </w:rPr>
        <w:t xml:space="preserve"> included bucking against the endotracheal tube, coughing, mild bucking, arousal reaction during surgery, coughing during the </w:t>
      </w:r>
      <w:proofErr w:type="spellStart"/>
      <w:r w:rsidRPr="002A7948">
        <w:rPr>
          <w:sz w:val="24"/>
          <w:szCs w:val="24"/>
          <w:lang w:val="en-US"/>
        </w:rPr>
        <w:t>anaesthetic</w:t>
      </w:r>
      <w:proofErr w:type="spellEnd"/>
      <w:r w:rsidRPr="002A7948">
        <w:rPr>
          <w:sz w:val="24"/>
          <w:szCs w:val="24"/>
          <w:lang w:val="en-US"/>
        </w:rPr>
        <w:t xml:space="preserve"> procedure or during surgery, or </w:t>
      </w:r>
      <w:proofErr w:type="spellStart"/>
      <w:r w:rsidRPr="002A7948">
        <w:rPr>
          <w:sz w:val="24"/>
          <w:szCs w:val="24"/>
          <w:lang w:val="en-US"/>
        </w:rPr>
        <w:t>anaesthetic</w:t>
      </w:r>
      <w:proofErr w:type="spellEnd"/>
      <w:r w:rsidRPr="002A7948">
        <w:rPr>
          <w:sz w:val="24"/>
          <w:szCs w:val="24"/>
          <w:lang w:val="en-US"/>
        </w:rPr>
        <w:t xml:space="preserve"> procedure-related spontaneous breath of patient.</w:t>
      </w:r>
    </w:p>
    <w:p w14:paraId="04DD5E3A" w14:textId="77777777" w:rsidR="00311DF4" w:rsidRPr="002A7948" w:rsidRDefault="00311DF4" w:rsidP="002A7948">
      <w:pPr>
        <w:ind w:left="851"/>
        <w:rPr>
          <w:sz w:val="24"/>
          <w:szCs w:val="24"/>
          <w:lang w:val="en-US"/>
        </w:rPr>
      </w:pPr>
    </w:p>
    <w:p w14:paraId="3B747D5C" w14:textId="77777777" w:rsidR="00311DF4" w:rsidRPr="002A7948" w:rsidRDefault="00311DF4" w:rsidP="002A7948">
      <w:pPr>
        <w:ind w:left="851"/>
        <w:rPr>
          <w:sz w:val="24"/>
          <w:szCs w:val="24"/>
          <w:lang w:val="en-US"/>
        </w:rPr>
      </w:pPr>
      <w:proofErr w:type="spellStart"/>
      <w:r w:rsidRPr="002A7948">
        <w:rPr>
          <w:sz w:val="24"/>
          <w:szCs w:val="24"/>
          <w:lang w:val="en-US"/>
        </w:rPr>
        <w:t>Anaesthetic</w:t>
      </w:r>
      <w:proofErr w:type="spellEnd"/>
      <w:r w:rsidRPr="002A7948">
        <w:rPr>
          <w:sz w:val="24"/>
          <w:szCs w:val="24"/>
          <w:lang w:val="en-US"/>
        </w:rPr>
        <w:t xml:space="preserve"> complication:</w:t>
      </w:r>
    </w:p>
    <w:p w14:paraId="7EFA054A" w14:textId="77777777" w:rsidR="00311DF4" w:rsidRPr="002A7948" w:rsidRDefault="00311DF4" w:rsidP="002A7948">
      <w:pPr>
        <w:ind w:left="851"/>
        <w:rPr>
          <w:sz w:val="24"/>
          <w:szCs w:val="24"/>
          <w:lang w:val="en-US"/>
        </w:rPr>
      </w:pPr>
      <w:proofErr w:type="spellStart"/>
      <w:r w:rsidRPr="002A7948">
        <w:rPr>
          <w:sz w:val="24"/>
          <w:szCs w:val="24"/>
          <w:lang w:val="en-US"/>
        </w:rPr>
        <w:t>Anaesthetic</w:t>
      </w:r>
      <w:proofErr w:type="spellEnd"/>
      <w:r w:rsidRPr="002A7948">
        <w:rPr>
          <w:sz w:val="24"/>
          <w:szCs w:val="24"/>
          <w:lang w:val="en-US"/>
        </w:rPr>
        <w:t xml:space="preserve"> complications, indicative of the restoration of neuromuscular function, include movement of a limb or the body or coughing during the </w:t>
      </w:r>
      <w:proofErr w:type="spellStart"/>
      <w:r w:rsidRPr="002A7948">
        <w:rPr>
          <w:sz w:val="24"/>
          <w:szCs w:val="24"/>
          <w:lang w:val="en-US"/>
        </w:rPr>
        <w:t>anaesthetic</w:t>
      </w:r>
      <w:proofErr w:type="spellEnd"/>
      <w:r w:rsidRPr="002A7948">
        <w:rPr>
          <w:sz w:val="24"/>
          <w:szCs w:val="24"/>
          <w:lang w:val="en-US"/>
        </w:rPr>
        <w:t xml:space="preserve"> procedure or during surgery, grimacing, or suckling on the endotracheal tube. See section 4.4 light </w:t>
      </w:r>
      <w:proofErr w:type="spellStart"/>
      <w:r w:rsidRPr="002A7948">
        <w:rPr>
          <w:sz w:val="24"/>
          <w:szCs w:val="24"/>
          <w:lang w:val="en-US"/>
        </w:rPr>
        <w:t>anaesthesia</w:t>
      </w:r>
      <w:proofErr w:type="spellEnd"/>
      <w:r w:rsidRPr="002A7948">
        <w:rPr>
          <w:sz w:val="24"/>
          <w:szCs w:val="24"/>
          <w:lang w:val="en-US"/>
        </w:rPr>
        <w:t>.</w:t>
      </w:r>
    </w:p>
    <w:p w14:paraId="58A9E40A" w14:textId="77777777" w:rsidR="00311DF4" w:rsidRPr="002A7948" w:rsidRDefault="00311DF4" w:rsidP="002A7948">
      <w:pPr>
        <w:ind w:left="851"/>
        <w:rPr>
          <w:sz w:val="24"/>
          <w:szCs w:val="24"/>
          <w:lang w:val="en-US"/>
        </w:rPr>
      </w:pPr>
    </w:p>
    <w:p w14:paraId="089E2CBA" w14:textId="77777777" w:rsidR="00311DF4" w:rsidRPr="002A7948" w:rsidRDefault="00311DF4" w:rsidP="002A7948">
      <w:pPr>
        <w:ind w:left="851"/>
        <w:rPr>
          <w:sz w:val="24"/>
          <w:szCs w:val="24"/>
          <w:lang w:val="en-US"/>
        </w:rPr>
      </w:pPr>
      <w:r w:rsidRPr="002A7948">
        <w:rPr>
          <w:sz w:val="24"/>
          <w:szCs w:val="24"/>
          <w:lang w:val="en-US"/>
        </w:rPr>
        <w:t>Procedural complication:</w:t>
      </w:r>
    </w:p>
    <w:p w14:paraId="37268DEC" w14:textId="77777777" w:rsidR="00311DF4" w:rsidRPr="002A7948" w:rsidRDefault="00311DF4" w:rsidP="002A7948">
      <w:pPr>
        <w:ind w:left="851"/>
        <w:rPr>
          <w:sz w:val="24"/>
          <w:szCs w:val="24"/>
          <w:lang w:val="en-US"/>
        </w:rPr>
      </w:pPr>
      <w:r w:rsidRPr="002A7948">
        <w:rPr>
          <w:sz w:val="24"/>
          <w:szCs w:val="24"/>
          <w:lang w:val="en-US"/>
        </w:rPr>
        <w:t>Procedural complications included coughing, tachycardia, bradycardia, movement, and increase in heart rate.</w:t>
      </w:r>
    </w:p>
    <w:p w14:paraId="5D1F72F8" w14:textId="77777777" w:rsidR="00311DF4" w:rsidRPr="002A7948" w:rsidRDefault="00311DF4" w:rsidP="002A7948">
      <w:pPr>
        <w:ind w:left="851"/>
        <w:rPr>
          <w:sz w:val="24"/>
          <w:szCs w:val="24"/>
          <w:lang w:val="en-US"/>
        </w:rPr>
      </w:pPr>
    </w:p>
    <w:p w14:paraId="1A8A84F0" w14:textId="77777777" w:rsidR="00311DF4" w:rsidRPr="002A7948" w:rsidRDefault="00311DF4" w:rsidP="002A7948">
      <w:pPr>
        <w:ind w:left="851"/>
        <w:rPr>
          <w:sz w:val="24"/>
          <w:szCs w:val="24"/>
          <w:lang w:val="en-US"/>
        </w:rPr>
      </w:pPr>
      <w:r w:rsidRPr="002A7948">
        <w:rPr>
          <w:sz w:val="24"/>
          <w:szCs w:val="24"/>
          <w:lang w:val="en-US"/>
        </w:rPr>
        <w:t>Marked bradycardia:</w:t>
      </w:r>
    </w:p>
    <w:p w14:paraId="4F1AB3CB" w14:textId="77777777" w:rsidR="00311DF4" w:rsidRPr="002A7948" w:rsidRDefault="00311DF4" w:rsidP="002A7948">
      <w:pPr>
        <w:ind w:left="851"/>
        <w:rPr>
          <w:sz w:val="24"/>
          <w:szCs w:val="24"/>
          <w:lang w:val="en-US"/>
        </w:rPr>
      </w:pPr>
      <w:r w:rsidRPr="002A7948">
        <w:rPr>
          <w:sz w:val="24"/>
          <w:szCs w:val="24"/>
          <w:lang w:val="en-US"/>
        </w:rPr>
        <w:t xml:space="preserve">In post-marketing, isolated cases of marked bradycardia and bradycardia with cardiac arrest have been observed within minutes after administration of </w:t>
      </w:r>
      <w:proofErr w:type="spellStart"/>
      <w:r w:rsidRPr="002A7948">
        <w:rPr>
          <w:sz w:val="24"/>
          <w:szCs w:val="24"/>
          <w:lang w:val="en-US"/>
        </w:rPr>
        <w:t>sugammadex</w:t>
      </w:r>
      <w:proofErr w:type="spellEnd"/>
      <w:r w:rsidRPr="002A7948">
        <w:rPr>
          <w:sz w:val="24"/>
          <w:szCs w:val="24"/>
          <w:lang w:val="en-US"/>
        </w:rPr>
        <w:t xml:space="preserve"> (see section 4.4).</w:t>
      </w:r>
    </w:p>
    <w:p w14:paraId="4E704CF6" w14:textId="77777777" w:rsidR="00311DF4" w:rsidRPr="002A7948" w:rsidRDefault="00311DF4" w:rsidP="002A7948">
      <w:pPr>
        <w:ind w:left="851"/>
        <w:rPr>
          <w:sz w:val="24"/>
          <w:szCs w:val="24"/>
          <w:lang w:val="en-US"/>
        </w:rPr>
      </w:pPr>
    </w:p>
    <w:p w14:paraId="45454784" w14:textId="77777777" w:rsidR="00311DF4" w:rsidRPr="002A7948" w:rsidRDefault="00311DF4" w:rsidP="002A7948">
      <w:pPr>
        <w:ind w:left="851"/>
        <w:rPr>
          <w:sz w:val="24"/>
          <w:szCs w:val="24"/>
          <w:lang w:val="en-US"/>
        </w:rPr>
      </w:pPr>
      <w:r w:rsidRPr="002A7948">
        <w:rPr>
          <w:sz w:val="24"/>
          <w:szCs w:val="24"/>
          <w:lang w:val="en-US"/>
        </w:rPr>
        <w:t>Recurrence of neuromuscular blockade:</w:t>
      </w:r>
    </w:p>
    <w:p w14:paraId="0DD57E1B" w14:textId="77777777" w:rsidR="00311DF4" w:rsidRPr="002A7948" w:rsidRDefault="00311DF4" w:rsidP="002A7948">
      <w:pPr>
        <w:ind w:left="851"/>
        <w:rPr>
          <w:sz w:val="24"/>
          <w:szCs w:val="24"/>
          <w:lang w:val="en-US"/>
        </w:rPr>
      </w:pPr>
      <w:r w:rsidRPr="002A7948">
        <w:rPr>
          <w:sz w:val="24"/>
          <w:szCs w:val="24"/>
          <w:lang w:val="en-US"/>
        </w:rPr>
        <w:t xml:space="preserve">In clinical studies with subjects treated with rocuronium or vecuronium, where </w:t>
      </w:r>
      <w:proofErr w:type="spellStart"/>
      <w:r w:rsidRPr="002A7948">
        <w:rPr>
          <w:sz w:val="24"/>
          <w:szCs w:val="24"/>
          <w:lang w:val="en-US"/>
        </w:rPr>
        <w:t>sugammadex</w:t>
      </w:r>
      <w:proofErr w:type="spellEnd"/>
      <w:r w:rsidRPr="002A7948">
        <w:rPr>
          <w:sz w:val="24"/>
          <w:szCs w:val="24"/>
          <w:lang w:val="en-US"/>
        </w:rPr>
        <w:t xml:space="preserve"> was administered using a dose labelled for the depth of neuromuscular blockade (N=2,022), an incidence of 0.20% was observed for recurrence of neuromuscular blockade as based on neuromuscular monitoring or clinical evidence (see section 4.4).</w:t>
      </w:r>
    </w:p>
    <w:p w14:paraId="52537B8B" w14:textId="77777777" w:rsidR="00311DF4" w:rsidRPr="002A7948" w:rsidRDefault="00311DF4" w:rsidP="002A7948">
      <w:pPr>
        <w:autoSpaceDE w:val="0"/>
        <w:autoSpaceDN w:val="0"/>
        <w:adjustRightInd w:val="0"/>
        <w:ind w:left="851"/>
        <w:rPr>
          <w:sz w:val="24"/>
          <w:szCs w:val="24"/>
          <w:lang w:val="en-US"/>
        </w:rPr>
      </w:pPr>
    </w:p>
    <w:p w14:paraId="67B76400"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Information on healthy volunteers:</w:t>
      </w:r>
    </w:p>
    <w:p w14:paraId="01845268" w14:textId="0CE5479A"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A </w:t>
      </w:r>
      <w:proofErr w:type="spellStart"/>
      <w:r w:rsidRPr="002A7948">
        <w:rPr>
          <w:sz w:val="24"/>
          <w:szCs w:val="24"/>
          <w:lang w:val="en-US"/>
        </w:rPr>
        <w:t>randomised</w:t>
      </w:r>
      <w:proofErr w:type="spellEnd"/>
      <w:r w:rsidRPr="002A7948">
        <w:rPr>
          <w:sz w:val="24"/>
          <w:szCs w:val="24"/>
          <w:lang w:val="en-US"/>
        </w:rPr>
        <w:t xml:space="preserve">, double-blind study examined the incidence of drug hypersensitivity reactions in healthy volunteers given up to 3 doses of placebo (N=76), </w:t>
      </w:r>
      <w:proofErr w:type="spellStart"/>
      <w:r w:rsidRPr="002A7948">
        <w:rPr>
          <w:sz w:val="24"/>
          <w:szCs w:val="24"/>
          <w:lang w:val="en-US"/>
        </w:rPr>
        <w:t>sugammadex</w:t>
      </w:r>
      <w:proofErr w:type="spellEnd"/>
      <w:r w:rsidRPr="002A7948">
        <w:rPr>
          <w:sz w:val="24"/>
          <w:szCs w:val="24"/>
          <w:lang w:val="en-US"/>
        </w:rPr>
        <w:t xml:space="preserve"> 4</w:t>
      </w:r>
      <w:r w:rsidR="00574AEF">
        <w:rPr>
          <w:sz w:val="24"/>
          <w:szCs w:val="24"/>
          <w:lang w:val="en-US"/>
        </w:rPr>
        <w:t> </w:t>
      </w:r>
      <w:r w:rsidRPr="002A7948">
        <w:rPr>
          <w:sz w:val="24"/>
          <w:szCs w:val="24"/>
          <w:lang w:val="en-US"/>
        </w:rPr>
        <w:t xml:space="preserve">mg/kg (N=151) or </w:t>
      </w:r>
      <w:proofErr w:type="spellStart"/>
      <w:r w:rsidRPr="002A7948">
        <w:rPr>
          <w:sz w:val="24"/>
          <w:szCs w:val="24"/>
          <w:lang w:val="en-US"/>
        </w:rPr>
        <w:t>sugammadex</w:t>
      </w:r>
      <w:proofErr w:type="spellEnd"/>
      <w:r w:rsidRPr="002A7948">
        <w:rPr>
          <w:sz w:val="24"/>
          <w:szCs w:val="24"/>
          <w:lang w:val="en-US"/>
        </w:rPr>
        <w:t xml:space="preserve"> 16 mg/kg (N=148). Reports of suspected hypersensitivity were adjudicated by a blinded committee. The incidence of adjudicated hypersensitivity was 1.3%, 6.6% and 9.5% in the placebo, </w:t>
      </w:r>
      <w:proofErr w:type="spellStart"/>
      <w:r w:rsidRPr="002A7948">
        <w:rPr>
          <w:sz w:val="24"/>
          <w:szCs w:val="24"/>
          <w:lang w:val="en-US"/>
        </w:rPr>
        <w:t>sugammadex</w:t>
      </w:r>
      <w:proofErr w:type="spellEnd"/>
      <w:r w:rsidRPr="002A7948">
        <w:rPr>
          <w:sz w:val="24"/>
          <w:szCs w:val="24"/>
          <w:lang w:val="en-US"/>
        </w:rPr>
        <w:t xml:space="preserve"> 4 mg/kg and </w:t>
      </w:r>
      <w:proofErr w:type="spellStart"/>
      <w:r w:rsidRPr="002A7948">
        <w:rPr>
          <w:sz w:val="24"/>
          <w:szCs w:val="24"/>
          <w:lang w:val="en-US"/>
        </w:rPr>
        <w:t>sugammadex</w:t>
      </w:r>
      <w:proofErr w:type="spellEnd"/>
      <w:r w:rsidRPr="002A7948">
        <w:rPr>
          <w:sz w:val="24"/>
          <w:szCs w:val="24"/>
          <w:lang w:val="en-US"/>
        </w:rPr>
        <w:t xml:space="preserve"> 16 mg/kg groups, respectively. There were no reports of anaphylaxis after placebo or </w:t>
      </w:r>
      <w:proofErr w:type="spellStart"/>
      <w:r w:rsidRPr="002A7948">
        <w:rPr>
          <w:sz w:val="24"/>
          <w:szCs w:val="24"/>
          <w:lang w:val="en-US"/>
        </w:rPr>
        <w:t>sugammadex</w:t>
      </w:r>
      <w:proofErr w:type="spellEnd"/>
      <w:r w:rsidRPr="002A7948">
        <w:rPr>
          <w:sz w:val="24"/>
          <w:szCs w:val="24"/>
          <w:lang w:val="en-US"/>
        </w:rPr>
        <w:t xml:space="preserve"> 4 mg/kg. There was a single case of adjudicated anaphylaxis after the first dose of </w:t>
      </w:r>
      <w:proofErr w:type="spellStart"/>
      <w:r w:rsidRPr="002A7948">
        <w:rPr>
          <w:sz w:val="24"/>
          <w:szCs w:val="24"/>
          <w:lang w:val="en-US"/>
        </w:rPr>
        <w:t>sugammadex</w:t>
      </w:r>
      <w:proofErr w:type="spellEnd"/>
      <w:r w:rsidRPr="002A7948">
        <w:rPr>
          <w:sz w:val="24"/>
          <w:szCs w:val="24"/>
          <w:lang w:val="en-US"/>
        </w:rPr>
        <w:t xml:space="preserve"> 16 mg/kg (incidence 0.7%). There was no evidence of increased frequency or severity of hypersensitivity with repeat dosing of </w:t>
      </w:r>
      <w:proofErr w:type="spellStart"/>
      <w:r w:rsidRPr="002A7948">
        <w:rPr>
          <w:sz w:val="24"/>
          <w:szCs w:val="24"/>
          <w:lang w:val="en-US"/>
        </w:rPr>
        <w:t>sugammadex</w:t>
      </w:r>
      <w:proofErr w:type="spellEnd"/>
      <w:r w:rsidRPr="002A7948">
        <w:rPr>
          <w:sz w:val="24"/>
          <w:szCs w:val="24"/>
          <w:lang w:val="en-US"/>
        </w:rPr>
        <w:t>.</w:t>
      </w:r>
    </w:p>
    <w:p w14:paraId="4C5A23AA" w14:textId="77777777" w:rsidR="00311DF4" w:rsidRPr="002A7948" w:rsidRDefault="00311DF4" w:rsidP="002A7948">
      <w:pPr>
        <w:autoSpaceDE w:val="0"/>
        <w:autoSpaceDN w:val="0"/>
        <w:adjustRightInd w:val="0"/>
        <w:ind w:left="851"/>
        <w:rPr>
          <w:sz w:val="24"/>
          <w:szCs w:val="24"/>
          <w:lang w:val="en-US"/>
        </w:rPr>
      </w:pPr>
    </w:p>
    <w:p w14:paraId="39172054"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In a previous study of similar design, there were three adjudicated cases of anaphylaxis, all after </w:t>
      </w:r>
      <w:proofErr w:type="spellStart"/>
      <w:r w:rsidRPr="002A7948">
        <w:rPr>
          <w:sz w:val="24"/>
          <w:szCs w:val="24"/>
          <w:lang w:val="en-US"/>
        </w:rPr>
        <w:t>sugammadex</w:t>
      </w:r>
      <w:proofErr w:type="spellEnd"/>
      <w:r w:rsidRPr="002A7948">
        <w:rPr>
          <w:sz w:val="24"/>
          <w:szCs w:val="24"/>
          <w:lang w:val="en-US"/>
        </w:rPr>
        <w:t xml:space="preserve"> 16 mg/kg (incidence 2.0%).</w:t>
      </w:r>
    </w:p>
    <w:p w14:paraId="7E619481" w14:textId="0B81AAB0"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In the Pooled Phase 1 database, AEs considered common (≥ 1/100 to &lt; 1/10) or very common (≥ 1/10) and more frequent among subjects treated with </w:t>
      </w:r>
      <w:proofErr w:type="spellStart"/>
      <w:r w:rsidRPr="002A7948">
        <w:rPr>
          <w:sz w:val="24"/>
          <w:szCs w:val="24"/>
          <w:lang w:val="en-US"/>
        </w:rPr>
        <w:t>sugammadex</w:t>
      </w:r>
      <w:proofErr w:type="spellEnd"/>
      <w:r w:rsidRPr="002A7948">
        <w:rPr>
          <w:sz w:val="24"/>
          <w:szCs w:val="24"/>
          <w:lang w:val="en-US"/>
        </w:rPr>
        <w:t xml:space="preserve"> than in the placebo group, include dysgeusia (10.1%), headache (6.7%), nausea (5.6%), urticaria (1.7%), pruritus (1.7%), dizziness</w:t>
      </w:r>
      <w:r w:rsidR="001C0E54">
        <w:rPr>
          <w:sz w:val="24"/>
          <w:szCs w:val="24"/>
          <w:lang w:val="en-US"/>
        </w:rPr>
        <w:t xml:space="preserve"> </w:t>
      </w:r>
      <w:r w:rsidRPr="002A7948">
        <w:rPr>
          <w:sz w:val="24"/>
          <w:szCs w:val="24"/>
          <w:lang w:val="en-US"/>
        </w:rPr>
        <w:t>(1.6%), vomiting (1.2%) and abdominal pain (1.0%).</w:t>
      </w:r>
    </w:p>
    <w:p w14:paraId="008B1CAB" w14:textId="7125FB2C" w:rsidR="008B0872" w:rsidRDefault="008B0872">
      <w:pPr>
        <w:rPr>
          <w:sz w:val="24"/>
          <w:szCs w:val="24"/>
          <w:lang w:val="en-US"/>
        </w:rPr>
      </w:pPr>
      <w:r>
        <w:rPr>
          <w:sz w:val="24"/>
          <w:szCs w:val="24"/>
          <w:lang w:val="en-US"/>
        </w:rPr>
        <w:br w:type="page"/>
      </w:r>
    </w:p>
    <w:p w14:paraId="5921C397" w14:textId="77777777" w:rsidR="00311DF4" w:rsidRPr="002A7948" w:rsidRDefault="00311DF4" w:rsidP="002A7948">
      <w:pPr>
        <w:autoSpaceDE w:val="0"/>
        <w:autoSpaceDN w:val="0"/>
        <w:adjustRightInd w:val="0"/>
        <w:ind w:left="851"/>
        <w:rPr>
          <w:sz w:val="24"/>
          <w:szCs w:val="24"/>
          <w:lang w:val="en-US"/>
        </w:rPr>
      </w:pPr>
    </w:p>
    <w:p w14:paraId="73D76CB6" w14:textId="77777777" w:rsidR="00311DF4" w:rsidRPr="002A7948" w:rsidRDefault="00311DF4" w:rsidP="002A7948">
      <w:pPr>
        <w:autoSpaceDE w:val="0"/>
        <w:autoSpaceDN w:val="0"/>
        <w:adjustRightInd w:val="0"/>
        <w:ind w:left="851"/>
        <w:rPr>
          <w:i/>
          <w:iCs/>
          <w:sz w:val="24"/>
          <w:szCs w:val="24"/>
          <w:lang w:val="en-US"/>
        </w:rPr>
      </w:pPr>
      <w:r w:rsidRPr="002A7948">
        <w:rPr>
          <w:i/>
          <w:iCs/>
          <w:sz w:val="24"/>
          <w:szCs w:val="24"/>
          <w:lang w:val="en-US"/>
        </w:rPr>
        <w:t>Additional information on special populations</w:t>
      </w:r>
    </w:p>
    <w:p w14:paraId="2A7282D9" w14:textId="77777777" w:rsidR="00311DF4" w:rsidRPr="002A7948" w:rsidRDefault="00311DF4" w:rsidP="002A7948">
      <w:pPr>
        <w:autoSpaceDE w:val="0"/>
        <w:autoSpaceDN w:val="0"/>
        <w:adjustRightInd w:val="0"/>
        <w:ind w:left="851"/>
        <w:rPr>
          <w:sz w:val="24"/>
          <w:szCs w:val="24"/>
          <w:lang w:val="en-US"/>
        </w:rPr>
      </w:pPr>
    </w:p>
    <w:p w14:paraId="06128019"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Pulmonary patients:</w:t>
      </w:r>
    </w:p>
    <w:p w14:paraId="0EC8FA94"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In post-marketing data and in one dedicated clinical trial in patients with a history of pulmonary complications, bronchospasm was reported as a possibly related adverse event. As with all patients with a history of pulmonary complications the physician should be aware of the possible occurrence of bronchospasm.</w:t>
      </w:r>
    </w:p>
    <w:p w14:paraId="4F41BBC8" w14:textId="77777777" w:rsidR="00311DF4" w:rsidRPr="002A7948" w:rsidRDefault="00311DF4" w:rsidP="002A7948">
      <w:pPr>
        <w:autoSpaceDE w:val="0"/>
        <w:autoSpaceDN w:val="0"/>
        <w:adjustRightInd w:val="0"/>
        <w:ind w:left="851"/>
        <w:rPr>
          <w:sz w:val="24"/>
          <w:szCs w:val="24"/>
          <w:lang w:val="en-US"/>
        </w:rPr>
      </w:pPr>
    </w:p>
    <w:p w14:paraId="27CDD474" w14:textId="77777777" w:rsidR="00311DF4" w:rsidRPr="002A7948" w:rsidRDefault="00311DF4" w:rsidP="002A7948">
      <w:pPr>
        <w:autoSpaceDE w:val="0"/>
        <w:autoSpaceDN w:val="0"/>
        <w:adjustRightInd w:val="0"/>
        <w:ind w:left="851"/>
        <w:rPr>
          <w:i/>
          <w:iCs/>
          <w:sz w:val="24"/>
          <w:szCs w:val="24"/>
          <w:lang w:val="en-US"/>
        </w:rPr>
      </w:pPr>
      <w:r w:rsidRPr="002A7948">
        <w:rPr>
          <w:i/>
          <w:iCs/>
          <w:sz w:val="24"/>
          <w:szCs w:val="24"/>
          <w:lang w:val="en-US"/>
        </w:rPr>
        <w:t>Paediatric population</w:t>
      </w:r>
    </w:p>
    <w:p w14:paraId="1E5C3617" w14:textId="77777777" w:rsidR="00311DF4" w:rsidRPr="002A7948" w:rsidRDefault="00311DF4" w:rsidP="002A7948">
      <w:pPr>
        <w:autoSpaceDE w:val="0"/>
        <w:autoSpaceDN w:val="0"/>
        <w:adjustRightInd w:val="0"/>
        <w:ind w:left="851"/>
        <w:rPr>
          <w:i/>
          <w:iCs/>
          <w:sz w:val="24"/>
          <w:szCs w:val="24"/>
          <w:lang w:val="en-US"/>
        </w:rPr>
      </w:pPr>
    </w:p>
    <w:p w14:paraId="5293E2ED"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In studies of paediatric patients 2 to 17 years of age, the safety profile of </w:t>
      </w:r>
      <w:proofErr w:type="spellStart"/>
      <w:r w:rsidRPr="002A7948">
        <w:rPr>
          <w:sz w:val="24"/>
          <w:szCs w:val="24"/>
          <w:lang w:val="en-US"/>
        </w:rPr>
        <w:t>sugammadex</w:t>
      </w:r>
      <w:proofErr w:type="spellEnd"/>
      <w:r w:rsidRPr="002A7948">
        <w:rPr>
          <w:sz w:val="24"/>
          <w:szCs w:val="24"/>
          <w:lang w:val="en-US"/>
        </w:rPr>
        <w:t xml:space="preserve"> (up to 4 mg/kg) was generally similar to the profile observed in adults. </w:t>
      </w:r>
    </w:p>
    <w:p w14:paraId="0E757E62" w14:textId="77777777" w:rsidR="00311DF4" w:rsidRPr="002A7948" w:rsidRDefault="00311DF4" w:rsidP="002A7948">
      <w:pPr>
        <w:autoSpaceDE w:val="0"/>
        <w:autoSpaceDN w:val="0"/>
        <w:adjustRightInd w:val="0"/>
        <w:ind w:left="851"/>
        <w:rPr>
          <w:i/>
          <w:iCs/>
          <w:sz w:val="24"/>
          <w:szCs w:val="24"/>
          <w:lang w:val="en-US"/>
        </w:rPr>
      </w:pPr>
    </w:p>
    <w:p w14:paraId="4C7E38BD" w14:textId="77777777" w:rsidR="00311DF4" w:rsidRPr="002A7948" w:rsidRDefault="00311DF4" w:rsidP="002A7948">
      <w:pPr>
        <w:autoSpaceDE w:val="0"/>
        <w:autoSpaceDN w:val="0"/>
        <w:adjustRightInd w:val="0"/>
        <w:ind w:left="851"/>
        <w:rPr>
          <w:i/>
          <w:iCs/>
          <w:sz w:val="24"/>
          <w:szCs w:val="24"/>
          <w:lang w:val="en-US"/>
        </w:rPr>
      </w:pPr>
      <w:r w:rsidRPr="002A7948">
        <w:rPr>
          <w:i/>
          <w:iCs/>
          <w:sz w:val="24"/>
          <w:szCs w:val="24"/>
          <w:lang w:val="en-US"/>
        </w:rPr>
        <w:t>Morbidly obese patients</w:t>
      </w:r>
    </w:p>
    <w:p w14:paraId="21537AE9" w14:textId="77777777" w:rsidR="00311DF4" w:rsidRPr="002A7948" w:rsidRDefault="00311DF4" w:rsidP="002A7948">
      <w:pPr>
        <w:autoSpaceDE w:val="0"/>
        <w:autoSpaceDN w:val="0"/>
        <w:adjustRightInd w:val="0"/>
        <w:ind w:left="851"/>
        <w:rPr>
          <w:sz w:val="24"/>
          <w:szCs w:val="24"/>
          <w:lang w:val="en-US"/>
        </w:rPr>
      </w:pPr>
    </w:p>
    <w:p w14:paraId="1A9F04BA"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In one dedicated clinical trial in morbidly obese patients, the safety profile was generally similar to the profile in adult patients in pooled Phase 1 to 3 studies (see Table 2).</w:t>
      </w:r>
    </w:p>
    <w:p w14:paraId="6185235E" w14:textId="77777777" w:rsidR="00311DF4" w:rsidRPr="002A7948" w:rsidRDefault="00311DF4" w:rsidP="002A7948">
      <w:pPr>
        <w:autoSpaceDE w:val="0"/>
        <w:autoSpaceDN w:val="0"/>
        <w:adjustRightInd w:val="0"/>
        <w:ind w:left="851"/>
        <w:rPr>
          <w:sz w:val="24"/>
          <w:szCs w:val="24"/>
          <w:lang w:val="en-US"/>
        </w:rPr>
      </w:pPr>
    </w:p>
    <w:p w14:paraId="4BAAB825" w14:textId="77777777" w:rsidR="00311DF4" w:rsidRPr="002A7948" w:rsidRDefault="00311DF4" w:rsidP="002A7948">
      <w:pPr>
        <w:autoSpaceDE w:val="0"/>
        <w:autoSpaceDN w:val="0"/>
        <w:adjustRightInd w:val="0"/>
        <w:ind w:left="851"/>
        <w:rPr>
          <w:i/>
          <w:sz w:val="24"/>
          <w:szCs w:val="24"/>
          <w:lang w:val="en-US"/>
        </w:rPr>
      </w:pPr>
      <w:r w:rsidRPr="002A7948">
        <w:rPr>
          <w:i/>
          <w:sz w:val="24"/>
          <w:szCs w:val="24"/>
          <w:lang w:val="en-US"/>
        </w:rPr>
        <w:t>Patients with severe systemic disease</w:t>
      </w:r>
    </w:p>
    <w:p w14:paraId="6F674BF7" w14:textId="77777777" w:rsidR="00311DF4" w:rsidRPr="002A7948" w:rsidRDefault="00311DF4" w:rsidP="002A7948">
      <w:pPr>
        <w:autoSpaceDE w:val="0"/>
        <w:autoSpaceDN w:val="0"/>
        <w:adjustRightInd w:val="0"/>
        <w:ind w:left="851"/>
        <w:rPr>
          <w:sz w:val="24"/>
          <w:szCs w:val="24"/>
          <w:lang w:val="en-US"/>
        </w:rPr>
      </w:pPr>
    </w:p>
    <w:p w14:paraId="68DA2B7A"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In a trial in patients who were assessed as American Society of Anesthesiologists (ASA) Class 3 or 4 (patients with severe systemic disease or patients with severe systemic disease that is a constant threat to life), the adverse reaction profile in these ASA Class 3 and 4 patients was generally similar to that of adult patients in pooled Phase 1 to 3 studies (see Table 2). See section 5.1.</w:t>
      </w:r>
    </w:p>
    <w:p w14:paraId="14C2E521" w14:textId="77777777" w:rsidR="00311DF4" w:rsidRPr="002A7948" w:rsidRDefault="00311DF4" w:rsidP="002A7948">
      <w:pPr>
        <w:autoSpaceDE w:val="0"/>
        <w:autoSpaceDN w:val="0"/>
        <w:adjustRightInd w:val="0"/>
        <w:ind w:left="851"/>
        <w:rPr>
          <w:sz w:val="24"/>
          <w:szCs w:val="24"/>
          <w:lang w:val="en-US"/>
        </w:rPr>
      </w:pPr>
    </w:p>
    <w:p w14:paraId="14494FFC" w14:textId="77777777" w:rsidR="002A7948" w:rsidRPr="002A7948" w:rsidRDefault="002A7948" w:rsidP="002A7948">
      <w:pPr>
        <w:ind w:left="851"/>
        <w:rPr>
          <w:sz w:val="24"/>
          <w:szCs w:val="24"/>
          <w:u w:val="single"/>
          <w:lang w:val="en-GB"/>
        </w:rPr>
      </w:pPr>
      <w:r w:rsidRPr="002A7948">
        <w:rPr>
          <w:sz w:val="24"/>
          <w:szCs w:val="24"/>
          <w:u w:val="single"/>
          <w:lang w:val="en-GB"/>
        </w:rPr>
        <w:t>Reporting of suspected adverse reactions</w:t>
      </w:r>
    </w:p>
    <w:p w14:paraId="5B8E29A6" w14:textId="77777777" w:rsidR="002A7948" w:rsidRPr="002A7948" w:rsidRDefault="002A7948" w:rsidP="002A7948">
      <w:pPr>
        <w:ind w:left="851"/>
        <w:rPr>
          <w:sz w:val="24"/>
          <w:szCs w:val="24"/>
          <w:lang w:val="en-GB"/>
        </w:rPr>
      </w:pPr>
      <w:r w:rsidRPr="002A794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7E09A7F" w14:textId="77777777" w:rsidR="002A7948" w:rsidRPr="002A7948" w:rsidRDefault="002A7948" w:rsidP="002A7948">
      <w:pPr>
        <w:ind w:left="851"/>
        <w:rPr>
          <w:sz w:val="24"/>
          <w:szCs w:val="24"/>
          <w:lang w:val="en-GB"/>
        </w:rPr>
      </w:pPr>
    </w:p>
    <w:p w14:paraId="7E93E821" w14:textId="77777777" w:rsidR="002A7948" w:rsidRPr="002A7948" w:rsidRDefault="002A7948" w:rsidP="002A7948">
      <w:pPr>
        <w:ind w:left="851"/>
        <w:rPr>
          <w:sz w:val="24"/>
          <w:szCs w:val="24"/>
        </w:rPr>
      </w:pPr>
      <w:r w:rsidRPr="002A7948">
        <w:rPr>
          <w:sz w:val="24"/>
          <w:szCs w:val="24"/>
        </w:rPr>
        <w:t>Lægemiddelstyrelsen</w:t>
      </w:r>
    </w:p>
    <w:p w14:paraId="0B3D2CB5" w14:textId="77777777" w:rsidR="002A7948" w:rsidRPr="002A7948" w:rsidRDefault="002A7948" w:rsidP="002A7948">
      <w:pPr>
        <w:ind w:left="851"/>
        <w:rPr>
          <w:sz w:val="24"/>
          <w:szCs w:val="24"/>
        </w:rPr>
      </w:pPr>
      <w:r w:rsidRPr="002A7948">
        <w:rPr>
          <w:sz w:val="24"/>
          <w:szCs w:val="24"/>
        </w:rPr>
        <w:t>Axel Heides Gade 1</w:t>
      </w:r>
    </w:p>
    <w:p w14:paraId="44E8D2D4" w14:textId="77777777" w:rsidR="002A7948" w:rsidRPr="002A7948" w:rsidRDefault="002A7948" w:rsidP="002A7948">
      <w:pPr>
        <w:ind w:left="851"/>
        <w:rPr>
          <w:sz w:val="24"/>
          <w:szCs w:val="24"/>
        </w:rPr>
      </w:pPr>
      <w:r w:rsidRPr="002A7948">
        <w:rPr>
          <w:sz w:val="24"/>
          <w:szCs w:val="24"/>
        </w:rPr>
        <w:t>DK-2300 København S</w:t>
      </w:r>
    </w:p>
    <w:p w14:paraId="32ECD5E6" w14:textId="77777777" w:rsidR="002A7948" w:rsidRPr="000F54B0" w:rsidRDefault="002A7948" w:rsidP="002A7948">
      <w:pPr>
        <w:ind w:left="851"/>
        <w:rPr>
          <w:sz w:val="24"/>
          <w:szCs w:val="24"/>
          <w:lang w:val="en-US"/>
        </w:rPr>
      </w:pPr>
      <w:r w:rsidRPr="000F54B0">
        <w:rPr>
          <w:sz w:val="24"/>
          <w:szCs w:val="24"/>
          <w:lang w:val="en-US"/>
        </w:rPr>
        <w:t>Website: www.meldenbivirkning.dk</w:t>
      </w:r>
    </w:p>
    <w:p w14:paraId="128DDB40" w14:textId="77777777" w:rsidR="007C5D2A" w:rsidRPr="002A7948" w:rsidRDefault="007C5D2A" w:rsidP="007A4CC6">
      <w:pPr>
        <w:tabs>
          <w:tab w:val="left" w:pos="851"/>
        </w:tabs>
        <w:ind w:left="851"/>
        <w:rPr>
          <w:sz w:val="24"/>
          <w:szCs w:val="24"/>
          <w:lang w:val="en-GB"/>
        </w:rPr>
      </w:pPr>
    </w:p>
    <w:p w14:paraId="6720F0A4" w14:textId="77777777" w:rsidR="007C5D2A" w:rsidRPr="002A7948" w:rsidRDefault="007C5D2A" w:rsidP="007C5D2A">
      <w:pPr>
        <w:tabs>
          <w:tab w:val="left" w:pos="851"/>
        </w:tabs>
        <w:ind w:left="851" w:hanging="851"/>
        <w:rPr>
          <w:b/>
          <w:sz w:val="24"/>
          <w:szCs w:val="24"/>
          <w:lang w:val="en-GB"/>
        </w:rPr>
      </w:pPr>
      <w:r w:rsidRPr="002A7948">
        <w:rPr>
          <w:b/>
          <w:sz w:val="24"/>
          <w:szCs w:val="24"/>
          <w:lang w:val="en-GB"/>
        </w:rPr>
        <w:t>4.9</w:t>
      </w:r>
      <w:r w:rsidRPr="002A7948">
        <w:rPr>
          <w:b/>
          <w:sz w:val="24"/>
          <w:szCs w:val="24"/>
          <w:lang w:val="en-GB"/>
        </w:rPr>
        <w:tab/>
        <w:t>Overdose</w:t>
      </w:r>
    </w:p>
    <w:p w14:paraId="0BCEBBE9" w14:textId="77777777" w:rsidR="00311DF4" w:rsidRPr="002A7948" w:rsidRDefault="00311DF4" w:rsidP="002A7948">
      <w:pPr>
        <w:ind w:left="851"/>
        <w:rPr>
          <w:sz w:val="24"/>
          <w:szCs w:val="24"/>
          <w:lang w:val="en-GB"/>
        </w:rPr>
      </w:pPr>
      <w:r w:rsidRPr="002A7948">
        <w:rPr>
          <w:sz w:val="24"/>
          <w:szCs w:val="24"/>
          <w:lang w:val="en-GB"/>
        </w:rPr>
        <w:t xml:space="preserve">In clinical studies, 1 case of an accidental overdose with 40 mg/kg was reported without any significant adverse reactions. In a human tolerance study </w:t>
      </w:r>
      <w:proofErr w:type="spellStart"/>
      <w:r w:rsidRPr="002A7948">
        <w:rPr>
          <w:sz w:val="24"/>
          <w:szCs w:val="24"/>
          <w:lang w:val="en-GB"/>
        </w:rPr>
        <w:t>sugammadex</w:t>
      </w:r>
      <w:proofErr w:type="spellEnd"/>
      <w:r w:rsidRPr="002A7948">
        <w:rPr>
          <w:sz w:val="24"/>
          <w:szCs w:val="24"/>
          <w:lang w:val="en-GB"/>
        </w:rPr>
        <w:t xml:space="preserve"> was administered in doses up to 96 mg/kg. No dose related adverse events nor serious adverse events were reported. </w:t>
      </w:r>
    </w:p>
    <w:p w14:paraId="150BA1BA" w14:textId="77777777" w:rsidR="00311DF4" w:rsidRPr="002A7948" w:rsidRDefault="00311DF4" w:rsidP="002A7948">
      <w:pPr>
        <w:ind w:left="851"/>
        <w:rPr>
          <w:sz w:val="24"/>
          <w:szCs w:val="24"/>
          <w:lang w:val="en-GB"/>
        </w:rPr>
      </w:pPr>
    </w:p>
    <w:p w14:paraId="7A482C5E" w14:textId="77777777" w:rsidR="00311DF4" w:rsidRPr="002A7948" w:rsidRDefault="00311DF4" w:rsidP="002A7948">
      <w:pPr>
        <w:ind w:left="851"/>
        <w:rPr>
          <w:sz w:val="24"/>
          <w:szCs w:val="24"/>
          <w:lang w:val="en-GB"/>
        </w:rPr>
      </w:pPr>
      <w:proofErr w:type="spellStart"/>
      <w:r w:rsidRPr="002A7948">
        <w:rPr>
          <w:sz w:val="24"/>
          <w:szCs w:val="24"/>
          <w:lang w:val="en-GB"/>
        </w:rPr>
        <w:t>Sugammadex</w:t>
      </w:r>
      <w:proofErr w:type="spellEnd"/>
      <w:r w:rsidRPr="002A7948">
        <w:rPr>
          <w:sz w:val="24"/>
          <w:szCs w:val="24"/>
          <w:lang w:val="en-GB"/>
        </w:rPr>
        <w:t xml:space="preserve"> can be removed using haemodialysis with a high flux filter, but not with a low flux filter. Based upon clinical studies, </w:t>
      </w:r>
      <w:proofErr w:type="spellStart"/>
      <w:r w:rsidRPr="002A7948">
        <w:rPr>
          <w:sz w:val="24"/>
          <w:szCs w:val="24"/>
          <w:lang w:val="en-GB"/>
        </w:rPr>
        <w:t>sugammadex</w:t>
      </w:r>
      <w:proofErr w:type="spellEnd"/>
      <w:r w:rsidRPr="002A7948">
        <w:rPr>
          <w:sz w:val="24"/>
          <w:szCs w:val="24"/>
          <w:lang w:val="en-GB"/>
        </w:rPr>
        <w:t xml:space="preserve"> concentrations in plasma are reduced by up to 70% after a 3 to 6-hour dialysis session. </w:t>
      </w:r>
    </w:p>
    <w:p w14:paraId="6585F33D" w14:textId="77777777" w:rsidR="007C5D2A" w:rsidRPr="002A7948" w:rsidRDefault="007C5D2A" w:rsidP="003E0341">
      <w:pPr>
        <w:tabs>
          <w:tab w:val="left" w:pos="851"/>
        </w:tabs>
        <w:ind w:left="851"/>
        <w:rPr>
          <w:sz w:val="24"/>
          <w:szCs w:val="24"/>
          <w:lang w:val="en-GB"/>
        </w:rPr>
      </w:pPr>
    </w:p>
    <w:p w14:paraId="5ED15D93" w14:textId="77777777" w:rsidR="008F2F8C" w:rsidRPr="002A7948" w:rsidRDefault="0042292D" w:rsidP="0042292D">
      <w:pPr>
        <w:tabs>
          <w:tab w:val="left" w:pos="851"/>
        </w:tabs>
        <w:rPr>
          <w:b/>
          <w:sz w:val="24"/>
          <w:szCs w:val="24"/>
          <w:lang w:val="en-GB"/>
        </w:rPr>
      </w:pPr>
      <w:r w:rsidRPr="002A7948">
        <w:rPr>
          <w:b/>
          <w:sz w:val="24"/>
          <w:szCs w:val="24"/>
          <w:lang w:val="en-GB"/>
        </w:rPr>
        <w:t>4.10</w:t>
      </w:r>
      <w:r w:rsidRPr="002A7948">
        <w:rPr>
          <w:b/>
          <w:sz w:val="24"/>
          <w:szCs w:val="24"/>
          <w:lang w:val="en-GB"/>
        </w:rPr>
        <w:tab/>
        <w:t>Legal status</w:t>
      </w:r>
    </w:p>
    <w:p w14:paraId="20FFB841" w14:textId="266F3EA3" w:rsidR="00AD2E36" w:rsidRPr="002A7948" w:rsidRDefault="00D8692C" w:rsidP="00AD2E36">
      <w:pPr>
        <w:tabs>
          <w:tab w:val="left" w:pos="851"/>
        </w:tabs>
        <w:ind w:left="851"/>
        <w:rPr>
          <w:sz w:val="24"/>
          <w:szCs w:val="24"/>
          <w:lang w:val="en-GB"/>
        </w:rPr>
      </w:pPr>
      <w:r w:rsidRPr="002A7948">
        <w:rPr>
          <w:sz w:val="24"/>
          <w:szCs w:val="24"/>
          <w:lang w:val="en-GB"/>
        </w:rPr>
        <w:t>BEGR (only for hospitals)</w:t>
      </w:r>
    </w:p>
    <w:p w14:paraId="0D4C6604" w14:textId="77777777" w:rsidR="007C5D2A" w:rsidRPr="002A7948" w:rsidRDefault="007C5D2A" w:rsidP="003E0341">
      <w:pPr>
        <w:tabs>
          <w:tab w:val="left" w:pos="851"/>
        </w:tabs>
        <w:ind w:left="851"/>
        <w:rPr>
          <w:sz w:val="24"/>
          <w:szCs w:val="24"/>
          <w:lang w:val="en-GB"/>
        </w:rPr>
      </w:pPr>
    </w:p>
    <w:p w14:paraId="46F2571C" w14:textId="77777777" w:rsidR="00AD2E36" w:rsidRPr="002A7948" w:rsidRDefault="00AD2E36" w:rsidP="003E0341">
      <w:pPr>
        <w:tabs>
          <w:tab w:val="left" w:pos="851"/>
        </w:tabs>
        <w:ind w:left="851"/>
        <w:rPr>
          <w:sz w:val="24"/>
          <w:szCs w:val="24"/>
          <w:lang w:val="en-GB"/>
        </w:rPr>
      </w:pPr>
    </w:p>
    <w:p w14:paraId="5A0494BA" w14:textId="77777777" w:rsidR="007C5D2A" w:rsidRPr="002A7948" w:rsidRDefault="007C5D2A" w:rsidP="007C5D2A">
      <w:pPr>
        <w:tabs>
          <w:tab w:val="left" w:pos="851"/>
        </w:tabs>
        <w:rPr>
          <w:b/>
          <w:sz w:val="24"/>
          <w:szCs w:val="24"/>
          <w:lang w:val="en-GB"/>
        </w:rPr>
      </w:pPr>
      <w:r w:rsidRPr="002A7948">
        <w:rPr>
          <w:b/>
          <w:sz w:val="24"/>
          <w:szCs w:val="24"/>
          <w:lang w:val="en-GB"/>
        </w:rPr>
        <w:lastRenderedPageBreak/>
        <w:t>5.</w:t>
      </w:r>
      <w:r w:rsidRPr="002A7948">
        <w:rPr>
          <w:b/>
          <w:sz w:val="24"/>
          <w:szCs w:val="24"/>
          <w:lang w:val="en-GB"/>
        </w:rPr>
        <w:tab/>
        <w:t>PHARMACOLOGICAL PROPERTIES</w:t>
      </w:r>
    </w:p>
    <w:p w14:paraId="7CCA8F50" w14:textId="77777777" w:rsidR="007C5D2A" w:rsidRPr="002A7948" w:rsidRDefault="007C5D2A" w:rsidP="003E0341">
      <w:pPr>
        <w:tabs>
          <w:tab w:val="left" w:pos="851"/>
        </w:tabs>
        <w:ind w:left="851"/>
        <w:rPr>
          <w:sz w:val="24"/>
          <w:szCs w:val="24"/>
          <w:lang w:val="en-GB"/>
        </w:rPr>
      </w:pPr>
    </w:p>
    <w:p w14:paraId="01E8F7E9" w14:textId="77777777" w:rsidR="007C5D2A" w:rsidRPr="002A7948" w:rsidRDefault="007C5D2A" w:rsidP="007C5D2A">
      <w:pPr>
        <w:tabs>
          <w:tab w:val="left" w:pos="851"/>
        </w:tabs>
        <w:ind w:left="851" w:hanging="851"/>
        <w:rPr>
          <w:b/>
          <w:sz w:val="24"/>
          <w:szCs w:val="24"/>
          <w:lang w:val="en-GB"/>
        </w:rPr>
      </w:pPr>
      <w:r w:rsidRPr="002A7948">
        <w:rPr>
          <w:b/>
          <w:sz w:val="24"/>
          <w:szCs w:val="24"/>
          <w:lang w:val="en-GB"/>
        </w:rPr>
        <w:t>5.1</w:t>
      </w:r>
      <w:r w:rsidRPr="002A7948">
        <w:rPr>
          <w:b/>
          <w:sz w:val="24"/>
          <w:szCs w:val="24"/>
          <w:lang w:val="en-GB"/>
        </w:rPr>
        <w:tab/>
        <w:t>Pharmacodynamic properties</w:t>
      </w:r>
      <w:r w:rsidRPr="002A7948">
        <w:rPr>
          <w:b/>
          <w:sz w:val="24"/>
          <w:szCs w:val="24"/>
          <w:lang w:val="en-GB"/>
        </w:rPr>
        <w:tab/>
      </w:r>
    </w:p>
    <w:p w14:paraId="3E80A517" w14:textId="087DC9BA" w:rsidR="00311DF4" w:rsidRPr="002A7948" w:rsidRDefault="00311DF4" w:rsidP="002A7948">
      <w:pPr>
        <w:ind w:left="851"/>
        <w:rPr>
          <w:sz w:val="24"/>
          <w:szCs w:val="24"/>
          <w:lang w:val="en-US"/>
        </w:rPr>
      </w:pPr>
      <w:r w:rsidRPr="002A7948">
        <w:rPr>
          <w:sz w:val="24"/>
          <w:szCs w:val="24"/>
          <w:lang w:val="en-US"/>
        </w:rPr>
        <w:t>Pharmacotherapeutic group: all other therapeutic products, antidotes, ATC code: V03AB35</w:t>
      </w:r>
      <w:r w:rsidR="001C0E54">
        <w:rPr>
          <w:sz w:val="24"/>
          <w:szCs w:val="24"/>
          <w:lang w:val="en-US"/>
        </w:rPr>
        <w:t>.</w:t>
      </w:r>
    </w:p>
    <w:p w14:paraId="684A3759" w14:textId="77777777" w:rsidR="00311DF4" w:rsidRPr="002A7948" w:rsidRDefault="00311DF4" w:rsidP="002A7948">
      <w:pPr>
        <w:ind w:left="851"/>
        <w:rPr>
          <w:sz w:val="24"/>
          <w:szCs w:val="24"/>
          <w:lang w:val="en-GB"/>
        </w:rPr>
      </w:pPr>
    </w:p>
    <w:p w14:paraId="023A42ED" w14:textId="77777777" w:rsidR="00311DF4" w:rsidRPr="002A7948" w:rsidRDefault="00311DF4" w:rsidP="002A7948">
      <w:pPr>
        <w:ind w:left="851"/>
        <w:rPr>
          <w:sz w:val="24"/>
          <w:szCs w:val="24"/>
          <w:u w:val="single"/>
          <w:lang w:val="en-GB"/>
        </w:rPr>
      </w:pPr>
      <w:r w:rsidRPr="002A7948">
        <w:rPr>
          <w:sz w:val="24"/>
          <w:szCs w:val="24"/>
          <w:u w:val="single"/>
          <w:lang w:val="en-US"/>
        </w:rPr>
        <w:t>Mechanism of action:</w:t>
      </w:r>
    </w:p>
    <w:p w14:paraId="10263FAA" w14:textId="77777777"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is a modified gamma cyclodextrin which is a Selective Relaxant Binding Agent. It forms a complex with the neuromuscular blocking agents rocuronium or vecuronium in plasma and thereby reduces the amount of neuromuscular blocking agent available to bind to nicotinic receptors in the neuromuscular junction. This results in the reversal of neuromuscular blockade induced by rocuronium or vecuronium.</w:t>
      </w:r>
    </w:p>
    <w:p w14:paraId="26650DC4" w14:textId="77777777" w:rsidR="00311DF4" w:rsidRPr="002A7948" w:rsidRDefault="00311DF4" w:rsidP="002A7948">
      <w:pPr>
        <w:ind w:left="851"/>
        <w:rPr>
          <w:sz w:val="24"/>
          <w:szCs w:val="24"/>
          <w:lang w:val="en-US"/>
        </w:rPr>
      </w:pPr>
    </w:p>
    <w:p w14:paraId="0DCDDABE" w14:textId="77777777" w:rsidR="00311DF4" w:rsidRPr="002A7948" w:rsidRDefault="00311DF4" w:rsidP="002A7948">
      <w:pPr>
        <w:ind w:left="851"/>
        <w:rPr>
          <w:sz w:val="24"/>
          <w:szCs w:val="24"/>
          <w:u w:val="single"/>
          <w:lang w:val="en-US"/>
        </w:rPr>
      </w:pPr>
      <w:r w:rsidRPr="002A7948">
        <w:rPr>
          <w:sz w:val="24"/>
          <w:szCs w:val="24"/>
          <w:u w:val="single"/>
          <w:lang w:val="en-US"/>
        </w:rPr>
        <w:t>Pharmacodynamic effects:</w:t>
      </w:r>
    </w:p>
    <w:p w14:paraId="2D4D69E4" w14:textId="77777777"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has been administered in doses ranging from 0.5 mg/kg to 16 mg/kg in dose response studies of rocuronium induced blockade (0.6, 0.9, 1.0 and 1.2 mg/kg rocuronium bromide with and without maintenance doses) and vecuronium induced blockade (0.1 mg/kg vecuronium bromide with or without maintenance doses) at different time points/depths of blockade. In these </w:t>
      </w:r>
      <w:proofErr w:type="gramStart"/>
      <w:r w:rsidRPr="002A7948">
        <w:rPr>
          <w:sz w:val="24"/>
          <w:szCs w:val="24"/>
          <w:lang w:val="en-US"/>
        </w:rPr>
        <w:t>studies</w:t>
      </w:r>
      <w:proofErr w:type="gramEnd"/>
      <w:r w:rsidRPr="002A7948">
        <w:rPr>
          <w:sz w:val="24"/>
          <w:szCs w:val="24"/>
          <w:lang w:val="en-US"/>
        </w:rPr>
        <w:t xml:space="preserve"> a clear dose-response relationship was observed.</w:t>
      </w:r>
    </w:p>
    <w:p w14:paraId="0DE41285" w14:textId="77777777" w:rsidR="00311DF4" w:rsidRPr="002A7948" w:rsidRDefault="00311DF4" w:rsidP="002A7948">
      <w:pPr>
        <w:ind w:left="851"/>
        <w:rPr>
          <w:sz w:val="24"/>
          <w:szCs w:val="24"/>
          <w:lang w:val="en-US"/>
        </w:rPr>
      </w:pPr>
    </w:p>
    <w:p w14:paraId="01A71EC2" w14:textId="77777777" w:rsidR="00311DF4" w:rsidRPr="002A7948" w:rsidRDefault="00311DF4" w:rsidP="002A7948">
      <w:pPr>
        <w:ind w:left="851"/>
        <w:rPr>
          <w:sz w:val="24"/>
          <w:szCs w:val="24"/>
          <w:u w:val="single"/>
          <w:lang w:val="en-US"/>
        </w:rPr>
      </w:pPr>
      <w:r w:rsidRPr="002A7948">
        <w:rPr>
          <w:sz w:val="24"/>
          <w:szCs w:val="24"/>
          <w:u w:val="single"/>
          <w:lang w:val="en-US"/>
        </w:rPr>
        <w:t>Clinical efficacy and safety:</w:t>
      </w:r>
    </w:p>
    <w:p w14:paraId="3D03D549" w14:textId="005DD829" w:rsidR="00311DF4" w:rsidRPr="002A7948" w:rsidRDefault="00311DF4" w:rsidP="002A7948">
      <w:pPr>
        <w:ind w:left="851"/>
        <w:rPr>
          <w:sz w:val="24"/>
          <w:szCs w:val="24"/>
          <w:lang w:val="en-US"/>
        </w:rPr>
      </w:pPr>
      <w:proofErr w:type="spellStart"/>
      <w:r w:rsidRPr="002A7948">
        <w:rPr>
          <w:sz w:val="24"/>
          <w:szCs w:val="24"/>
          <w:lang w:val="en-US"/>
        </w:rPr>
        <w:t>Sugammadex</w:t>
      </w:r>
      <w:proofErr w:type="spellEnd"/>
      <w:r w:rsidRPr="002A7948">
        <w:rPr>
          <w:sz w:val="24"/>
          <w:szCs w:val="24"/>
          <w:lang w:val="en-US"/>
        </w:rPr>
        <w:t xml:space="preserve"> can be administered at several time points after administration of rocuronium or</w:t>
      </w:r>
      <w:r w:rsidR="001C0E54">
        <w:rPr>
          <w:sz w:val="24"/>
          <w:szCs w:val="24"/>
          <w:lang w:val="en-US"/>
        </w:rPr>
        <w:t xml:space="preserve"> </w:t>
      </w:r>
      <w:r w:rsidRPr="002A7948">
        <w:rPr>
          <w:sz w:val="24"/>
          <w:szCs w:val="24"/>
          <w:lang w:val="en-US"/>
        </w:rPr>
        <w:t>vecuronium bromide:</w:t>
      </w:r>
    </w:p>
    <w:p w14:paraId="571A36C8" w14:textId="77777777" w:rsidR="00311DF4" w:rsidRPr="002A7948" w:rsidRDefault="00311DF4" w:rsidP="002A7948">
      <w:pPr>
        <w:ind w:left="851"/>
        <w:rPr>
          <w:sz w:val="24"/>
          <w:szCs w:val="24"/>
          <w:lang w:val="en-US"/>
        </w:rPr>
      </w:pPr>
    </w:p>
    <w:p w14:paraId="23B47F68" w14:textId="77777777" w:rsidR="00311DF4" w:rsidRPr="002A7948" w:rsidRDefault="00311DF4" w:rsidP="002A7948">
      <w:pPr>
        <w:ind w:left="851"/>
        <w:rPr>
          <w:i/>
          <w:iCs/>
          <w:sz w:val="24"/>
          <w:szCs w:val="24"/>
          <w:lang w:val="en-US"/>
        </w:rPr>
      </w:pPr>
      <w:r w:rsidRPr="002A7948">
        <w:rPr>
          <w:i/>
          <w:iCs/>
          <w:sz w:val="24"/>
          <w:szCs w:val="24"/>
          <w:lang w:val="en-US"/>
        </w:rPr>
        <w:t>Routine reversal – deep neuromuscular blockade:</w:t>
      </w:r>
    </w:p>
    <w:p w14:paraId="5E889012" w14:textId="77777777" w:rsidR="00311DF4" w:rsidRPr="002A7948" w:rsidRDefault="00311DF4" w:rsidP="002A7948">
      <w:pPr>
        <w:ind w:left="851"/>
        <w:rPr>
          <w:sz w:val="24"/>
          <w:szCs w:val="24"/>
          <w:lang w:val="en-US"/>
        </w:rPr>
      </w:pPr>
      <w:r w:rsidRPr="002A7948">
        <w:rPr>
          <w:sz w:val="24"/>
          <w:szCs w:val="24"/>
          <w:lang w:val="en-US"/>
        </w:rPr>
        <w:t xml:space="preserve">In a </w:t>
      </w:r>
      <w:proofErr w:type="gramStart"/>
      <w:r w:rsidRPr="002A7948">
        <w:rPr>
          <w:sz w:val="24"/>
          <w:szCs w:val="24"/>
          <w:lang w:val="en-US"/>
        </w:rPr>
        <w:t>pivotal study patients</w:t>
      </w:r>
      <w:proofErr w:type="gramEnd"/>
      <w:r w:rsidRPr="002A7948">
        <w:rPr>
          <w:sz w:val="24"/>
          <w:szCs w:val="24"/>
          <w:lang w:val="en-US"/>
        </w:rPr>
        <w:t xml:space="preserve"> were randomly assigned to the rocuronium or vecuronium group. After the last dose of rocuronium or vecuronium, at 1-2 PTCs, 4 mg/kg </w:t>
      </w:r>
      <w:proofErr w:type="spellStart"/>
      <w:r w:rsidRPr="002A7948">
        <w:rPr>
          <w:sz w:val="24"/>
          <w:szCs w:val="24"/>
          <w:lang w:val="en-US"/>
        </w:rPr>
        <w:t>sugammadex</w:t>
      </w:r>
      <w:proofErr w:type="spellEnd"/>
      <w:r w:rsidRPr="002A7948">
        <w:rPr>
          <w:sz w:val="24"/>
          <w:szCs w:val="24"/>
          <w:lang w:val="en-US"/>
        </w:rPr>
        <w:t xml:space="preserve"> or 70 mcg/kg neostigmine was administered in a </w:t>
      </w:r>
      <w:proofErr w:type="spellStart"/>
      <w:r w:rsidRPr="002A7948">
        <w:rPr>
          <w:sz w:val="24"/>
          <w:szCs w:val="24"/>
          <w:lang w:val="en-US"/>
        </w:rPr>
        <w:t>randomised</w:t>
      </w:r>
      <w:proofErr w:type="spellEnd"/>
      <w:r w:rsidRPr="002A7948">
        <w:rPr>
          <w:sz w:val="24"/>
          <w:szCs w:val="24"/>
          <w:lang w:val="en-US"/>
        </w:rPr>
        <w:t xml:space="preserve"> order. The time from start of administration of </w:t>
      </w:r>
      <w:proofErr w:type="spellStart"/>
      <w:r w:rsidRPr="002A7948">
        <w:rPr>
          <w:sz w:val="24"/>
          <w:szCs w:val="24"/>
          <w:lang w:val="en-US"/>
        </w:rPr>
        <w:t>sugammadex</w:t>
      </w:r>
      <w:proofErr w:type="spellEnd"/>
      <w:r w:rsidRPr="002A7948">
        <w:rPr>
          <w:sz w:val="24"/>
          <w:szCs w:val="24"/>
          <w:lang w:val="en-US"/>
        </w:rPr>
        <w:t xml:space="preserve"> or neostigmine to recovery of the T</w:t>
      </w:r>
      <w:r w:rsidRPr="002A7948">
        <w:rPr>
          <w:sz w:val="24"/>
          <w:szCs w:val="24"/>
          <w:vertAlign w:val="subscript"/>
          <w:lang w:val="en-US"/>
        </w:rPr>
        <w:t>4</w:t>
      </w:r>
      <w:r w:rsidRPr="002A7948">
        <w:rPr>
          <w:sz w:val="24"/>
          <w:szCs w:val="24"/>
          <w:lang w:val="en-US"/>
        </w:rPr>
        <w:t>/T</w:t>
      </w:r>
      <w:r w:rsidRPr="002A7948">
        <w:rPr>
          <w:sz w:val="24"/>
          <w:szCs w:val="24"/>
          <w:vertAlign w:val="subscript"/>
          <w:lang w:val="en-US"/>
        </w:rPr>
        <w:t>1</w:t>
      </w:r>
      <w:r w:rsidRPr="002A7948">
        <w:rPr>
          <w:sz w:val="24"/>
          <w:szCs w:val="24"/>
          <w:lang w:val="en-US"/>
        </w:rPr>
        <w:t xml:space="preserve"> ratio to 0.9 was:</w:t>
      </w:r>
    </w:p>
    <w:p w14:paraId="380BF3D5" w14:textId="77777777" w:rsidR="00311DF4" w:rsidRPr="002A7948" w:rsidRDefault="00311DF4" w:rsidP="001C0E54">
      <w:pPr>
        <w:ind w:left="851"/>
        <w:rPr>
          <w:sz w:val="24"/>
          <w:szCs w:val="24"/>
          <w:lang w:val="en-US"/>
        </w:rPr>
      </w:pPr>
    </w:p>
    <w:p w14:paraId="3D95FE6E" w14:textId="77777777" w:rsidR="00311DF4" w:rsidRPr="002A7948" w:rsidRDefault="00311DF4" w:rsidP="001C0E54">
      <w:pPr>
        <w:autoSpaceDE w:val="0"/>
        <w:autoSpaceDN w:val="0"/>
        <w:adjustRightInd w:val="0"/>
        <w:rPr>
          <w:b/>
          <w:bCs/>
          <w:sz w:val="24"/>
          <w:szCs w:val="24"/>
          <w:lang w:val="en-US"/>
        </w:rPr>
      </w:pPr>
      <w:r w:rsidRPr="002A7948">
        <w:rPr>
          <w:b/>
          <w:bCs/>
          <w:sz w:val="24"/>
          <w:szCs w:val="24"/>
          <w:lang w:val="en-US"/>
        </w:rPr>
        <w:t xml:space="preserve">Table 3: Time (minutes) from administration of </w:t>
      </w:r>
      <w:proofErr w:type="spellStart"/>
      <w:r w:rsidRPr="002A7948">
        <w:rPr>
          <w:b/>
          <w:bCs/>
          <w:sz w:val="24"/>
          <w:szCs w:val="24"/>
          <w:lang w:val="en-US"/>
        </w:rPr>
        <w:t>sugammadex</w:t>
      </w:r>
      <w:proofErr w:type="spellEnd"/>
      <w:r w:rsidRPr="002A7948">
        <w:rPr>
          <w:b/>
          <w:bCs/>
          <w:sz w:val="24"/>
          <w:szCs w:val="24"/>
          <w:lang w:val="en-US"/>
        </w:rPr>
        <w:t xml:space="preserve"> or neostigmine at deep neuromuscular blockade (1-2 PTCs) after rocuronium or vecuronium to recovery of the T</w:t>
      </w:r>
      <w:r w:rsidRPr="002A7948">
        <w:rPr>
          <w:b/>
          <w:bCs/>
          <w:sz w:val="24"/>
          <w:szCs w:val="24"/>
          <w:vertAlign w:val="subscript"/>
          <w:lang w:val="en-US"/>
        </w:rPr>
        <w:t>4</w:t>
      </w:r>
      <w:r w:rsidRPr="002A7948">
        <w:rPr>
          <w:b/>
          <w:bCs/>
          <w:sz w:val="24"/>
          <w:szCs w:val="24"/>
          <w:lang w:val="en-US"/>
        </w:rPr>
        <w:t>/T</w:t>
      </w:r>
      <w:r w:rsidRPr="002A7948">
        <w:rPr>
          <w:b/>
          <w:bCs/>
          <w:sz w:val="24"/>
          <w:szCs w:val="24"/>
          <w:vertAlign w:val="subscript"/>
          <w:lang w:val="en-US"/>
        </w:rPr>
        <w:t>1</w:t>
      </w:r>
    </w:p>
    <w:p w14:paraId="3E4EA9D0" w14:textId="77777777" w:rsidR="00311DF4" w:rsidRPr="002A7948" w:rsidRDefault="00311DF4" w:rsidP="001C0E54">
      <w:pPr>
        <w:rPr>
          <w:b/>
          <w:bCs/>
          <w:sz w:val="24"/>
          <w:szCs w:val="24"/>
        </w:rPr>
      </w:pPr>
      <w:r w:rsidRPr="002A7948">
        <w:rPr>
          <w:b/>
          <w:bCs/>
          <w:sz w:val="24"/>
          <w:szCs w:val="24"/>
        </w:rPr>
        <w:t>ratio to 0.9</w:t>
      </w:r>
    </w:p>
    <w:tbl>
      <w:tblPr>
        <w:tblStyle w:val="Tabel-Gitter"/>
        <w:tblW w:w="5000" w:type="pct"/>
        <w:tblInd w:w="0" w:type="dxa"/>
        <w:tblLook w:val="04A0" w:firstRow="1" w:lastRow="0" w:firstColumn="1" w:lastColumn="0" w:noHBand="0" w:noVBand="1"/>
      </w:tblPr>
      <w:tblGrid>
        <w:gridCol w:w="3208"/>
        <w:gridCol w:w="3210"/>
        <w:gridCol w:w="3210"/>
      </w:tblGrid>
      <w:tr w:rsidR="00311DF4" w:rsidRPr="002A7948" w14:paraId="66240485" w14:textId="77777777" w:rsidTr="002A7948">
        <w:tc>
          <w:tcPr>
            <w:tcW w:w="1666" w:type="pct"/>
            <w:vMerge w:val="restart"/>
            <w:tcBorders>
              <w:top w:val="single" w:sz="4" w:space="0" w:color="auto"/>
              <w:left w:val="single" w:sz="4" w:space="0" w:color="auto"/>
              <w:bottom w:val="single" w:sz="4" w:space="0" w:color="auto"/>
              <w:right w:val="single" w:sz="4" w:space="0" w:color="auto"/>
            </w:tcBorders>
            <w:hideMark/>
          </w:tcPr>
          <w:p w14:paraId="6AD560F5"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Neuromuscular blocking agent</w:t>
            </w:r>
          </w:p>
        </w:tc>
        <w:tc>
          <w:tcPr>
            <w:tcW w:w="3334" w:type="pct"/>
            <w:gridSpan w:val="2"/>
            <w:tcBorders>
              <w:top w:val="single" w:sz="4" w:space="0" w:color="auto"/>
              <w:left w:val="single" w:sz="4" w:space="0" w:color="auto"/>
              <w:bottom w:val="single" w:sz="4" w:space="0" w:color="auto"/>
              <w:right w:val="single" w:sz="4" w:space="0" w:color="auto"/>
            </w:tcBorders>
            <w:hideMark/>
          </w:tcPr>
          <w:p w14:paraId="16F59363"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Treatment regimen</w:t>
            </w:r>
          </w:p>
        </w:tc>
      </w:tr>
      <w:tr w:rsidR="00311DF4" w:rsidRPr="002A7948" w14:paraId="486A88D8" w14:textId="77777777" w:rsidTr="002A7948">
        <w:tc>
          <w:tcPr>
            <w:tcW w:w="1666" w:type="pct"/>
            <w:vMerge/>
            <w:tcBorders>
              <w:top w:val="single" w:sz="4" w:space="0" w:color="auto"/>
              <w:left w:val="single" w:sz="4" w:space="0" w:color="auto"/>
              <w:bottom w:val="single" w:sz="4" w:space="0" w:color="auto"/>
              <w:right w:val="single" w:sz="4" w:space="0" w:color="auto"/>
            </w:tcBorders>
            <w:vAlign w:val="center"/>
            <w:hideMark/>
          </w:tcPr>
          <w:p w14:paraId="0ECE4E11" w14:textId="77777777" w:rsidR="00311DF4" w:rsidRPr="002A7948" w:rsidRDefault="00311DF4">
            <w:pPr>
              <w:rPr>
                <w:rFonts w:ascii="Times New Roman" w:eastAsia="Times New Roman"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1B959D4C" w14:textId="77777777" w:rsidR="00311DF4" w:rsidRPr="002A7948" w:rsidRDefault="00311DF4">
            <w:pPr>
              <w:jc w:val="both"/>
              <w:rPr>
                <w:rFonts w:ascii="Times New Roman" w:eastAsia="Times New Roman" w:hAnsi="Times New Roman" w:cs="Times New Roman"/>
                <w:sz w:val="24"/>
                <w:szCs w:val="24"/>
              </w:rPr>
            </w:pPr>
            <w:proofErr w:type="spellStart"/>
            <w:r w:rsidRPr="002A7948">
              <w:rPr>
                <w:rFonts w:ascii="Times New Roman" w:eastAsia="Times New Roman" w:hAnsi="Times New Roman" w:cs="Times New Roman"/>
                <w:sz w:val="24"/>
                <w:szCs w:val="24"/>
              </w:rPr>
              <w:t>Sugammadex</w:t>
            </w:r>
            <w:proofErr w:type="spellEnd"/>
            <w:r w:rsidRPr="002A7948">
              <w:rPr>
                <w:rFonts w:ascii="Times New Roman" w:eastAsia="Times New Roman" w:hAnsi="Times New Roman" w:cs="Times New Roman"/>
                <w:sz w:val="24"/>
                <w:szCs w:val="24"/>
              </w:rPr>
              <w:t xml:space="preserve"> (4 mg/kg)</w:t>
            </w:r>
          </w:p>
        </w:tc>
        <w:tc>
          <w:tcPr>
            <w:tcW w:w="1667" w:type="pct"/>
            <w:tcBorders>
              <w:top w:val="single" w:sz="4" w:space="0" w:color="auto"/>
              <w:left w:val="single" w:sz="4" w:space="0" w:color="auto"/>
              <w:bottom w:val="single" w:sz="4" w:space="0" w:color="auto"/>
              <w:right w:val="single" w:sz="4" w:space="0" w:color="auto"/>
            </w:tcBorders>
            <w:hideMark/>
          </w:tcPr>
          <w:p w14:paraId="55C02C26"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Neostigmine (70 mcg/kg)</w:t>
            </w:r>
          </w:p>
        </w:tc>
      </w:tr>
      <w:tr w:rsidR="00311DF4" w:rsidRPr="002A7948" w14:paraId="2299B191" w14:textId="77777777" w:rsidTr="002A7948">
        <w:tc>
          <w:tcPr>
            <w:tcW w:w="1666" w:type="pct"/>
            <w:tcBorders>
              <w:top w:val="single" w:sz="4" w:space="0" w:color="auto"/>
              <w:left w:val="single" w:sz="4" w:space="0" w:color="auto"/>
              <w:bottom w:val="single" w:sz="4" w:space="0" w:color="auto"/>
              <w:right w:val="single" w:sz="4" w:space="0" w:color="auto"/>
            </w:tcBorders>
            <w:hideMark/>
          </w:tcPr>
          <w:p w14:paraId="3A10948B"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Rocuronium</w:t>
            </w:r>
          </w:p>
          <w:p w14:paraId="291F7CAD"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w:t>
            </w:r>
          </w:p>
          <w:p w14:paraId="37FECD11"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Median (minutes)</w:t>
            </w:r>
          </w:p>
          <w:p w14:paraId="450DE54F"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Range</w:t>
            </w:r>
          </w:p>
        </w:tc>
        <w:tc>
          <w:tcPr>
            <w:tcW w:w="1667" w:type="pct"/>
            <w:tcBorders>
              <w:top w:val="single" w:sz="4" w:space="0" w:color="auto"/>
              <w:left w:val="single" w:sz="4" w:space="0" w:color="auto"/>
              <w:bottom w:val="single" w:sz="4" w:space="0" w:color="auto"/>
              <w:right w:val="single" w:sz="4" w:space="0" w:color="auto"/>
            </w:tcBorders>
          </w:tcPr>
          <w:p w14:paraId="4122E343" w14:textId="77777777" w:rsidR="00311DF4" w:rsidRPr="002A7948" w:rsidRDefault="00311DF4">
            <w:pPr>
              <w:jc w:val="both"/>
              <w:rPr>
                <w:rFonts w:ascii="Times New Roman" w:eastAsia="Times New Roman" w:hAnsi="Times New Roman" w:cs="Times New Roman"/>
                <w:sz w:val="24"/>
                <w:szCs w:val="24"/>
              </w:rPr>
            </w:pPr>
          </w:p>
          <w:p w14:paraId="727559D4"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37</w:t>
            </w:r>
          </w:p>
          <w:p w14:paraId="1B0407B7"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2.7</w:t>
            </w:r>
          </w:p>
          <w:p w14:paraId="04A8A7F7"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1.2-16.1</w:t>
            </w:r>
          </w:p>
        </w:tc>
        <w:tc>
          <w:tcPr>
            <w:tcW w:w="1667" w:type="pct"/>
            <w:tcBorders>
              <w:top w:val="single" w:sz="4" w:space="0" w:color="auto"/>
              <w:left w:val="single" w:sz="4" w:space="0" w:color="auto"/>
              <w:bottom w:val="single" w:sz="4" w:space="0" w:color="auto"/>
              <w:right w:val="single" w:sz="4" w:space="0" w:color="auto"/>
            </w:tcBorders>
          </w:tcPr>
          <w:p w14:paraId="55404FD9" w14:textId="77777777" w:rsidR="00311DF4" w:rsidRPr="002A7948" w:rsidRDefault="00311DF4">
            <w:pPr>
              <w:jc w:val="both"/>
              <w:rPr>
                <w:rFonts w:ascii="Times New Roman" w:eastAsia="Times New Roman" w:hAnsi="Times New Roman" w:cs="Times New Roman"/>
                <w:sz w:val="24"/>
                <w:szCs w:val="24"/>
              </w:rPr>
            </w:pPr>
          </w:p>
          <w:p w14:paraId="1F441C9D"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37</w:t>
            </w:r>
          </w:p>
          <w:p w14:paraId="130A7247"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49.0</w:t>
            </w:r>
          </w:p>
          <w:p w14:paraId="12CECCF6"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13.3-145.7</w:t>
            </w:r>
          </w:p>
        </w:tc>
      </w:tr>
      <w:tr w:rsidR="00311DF4" w:rsidRPr="002A7948" w14:paraId="4EEF03FD" w14:textId="77777777" w:rsidTr="002A7948">
        <w:tc>
          <w:tcPr>
            <w:tcW w:w="1666" w:type="pct"/>
            <w:tcBorders>
              <w:top w:val="single" w:sz="4" w:space="0" w:color="auto"/>
              <w:left w:val="single" w:sz="4" w:space="0" w:color="auto"/>
              <w:bottom w:val="single" w:sz="4" w:space="0" w:color="auto"/>
              <w:right w:val="single" w:sz="4" w:space="0" w:color="auto"/>
            </w:tcBorders>
            <w:hideMark/>
          </w:tcPr>
          <w:p w14:paraId="7D3DC3FD"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Vecuronium</w:t>
            </w:r>
          </w:p>
          <w:p w14:paraId="4594C994"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w:t>
            </w:r>
          </w:p>
          <w:p w14:paraId="78061897"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Median (minutes)</w:t>
            </w:r>
          </w:p>
          <w:p w14:paraId="1CEA534A"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Range</w:t>
            </w:r>
          </w:p>
        </w:tc>
        <w:tc>
          <w:tcPr>
            <w:tcW w:w="1667" w:type="pct"/>
            <w:tcBorders>
              <w:top w:val="single" w:sz="4" w:space="0" w:color="auto"/>
              <w:left w:val="single" w:sz="4" w:space="0" w:color="auto"/>
              <w:bottom w:val="single" w:sz="4" w:space="0" w:color="auto"/>
              <w:right w:val="single" w:sz="4" w:space="0" w:color="auto"/>
            </w:tcBorders>
          </w:tcPr>
          <w:p w14:paraId="648A103A" w14:textId="77777777" w:rsidR="00311DF4" w:rsidRPr="002A7948" w:rsidRDefault="00311DF4">
            <w:pPr>
              <w:jc w:val="both"/>
              <w:rPr>
                <w:rFonts w:ascii="Times New Roman" w:eastAsia="Times New Roman" w:hAnsi="Times New Roman" w:cs="Times New Roman"/>
                <w:sz w:val="24"/>
                <w:szCs w:val="24"/>
              </w:rPr>
            </w:pPr>
          </w:p>
          <w:p w14:paraId="1F9D72D0"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47</w:t>
            </w:r>
          </w:p>
          <w:p w14:paraId="764A650F"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3.3</w:t>
            </w:r>
          </w:p>
          <w:p w14:paraId="1F13E5F0"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1.4-68.4</w:t>
            </w:r>
          </w:p>
        </w:tc>
        <w:tc>
          <w:tcPr>
            <w:tcW w:w="1667" w:type="pct"/>
            <w:tcBorders>
              <w:top w:val="single" w:sz="4" w:space="0" w:color="auto"/>
              <w:left w:val="single" w:sz="4" w:space="0" w:color="auto"/>
              <w:bottom w:val="single" w:sz="4" w:space="0" w:color="auto"/>
              <w:right w:val="single" w:sz="4" w:space="0" w:color="auto"/>
            </w:tcBorders>
          </w:tcPr>
          <w:p w14:paraId="5968FAD5" w14:textId="77777777" w:rsidR="00311DF4" w:rsidRPr="002A7948" w:rsidRDefault="00311DF4">
            <w:pPr>
              <w:jc w:val="both"/>
              <w:rPr>
                <w:rFonts w:ascii="Times New Roman" w:eastAsia="Times New Roman" w:hAnsi="Times New Roman" w:cs="Times New Roman"/>
                <w:sz w:val="24"/>
                <w:szCs w:val="24"/>
              </w:rPr>
            </w:pPr>
          </w:p>
          <w:p w14:paraId="2B6BA4A2"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36</w:t>
            </w:r>
          </w:p>
          <w:p w14:paraId="5B9799DD"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49.9</w:t>
            </w:r>
          </w:p>
          <w:p w14:paraId="61F6AA45"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46.0-312.7</w:t>
            </w:r>
          </w:p>
        </w:tc>
      </w:tr>
    </w:tbl>
    <w:p w14:paraId="4278E278" w14:textId="77777777" w:rsidR="00311DF4" w:rsidRPr="002A7948" w:rsidRDefault="00311DF4" w:rsidP="002A7948">
      <w:pPr>
        <w:ind w:left="851"/>
        <w:rPr>
          <w:sz w:val="24"/>
          <w:szCs w:val="24"/>
          <w:lang w:val="en-GB" w:eastAsia="en-US"/>
        </w:rPr>
      </w:pPr>
    </w:p>
    <w:p w14:paraId="3294DC1A" w14:textId="77777777" w:rsidR="00311DF4" w:rsidRPr="002A7948" w:rsidRDefault="00311DF4" w:rsidP="002A7948">
      <w:pPr>
        <w:ind w:left="851"/>
        <w:rPr>
          <w:i/>
          <w:iCs/>
          <w:sz w:val="24"/>
          <w:szCs w:val="24"/>
          <w:lang w:val="en-US"/>
        </w:rPr>
      </w:pPr>
      <w:r w:rsidRPr="002A7948">
        <w:rPr>
          <w:i/>
          <w:iCs/>
          <w:sz w:val="24"/>
          <w:szCs w:val="24"/>
          <w:lang w:val="en-US"/>
        </w:rPr>
        <w:t>Routine reversal – moderate neuromuscular blockade:</w:t>
      </w:r>
    </w:p>
    <w:p w14:paraId="2D63C63D" w14:textId="210766AF" w:rsidR="001C0E54" w:rsidRDefault="00311DF4" w:rsidP="008B0872">
      <w:pPr>
        <w:ind w:left="851"/>
        <w:rPr>
          <w:sz w:val="24"/>
          <w:szCs w:val="24"/>
          <w:lang w:val="en-US"/>
        </w:rPr>
      </w:pPr>
      <w:r w:rsidRPr="002A7948">
        <w:rPr>
          <w:sz w:val="24"/>
          <w:szCs w:val="24"/>
          <w:lang w:val="en-US"/>
        </w:rPr>
        <w:t>In another pivotal study patients were randomly assigned to the rocuronium or vecuronium group. After the last dose of rocuronium or vecuronium, at the reappearance of T</w:t>
      </w:r>
      <w:r w:rsidRPr="002A7948">
        <w:rPr>
          <w:sz w:val="24"/>
          <w:szCs w:val="24"/>
          <w:vertAlign w:val="subscript"/>
          <w:lang w:val="en-US"/>
        </w:rPr>
        <w:t>2</w:t>
      </w:r>
      <w:r w:rsidRPr="002A7948">
        <w:rPr>
          <w:sz w:val="24"/>
          <w:szCs w:val="24"/>
          <w:lang w:val="en-US"/>
        </w:rPr>
        <w:t xml:space="preserve">, 2 mg/kg </w:t>
      </w:r>
      <w:proofErr w:type="spellStart"/>
      <w:r w:rsidRPr="002A7948">
        <w:rPr>
          <w:sz w:val="24"/>
          <w:szCs w:val="24"/>
          <w:lang w:val="en-US"/>
        </w:rPr>
        <w:t>sugammadex</w:t>
      </w:r>
      <w:proofErr w:type="spellEnd"/>
      <w:r w:rsidRPr="002A7948">
        <w:rPr>
          <w:sz w:val="24"/>
          <w:szCs w:val="24"/>
          <w:lang w:val="en-US"/>
        </w:rPr>
        <w:t xml:space="preserve"> or 50 mcg/kg neostigmine was administered in a </w:t>
      </w:r>
      <w:proofErr w:type="spellStart"/>
      <w:r w:rsidRPr="002A7948">
        <w:rPr>
          <w:sz w:val="24"/>
          <w:szCs w:val="24"/>
          <w:lang w:val="en-US"/>
        </w:rPr>
        <w:t>randomised</w:t>
      </w:r>
      <w:proofErr w:type="spellEnd"/>
      <w:r w:rsidRPr="002A7948">
        <w:rPr>
          <w:sz w:val="24"/>
          <w:szCs w:val="24"/>
          <w:lang w:val="en-US"/>
        </w:rPr>
        <w:t xml:space="preserve"> order. The time </w:t>
      </w:r>
      <w:r w:rsidRPr="002A7948">
        <w:rPr>
          <w:sz w:val="24"/>
          <w:szCs w:val="24"/>
          <w:lang w:val="en-US"/>
        </w:rPr>
        <w:lastRenderedPageBreak/>
        <w:t xml:space="preserve">from start of administration of </w:t>
      </w:r>
      <w:proofErr w:type="spellStart"/>
      <w:r w:rsidRPr="002A7948">
        <w:rPr>
          <w:sz w:val="24"/>
          <w:szCs w:val="24"/>
          <w:lang w:val="en-US"/>
        </w:rPr>
        <w:t>sugammadex</w:t>
      </w:r>
      <w:proofErr w:type="spellEnd"/>
      <w:r w:rsidRPr="002A7948">
        <w:rPr>
          <w:sz w:val="24"/>
          <w:szCs w:val="24"/>
          <w:lang w:val="en-US"/>
        </w:rPr>
        <w:t xml:space="preserve"> or neostigmine to recovery of the T</w:t>
      </w:r>
      <w:r w:rsidRPr="002A7948">
        <w:rPr>
          <w:sz w:val="24"/>
          <w:szCs w:val="24"/>
          <w:vertAlign w:val="subscript"/>
          <w:lang w:val="en-US"/>
        </w:rPr>
        <w:t>4</w:t>
      </w:r>
      <w:r w:rsidRPr="002A7948">
        <w:rPr>
          <w:sz w:val="24"/>
          <w:szCs w:val="24"/>
          <w:lang w:val="en-US"/>
        </w:rPr>
        <w:t>/T</w:t>
      </w:r>
      <w:r w:rsidRPr="002A7948">
        <w:rPr>
          <w:sz w:val="24"/>
          <w:szCs w:val="24"/>
          <w:vertAlign w:val="subscript"/>
          <w:lang w:val="en-US"/>
        </w:rPr>
        <w:t>1</w:t>
      </w:r>
      <w:r w:rsidRPr="002A7948">
        <w:rPr>
          <w:sz w:val="24"/>
          <w:szCs w:val="24"/>
          <w:lang w:val="en-US"/>
        </w:rPr>
        <w:t xml:space="preserve"> ratio to 0.9 was:</w:t>
      </w:r>
      <w:bookmarkStart w:id="1" w:name="_GoBack"/>
      <w:bookmarkEnd w:id="1"/>
    </w:p>
    <w:p w14:paraId="7829F2AC" w14:textId="77777777" w:rsidR="00311DF4" w:rsidRPr="002A7948" w:rsidRDefault="00311DF4" w:rsidP="002A7948">
      <w:pPr>
        <w:ind w:left="851"/>
        <w:rPr>
          <w:sz w:val="24"/>
          <w:szCs w:val="24"/>
          <w:lang w:val="en-US"/>
        </w:rPr>
      </w:pPr>
    </w:p>
    <w:p w14:paraId="3788641E" w14:textId="54281A5F" w:rsidR="00311DF4" w:rsidRPr="002A7948" w:rsidRDefault="00311DF4" w:rsidP="002A7948">
      <w:pPr>
        <w:rPr>
          <w:b/>
          <w:sz w:val="24"/>
          <w:szCs w:val="24"/>
          <w:lang w:val="en-US"/>
        </w:rPr>
      </w:pPr>
      <w:r w:rsidRPr="002A7948">
        <w:rPr>
          <w:b/>
          <w:sz w:val="24"/>
          <w:szCs w:val="24"/>
          <w:lang w:val="en-US"/>
        </w:rPr>
        <w:t xml:space="preserve">Table 4: Time (minutes) from administration of </w:t>
      </w:r>
      <w:proofErr w:type="spellStart"/>
      <w:r w:rsidRPr="002A7948">
        <w:rPr>
          <w:b/>
          <w:sz w:val="24"/>
          <w:szCs w:val="24"/>
          <w:lang w:val="en-US"/>
        </w:rPr>
        <w:t>sugammadex</w:t>
      </w:r>
      <w:proofErr w:type="spellEnd"/>
      <w:r w:rsidRPr="002A7948">
        <w:rPr>
          <w:b/>
          <w:sz w:val="24"/>
          <w:szCs w:val="24"/>
          <w:lang w:val="en-US"/>
        </w:rPr>
        <w:t xml:space="preserve"> or neostigmine at reappearance of</w:t>
      </w:r>
      <w:r w:rsidR="002A7948">
        <w:rPr>
          <w:b/>
          <w:sz w:val="24"/>
          <w:szCs w:val="24"/>
          <w:lang w:val="en-US"/>
        </w:rPr>
        <w:t xml:space="preserve"> </w:t>
      </w:r>
      <w:r w:rsidRPr="002A7948">
        <w:rPr>
          <w:b/>
          <w:sz w:val="24"/>
          <w:szCs w:val="24"/>
          <w:lang w:val="en-US"/>
        </w:rPr>
        <w:t>T</w:t>
      </w:r>
      <w:r w:rsidRPr="002A7948">
        <w:rPr>
          <w:b/>
          <w:sz w:val="24"/>
          <w:szCs w:val="24"/>
          <w:vertAlign w:val="subscript"/>
          <w:lang w:val="en-US"/>
        </w:rPr>
        <w:t>2</w:t>
      </w:r>
      <w:r w:rsidRPr="002A7948">
        <w:rPr>
          <w:b/>
          <w:sz w:val="24"/>
          <w:szCs w:val="24"/>
          <w:lang w:val="en-US"/>
        </w:rPr>
        <w:t xml:space="preserve"> after rocuronium or vecuronium to recovery of the T</w:t>
      </w:r>
      <w:r w:rsidRPr="002A7948">
        <w:rPr>
          <w:b/>
          <w:sz w:val="24"/>
          <w:szCs w:val="24"/>
          <w:vertAlign w:val="subscript"/>
          <w:lang w:val="en-US"/>
        </w:rPr>
        <w:t>4</w:t>
      </w:r>
      <w:r w:rsidRPr="002A7948">
        <w:rPr>
          <w:b/>
          <w:sz w:val="24"/>
          <w:szCs w:val="24"/>
          <w:lang w:val="en-US"/>
        </w:rPr>
        <w:t>/T</w:t>
      </w:r>
      <w:r w:rsidRPr="002A7948">
        <w:rPr>
          <w:b/>
          <w:sz w:val="24"/>
          <w:szCs w:val="24"/>
          <w:vertAlign w:val="subscript"/>
          <w:lang w:val="en-US"/>
        </w:rPr>
        <w:t>1</w:t>
      </w:r>
      <w:r w:rsidRPr="002A7948">
        <w:rPr>
          <w:b/>
          <w:sz w:val="24"/>
          <w:szCs w:val="24"/>
          <w:lang w:val="en-US"/>
        </w:rPr>
        <w:t xml:space="preserve"> ratio to 0.9</w:t>
      </w:r>
    </w:p>
    <w:p w14:paraId="0675B4E9" w14:textId="77777777" w:rsidR="00311DF4" w:rsidRPr="002A7948" w:rsidRDefault="00311DF4" w:rsidP="002A7948">
      <w:pPr>
        <w:rPr>
          <w:sz w:val="24"/>
          <w:szCs w:val="24"/>
          <w:lang w:val="en-US"/>
        </w:rPr>
      </w:pPr>
    </w:p>
    <w:tbl>
      <w:tblPr>
        <w:tblStyle w:val="Tabel-Gitter"/>
        <w:tblW w:w="5000" w:type="pct"/>
        <w:tblInd w:w="0" w:type="dxa"/>
        <w:tblLook w:val="04A0" w:firstRow="1" w:lastRow="0" w:firstColumn="1" w:lastColumn="0" w:noHBand="0" w:noVBand="1"/>
      </w:tblPr>
      <w:tblGrid>
        <w:gridCol w:w="3208"/>
        <w:gridCol w:w="3210"/>
        <w:gridCol w:w="3210"/>
      </w:tblGrid>
      <w:tr w:rsidR="00311DF4" w:rsidRPr="002A7948" w14:paraId="08B2698C" w14:textId="77777777" w:rsidTr="002A7948">
        <w:tc>
          <w:tcPr>
            <w:tcW w:w="1666" w:type="pct"/>
            <w:vMerge w:val="restart"/>
            <w:tcBorders>
              <w:top w:val="single" w:sz="4" w:space="0" w:color="auto"/>
              <w:left w:val="single" w:sz="4" w:space="0" w:color="auto"/>
              <w:bottom w:val="single" w:sz="4" w:space="0" w:color="auto"/>
              <w:right w:val="single" w:sz="4" w:space="0" w:color="auto"/>
            </w:tcBorders>
            <w:hideMark/>
          </w:tcPr>
          <w:p w14:paraId="6CA9F23C"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Neuromuscular blocking agent</w:t>
            </w:r>
          </w:p>
        </w:tc>
        <w:tc>
          <w:tcPr>
            <w:tcW w:w="3334" w:type="pct"/>
            <w:gridSpan w:val="2"/>
            <w:tcBorders>
              <w:top w:val="single" w:sz="4" w:space="0" w:color="auto"/>
              <w:left w:val="single" w:sz="4" w:space="0" w:color="auto"/>
              <w:bottom w:val="single" w:sz="4" w:space="0" w:color="auto"/>
              <w:right w:val="single" w:sz="4" w:space="0" w:color="auto"/>
            </w:tcBorders>
            <w:hideMark/>
          </w:tcPr>
          <w:p w14:paraId="4EBECC5A" w14:textId="77777777" w:rsidR="00311DF4" w:rsidRPr="002A7948" w:rsidRDefault="00311DF4" w:rsidP="002A7948">
            <w:pPr>
              <w:rPr>
                <w:rFonts w:ascii="Times New Roman" w:hAnsi="Times New Roman" w:cs="Times New Roman"/>
                <w:sz w:val="24"/>
                <w:szCs w:val="24"/>
              </w:rPr>
            </w:pPr>
            <w:r w:rsidRPr="002A7948">
              <w:rPr>
                <w:rFonts w:ascii="Times New Roman" w:hAnsi="Times New Roman" w:cs="Times New Roman"/>
                <w:sz w:val="24"/>
                <w:szCs w:val="24"/>
              </w:rPr>
              <w:t>Treatment regimen</w:t>
            </w:r>
          </w:p>
        </w:tc>
      </w:tr>
      <w:tr w:rsidR="00311DF4" w:rsidRPr="002A7948" w14:paraId="5853FB44" w14:textId="77777777" w:rsidTr="002A7948">
        <w:tc>
          <w:tcPr>
            <w:tcW w:w="1666" w:type="pct"/>
            <w:vMerge/>
            <w:tcBorders>
              <w:top w:val="single" w:sz="4" w:space="0" w:color="auto"/>
              <w:left w:val="single" w:sz="4" w:space="0" w:color="auto"/>
              <w:bottom w:val="single" w:sz="4" w:space="0" w:color="auto"/>
              <w:right w:val="single" w:sz="4" w:space="0" w:color="auto"/>
            </w:tcBorders>
            <w:vAlign w:val="center"/>
            <w:hideMark/>
          </w:tcPr>
          <w:p w14:paraId="3F87D2F6" w14:textId="77777777" w:rsidR="00311DF4" w:rsidRPr="002A7948" w:rsidRDefault="00311DF4">
            <w:pPr>
              <w:rPr>
                <w:rFonts w:ascii="Times New Roman" w:eastAsia="Times New Roman"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58B4FC8F" w14:textId="77777777" w:rsidR="00311DF4" w:rsidRPr="002A7948" w:rsidRDefault="00311DF4">
            <w:pPr>
              <w:jc w:val="both"/>
              <w:rPr>
                <w:rFonts w:ascii="Times New Roman" w:eastAsia="Times New Roman" w:hAnsi="Times New Roman" w:cs="Times New Roman"/>
                <w:sz w:val="24"/>
                <w:szCs w:val="24"/>
              </w:rPr>
            </w:pPr>
            <w:proofErr w:type="spellStart"/>
            <w:r w:rsidRPr="002A7948">
              <w:rPr>
                <w:rFonts w:ascii="Times New Roman" w:eastAsia="Times New Roman" w:hAnsi="Times New Roman" w:cs="Times New Roman"/>
                <w:sz w:val="24"/>
                <w:szCs w:val="24"/>
              </w:rPr>
              <w:t>Sugammadex</w:t>
            </w:r>
            <w:proofErr w:type="spellEnd"/>
            <w:r w:rsidRPr="002A7948">
              <w:rPr>
                <w:rFonts w:ascii="Times New Roman" w:eastAsia="Times New Roman" w:hAnsi="Times New Roman" w:cs="Times New Roman"/>
                <w:sz w:val="24"/>
                <w:szCs w:val="24"/>
              </w:rPr>
              <w:t xml:space="preserve"> (2 mg/kg)</w:t>
            </w:r>
          </w:p>
        </w:tc>
        <w:tc>
          <w:tcPr>
            <w:tcW w:w="1667" w:type="pct"/>
            <w:tcBorders>
              <w:top w:val="single" w:sz="4" w:space="0" w:color="auto"/>
              <w:left w:val="single" w:sz="4" w:space="0" w:color="auto"/>
              <w:bottom w:val="single" w:sz="4" w:space="0" w:color="auto"/>
              <w:right w:val="single" w:sz="4" w:space="0" w:color="auto"/>
            </w:tcBorders>
            <w:hideMark/>
          </w:tcPr>
          <w:p w14:paraId="3249E7F2"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Neostigmine (50 mcg/kg)</w:t>
            </w:r>
          </w:p>
        </w:tc>
      </w:tr>
      <w:tr w:rsidR="00311DF4" w:rsidRPr="002A7948" w14:paraId="7DFDFDE2" w14:textId="77777777" w:rsidTr="002A7948">
        <w:tc>
          <w:tcPr>
            <w:tcW w:w="1666" w:type="pct"/>
            <w:tcBorders>
              <w:top w:val="single" w:sz="4" w:space="0" w:color="auto"/>
              <w:left w:val="single" w:sz="4" w:space="0" w:color="auto"/>
              <w:bottom w:val="single" w:sz="4" w:space="0" w:color="auto"/>
              <w:right w:val="single" w:sz="4" w:space="0" w:color="auto"/>
            </w:tcBorders>
            <w:hideMark/>
          </w:tcPr>
          <w:p w14:paraId="28DB3D11"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Rocuronium</w:t>
            </w:r>
          </w:p>
          <w:p w14:paraId="7DC27516"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w:t>
            </w:r>
          </w:p>
          <w:p w14:paraId="2812CAE0"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Median (minutes)</w:t>
            </w:r>
          </w:p>
          <w:p w14:paraId="73FDACD8"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Range</w:t>
            </w:r>
          </w:p>
        </w:tc>
        <w:tc>
          <w:tcPr>
            <w:tcW w:w="1667" w:type="pct"/>
            <w:tcBorders>
              <w:top w:val="single" w:sz="4" w:space="0" w:color="auto"/>
              <w:left w:val="single" w:sz="4" w:space="0" w:color="auto"/>
              <w:bottom w:val="single" w:sz="4" w:space="0" w:color="auto"/>
              <w:right w:val="single" w:sz="4" w:space="0" w:color="auto"/>
            </w:tcBorders>
          </w:tcPr>
          <w:p w14:paraId="65DCC085" w14:textId="77777777" w:rsidR="00311DF4" w:rsidRPr="002A7948" w:rsidRDefault="00311DF4">
            <w:pPr>
              <w:jc w:val="both"/>
              <w:rPr>
                <w:rFonts w:ascii="Times New Roman" w:eastAsia="Times New Roman" w:hAnsi="Times New Roman" w:cs="Times New Roman"/>
                <w:sz w:val="24"/>
                <w:szCs w:val="24"/>
              </w:rPr>
            </w:pPr>
          </w:p>
          <w:p w14:paraId="60D29770"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48</w:t>
            </w:r>
          </w:p>
          <w:p w14:paraId="0A089DD3"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1.4</w:t>
            </w:r>
          </w:p>
          <w:p w14:paraId="079B5DFB"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0.9-5.4</w:t>
            </w:r>
          </w:p>
        </w:tc>
        <w:tc>
          <w:tcPr>
            <w:tcW w:w="1667" w:type="pct"/>
            <w:tcBorders>
              <w:top w:val="single" w:sz="4" w:space="0" w:color="auto"/>
              <w:left w:val="single" w:sz="4" w:space="0" w:color="auto"/>
              <w:bottom w:val="single" w:sz="4" w:space="0" w:color="auto"/>
              <w:right w:val="single" w:sz="4" w:space="0" w:color="auto"/>
            </w:tcBorders>
          </w:tcPr>
          <w:p w14:paraId="6E710DBE" w14:textId="77777777" w:rsidR="00311DF4" w:rsidRPr="002A7948" w:rsidRDefault="00311DF4">
            <w:pPr>
              <w:jc w:val="both"/>
              <w:rPr>
                <w:rFonts w:ascii="Times New Roman" w:eastAsia="Times New Roman" w:hAnsi="Times New Roman" w:cs="Times New Roman"/>
                <w:sz w:val="24"/>
                <w:szCs w:val="24"/>
              </w:rPr>
            </w:pPr>
          </w:p>
          <w:p w14:paraId="02292EA2"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48</w:t>
            </w:r>
          </w:p>
          <w:p w14:paraId="00EEB307"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17.6</w:t>
            </w:r>
          </w:p>
          <w:p w14:paraId="6056D388"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3.7-106.9</w:t>
            </w:r>
          </w:p>
        </w:tc>
      </w:tr>
      <w:tr w:rsidR="00311DF4" w:rsidRPr="002A7948" w14:paraId="1809DAC6" w14:textId="77777777" w:rsidTr="002A7948">
        <w:tc>
          <w:tcPr>
            <w:tcW w:w="1666" w:type="pct"/>
            <w:tcBorders>
              <w:top w:val="single" w:sz="4" w:space="0" w:color="auto"/>
              <w:left w:val="single" w:sz="4" w:space="0" w:color="auto"/>
              <w:bottom w:val="single" w:sz="4" w:space="0" w:color="auto"/>
              <w:right w:val="single" w:sz="4" w:space="0" w:color="auto"/>
            </w:tcBorders>
            <w:hideMark/>
          </w:tcPr>
          <w:p w14:paraId="1401D35F"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Vecuronium</w:t>
            </w:r>
          </w:p>
          <w:p w14:paraId="25169830"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w:t>
            </w:r>
          </w:p>
          <w:p w14:paraId="6ED93783"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Median (minutes)</w:t>
            </w:r>
          </w:p>
          <w:p w14:paraId="1E3380C5"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Range</w:t>
            </w:r>
          </w:p>
        </w:tc>
        <w:tc>
          <w:tcPr>
            <w:tcW w:w="1667" w:type="pct"/>
            <w:tcBorders>
              <w:top w:val="single" w:sz="4" w:space="0" w:color="auto"/>
              <w:left w:val="single" w:sz="4" w:space="0" w:color="auto"/>
              <w:bottom w:val="single" w:sz="4" w:space="0" w:color="auto"/>
              <w:right w:val="single" w:sz="4" w:space="0" w:color="auto"/>
            </w:tcBorders>
          </w:tcPr>
          <w:p w14:paraId="38DFD9DD" w14:textId="77777777" w:rsidR="00311DF4" w:rsidRPr="002A7948" w:rsidRDefault="00311DF4">
            <w:pPr>
              <w:jc w:val="both"/>
              <w:rPr>
                <w:rFonts w:ascii="Times New Roman" w:eastAsia="Times New Roman" w:hAnsi="Times New Roman" w:cs="Times New Roman"/>
                <w:sz w:val="24"/>
                <w:szCs w:val="24"/>
              </w:rPr>
            </w:pPr>
          </w:p>
          <w:p w14:paraId="7EB5B405"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48</w:t>
            </w:r>
          </w:p>
          <w:p w14:paraId="1BC821A0"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2.1</w:t>
            </w:r>
          </w:p>
          <w:p w14:paraId="67BEA9B3"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1.2-64.2</w:t>
            </w:r>
          </w:p>
        </w:tc>
        <w:tc>
          <w:tcPr>
            <w:tcW w:w="1667" w:type="pct"/>
            <w:tcBorders>
              <w:top w:val="single" w:sz="4" w:space="0" w:color="auto"/>
              <w:left w:val="single" w:sz="4" w:space="0" w:color="auto"/>
              <w:bottom w:val="single" w:sz="4" w:space="0" w:color="auto"/>
              <w:right w:val="single" w:sz="4" w:space="0" w:color="auto"/>
            </w:tcBorders>
          </w:tcPr>
          <w:p w14:paraId="1881292C" w14:textId="77777777" w:rsidR="00311DF4" w:rsidRPr="002A7948" w:rsidRDefault="00311DF4">
            <w:pPr>
              <w:jc w:val="both"/>
              <w:rPr>
                <w:rFonts w:ascii="Times New Roman" w:eastAsia="Times New Roman" w:hAnsi="Times New Roman" w:cs="Times New Roman"/>
                <w:sz w:val="24"/>
                <w:szCs w:val="24"/>
              </w:rPr>
            </w:pPr>
          </w:p>
          <w:p w14:paraId="2E153B1A"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45</w:t>
            </w:r>
          </w:p>
          <w:p w14:paraId="7F891E2C"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18.9</w:t>
            </w:r>
          </w:p>
          <w:p w14:paraId="4A5773FF"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2.9-76.2</w:t>
            </w:r>
          </w:p>
        </w:tc>
      </w:tr>
    </w:tbl>
    <w:p w14:paraId="4D1AAF4D" w14:textId="77777777" w:rsidR="00311DF4" w:rsidRPr="002A7948" w:rsidRDefault="00311DF4" w:rsidP="00311DF4">
      <w:pPr>
        <w:autoSpaceDE w:val="0"/>
        <w:autoSpaceDN w:val="0"/>
        <w:adjustRightInd w:val="0"/>
        <w:jc w:val="both"/>
        <w:rPr>
          <w:sz w:val="24"/>
          <w:szCs w:val="24"/>
          <w:lang w:val="en-GB" w:eastAsia="en-US"/>
        </w:rPr>
      </w:pPr>
    </w:p>
    <w:p w14:paraId="13C400DB"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Reversal by </w:t>
      </w:r>
      <w:proofErr w:type="spellStart"/>
      <w:r w:rsidRPr="002A7948">
        <w:rPr>
          <w:sz w:val="24"/>
          <w:szCs w:val="24"/>
          <w:lang w:val="en-US"/>
        </w:rPr>
        <w:t>sugammadex</w:t>
      </w:r>
      <w:proofErr w:type="spellEnd"/>
      <w:r w:rsidRPr="002A7948">
        <w:rPr>
          <w:sz w:val="24"/>
          <w:szCs w:val="24"/>
          <w:lang w:val="en-US"/>
        </w:rPr>
        <w:t xml:space="preserve"> of the neuromuscular blockade induced by rocuronium was compared to the reversal by neostigmine of the neuromuscular blockade induced by cis-atracurium. At the reappearance of T2 a dose of 2 mg/kg </w:t>
      </w:r>
      <w:proofErr w:type="spellStart"/>
      <w:r w:rsidRPr="002A7948">
        <w:rPr>
          <w:sz w:val="24"/>
          <w:szCs w:val="24"/>
          <w:lang w:val="en-US"/>
        </w:rPr>
        <w:t>sugammadex</w:t>
      </w:r>
      <w:proofErr w:type="spellEnd"/>
      <w:r w:rsidRPr="002A7948">
        <w:rPr>
          <w:sz w:val="24"/>
          <w:szCs w:val="24"/>
          <w:lang w:val="en-US"/>
        </w:rPr>
        <w:t xml:space="preserve"> or 50 mcg/kg neostigmine was administered. </w:t>
      </w:r>
      <w:proofErr w:type="spellStart"/>
      <w:r w:rsidRPr="002A7948">
        <w:rPr>
          <w:sz w:val="24"/>
          <w:szCs w:val="24"/>
          <w:lang w:val="en-US"/>
        </w:rPr>
        <w:t>Sugammadex</w:t>
      </w:r>
      <w:proofErr w:type="spellEnd"/>
      <w:r w:rsidRPr="002A7948">
        <w:rPr>
          <w:sz w:val="24"/>
          <w:szCs w:val="24"/>
          <w:lang w:val="en-US"/>
        </w:rPr>
        <w:t xml:space="preserve"> provided faster reversal of neuromuscular blockade induced by rocuronium compared to neostigmine reversal of neuromuscular blockade induced by cis-atracurium:</w:t>
      </w:r>
    </w:p>
    <w:p w14:paraId="616189E7" w14:textId="77777777" w:rsidR="00311DF4" w:rsidRPr="002A7948" w:rsidRDefault="00311DF4" w:rsidP="00311DF4">
      <w:pPr>
        <w:jc w:val="both"/>
        <w:rPr>
          <w:b/>
          <w:bCs/>
          <w:sz w:val="24"/>
          <w:szCs w:val="24"/>
          <w:lang w:val="en-US"/>
        </w:rPr>
      </w:pPr>
    </w:p>
    <w:p w14:paraId="393588D6" w14:textId="5C227883" w:rsidR="00311DF4" w:rsidRPr="002A7948" w:rsidRDefault="00311DF4" w:rsidP="001C0E54">
      <w:pPr>
        <w:autoSpaceDE w:val="0"/>
        <w:autoSpaceDN w:val="0"/>
        <w:adjustRightInd w:val="0"/>
        <w:rPr>
          <w:b/>
          <w:bCs/>
          <w:sz w:val="24"/>
          <w:szCs w:val="24"/>
          <w:lang w:val="en-US"/>
        </w:rPr>
      </w:pPr>
      <w:r w:rsidRPr="002A7948">
        <w:rPr>
          <w:b/>
          <w:bCs/>
          <w:sz w:val="24"/>
          <w:szCs w:val="24"/>
          <w:lang w:val="en-US"/>
        </w:rPr>
        <w:t xml:space="preserve">Table 5: Time (minutes) from administration of </w:t>
      </w:r>
      <w:proofErr w:type="spellStart"/>
      <w:r w:rsidRPr="002A7948">
        <w:rPr>
          <w:b/>
          <w:bCs/>
          <w:sz w:val="24"/>
          <w:szCs w:val="24"/>
          <w:lang w:val="en-US"/>
        </w:rPr>
        <w:t>sugammadex</w:t>
      </w:r>
      <w:proofErr w:type="spellEnd"/>
      <w:r w:rsidRPr="002A7948">
        <w:rPr>
          <w:b/>
          <w:bCs/>
          <w:sz w:val="24"/>
          <w:szCs w:val="24"/>
          <w:lang w:val="en-US"/>
        </w:rPr>
        <w:t xml:space="preserve"> or neostigmine at reappearance of</w:t>
      </w:r>
      <w:r w:rsidR="001C0E54">
        <w:rPr>
          <w:b/>
          <w:bCs/>
          <w:sz w:val="24"/>
          <w:szCs w:val="24"/>
          <w:lang w:val="en-US"/>
        </w:rPr>
        <w:t xml:space="preserve"> </w:t>
      </w:r>
      <w:r w:rsidRPr="002A7948">
        <w:rPr>
          <w:b/>
          <w:bCs/>
          <w:sz w:val="24"/>
          <w:szCs w:val="24"/>
          <w:lang w:val="en-US"/>
        </w:rPr>
        <w:t>T</w:t>
      </w:r>
      <w:r w:rsidRPr="002A7948">
        <w:rPr>
          <w:b/>
          <w:bCs/>
          <w:sz w:val="24"/>
          <w:szCs w:val="24"/>
          <w:vertAlign w:val="subscript"/>
          <w:lang w:val="en-US"/>
        </w:rPr>
        <w:t>2</w:t>
      </w:r>
      <w:r w:rsidRPr="002A7948">
        <w:rPr>
          <w:b/>
          <w:bCs/>
          <w:sz w:val="24"/>
          <w:szCs w:val="24"/>
          <w:lang w:val="en-US"/>
        </w:rPr>
        <w:t xml:space="preserve"> after rocuronium or cis-atracurium to recovery of the T</w:t>
      </w:r>
      <w:r w:rsidRPr="002A7948">
        <w:rPr>
          <w:b/>
          <w:bCs/>
          <w:sz w:val="24"/>
          <w:szCs w:val="24"/>
          <w:vertAlign w:val="subscript"/>
          <w:lang w:val="en-US"/>
        </w:rPr>
        <w:t>4</w:t>
      </w:r>
      <w:r w:rsidRPr="002A7948">
        <w:rPr>
          <w:b/>
          <w:bCs/>
          <w:sz w:val="24"/>
          <w:szCs w:val="24"/>
          <w:lang w:val="en-US"/>
        </w:rPr>
        <w:t>/T</w:t>
      </w:r>
      <w:r w:rsidRPr="002A7948">
        <w:rPr>
          <w:b/>
          <w:bCs/>
          <w:sz w:val="24"/>
          <w:szCs w:val="24"/>
          <w:vertAlign w:val="subscript"/>
          <w:lang w:val="en-US"/>
        </w:rPr>
        <w:t>1</w:t>
      </w:r>
      <w:r w:rsidRPr="002A7948">
        <w:rPr>
          <w:b/>
          <w:bCs/>
          <w:sz w:val="24"/>
          <w:szCs w:val="24"/>
          <w:lang w:val="en-US"/>
        </w:rPr>
        <w:t xml:space="preserve"> ratio to 0.9</w:t>
      </w:r>
    </w:p>
    <w:p w14:paraId="55CF3A1B" w14:textId="77777777" w:rsidR="00311DF4" w:rsidRPr="002A7948" w:rsidRDefault="00311DF4" w:rsidP="00311DF4">
      <w:pPr>
        <w:autoSpaceDE w:val="0"/>
        <w:autoSpaceDN w:val="0"/>
        <w:adjustRightInd w:val="0"/>
        <w:jc w:val="both"/>
        <w:rPr>
          <w:b/>
          <w:bCs/>
          <w:sz w:val="24"/>
          <w:szCs w:val="24"/>
          <w:lang w:val="en-US"/>
        </w:rPr>
      </w:pPr>
    </w:p>
    <w:tbl>
      <w:tblPr>
        <w:tblStyle w:val="Tabel-Gitter"/>
        <w:tblW w:w="5000" w:type="pct"/>
        <w:tblInd w:w="0" w:type="dxa"/>
        <w:tblLook w:val="04A0" w:firstRow="1" w:lastRow="0" w:firstColumn="1" w:lastColumn="0" w:noHBand="0" w:noVBand="1"/>
      </w:tblPr>
      <w:tblGrid>
        <w:gridCol w:w="3208"/>
        <w:gridCol w:w="3143"/>
        <w:gridCol w:w="3277"/>
      </w:tblGrid>
      <w:tr w:rsidR="00311DF4" w:rsidRPr="002A7948" w14:paraId="7AFAC091" w14:textId="77777777" w:rsidTr="002A7948">
        <w:tc>
          <w:tcPr>
            <w:tcW w:w="1666" w:type="pct"/>
            <w:vMerge w:val="restart"/>
            <w:tcBorders>
              <w:top w:val="single" w:sz="4" w:space="0" w:color="auto"/>
              <w:left w:val="single" w:sz="4" w:space="0" w:color="auto"/>
              <w:bottom w:val="single" w:sz="4" w:space="0" w:color="auto"/>
              <w:right w:val="single" w:sz="4" w:space="0" w:color="auto"/>
            </w:tcBorders>
            <w:hideMark/>
          </w:tcPr>
          <w:p w14:paraId="09F4F8C6"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Neuromuscular blocking agent</w:t>
            </w:r>
          </w:p>
        </w:tc>
        <w:tc>
          <w:tcPr>
            <w:tcW w:w="3334" w:type="pct"/>
            <w:gridSpan w:val="2"/>
            <w:tcBorders>
              <w:top w:val="single" w:sz="4" w:space="0" w:color="auto"/>
              <w:left w:val="single" w:sz="4" w:space="0" w:color="auto"/>
              <w:bottom w:val="single" w:sz="4" w:space="0" w:color="auto"/>
              <w:right w:val="single" w:sz="4" w:space="0" w:color="auto"/>
            </w:tcBorders>
            <w:hideMark/>
          </w:tcPr>
          <w:p w14:paraId="15F88B0A"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Treatment regimen</w:t>
            </w:r>
          </w:p>
        </w:tc>
      </w:tr>
      <w:tr w:rsidR="00311DF4" w:rsidRPr="008B0872" w14:paraId="280F6057" w14:textId="77777777" w:rsidTr="002A7948">
        <w:tc>
          <w:tcPr>
            <w:tcW w:w="1666" w:type="pct"/>
            <w:vMerge/>
            <w:tcBorders>
              <w:top w:val="single" w:sz="4" w:space="0" w:color="auto"/>
              <w:left w:val="single" w:sz="4" w:space="0" w:color="auto"/>
              <w:bottom w:val="single" w:sz="4" w:space="0" w:color="auto"/>
              <w:right w:val="single" w:sz="4" w:space="0" w:color="auto"/>
            </w:tcBorders>
            <w:vAlign w:val="center"/>
            <w:hideMark/>
          </w:tcPr>
          <w:p w14:paraId="00BA74E3" w14:textId="77777777" w:rsidR="00311DF4" w:rsidRPr="002A7948" w:rsidRDefault="00311DF4">
            <w:pPr>
              <w:rPr>
                <w:rFonts w:ascii="Times New Roman" w:eastAsia="Times New Roman" w:hAnsi="Times New Roman" w:cs="Times New Roman"/>
                <w:sz w:val="24"/>
                <w:szCs w:val="24"/>
              </w:rPr>
            </w:pPr>
          </w:p>
        </w:tc>
        <w:tc>
          <w:tcPr>
            <w:tcW w:w="1632" w:type="pct"/>
            <w:tcBorders>
              <w:top w:val="single" w:sz="4" w:space="0" w:color="auto"/>
              <w:left w:val="single" w:sz="4" w:space="0" w:color="auto"/>
              <w:bottom w:val="single" w:sz="4" w:space="0" w:color="auto"/>
              <w:right w:val="single" w:sz="4" w:space="0" w:color="auto"/>
            </w:tcBorders>
            <w:hideMark/>
          </w:tcPr>
          <w:p w14:paraId="0C22E5D6"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 xml:space="preserve">Rocuronium and </w:t>
            </w:r>
            <w:proofErr w:type="spellStart"/>
            <w:r w:rsidRPr="002A7948">
              <w:rPr>
                <w:rFonts w:ascii="Times New Roman" w:eastAsia="Times New Roman" w:hAnsi="Times New Roman" w:cs="Times New Roman"/>
                <w:sz w:val="24"/>
                <w:szCs w:val="24"/>
              </w:rPr>
              <w:t>sugammadex</w:t>
            </w:r>
            <w:proofErr w:type="spellEnd"/>
          </w:p>
          <w:p w14:paraId="31D7ED27"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(2 mg/kg)</w:t>
            </w:r>
          </w:p>
        </w:tc>
        <w:tc>
          <w:tcPr>
            <w:tcW w:w="1701" w:type="pct"/>
            <w:tcBorders>
              <w:top w:val="single" w:sz="4" w:space="0" w:color="auto"/>
              <w:left w:val="single" w:sz="4" w:space="0" w:color="auto"/>
              <w:bottom w:val="single" w:sz="4" w:space="0" w:color="auto"/>
              <w:right w:val="single" w:sz="4" w:space="0" w:color="auto"/>
            </w:tcBorders>
            <w:hideMark/>
          </w:tcPr>
          <w:p w14:paraId="43B1CF2A"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Cis-atracurium and neostigmine</w:t>
            </w:r>
          </w:p>
          <w:p w14:paraId="17656639"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(50 mcg/kg)</w:t>
            </w:r>
          </w:p>
        </w:tc>
      </w:tr>
      <w:tr w:rsidR="00311DF4" w:rsidRPr="002A7948" w14:paraId="72D6DEFA" w14:textId="77777777" w:rsidTr="002A7948">
        <w:tc>
          <w:tcPr>
            <w:tcW w:w="1666" w:type="pct"/>
            <w:tcBorders>
              <w:top w:val="single" w:sz="4" w:space="0" w:color="auto"/>
              <w:left w:val="single" w:sz="4" w:space="0" w:color="auto"/>
              <w:bottom w:val="single" w:sz="4" w:space="0" w:color="auto"/>
              <w:right w:val="single" w:sz="4" w:space="0" w:color="auto"/>
            </w:tcBorders>
            <w:hideMark/>
          </w:tcPr>
          <w:p w14:paraId="70EFB5F4"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w:t>
            </w:r>
          </w:p>
          <w:p w14:paraId="3724555E"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Median (minutes)</w:t>
            </w:r>
          </w:p>
          <w:p w14:paraId="07EBB737"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Range</w:t>
            </w:r>
          </w:p>
        </w:tc>
        <w:tc>
          <w:tcPr>
            <w:tcW w:w="1632" w:type="pct"/>
            <w:tcBorders>
              <w:top w:val="single" w:sz="4" w:space="0" w:color="auto"/>
              <w:left w:val="single" w:sz="4" w:space="0" w:color="auto"/>
              <w:bottom w:val="single" w:sz="4" w:space="0" w:color="auto"/>
              <w:right w:val="single" w:sz="4" w:space="0" w:color="auto"/>
            </w:tcBorders>
            <w:hideMark/>
          </w:tcPr>
          <w:p w14:paraId="78E07811"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34</w:t>
            </w:r>
          </w:p>
          <w:p w14:paraId="566B2221"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1.9</w:t>
            </w:r>
          </w:p>
          <w:p w14:paraId="670932DD"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0.7-6.4</w:t>
            </w:r>
          </w:p>
        </w:tc>
        <w:tc>
          <w:tcPr>
            <w:tcW w:w="1701" w:type="pct"/>
            <w:tcBorders>
              <w:top w:val="single" w:sz="4" w:space="0" w:color="auto"/>
              <w:left w:val="single" w:sz="4" w:space="0" w:color="auto"/>
              <w:bottom w:val="single" w:sz="4" w:space="0" w:color="auto"/>
              <w:right w:val="single" w:sz="4" w:space="0" w:color="auto"/>
            </w:tcBorders>
            <w:hideMark/>
          </w:tcPr>
          <w:p w14:paraId="66F1312F"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39</w:t>
            </w:r>
          </w:p>
          <w:p w14:paraId="4DF8BD4D"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7.2</w:t>
            </w:r>
          </w:p>
          <w:p w14:paraId="5A831C05"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4.2-28.2</w:t>
            </w:r>
          </w:p>
        </w:tc>
      </w:tr>
    </w:tbl>
    <w:p w14:paraId="383523FE" w14:textId="77777777" w:rsidR="00311DF4" w:rsidRPr="001C0E54" w:rsidRDefault="00311DF4" w:rsidP="001C0E54">
      <w:pPr>
        <w:rPr>
          <w:bCs/>
          <w:sz w:val="24"/>
          <w:szCs w:val="24"/>
          <w:lang w:val="en-GB" w:eastAsia="en-US"/>
        </w:rPr>
      </w:pPr>
    </w:p>
    <w:p w14:paraId="69B294D2" w14:textId="77777777" w:rsidR="00311DF4" w:rsidRPr="002A7948" w:rsidRDefault="00311DF4" w:rsidP="002A7948">
      <w:pPr>
        <w:autoSpaceDE w:val="0"/>
        <w:autoSpaceDN w:val="0"/>
        <w:adjustRightInd w:val="0"/>
        <w:ind w:left="851"/>
        <w:rPr>
          <w:i/>
          <w:iCs/>
          <w:sz w:val="24"/>
          <w:szCs w:val="24"/>
        </w:rPr>
      </w:pPr>
      <w:r w:rsidRPr="002A7948">
        <w:rPr>
          <w:i/>
          <w:iCs/>
          <w:sz w:val="24"/>
          <w:szCs w:val="24"/>
        </w:rPr>
        <w:t xml:space="preserve">For </w:t>
      </w:r>
      <w:proofErr w:type="spellStart"/>
      <w:r w:rsidRPr="002A7948">
        <w:rPr>
          <w:i/>
          <w:iCs/>
          <w:sz w:val="24"/>
          <w:szCs w:val="24"/>
        </w:rPr>
        <w:t>immediate</w:t>
      </w:r>
      <w:proofErr w:type="spellEnd"/>
      <w:r w:rsidRPr="002A7948">
        <w:rPr>
          <w:i/>
          <w:iCs/>
          <w:sz w:val="24"/>
          <w:szCs w:val="24"/>
        </w:rPr>
        <w:t xml:space="preserve"> reversal:</w:t>
      </w:r>
    </w:p>
    <w:p w14:paraId="7E8CA7E9" w14:textId="060F6924" w:rsidR="00311DF4" w:rsidRPr="002A7948" w:rsidRDefault="00311DF4" w:rsidP="001C0E54">
      <w:pPr>
        <w:autoSpaceDE w:val="0"/>
        <w:autoSpaceDN w:val="0"/>
        <w:adjustRightInd w:val="0"/>
        <w:ind w:left="851"/>
        <w:rPr>
          <w:sz w:val="24"/>
          <w:szCs w:val="24"/>
          <w:lang w:val="en-US"/>
        </w:rPr>
      </w:pPr>
      <w:r w:rsidRPr="002A7948">
        <w:rPr>
          <w:sz w:val="24"/>
          <w:szCs w:val="24"/>
          <w:lang w:val="en-US"/>
        </w:rPr>
        <w:t>The time to recovery from succinylcholine-induced neuromuscular blockade (1 mg/kg) was compared</w:t>
      </w:r>
      <w:r w:rsidR="001C0E54">
        <w:rPr>
          <w:sz w:val="24"/>
          <w:szCs w:val="24"/>
          <w:lang w:val="en-US"/>
        </w:rPr>
        <w:t xml:space="preserve"> </w:t>
      </w:r>
      <w:r w:rsidRPr="002A7948">
        <w:rPr>
          <w:sz w:val="24"/>
          <w:szCs w:val="24"/>
          <w:lang w:val="en-US"/>
        </w:rPr>
        <w:t xml:space="preserve">with </w:t>
      </w:r>
      <w:proofErr w:type="spellStart"/>
      <w:r w:rsidRPr="002A7948">
        <w:rPr>
          <w:sz w:val="24"/>
          <w:szCs w:val="24"/>
          <w:lang w:val="en-US"/>
        </w:rPr>
        <w:t>sugammadex</w:t>
      </w:r>
      <w:proofErr w:type="spellEnd"/>
      <w:r w:rsidRPr="002A7948">
        <w:rPr>
          <w:sz w:val="24"/>
          <w:szCs w:val="24"/>
          <w:lang w:val="en-US"/>
        </w:rPr>
        <w:t xml:space="preserve"> (16 mg/kg, 3 minutes later) – induced recovery from rocuronium-induced</w:t>
      </w:r>
      <w:r w:rsidR="001C0E54">
        <w:rPr>
          <w:sz w:val="24"/>
          <w:szCs w:val="24"/>
          <w:lang w:val="en-US"/>
        </w:rPr>
        <w:t xml:space="preserve"> </w:t>
      </w:r>
      <w:r w:rsidRPr="002A7948">
        <w:rPr>
          <w:sz w:val="24"/>
          <w:szCs w:val="24"/>
          <w:lang w:val="en-US"/>
        </w:rPr>
        <w:t>neuromuscular blockade (1.2 mg/kg).</w:t>
      </w:r>
    </w:p>
    <w:p w14:paraId="7512A0DC" w14:textId="77777777" w:rsidR="00311DF4" w:rsidRPr="002A7948" w:rsidRDefault="00311DF4" w:rsidP="001C0E54">
      <w:pPr>
        <w:rPr>
          <w:sz w:val="24"/>
          <w:szCs w:val="24"/>
          <w:lang w:val="en-US"/>
        </w:rPr>
      </w:pPr>
    </w:p>
    <w:p w14:paraId="66B204A4" w14:textId="77777777" w:rsidR="00311DF4" w:rsidRPr="002A7948" w:rsidRDefault="00311DF4" w:rsidP="001C0E54">
      <w:pPr>
        <w:autoSpaceDE w:val="0"/>
        <w:autoSpaceDN w:val="0"/>
        <w:adjustRightInd w:val="0"/>
        <w:rPr>
          <w:b/>
          <w:bCs/>
          <w:sz w:val="24"/>
          <w:szCs w:val="24"/>
          <w:lang w:val="en-US"/>
        </w:rPr>
      </w:pPr>
      <w:r w:rsidRPr="002A7948">
        <w:rPr>
          <w:b/>
          <w:bCs/>
          <w:sz w:val="24"/>
          <w:szCs w:val="24"/>
          <w:lang w:val="en-US"/>
        </w:rPr>
        <w:t xml:space="preserve">Table 6: Time (minutes) from administration of rocuronium and </w:t>
      </w:r>
      <w:proofErr w:type="spellStart"/>
      <w:r w:rsidRPr="002A7948">
        <w:rPr>
          <w:b/>
          <w:bCs/>
          <w:sz w:val="24"/>
          <w:szCs w:val="24"/>
          <w:lang w:val="en-US"/>
        </w:rPr>
        <w:t>sugammadex</w:t>
      </w:r>
      <w:proofErr w:type="spellEnd"/>
      <w:r w:rsidRPr="002A7948">
        <w:rPr>
          <w:b/>
          <w:bCs/>
          <w:sz w:val="24"/>
          <w:szCs w:val="24"/>
          <w:lang w:val="en-US"/>
        </w:rPr>
        <w:t xml:space="preserve"> or succinylcholine to recovery of the T</w:t>
      </w:r>
      <w:r w:rsidRPr="002A7948">
        <w:rPr>
          <w:b/>
          <w:bCs/>
          <w:sz w:val="24"/>
          <w:szCs w:val="24"/>
          <w:vertAlign w:val="subscript"/>
          <w:lang w:val="en-US"/>
        </w:rPr>
        <w:t>1</w:t>
      </w:r>
      <w:r w:rsidRPr="002A7948">
        <w:rPr>
          <w:b/>
          <w:bCs/>
          <w:sz w:val="24"/>
          <w:szCs w:val="24"/>
          <w:lang w:val="en-US"/>
        </w:rPr>
        <w:t xml:space="preserve"> 10 %</w:t>
      </w:r>
    </w:p>
    <w:p w14:paraId="5668F6FF" w14:textId="77777777" w:rsidR="00311DF4" w:rsidRPr="002A7948" w:rsidRDefault="00311DF4" w:rsidP="001C0E54">
      <w:pPr>
        <w:autoSpaceDE w:val="0"/>
        <w:autoSpaceDN w:val="0"/>
        <w:adjustRightInd w:val="0"/>
        <w:rPr>
          <w:b/>
          <w:bCs/>
          <w:sz w:val="24"/>
          <w:szCs w:val="24"/>
          <w:lang w:val="en-US"/>
        </w:rPr>
      </w:pPr>
    </w:p>
    <w:tbl>
      <w:tblPr>
        <w:tblStyle w:val="Tabel-Gitter"/>
        <w:tblW w:w="5000" w:type="pct"/>
        <w:tblInd w:w="0" w:type="dxa"/>
        <w:tblLook w:val="04A0" w:firstRow="1" w:lastRow="0" w:firstColumn="1" w:lastColumn="0" w:noHBand="0" w:noVBand="1"/>
      </w:tblPr>
      <w:tblGrid>
        <w:gridCol w:w="3208"/>
        <w:gridCol w:w="3210"/>
        <w:gridCol w:w="3210"/>
      </w:tblGrid>
      <w:tr w:rsidR="00311DF4" w:rsidRPr="002A7948" w14:paraId="7B607515" w14:textId="77777777" w:rsidTr="002A7948">
        <w:tc>
          <w:tcPr>
            <w:tcW w:w="1666" w:type="pct"/>
            <w:vMerge w:val="restart"/>
            <w:tcBorders>
              <w:top w:val="single" w:sz="4" w:space="0" w:color="auto"/>
              <w:left w:val="single" w:sz="4" w:space="0" w:color="auto"/>
              <w:bottom w:val="single" w:sz="4" w:space="0" w:color="auto"/>
              <w:right w:val="single" w:sz="4" w:space="0" w:color="auto"/>
            </w:tcBorders>
            <w:hideMark/>
          </w:tcPr>
          <w:p w14:paraId="13D8724D"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Neuromuscular blocking agent</w:t>
            </w:r>
          </w:p>
        </w:tc>
        <w:tc>
          <w:tcPr>
            <w:tcW w:w="3334" w:type="pct"/>
            <w:gridSpan w:val="2"/>
            <w:tcBorders>
              <w:top w:val="single" w:sz="4" w:space="0" w:color="auto"/>
              <w:left w:val="single" w:sz="4" w:space="0" w:color="auto"/>
              <w:bottom w:val="single" w:sz="4" w:space="0" w:color="auto"/>
              <w:right w:val="single" w:sz="4" w:space="0" w:color="auto"/>
            </w:tcBorders>
            <w:hideMark/>
          </w:tcPr>
          <w:p w14:paraId="71A5A965"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Treatment regimen</w:t>
            </w:r>
          </w:p>
        </w:tc>
      </w:tr>
      <w:tr w:rsidR="00311DF4" w:rsidRPr="002A7948" w14:paraId="0334A6B3" w14:textId="77777777" w:rsidTr="002A7948">
        <w:tc>
          <w:tcPr>
            <w:tcW w:w="1666" w:type="pct"/>
            <w:vMerge/>
            <w:tcBorders>
              <w:top w:val="single" w:sz="4" w:space="0" w:color="auto"/>
              <w:left w:val="single" w:sz="4" w:space="0" w:color="auto"/>
              <w:bottom w:val="single" w:sz="4" w:space="0" w:color="auto"/>
              <w:right w:val="single" w:sz="4" w:space="0" w:color="auto"/>
            </w:tcBorders>
            <w:vAlign w:val="center"/>
            <w:hideMark/>
          </w:tcPr>
          <w:p w14:paraId="3E78AE53" w14:textId="77777777" w:rsidR="00311DF4" w:rsidRPr="002A7948" w:rsidRDefault="00311DF4">
            <w:pPr>
              <w:rPr>
                <w:rFonts w:ascii="Times New Roman" w:eastAsia="Times New Roman"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36C47E32"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 xml:space="preserve">Rocuronium and </w:t>
            </w:r>
            <w:proofErr w:type="spellStart"/>
            <w:r w:rsidRPr="002A7948">
              <w:rPr>
                <w:rFonts w:ascii="Times New Roman" w:eastAsia="Times New Roman" w:hAnsi="Times New Roman" w:cs="Times New Roman"/>
                <w:sz w:val="24"/>
                <w:szCs w:val="24"/>
              </w:rPr>
              <w:t>sugammadex</w:t>
            </w:r>
            <w:proofErr w:type="spellEnd"/>
          </w:p>
          <w:p w14:paraId="2B2A080D"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(16 mg/kg)</w:t>
            </w:r>
          </w:p>
        </w:tc>
        <w:tc>
          <w:tcPr>
            <w:tcW w:w="1667" w:type="pct"/>
            <w:tcBorders>
              <w:top w:val="single" w:sz="4" w:space="0" w:color="auto"/>
              <w:left w:val="single" w:sz="4" w:space="0" w:color="auto"/>
              <w:bottom w:val="single" w:sz="4" w:space="0" w:color="auto"/>
              <w:right w:val="single" w:sz="4" w:space="0" w:color="auto"/>
            </w:tcBorders>
            <w:hideMark/>
          </w:tcPr>
          <w:p w14:paraId="0683A3EE"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Succinylcholine (1 mg/kg)</w:t>
            </w:r>
          </w:p>
        </w:tc>
      </w:tr>
      <w:tr w:rsidR="00311DF4" w:rsidRPr="002A7948" w14:paraId="6369F71F" w14:textId="77777777" w:rsidTr="002A7948">
        <w:tc>
          <w:tcPr>
            <w:tcW w:w="1666" w:type="pct"/>
            <w:tcBorders>
              <w:top w:val="single" w:sz="4" w:space="0" w:color="auto"/>
              <w:left w:val="single" w:sz="4" w:space="0" w:color="auto"/>
              <w:bottom w:val="single" w:sz="4" w:space="0" w:color="auto"/>
              <w:right w:val="single" w:sz="4" w:space="0" w:color="auto"/>
            </w:tcBorders>
            <w:hideMark/>
          </w:tcPr>
          <w:p w14:paraId="15EBCE36"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w:t>
            </w:r>
          </w:p>
          <w:p w14:paraId="1252B567"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Median (minutes)</w:t>
            </w:r>
          </w:p>
          <w:p w14:paraId="0A05FB5A"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Range</w:t>
            </w:r>
          </w:p>
        </w:tc>
        <w:tc>
          <w:tcPr>
            <w:tcW w:w="1667" w:type="pct"/>
            <w:tcBorders>
              <w:top w:val="single" w:sz="4" w:space="0" w:color="auto"/>
              <w:left w:val="single" w:sz="4" w:space="0" w:color="auto"/>
              <w:bottom w:val="single" w:sz="4" w:space="0" w:color="auto"/>
              <w:right w:val="single" w:sz="4" w:space="0" w:color="auto"/>
            </w:tcBorders>
            <w:hideMark/>
          </w:tcPr>
          <w:p w14:paraId="22885163"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55</w:t>
            </w:r>
          </w:p>
          <w:p w14:paraId="62A70473"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4.2</w:t>
            </w:r>
          </w:p>
          <w:p w14:paraId="3C62A68A"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3.5-7.7</w:t>
            </w:r>
          </w:p>
        </w:tc>
        <w:tc>
          <w:tcPr>
            <w:tcW w:w="1667" w:type="pct"/>
            <w:tcBorders>
              <w:top w:val="single" w:sz="4" w:space="0" w:color="auto"/>
              <w:left w:val="single" w:sz="4" w:space="0" w:color="auto"/>
              <w:bottom w:val="single" w:sz="4" w:space="0" w:color="auto"/>
              <w:right w:val="single" w:sz="4" w:space="0" w:color="auto"/>
            </w:tcBorders>
            <w:hideMark/>
          </w:tcPr>
          <w:p w14:paraId="2F9BD227"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55</w:t>
            </w:r>
          </w:p>
          <w:p w14:paraId="07D9E9BA"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7.1</w:t>
            </w:r>
          </w:p>
          <w:p w14:paraId="4DE849F4"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3.7-10.5</w:t>
            </w:r>
          </w:p>
        </w:tc>
      </w:tr>
    </w:tbl>
    <w:p w14:paraId="733A4629" w14:textId="77777777" w:rsidR="00311DF4" w:rsidRPr="002A7948" w:rsidRDefault="00311DF4" w:rsidP="00311DF4">
      <w:pPr>
        <w:jc w:val="both"/>
        <w:rPr>
          <w:sz w:val="24"/>
          <w:szCs w:val="24"/>
          <w:lang w:val="en-GB" w:eastAsia="en-US"/>
        </w:rPr>
      </w:pPr>
    </w:p>
    <w:p w14:paraId="1DA2944C" w14:textId="77777777" w:rsidR="00311DF4" w:rsidRPr="002A7948" w:rsidRDefault="00311DF4" w:rsidP="002A7948">
      <w:pPr>
        <w:ind w:left="851"/>
        <w:rPr>
          <w:sz w:val="24"/>
          <w:szCs w:val="24"/>
          <w:lang w:val="en-US"/>
        </w:rPr>
      </w:pPr>
      <w:r w:rsidRPr="002A7948">
        <w:rPr>
          <w:sz w:val="24"/>
          <w:szCs w:val="24"/>
          <w:lang w:val="en-US"/>
        </w:rPr>
        <w:lastRenderedPageBreak/>
        <w:t xml:space="preserve">In a pooled analysis the following recovery times for 16 mg/kg </w:t>
      </w:r>
      <w:proofErr w:type="spellStart"/>
      <w:r w:rsidRPr="002A7948">
        <w:rPr>
          <w:sz w:val="24"/>
          <w:szCs w:val="24"/>
          <w:lang w:val="en-US"/>
        </w:rPr>
        <w:t>sugammadex</w:t>
      </w:r>
      <w:proofErr w:type="spellEnd"/>
      <w:r w:rsidRPr="002A7948">
        <w:rPr>
          <w:sz w:val="24"/>
          <w:szCs w:val="24"/>
          <w:lang w:val="en-US"/>
        </w:rPr>
        <w:t xml:space="preserve"> after 1.2 mg/kg rocuronium bromide were reported:</w:t>
      </w:r>
    </w:p>
    <w:p w14:paraId="011FF5C4" w14:textId="77777777" w:rsidR="00311DF4" w:rsidRPr="002A7948" w:rsidRDefault="00311DF4" w:rsidP="00311DF4">
      <w:pPr>
        <w:jc w:val="both"/>
        <w:rPr>
          <w:sz w:val="24"/>
          <w:szCs w:val="24"/>
          <w:lang w:val="en-US"/>
        </w:rPr>
      </w:pPr>
    </w:p>
    <w:p w14:paraId="79EC1039" w14:textId="18A150BF" w:rsidR="00311DF4" w:rsidRPr="002A7948" w:rsidRDefault="00311DF4" w:rsidP="001C0E54">
      <w:pPr>
        <w:autoSpaceDE w:val="0"/>
        <w:autoSpaceDN w:val="0"/>
        <w:adjustRightInd w:val="0"/>
        <w:rPr>
          <w:b/>
          <w:bCs/>
          <w:sz w:val="24"/>
          <w:szCs w:val="24"/>
          <w:lang w:val="en-US"/>
        </w:rPr>
      </w:pPr>
      <w:r w:rsidRPr="002A7948">
        <w:rPr>
          <w:b/>
          <w:bCs/>
          <w:sz w:val="24"/>
          <w:szCs w:val="24"/>
          <w:lang w:val="en-US"/>
        </w:rPr>
        <w:t xml:space="preserve">Table 7: Time (minutes) from administration of </w:t>
      </w:r>
      <w:proofErr w:type="spellStart"/>
      <w:r w:rsidRPr="002A7948">
        <w:rPr>
          <w:b/>
          <w:bCs/>
          <w:sz w:val="24"/>
          <w:szCs w:val="24"/>
          <w:lang w:val="en-US"/>
        </w:rPr>
        <w:t>sugammadex</w:t>
      </w:r>
      <w:proofErr w:type="spellEnd"/>
      <w:r w:rsidRPr="002A7948">
        <w:rPr>
          <w:b/>
          <w:bCs/>
          <w:sz w:val="24"/>
          <w:szCs w:val="24"/>
          <w:lang w:val="en-US"/>
        </w:rPr>
        <w:t xml:space="preserve"> at 3 minutes after rocuronium to</w:t>
      </w:r>
      <w:r w:rsidR="001C0E54">
        <w:rPr>
          <w:b/>
          <w:bCs/>
          <w:sz w:val="24"/>
          <w:szCs w:val="24"/>
          <w:lang w:val="en-US"/>
        </w:rPr>
        <w:t xml:space="preserve"> </w:t>
      </w:r>
      <w:r w:rsidRPr="002A7948">
        <w:rPr>
          <w:b/>
          <w:bCs/>
          <w:sz w:val="24"/>
          <w:szCs w:val="24"/>
          <w:lang w:val="en-US"/>
        </w:rPr>
        <w:t>recovery of the T</w:t>
      </w:r>
      <w:r w:rsidRPr="002A7948">
        <w:rPr>
          <w:b/>
          <w:bCs/>
          <w:sz w:val="24"/>
          <w:szCs w:val="24"/>
          <w:vertAlign w:val="subscript"/>
          <w:lang w:val="en-US"/>
        </w:rPr>
        <w:t>4</w:t>
      </w:r>
      <w:r w:rsidRPr="002A7948">
        <w:rPr>
          <w:b/>
          <w:bCs/>
          <w:sz w:val="24"/>
          <w:szCs w:val="24"/>
          <w:lang w:val="en-US"/>
        </w:rPr>
        <w:t>/T</w:t>
      </w:r>
      <w:r w:rsidRPr="002A7948">
        <w:rPr>
          <w:b/>
          <w:bCs/>
          <w:sz w:val="24"/>
          <w:szCs w:val="24"/>
          <w:vertAlign w:val="subscript"/>
          <w:lang w:val="en-US"/>
        </w:rPr>
        <w:t>1</w:t>
      </w:r>
      <w:r w:rsidRPr="002A7948">
        <w:rPr>
          <w:b/>
          <w:bCs/>
          <w:sz w:val="24"/>
          <w:szCs w:val="24"/>
          <w:lang w:val="en-US"/>
        </w:rPr>
        <w:t xml:space="preserve"> ratio to 0.9, 0.8 or 0.7</w:t>
      </w:r>
    </w:p>
    <w:p w14:paraId="703746AD" w14:textId="77777777" w:rsidR="00311DF4" w:rsidRPr="002A7948" w:rsidRDefault="00311DF4" w:rsidP="00311DF4">
      <w:pPr>
        <w:autoSpaceDE w:val="0"/>
        <w:autoSpaceDN w:val="0"/>
        <w:adjustRightInd w:val="0"/>
        <w:jc w:val="both"/>
        <w:rPr>
          <w:b/>
          <w:bCs/>
          <w:sz w:val="24"/>
          <w:szCs w:val="24"/>
          <w:lang w:val="en-US"/>
        </w:rPr>
      </w:pPr>
    </w:p>
    <w:tbl>
      <w:tblPr>
        <w:tblStyle w:val="Tabel-Gitter"/>
        <w:tblW w:w="5000" w:type="pct"/>
        <w:tblInd w:w="0" w:type="dxa"/>
        <w:tblLook w:val="04A0" w:firstRow="1" w:lastRow="0" w:firstColumn="1" w:lastColumn="0" w:noHBand="0" w:noVBand="1"/>
      </w:tblPr>
      <w:tblGrid>
        <w:gridCol w:w="1358"/>
        <w:gridCol w:w="2757"/>
        <w:gridCol w:w="2757"/>
        <w:gridCol w:w="2756"/>
      </w:tblGrid>
      <w:tr w:rsidR="00311DF4" w:rsidRPr="002A7948" w14:paraId="08CED18C" w14:textId="77777777" w:rsidTr="002A7948">
        <w:tc>
          <w:tcPr>
            <w:tcW w:w="705" w:type="pct"/>
            <w:tcBorders>
              <w:top w:val="single" w:sz="4" w:space="0" w:color="auto"/>
              <w:left w:val="single" w:sz="4" w:space="0" w:color="auto"/>
              <w:bottom w:val="single" w:sz="4" w:space="0" w:color="auto"/>
              <w:right w:val="single" w:sz="4" w:space="0" w:color="auto"/>
            </w:tcBorders>
          </w:tcPr>
          <w:p w14:paraId="139F5150" w14:textId="77777777" w:rsidR="00311DF4" w:rsidRPr="002A7948" w:rsidRDefault="00311DF4">
            <w:pPr>
              <w:jc w:val="both"/>
              <w:rPr>
                <w:rFonts w:ascii="Times New Roman" w:eastAsia="Times New Roman" w:hAnsi="Times New Roman" w:cs="Times New Roman"/>
                <w:sz w:val="24"/>
                <w:szCs w:val="24"/>
              </w:rPr>
            </w:pPr>
          </w:p>
        </w:tc>
        <w:tc>
          <w:tcPr>
            <w:tcW w:w="1432" w:type="pct"/>
            <w:tcBorders>
              <w:top w:val="single" w:sz="4" w:space="0" w:color="auto"/>
              <w:left w:val="single" w:sz="4" w:space="0" w:color="auto"/>
              <w:bottom w:val="single" w:sz="4" w:space="0" w:color="auto"/>
              <w:right w:val="single" w:sz="4" w:space="0" w:color="auto"/>
            </w:tcBorders>
            <w:hideMark/>
          </w:tcPr>
          <w:p w14:paraId="61FF2448"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T</w:t>
            </w:r>
            <w:r w:rsidRPr="002A7948">
              <w:rPr>
                <w:rFonts w:ascii="Times New Roman" w:eastAsia="Times New Roman" w:hAnsi="Times New Roman" w:cs="Times New Roman"/>
                <w:sz w:val="24"/>
                <w:szCs w:val="24"/>
                <w:vertAlign w:val="subscript"/>
              </w:rPr>
              <w:t>4</w:t>
            </w:r>
            <w:r w:rsidRPr="002A7948">
              <w:rPr>
                <w:rFonts w:ascii="Times New Roman" w:eastAsia="Times New Roman" w:hAnsi="Times New Roman" w:cs="Times New Roman"/>
                <w:sz w:val="24"/>
                <w:szCs w:val="24"/>
              </w:rPr>
              <w:t>/T</w:t>
            </w:r>
            <w:r w:rsidRPr="002A7948">
              <w:rPr>
                <w:rFonts w:ascii="Times New Roman" w:eastAsia="Times New Roman" w:hAnsi="Times New Roman" w:cs="Times New Roman"/>
                <w:sz w:val="24"/>
                <w:szCs w:val="24"/>
                <w:vertAlign w:val="subscript"/>
              </w:rPr>
              <w:t>1</w:t>
            </w:r>
            <w:r w:rsidRPr="002A7948">
              <w:rPr>
                <w:rFonts w:ascii="Times New Roman" w:eastAsia="Times New Roman" w:hAnsi="Times New Roman" w:cs="Times New Roman"/>
                <w:sz w:val="24"/>
                <w:szCs w:val="24"/>
              </w:rPr>
              <w:t xml:space="preserve"> to 0.9</w:t>
            </w:r>
          </w:p>
        </w:tc>
        <w:tc>
          <w:tcPr>
            <w:tcW w:w="1432" w:type="pct"/>
            <w:tcBorders>
              <w:top w:val="single" w:sz="4" w:space="0" w:color="auto"/>
              <w:left w:val="single" w:sz="4" w:space="0" w:color="auto"/>
              <w:bottom w:val="single" w:sz="4" w:space="0" w:color="auto"/>
              <w:right w:val="single" w:sz="4" w:space="0" w:color="auto"/>
            </w:tcBorders>
            <w:hideMark/>
          </w:tcPr>
          <w:p w14:paraId="141FBD2B" w14:textId="77777777" w:rsidR="00311DF4" w:rsidRPr="002A7948" w:rsidRDefault="00311DF4">
            <w:pPr>
              <w:jc w:val="both"/>
              <w:rPr>
                <w:rFonts w:ascii="Times New Roman" w:hAnsi="Times New Roman" w:cs="Times New Roman"/>
                <w:sz w:val="24"/>
                <w:szCs w:val="24"/>
              </w:rPr>
            </w:pPr>
            <w:r w:rsidRPr="002A7948">
              <w:rPr>
                <w:rFonts w:ascii="Times New Roman" w:eastAsia="Times New Roman" w:hAnsi="Times New Roman" w:cs="Times New Roman"/>
                <w:sz w:val="24"/>
                <w:szCs w:val="24"/>
              </w:rPr>
              <w:t>T</w:t>
            </w:r>
            <w:r w:rsidRPr="002A7948">
              <w:rPr>
                <w:rFonts w:ascii="Times New Roman" w:eastAsia="Times New Roman" w:hAnsi="Times New Roman" w:cs="Times New Roman"/>
                <w:sz w:val="24"/>
                <w:szCs w:val="24"/>
                <w:vertAlign w:val="subscript"/>
              </w:rPr>
              <w:t>4</w:t>
            </w:r>
            <w:r w:rsidRPr="002A7948">
              <w:rPr>
                <w:rFonts w:ascii="Times New Roman" w:eastAsia="Times New Roman" w:hAnsi="Times New Roman" w:cs="Times New Roman"/>
                <w:sz w:val="24"/>
                <w:szCs w:val="24"/>
              </w:rPr>
              <w:t>/T</w:t>
            </w:r>
            <w:r w:rsidRPr="002A7948">
              <w:rPr>
                <w:rFonts w:ascii="Times New Roman" w:eastAsia="Times New Roman" w:hAnsi="Times New Roman" w:cs="Times New Roman"/>
                <w:sz w:val="24"/>
                <w:szCs w:val="24"/>
                <w:vertAlign w:val="subscript"/>
              </w:rPr>
              <w:t>1</w:t>
            </w:r>
            <w:r w:rsidRPr="002A7948">
              <w:rPr>
                <w:rFonts w:ascii="Times New Roman" w:eastAsia="Times New Roman" w:hAnsi="Times New Roman" w:cs="Times New Roman"/>
                <w:sz w:val="24"/>
                <w:szCs w:val="24"/>
              </w:rPr>
              <w:t xml:space="preserve"> to 0.8</w:t>
            </w:r>
          </w:p>
        </w:tc>
        <w:tc>
          <w:tcPr>
            <w:tcW w:w="1432" w:type="pct"/>
            <w:tcBorders>
              <w:top w:val="single" w:sz="4" w:space="0" w:color="auto"/>
              <w:left w:val="single" w:sz="4" w:space="0" w:color="auto"/>
              <w:bottom w:val="single" w:sz="4" w:space="0" w:color="auto"/>
              <w:right w:val="single" w:sz="4" w:space="0" w:color="auto"/>
            </w:tcBorders>
            <w:hideMark/>
          </w:tcPr>
          <w:p w14:paraId="20A8DA63" w14:textId="77777777" w:rsidR="00311DF4" w:rsidRPr="002A7948" w:rsidRDefault="00311DF4">
            <w:pPr>
              <w:jc w:val="both"/>
              <w:rPr>
                <w:rFonts w:ascii="Times New Roman" w:hAnsi="Times New Roman" w:cs="Times New Roman"/>
                <w:sz w:val="24"/>
                <w:szCs w:val="24"/>
              </w:rPr>
            </w:pPr>
            <w:r w:rsidRPr="002A7948">
              <w:rPr>
                <w:rFonts w:ascii="Times New Roman" w:eastAsia="Times New Roman" w:hAnsi="Times New Roman" w:cs="Times New Roman"/>
                <w:sz w:val="24"/>
                <w:szCs w:val="24"/>
              </w:rPr>
              <w:t>T</w:t>
            </w:r>
            <w:r w:rsidRPr="002A7948">
              <w:rPr>
                <w:rFonts w:ascii="Times New Roman" w:eastAsia="Times New Roman" w:hAnsi="Times New Roman" w:cs="Times New Roman"/>
                <w:sz w:val="24"/>
                <w:szCs w:val="24"/>
                <w:vertAlign w:val="subscript"/>
              </w:rPr>
              <w:t>4</w:t>
            </w:r>
            <w:r w:rsidRPr="002A7948">
              <w:rPr>
                <w:rFonts w:ascii="Times New Roman" w:eastAsia="Times New Roman" w:hAnsi="Times New Roman" w:cs="Times New Roman"/>
                <w:sz w:val="24"/>
                <w:szCs w:val="24"/>
              </w:rPr>
              <w:t>/T</w:t>
            </w:r>
            <w:r w:rsidRPr="002A7948">
              <w:rPr>
                <w:rFonts w:ascii="Times New Roman" w:eastAsia="Times New Roman" w:hAnsi="Times New Roman" w:cs="Times New Roman"/>
                <w:sz w:val="24"/>
                <w:szCs w:val="24"/>
                <w:vertAlign w:val="subscript"/>
              </w:rPr>
              <w:t>1</w:t>
            </w:r>
            <w:r w:rsidRPr="002A7948">
              <w:rPr>
                <w:rFonts w:ascii="Times New Roman" w:eastAsia="Times New Roman" w:hAnsi="Times New Roman" w:cs="Times New Roman"/>
                <w:sz w:val="24"/>
                <w:szCs w:val="24"/>
              </w:rPr>
              <w:t xml:space="preserve"> to 0.7</w:t>
            </w:r>
          </w:p>
        </w:tc>
      </w:tr>
      <w:tr w:rsidR="00311DF4" w:rsidRPr="002A7948" w14:paraId="5DC4B729" w14:textId="77777777" w:rsidTr="002A7948">
        <w:tc>
          <w:tcPr>
            <w:tcW w:w="705" w:type="pct"/>
            <w:tcBorders>
              <w:top w:val="single" w:sz="4" w:space="0" w:color="auto"/>
              <w:left w:val="single" w:sz="4" w:space="0" w:color="auto"/>
              <w:bottom w:val="single" w:sz="4" w:space="0" w:color="auto"/>
              <w:right w:val="single" w:sz="4" w:space="0" w:color="auto"/>
            </w:tcBorders>
            <w:hideMark/>
          </w:tcPr>
          <w:p w14:paraId="0149A993"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N</w:t>
            </w:r>
          </w:p>
        </w:tc>
        <w:tc>
          <w:tcPr>
            <w:tcW w:w="1432" w:type="pct"/>
            <w:tcBorders>
              <w:top w:val="single" w:sz="4" w:space="0" w:color="auto"/>
              <w:left w:val="single" w:sz="4" w:space="0" w:color="auto"/>
              <w:bottom w:val="single" w:sz="4" w:space="0" w:color="auto"/>
              <w:right w:val="single" w:sz="4" w:space="0" w:color="auto"/>
            </w:tcBorders>
            <w:hideMark/>
          </w:tcPr>
          <w:p w14:paraId="01FB2B59" w14:textId="77777777" w:rsidR="00311DF4" w:rsidRPr="002A7948" w:rsidRDefault="00311DF4">
            <w:pPr>
              <w:jc w:val="both"/>
              <w:rPr>
                <w:rFonts w:ascii="Times New Roman" w:hAnsi="Times New Roman" w:cs="Times New Roman"/>
                <w:sz w:val="24"/>
                <w:szCs w:val="24"/>
              </w:rPr>
            </w:pPr>
            <w:r w:rsidRPr="002A7948">
              <w:rPr>
                <w:rFonts w:ascii="Times New Roman" w:hAnsi="Times New Roman" w:cs="Times New Roman"/>
                <w:sz w:val="24"/>
                <w:szCs w:val="24"/>
              </w:rPr>
              <w:t>65</w:t>
            </w:r>
          </w:p>
        </w:tc>
        <w:tc>
          <w:tcPr>
            <w:tcW w:w="1432" w:type="pct"/>
            <w:tcBorders>
              <w:top w:val="single" w:sz="4" w:space="0" w:color="auto"/>
              <w:left w:val="single" w:sz="4" w:space="0" w:color="auto"/>
              <w:bottom w:val="single" w:sz="4" w:space="0" w:color="auto"/>
              <w:right w:val="single" w:sz="4" w:space="0" w:color="auto"/>
            </w:tcBorders>
            <w:hideMark/>
          </w:tcPr>
          <w:p w14:paraId="1BBA98A1" w14:textId="77777777" w:rsidR="00311DF4" w:rsidRPr="002A7948" w:rsidRDefault="00311DF4">
            <w:pPr>
              <w:jc w:val="both"/>
              <w:rPr>
                <w:rFonts w:ascii="Times New Roman" w:hAnsi="Times New Roman" w:cs="Times New Roman"/>
                <w:sz w:val="24"/>
                <w:szCs w:val="24"/>
              </w:rPr>
            </w:pPr>
            <w:r w:rsidRPr="002A7948">
              <w:rPr>
                <w:rFonts w:ascii="Times New Roman" w:eastAsia="Times New Roman" w:hAnsi="Times New Roman" w:cs="Times New Roman"/>
                <w:sz w:val="24"/>
                <w:szCs w:val="24"/>
              </w:rPr>
              <w:t>65</w:t>
            </w:r>
          </w:p>
        </w:tc>
        <w:tc>
          <w:tcPr>
            <w:tcW w:w="1432" w:type="pct"/>
            <w:tcBorders>
              <w:top w:val="single" w:sz="4" w:space="0" w:color="auto"/>
              <w:left w:val="single" w:sz="4" w:space="0" w:color="auto"/>
              <w:bottom w:val="single" w:sz="4" w:space="0" w:color="auto"/>
              <w:right w:val="single" w:sz="4" w:space="0" w:color="auto"/>
            </w:tcBorders>
            <w:hideMark/>
          </w:tcPr>
          <w:p w14:paraId="607E064E" w14:textId="77777777" w:rsidR="00311DF4" w:rsidRPr="002A7948" w:rsidRDefault="00311DF4">
            <w:pPr>
              <w:jc w:val="both"/>
              <w:rPr>
                <w:rFonts w:ascii="Times New Roman" w:hAnsi="Times New Roman" w:cs="Times New Roman"/>
                <w:sz w:val="24"/>
                <w:szCs w:val="24"/>
              </w:rPr>
            </w:pPr>
            <w:r w:rsidRPr="002A7948">
              <w:rPr>
                <w:rFonts w:ascii="Times New Roman" w:eastAsia="Times New Roman" w:hAnsi="Times New Roman" w:cs="Times New Roman"/>
                <w:sz w:val="24"/>
                <w:szCs w:val="24"/>
              </w:rPr>
              <w:t>65</w:t>
            </w:r>
          </w:p>
        </w:tc>
      </w:tr>
      <w:tr w:rsidR="00311DF4" w:rsidRPr="002A7948" w14:paraId="6A9C8FBE" w14:textId="77777777" w:rsidTr="002A7948">
        <w:tc>
          <w:tcPr>
            <w:tcW w:w="705" w:type="pct"/>
            <w:tcBorders>
              <w:top w:val="single" w:sz="4" w:space="0" w:color="auto"/>
              <w:left w:val="single" w:sz="4" w:space="0" w:color="auto"/>
              <w:bottom w:val="single" w:sz="4" w:space="0" w:color="auto"/>
              <w:right w:val="single" w:sz="4" w:space="0" w:color="auto"/>
            </w:tcBorders>
            <w:hideMark/>
          </w:tcPr>
          <w:p w14:paraId="5EB399BA"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Median (minutes)</w:t>
            </w:r>
          </w:p>
        </w:tc>
        <w:tc>
          <w:tcPr>
            <w:tcW w:w="1432" w:type="pct"/>
            <w:tcBorders>
              <w:top w:val="single" w:sz="4" w:space="0" w:color="auto"/>
              <w:left w:val="single" w:sz="4" w:space="0" w:color="auto"/>
              <w:bottom w:val="single" w:sz="4" w:space="0" w:color="auto"/>
              <w:right w:val="single" w:sz="4" w:space="0" w:color="auto"/>
            </w:tcBorders>
            <w:hideMark/>
          </w:tcPr>
          <w:p w14:paraId="2B1D5BC0" w14:textId="77777777" w:rsidR="00311DF4" w:rsidRPr="002A7948" w:rsidRDefault="00311DF4">
            <w:pPr>
              <w:jc w:val="both"/>
              <w:rPr>
                <w:rFonts w:ascii="Times New Roman" w:hAnsi="Times New Roman" w:cs="Times New Roman"/>
                <w:sz w:val="24"/>
                <w:szCs w:val="24"/>
              </w:rPr>
            </w:pPr>
            <w:r w:rsidRPr="002A7948">
              <w:rPr>
                <w:rFonts w:ascii="Times New Roman" w:eastAsia="Times New Roman" w:hAnsi="Times New Roman" w:cs="Times New Roman"/>
                <w:sz w:val="24"/>
                <w:szCs w:val="24"/>
              </w:rPr>
              <w:t>1.5</w:t>
            </w:r>
          </w:p>
        </w:tc>
        <w:tc>
          <w:tcPr>
            <w:tcW w:w="1432" w:type="pct"/>
            <w:tcBorders>
              <w:top w:val="single" w:sz="4" w:space="0" w:color="auto"/>
              <w:left w:val="single" w:sz="4" w:space="0" w:color="auto"/>
              <w:bottom w:val="single" w:sz="4" w:space="0" w:color="auto"/>
              <w:right w:val="single" w:sz="4" w:space="0" w:color="auto"/>
            </w:tcBorders>
            <w:hideMark/>
          </w:tcPr>
          <w:p w14:paraId="20558CCC" w14:textId="77777777" w:rsidR="00311DF4" w:rsidRPr="002A7948" w:rsidRDefault="00311DF4">
            <w:pPr>
              <w:jc w:val="both"/>
              <w:rPr>
                <w:rFonts w:ascii="Times New Roman" w:hAnsi="Times New Roman" w:cs="Times New Roman"/>
                <w:sz w:val="24"/>
                <w:szCs w:val="24"/>
              </w:rPr>
            </w:pPr>
            <w:r w:rsidRPr="002A7948">
              <w:rPr>
                <w:rFonts w:ascii="Times New Roman" w:eastAsia="Times New Roman" w:hAnsi="Times New Roman" w:cs="Times New Roman"/>
                <w:sz w:val="24"/>
                <w:szCs w:val="24"/>
              </w:rPr>
              <w:t>1.3</w:t>
            </w:r>
          </w:p>
        </w:tc>
        <w:tc>
          <w:tcPr>
            <w:tcW w:w="1432" w:type="pct"/>
            <w:tcBorders>
              <w:top w:val="single" w:sz="4" w:space="0" w:color="auto"/>
              <w:left w:val="single" w:sz="4" w:space="0" w:color="auto"/>
              <w:bottom w:val="single" w:sz="4" w:space="0" w:color="auto"/>
              <w:right w:val="single" w:sz="4" w:space="0" w:color="auto"/>
            </w:tcBorders>
            <w:hideMark/>
          </w:tcPr>
          <w:p w14:paraId="0D0742DB" w14:textId="77777777" w:rsidR="00311DF4" w:rsidRPr="002A7948" w:rsidRDefault="00311DF4">
            <w:pPr>
              <w:jc w:val="both"/>
              <w:rPr>
                <w:rFonts w:ascii="Times New Roman" w:hAnsi="Times New Roman" w:cs="Times New Roman"/>
                <w:sz w:val="24"/>
                <w:szCs w:val="24"/>
              </w:rPr>
            </w:pPr>
            <w:r w:rsidRPr="002A7948">
              <w:rPr>
                <w:rFonts w:ascii="Times New Roman" w:eastAsia="Times New Roman" w:hAnsi="Times New Roman" w:cs="Times New Roman"/>
                <w:sz w:val="24"/>
                <w:szCs w:val="24"/>
              </w:rPr>
              <w:t>1.1</w:t>
            </w:r>
          </w:p>
        </w:tc>
      </w:tr>
      <w:tr w:rsidR="00311DF4" w:rsidRPr="002A7948" w14:paraId="2FBA7479" w14:textId="77777777" w:rsidTr="002A7948">
        <w:tc>
          <w:tcPr>
            <w:tcW w:w="705" w:type="pct"/>
            <w:tcBorders>
              <w:top w:val="single" w:sz="4" w:space="0" w:color="auto"/>
              <w:left w:val="single" w:sz="4" w:space="0" w:color="auto"/>
              <w:bottom w:val="single" w:sz="4" w:space="0" w:color="auto"/>
              <w:right w:val="single" w:sz="4" w:space="0" w:color="auto"/>
            </w:tcBorders>
            <w:hideMark/>
          </w:tcPr>
          <w:p w14:paraId="1343511B" w14:textId="77777777" w:rsidR="00311DF4" w:rsidRPr="002A7948" w:rsidRDefault="00311DF4">
            <w:pPr>
              <w:jc w:val="both"/>
              <w:rPr>
                <w:rFonts w:ascii="Times New Roman" w:eastAsia="Times New Roman" w:hAnsi="Times New Roman" w:cs="Times New Roman"/>
                <w:sz w:val="24"/>
                <w:szCs w:val="24"/>
              </w:rPr>
            </w:pPr>
            <w:r w:rsidRPr="002A7948">
              <w:rPr>
                <w:rFonts w:ascii="Times New Roman" w:eastAsia="Times New Roman" w:hAnsi="Times New Roman" w:cs="Times New Roman"/>
                <w:sz w:val="24"/>
                <w:szCs w:val="24"/>
              </w:rPr>
              <w:t>Range</w:t>
            </w:r>
          </w:p>
        </w:tc>
        <w:tc>
          <w:tcPr>
            <w:tcW w:w="1432" w:type="pct"/>
            <w:tcBorders>
              <w:top w:val="single" w:sz="4" w:space="0" w:color="auto"/>
              <w:left w:val="single" w:sz="4" w:space="0" w:color="auto"/>
              <w:bottom w:val="single" w:sz="4" w:space="0" w:color="auto"/>
              <w:right w:val="single" w:sz="4" w:space="0" w:color="auto"/>
            </w:tcBorders>
            <w:hideMark/>
          </w:tcPr>
          <w:p w14:paraId="188B2D90" w14:textId="77777777" w:rsidR="00311DF4" w:rsidRPr="002A7948" w:rsidRDefault="00311DF4">
            <w:pPr>
              <w:jc w:val="both"/>
              <w:rPr>
                <w:rFonts w:ascii="Times New Roman" w:hAnsi="Times New Roman" w:cs="Times New Roman"/>
                <w:sz w:val="24"/>
                <w:szCs w:val="24"/>
              </w:rPr>
            </w:pPr>
            <w:r w:rsidRPr="002A7948">
              <w:rPr>
                <w:rFonts w:ascii="Times New Roman" w:eastAsia="Times New Roman" w:hAnsi="Times New Roman" w:cs="Times New Roman"/>
                <w:sz w:val="24"/>
                <w:szCs w:val="24"/>
              </w:rPr>
              <w:t>0.5-14.3</w:t>
            </w:r>
          </w:p>
        </w:tc>
        <w:tc>
          <w:tcPr>
            <w:tcW w:w="1432" w:type="pct"/>
            <w:tcBorders>
              <w:top w:val="single" w:sz="4" w:space="0" w:color="auto"/>
              <w:left w:val="single" w:sz="4" w:space="0" w:color="auto"/>
              <w:bottom w:val="single" w:sz="4" w:space="0" w:color="auto"/>
              <w:right w:val="single" w:sz="4" w:space="0" w:color="auto"/>
            </w:tcBorders>
            <w:hideMark/>
          </w:tcPr>
          <w:p w14:paraId="2E5F9BFF" w14:textId="77777777" w:rsidR="00311DF4" w:rsidRPr="002A7948" w:rsidRDefault="00311DF4">
            <w:pPr>
              <w:jc w:val="both"/>
              <w:rPr>
                <w:rFonts w:ascii="Times New Roman" w:hAnsi="Times New Roman" w:cs="Times New Roman"/>
                <w:sz w:val="24"/>
                <w:szCs w:val="24"/>
              </w:rPr>
            </w:pPr>
            <w:r w:rsidRPr="002A7948">
              <w:rPr>
                <w:rFonts w:ascii="Times New Roman" w:eastAsia="Times New Roman" w:hAnsi="Times New Roman" w:cs="Times New Roman"/>
                <w:sz w:val="24"/>
                <w:szCs w:val="24"/>
              </w:rPr>
              <w:t>0.5-6.2</w:t>
            </w:r>
          </w:p>
        </w:tc>
        <w:tc>
          <w:tcPr>
            <w:tcW w:w="1432" w:type="pct"/>
            <w:tcBorders>
              <w:top w:val="single" w:sz="4" w:space="0" w:color="auto"/>
              <w:left w:val="single" w:sz="4" w:space="0" w:color="auto"/>
              <w:bottom w:val="single" w:sz="4" w:space="0" w:color="auto"/>
              <w:right w:val="single" w:sz="4" w:space="0" w:color="auto"/>
            </w:tcBorders>
            <w:hideMark/>
          </w:tcPr>
          <w:p w14:paraId="24F03F55" w14:textId="77777777" w:rsidR="00311DF4" w:rsidRPr="002A7948" w:rsidRDefault="00311DF4">
            <w:pPr>
              <w:jc w:val="both"/>
              <w:rPr>
                <w:rFonts w:ascii="Times New Roman" w:hAnsi="Times New Roman" w:cs="Times New Roman"/>
                <w:sz w:val="24"/>
                <w:szCs w:val="24"/>
              </w:rPr>
            </w:pPr>
            <w:r w:rsidRPr="002A7948">
              <w:rPr>
                <w:rFonts w:ascii="Times New Roman" w:eastAsia="Times New Roman" w:hAnsi="Times New Roman" w:cs="Times New Roman"/>
                <w:sz w:val="24"/>
                <w:szCs w:val="24"/>
              </w:rPr>
              <w:t>0.5-3.3</w:t>
            </w:r>
          </w:p>
        </w:tc>
      </w:tr>
    </w:tbl>
    <w:p w14:paraId="1F132292" w14:textId="77777777" w:rsidR="00311DF4" w:rsidRPr="002A7948" w:rsidRDefault="00311DF4" w:rsidP="00311DF4">
      <w:pPr>
        <w:jc w:val="both"/>
        <w:rPr>
          <w:sz w:val="24"/>
          <w:szCs w:val="24"/>
          <w:lang w:val="en-GB" w:eastAsia="en-US"/>
        </w:rPr>
      </w:pPr>
    </w:p>
    <w:p w14:paraId="3C2201FF" w14:textId="77777777" w:rsidR="00311DF4" w:rsidRPr="002A7948" w:rsidRDefault="00311DF4" w:rsidP="002A7948">
      <w:pPr>
        <w:autoSpaceDE w:val="0"/>
        <w:autoSpaceDN w:val="0"/>
        <w:adjustRightInd w:val="0"/>
        <w:ind w:left="851"/>
        <w:rPr>
          <w:i/>
          <w:iCs/>
          <w:sz w:val="24"/>
          <w:szCs w:val="24"/>
        </w:rPr>
      </w:pPr>
      <w:proofErr w:type="spellStart"/>
      <w:r w:rsidRPr="002A7948">
        <w:rPr>
          <w:i/>
          <w:iCs/>
          <w:sz w:val="24"/>
          <w:szCs w:val="24"/>
        </w:rPr>
        <w:t>Renal</w:t>
      </w:r>
      <w:proofErr w:type="spellEnd"/>
      <w:r w:rsidRPr="002A7948">
        <w:rPr>
          <w:i/>
          <w:iCs/>
          <w:sz w:val="24"/>
          <w:szCs w:val="24"/>
        </w:rPr>
        <w:t xml:space="preserve"> </w:t>
      </w:r>
      <w:proofErr w:type="spellStart"/>
      <w:r w:rsidRPr="002A7948">
        <w:rPr>
          <w:i/>
          <w:iCs/>
          <w:sz w:val="24"/>
          <w:szCs w:val="24"/>
        </w:rPr>
        <w:t>impairment</w:t>
      </w:r>
      <w:proofErr w:type="spellEnd"/>
      <w:r w:rsidRPr="002A7948">
        <w:rPr>
          <w:i/>
          <w:iCs/>
          <w:sz w:val="24"/>
          <w:szCs w:val="24"/>
        </w:rPr>
        <w:t>:</w:t>
      </w:r>
    </w:p>
    <w:p w14:paraId="7FB36DFF"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Two open label studies compared the efficacy and safety of </w:t>
      </w:r>
      <w:proofErr w:type="spellStart"/>
      <w:r w:rsidRPr="002A7948">
        <w:rPr>
          <w:sz w:val="24"/>
          <w:szCs w:val="24"/>
          <w:lang w:val="en-US"/>
        </w:rPr>
        <w:t>sugammadex</w:t>
      </w:r>
      <w:proofErr w:type="spellEnd"/>
      <w:r w:rsidRPr="002A7948">
        <w:rPr>
          <w:sz w:val="24"/>
          <w:szCs w:val="24"/>
          <w:lang w:val="en-US"/>
        </w:rPr>
        <w:t xml:space="preserve"> in surgical patients with and without severe renal impairment. In one study, </w:t>
      </w:r>
      <w:proofErr w:type="spellStart"/>
      <w:r w:rsidRPr="002A7948">
        <w:rPr>
          <w:sz w:val="24"/>
          <w:szCs w:val="24"/>
          <w:lang w:val="en-US"/>
        </w:rPr>
        <w:t>sugammadex</w:t>
      </w:r>
      <w:proofErr w:type="spellEnd"/>
      <w:r w:rsidRPr="002A7948">
        <w:rPr>
          <w:sz w:val="24"/>
          <w:szCs w:val="24"/>
          <w:lang w:val="en-US"/>
        </w:rPr>
        <w:t xml:space="preserve"> was administered following rocuronium induced blockade at 1-2 PTCs (4 mg/kg; N=68); in the other study, </w:t>
      </w:r>
      <w:proofErr w:type="spellStart"/>
      <w:r w:rsidRPr="002A7948">
        <w:rPr>
          <w:sz w:val="24"/>
          <w:szCs w:val="24"/>
          <w:lang w:val="en-US"/>
        </w:rPr>
        <w:t>sugammadex</w:t>
      </w:r>
      <w:proofErr w:type="spellEnd"/>
      <w:r w:rsidRPr="002A7948">
        <w:rPr>
          <w:sz w:val="24"/>
          <w:szCs w:val="24"/>
          <w:lang w:val="en-US"/>
        </w:rPr>
        <w:t xml:space="preserve"> was administered at reappearance of T</w:t>
      </w:r>
      <w:r w:rsidRPr="002A7948">
        <w:rPr>
          <w:sz w:val="24"/>
          <w:szCs w:val="24"/>
          <w:vertAlign w:val="subscript"/>
          <w:lang w:val="en-US"/>
        </w:rPr>
        <w:t>2</w:t>
      </w:r>
      <w:r w:rsidRPr="002A7948">
        <w:rPr>
          <w:sz w:val="24"/>
          <w:szCs w:val="24"/>
          <w:lang w:val="en-US"/>
        </w:rPr>
        <w:t xml:space="preserve"> (2 mg/kg; N=30). Recovery from blockade was modestly longer for patients with severe renal impairment relative to patients without renal impairment. No residual neuromuscular blockade or recurrence of neuromuscular blockade was reported for patients with severe renal impairment in these studies.</w:t>
      </w:r>
    </w:p>
    <w:p w14:paraId="218FD217" w14:textId="77777777" w:rsidR="00311DF4" w:rsidRPr="002A7948" w:rsidRDefault="00311DF4" w:rsidP="002A7948">
      <w:pPr>
        <w:autoSpaceDE w:val="0"/>
        <w:autoSpaceDN w:val="0"/>
        <w:adjustRightInd w:val="0"/>
        <w:ind w:left="851"/>
        <w:rPr>
          <w:sz w:val="24"/>
          <w:szCs w:val="24"/>
          <w:lang w:val="en-US"/>
        </w:rPr>
      </w:pPr>
    </w:p>
    <w:p w14:paraId="257B78F9" w14:textId="77777777" w:rsidR="00311DF4" w:rsidRPr="002A7948" w:rsidRDefault="00311DF4" w:rsidP="002A7948">
      <w:pPr>
        <w:autoSpaceDE w:val="0"/>
        <w:autoSpaceDN w:val="0"/>
        <w:adjustRightInd w:val="0"/>
        <w:ind w:left="851"/>
        <w:rPr>
          <w:i/>
          <w:iCs/>
          <w:sz w:val="24"/>
          <w:szCs w:val="24"/>
          <w:lang w:val="en-US"/>
        </w:rPr>
      </w:pPr>
      <w:r w:rsidRPr="002A7948">
        <w:rPr>
          <w:i/>
          <w:iCs/>
          <w:sz w:val="24"/>
          <w:szCs w:val="24"/>
          <w:lang w:val="en-US"/>
        </w:rPr>
        <w:t>Morbidly obese patients:</w:t>
      </w:r>
    </w:p>
    <w:p w14:paraId="0CDCC047"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A trial of 188 patients who were diagnosed as morbidly obese investigated the time to recovery from moderate or deep neuromuscular blockade induced by rocuronium or vecuronium. Patients received 2 mg/kg or 4 mg/kg </w:t>
      </w:r>
      <w:proofErr w:type="spellStart"/>
      <w:r w:rsidRPr="002A7948">
        <w:rPr>
          <w:sz w:val="24"/>
          <w:szCs w:val="24"/>
          <w:lang w:val="en-US"/>
        </w:rPr>
        <w:t>sugammadex</w:t>
      </w:r>
      <w:proofErr w:type="spellEnd"/>
      <w:r w:rsidRPr="002A7948">
        <w:rPr>
          <w:sz w:val="24"/>
          <w:szCs w:val="24"/>
          <w:lang w:val="en-US"/>
        </w:rPr>
        <w:t>, as appropriate for level of block, dosed according to either actual body weight or ideal body weight in random, double-blinded fashion. Pooled across depth of block and neuromuscular blocking agent, the median time to recover to a train-of-four (TOF) ratio ≥ 0.9 in patients dosed by actual body weight (1.8 minutes) was statistically significantly faster (p &lt; 0.0001) compared to patients dosed by ideal body weight (3.3 minutes).</w:t>
      </w:r>
    </w:p>
    <w:p w14:paraId="0BC912C7" w14:textId="77777777" w:rsidR="00311DF4" w:rsidRPr="002A7948" w:rsidRDefault="00311DF4" w:rsidP="002A7948">
      <w:pPr>
        <w:ind w:left="851"/>
        <w:rPr>
          <w:sz w:val="24"/>
          <w:szCs w:val="24"/>
          <w:lang w:val="en-US"/>
        </w:rPr>
      </w:pPr>
    </w:p>
    <w:p w14:paraId="3BE20B80" w14:textId="77777777" w:rsidR="00311DF4" w:rsidRPr="002A7948" w:rsidRDefault="00311DF4" w:rsidP="002A7948">
      <w:pPr>
        <w:ind w:left="851"/>
        <w:rPr>
          <w:i/>
          <w:iCs/>
          <w:sz w:val="24"/>
          <w:szCs w:val="24"/>
          <w:lang w:val="en-US"/>
        </w:rPr>
      </w:pPr>
      <w:r w:rsidRPr="002A7948">
        <w:rPr>
          <w:i/>
          <w:iCs/>
          <w:sz w:val="24"/>
          <w:szCs w:val="24"/>
          <w:lang w:val="en-US"/>
        </w:rPr>
        <w:t>Paediatric Population:</w:t>
      </w:r>
    </w:p>
    <w:p w14:paraId="69DFF19C" w14:textId="77777777" w:rsidR="00311DF4" w:rsidRPr="002A7948" w:rsidRDefault="00311DF4" w:rsidP="002A7948">
      <w:pPr>
        <w:ind w:left="851"/>
        <w:rPr>
          <w:sz w:val="24"/>
          <w:szCs w:val="24"/>
          <w:lang w:val="en-US"/>
        </w:rPr>
      </w:pPr>
    </w:p>
    <w:p w14:paraId="4F44CBC8" w14:textId="77777777" w:rsidR="00311DF4" w:rsidRPr="002A7948" w:rsidRDefault="00311DF4" w:rsidP="002A7948">
      <w:pPr>
        <w:ind w:left="851"/>
        <w:rPr>
          <w:sz w:val="24"/>
          <w:szCs w:val="24"/>
          <w:lang w:val="en-US"/>
        </w:rPr>
      </w:pPr>
      <w:r w:rsidRPr="002A7948">
        <w:rPr>
          <w:sz w:val="24"/>
          <w:szCs w:val="24"/>
          <w:lang w:val="en-US"/>
        </w:rPr>
        <w:t xml:space="preserve">A trial of 288 patients aged 2 to &lt; 17 years investigated the safety and efficacy of </w:t>
      </w:r>
      <w:proofErr w:type="spellStart"/>
      <w:r w:rsidRPr="002A7948">
        <w:rPr>
          <w:sz w:val="24"/>
          <w:szCs w:val="24"/>
          <w:lang w:val="en-US"/>
        </w:rPr>
        <w:t>sugammadex</w:t>
      </w:r>
      <w:proofErr w:type="spellEnd"/>
      <w:r w:rsidRPr="002A7948">
        <w:rPr>
          <w:sz w:val="24"/>
          <w:szCs w:val="24"/>
          <w:lang w:val="en-US"/>
        </w:rPr>
        <w:t xml:space="preserve"> versus neostigmine as a reversal agent for neuromuscular blockade induced by rocuronium or vecuronium. Recovery from moderate block to a TOF ratio of ≥ 0.9 was significantly faster in the </w:t>
      </w:r>
      <w:proofErr w:type="spellStart"/>
      <w:r w:rsidRPr="002A7948">
        <w:rPr>
          <w:sz w:val="24"/>
          <w:szCs w:val="24"/>
          <w:lang w:val="en-US"/>
        </w:rPr>
        <w:t>sugammadex</w:t>
      </w:r>
      <w:proofErr w:type="spellEnd"/>
      <w:r w:rsidRPr="002A7948">
        <w:rPr>
          <w:sz w:val="24"/>
          <w:szCs w:val="24"/>
          <w:lang w:val="en-US"/>
        </w:rPr>
        <w:t xml:space="preserve"> 2 mg/kg group compared with the neostigmine group (geometric mean of 1.6 minutes for </w:t>
      </w:r>
      <w:proofErr w:type="spellStart"/>
      <w:r w:rsidRPr="002A7948">
        <w:rPr>
          <w:sz w:val="24"/>
          <w:szCs w:val="24"/>
          <w:lang w:val="en-US"/>
        </w:rPr>
        <w:t>sugammadex</w:t>
      </w:r>
      <w:proofErr w:type="spellEnd"/>
      <w:r w:rsidRPr="002A7948">
        <w:rPr>
          <w:sz w:val="24"/>
          <w:szCs w:val="24"/>
          <w:lang w:val="en-US"/>
        </w:rPr>
        <w:t xml:space="preserve"> 2 mg/kg and 7.5 minutes for neostigmine, ratio of geometric means 0.22, 95 % CI (0.16, 0.32), (p&lt;0.0001)). </w:t>
      </w:r>
      <w:proofErr w:type="spellStart"/>
      <w:r w:rsidRPr="002A7948">
        <w:rPr>
          <w:sz w:val="24"/>
          <w:szCs w:val="24"/>
          <w:lang w:val="en-US"/>
        </w:rPr>
        <w:t>Sugammadex</w:t>
      </w:r>
      <w:proofErr w:type="spellEnd"/>
      <w:r w:rsidRPr="002A7948">
        <w:rPr>
          <w:sz w:val="24"/>
          <w:szCs w:val="24"/>
          <w:lang w:val="en-US"/>
        </w:rPr>
        <w:t xml:space="preserve"> 4 mg/kg achieved reversal from deep block with a geometric mean of 2.0 minutes, similar to results observed in adults. These effects were consistent for all age cohorts studied (2 to &lt; 6; 6 to &lt; 12; 12 to &lt; 17 years of age) and for both rocuronium and vecuronium. See section 4.2</w:t>
      </w:r>
    </w:p>
    <w:p w14:paraId="1D4A96E4" w14:textId="77777777" w:rsidR="00311DF4" w:rsidRPr="002A7948" w:rsidRDefault="00311DF4" w:rsidP="002A7948">
      <w:pPr>
        <w:ind w:left="851"/>
        <w:rPr>
          <w:sz w:val="24"/>
          <w:szCs w:val="24"/>
          <w:lang w:val="en-US"/>
        </w:rPr>
      </w:pPr>
    </w:p>
    <w:p w14:paraId="518B7D7F" w14:textId="77777777" w:rsidR="00311DF4" w:rsidRPr="002A7948" w:rsidRDefault="00311DF4" w:rsidP="002A7948">
      <w:pPr>
        <w:ind w:left="851"/>
        <w:rPr>
          <w:i/>
          <w:sz w:val="24"/>
          <w:szCs w:val="24"/>
          <w:lang w:val="en-US"/>
        </w:rPr>
      </w:pPr>
      <w:r w:rsidRPr="002A7948">
        <w:rPr>
          <w:i/>
          <w:sz w:val="24"/>
          <w:szCs w:val="24"/>
          <w:lang w:val="en-US"/>
        </w:rPr>
        <w:t>Patients with severe systemic disease:</w:t>
      </w:r>
    </w:p>
    <w:p w14:paraId="6F5A54B7" w14:textId="77777777" w:rsidR="00311DF4" w:rsidRPr="002A7948" w:rsidRDefault="00311DF4" w:rsidP="002A7948">
      <w:pPr>
        <w:ind w:left="851"/>
        <w:rPr>
          <w:sz w:val="24"/>
          <w:szCs w:val="24"/>
          <w:lang w:val="en-US"/>
        </w:rPr>
      </w:pPr>
      <w:r w:rsidRPr="002A7948">
        <w:rPr>
          <w:sz w:val="24"/>
          <w:szCs w:val="24"/>
          <w:lang w:val="en-US"/>
        </w:rPr>
        <w:t xml:space="preserve">A trial of 331 patients who were assessed as ASA Class 3 or 4 investigated the incidence of treatment- emergent arrhythmias (sinus bradycardia, sinus tachycardia, or other cardiac arrhythmias) after administration of </w:t>
      </w:r>
      <w:proofErr w:type="spellStart"/>
      <w:r w:rsidRPr="002A7948">
        <w:rPr>
          <w:sz w:val="24"/>
          <w:szCs w:val="24"/>
          <w:lang w:val="en-US"/>
        </w:rPr>
        <w:t>sugammadex</w:t>
      </w:r>
      <w:proofErr w:type="spellEnd"/>
      <w:r w:rsidRPr="002A7948">
        <w:rPr>
          <w:sz w:val="24"/>
          <w:szCs w:val="24"/>
          <w:lang w:val="en-US"/>
        </w:rPr>
        <w:t xml:space="preserve">. </w:t>
      </w:r>
    </w:p>
    <w:p w14:paraId="7770D9AD" w14:textId="7C4FA91E" w:rsidR="00311DF4" w:rsidRPr="002A7948" w:rsidRDefault="00311DF4" w:rsidP="002A7948">
      <w:pPr>
        <w:ind w:left="851"/>
        <w:rPr>
          <w:sz w:val="24"/>
          <w:szCs w:val="24"/>
          <w:lang w:val="en-US"/>
        </w:rPr>
      </w:pPr>
      <w:r w:rsidRPr="002A7948">
        <w:rPr>
          <w:sz w:val="24"/>
          <w:szCs w:val="24"/>
          <w:lang w:val="en-US"/>
        </w:rPr>
        <w:t xml:space="preserve">In patients receiving </w:t>
      </w:r>
      <w:proofErr w:type="spellStart"/>
      <w:r w:rsidRPr="002A7948">
        <w:rPr>
          <w:sz w:val="24"/>
          <w:szCs w:val="24"/>
          <w:lang w:val="en-US"/>
        </w:rPr>
        <w:t>sugammadex</w:t>
      </w:r>
      <w:proofErr w:type="spellEnd"/>
      <w:r w:rsidRPr="002A7948">
        <w:rPr>
          <w:sz w:val="24"/>
          <w:szCs w:val="24"/>
          <w:lang w:val="en-US"/>
        </w:rPr>
        <w:t xml:space="preserve"> (2 mg/kg, 4 mg/kg, or 16 mg/kg), the incidence of treatment-emergent arrhythmias was generally similar to neostigmine (50 µg/kg up to 5 mg </w:t>
      </w:r>
      <w:r w:rsidRPr="002A7948">
        <w:rPr>
          <w:sz w:val="24"/>
          <w:szCs w:val="24"/>
          <w:lang w:val="en-US"/>
        </w:rPr>
        <w:lastRenderedPageBreak/>
        <w:t>maximum dose) + glycopyrrolate (10 µg/kg up to 1 mg maximum dose). The adverse reaction profile in ASA Class 3 and 4 patients was generally similar to that of adult patients in pooled Phase 1 to 3 studies; therefore, no dosage adjustment is necessary. See section 4.8.</w:t>
      </w:r>
    </w:p>
    <w:p w14:paraId="55E876FC" w14:textId="77777777" w:rsidR="007C5D2A" w:rsidRPr="002A7948" w:rsidRDefault="007C5D2A" w:rsidP="003E0341">
      <w:pPr>
        <w:tabs>
          <w:tab w:val="left" w:pos="851"/>
        </w:tabs>
        <w:ind w:left="851"/>
        <w:rPr>
          <w:sz w:val="24"/>
          <w:szCs w:val="24"/>
          <w:lang w:val="en-GB"/>
        </w:rPr>
      </w:pPr>
    </w:p>
    <w:p w14:paraId="52298281" w14:textId="77777777" w:rsidR="007C5D2A" w:rsidRPr="002A7948" w:rsidRDefault="007C5D2A" w:rsidP="007C5D2A">
      <w:pPr>
        <w:tabs>
          <w:tab w:val="left" w:pos="851"/>
        </w:tabs>
        <w:ind w:left="851" w:hanging="851"/>
        <w:rPr>
          <w:b/>
          <w:sz w:val="24"/>
          <w:szCs w:val="24"/>
          <w:lang w:val="en-GB"/>
        </w:rPr>
      </w:pPr>
      <w:r w:rsidRPr="002A7948">
        <w:rPr>
          <w:b/>
          <w:sz w:val="24"/>
          <w:szCs w:val="24"/>
          <w:lang w:val="en-GB"/>
        </w:rPr>
        <w:t>5.2</w:t>
      </w:r>
      <w:r w:rsidRPr="002A7948">
        <w:rPr>
          <w:b/>
          <w:sz w:val="24"/>
          <w:szCs w:val="24"/>
          <w:lang w:val="en-GB"/>
        </w:rPr>
        <w:tab/>
        <w:t>Pharmacokinetic properties</w:t>
      </w:r>
      <w:r w:rsidRPr="002A7948">
        <w:rPr>
          <w:b/>
          <w:sz w:val="24"/>
          <w:szCs w:val="24"/>
          <w:lang w:val="en-GB"/>
        </w:rPr>
        <w:tab/>
      </w:r>
    </w:p>
    <w:p w14:paraId="2A409B21"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The </w:t>
      </w:r>
      <w:proofErr w:type="spellStart"/>
      <w:r w:rsidRPr="002A7948">
        <w:rPr>
          <w:sz w:val="24"/>
          <w:szCs w:val="24"/>
          <w:lang w:val="en-US"/>
        </w:rPr>
        <w:t>sugammadex</w:t>
      </w:r>
      <w:proofErr w:type="spellEnd"/>
      <w:r w:rsidRPr="002A7948">
        <w:rPr>
          <w:sz w:val="24"/>
          <w:szCs w:val="24"/>
          <w:lang w:val="en-US"/>
        </w:rPr>
        <w:t xml:space="preserve"> pharmacokinetic parameters were calculated from the total sum of non-complex bound and complex-bound concentrations of </w:t>
      </w:r>
      <w:proofErr w:type="spellStart"/>
      <w:r w:rsidRPr="002A7948">
        <w:rPr>
          <w:sz w:val="24"/>
          <w:szCs w:val="24"/>
          <w:lang w:val="en-US"/>
        </w:rPr>
        <w:t>sugammadex</w:t>
      </w:r>
      <w:proofErr w:type="spellEnd"/>
      <w:r w:rsidRPr="002A7948">
        <w:rPr>
          <w:sz w:val="24"/>
          <w:szCs w:val="24"/>
          <w:lang w:val="en-US"/>
        </w:rPr>
        <w:t xml:space="preserve">. Pharmacokinetic parameters as clearance and volume of distribution are assumed to be the same for non-complex-bound and complex-bound </w:t>
      </w:r>
      <w:proofErr w:type="spellStart"/>
      <w:r w:rsidRPr="002A7948">
        <w:rPr>
          <w:sz w:val="24"/>
          <w:szCs w:val="24"/>
          <w:lang w:val="en-US"/>
        </w:rPr>
        <w:t>sugammadex</w:t>
      </w:r>
      <w:proofErr w:type="spellEnd"/>
      <w:r w:rsidRPr="002A7948">
        <w:rPr>
          <w:sz w:val="24"/>
          <w:szCs w:val="24"/>
          <w:lang w:val="en-US"/>
        </w:rPr>
        <w:t xml:space="preserve"> in </w:t>
      </w:r>
      <w:proofErr w:type="spellStart"/>
      <w:r w:rsidRPr="002A7948">
        <w:rPr>
          <w:sz w:val="24"/>
          <w:szCs w:val="24"/>
          <w:lang w:val="en-US"/>
        </w:rPr>
        <w:t>anaesthetised</w:t>
      </w:r>
      <w:proofErr w:type="spellEnd"/>
      <w:r w:rsidRPr="002A7948">
        <w:rPr>
          <w:sz w:val="24"/>
          <w:szCs w:val="24"/>
          <w:lang w:val="en-US"/>
        </w:rPr>
        <w:t xml:space="preserve"> subjects.</w:t>
      </w:r>
    </w:p>
    <w:p w14:paraId="0B8C1CB5" w14:textId="77777777" w:rsidR="00311DF4" w:rsidRPr="002A7948" w:rsidRDefault="00311DF4" w:rsidP="002A7948">
      <w:pPr>
        <w:autoSpaceDE w:val="0"/>
        <w:autoSpaceDN w:val="0"/>
        <w:adjustRightInd w:val="0"/>
        <w:ind w:left="851"/>
        <w:rPr>
          <w:sz w:val="24"/>
          <w:szCs w:val="24"/>
          <w:lang w:val="en-US"/>
        </w:rPr>
      </w:pPr>
    </w:p>
    <w:p w14:paraId="1935FC76" w14:textId="77777777" w:rsidR="00311DF4" w:rsidRPr="002A7948" w:rsidRDefault="00311DF4" w:rsidP="002A7948">
      <w:pPr>
        <w:autoSpaceDE w:val="0"/>
        <w:autoSpaceDN w:val="0"/>
        <w:adjustRightInd w:val="0"/>
        <w:ind w:left="851"/>
        <w:rPr>
          <w:sz w:val="24"/>
          <w:szCs w:val="24"/>
          <w:u w:val="single"/>
          <w:lang w:val="en-US"/>
        </w:rPr>
      </w:pPr>
      <w:r w:rsidRPr="002A7948">
        <w:rPr>
          <w:sz w:val="24"/>
          <w:szCs w:val="24"/>
          <w:u w:val="single"/>
          <w:lang w:val="en-US"/>
        </w:rPr>
        <w:t>Distribution:</w:t>
      </w:r>
    </w:p>
    <w:p w14:paraId="4722F0E4"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The observed steady-state volume of distribution of </w:t>
      </w:r>
      <w:proofErr w:type="spellStart"/>
      <w:r w:rsidRPr="002A7948">
        <w:rPr>
          <w:sz w:val="24"/>
          <w:szCs w:val="24"/>
          <w:lang w:val="en-US"/>
        </w:rPr>
        <w:t>sugammadex</w:t>
      </w:r>
      <w:proofErr w:type="spellEnd"/>
      <w:r w:rsidRPr="002A7948">
        <w:rPr>
          <w:sz w:val="24"/>
          <w:szCs w:val="24"/>
          <w:lang w:val="en-US"/>
        </w:rPr>
        <w:t xml:space="preserve"> is approximately 11 to 14 </w:t>
      </w:r>
      <w:proofErr w:type="spellStart"/>
      <w:r w:rsidRPr="002A7948">
        <w:rPr>
          <w:sz w:val="24"/>
          <w:szCs w:val="24"/>
          <w:lang w:val="en-US"/>
        </w:rPr>
        <w:t>litres</w:t>
      </w:r>
      <w:proofErr w:type="spellEnd"/>
      <w:r w:rsidRPr="002A7948">
        <w:rPr>
          <w:sz w:val="24"/>
          <w:szCs w:val="24"/>
          <w:lang w:val="en-US"/>
        </w:rPr>
        <w:t xml:space="preserve"> in adult patients with normal renal function (based on conventional, non-compartmental pharmacokinetic analysis). Neither </w:t>
      </w:r>
      <w:proofErr w:type="spellStart"/>
      <w:r w:rsidRPr="002A7948">
        <w:rPr>
          <w:sz w:val="24"/>
          <w:szCs w:val="24"/>
          <w:lang w:val="en-US"/>
        </w:rPr>
        <w:t>sugammadex</w:t>
      </w:r>
      <w:proofErr w:type="spellEnd"/>
      <w:r w:rsidRPr="002A7948">
        <w:rPr>
          <w:sz w:val="24"/>
          <w:szCs w:val="24"/>
          <w:lang w:val="en-US"/>
        </w:rPr>
        <w:t xml:space="preserve"> nor the complex of </w:t>
      </w:r>
      <w:proofErr w:type="spellStart"/>
      <w:r w:rsidRPr="002A7948">
        <w:rPr>
          <w:sz w:val="24"/>
          <w:szCs w:val="24"/>
          <w:lang w:val="en-US"/>
        </w:rPr>
        <w:t>sugammadex</w:t>
      </w:r>
      <w:proofErr w:type="spellEnd"/>
      <w:r w:rsidRPr="002A7948">
        <w:rPr>
          <w:sz w:val="24"/>
          <w:szCs w:val="24"/>
          <w:lang w:val="en-US"/>
        </w:rPr>
        <w:t xml:space="preserve"> and rocuronium binds to plasma proteins or erythrocytes, as was shown in vitro using male human plasma and whole blood. </w:t>
      </w:r>
      <w:proofErr w:type="spellStart"/>
      <w:r w:rsidRPr="002A7948">
        <w:rPr>
          <w:sz w:val="24"/>
          <w:szCs w:val="24"/>
          <w:lang w:val="en-US"/>
        </w:rPr>
        <w:t>Sugammadex</w:t>
      </w:r>
      <w:proofErr w:type="spellEnd"/>
      <w:r w:rsidRPr="002A7948">
        <w:rPr>
          <w:sz w:val="24"/>
          <w:szCs w:val="24"/>
          <w:lang w:val="en-US"/>
        </w:rPr>
        <w:t xml:space="preserve"> exhibits linear kinetics in the dosage range of 1 to 16 mg/kg when administered as an IV bolus dose.</w:t>
      </w:r>
    </w:p>
    <w:p w14:paraId="2280333F" w14:textId="77777777" w:rsidR="00311DF4" w:rsidRPr="002A7948" w:rsidRDefault="00311DF4" w:rsidP="002A7948">
      <w:pPr>
        <w:autoSpaceDE w:val="0"/>
        <w:autoSpaceDN w:val="0"/>
        <w:adjustRightInd w:val="0"/>
        <w:ind w:left="851"/>
        <w:rPr>
          <w:sz w:val="24"/>
          <w:szCs w:val="24"/>
          <w:lang w:val="en-US"/>
        </w:rPr>
      </w:pPr>
    </w:p>
    <w:p w14:paraId="2B3AB840" w14:textId="77777777" w:rsidR="00311DF4" w:rsidRPr="002A7948" w:rsidRDefault="00311DF4" w:rsidP="002A7948">
      <w:pPr>
        <w:autoSpaceDE w:val="0"/>
        <w:autoSpaceDN w:val="0"/>
        <w:adjustRightInd w:val="0"/>
        <w:ind w:left="851"/>
        <w:rPr>
          <w:sz w:val="24"/>
          <w:szCs w:val="24"/>
          <w:u w:val="single"/>
          <w:lang w:val="en-US"/>
        </w:rPr>
      </w:pPr>
      <w:r w:rsidRPr="002A7948">
        <w:rPr>
          <w:sz w:val="24"/>
          <w:szCs w:val="24"/>
          <w:u w:val="single"/>
          <w:lang w:val="en-US"/>
        </w:rPr>
        <w:t>Metabolism:</w:t>
      </w:r>
    </w:p>
    <w:p w14:paraId="5A1AE716" w14:textId="07662FED"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In preclinical and clinical studies no metabolites of </w:t>
      </w:r>
      <w:proofErr w:type="spellStart"/>
      <w:r w:rsidRPr="002A7948">
        <w:rPr>
          <w:sz w:val="24"/>
          <w:szCs w:val="24"/>
          <w:lang w:val="en-US"/>
        </w:rPr>
        <w:t>sugammadex</w:t>
      </w:r>
      <w:proofErr w:type="spellEnd"/>
      <w:r w:rsidRPr="002A7948">
        <w:rPr>
          <w:sz w:val="24"/>
          <w:szCs w:val="24"/>
          <w:lang w:val="en-US"/>
        </w:rPr>
        <w:t xml:space="preserve"> have been observed and only renal</w:t>
      </w:r>
      <w:r w:rsidR="001C0E54">
        <w:rPr>
          <w:sz w:val="24"/>
          <w:szCs w:val="24"/>
          <w:lang w:val="en-US"/>
        </w:rPr>
        <w:t xml:space="preserve"> </w:t>
      </w:r>
      <w:r w:rsidRPr="002A7948">
        <w:rPr>
          <w:sz w:val="24"/>
          <w:szCs w:val="24"/>
          <w:lang w:val="en-US"/>
        </w:rPr>
        <w:t>excretion of the unchanged product was observed as the route of elimination.</w:t>
      </w:r>
    </w:p>
    <w:p w14:paraId="55201F4B" w14:textId="77777777" w:rsidR="00311DF4" w:rsidRPr="002A7948" w:rsidRDefault="00311DF4" w:rsidP="002A7948">
      <w:pPr>
        <w:autoSpaceDE w:val="0"/>
        <w:autoSpaceDN w:val="0"/>
        <w:adjustRightInd w:val="0"/>
        <w:ind w:left="851"/>
        <w:rPr>
          <w:sz w:val="24"/>
          <w:szCs w:val="24"/>
          <w:lang w:val="en-US"/>
        </w:rPr>
      </w:pPr>
    </w:p>
    <w:p w14:paraId="4C5D5417" w14:textId="77777777" w:rsidR="00311DF4" w:rsidRPr="002A7948" w:rsidRDefault="00311DF4" w:rsidP="002A7948">
      <w:pPr>
        <w:autoSpaceDE w:val="0"/>
        <w:autoSpaceDN w:val="0"/>
        <w:adjustRightInd w:val="0"/>
        <w:ind w:left="851"/>
        <w:rPr>
          <w:sz w:val="24"/>
          <w:szCs w:val="24"/>
          <w:u w:val="single"/>
          <w:lang w:val="en-US"/>
        </w:rPr>
      </w:pPr>
      <w:r w:rsidRPr="002A7948">
        <w:rPr>
          <w:sz w:val="24"/>
          <w:szCs w:val="24"/>
          <w:u w:val="single"/>
          <w:lang w:val="en-US"/>
        </w:rPr>
        <w:t>Elimination:</w:t>
      </w:r>
    </w:p>
    <w:p w14:paraId="650B6EE4" w14:textId="3A3148AA"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In adult anaesthetized patients with normal renal function the elimination half-life (t1/2) of </w:t>
      </w:r>
      <w:proofErr w:type="spellStart"/>
      <w:r w:rsidRPr="002A7948">
        <w:rPr>
          <w:sz w:val="24"/>
          <w:szCs w:val="24"/>
          <w:lang w:val="en-US"/>
        </w:rPr>
        <w:t>sugammadex</w:t>
      </w:r>
      <w:proofErr w:type="spellEnd"/>
      <w:r w:rsidRPr="002A7948">
        <w:rPr>
          <w:sz w:val="24"/>
          <w:szCs w:val="24"/>
          <w:lang w:val="en-US"/>
        </w:rPr>
        <w:t xml:space="preserve"> is about 2 hours and the estimated plasma clearance is about 88 mL/min. A mass balance study demonstrated that &gt; 90% of the dose was excreted within 24 hours. 96% of the dose was excreted in urine, of which at least 95% could be attributed to unchanged </w:t>
      </w:r>
      <w:proofErr w:type="spellStart"/>
      <w:r w:rsidRPr="002A7948">
        <w:rPr>
          <w:sz w:val="24"/>
          <w:szCs w:val="24"/>
          <w:lang w:val="en-US"/>
        </w:rPr>
        <w:t>sugammadex</w:t>
      </w:r>
      <w:proofErr w:type="spellEnd"/>
      <w:r w:rsidRPr="002A7948">
        <w:rPr>
          <w:sz w:val="24"/>
          <w:szCs w:val="24"/>
          <w:lang w:val="en-US"/>
        </w:rPr>
        <w:t xml:space="preserve">. Excretion via </w:t>
      </w:r>
      <w:proofErr w:type="spellStart"/>
      <w:r w:rsidRPr="002A7948">
        <w:rPr>
          <w:sz w:val="24"/>
          <w:szCs w:val="24"/>
          <w:lang w:val="en-US"/>
        </w:rPr>
        <w:t>faeces</w:t>
      </w:r>
      <w:proofErr w:type="spellEnd"/>
      <w:r w:rsidRPr="002A7948">
        <w:rPr>
          <w:sz w:val="24"/>
          <w:szCs w:val="24"/>
          <w:lang w:val="en-US"/>
        </w:rPr>
        <w:t xml:space="preserve"> or expired air was less than 0.02% of the dose. Administration of </w:t>
      </w:r>
      <w:proofErr w:type="spellStart"/>
      <w:r w:rsidRPr="002A7948">
        <w:rPr>
          <w:sz w:val="24"/>
          <w:szCs w:val="24"/>
          <w:lang w:val="en-US"/>
        </w:rPr>
        <w:t>sugammadex</w:t>
      </w:r>
      <w:proofErr w:type="spellEnd"/>
      <w:r w:rsidRPr="002A7948">
        <w:rPr>
          <w:sz w:val="24"/>
          <w:szCs w:val="24"/>
          <w:lang w:val="en-US"/>
        </w:rPr>
        <w:t xml:space="preserve"> to healthy</w:t>
      </w:r>
      <w:r w:rsidR="001C0E54">
        <w:rPr>
          <w:sz w:val="24"/>
          <w:szCs w:val="24"/>
          <w:lang w:val="en-US"/>
        </w:rPr>
        <w:t xml:space="preserve"> </w:t>
      </w:r>
      <w:r w:rsidRPr="002A7948">
        <w:rPr>
          <w:sz w:val="24"/>
          <w:szCs w:val="24"/>
          <w:lang w:val="en-US"/>
        </w:rPr>
        <w:t>volunteers resulted in increased renal elimination of rocuronium in complex.</w:t>
      </w:r>
    </w:p>
    <w:p w14:paraId="02AA1DD0" w14:textId="77777777" w:rsidR="00311DF4" w:rsidRPr="002A7948" w:rsidRDefault="00311DF4" w:rsidP="002A7948">
      <w:pPr>
        <w:autoSpaceDE w:val="0"/>
        <w:autoSpaceDN w:val="0"/>
        <w:adjustRightInd w:val="0"/>
        <w:ind w:left="851"/>
        <w:rPr>
          <w:sz w:val="24"/>
          <w:szCs w:val="24"/>
          <w:lang w:val="en-US"/>
        </w:rPr>
      </w:pPr>
    </w:p>
    <w:p w14:paraId="53466723" w14:textId="77777777" w:rsidR="00311DF4" w:rsidRPr="002A7948" w:rsidRDefault="00311DF4" w:rsidP="002A7948">
      <w:pPr>
        <w:autoSpaceDE w:val="0"/>
        <w:autoSpaceDN w:val="0"/>
        <w:adjustRightInd w:val="0"/>
        <w:ind w:left="851"/>
        <w:rPr>
          <w:i/>
          <w:iCs/>
          <w:sz w:val="24"/>
          <w:szCs w:val="24"/>
          <w:lang w:val="en-US"/>
        </w:rPr>
      </w:pPr>
      <w:r w:rsidRPr="002A7948">
        <w:rPr>
          <w:i/>
          <w:iCs/>
          <w:sz w:val="24"/>
          <w:szCs w:val="24"/>
          <w:lang w:val="en-US"/>
        </w:rPr>
        <w:t>Special populations:</w:t>
      </w:r>
    </w:p>
    <w:p w14:paraId="4EEF9ADC" w14:textId="77777777" w:rsidR="00311DF4" w:rsidRPr="002A7948" w:rsidRDefault="00311DF4" w:rsidP="002A7948">
      <w:pPr>
        <w:autoSpaceDE w:val="0"/>
        <w:autoSpaceDN w:val="0"/>
        <w:adjustRightInd w:val="0"/>
        <w:ind w:left="851"/>
        <w:rPr>
          <w:i/>
          <w:iCs/>
          <w:sz w:val="24"/>
          <w:szCs w:val="24"/>
          <w:lang w:val="en-US"/>
        </w:rPr>
      </w:pPr>
    </w:p>
    <w:p w14:paraId="5914BF0A" w14:textId="77777777" w:rsidR="00311DF4" w:rsidRPr="002A7948" w:rsidRDefault="00311DF4" w:rsidP="002A7948">
      <w:pPr>
        <w:autoSpaceDE w:val="0"/>
        <w:autoSpaceDN w:val="0"/>
        <w:adjustRightInd w:val="0"/>
        <w:ind w:left="851"/>
        <w:rPr>
          <w:sz w:val="24"/>
          <w:szCs w:val="24"/>
          <w:u w:val="single"/>
          <w:lang w:val="en-US"/>
        </w:rPr>
      </w:pPr>
      <w:r w:rsidRPr="002A7948">
        <w:rPr>
          <w:sz w:val="24"/>
          <w:szCs w:val="24"/>
          <w:u w:val="single"/>
          <w:lang w:val="en-US"/>
        </w:rPr>
        <w:t>Renal impairment and age:</w:t>
      </w:r>
    </w:p>
    <w:p w14:paraId="0BF1C9AA"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In a pharmacokinetic study comparing patients with severe renal impairment to patients with normal renal function, </w:t>
      </w:r>
      <w:proofErr w:type="spellStart"/>
      <w:r w:rsidRPr="002A7948">
        <w:rPr>
          <w:sz w:val="24"/>
          <w:szCs w:val="24"/>
          <w:lang w:val="en-US"/>
        </w:rPr>
        <w:t>sugammadex</w:t>
      </w:r>
      <w:proofErr w:type="spellEnd"/>
      <w:r w:rsidRPr="002A7948">
        <w:rPr>
          <w:sz w:val="24"/>
          <w:szCs w:val="24"/>
          <w:lang w:val="en-US"/>
        </w:rPr>
        <w:t xml:space="preserve"> levels in plasma were similar during the first hour after dosing, and thereafter the levels decreased faster in the control group. Total exposure to </w:t>
      </w:r>
      <w:proofErr w:type="spellStart"/>
      <w:r w:rsidRPr="002A7948">
        <w:rPr>
          <w:sz w:val="24"/>
          <w:szCs w:val="24"/>
          <w:lang w:val="en-US"/>
        </w:rPr>
        <w:t>sugammadex</w:t>
      </w:r>
      <w:proofErr w:type="spellEnd"/>
      <w:r w:rsidRPr="002A7948">
        <w:rPr>
          <w:sz w:val="24"/>
          <w:szCs w:val="24"/>
          <w:lang w:val="en-US"/>
        </w:rPr>
        <w:t xml:space="preserve"> was prolonged, leading to 17-fold higher exposure in patients with severe renal impairment. Low concentrations of </w:t>
      </w:r>
      <w:proofErr w:type="spellStart"/>
      <w:r w:rsidRPr="002A7948">
        <w:rPr>
          <w:sz w:val="24"/>
          <w:szCs w:val="24"/>
          <w:lang w:val="en-US"/>
        </w:rPr>
        <w:t>sugammadex</w:t>
      </w:r>
      <w:proofErr w:type="spellEnd"/>
      <w:r w:rsidRPr="002A7948">
        <w:rPr>
          <w:sz w:val="24"/>
          <w:szCs w:val="24"/>
          <w:lang w:val="en-US"/>
        </w:rPr>
        <w:t xml:space="preserve"> are detectable for at least 48 hours post-dose in patients with severe renal insufficiency.</w:t>
      </w:r>
    </w:p>
    <w:p w14:paraId="55D228DE" w14:textId="77777777" w:rsidR="00311DF4" w:rsidRPr="002A7948" w:rsidRDefault="00311DF4" w:rsidP="002A7948">
      <w:pPr>
        <w:autoSpaceDE w:val="0"/>
        <w:autoSpaceDN w:val="0"/>
        <w:adjustRightInd w:val="0"/>
        <w:ind w:left="851"/>
        <w:rPr>
          <w:sz w:val="24"/>
          <w:szCs w:val="24"/>
          <w:lang w:val="en-US"/>
        </w:rPr>
      </w:pPr>
      <w:r w:rsidRPr="002A7948">
        <w:rPr>
          <w:sz w:val="24"/>
          <w:szCs w:val="24"/>
          <w:lang w:val="en-US"/>
        </w:rPr>
        <w:t xml:space="preserve">In a second study comparing subjects with moderate or severe renal impairment to subjects with normal renal function, </w:t>
      </w:r>
      <w:proofErr w:type="spellStart"/>
      <w:r w:rsidRPr="002A7948">
        <w:rPr>
          <w:sz w:val="24"/>
          <w:szCs w:val="24"/>
          <w:lang w:val="en-US"/>
        </w:rPr>
        <w:t>sugammadex</w:t>
      </w:r>
      <w:proofErr w:type="spellEnd"/>
      <w:r w:rsidRPr="002A7948">
        <w:rPr>
          <w:sz w:val="24"/>
          <w:szCs w:val="24"/>
          <w:lang w:val="en-US"/>
        </w:rPr>
        <w:t xml:space="preserve"> clearance progressively decreased and t1/2 was progressively prolonged with declining renal function. Exposure was 2-fold and 5-fold higher in subjects with moderate and severe renal impairment, respectively. </w:t>
      </w:r>
      <w:proofErr w:type="spellStart"/>
      <w:r w:rsidRPr="002A7948">
        <w:rPr>
          <w:sz w:val="24"/>
          <w:szCs w:val="24"/>
          <w:lang w:val="en-US"/>
        </w:rPr>
        <w:t>Sugammadex</w:t>
      </w:r>
      <w:proofErr w:type="spellEnd"/>
      <w:r w:rsidRPr="002A7948">
        <w:rPr>
          <w:sz w:val="24"/>
          <w:szCs w:val="24"/>
          <w:lang w:val="en-US"/>
        </w:rPr>
        <w:t xml:space="preserve"> concentrations were no longer detectable beyond 7 days post-dose in subjects with severe renal insufficiency.</w:t>
      </w:r>
    </w:p>
    <w:p w14:paraId="7A76A9A2" w14:textId="76493E35" w:rsidR="001C0E54" w:rsidRDefault="001C0E54">
      <w:pPr>
        <w:rPr>
          <w:i/>
          <w:iCs/>
          <w:sz w:val="24"/>
          <w:szCs w:val="24"/>
          <w:lang w:val="en-US"/>
        </w:rPr>
      </w:pPr>
      <w:r>
        <w:rPr>
          <w:i/>
          <w:iCs/>
          <w:sz w:val="24"/>
          <w:szCs w:val="24"/>
          <w:lang w:val="en-US"/>
        </w:rPr>
        <w:br w:type="page"/>
      </w:r>
    </w:p>
    <w:p w14:paraId="72E47069" w14:textId="77777777" w:rsidR="00311DF4" w:rsidRPr="001C0E54" w:rsidRDefault="00311DF4" w:rsidP="001C0E54">
      <w:pPr>
        <w:autoSpaceDE w:val="0"/>
        <w:autoSpaceDN w:val="0"/>
        <w:adjustRightInd w:val="0"/>
        <w:rPr>
          <w:b/>
          <w:i/>
          <w:iCs/>
          <w:sz w:val="24"/>
          <w:szCs w:val="24"/>
          <w:lang w:val="en-US"/>
        </w:rPr>
      </w:pPr>
    </w:p>
    <w:p w14:paraId="355695A7" w14:textId="77777777" w:rsidR="00311DF4" w:rsidRPr="002A7948" w:rsidRDefault="00311DF4" w:rsidP="001C0E54">
      <w:pPr>
        <w:rPr>
          <w:b/>
          <w:bCs/>
          <w:sz w:val="24"/>
          <w:szCs w:val="24"/>
          <w:lang w:val="en-US"/>
        </w:rPr>
      </w:pPr>
      <w:r w:rsidRPr="002A7948">
        <w:rPr>
          <w:b/>
          <w:bCs/>
          <w:sz w:val="24"/>
          <w:szCs w:val="24"/>
          <w:lang w:val="en-US"/>
        </w:rPr>
        <w:t xml:space="preserve">Table 8: A summary of </w:t>
      </w:r>
      <w:proofErr w:type="spellStart"/>
      <w:r w:rsidRPr="002A7948">
        <w:rPr>
          <w:b/>
          <w:bCs/>
          <w:sz w:val="24"/>
          <w:szCs w:val="24"/>
          <w:lang w:val="en-US"/>
        </w:rPr>
        <w:t>sugammadex</w:t>
      </w:r>
      <w:proofErr w:type="spellEnd"/>
      <w:r w:rsidRPr="002A7948">
        <w:rPr>
          <w:b/>
          <w:bCs/>
          <w:sz w:val="24"/>
          <w:szCs w:val="24"/>
          <w:lang w:val="en-US"/>
        </w:rPr>
        <w:t xml:space="preserve"> pharmacokinetic parameters stratified by age and renal function is presented below:</w:t>
      </w:r>
    </w:p>
    <w:p w14:paraId="55B7ED6D" w14:textId="77777777" w:rsidR="00311DF4" w:rsidRPr="002A7948" w:rsidRDefault="00311DF4" w:rsidP="00311DF4">
      <w:pPr>
        <w:autoSpaceDE w:val="0"/>
        <w:autoSpaceDN w:val="0"/>
        <w:adjustRightInd w:val="0"/>
        <w:jc w:val="both"/>
        <w:rPr>
          <w:sz w:val="24"/>
          <w:szCs w:val="24"/>
          <w:lang w:val="en-US"/>
        </w:rPr>
      </w:pPr>
    </w:p>
    <w:tbl>
      <w:tblPr>
        <w:tblpPr w:leftFromText="180" w:rightFromText="180" w:vertAnchor="text" w:tblpY="65"/>
        <w:tblW w:w="5000" w:type="pct"/>
        <w:tblCellMar>
          <w:left w:w="0" w:type="dxa"/>
          <w:right w:w="0" w:type="dxa"/>
        </w:tblCellMar>
        <w:tblLook w:val="04A0" w:firstRow="1" w:lastRow="0" w:firstColumn="1" w:lastColumn="0" w:noHBand="0" w:noVBand="1"/>
      </w:tblPr>
      <w:tblGrid>
        <w:gridCol w:w="1568"/>
        <w:gridCol w:w="1061"/>
        <w:gridCol w:w="1109"/>
        <w:gridCol w:w="570"/>
        <w:gridCol w:w="1623"/>
        <w:gridCol w:w="1760"/>
        <w:gridCol w:w="1937"/>
      </w:tblGrid>
      <w:tr w:rsidR="00311DF4" w:rsidRPr="008B0872" w14:paraId="2634DCCD" w14:textId="77777777" w:rsidTr="002A7948">
        <w:trPr>
          <w:trHeight w:val="431"/>
        </w:trPr>
        <w:tc>
          <w:tcPr>
            <w:tcW w:w="2237" w:type="pct"/>
            <w:gridSpan w:val="4"/>
            <w:tcBorders>
              <w:top w:val="single" w:sz="4" w:space="0" w:color="000000"/>
              <w:left w:val="single" w:sz="4" w:space="0" w:color="000000"/>
              <w:bottom w:val="single" w:sz="4" w:space="0" w:color="000000"/>
              <w:right w:val="single" w:sz="4" w:space="0" w:color="000000"/>
            </w:tcBorders>
            <w:hideMark/>
          </w:tcPr>
          <w:p w14:paraId="0C1C4C90" w14:textId="77777777" w:rsidR="00311DF4" w:rsidRPr="001C0E54" w:rsidRDefault="00311DF4">
            <w:pPr>
              <w:pStyle w:val="TableParagraph"/>
              <w:kinsoku w:val="0"/>
              <w:overflowPunct w:val="0"/>
              <w:spacing w:before="87"/>
              <w:ind w:left="602"/>
              <w:jc w:val="both"/>
              <w:rPr>
                <w:b/>
                <w:bCs/>
                <w:sz w:val="22"/>
                <w:szCs w:val="22"/>
              </w:rPr>
            </w:pPr>
            <w:r w:rsidRPr="001C0E54">
              <w:rPr>
                <w:b/>
                <w:bCs/>
                <w:sz w:val="22"/>
                <w:szCs w:val="22"/>
              </w:rPr>
              <w:t>Selected</w:t>
            </w:r>
            <w:r w:rsidRPr="001C0E54">
              <w:rPr>
                <w:b/>
                <w:bCs/>
                <w:spacing w:val="-7"/>
                <w:sz w:val="22"/>
                <w:szCs w:val="22"/>
              </w:rPr>
              <w:t xml:space="preserve"> </w:t>
            </w:r>
            <w:r w:rsidRPr="001C0E54">
              <w:rPr>
                <w:b/>
                <w:bCs/>
                <w:sz w:val="22"/>
                <w:szCs w:val="22"/>
              </w:rPr>
              <w:t>patient</w:t>
            </w:r>
            <w:r w:rsidRPr="001C0E54">
              <w:rPr>
                <w:b/>
                <w:bCs/>
                <w:spacing w:val="-6"/>
                <w:sz w:val="22"/>
                <w:szCs w:val="22"/>
              </w:rPr>
              <w:t xml:space="preserve"> </w:t>
            </w:r>
            <w:r w:rsidRPr="001C0E54">
              <w:rPr>
                <w:b/>
                <w:bCs/>
                <w:sz w:val="22"/>
                <w:szCs w:val="22"/>
              </w:rPr>
              <w:t>characteristics</w:t>
            </w:r>
          </w:p>
        </w:tc>
        <w:tc>
          <w:tcPr>
            <w:tcW w:w="2763" w:type="pct"/>
            <w:gridSpan w:val="3"/>
            <w:tcBorders>
              <w:top w:val="single" w:sz="4" w:space="0" w:color="000000"/>
              <w:left w:val="single" w:sz="4" w:space="0" w:color="000000"/>
              <w:bottom w:val="single" w:sz="4" w:space="0" w:color="000000"/>
              <w:right w:val="single" w:sz="4" w:space="0" w:color="000000"/>
            </w:tcBorders>
            <w:hideMark/>
          </w:tcPr>
          <w:p w14:paraId="34B1DB3F" w14:textId="77777777" w:rsidR="00311DF4" w:rsidRPr="001C0E54" w:rsidRDefault="00311DF4">
            <w:pPr>
              <w:pStyle w:val="TableParagraph"/>
              <w:kinsoku w:val="0"/>
              <w:overflowPunct w:val="0"/>
              <w:spacing w:before="87"/>
              <w:ind w:left="672"/>
              <w:jc w:val="both"/>
              <w:rPr>
                <w:b/>
                <w:bCs/>
                <w:sz w:val="22"/>
                <w:szCs w:val="22"/>
              </w:rPr>
            </w:pPr>
            <w:r w:rsidRPr="001C0E54">
              <w:rPr>
                <w:b/>
                <w:bCs/>
                <w:sz w:val="22"/>
                <w:szCs w:val="22"/>
              </w:rPr>
              <w:t>Mean</w:t>
            </w:r>
            <w:r w:rsidRPr="001C0E54">
              <w:rPr>
                <w:b/>
                <w:bCs/>
                <w:spacing w:val="-4"/>
                <w:sz w:val="22"/>
                <w:szCs w:val="22"/>
              </w:rPr>
              <w:t xml:space="preserve"> </w:t>
            </w:r>
            <w:r w:rsidRPr="001C0E54">
              <w:rPr>
                <w:b/>
                <w:bCs/>
                <w:sz w:val="22"/>
                <w:szCs w:val="22"/>
              </w:rPr>
              <w:t>Predicted</w:t>
            </w:r>
            <w:r w:rsidRPr="001C0E54">
              <w:rPr>
                <w:b/>
                <w:bCs/>
                <w:spacing w:val="-3"/>
                <w:sz w:val="22"/>
                <w:szCs w:val="22"/>
              </w:rPr>
              <w:t xml:space="preserve"> </w:t>
            </w:r>
            <w:r w:rsidRPr="001C0E54">
              <w:rPr>
                <w:b/>
                <w:bCs/>
                <w:sz w:val="22"/>
                <w:szCs w:val="22"/>
              </w:rPr>
              <w:t>PK</w:t>
            </w:r>
            <w:r w:rsidRPr="001C0E54">
              <w:rPr>
                <w:b/>
                <w:bCs/>
                <w:spacing w:val="-4"/>
                <w:sz w:val="22"/>
                <w:szCs w:val="22"/>
              </w:rPr>
              <w:t xml:space="preserve"> </w:t>
            </w:r>
            <w:r w:rsidRPr="001C0E54">
              <w:rPr>
                <w:b/>
                <w:bCs/>
                <w:sz w:val="22"/>
                <w:szCs w:val="22"/>
              </w:rPr>
              <w:t>parameters</w:t>
            </w:r>
            <w:r w:rsidRPr="001C0E54">
              <w:rPr>
                <w:b/>
                <w:bCs/>
                <w:spacing w:val="-3"/>
                <w:sz w:val="22"/>
                <w:szCs w:val="22"/>
              </w:rPr>
              <w:t xml:space="preserve"> </w:t>
            </w:r>
            <w:r w:rsidRPr="001C0E54">
              <w:rPr>
                <w:b/>
                <w:bCs/>
                <w:sz w:val="22"/>
                <w:szCs w:val="22"/>
              </w:rPr>
              <w:t>(CV%)</w:t>
            </w:r>
          </w:p>
        </w:tc>
      </w:tr>
      <w:tr w:rsidR="00311DF4" w:rsidRPr="001C0E54" w14:paraId="027BBF3F" w14:textId="77777777" w:rsidTr="002A7948">
        <w:trPr>
          <w:trHeight w:val="757"/>
        </w:trPr>
        <w:tc>
          <w:tcPr>
            <w:tcW w:w="814" w:type="pct"/>
            <w:tcBorders>
              <w:top w:val="single" w:sz="4" w:space="0" w:color="000000"/>
              <w:left w:val="single" w:sz="4" w:space="0" w:color="000000"/>
              <w:bottom w:val="single" w:sz="4" w:space="0" w:color="000000"/>
              <w:right w:val="single" w:sz="4" w:space="0" w:color="000000"/>
            </w:tcBorders>
          </w:tcPr>
          <w:p w14:paraId="550760F0" w14:textId="77777777" w:rsidR="00311DF4" w:rsidRPr="001C0E54" w:rsidRDefault="00311DF4">
            <w:pPr>
              <w:pStyle w:val="NormalWeb"/>
              <w:shd w:val="clear" w:color="auto" w:fill="FFFFFF"/>
              <w:spacing w:before="0" w:beforeAutospacing="0" w:after="0" w:afterAutospacing="0"/>
              <w:jc w:val="both"/>
              <w:rPr>
                <w:rFonts w:eastAsiaTheme="minorEastAsia"/>
                <w:sz w:val="22"/>
                <w:szCs w:val="22"/>
              </w:rPr>
            </w:pPr>
            <w:r w:rsidRPr="001C0E54">
              <w:rPr>
                <w:rFonts w:eastAsiaTheme="minorEastAsia"/>
                <w:sz w:val="22"/>
                <w:szCs w:val="22"/>
              </w:rPr>
              <w:t>Demographics</w:t>
            </w:r>
          </w:p>
          <w:p w14:paraId="171EC76F" w14:textId="77777777" w:rsidR="00311DF4" w:rsidRPr="001C0E54" w:rsidRDefault="00311DF4">
            <w:pPr>
              <w:pStyle w:val="NormalWeb"/>
              <w:shd w:val="clear" w:color="auto" w:fill="FFFFFF"/>
              <w:spacing w:before="0" w:beforeAutospacing="0" w:after="0" w:afterAutospacing="0"/>
              <w:jc w:val="both"/>
              <w:rPr>
                <w:rFonts w:eastAsiaTheme="minorEastAsia"/>
                <w:sz w:val="22"/>
                <w:szCs w:val="22"/>
              </w:rPr>
            </w:pPr>
            <w:r w:rsidRPr="001C0E54">
              <w:rPr>
                <w:rFonts w:eastAsiaTheme="minorEastAsia"/>
                <w:sz w:val="22"/>
                <w:szCs w:val="22"/>
              </w:rPr>
              <w:t>Age</w:t>
            </w:r>
          </w:p>
          <w:p w14:paraId="12D5A48D" w14:textId="77777777" w:rsidR="00311DF4" w:rsidRPr="001C0E54" w:rsidRDefault="00311DF4">
            <w:pPr>
              <w:pStyle w:val="NormalWeb"/>
              <w:shd w:val="clear" w:color="auto" w:fill="FFFFFF"/>
              <w:spacing w:before="0" w:beforeAutospacing="0" w:after="0" w:afterAutospacing="0"/>
              <w:jc w:val="both"/>
              <w:rPr>
                <w:rFonts w:eastAsiaTheme="minorEastAsia"/>
                <w:sz w:val="22"/>
                <w:szCs w:val="22"/>
              </w:rPr>
            </w:pPr>
            <w:r w:rsidRPr="001C0E54">
              <w:rPr>
                <w:rFonts w:eastAsiaTheme="minorEastAsia"/>
                <w:sz w:val="22"/>
                <w:szCs w:val="22"/>
              </w:rPr>
              <w:t>Body weight</w:t>
            </w:r>
          </w:p>
          <w:p w14:paraId="291663AE" w14:textId="77777777" w:rsidR="00311DF4" w:rsidRPr="001C0E54" w:rsidRDefault="00311DF4">
            <w:pPr>
              <w:pStyle w:val="TableParagraph"/>
              <w:kinsoku w:val="0"/>
              <w:overflowPunct w:val="0"/>
              <w:spacing w:line="247" w:lineRule="exact"/>
              <w:jc w:val="both"/>
              <w:rPr>
                <w:sz w:val="22"/>
                <w:szCs w:val="22"/>
              </w:rPr>
            </w:pPr>
          </w:p>
        </w:tc>
        <w:tc>
          <w:tcPr>
            <w:tcW w:w="1423" w:type="pct"/>
            <w:gridSpan w:val="3"/>
            <w:tcBorders>
              <w:top w:val="single" w:sz="4" w:space="0" w:color="000000"/>
              <w:left w:val="single" w:sz="4" w:space="0" w:color="000000"/>
              <w:bottom w:val="single" w:sz="4" w:space="0" w:color="000000"/>
              <w:right w:val="single" w:sz="4" w:space="0" w:color="000000"/>
            </w:tcBorders>
            <w:hideMark/>
          </w:tcPr>
          <w:p w14:paraId="5AFAD55D" w14:textId="77777777" w:rsidR="00311DF4" w:rsidRPr="001C0E54" w:rsidRDefault="00311DF4">
            <w:pPr>
              <w:pStyle w:val="TableParagraph"/>
              <w:kinsoku w:val="0"/>
              <w:overflowPunct w:val="0"/>
              <w:ind w:left="405" w:right="394" w:hanging="4"/>
              <w:jc w:val="both"/>
              <w:rPr>
                <w:sz w:val="22"/>
                <w:szCs w:val="22"/>
              </w:rPr>
            </w:pPr>
            <w:r w:rsidRPr="001C0E54">
              <w:rPr>
                <w:sz w:val="22"/>
                <w:szCs w:val="22"/>
              </w:rPr>
              <w:t>Renal function</w:t>
            </w:r>
            <w:r w:rsidRPr="001C0E54">
              <w:rPr>
                <w:spacing w:val="1"/>
                <w:sz w:val="22"/>
                <w:szCs w:val="22"/>
              </w:rPr>
              <w:t xml:space="preserve"> </w:t>
            </w:r>
            <w:r w:rsidRPr="001C0E54">
              <w:rPr>
                <w:sz w:val="22"/>
                <w:szCs w:val="22"/>
              </w:rPr>
              <w:t>Creatinine</w:t>
            </w:r>
            <w:r w:rsidRPr="001C0E54">
              <w:rPr>
                <w:spacing w:val="-10"/>
                <w:sz w:val="22"/>
                <w:szCs w:val="22"/>
              </w:rPr>
              <w:t xml:space="preserve"> </w:t>
            </w:r>
            <w:r w:rsidRPr="001C0E54">
              <w:rPr>
                <w:sz w:val="22"/>
                <w:szCs w:val="22"/>
              </w:rPr>
              <w:t>clearance</w:t>
            </w:r>
          </w:p>
          <w:p w14:paraId="63D831BE" w14:textId="77777777" w:rsidR="00311DF4" w:rsidRPr="001C0E54" w:rsidRDefault="00311DF4">
            <w:pPr>
              <w:pStyle w:val="TableParagraph"/>
              <w:kinsoku w:val="0"/>
              <w:overflowPunct w:val="0"/>
              <w:spacing w:line="238" w:lineRule="exact"/>
              <w:ind w:left="859" w:right="851"/>
              <w:jc w:val="both"/>
              <w:rPr>
                <w:sz w:val="22"/>
                <w:szCs w:val="22"/>
              </w:rPr>
            </w:pPr>
            <w:r w:rsidRPr="001C0E54">
              <w:rPr>
                <w:sz w:val="22"/>
                <w:szCs w:val="22"/>
              </w:rPr>
              <w:t>(mL/min)</w:t>
            </w:r>
          </w:p>
        </w:tc>
        <w:tc>
          <w:tcPr>
            <w:tcW w:w="843" w:type="pct"/>
            <w:tcBorders>
              <w:top w:val="single" w:sz="4" w:space="0" w:color="000000"/>
              <w:left w:val="single" w:sz="4" w:space="0" w:color="000000"/>
              <w:bottom w:val="single" w:sz="4" w:space="0" w:color="000000"/>
              <w:right w:val="single" w:sz="4" w:space="0" w:color="000000"/>
            </w:tcBorders>
            <w:hideMark/>
          </w:tcPr>
          <w:p w14:paraId="77F92182" w14:textId="77777777" w:rsidR="00311DF4" w:rsidRPr="001C0E54" w:rsidRDefault="00311DF4">
            <w:pPr>
              <w:pStyle w:val="TableParagraph"/>
              <w:kinsoku w:val="0"/>
              <w:overflowPunct w:val="0"/>
              <w:ind w:left="344" w:right="309" w:hanging="12"/>
              <w:jc w:val="both"/>
              <w:rPr>
                <w:sz w:val="22"/>
                <w:szCs w:val="22"/>
              </w:rPr>
            </w:pPr>
            <w:r w:rsidRPr="001C0E54">
              <w:rPr>
                <w:sz w:val="22"/>
                <w:szCs w:val="22"/>
              </w:rPr>
              <w:t>Clearance</w:t>
            </w:r>
            <w:r w:rsidRPr="001C0E54">
              <w:rPr>
                <w:spacing w:val="-52"/>
                <w:sz w:val="22"/>
                <w:szCs w:val="22"/>
              </w:rPr>
              <w:t xml:space="preserve"> </w:t>
            </w:r>
            <w:r w:rsidRPr="001C0E54">
              <w:rPr>
                <w:sz w:val="22"/>
                <w:szCs w:val="22"/>
              </w:rPr>
              <w:t>(mL/min)</w:t>
            </w:r>
          </w:p>
        </w:tc>
        <w:tc>
          <w:tcPr>
            <w:tcW w:w="914" w:type="pct"/>
            <w:tcBorders>
              <w:top w:val="single" w:sz="4" w:space="0" w:color="000000"/>
              <w:left w:val="single" w:sz="4" w:space="0" w:color="000000"/>
              <w:bottom w:val="single" w:sz="4" w:space="0" w:color="000000"/>
              <w:right w:val="single" w:sz="4" w:space="0" w:color="000000"/>
            </w:tcBorders>
            <w:hideMark/>
          </w:tcPr>
          <w:p w14:paraId="2B87701D" w14:textId="77777777" w:rsidR="00311DF4" w:rsidRPr="001C0E54" w:rsidRDefault="00311DF4">
            <w:pPr>
              <w:pStyle w:val="TableParagraph"/>
              <w:kinsoku w:val="0"/>
              <w:overflowPunct w:val="0"/>
              <w:ind w:left="141" w:right="136"/>
              <w:jc w:val="both"/>
              <w:rPr>
                <w:sz w:val="22"/>
                <w:szCs w:val="22"/>
              </w:rPr>
            </w:pPr>
            <w:r w:rsidRPr="001C0E54">
              <w:rPr>
                <w:sz w:val="22"/>
                <w:szCs w:val="22"/>
              </w:rPr>
              <w:t>Volume of</w:t>
            </w:r>
            <w:r w:rsidRPr="001C0E54">
              <w:rPr>
                <w:spacing w:val="1"/>
                <w:sz w:val="22"/>
                <w:szCs w:val="22"/>
              </w:rPr>
              <w:t xml:space="preserve"> </w:t>
            </w:r>
            <w:r w:rsidRPr="001C0E54">
              <w:rPr>
                <w:sz w:val="22"/>
                <w:szCs w:val="22"/>
              </w:rPr>
              <w:t>distribution</w:t>
            </w:r>
            <w:r w:rsidRPr="001C0E54">
              <w:rPr>
                <w:spacing w:val="-7"/>
                <w:sz w:val="22"/>
                <w:szCs w:val="22"/>
              </w:rPr>
              <w:t xml:space="preserve"> </w:t>
            </w:r>
            <w:r w:rsidRPr="001C0E54">
              <w:rPr>
                <w:sz w:val="22"/>
                <w:szCs w:val="22"/>
              </w:rPr>
              <w:t>at</w:t>
            </w:r>
          </w:p>
          <w:p w14:paraId="05E4D3FE" w14:textId="77777777" w:rsidR="00311DF4" w:rsidRPr="001C0E54" w:rsidRDefault="00311DF4">
            <w:pPr>
              <w:pStyle w:val="TableParagraph"/>
              <w:kinsoku w:val="0"/>
              <w:overflowPunct w:val="0"/>
              <w:spacing w:line="238" w:lineRule="exact"/>
              <w:ind w:left="141" w:right="139"/>
              <w:jc w:val="both"/>
              <w:rPr>
                <w:sz w:val="22"/>
                <w:szCs w:val="22"/>
              </w:rPr>
            </w:pPr>
            <w:r w:rsidRPr="001C0E54">
              <w:rPr>
                <w:sz w:val="22"/>
                <w:szCs w:val="22"/>
              </w:rPr>
              <w:t>steady</w:t>
            </w:r>
            <w:r w:rsidRPr="001C0E54">
              <w:rPr>
                <w:spacing w:val="-4"/>
                <w:sz w:val="22"/>
                <w:szCs w:val="22"/>
              </w:rPr>
              <w:t xml:space="preserve"> </w:t>
            </w:r>
            <w:r w:rsidRPr="001C0E54">
              <w:rPr>
                <w:sz w:val="22"/>
                <w:szCs w:val="22"/>
              </w:rPr>
              <w:t>state</w:t>
            </w:r>
            <w:r w:rsidRPr="001C0E54">
              <w:rPr>
                <w:spacing w:val="-3"/>
                <w:sz w:val="22"/>
                <w:szCs w:val="22"/>
              </w:rPr>
              <w:t xml:space="preserve"> </w:t>
            </w:r>
            <w:r w:rsidRPr="001C0E54">
              <w:rPr>
                <w:sz w:val="22"/>
                <w:szCs w:val="22"/>
              </w:rPr>
              <w:t>(L)</w:t>
            </w:r>
          </w:p>
        </w:tc>
        <w:tc>
          <w:tcPr>
            <w:tcW w:w="1005" w:type="pct"/>
            <w:tcBorders>
              <w:top w:val="single" w:sz="4" w:space="0" w:color="000000"/>
              <w:left w:val="single" w:sz="4" w:space="0" w:color="000000"/>
              <w:bottom w:val="single" w:sz="4" w:space="0" w:color="000000"/>
              <w:right w:val="single" w:sz="4" w:space="0" w:color="000000"/>
            </w:tcBorders>
            <w:hideMark/>
          </w:tcPr>
          <w:p w14:paraId="36A56761" w14:textId="77777777" w:rsidR="00311DF4" w:rsidRPr="001C0E54" w:rsidRDefault="00311DF4">
            <w:pPr>
              <w:pStyle w:val="TableParagraph"/>
              <w:kinsoku w:val="0"/>
              <w:overflowPunct w:val="0"/>
              <w:ind w:left="373" w:right="367" w:firstLine="26"/>
              <w:jc w:val="both"/>
              <w:rPr>
                <w:sz w:val="22"/>
                <w:szCs w:val="22"/>
              </w:rPr>
            </w:pPr>
            <w:r w:rsidRPr="001C0E54">
              <w:rPr>
                <w:sz w:val="22"/>
                <w:szCs w:val="22"/>
              </w:rPr>
              <w:t>Elimination</w:t>
            </w:r>
            <w:r w:rsidRPr="001C0E54">
              <w:rPr>
                <w:spacing w:val="-52"/>
                <w:sz w:val="22"/>
                <w:szCs w:val="22"/>
              </w:rPr>
              <w:t xml:space="preserve"> </w:t>
            </w:r>
            <w:r w:rsidRPr="001C0E54">
              <w:rPr>
                <w:sz w:val="22"/>
                <w:szCs w:val="22"/>
              </w:rPr>
              <w:t>half-life</w:t>
            </w:r>
            <w:r w:rsidRPr="001C0E54">
              <w:rPr>
                <w:spacing w:val="-11"/>
                <w:sz w:val="22"/>
                <w:szCs w:val="22"/>
              </w:rPr>
              <w:t xml:space="preserve"> </w:t>
            </w:r>
            <w:r w:rsidRPr="001C0E54">
              <w:rPr>
                <w:sz w:val="22"/>
                <w:szCs w:val="22"/>
              </w:rPr>
              <w:t>(hr)</w:t>
            </w:r>
          </w:p>
        </w:tc>
      </w:tr>
      <w:tr w:rsidR="00311DF4" w:rsidRPr="001C0E54" w14:paraId="7F8A7F0C" w14:textId="77777777" w:rsidTr="002A7948">
        <w:trPr>
          <w:trHeight w:val="316"/>
        </w:trPr>
        <w:tc>
          <w:tcPr>
            <w:tcW w:w="814" w:type="pct"/>
            <w:tcBorders>
              <w:top w:val="single" w:sz="4" w:space="0" w:color="000000"/>
              <w:left w:val="single" w:sz="4" w:space="0" w:color="000000"/>
              <w:bottom w:val="single" w:sz="4" w:space="0" w:color="000000"/>
              <w:right w:val="single" w:sz="4" w:space="0" w:color="000000"/>
            </w:tcBorders>
            <w:hideMark/>
          </w:tcPr>
          <w:p w14:paraId="6064808B" w14:textId="77777777" w:rsidR="00311DF4" w:rsidRPr="001C0E54" w:rsidRDefault="00311DF4">
            <w:pPr>
              <w:pStyle w:val="TableParagraph"/>
              <w:kinsoku w:val="0"/>
              <w:overflowPunct w:val="0"/>
              <w:spacing w:before="56" w:line="240" w:lineRule="exact"/>
              <w:jc w:val="both"/>
              <w:rPr>
                <w:sz w:val="22"/>
                <w:szCs w:val="22"/>
              </w:rPr>
            </w:pPr>
            <w:r w:rsidRPr="001C0E54">
              <w:rPr>
                <w:sz w:val="22"/>
                <w:szCs w:val="22"/>
              </w:rPr>
              <w:t>Adult</w:t>
            </w:r>
          </w:p>
        </w:tc>
        <w:tc>
          <w:tcPr>
            <w:tcW w:w="551" w:type="pct"/>
            <w:tcBorders>
              <w:top w:val="single" w:sz="4" w:space="0" w:color="000000"/>
              <w:left w:val="single" w:sz="4" w:space="0" w:color="000000"/>
              <w:bottom w:val="single" w:sz="4" w:space="0" w:color="000000"/>
              <w:right w:val="single" w:sz="4" w:space="0" w:color="000000"/>
            </w:tcBorders>
            <w:hideMark/>
          </w:tcPr>
          <w:p w14:paraId="0AA4383B" w14:textId="77777777" w:rsidR="00311DF4" w:rsidRPr="001C0E54" w:rsidRDefault="00311DF4">
            <w:pPr>
              <w:pStyle w:val="TableParagraph"/>
              <w:kinsoku w:val="0"/>
              <w:overflowPunct w:val="0"/>
              <w:spacing w:before="56" w:line="240" w:lineRule="exact"/>
              <w:jc w:val="both"/>
              <w:rPr>
                <w:sz w:val="22"/>
                <w:szCs w:val="22"/>
              </w:rPr>
            </w:pPr>
            <w:r w:rsidRPr="001C0E54">
              <w:rPr>
                <w:sz w:val="22"/>
                <w:szCs w:val="22"/>
              </w:rPr>
              <w:t>Normal</w:t>
            </w:r>
          </w:p>
        </w:tc>
        <w:tc>
          <w:tcPr>
            <w:tcW w:w="576" w:type="pct"/>
            <w:tcBorders>
              <w:top w:val="single" w:sz="4" w:space="0" w:color="000000"/>
              <w:left w:val="single" w:sz="4" w:space="0" w:color="000000"/>
              <w:bottom w:val="single" w:sz="4" w:space="0" w:color="000000"/>
              <w:right w:val="single" w:sz="4" w:space="0" w:color="000000"/>
            </w:tcBorders>
          </w:tcPr>
          <w:p w14:paraId="590DF0D8" w14:textId="77777777" w:rsidR="00311DF4" w:rsidRPr="001C0E54" w:rsidRDefault="00311DF4">
            <w:pPr>
              <w:pStyle w:val="TableParagraph"/>
              <w:kinsoku w:val="0"/>
              <w:overflowPunct w:val="0"/>
              <w:ind w:left="0"/>
              <w:jc w:val="both"/>
              <w:rPr>
                <w:sz w:val="22"/>
                <w:szCs w:val="22"/>
              </w:rPr>
            </w:pPr>
          </w:p>
        </w:tc>
        <w:tc>
          <w:tcPr>
            <w:tcW w:w="296" w:type="pct"/>
            <w:tcBorders>
              <w:top w:val="single" w:sz="4" w:space="0" w:color="000000"/>
              <w:left w:val="single" w:sz="4" w:space="0" w:color="000000"/>
              <w:bottom w:val="single" w:sz="4" w:space="0" w:color="000000"/>
              <w:right w:val="single" w:sz="4" w:space="0" w:color="000000"/>
            </w:tcBorders>
            <w:hideMark/>
          </w:tcPr>
          <w:p w14:paraId="06DD7E44" w14:textId="77777777" w:rsidR="00311DF4" w:rsidRPr="001C0E54" w:rsidRDefault="00311DF4">
            <w:pPr>
              <w:pStyle w:val="TableParagraph"/>
              <w:kinsoku w:val="0"/>
              <w:overflowPunct w:val="0"/>
              <w:spacing w:before="56" w:line="240" w:lineRule="exact"/>
              <w:ind w:left="106"/>
              <w:jc w:val="both"/>
              <w:rPr>
                <w:sz w:val="22"/>
                <w:szCs w:val="22"/>
              </w:rPr>
            </w:pPr>
            <w:r w:rsidRPr="001C0E54">
              <w:rPr>
                <w:sz w:val="22"/>
                <w:szCs w:val="22"/>
              </w:rPr>
              <w:t>100</w:t>
            </w:r>
          </w:p>
        </w:tc>
        <w:tc>
          <w:tcPr>
            <w:tcW w:w="843" w:type="pct"/>
            <w:tcBorders>
              <w:top w:val="single" w:sz="4" w:space="0" w:color="000000"/>
              <w:left w:val="single" w:sz="4" w:space="0" w:color="000000"/>
              <w:bottom w:val="single" w:sz="4" w:space="0" w:color="000000"/>
              <w:right w:val="single" w:sz="4" w:space="0" w:color="000000"/>
            </w:tcBorders>
            <w:hideMark/>
          </w:tcPr>
          <w:p w14:paraId="7A41AA7A" w14:textId="77777777" w:rsidR="00311DF4" w:rsidRPr="001C0E54" w:rsidRDefault="00311DF4">
            <w:pPr>
              <w:pStyle w:val="TableParagraph"/>
              <w:kinsoku w:val="0"/>
              <w:overflowPunct w:val="0"/>
              <w:spacing w:before="56" w:line="240" w:lineRule="exact"/>
              <w:ind w:left="452"/>
              <w:jc w:val="both"/>
              <w:rPr>
                <w:sz w:val="22"/>
                <w:szCs w:val="22"/>
              </w:rPr>
            </w:pPr>
            <w:r w:rsidRPr="001C0E54">
              <w:rPr>
                <w:sz w:val="22"/>
                <w:szCs w:val="22"/>
              </w:rPr>
              <w:t>84</w:t>
            </w:r>
            <w:r w:rsidRPr="001C0E54">
              <w:rPr>
                <w:spacing w:val="-1"/>
                <w:sz w:val="22"/>
                <w:szCs w:val="22"/>
              </w:rPr>
              <w:t xml:space="preserve"> </w:t>
            </w:r>
            <w:r w:rsidRPr="001C0E54">
              <w:rPr>
                <w:sz w:val="22"/>
                <w:szCs w:val="22"/>
              </w:rPr>
              <w:t>(24)</w:t>
            </w:r>
          </w:p>
        </w:tc>
        <w:tc>
          <w:tcPr>
            <w:tcW w:w="914" w:type="pct"/>
            <w:tcBorders>
              <w:top w:val="single" w:sz="4" w:space="0" w:color="000000"/>
              <w:left w:val="single" w:sz="4" w:space="0" w:color="000000"/>
              <w:bottom w:val="single" w:sz="4" w:space="0" w:color="000000"/>
              <w:right w:val="single" w:sz="4" w:space="0" w:color="000000"/>
            </w:tcBorders>
            <w:hideMark/>
          </w:tcPr>
          <w:p w14:paraId="4435F7DE" w14:textId="77777777" w:rsidR="00311DF4" w:rsidRPr="001C0E54" w:rsidRDefault="00311DF4">
            <w:pPr>
              <w:pStyle w:val="TableParagraph"/>
              <w:kinsoku w:val="0"/>
              <w:overflowPunct w:val="0"/>
              <w:spacing w:before="56" w:line="240" w:lineRule="exact"/>
              <w:ind w:left="141" w:right="137"/>
              <w:jc w:val="both"/>
              <w:rPr>
                <w:sz w:val="22"/>
                <w:szCs w:val="22"/>
              </w:rPr>
            </w:pPr>
            <w:r w:rsidRPr="001C0E54">
              <w:rPr>
                <w:sz w:val="22"/>
                <w:szCs w:val="22"/>
              </w:rPr>
              <w:t>13</w:t>
            </w:r>
          </w:p>
        </w:tc>
        <w:tc>
          <w:tcPr>
            <w:tcW w:w="1005" w:type="pct"/>
            <w:tcBorders>
              <w:top w:val="single" w:sz="4" w:space="0" w:color="000000"/>
              <w:left w:val="single" w:sz="4" w:space="0" w:color="000000"/>
              <w:bottom w:val="single" w:sz="4" w:space="0" w:color="000000"/>
              <w:right w:val="single" w:sz="4" w:space="0" w:color="000000"/>
            </w:tcBorders>
            <w:hideMark/>
          </w:tcPr>
          <w:p w14:paraId="6572C8B4" w14:textId="77777777" w:rsidR="00311DF4" w:rsidRPr="001C0E54" w:rsidRDefault="00311DF4">
            <w:pPr>
              <w:pStyle w:val="TableParagraph"/>
              <w:kinsoku w:val="0"/>
              <w:overflowPunct w:val="0"/>
              <w:spacing w:before="56" w:line="240" w:lineRule="exact"/>
              <w:ind w:left="580" w:right="579"/>
              <w:jc w:val="both"/>
              <w:rPr>
                <w:sz w:val="22"/>
                <w:szCs w:val="22"/>
              </w:rPr>
            </w:pPr>
            <w:r w:rsidRPr="001C0E54">
              <w:rPr>
                <w:sz w:val="22"/>
                <w:szCs w:val="22"/>
              </w:rPr>
              <w:t>2</w:t>
            </w:r>
            <w:r w:rsidRPr="001C0E54">
              <w:rPr>
                <w:spacing w:val="-2"/>
                <w:sz w:val="22"/>
                <w:szCs w:val="22"/>
              </w:rPr>
              <w:t xml:space="preserve"> </w:t>
            </w:r>
            <w:r w:rsidRPr="001C0E54">
              <w:rPr>
                <w:sz w:val="22"/>
                <w:szCs w:val="22"/>
              </w:rPr>
              <w:t>(22)</w:t>
            </w:r>
          </w:p>
        </w:tc>
      </w:tr>
      <w:tr w:rsidR="00311DF4" w:rsidRPr="001C0E54" w14:paraId="550CD3B6" w14:textId="77777777" w:rsidTr="002A7948">
        <w:trPr>
          <w:trHeight w:val="344"/>
        </w:trPr>
        <w:tc>
          <w:tcPr>
            <w:tcW w:w="814" w:type="pct"/>
            <w:tcBorders>
              <w:top w:val="single" w:sz="4" w:space="0" w:color="000000"/>
              <w:left w:val="single" w:sz="4" w:space="0" w:color="000000"/>
              <w:bottom w:val="nil"/>
              <w:right w:val="single" w:sz="4" w:space="0" w:color="000000"/>
            </w:tcBorders>
            <w:hideMark/>
          </w:tcPr>
          <w:p w14:paraId="7F38F182" w14:textId="77777777" w:rsidR="00311DF4" w:rsidRPr="001C0E54" w:rsidRDefault="00311DF4">
            <w:pPr>
              <w:pStyle w:val="TableParagraph"/>
              <w:kinsoku w:val="0"/>
              <w:overflowPunct w:val="0"/>
              <w:spacing w:before="56"/>
              <w:jc w:val="both"/>
              <w:rPr>
                <w:sz w:val="22"/>
                <w:szCs w:val="22"/>
              </w:rPr>
            </w:pPr>
            <w:r w:rsidRPr="001C0E54">
              <w:rPr>
                <w:sz w:val="22"/>
                <w:szCs w:val="22"/>
              </w:rPr>
              <w:t>40</w:t>
            </w:r>
            <w:r w:rsidRPr="001C0E54">
              <w:rPr>
                <w:spacing w:val="-2"/>
                <w:sz w:val="22"/>
                <w:szCs w:val="22"/>
              </w:rPr>
              <w:t xml:space="preserve"> </w:t>
            </w:r>
            <w:proofErr w:type="spellStart"/>
            <w:r w:rsidRPr="001C0E54">
              <w:rPr>
                <w:sz w:val="22"/>
                <w:szCs w:val="22"/>
              </w:rPr>
              <w:t>yrs</w:t>
            </w:r>
            <w:proofErr w:type="spellEnd"/>
          </w:p>
        </w:tc>
        <w:tc>
          <w:tcPr>
            <w:tcW w:w="551" w:type="pct"/>
            <w:tcBorders>
              <w:top w:val="single" w:sz="4" w:space="0" w:color="000000"/>
              <w:left w:val="single" w:sz="4" w:space="0" w:color="000000"/>
              <w:bottom w:val="nil"/>
              <w:right w:val="single" w:sz="4" w:space="0" w:color="000000"/>
            </w:tcBorders>
            <w:hideMark/>
          </w:tcPr>
          <w:p w14:paraId="4695F5B2" w14:textId="77777777" w:rsidR="00311DF4" w:rsidRPr="001C0E54" w:rsidRDefault="00311DF4">
            <w:pPr>
              <w:pStyle w:val="TableParagraph"/>
              <w:kinsoku w:val="0"/>
              <w:overflowPunct w:val="0"/>
              <w:spacing w:before="56"/>
              <w:jc w:val="both"/>
              <w:rPr>
                <w:sz w:val="22"/>
                <w:szCs w:val="22"/>
              </w:rPr>
            </w:pPr>
            <w:r w:rsidRPr="001C0E54">
              <w:rPr>
                <w:sz w:val="22"/>
                <w:szCs w:val="22"/>
              </w:rPr>
              <w:t>Impaired</w:t>
            </w:r>
          </w:p>
        </w:tc>
        <w:tc>
          <w:tcPr>
            <w:tcW w:w="576" w:type="pct"/>
            <w:tcBorders>
              <w:top w:val="single" w:sz="4" w:space="0" w:color="000000"/>
              <w:left w:val="single" w:sz="4" w:space="0" w:color="000000"/>
              <w:bottom w:val="nil"/>
              <w:right w:val="single" w:sz="4" w:space="0" w:color="000000"/>
            </w:tcBorders>
            <w:hideMark/>
          </w:tcPr>
          <w:p w14:paraId="01FF960B" w14:textId="77777777" w:rsidR="00311DF4" w:rsidRPr="001C0E54" w:rsidRDefault="00311DF4">
            <w:pPr>
              <w:pStyle w:val="TableParagraph"/>
              <w:kinsoku w:val="0"/>
              <w:overflowPunct w:val="0"/>
              <w:spacing w:before="56"/>
              <w:ind w:left="104"/>
              <w:jc w:val="both"/>
              <w:rPr>
                <w:sz w:val="22"/>
                <w:szCs w:val="22"/>
              </w:rPr>
            </w:pPr>
            <w:r w:rsidRPr="001C0E54">
              <w:rPr>
                <w:sz w:val="22"/>
                <w:szCs w:val="22"/>
              </w:rPr>
              <w:t>Mild</w:t>
            </w:r>
          </w:p>
        </w:tc>
        <w:tc>
          <w:tcPr>
            <w:tcW w:w="296" w:type="pct"/>
            <w:tcBorders>
              <w:top w:val="single" w:sz="4" w:space="0" w:color="000000"/>
              <w:left w:val="single" w:sz="4" w:space="0" w:color="000000"/>
              <w:bottom w:val="nil"/>
              <w:right w:val="single" w:sz="4" w:space="0" w:color="000000"/>
            </w:tcBorders>
            <w:hideMark/>
          </w:tcPr>
          <w:p w14:paraId="452BD872" w14:textId="77777777" w:rsidR="00311DF4" w:rsidRPr="001C0E54" w:rsidRDefault="00311DF4">
            <w:pPr>
              <w:pStyle w:val="TableParagraph"/>
              <w:kinsoku w:val="0"/>
              <w:overflowPunct w:val="0"/>
              <w:spacing w:before="56"/>
              <w:ind w:left="161"/>
              <w:jc w:val="both"/>
              <w:rPr>
                <w:sz w:val="22"/>
                <w:szCs w:val="22"/>
              </w:rPr>
            </w:pPr>
            <w:r w:rsidRPr="001C0E54">
              <w:rPr>
                <w:sz w:val="22"/>
                <w:szCs w:val="22"/>
              </w:rPr>
              <w:t>50</w:t>
            </w:r>
          </w:p>
        </w:tc>
        <w:tc>
          <w:tcPr>
            <w:tcW w:w="843" w:type="pct"/>
            <w:tcBorders>
              <w:top w:val="single" w:sz="4" w:space="0" w:color="000000"/>
              <w:left w:val="single" w:sz="4" w:space="0" w:color="000000"/>
              <w:bottom w:val="nil"/>
              <w:right w:val="single" w:sz="4" w:space="0" w:color="000000"/>
            </w:tcBorders>
            <w:hideMark/>
          </w:tcPr>
          <w:p w14:paraId="3E1B6CF3" w14:textId="77777777" w:rsidR="00311DF4" w:rsidRPr="001C0E54" w:rsidRDefault="00311DF4">
            <w:pPr>
              <w:pStyle w:val="TableParagraph"/>
              <w:kinsoku w:val="0"/>
              <w:overflowPunct w:val="0"/>
              <w:spacing w:before="56"/>
              <w:ind w:left="452"/>
              <w:jc w:val="both"/>
              <w:rPr>
                <w:sz w:val="22"/>
                <w:szCs w:val="22"/>
              </w:rPr>
            </w:pPr>
            <w:r w:rsidRPr="001C0E54">
              <w:rPr>
                <w:sz w:val="22"/>
                <w:szCs w:val="22"/>
              </w:rPr>
              <w:t>47</w:t>
            </w:r>
            <w:r w:rsidRPr="001C0E54">
              <w:rPr>
                <w:spacing w:val="-3"/>
                <w:sz w:val="22"/>
                <w:szCs w:val="22"/>
              </w:rPr>
              <w:t xml:space="preserve"> </w:t>
            </w:r>
            <w:r w:rsidRPr="001C0E54">
              <w:rPr>
                <w:sz w:val="22"/>
                <w:szCs w:val="22"/>
              </w:rPr>
              <w:t>(25)</w:t>
            </w:r>
          </w:p>
        </w:tc>
        <w:tc>
          <w:tcPr>
            <w:tcW w:w="914" w:type="pct"/>
            <w:tcBorders>
              <w:top w:val="single" w:sz="4" w:space="0" w:color="000000"/>
              <w:left w:val="single" w:sz="4" w:space="0" w:color="000000"/>
              <w:bottom w:val="nil"/>
              <w:right w:val="single" w:sz="4" w:space="0" w:color="000000"/>
            </w:tcBorders>
            <w:hideMark/>
          </w:tcPr>
          <w:p w14:paraId="3D2F8776" w14:textId="77777777" w:rsidR="00311DF4" w:rsidRPr="001C0E54" w:rsidRDefault="00311DF4">
            <w:pPr>
              <w:pStyle w:val="TableParagraph"/>
              <w:kinsoku w:val="0"/>
              <w:overflowPunct w:val="0"/>
              <w:spacing w:before="56"/>
              <w:ind w:left="141" w:right="137"/>
              <w:jc w:val="both"/>
              <w:rPr>
                <w:sz w:val="22"/>
                <w:szCs w:val="22"/>
              </w:rPr>
            </w:pPr>
            <w:r w:rsidRPr="001C0E54">
              <w:rPr>
                <w:sz w:val="22"/>
                <w:szCs w:val="22"/>
              </w:rPr>
              <w:t>14</w:t>
            </w:r>
          </w:p>
        </w:tc>
        <w:tc>
          <w:tcPr>
            <w:tcW w:w="1005" w:type="pct"/>
            <w:tcBorders>
              <w:top w:val="single" w:sz="4" w:space="0" w:color="000000"/>
              <w:left w:val="single" w:sz="4" w:space="0" w:color="000000"/>
              <w:bottom w:val="nil"/>
              <w:right w:val="single" w:sz="4" w:space="0" w:color="000000"/>
            </w:tcBorders>
            <w:hideMark/>
          </w:tcPr>
          <w:p w14:paraId="636C83E5" w14:textId="77777777" w:rsidR="00311DF4" w:rsidRPr="001C0E54" w:rsidRDefault="00311DF4">
            <w:pPr>
              <w:pStyle w:val="TableParagraph"/>
              <w:kinsoku w:val="0"/>
              <w:overflowPunct w:val="0"/>
              <w:spacing w:before="56"/>
              <w:ind w:left="580" w:right="579"/>
              <w:jc w:val="both"/>
              <w:rPr>
                <w:sz w:val="22"/>
                <w:szCs w:val="22"/>
              </w:rPr>
            </w:pPr>
            <w:r w:rsidRPr="001C0E54">
              <w:rPr>
                <w:sz w:val="22"/>
                <w:szCs w:val="22"/>
              </w:rPr>
              <w:t>4</w:t>
            </w:r>
            <w:r w:rsidRPr="001C0E54">
              <w:rPr>
                <w:spacing w:val="-2"/>
                <w:sz w:val="22"/>
                <w:szCs w:val="22"/>
              </w:rPr>
              <w:t xml:space="preserve"> </w:t>
            </w:r>
            <w:r w:rsidRPr="001C0E54">
              <w:rPr>
                <w:sz w:val="22"/>
                <w:szCs w:val="22"/>
              </w:rPr>
              <w:t>(22)</w:t>
            </w:r>
          </w:p>
        </w:tc>
      </w:tr>
      <w:tr w:rsidR="00311DF4" w:rsidRPr="001C0E54" w14:paraId="113363BF" w14:textId="77777777" w:rsidTr="002A7948">
        <w:trPr>
          <w:trHeight w:val="314"/>
        </w:trPr>
        <w:tc>
          <w:tcPr>
            <w:tcW w:w="814" w:type="pct"/>
            <w:tcBorders>
              <w:top w:val="nil"/>
              <w:left w:val="single" w:sz="4" w:space="0" w:color="000000"/>
              <w:bottom w:val="nil"/>
              <w:right w:val="single" w:sz="4" w:space="0" w:color="000000"/>
            </w:tcBorders>
            <w:hideMark/>
          </w:tcPr>
          <w:p w14:paraId="6822E00E" w14:textId="77777777" w:rsidR="00311DF4" w:rsidRPr="001C0E54" w:rsidRDefault="00311DF4">
            <w:pPr>
              <w:pStyle w:val="TableParagraph"/>
              <w:kinsoku w:val="0"/>
              <w:overflowPunct w:val="0"/>
              <w:spacing w:before="26"/>
              <w:jc w:val="both"/>
              <w:rPr>
                <w:sz w:val="22"/>
                <w:szCs w:val="22"/>
              </w:rPr>
            </w:pPr>
            <w:r w:rsidRPr="001C0E54">
              <w:rPr>
                <w:sz w:val="22"/>
                <w:szCs w:val="22"/>
              </w:rPr>
              <w:t>75</w:t>
            </w:r>
            <w:r w:rsidRPr="001C0E54">
              <w:rPr>
                <w:spacing w:val="-2"/>
                <w:sz w:val="22"/>
                <w:szCs w:val="22"/>
              </w:rPr>
              <w:t xml:space="preserve"> </w:t>
            </w:r>
            <w:r w:rsidRPr="001C0E54">
              <w:rPr>
                <w:sz w:val="22"/>
                <w:szCs w:val="22"/>
              </w:rPr>
              <w:t>kg</w:t>
            </w:r>
          </w:p>
        </w:tc>
        <w:tc>
          <w:tcPr>
            <w:tcW w:w="551" w:type="pct"/>
            <w:tcBorders>
              <w:top w:val="nil"/>
              <w:left w:val="single" w:sz="4" w:space="0" w:color="000000"/>
              <w:bottom w:val="nil"/>
              <w:right w:val="single" w:sz="4" w:space="0" w:color="000000"/>
            </w:tcBorders>
          </w:tcPr>
          <w:p w14:paraId="1CFA6B5B" w14:textId="77777777" w:rsidR="00311DF4" w:rsidRPr="001C0E54" w:rsidRDefault="00311DF4">
            <w:pPr>
              <w:pStyle w:val="TableParagraph"/>
              <w:kinsoku w:val="0"/>
              <w:overflowPunct w:val="0"/>
              <w:ind w:left="0"/>
              <w:jc w:val="both"/>
              <w:rPr>
                <w:sz w:val="22"/>
                <w:szCs w:val="22"/>
              </w:rPr>
            </w:pPr>
          </w:p>
        </w:tc>
        <w:tc>
          <w:tcPr>
            <w:tcW w:w="576" w:type="pct"/>
            <w:tcBorders>
              <w:top w:val="nil"/>
              <w:left w:val="single" w:sz="4" w:space="0" w:color="000000"/>
              <w:bottom w:val="nil"/>
              <w:right w:val="single" w:sz="4" w:space="0" w:color="000000"/>
            </w:tcBorders>
            <w:hideMark/>
          </w:tcPr>
          <w:p w14:paraId="4DF5359C" w14:textId="77777777" w:rsidR="00311DF4" w:rsidRPr="001C0E54" w:rsidRDefault="00311DF4">
            <w:pPr>
              <w:pStyle w:val="TableParagraph"/>
              <w:kinsoku w:val="0"/>
              <w:overflowPunct w:val="0"/>
              <w:spacing w:before="26"/>
              <w:ind w:left="104"/>
              <w:jc w:val="both"/>
              <w:rPr>
                <w:sz w:val="22"/>
                <w:szCs w:val="22"/>
              </w:rPr>
            </w:pPr>
            <w:r w:rsidRPr="001C0E54">
              <w:rPr>
                <w:sz w:val="22"/>
                <w:szCs w:val="22"/>
              </w:rPr>
              <w:t>Moderate</w:t>
            </w:r>
          </w:p>
        </w:tc>
        <w:tc>
          <w:tcPr>
            <w:tcW w:w="296" w:type="pct"/>
            <w:tcBorders>
              <w:top w:val="nil"/>
              <w:left w:val="single" w:sz="4" w:space="0" w:color="000000"/>
              <w:bottom w:val="nil"/>
              <w:right w:val="single" w:sz="4" w:space="0" w:color="000000"/>
            </w:tcBorders>
            <w:hideMark/>
          </w:tcPr>
          <w:p w14:paraId="53167A50" w14:textId="77777777" w:rsidR="00311DF4" w:rsidRPr="001C0E54" w:rsidRDefault="00311DF4">
            <w:pPr>
              <w:pStyle w:val="TableParagraph"/>
              <w:kinsoku w:val="0"/>
              <w:overflowPunct w:val="0"/>
              <w:spacing w:before="26"/>
              <w:ind w:left="161"/>
              <w:jc w:val="both"/>
              <w:rPr>
                <w:sz w:val="22"/>
                <w:szCs w:val="22"/>
              </w:rPr>
            </w:pPr>
            <w:r w:rsidRPr="001C0E54">
              <w:rPr>
                <w:sz w:val="22"/>
                <w:szCs w:val="22"/>
              </w:rPr>
              <w:t>30</w:t>
            </w:r>
          </w:p>
        </w:tc>
        <w:tc>
          <w:tcPr>
            <w:tcW w:w="843" w:type="pct"/>
            <w:tcBorders>
              <w:top w:val="nil"/>
              <w:left w:val="single" w:sz="4" w:space="0" w:color="000000"/>
              <w:bottom w:val="nil"/>
              <w:right w:val="single" w:sz="4" w:space="0" w:color="000000"/>
            </w:tcBorders>
            <w:hideMark/>
          </w:tcPr>
          <w:p w14:paraId="205F2455" w14:textId="77777777" w:rsidR="00311DF4" w:rsidRPr="001C0E54" w:rsidRDefault="00311DF4">
            <w:pPr>
              <w:pStyle w:val="TableParagraph"/>
              <w:kinsoku w:val="0"/>
              <w:overflowPunct w:val="0"/>
              <w:spacing w:before="26"/>
              <w:ind w:left="452"/>
              <w:jc w:val="both"/>
              <w:rPr>
                <w:sz w:val="22"/>
                <w:szCs w:val="22"/>
              </w:rPr>
            </w:pPr>
            <w:r w:rsidRPr="001C0E54">
              <w:rPr>
                <w:sz w:val="22"/>
                <w:szCs w:val="22"/>
              </w:rPr>
              <w:t>28</w:t>
            </w:r>
            <w:r w:rsidRPr="001C0E54">
              <w:rPr>
                <w:spacing w:val="-2"/>
                <w:sz w:val="22"/>
                <w:szCs w:val="22"/>
              </w:rPr>
              <w:t xml:space="preserve"> </w:t>
            </w:r>
            <w:r w:rsidRPr="001C0E54">
              <w:rPr>
                <w:sz w:val="22"/>
                <w:szCs w:val="22"/>
              </w:rPr>
              <w:t>(24)</w:t>
            </w:r>
          </w:p>
        </w:tc>
        <w:tc>
          <w:tcPr>
            <w:tcW w:w="914" w:type="pct"/>
            <w:tcBorders>
              <w:top w:val="nil"/>
              <w:left w:val="single" w:sz="4" w:space="0" w:color="000000"/>
              <w:bottom w:val="nil"/>
              <w:right w:val="single" w:sz="4" w:space="0" w:color="000000"/>
            </w:tcBorders>
            <w:hideMark/>
          </w:tcPr>
          <w:p w14:paraId="7D019F7A" w14:textId="77777777" w:rsidR="00311DF4" w:rsidRPr="001C0E54" w:rsidRDefault="00311DF4">
            <w:pPr>
              <w:pStyle w:val="TableParagraph"/>
              <w:kinsoku w:val="0"/>
              <w:overflowPunct w:val="0"/>
              <w:spacing w:before="26"/>
              <w:ind w:left="141" w:right="137"/>
              <w:jc w:val="both"/>
              <w:rPr>
                <w:sz w:val="22"/>
                <w:szCs w:val="22"/>
              </w:rPr>
            </w:pPr>
            <w:r w:rsidRPr="001C0E54">
              <w:rPr>
                <w:sz w:val="22"/>
                <w:szCs w:val="22"/>
              </w:rPr>
              <w:t>14</w:t>
            </w:r>
          </w:p>
        </w:tc>
        <w:tc>
          <w:tcPr>
            <w:tcW w:w="1005" w:type="pct"/>
            <w:tcBorders>
              <w:top w:val="nil"/>
              <w:left w:val="single" w:sz="4" w:space="0" w:color="000000"/>
              <w:bottom w:val="nil"/>
              <w:right w:val="single" w:sz="4" w:space="0" w:color="000000"/>
            </w:tcBorders>
            <w:hideMark/>
          </w:tcPr>
          <w:p w14:paraId="424FF9EA" w14:textId="77777777" w:rsidR="00311DF4" w:rsidRPr="001C0E54" w:rsidRDefault="00311DF4">
            <w:pPr>
              <w:pStyle w:val="TableParagraph"/>
              <w:kinsoku w:val="0"/>
              <w:overflowPunct w:val="0"/>
              <w:spacing w:before="26"/>
              <w:ind w:left="580" w:right="579"/>
              <w:jc w:val="both"/>
              <w:rPr>
                <w:sz w:val="22"/>
                <w:szCs w:val="22"/>
              </w:rPr>
            </w:pPr>
            <w:r w:rsidRPr="001C0E54">
              <w:rPr>
                <w:sz w:val="22"/>
                <w:szCs w:val="22"/>
              </w:rPr>
              <w:t>7</w:t>
            </w:r>
            <w:r w:rsidRPr="001C0E54">
              <w:rPr>
                <w:spacing w:val="-2"/>
                <w:sz w:val="22"/>
                <w:szCs w:val="22"/>
              </w:rPr>
              <w:t xml:space="preserve"> </w:t>
            </w:r>
            <w:r w:rsidRPr="001C0E54">
              <w:rPr>
                <w:sz w:val="22"/>
                <w:szCs w:val="22"/>
              </w:rPr>
              <w:t>(23)</w:t>
            </w:r>
          </w:p>
        </w:tc>
      </w:tr>
      <w:tr w:rsidR="00311DF4" w:rsidRPr="001C0E54" w14:paraId="738FEBA8" w14:textId="77777777" w:rsidTr="002A7948">
        <w:trPr>
          <w:trHeight w:val="284"/>
        </w:trPr>
        <w:tc>
          <w:tcPr>
            <w:tcW w:w="814" w:type="pct"/>
            <w:tcBorders>
              <w:top w:val="nil"/>
              <w:left w:val="single" w:sz="4" w:space="0" w:color="000000"/>
              <w:bottom w:val="single" w:sz="4" w:space="0" w:color="000000"/>
              <w:right w:val="single" w:sz="4" w:space="0" w:color="000000"/>
            </w:tcBorders>
          </w:tcPr>
          <w:p w14:paraId="7B8652C7" w14:textId="77777777" w:rsidR="00311DF4" w:rsidRPr="001C0E54" w:rsidRDefault="00311DF4">
            <w:pPr>
              <w:pStyle w:val="TableParagraph"/>
              <w:kinsoku w:val="0"/>
              <w:overflowPunct w:val="0"/>
              <w:ind w:left="0"/>
              <w:jc w:val="both"/>
              <w:rPr>
                <w:sz w:val="22"/>
                <w:szCs w:val="22"/>
              </w:rPr>
            </w:pPr>
          </w:p>
        </w:tc>
        <w:tc>
          <w:tcPr>
            <w:tcW w:w="551" w:type="pct"/>
            <w:tcBorders>
              <w:top w:val="nil"/>
              <w:left w:val="single" w:sz="4" w:space="0" w:color="000000"/>
              <w:bottom w:val="single" w:sz="4" w:space="0" w:color="000000"/>
              <w:right w:val="single" w:sz="4" w:space="0" w:color="000000"/>
            </w:tcBorders>
          </w:tcPr>
          <w:p w14:paraId="6B228591" w14:textId="77777777" w:rsidR="00311DF4" w:rsidRPr="001C0E54" w:rsidRDefault="00311DF4">
            <w:pPr>
              <w:pStyle w:val="TableParagraph"/>
              <w:kinsoku w:val="0"/>
              <w:overflowPunct w:val="0"/>
              <w:ind w:left="0"/>
              <w:jc w:val="both"/>
              <w:rPr>
                <w:sz w:val="22"/>
                <w:szCs w:val="22"/>
              </w:rPr>
            </w:pPr>
          </w:p>
        </w:tc>
        <w:tc>
          <w:tcPr>
            <w:tcW w:w="576" w:type="pct"/>
            <w:tcBorders>
              <w:top w:val="nil"/>
              <w:left w:val="single" w:sz="4" w:space="0" w:color="000000"/>
              <w:bottom w:val="single" w:sz="4" w:space="0" w:color="000000"/>
              <w:right w:val="single" w:sz="4" w:space="0" w:color="000000"/>
            </w:tcBorders>
            <w:hideMark/>
          </w:tcPr>
          <w:p w14:paraId="266AED76" w14:textId="77777777" w:rsidR="00311DF4" w:rsidRPr="001C0E54" w:rsidRDefault="00311DF4">
            <w:pPr>
              <w:pStyle w:val="TableParagraph"/>
              <w:kinsoku w:val="0"/>
              <w:overflowPunct w:val="0"/>
              <w:spacing w:before="26" w:line="238" w:lineRule="exact"/>
              <w:ind w:left="104"/>
              <w:jc w:val="both"/>
              <w:rPr>
                <w:sz w:val="22"/>
                <w:szCs w:val="22"/>
              </w:rPr>
            </w:pPr>
            <w:r w:rsidRPr="001C0E54">
              <w:rPr>
                <w:sz w:val="22"/>
                <w:szCs w:val="22"/>
              </w:rPr>
              <w:t>Severe</w:t>
            </w:r>
          </w:p>
        </w:tc>
        <w:tc>
          <w:tcPr>
            <w:tcW w:w="296" w:type="pct"/>
            <w:tcBorders>
              <w:top w:val="nil"/>
              <w:left w:val="single" w:sz="4" w:space="0" w:color="000000"/>
              <w:bottom w:val="single" w:sz="4" w:space="0" w:color="000000"/>
              <w:right w:val="single" w:sz="4" w:space="0" w:color="000000"/>
            </w:tcBorders>
            <w:hideMark/>
          </w:tcPr>
          <w:p w14:paraId="6F247CFD" w14:textId="77777777" w:rsidR="00311DF4" w:rsidRPr="001C0E54" w:rsidRDefault="00311DF4">
            <w:pPr>
              <w:pStyle w:val="TableParagraph"/>
              <w:kinsoku w:val="0"/>
              <w:overflowPunct w:val="0"/>
              <w:spacing w:before="26" w:line="238" w:lineRule="exact"/>
              <w:ind w:left="161"/>
              <w:jc w:val="both"/>
              <w:rPr>
                <w:sz w:val="22"/>
                <w:szCs w:val="22"/>
              </w:rPr>
            </w:pPr>
            <w:r w:rsidRPr="001C0E54">
              <w:rPr>
                <w:sz w:val="22"/>
                <w:szCs w:val="22"/>
              </w:rPr>
              <w:t>10</w:t>
            </w:r>
          </w:p>
        </w:tc>
        <w:tc>
          <w:tcPr>
            <w:tcW w:w="843" w:type="pct"/>
            <w:tcBorders>
              <w:top w:val="nil"/>
              <w:left w:val="single" w:sz="4" w:space="0" w:color="000000"/>
              <w:bottom w:val="single" w:sz="4" w:space="0" w:color="000000"/>
              <w:right w:val="single" w:sz="4" w:space="0" w:color="000000"/>
            </w:tcBorders>
            <w:hideMark/>
          </w:tcPr>
          <w:p w14:paraId="65DBEDCB" w14:textId="77777777" w:rsidR="00311DF4" w:rsidRPr="001C0E54" w:rsidRDefault="00311DF4">
            <w:pPr>
              <w:pStyle w:val="TableParagraph"/>
              <w:kinsoku w:val="0"/>
              <w:overflowPunct w:val="0"/>
              <w:spacing w:before="26" w:line="238" w:lineRule="exact"/>
              <w:ind w:left="507"/>
              <w:jc w:val="both"/>
              <w:rPr>
                <w:sz w:val="22"/>
                <w:szCs w:val="22"/>
              </w:rPr>
            </w:pPr>
            <w:r w:rsidRPr="001C0E54">
              <w:rPr>
                <w:spacing w:val="-2"/>
                <w:sz w:val="22"/>
                <w:szCs w:val="22"/>
              </w:rPr>
              <w:t>8</w:t>
            </w:r>
            <w:r w:rsidRPr="001C0E54">
              <w:rPr>
                <w:sz w:val="22"/>
                <w:szCs w:val="22"/>
              </w:rPr>
              <w:t>(25)</w:t>
            </w:r>
          </w:p>
        </w:tc>
        <w:tc>
          <w:tcPr>
            <w:tcW w:w="914" w:type="pct"/>
            <w:tcBorders>
              <w:top w:val="nil"/>
              <w:left w:val="single" w:sz="4" w:space="0" w:color="000000"/>
              <w:bottom w:val="single" w:sz="4" w:space="0" w:color="000000"/>
              <w:right w:val="single" w:sz="4" w:space="0" w:color="000000"/>
            </w:tcBorders>
            <w:hideMark/>
          </w:tcPr>
          <w:p w14:paraId="413E7690" w14:textId="77777777" w:rsidR="00311DF4" w:rsidRPr="001C0E54" w:rsidRDefault="00311DF4">
            <w:pPr>
              <w:pStyle w:val="TableParagraph"/>
              <w:kinsoku w:val="0"/>
              <w:overflowPunct w:val="0"/>
              <w:spacing w:before="26" w:line="238" w:lineRule="exact"/>
              <w:ind w:left="141" w:right="137"/>
              <w:jc w:val="both"/>
              <w:rPr>
                <w:sz w:val="22"/>
                <w:szCs w:val="22"/>
              </w:rPr>
            </w:pPr>
            <w:r w:rsidRPr="001C0E54">
              <w:rPr>
                <w:sz w:val="22"/>
                <w:szCs w:val="22"/>
              </w:rPr>
              <w:t>15</w:t>
            </w:r>
          </w:p>
        </w:tc>
        <w:tc>
          <w:tcPr>
            <w:tcW w:w="1005" w:type="pct"/>
            <w:tcBorders>
              <w:top w:val="nil"/>
              <w:left w:val="single" w:sz="4" w:space="0" w:color="000000"/>
              <w:bottom w:val="single" w:sz="4" w:space="0" w:color="000000"/>
              <w:right w:val="single" w:sz="4" w:space="0" w:color="000000"/>
            </w:tcBorders>
            <w:hideMark/>
          </w:tcPr>
          <w:p w14:paraId="145748C8" w14:textId="77777777" w:rsidR="00311DF4" w:rsidRPr="001C0E54" w:rsidRDefault="00311DF4">
            <w:pPr>
              <w:pStyle w:val="TableParagraph"/>
              <w:kinsoku w:val="0"/>
              <w:overflowPunct w:val="0"/>
              <w:spacing w:before="26" w:line="238" w:lineRule="exact"/>
              <w:ind w:left="580" w:right="579"/>
              <w:jc w:val="both"/>
              <w:rPr>
                <w:sz w:val="22"/>
                <w:szCs w:val="22"/>
              </w:rPr>
            </w:pPr>
            <w:r w:rsidRPr="001C0E54">
              <w:rPr>
                <w:sz w:val="22"/>
                <w:szCs w:val="22"/>
              </w:rPr>
              <w:t>24</w:t>
            </w:r>
            <w:r w:rsidRPr="001C0E54">
              <w:rPr>
                <w:spacing w:val="-3"/>
                <w:sz w:val="22"/>
                <w:szCs w:val="22"/>
              </w:rPr>
              <w:t xml:space="preserve"> </w:t>
            </w:r>
            <w:r w:rsidRPr="001C0E54">
              <w:rPr>
                <w:sz w:val="22"/>
                <w:szCs w:val="22"/>
              </w:rPr>
              <w:t>(25)</w:t>
            </w:r>
          </w:p>
        </w:tc>
      </w:tr>
      <w:tr w:rsidR="00311DF4" w:rsidRPr="001C0E54" w14:paraId="089324CF" w14:textId="77777777" w:rsidTr="002A7948">
        <w:trPr>
          <w:trHeight w:val="316"/>
        </w:trPr>
        <w:tc>
          <w:tcPr>
            <w:tcW w:w="814" w:type="pct"/>
            <w:tcBorders>
              <w:top w:val="single" w:sz="4" w:space="0" w:color="000000"/>
              <w:left w:val="single" w:sz="4" w:space="0" w:color="000000"/>
              <w:bottom w:val="single" w:sz="4" w:space="0" w:color="000000"/>
              <w:right w:val="single" w:sz="4" w:space="0" w:color="000000"/>
            </w:tcBorders>
            <w:hideMark/>
          </w:tcPr>
          <w:p w14:paraId="7350856A" w14:textId="77777777" w:rsidR="00311DF4" w:rsidRPr="001C0E54" w:rsidRDefault="00311DF4">
            <w:pPr>
              <w:pStyle w:val="TableParagraph"/>
              <w:kinsoku w:val="0"/>
              <w:overflowPunct w:val="0"/>
              <w:spacing w:before="56" w:line="240" w:lineRule="exact"/>
              <w:jc w:val="both"/>
              <w:rPr>
                <w:sz w:val="22"/>
                <w:szCs w:val="22"/>
              </w:rPr>
            </w:pPr>
            <w:r w:rsidRPr="001C0E54">
              <w:rPr>
                <w:sz w:val="22"/>
                <w:szCs w:val="22"/>
              </w:rPr>
              <w:t>Elderly</w:t>
            </w:r>
          </w:p>
        </w:tc>
        <w:tc>
          <w:tcPr>
            <w:tcW w:w="551" w:type="pct"/>
            <w:tcBorders>
              <w:top w:val="single" w:sz="4" w:space="0" w:color="000000"/>
              <w:left w:val="single" w:sz="4" w:space="0" w:color="000000"/>
              <w:bottom w:val="single" w:sz="4" w:space="0" w:color="000000"/>
              <w:right w:val="single" w:sz="4" w:space="0" w:color="000000"/>
            </w:tcBorders>
            <w:hideMark/>
          </w:tcPr>
          <w:p w14:paraId="731B173C" w14:textId="77777777" w:rsidR="00311DF4" w:rsidRPr="001C0E54" w:rsidRDefault="00311DF4">
            <w:pPr>
              <w:pStyle w:val="TableParagraph"/>
              <w:kinsoku w:val="0"/>
              <w:overflowPunct w:val="0"/>
              <w:spacing w:before="56" w:line="240" w:lineRule="exact"/>
              <w:jc w:val="both"/>
              <w:rPr>
                <w:sz w:val="22"/>
                <w:szCs w:val="22"/>
              </w:rPr>
            </w:pPr>
            <w:r w:rsidRPr="001C0E54">
              <w:rPr>
                <w:sz w:val="22"/>
                <w:szCs w:val="22"/>
              </w:rPr>
              <w:t>Normal</w:t>
            </w:r>
          </w:p>
        </w:tc>
        <w:tc>
          <w:tcPr>
            <w:tcW w:w="576" w:type="pct"/>
            <w:tcBorders>
              <w:top w:val="single" w:sz="4" w:space="0" w:color="000000"/>
              <w:left w:val="single" w:sz="4" w:space="0" w:color="000000"/>
              <w:bottom w:val="single" w:sz="4" w:space="0" w:color="000000"/>
              <w:right w:val="single" w:sz="4" w:space="0" w:color="000000"/>
            </w:tcBorders>
          </w:tcPr>
          <w:p w14:paraId="71575001" w14:textId="77777777" w:rsidR="00311DF4" w:rsidRPr="001C0E54" w:rsidRDefault="00311DF4">
            <w:pPr>
              <w:pStyle w:val="TableParagraph"/>
              <w:kinsoku w:val="0"/>
              <w:overflowPunct w:val="0"/>
              <w:ind w:left="0"/>
              <w:jc w:val="both"/>
              <w:rPr>
                <w:sz w:val="22"/>
                <w:szCs w:val="22"/>
              </w:rPr>
            </w:pPr>
          </w:p>
        </w:tc>
        <w:tc>
          <w:tcPr>
            <w:tcW w:w="296" w:type="pct"/>
            <w:tcBorders>
              <w:top w:val="single" w:sz="4" w:space="0" w:color="000000"/>
              <w:left w:val="single" w:sz="4" w:space="0" w:color="000000"/>
              <w:bottom w:val="single" w:sz="4" w:space="0" w:color="000000"/>
              <w:right w:val="single" w:sz="4" w:space="0" w:color="000000"/>
            </w:tcBorders>
            <w:hideMark/>
          </w:tcPr>
          <w:p w14:paraId="3DA53644" w14:textId="77777777" w:rsidR="00311DF4" w:rsidRPr="001C0E54" w:rsidRDefault="00311DF4">
            <w:pPr>
              <w:pStyle w:val="TableParagraph"/>
              <w:kinsoku w:val="0"/>
              <w:overflowPunct w:val="0"/>
              <w:spacing w:before="56" w:line="240" w:lineRule="exact"/>
              <w:ind w:left="161"/>
              <w:jc w:val="both"/>
              <w:rPr>
                <w:sz w:val="22"/>
                <w:szCs w:val="22"/>
              </w:rPr>
            </w:pPr>
            <w:r w:rsidRPr="001C0E54">
              <w:rPr>
                <w:sz w:val="22"/>
                <w:szCs w:val="22"/>
              </w:rPr>
              <w:t>80</w:t>
            </w:r>
          </w:p>
        </w:tc>
        <w:tc>
          <w:tcPr>
            <w:tcW w:w="843" w:type="pct"/>
            <w:tcBorders>
              <w:top w:val="single" w:sz="4" w:space="0" w:color="000000"/>
              <w:left w:val="single" w:sz="4" w:space="0" w:color="000000"/>
              <w:bottom w:val="single" w:sz="4" w:space="0" w:color="000000"/>
              <w:right w:val="single" w:sz="4" w:space="0" w:color="000000"/>
            </w:tcBorders>
            <w:hideMark/>
          </w:tcPr>
          <w:p w14:paraId="061FAAF2" w14:textId="77777777" w:rsidR="00311DF4" w:rsidRPr="001C0E54" w:rsidRDefault="00311DF4">
            <w:pPr>
              <w:pStyle w:val="TableParagraph"/>
              <w:kinsoku w:val="0"/>
              <w:overflowPunct w:val="0"/>
              <w:spacing w:before="56" w:line="240" w:lineRule="exact"/>
              <w:ind w:left="452"/>
              <w:jc w:val="both"/>
              <w:rPr>
                <w:sz w:val="22"/>
                <w:szCs w:val="22"/>
              </w:rPr>
            </w:pPr>
            <w:r w:rsidRPr="001C0E54">
              <w:rPr>
                <w:sz w:val="22"/>
                <w:szCs w:val="22"/>
              </w:rPr>
              <w:t>70</w:t>
            </w:r>
            <w:r w:rsidRPr="001C0E54">
              <w:rPr>
                <w:spacing w:val="-3"/>
                <w:sz w:val="22"/>
                <w:szCs w:val="22"/>
              </w:rPr>
              <w:t xml:space="preserve"> </w:t>
            </w:r>
            <w:r w:rsidRPr="001C0E54">
              <w:rPr>
                <w:sz w:val="22"/>
                <w:szCs w:val="22"/>
              </w:rPr>
              <w:t>(24)</w:t>
            </w:r>
          </w:p>
        </w:tc>
        <w:tc>
          <w:tcPr>
            <w:tcW w:w="914" w:type="pct"/>
            <w:tcBorders>
              <w:top w:val="single" w:sz="4" w:space="0" w:color="000000"/>
              <w:left w:val="single" w:sz="4" w:space="0" w:color="000000"/>
              <w:bottom w:val="single" w:sz="4" w:space="0" w:color="000000"/>
              <w:right w:val="single" w:sz="4" w:space="0" w:color="000000"/>
            </w:tcBorders>
            <w:hideMark/>
          </w:tcPr>
          <w:p w14:paraId="07EDAA09" w14:textId="77777777" w:rsidR="00311DF4" w:rsidRPr="001C0E54" w:rsidRDefault="00311DF4">
            <w:pPr>
              <w:pStyle w:val="TableParagraph"/>
              <w:kinsoku w:val="0"/>
              <w:overflowPunct w:val="0"/>
              <w:spacing w:before="56" w:line="240" w:lineRule="exact"/>
              <w:ind w:left="141" w:right="137"/>
              <w:jc w:val="both"/>
              <w:rPr>
                <w:sz w:val="22"/>
                <w:szCs w:val="22"/>
              </w:rPr>
            </w:pPr>
            <w:r w:rsidRPr="001C0E54">
              <w:rPr>
                <w:sz w:val="22"/>
                <w:szCs w:val="22"/>
              </w:rPr>
              <w:t>13</w:t>
            </w:r>
          </w:p>
        </w:tc>
        <w:tc>
          <w:tcPr>
            <w:tcW w:w="1005" w:type="pct"/>
            <w:tcBorders>
              <w:top w:val="single" w:sz="4" w:space="0" w:color="000000"/>
              <w:left w:val="single" w:sz="4" w:space="0" w:color="000000"/>
              <w:bottom w:val="single" w:sz="4" w:space="0" w:color="000000"/>
              <w:right w:val="single" w:sz="4" w:space="0" w:color="000000"/>
            </w:tcBorders>
            <w:hideMark/>
          </w:tcPr>
          <w:p w14:paraId="43A0BD83" w14:textId="77777777" w:rsidR="00311DF4" w:rsidRPr="001C0E54" w:rsidRDefault="00311DF4">
            <w:pPr>
              <w:pStyle w:val="TableParagraph"/>
              <w:kinsoku w:val="0"/>
              <w:overflowPunct w:val="0"/>
              <w:spacing w:before="56" w:line="240" w:lineRule="exact"/>
              <w:ind w:left="580" w:right="579"/>
              <w:jc w:val="both"/>
              <w:rPr>
                <w:sz w:val="22"/>
                <w:szCs w:val="22"/>
              </w:rPr>
            </w:pPr>
            <w:r w:rsidRPr="001C0E54">
              <w:rPr>
                <w:sz w:val="22"/>
                <w:szCs w:val="22"/>
              </w:rPr>
              <w:t>3</w:t>
            </w:r>
            <w:r w:rsidRPr="001C0E54">
              <w:rPr>
                <w:spacing w:val="-1"/>
                <w:sz w:val="22"/>
                <w:szCs w:val="22"/>
              </w:rPr>
              <w:t xml:space="preserve"> </w:t>
            </w:r>
            <w:r w:rsidRPr="001C0E54">
              <w:rPr>
                <w:sz w:val="22"/>
                <w:szCs w:val="22"/>
              </w:rPr>
              <w:t>(21)</w:t>
            </w:r>
          </w:p>
        </w:tc>
      </w:tr>
      <w:tr w:rsidR="00311DF4" w:rsidRPr="001C0E54" w14:paraId="6F65BA55" w14:textId="77777777" w:rsidTr="002A7948">
        <w:trPr>
          <w:trHeight w:val="344"/>
        </w:trPr>
        <w:tc>
          <w:tcPr>
            <w:tcW w:w="814" w:type="pct"/>
            <w:tcBorders>
              <w:top w:val="single" w:sz="4" w:space="0" w:color="000000"/>
              <w:left w:val="single" w:sz="4" w:space="0" w:color="000000"/>
              <w:bottom w:val="nil"/>
              <w:right w:val="single" w:sz="4" w:space="0" w:color="000000"/>
            </w:tcBorders>
            <w:hideMark/>
          </w:tcPr>
          <w:p w14:paraId="0FF7C0FD" w14:textId="77777777" w:rsidR="00311DF4" w:rsidRPr="001C0E54" w:rsidRDefault="00311DF4">
            <w:pPr>
              <w:pStyle w:val="TableParagraph"/>
              <w:kinsoku w:val="0"/>
              <w:overflowPunct w:val="0"/>
              <w:spacing w:before="56"/>
              <w:jc w:val="both"/>
              <w:rPr>
                <w:sz w:val="22"/>
                <w:szCs w:val="22"/>
              </w:rPr>
            </w:pPr>
            <w:r w:rsidRPr="001C0E54">
              <w:rPr>
                <w:sz w:val="22"/>
                <w:szCs w:val="22"/>
              </w:rPr>
              <w:t>75</w:t>
            </w:r>
            <w:r w:rsidRPr="001C0E54">
              <w:rPr>
                <w:spacing w:val="-2"/>
                <w:sz w:val="22"/>
                <w:szCs w:val="22"/>
              </w:rPr>
              <w:t xml:space="preserve"> </w:t>
            </w:r>
            <w:proofErr w:type="spellStart"/>
            <w:r w:rsidRPr="001C0E54">
              <w:rPr>
                <w:sz w:val="22"/>
                <w:szCs w:val="22"/>
              </w:rPr>
              <w:t>yrs</w:t>
            </w:r>
            <w:proofErr w:type="spellEnd"/>
          </w:p>
        </w:tc>
        <w:tc>
          <w:tcPr>
            <w:tcW w:w="551" w:type="pct"/>
            <w:tcBorders>
              <w:top w:val="single" w:sz="4" w:space="0" w:color="000000"/>
              <w:left w:val="single" w:sz="4" w:space="0" w:color="000000"/>
              <w:bottom w:val="nil"/>
              <w:right w:val="single" w:sz="4" w:space="0" w:color="000000"/>
            </w:tcBorders>
            <w:hideMark/>
          </w:tcPr>
          <w:p w14:paraId="2EB36EB2" w14:textId="77777777" w:rsidR="00311DF4" w:rsidRPr="001C0E54" w:rsidRDefault="00311DF4">
            <w:pPr>
              <w:pStyle w:val="TableParagraph"/>
              <w:kinsoku w:val="0"/>
              <w:overflowPunct w:val="0"/>
              <w:spacing w:before="56"/>
              <w:jc w:val="both"/>
              <w:rPr>
                <w:sz w:val="22"/>
                <w:szCs w:val="22"/>
              </w:rPr>
            </w:pPr>
            <w:r w:rsidRPr="001C0E54">
              <w:rPr>
                <w:sz w:val="22"/>
                <w:szCs w:val="22"/>
              </w:rPr>
              <w:t>Impaired</w:t>
            </w:r>
          </w:p>
        </w:tc>
        <w:tc>
          <w:tcPr>
            <w:tcW w:w="576" w:type="pct"/>
            <w:tcBorders>
              <w:top w:val="single" w:sz="4" w:space="0" w:color="000000"/>
              <w:left w:val="single" w:sz="4" w:space="0" w:color="000000"/>
              <w:bottom w:val="nil"/>
              <w:right w:val="single" w:sz="4" w:space="0" w:color="000000"/>
            </w:tcBorders>
            <w:hideMark/>
          </w:tcPr>
          <w:p w14:paraId="34AA72C3" w14:textId="77777777" w:rsidR="00311DF4" w:rsidRPr="001C0E54" w:rsidRDefault="00311DF4">
            <w:pPr>
              <w:pStyle w:val="TableParagraph"/>
              <w:kinsoku w:val="0"/>
              <w:overflowPunct w:val="0"/>
              <w:spacing w:before="56"/>
              <w:ind w:left="104"/>
              <w:jc w:val="both"/>
              <w:rPr>
                <w:sz w:val="22"/>
                <w:szCs w:val="22"/>
              </w:rPr>
            </w:pPr>
            <w:r w:rsidRPr="001C0E54">
              <w:rPr>
                <w:sz w:val="22"/>
                <w:szCs w:val="22"/>
              </w:rPr>
              <w:t>Mild</w:t>
            </w:r>
          </w:p>
        </w:tc>
        <w:tc>
          <w:tcPr>
            <w:tcW w:w="296" w:type="pct"/>
            <w:tcBorders>
              <w:top w:val="single" w:sz="4" w:space="0" w:color="000000"/>
              <w:left w:val="single" w:sz="4" w:space="0" w:color="000000"/>
              <w:bottom w:val="nil"/>
              <w:right w:val="single" w:sz="4" w:space="0" w:color="000000"/>
            </w:tcBorders>
            <w:hideMark/>
          </w:tcPr>
          <w:p w14:paraId="0A01835A" w14:textId="77777777" w:rsidR="00311DF4" w:rsidRPr="001C0E54" w:rsidRDefault="00311DF4">
            <w:pPr>
              <w:pStyle w:val="TableParagraph"/>
              <w:kinsoku w:val="0"/>
              <w:overflowPunct w:val="0"/>
              <w:spacing w:before="56"/>
              <w:ind w:left="161"/>
              <w:jc w:val="both"/>
              <w:rPr>
                <w:sz w:val="22"/>
                <w:szCs w:val="22"/>
              </w:rPr>
            </w:pPr>
            <w:r w:rsidRPr="001C0E54">
              <w:rPr>
                <w:sz w:val="22"/>
                <w:szCs w:val="22"/>
              </w:rPr>
              <w:t>50</w:t>
            </w:r>
          </w:p>
        </w:tc>
        <w:tc>
          <w:tcPr>
            <w:tcW w:w="843" w:type="pct"/>
            <w:tcBorders>
              <w:top w:val="single" w:sz="4" w:space="0" w:color="000000"/>
              <w:left w:val="single" w:sz="4" w:space="0" w:color="000000"/>
              <w:bottom w:val="nil"/>
              <w:right w:val="single" w:sz="4" w:space="0" w:color="000000"/>
            </w:tcBorders>
            <w:hideMark/>
          </w:tcPr>
          <w:p w14:paraId="7718C55F" w14:textId="77777777" w:rsidR="00311DF4" w:rsidRPr="001C0E54" w:rsidRDefault="00311DF4">
            <w:pPr>
              <w:pStyle w:val="TableParagraph"/>
              <w:kinsoku w:val="0"/>
              <w:overflowPunct w:val="0"/>
              <w:spacing w:before="56"/>
              <w:ind w:left="452"/>
              <w:jc w:val="both"/>
              <w:rPr>
                <w:sz w:val="22"/>
                <w:szCs w:val="22"/>
              </w:rPr>
            </w:pPr>
            <w:r w:rsidRPr="001C0E54">
              <w:rPr>
                <w:sz w:val="22"/>
                <w:szCs w:val="22"/>
              </w:rPr>
              <w:t>46</w:t>
            </w:r>
            <w:r w:rsidRPr="001C0E54">
              <w:rPr>
                <w:spacing w:val="-3"/>
                <w:sz w:val="22"/>
                <w:szCs w:val="22"/>
              </w:rPr>
              <w:t xml:space="preserve"> </w:t>
            </w:r>
            <w:r w:rsidRPr="001C0E54">
              <w:rPr>
                <w:sz w:val="22"/>
                <w:szCs w:val="22"/>
              </w:rPr>
              <w:t>(25)</w:t>
            </w:r>
          </w:p>
        </w:tc>
        <w:tc>
          <w:tcPr>
            <w:tcW w:w="914" w:type="pct"/>
            <w:tcBorders>
              <w:top w:val="single" w:sz="4" w:space="0" w:color="000000"/>
              <w:left w:val="single" w:sz="4" w:space="0" w:color="000000"/>
              <w:bottom w:val="nil"/>
              <w:right w:val="single" w:sz="4" w:space="0" w:color="000000"/>
            </w:tcBorders>
            <w:hideMark/>
          </w:tcPr>
          <w:p w14:paraId="0C58B7C3" w14:textId="77777777" w:rsidR="00311DF4" w:rsidRPr="001C0E54" w:rsidRDefault="00311DF4">
            <w:pPr>
              <w:pStyle w:val="TableParagraph"/>
              <w:kinsoku w:val="0"/>
              <w:overflowPunct w:val="0"/>
              <w:spacing w:before="56"/>
              <w:ind w:left="141" w:right="137"/>
              <w:jc w:val="both"/>
              <w:rPr>
                <w:sz w:val="22"/>
                <w:szCs w:val="22"/>
              </w:rPr>
            </w:pPr>
            <w:r w:rsidRPr="001C0E54">
              <w:rPr>
                <w:sz w:val="22"/>
                <w:szCs w:val="22"/>
              </w:rPr>
              <w:t>14</w:t>
            </w:r>
          </w:p>
        </w:tc>
        <w:tc>
          <w:tcPr>
            <w:tcW w:w="1005" w:type="pct"/>
            <w:tcBorders>
              <w:top w:val="single" w:sz="4" w:space="0" w:color="000000"/>
              <w:left w:val="single" w:sz="4" w:space="0" w:color="000000"/>
              <w:bottom w:val="nil"/>
              <w:right w:val="single" w:sz="4" w:space="0" w:color="000000"/>
            </w:tcBorders>
            <w:hideMark/>
          </w:tcPr>
          <w:p w14:paraId="428E7D32" w14:textId="77777777" w:rsidR="00311DF4" w:rsidRPr="001C0E54" w:rsidRDefault="00311DF4">
            <w:pPr>
              <w:pStyle w:val="TableParagraph"/>
              <w:kinsoku w:val="0"/>
              <w:overflowPunct w:val="0"/>
              <w:spacing w:before="56"/>
              <w:ind w:left="580" w:right="579"/>
              <w:jc w:val="both"/>
              <w:rPr>
                <w:sz w:val="22"/>
                <w:szCs w:val="22"/>
              </w:rPr>
            </w:pPr>
            <w:r w:rsidRPr="001C0E54">
              <w:rPr>
                <w:sz w:val="22"/>
                <w:szCs w:val="22"/>
              </w:rPr>
              <w:t>4</w:t>
            </w:r>
            <w:r w:rsidRPr="001C0E54">
              <w:rPr>
                <w:spacing w:val="-2"/>
                <w:sz w:val="22"/>
                <w:szCs w:val="22"/>
              </w:rPr>
              <w:t xml:space="preserve"> </w:t>
            </w:r>
            <w:r w:rsidRPr="001C0E54">
              <w:rPr>
                <w:sz w:val="22"/>
                <w:szCs w:val="22"/>
              </w:rPr>
              <w:t>(23)</w:t>
            </w:r>
          </w:p>
        </w:tc>
      </w:tr>
      <w:tr w:rsidR="00311DF4" w:rsidRPr="001C0E54" w14:paraId="1655EA26" w14:textId="77777777" w:rsidTr="002A7948">
        <w:trPr>
          <w:trHeight w:val="314"/>
        </w:trPr>
        <w:tc>
          <w:tcPr>
            <w:tcW w:w="814" w:type="pct"/>
            <w:tcBorders>
              <w:top w:val="nil"/>
              <w:left w:val="single" w:sz="4" w:space="0" w:color="000000"/>
              <w:bottom w:val="nil"/>
              <w:right w:val="single" w:sz="4" w:space="0" w:color="000000"/>
            </w:tcBorders>
            <w:hideMark/>
          </w:tcPr>
          <w:p w14:paraId="2CAA408C" w14:textId="77777777" w:rsidR="00311DF4" w:rsidRPr="001C0E54" w:rsidRDefault="00311DF4">
            <w:pPr>
              <w:pStyle w:val="TableParagraph"/>
              <w:kinsoku w:val="0"/>
              <w:overflowPunct w:val="0"/>
              <w:spacing w:before="26"/>
              <w:jc w:val="both"/>
              <w:rPr>
                <w:sz w:val="22"/>
                <w:szCs w:val="22"/>
              </w:rPr>
            </w:pPr>
            <w:r w:rsidRPr="001C0E54">
              <w:rPr>
                <w:sz w:val="22"/>
                <w:szCs w:val="22"/>
              </w:rPr>
              <w:t>75</w:t>
            </w:r>
            <w:r w:rsidRPr="001C0E54">
              <w:rPr>
                <w:spacing w:val="-2"/>
                <w:sz w:val="22"/>
                <w:szCs w:val="22"/>
              </w:rPr>
              <w:t xml:space="preserve"> </w:t>
            </w:r>
            <w:r w:rsidRPr="001C0E54">
              <w:rPr>
                <w:sz w:val="22"/>
                <w:szCs w:val="22"/>
              </w:rPr>
              <w:t>kg</w:t>
            </w:r>
          </w:p>
        </w:tc>
        <w:tc>
          <w:tcPr>
            <w:tcW w:w="551" w:type="pct"/>
            <w:tcBorders>
              <w:top w:val="nil"/>
              <w:left w:val="single" w:sz="4" w:space="0" w:color="000000"/>
              <w:bottom w:val="nil"/>
              <w:right w:val="single" w:sz="4" w:space="0" w:color="000000"/>
            </w:tcBorders>
          </w:tcPr>
          <w:p w14:paraId="1A7B0378" w14:textId="77777777" w:rsidR="00311DF4" w:rsidRPr="001C0E54" w:rsidRDefault="00311DF4">
            <w:pPr>
              <w:pStyle w:val="TableParagraph"/>
              <w:kinsoku w:val="0"/>
              <w:overflowPunct w:val="0"/>
              <w:ind w:left="0"/>
              <w:jc w:val="both"/>
              <w:rPr>
                <w:sz w:val="22"/>
                <w:szCs w:val="22"/>
              </w:rPr>
            </w:pPr>
          </w:p>
        </w:tc>
        <w:tc>
          <w:tcPr>
            <w:tcW w:w="576" w:type="pct"/>
            <w:tcBorders>
              <w:top w:val="nil"/>
              <w:left w:val="single" w:sz="4" w:space="0" w:color="000000"/>
              <w:bottom w:val="nil"/>
              <w:right w:val="single" w:sz="4" w:space="0" w:color="000000"/>
            </w:tcBorders>
            <w:hideMark/>
          </w:tcPr>
          <w:p w14:paraId="7C40C671" w14:textId="77777777" w:rsidR="00311DF4" w:rsidRPr="001C0E54" w:rsidRDefault="00311DF4">
            <w:pPr>
              <w:pStyle w:val="TableParagraph"/>
              <w:kinsoku w:val="0"/>
              <w:overflowPunct w:val="0"/>
              <w:spacing w:before="26"/>
              <w:ind w:left="104"/>
              <w:jc w:val="both"/>
              <w:rPr>
                <w:sz w:val="22"/>
                <w:szCs w:val="22"/>
              </w:rPr>
            </w:pPr>
            <w:r w:rsidRPr="001C0E54">
              <w:rPr>
                <w:sz w:val="22"/>
                <w:szCs w:val="22"/>
              </w:rPr>
              <w:t>Moderate</w:t>
            </w:r>
          </w:p>
        </w:tc>
        <w:tc>
          <w:tcPr>
            <w:tcW w:w="296" w:type="pct"/>
            <w:tcBorders>
              <w:top w:val="nil"/>
              <w:left w:val="single" w:sz="4" w:space="0" w:color="000000"/>
              <w:bottom w:val="nil"/>
              <w:right w:val="single" w:sz="4" w:space="0" w:color="000000"/>
            </w:tcBorders>
            <w:hideMark/>
          </w:tcPr>
          <w:p w14:paraId="5C09D190" w14:textId="77777777" w:rsidR="00311DF4" w:rsidRPr="001C0E54" w:rsidRDefault="00311DF4">
            <w:pPr>
              <w:pStyle w:val="TableParagraph"/>
              <w:kinsoku w:val="0"/>
              <w:overflowPunct w:val="0"/>
              <w:spacing w:before="26"/>
              <w:ind w:left="161"/>
              <w:jc w:val="both"/>
              <w:rPr>
                <w:sz w:val="22"/>
                <w:szCs w:val="22"/>
              </w:rPr>
            </w:pPr>
            <w:r w:rsidRPr="001C0E54">
              <w:rPr>
                <w:sz w:val="22"/>
                <w:szCs w:val="22"/>
              </w:rPr>
              <w:t>30</w:t>
            </w:r>
          </w:p>
        </w:tc>
        <w:tc>
          <w:tcPr>
            <w:tcW w:w="843" w:type="pct"/>
            <w:tcBorders>
              <w:top w:val="nil"/>
              <w:left w:val="single" w:sz="4" w:space="0" w:color="000000"/>
              <w:bottom w:val="nil"/>
              <w:right w:val="single" w:sz="4" w:space="0" w:color="000000"/>
            </w:tcBorders>
            <w:hideMark/>
          </w:tcPr>
          <w:p w14:paraId="7FB96C88" w14:textId="77777777" w:rsidR="00311DF4" w:rsidRPr="001C0E54" w:rsidRDefault="00311DF4">
            <w:pPr>
              <w:pStyle w:val="TableParagraph"/>
              <w:kinsoku w:val="0"/>
              <w:overflowPunct w:val="0"/>
              <w:spacing w:before="26"/>
              <w:ind w:left="452"/>
              <w:jc w:val="both"/>
              <w:rPr>
                <w:sz w:val="22"/>
                <w:szCs w:val="22"/>
              </w:rPr>
            </w:pPr>
            <w:r w:rsidRPr="001C0E54">
              <w:rPr>
                <w:sz w:val="22"/>
                <w:szCs w:val="22"/>
              </w:rPr>
              <w:t>28</w:t>
            </w:r>
            <w:r w:rsidRPr="001C0E54">
              <w:rPr>
                <w:spacing w:val="-1"/>
                <w:sz w:val="22"/>
                <w:szCs w:val="22"/>
              </w:rPr>
              <w:t xml:space="preserve"> </w:t>
            </w:r>
            <w:r w:rsidRPr="001C0E54">
              <w:rPr>
                <w:sz w:val="22"/>
                <w:szCs w:val="22"/>
              </w:rPr>
              <w:t>(25)</w:t>
            </w:r>
          </w:p>
        </w:tc>
        <w:tc>
          <w:tcPr>
            <w:tcW w:w="914" w:type="pct"/>
            <w:tcBorders>
              <w:top w:val="nil"/>
              <w:left w:val="single" w:sz="4" w:space="0" w:color="000000"/>
              <w:bottom w:val="nil"/>
              <w:right w:val="single" w:sz="4" w:space="0" w:color="000000"/>
            </w:tcBorders>
            <w:hideMark/>
          </w:tcPr>
          <w:p w14:paraId="07859AD7" w14:textId="77777777" w:rsidR="00311DF4" w:rsidRPr="001C0E54" w:rsidRDefault="00311DF4">
            <w:pPr>
              <w:pStyle w:val="TableParagraph"/>
              <w:kinsoku w:val="0"/>
              <w:overflowPunct w:val="0"/>
              <w:spacing w:before="26"/>
              <w:ind w:left="141" w:right="137"/>
              <w:jc w:val="both"/>
              <w:rPr>
                <w:sz w:val="22"/>
                <w:szCs w:val="22"/>
              </w:rPr>
            </w:pPr>
            <w:r w:rsidRPr="001C0E54">
              <w:rPr>
                <w:sz w:val="22"/>
                <w:szCs w:val="22"/>
              </w:rPr>
              <w:t>14</w:t>
            </w:r>
          </w:p>
        </w:tc>
        <w:tc>
          <w:tcPr>
            <w:tcW w:w="1005" w:type="pct"/>
            <w:tcBorders>
              <w:top w:val="nil"/>
              <w:left w:val="single" w:sz="4" w:space="0" w:color="000000"/>
              <w:bottom w:val="nil"/>
              <w:right w:val="single" w:sz="4" w:space="0" w:color="000000"/>
            </w:tcBorders>
            <w:hideMark/>
          </w:tcPr>
          <w:p w14:paraId="2B91E048" w14:textId="77777777" w:rsidR="00311DF4" w:rsidRPr="001C0E54" w:rsidRDefault="00311DF4">
            <w:pPr>
              <w:pStyle w:val="TableParagraph"/>
              <w:kinsoku w:val="0"/>
              <w:overflowPunct w:val="0"/>
              <w:spacing w:before="26"/>
              <w:ind w:left="580" w:right="579"/>
              <w:jc w:val="both"/>
              <w:rPr>
                <w:sz w:val="22"/>
                <w:szCs w:val="22"/>
              </w:rPr>
            </w:pPr>
            <w:r w:rsidRPr="001C0E54">
              <w:rPr>
                <w:spacing w:val="-2"/>
                <w:sz w:val="22"/>
                <w:szCs w:val="22"/>
              </w:rPr>
              <w:t>7</w:t>
            </w:r>
            <w:r w:rsidRPr="001C0E54">
              <w:rPr>
                <w:sz w:val="22"/>
                <w:szCs w:val="22"/>
              </w:rPr>
              <w:t>(23)</w:t>
            </w:r>
          </w:p>
        </w:tc>
      </w:tr>
      <w:tr w:rsidR="00311DF4" w:rsidRPr="001C0E54" w14:paraId="6B3E296F" w14:textId="77777777" w:rsidTr="002A7948">
        <w:trPr>
          <w:trHeight w:val="286"/>
        </w:trPr>
        <w:tc>
          <w:tcPr>
            <w:tcW w:w="814" w:type="pct"/>
            <w:tcBorders>
              <w:top w:val="nil"/>
              <w:left w:val="single" w:sz="4" w:space="0" w:color="000000"/>
              <w:bottom w:val="single" w:sz="4" w:space="0" w:color="000000"/>
              <w:right w:val="single" w:sz="4" w:space="0" w:color="000000"/>
            </w:tcBorders>
          </w:tcPr>
          <w:p w14:paraId="79046BEC" w14:textId="77777777" w:rsidR="00311DF4" w:rsidRPr="001C0E54" w:rsidRDefault="00311DF4">
            <w:pPr>
              <w:pStyle w:val="TableParagraph"/>
              <w:kinsoku w:val="0"/>
              <w:overflowPunct w:val="0"/>
              <w:ind w:left="0"/>
              <w:jc w:val="both"/>
              <w:rPr>
                <w:sz w:val="22"/>
                <w:szCs w:val="22"/>
              </w:rPr>
            </w:pPr>
          </w:p>
        </w:tc>
        <w:tc>
          <w:tcPr>
            <w:tcW w:w="551" w:type="pct"/>
            <w:tcBorders>
              <w:top w:val="nil"/>
              <w:left w:val="single" w:sz="4" w:space="0" w:color="000000"/>
              <w:bottom w:val="single" w:sz="4" w:space="0" w:color="000000"/>
              <w:right w:val="single" w:sz="4" w:space="0" w:color="000000"/>
            </w:tcBorders>
          </w:tcPr>
          <w:p w14:paraId="39AD3ED0" w14:textId="77777777" w:rsidR="00311DF4" w:rsidRPr="001C0E54" w:rsidRDefault="00311DF4">
            <w:pPr>
              <w:pStyle w:val="TableParagraph"/>
              <w:kinsoku w:val="0"/>
              <w:overflowPunct w:val="0"/>
              <w:ind w:left="0"/>
              <w:jc w:val="both"/>
              <w:rPr>
                <w:sz w:val="22"/>
                <w:szCs w:val="22"/>
              </w:rPr>
            </w:pPr>
          </w:p>
        </w:tc>
        <w:tc>
          <w:tcPr>
            <w:tcW w:w="576" w:type="pct"/>
            <w:tcBorders>
              <w:top w:val="nil"/>
              <w:left w:val="single" w:sz="4" w:space="0" w:color="000000"/>
              <w:bottom w:val="single" w:sz="4" w:space="0" w:color="000000"/>
              <w:right w:val="single" w:sz="4" w:space="0" w:color="000000"/>
            </w:tcBorders>
            <w:hideMark/>
          </w:tcPr>
          <w:p w14:paraId="464F71A0" w14:textId="77777777" w:rsidR="00311DF4" w:rsidRPr="001C0E54" w:rsidRDefault="00311DF4">
            <w:pPr>
              <w:pStyle w:val="TableParagraph"/>
              <w:kinsoku w:val="0"/>
              <w:overflowPunct w:val="0"/>
              <w:spacing w:before="26" w:line="240" w:lineRule="exact"/>
              <w:ind w:left="104"/>
              <w:jc w:val="both"/>
              <w:rPr>
                <w:sz w:val="22"/>
                <w:szCs w:val="22"/>
              </w:rPr>
            </w:pPr>
            <w:r w:rsidRPr="001C0E54">
              <w:rPr>
                <w:sz w:val="22"/>
                <w:szCs w:val="22"/>
              </w:rPr>
              <w:t>Severe</w:t>
            </w:r>
          </w:p>
        </w:tc>
        <w:tc>
          <w:tcPr>
            <w:tcW w:w="296" w:type="pct"/>
            <w:tcBorders>
              <w:top w:val="nil"/>
              <w:left w:val="single" w:sz="4" w:space="0" w:color="000000"/>
              <w:bottom w:val="single" w:sz="4" w:space="0" w:color="000000"/>
              <w:right w:val="single" w:sz="4" w:space="0" w:color="000000"/>
            </w:tcBorders>
            <w:hideMark/>
          </w:tcPr>
          <w:p w14:paraId="70C6EC93" w14:textId="77777777" w:rsidR="00311DF4" w:rsidRPr="001C0E54" w:rsidRDefault="00311DF4">
            <w:pPr>
              <w:pStyle w:val="TableParagraph"/>
              <w:kinsoku w:val="0"/>
              <w:overflowPunct w:val="0"/>
              <w:spacing w:before="26" w:line="240" w:lineRule="exact"/>
              <w:ind w:left="161"/>
              <w:jc w:val="both"/>
              <w:rPr>
                <w:sz w:val="22"/>
                <w:szCs w:val="22"/>
              </w:rPr>
            </w:pPr>
            <w:r w:rsidRPr="001C0E54">
              <w:rPr>
                <w:sz w:val="22"/>
                <w:szCs w:val="22"/>
              </w:rPr>
              <w:t>10</w:t>
            </w:r>
          </w:p>
        </w:tc>
        <w:tc>
          <w:tcPr>
            <w:tcW w:w="843" w:type="pct"/>
            <w:tcBorders>
              <w:top w:val="nil"/>
              <w:left w:val="single" w:sz="4" w:space="0" w:color="000000"/>
              <w:bottom w:val="single" w:sz="4" w:space="0" w:color="000000"/>
              <w:right w:val="single" w:sz="4" w:space="0" w:color="000000"/>
            </w:tcBorders>
            <w:hideMark/>
          </w:tcPr>
          <w:p w14:paraId="1A6EC15C" w14:textId="77777777" w:rsidR="00311DF4" w:rsidRPr="001C0E54" w:rsidRDefault="00311DF4">
            <w:pPr>
              <w:pStyle w:val="TableParagraph"/>
              <w:kinsoku w:val="0"/>
              <w:overflowPunct w:val="0"/>
              <w:spacing w:before="26" w:line="240" w:lineRule="exact"/>
              <w:ind w:left="507"/>
              <w:jc w:val="both"/>
              <w:rPr>
                <w:sz w:val="22"/>
                <w:szCs w:val="22"/>
              </w:rPr>
            </w:pPr>
            <w:r w:rsidRPr="001C0E54">
              <w:rPr>
                <w:sz w:val="22"/>
                <w:szCs w:val="22"/>
              </w:rPr>
              <w:t>8</w:t>
            </w:r>
            <w:r w:rsidRPr="001C0E54">
              <w:rPr>
                <w:spacing w:val="-2"/>
                <w:sz w:val="22"/>
                <w:szCs w:val="22"/>
              </w:rPr>
              <w:t xml:space="preserve"> </w:t>
            </w:r>
            <w:r w:rsidRPr="001C0E54">
              <w:rPr>
                <w:sz w:val="22"/>
                <w:szCs w:val="22"/>
              </w:rPr>
              <w:t>(25)</w:t>
            </w:r>
          </w:p>
        </w:tc>
        <w:tc>
          <w:tcPr>
            <w:tcW w:w="914" w:type="pct"/>
            <w:tcBorders>
              <w:top w:val="nil"/>
              <w:left w:val="single" w:sz="4" w:space="0" w:color="000000"/>
              <w:bottom w:val="single" w:sz="4" w:space="0" w:color="000000"/>
              <w:right w:val="single" w:sz="4" w:space="0" w:color="000000"/>
            </w:tcBorders>
            <w:hideMark/>
          </w:tcPr>
          <w:p w14:paraId="25FCA6F0" w14:textId="77777777" w:rsidR="00311DF4" w:rsidRPr="001C0E54" w:rsidRDefault="00311DF4">
            <w:pPr>
              <w:pStyle w:val="TableParagraph"/>
              <w:kinsoku w:val="0"/>
              <w:overflowPunct w:val="0"/>
              <w:spacing w:before="26" w:line="240" w:lineRule="exact"/>
              <w:ind w:left="141" w:right="137"/>
              <w:jc w:val="both"/>
              <w:rPr>
                <w:sz w:val="22"/>
                <w:szCs w:val="22"/>
              </w:rPr>
            </w:pPr>
            <w:r w:rsidRPr="001C0E54">
              <w:rPr>
                <w:sz w:val="22"/>
                <w:szCs w:val="22"/>
              </w:rPr>
              <w:t>15</w:t>
            </w:r>
          </w:p>
        </w:tc>
        <w:tc>
          <w:tcPr>
            <w:tcW w:w="1005" w:type="pct"/>
            <w:tcBorders>
              <w:top w:val="nil"/>
              <w:left w:val="single" w:sz="4" w:space="0" w:color="000000"/>
              <w:bottom w:val="single" w:sz="4" w:space="0" w:color="000000"/>
              <w:right w:val="single" w:sz="4" w:space="0" w:color="000000"/>
            </w:tcBorders>
            <w:hideMark/>
          </w:tcPr>
          <w:p w14:paraId="689D07B9" w14:textId="77777777" w:rsidR="00311DF4" w:rsidRPr="001C0E54" w:rsidRDefault="00311DF4">
            <w:pPr>
              <w:pStyle w:val="TableParagraph"/>
              <w:kinsoku w:val="0"/>
              <w:overflowPunct w:val="0"/>
              <w:spacing w:before="26" w:line="240" w:lineRule="exact"/>
              <w:ind w:left="580" w:right="579"/>
              <w:jc w:val="both"/>
              <w:rPr>
                <w:sz w:val="22"/>
                <w:szCs w:val="22"/>
              </w:rPr>
            </w:pPr>
            <w:r w:rsidRPr="001C0E54">
              <w:rPr>
                <w:sz w:val="22"/>
                <w:szCs w:val="22"/>
              </w:rPr>
              <w:t>24</w:t>
            </w:r>
            <w:r w:rsidRPr="001C0E54">
              <w:rPr>
                <w:spacing w:val="-3"/>
                <w:sz w:val="22"/>
                <w:szCs w:val="22"/>
              </w:rPr>
              <w:t xml:space="preserve"> </w:t>
            </w:r>
            <w:r w:rsidRPr="001C0E54">
              <w:rPr>
                <w:sz w:val="22"/>
                <w:szCs w:val="22"/>
              </w:rPr>
              <w:t>(24)</w:t>
            </w:r>
          </w:p>
        </w:tc>
      </w:tr>
      <w:tr w:rsidR="00311DF4" w:rsidRPr="001C0E54" w14:paraId="1CF3BBB4" w14:textId="77777777" w:rsidTr="002A7948">
        <w:trPr>
          <w:trHeight w:val="313"/>
        </w:trPr>
        <w:tc>
          <w:tcPr>
            <w:tcW w:w="814" w:type="pct"/>
            <w:tcBorders>
              <w:top w:val="single" w:sz="4" w:space="0" w:color="000000"/>
              <w:left w:val="single" w:sz="4" w:space="0" w:color="000000"/>
              <w:bottom w:val="single" w:sz="4" w:space="0" w:color="000000"/>
              <w:right w:val="single" w:sz="4" w:space="0" w:color="000000"/>
            </w:tcBorders>
            <w:hideMark/>
          </w:tcPr>
          <w:p w14:paraId="4AC87060" w14:textId="77777777" w:rsidR="00311DF4" w:rsidRPr="001C0E54" w:rsidRDefault="00311DF4">
            <w:pPr>
              <w:pStyle w:val="TableParagraph"/>
              <w:kinsoku w:val="0"/>
              <w:overflowPunct w:val="0"/>
              <w:spacing w:before="56" w:line="238" w:lineRule="exact"/>
              <w:jc w:val="both"/>
              <w:rPr>
                <w:sz w:val="22"/>
                <w:szCs w:val="22"/>
              </w:rPr>
            </w:pPr>
            <w:r w:rsidRPr="001C0E54">
              <w:rPr>
                <w:sz w:val="22"/>
                <w:szCs w:val="22"/>
              </w:rPr>
              <w:t>Adolescent</w:t>
            </w:r>
          </w:p>
        </w:tc>
        <w:tc>
          <w:tcPr>
            <w:tcW w:w="551" w:type="pct"/>
            <w:tcBorders>
              <w:top w:val="single" w:sz="4" w:space="0" w:color="000000"/>
              <w:left w:val="single" w:sz="4" w:space="0" w:color="000000"/>
              <w:bottom w:val="single" w:sz="4" w:space="0" w:color="000000"/>
              <w:right w:val="single" w:sz="4" w:space="0" w:color="000000"/>
            </w:tcBorders>
            <w:hideMark/>
          </w:tcPr>
          <w:p w14:paraId="068BDFD5" w14:textId="77777777" w:rsidR="00311DF4" w:rsidRPr="001C0E54" w:rsidRDefault="00311DF4">
            <w:pPr>
              <w:pStyle w:val="TableParagraph"/>
              <w:kinsoku w:val="0"/>
              <w:overflowPunct w:val="0"/>
              <w:spacing w:before="56" w:line="238" w:lineRule="exact"/>
              <w:jc w:val="both"/>
              <w:rPr>
                <w:sz w:val="22"/>
                <w:szCs w:val="22"/>
              </w:rPr>
            </w:pPr>
            <w:r w:rsidRPr="001C0E54">
              <w:rPr>
                <w:sz w:val="22"/>
                <w:szCs w:val="22"/>
              </w:rPr>
              <w:t>Normal</w:t>
            </w:r>
          </w:p>
        </w:tc>
        <w:tc>
          <w:tcPr>
            <w:tcW w:w="576" w:type="pct"/>
            <w:tcBorders>
              <w:top w:val="single" w:sz="4" w:space="0" w:color="000000"/>
              <w:left w:val="single" w:sz="4" w:space="0" w:color="000000"/>
              <w:bottom w:val="single" w:sz="4" w:space="0" w:color="000000"/>
              <w:right w:val="single" w:sz="4" w:space="0" w:color="000000"/>
            </w:tcBorders>
          </w:tcPr>
          <w:p w14:paraId="3F169066" w14:textId="77777777" w:rsidR="00311DF4" w:rsidRPr="001C0E54" w:rsidRDefault="00311DF4">
            <w:pPr>
              <w:pStyle w:val="TableParagraph"/>
              <w:kinsoku w:val="0"/>
              <w:overflowPunct w:val="0"/>
              <w:ind w:left="0"/>
              <w:jc w:val="both"/>
              <w:rPr>
                <w:sz w:val="22"/>
                <w:szCs w:val="22"/>
              </w:rPr>
            </w:pPr>
          </w:p>
        </w:tc>
        <w:tc>
          <w:tcPr>
            <w:tcW w:w="296" w:type="pct"/>
            <w:tcBorders>
              <w:top w:val="single" w:sz="4" w:space="0" w:color="000000"/>
              <w:left w:val="single" w:sz="4" w:space="0" w:color="000000"/>
              <w:bottom w:val="single" w:sz="4" w:space="0" w:color="000000"/>
              <w:right w:val="single" w:sz="4" w:space="0" w:color="000000"/>
            </w:tcBorders>
            <w:hideMark/>
          </w:tcPr>
          <w:p w14:paraId="5FAE5E5D" w14:textId="77777777" w:rsidR="00311DF4" w:rsidRPr="001C0E54" w:rsidRDefault="00311DF4">
            <w:pPr>
              <w:pStyle w:val="TableParagraph"/>
              <w:kinsoku w:val="0"/>
              <w:overflowPunct w:val="0"/>
              <w:spacing w:before="56" w:line="238" w:lineRule="exact"/>
              <w:ind w:left="161"/>
              <w:jc w:val="both"/>
              <w:rPr>
                <w:sz w:val="22"/>
                <w:szCs w:val="22"/>
              </w:rPr>
            </w:pPr>
            <w:r w:rsidRPr="001C0E54">
              <w:rPr>
                <w:sz w:val="22"/>
                <w:szCs w:val="22"/>
              </w:rPr>
              <w:t>95</w:t>
            </w:r>
          </w:p>
        </w:tc>
        <w:tc>
          <w:tcPr>
            <w:tcW w:w="843" w:type="pct"/>
            <w:tcBorders>
              <w:top w:val="single" w:sz="4" w:space="0" w:color="000000"/>
              <w:left w:val="single" w:sz="4" w:space="0" w:color="000000"/>
              <w:bottom w:val="single" w:sz="4" w:space="0" w:color="000000"/>
              <w:right w:val="single" w:sz="4" w:space="0" w:color="000000"/>
            </w:tcBorders>
            <w:hideMark/>
          </w:tcPr>
          <w:p w14:paraId="3F66F04D" w14:textId="77777777" w:rsidR="00311DF4" w:rsidRPr="001C0E54" w:rsidRDefault="00311DF4">
            <w:pPr>
              <w:pStyle w:val="TableParagraph"/>
              <w:kinsoku w:val="0"/>
              <w:overflowPunct w:val="0"/>
              <w:spacing w:before="56" w:line="238" w:lineRule="exact"/>
              <w:ind w:left="452"/>
              <w:jc w:val="both"/>
              <w:rPr>
                <w:sz w:val="22"/>
                <w:szCs w:val="22"/>
              </w:rPr>
            </w:pPr>
            <w:r w:rsidRPr="001C0E54">
              <w:rPr>
                <w:sz w:val="22"/>
                <w:szCs w:val="22"/>
              </w:rPr>
              <w:t>72</w:t>
            </w:r>
            <w:r w:rsidRPr="001C0E54">
              <w:rPr>
                <w:spacing w:val="-3"/>
                <w:sz w:val="22"/>
                <w:szCs w:val="22"/>
              </w:rPr>
              <w:t xml:space="preserve"> </w:t>
            </w:r>
            <w:r w:rsidRPr="001C0E54">
              <w:rPr>
                <w:sz w:val="22"/>
                <w:szCs w:val="22"/>
              </w:rPr>
              <w:t>(25)</w:t>
            </w:r>
          </w:p>
        </w:tc>
        <w:tc>
          <w:tcPr>
            <w:tcW w:w="914" w:type="pct"/>
            <w:tcBorders>
              <w:top w:val="single" w:sz="4" w:space="0" w:color="000000"/>
              <w:left w:val="single" w:sz="4" w:space="0" w:color="000000"/>
              <w:bottom w:val="single" w:sz="4" w:space="0" w:color="000000"/>
              <w:right w:val="single" w:sz="4" w:space="0" w:color="000000"/>
            </w:tcBorders>
            <w:hideMark/>
          </w:tcPr>
          <w:p w14:paraId="6B1D7DA1" w14:textId="77777777" w:rsidR="00311DF4" w:rsidRPr="001C0E54" w:rsidRDefault="00311DF4">
            <w:pPr>
              <w:pStyle w:val="TableParagraph"/>
              <w:kinsoku w:val="0"/>
              <w:overflowPunct w:val="0"/>
              <w:spacing w:before="56" w:line="238" w:lineRule="exact"/>
              <w:ind w:left="4"/>
              <w:jc w:val="both"/>
              <w:rPr>
                <w:sz w:val="22"/>
                <w:szCs w:val="22"/>
              </w:rPr>
            </w:pPr>
            <w:r w:rsidRPr="001C0E54">
              <w:rPr>
                <w:sz w:val="22"/>
                <w:szCs w:val="22"/>
              </w:rPr>
              <w:t>10</w:t>
            </w:r>
          </w:p>
        </w:tc>
        <w:tc>
          <w:tcPr>
            <w:tcW w:w="1005" w:type="pct"/>
            <w:tcBorders>
              <w:top w:val="single" w:sz="4" w:space="0" w:color="000000"/>
              <w:left w:val="single" w:sz="4" w:space="0" w:color="000000"/>
              <w:bottom w:val="single" w:sz="4" w:space="0" w:color="000000"/>
              <w:right w:val="single" w:sz="4" w:space="0" w:color="000000"/>
            </w:tcBorders>
            <w:hideMark/>
          </w:tcPr>
          <w:p w14:paraId="65698A83" w14:textId="77777777" w:rsidR="00311DF4" w:rsidRPr="001C0E54" w:rsidRDefault="00311DF4">
            <w:pPr>
              <w:pStyle w:val="TableParagraph"/>
              <w:kinsoku w:val="0"/>
              <w:overflowPunct w:val="0"/>
              <w:spacing w:before="56" w:line="238" w:lineRule="exact"/>
              <w:ind w:left="580" w:right="579"/>
              <w:jc w:val="both"/>
              <w:rPr>
                <w:sz w:val="22"/>
                <w:szCs w:val="22"/>
              </w:rPr>
            </w:pPr>
            <w:r w:rsidRPr="001C0E54">
              <w:rPr>
                <w:sz w:val="22"/>
                <w:szCs w:val="22"/>
              </w:rPr>
              <w:t>2</w:t>
            </w:r>
            <w:r w:rsidRPr="001C0E54">
              <w:rPr>
                <w:spacing w:val="-2"/>
                <w:sz w:val="22"/>
                <w:szCs w:val="22"/>
              </w:rPr>
              <w:t xml:space="preserve"> </w:t>
            </w:r>
            <w:r w:rsidRPr="001C0E54">
              <w:rPr>
                <w:sz w:val="22"/>
                <w:szCs w:val="22"/>
              </w:rPr>
              <w:t>(21)</w:t>
            </w:r>
          </w:p>
        </w:tc>
      </w:tr>
      <w:tr w:rsidR="00311DF4" w:rsidRPr="001C0E54" w14:paraId="0C7B10B6" w14:textId="77777777" w:rsidTr="002A7948">
        <w:trPr>
          <w:trHeight w:val="344"/>
        </w:trPr>
        <w:tc>
          <w:tcPr>
            <w:tcW w:w="814" w:type="pct"/>
            <w:tcBorders>
              <w:top w:val="single" w:sz="4" w:space="0" w:color="000000"/>
              <w:left w:val="single" w:sz="4" w:space="0" w:color="000000"/>
              <w:bottom w:val="nil"/>
              <w:right w:val="single" w:sz="4" w:space="0" w:color="000000"/>
            </w:tcBorders>
            <w:hideMark/>
          </w:tcPr>
          <w:p w14:paraId="4D74A262" w14:textId="77777777" w:rsidR="00311DF4" w:rsidRPr="001C0E54" w:rsidRDefault="00311DF4">
            <w:pPr>
              <w:pStyle w:val="TableParagraph"/>
              <w:kinsoku w:val="0"/>
              <w:overflowPunct w:val="0"/>
              <w:spacing w:before="56"/>
              <w:jc w:val="both"/>
              <w:rPr>
                <w:sz w:val="22"/>
                <w:szCs w:val="22"/>
              </w:rPr>
            </w:pPr>
            <w:r w:rsidRPr="001C0E54">
              <w:rPr>
                <w:sz w:val="22"/>
                <w:szCs w:val="22"/>
              </w:rPr>
              <w:t>15</w:t>
            </w:r>
            <w:r w:rsidRPr="001C0E54">
              <w:rPr>
                <w:spacing w:val="-2"/>
                <w:sz w:val="22"/>
                <w:szCs w:val="22"/>
              </w:rPr>
              <w:t xml:space="preserve"> </w:t>
            </w:r>
            <w:proofErr w:type="spellStart"/>
            <w:r w:rsidRPr="001C0E54">
              <w:rPr>
                <w:sz w:val="22"/>
                <w:szCs w:val="22"/>
              </w:rPr>
              <w:t>yrs</w:t>
            </w:r>
            <w:proofErr w:type="spellEnd"/>
          </w:p>
        </w:tc>
        <w:tc>
          <w:tcPr>
            <w:tcW w:w="551" w:type="pct"/>
            <w:tcBorders>
              <w:top w:val="single" w:sz="4" w:space="0" w:color="000000"/>
              <w:left w:val="single" w:sz="4" w:space="0" w:color="000000"/>
              <w:bottom w:val="nil"/>
              <w:right w:val="single" w:sz="4" w:space="0" w:color="000000"/>
            </w:tcBorders>
            <w:hideMark/>
          </w:tcPr>
          <w:p w14:paraId="0E867A13" w14:textId="77777777" w:rsidR="00311DF4" w:rsidRPr="001C0E54" w:rsidRDefault="00311DF4">
            <w:pPr>
              <w:pStyle w:val="TableParagraph"/>
              <w:kinsoku w:val="0"/>
              <w:overflowPunct w:val="0"/>
              <w:spacing w:before="56"/>
              <w:jc w:val="both"/>
              <w:rPr>
                <w:sz w:val="22"/>
                <w:szCs w:val="22"/>
              </w:rPr>
            </w:pPr>
            <w:r w:rsidRPr="001C0E54">
              <w:rPr>
                <w:sz w:val="22"/>
                <w:szCs w:val="22"/>
              </w:rPr>
              <w:t>Impaired</w:t>
            </w:r>
          </w:p>
        </w:tc>
        <w:tc>
          <w:tcPr>
            <w:tcW w:w="576" w:type="pct"/>
            <w:tcBorders>
              <w:top w:val="single" w:sz="4" w:space="0" w:color="000000"/>
              <w:left w:val="single" w:sz="4" w:space="0" w:color="000000"/>
              <w:bottom w:val="nil"/>
              <w:right w:val="single" w:sz="4" w:space="0" w:color="000000"/>
            </w:tcBorders>
            <w:hideMark/>
          </w:tcPr>
          <w:p w14:paraId="5805D0AA" w14:textId="77777777" w:rsidR="00311DF4" w:rsidRPr="001C0E54" w:rsidRDefault="00311DF4">
            <w:pPr>
              <w:pStyle w:val="TableParagraph"/>
              <w:kinsoku w:val="0"/>
              <w:overflowPunct w:val="0"/>
              <w:spacing w:before="56"/>
              <w:ind w:left="104"/>
              <w:jc w:val="both"/>
              <w:rPr>
                <w:sz w:val="22"/>
                <w:szCs w:val="22"/>
              </w:rPr>
            </w:pPr>
            <w:r w:rsidRPr="001C0E54">
              <w:rPr>
                <w:sz w:val="22"/>
                <w:szCs w:val="22"/>
              </w:rPr>
              <w:t>Mild</w:t>
            </w:r>
          </w:p>
        </w:tc>
        <w:tc>
          <w:tcPr>
            <w:tcW w:w="296" w:type="pct"/>
            <w:tcBorders>
              <w:top w:val="single" w:sz="4" w:space="0" w:color="000000"/>
              <w:left w:val="single" w:sz="4" w:space="0" w:color="000000"/>
              <w:bottom w:val="nil"/>
              <w:right w:val="single" w:sz="4" w:space="0" w:color="000000"/>
            </w:tcBorders>
            <w:hideMark/>
          </w:tcPr>
          <w:p w14:paraId="7222F893" w14:textId="77777777" w:rsidR="00311DF4" w:rsidRPr="001C0E54" w:rsidRDefault="00311DF4">
            <w:pPr>
              <w:pStyle w:val="TableParagraph"/>
              <w:kinsoku w:val="0"/>
              <w:overflowPunct w:val="0"/>
              <w:spacing w:before="56"/>
              <w:ind w:left="161"/>
              <w:jc w:val="both"/>
              <w:rPr>
                <w:sz w:val="22"/>
                <w:szCs w:val="22"/>
              </w:rPr>
            </w:pPr>
            <w:r w:rsidRPr="001C0E54">
              <w:rPr>
                <w:sz w:val="22"/>
                <w:szCs w:val="22"/>
              </w:rPr>
              <w:t>48</w:t>
            </w:r>
          </w:p>
        </w:tc>
        <w:tc>
          <w:tcPr>
            <w:tcW w:w="843" w:type="pct"/>
            <w:tcBorders>
              <w:top w:val="single" w:sz="4" w:space="0" w:color="000000"/>
              <w:left w:val="single" w:sz="4" w:space="0" w:color="000000"/>
              <w:bottom w:val="nil"/>
              <w:right w:val="single" w:sz="4" w:space="0" w:color="000000"/>
            </w:tcBorders>
            <w:hideMark/>
          </w:tcPr>
          <w:p w14:paraId="42A7120B" w14:textId="77777777" w:rsidR="00311DF4" w:rsidRPr="001C0E54" w:rsidRDefault="00311DF4">
            <w:pPr>
              <w:pStyle w:val="TableParagraph"/>
              <w:kinsoku w:val="0"/>
              <w:overflowPunct w:val="0"/>
              <w:spacing w:before="56"/>
              <w:ind w:left="452"/>
              <w:jc w:val="both"/>
              <w:rPr>
                <w:sz w:val="22"/>
                <w:szCs w:val="22"/>
              </w:rPr>
            </w:pPr>
            <w:r w:rsidRPr="001C0E54">
              <w:rPr>
                <w:sz w:val="22"/>
                <w:szCs w:val="22"/>
              </w:rPr>
              <w:t>4</w:t>
            </w:r>
            <w:r w:rsidRPr="001C0E54">
              <w:rPr>
                <w:spacing w:val="-3"/>
                <w:sz w:val="22"/>
                <w:szCs w:val="22"/>
              </w:rPr>
              <w:t>0</w:t>
            </w:r>
            <w:r w:rsidRPr="001C0E54">
              <w:rPr>
                <w:sz w:val="22"/>
                <w:szCs w:val="22"/>
              </w:rPr>
              <w:t>(24)</w:t>
            </w:r>
          </w:p>
        </w:tc>
        <w:tc>
          <w:tcPr>
            <w:tcW w:w="914" w:type="pct"/>
            <w:tcBorders>
              <w:top w:val="single" w:sz="4" w:space="0" w:color="000000"/>
              <w:left w:val="single" w:sz="4" w:space="0" w:color="000000"/>
              <w:bottom w:val="nil"/>
              <w:right w:val="single" w:sz="4" w:space="0" w:color="000000"/>
            </w:tcBorders>
            <w:hideMark/>
          </w:tcPr>
          <w:p w14:paraId="1E6C068A" w14:textId="77777777" w:rsidR="00311DF4" w:rsidRPr="001C0E54" w:rsidRDefault="00311DF4">
            <w:pPr>
              <w:pStyle w:val="TableParagraph"/>
              <w:kinsoku w:val="0"/>
              <w:overflowPunct w:val="0"/>
              <w:spacing w:before="56"/>
              <w:ind w:left="141" w:right="137"/>
              <w:jc w:val="both"/>
              <w:rPr>
                <w:sz w:val="22"/>
                <w:szCs w:val="22"/>
              </w:rPr>
            </w:pPr>
            <w:r w:rsidRPr="001C0E54">
              <w:rPr>
                <w:sz w:val="22"/>
                <w:szCs w:val="22"/>
              </w:rPr>
              <w:t>11</w:t>
            </w:r>
          </w:p>
        </w:tc>
        <w:tc>
          <w:tcPr>
            <w:tcW w:w="1005" w:type="pct"/>
            <w:tcBorders>
              <w:top w:val="single" w:sz="4" w:space="0" w:color="000000"/>
              <w:left w:val="single" w:sz="4" w:space="0" w:color="000000"/>
              <w:bottom w:val="nil"/>
              <w:right w:val="single" w:sz="4" w:space="0" w:color="000000"/>
            </w:tcBorders>
            <w:hideMark/>
          </w:tcPr>
          <w:p w14:paraId="3143AE1B" w14:textId="77777777" w:rsidR="00311DF4" w:rsidRPr="001C0E54" w:rsidRDefault="00311DF4">
            <w:pPr>
              <w:pStyle w:val="TableParagraph"/>
              <w:kinsoku w:val="0"/>
              <w:overflowPunct w:val="0"/>
              <w:spacing w:before="56"/>
              <w:ind w:left="580" w:right="579"/>
              <w:jc w:val="both"/>
              <w:rPr>
                <w:sz w:val="22"/>
                <w:szCs w:val="22"/>
              </w:rPr>
            </w:pPr>
            <w:r w:rsidRPr="001C0E54">
              <w:rPr>
                <w:sz w:val="22"/>
                <w:szCs w:val="22"/>
              </w:rPr>
              <w:t>4</w:t>
            </w:r>
            <w:r w:rsidRPr="001C0E54">
              <w:rPr>
                <w:spacing w:val="-2"/>
                <w:sz w:val="22"/>
                <w:szCs w:val="22"/>
              </w:rPr>
              <w:t xml:space="preserve"> </w:t>
            </w:r>
            <w:r w:rsidRPr="001C0E54">
              <w:rPr>
                <w:sz w:val="22"/>
                <w:szCs w:val="22"/>
              </w:rPr>
              <w:t>(23)</w:t>
            </w:r>
          </w:p>
        </w:tc>
      </w:tr>
      <w:tr w:rsidR="00311DF4" w:rsidRPr="001C0E54" w14:paraId="77C07882" w14:textId="77777777" w:rsidTr="002A7948">
        <w:trPr>
          <w:trHeight w:val="315"/>
        </w:trPr>
        <w:tc>
          <w:tcPr>
            <w:tcW w:w="814" w:type="pct"/>
            <w:tcBorders>
              <w:top w:val="nil"/>
              <w:left w:val="single" w:sz="4" w:space="0" w:color="000000"/>
              <w:bottom w:val="nil"/>
              <w:right w:val="single" w:sz="4" w:space="0" w:color="000000"/>
            </w:tcBorders>
            <w:hideMark/>
          </w:tcPr>
          <w:p w14:paraId="683CD3DB" w14:textId="77777777" w:rsidR="00311DF4" w:rsidRPr="001C0E54" w:rsidRDefault="00311DF4">
            <w:pPr>
              <w:pStyle w:val="TableParagraph"/>
              <w:kinsoku w:val="0"/>
              <w:overflowPunct w:val="0"/>
              <w:spacing w:before="26"/>
              <w:jc w:val="both"/>
              <w:rPr>
                <w:sz w:val="22"/>
                <w:szCs w:val="22"/>
              </w:rPr>
            </w:pPr>
            <w:r w:rsidRPr="001C0E54">
              <w:rPr>
                <w:sz w:val="22"/>
                <w:szCs w:val="22"/>
              </w:rPr>
              <w:t>56</w:t>
            </w:r>
            <w:r w:rsidRPr="001C0E54">
              <w:rPr>
                <w:spacing w:val="-2"/>
                <w:sz w:val="22"/>
                <w:szCs w:val="22"/>
              </w:rPr>
              <w:t xml:space="preserve"> </w:t>
            </w:r>
            <w:r w:rsidRPr="001C0E54">
              <w:rPr>
                <w:sz w:val="22"/>
                <w:szCs w:val="22"/>
              </w:rPr>
              <w:t>kg</w:t>
            </w:r>
          </w:p>
        </w:tc>
        <w:tc>
          <w:tcPr>
            <w:tcW w:w="551" w:type="pct"/>
            <w:tcBorders>
              <w:top w:val="nil"/>
              <w:left w:val="single" w:sz="4" w:space="0" w:color="000000"/>
              <w:bottom w:val="nil"/>
              <w:right w:val="single" w:sz="4" w:space="0" w:color="000000"/>
            </w:tcBorders>
          </w:tcPr>
          <w:p w14:paraId="00986C2D" w14:textId="77777777" w:rsidR="00311DF4" w:rsidRPr="001C0E54" w:rsidRDefault="00311DF4">
            <w:pPr>
              <w:pStyle w:val="TableParagraph"/>
              <w:kinsoku w:val="0"/>
              <w:overflowPunct w:val="0"/>
              <w:ind w:left="0"/>
              <w:jc w:val="both"/>
              <w:rPr>
                <w:sz w:val="22"/>
                <w:szCs w:val="22"/>
              </w:rPr>
            </w:pPr>
          </w:p>
        </w:tc>
        <w:tc>
          <w:tcPr>
            <w:tcW w:w="576" w:type="pct"/>
            <w:tcBorders>
              <w:top w:val="nil"/>
              <w:left w:val="single" w:sz="4" w:space="0" w:color="000000"/>
              <w:bottom w:val="nil"/>
              <w:right w:val="single" w:sz="4" w:space="0" w:color="000000"/>
            </w:tcBorders>
            <w:hideMark/>
          </w:tcPr>
          <w:p w14:paraId="727AB83C" w14:textId="77777777" w:rsidR="00311DF4" w:rsidRPr="001C0E54" w:rsidRDefault="00311DF4">
            <w:pPr>
              <w:pStyle w:val="TableParagraph"/>
              <w:kinsoku w:val="0"/>
              <w:overflowPunct w:val="0"/>
              <w:spacing w:before="26"/>
              <w:ind w:left="104"/>
              <w:jc w:val="both"/>
              <w:rPr>
                <w:sz w:val="22"/>
                <w:szCs w:val="22"/>
              </w:rPr>
            </w:pPr>
            <w:r w:rsidRPr="001C0E54">
              <w:rPr>
                <w:sz w:val="22"/>
                <w:szCs w:val="22"/>
              </w:rPr>
              <w:t>Moderate</w:t>
            </w:r>
          </w:p>
        </w:tc>
        <w:tc>
          <w:tcPr>
            <w:tcW w:w="296" w:type="pct"/>
            <w:tcBorders>
              <w:top w:val="nil"/>
              <w:left w:val="single" w:sz="4" w:space="0" w:color="000000"/>
              <w:bottom w:val="nil"/>
              <w:right w:val="single" w:sz="4" w:space="0" w:color="000000"/>
            </w:tcBorders>
            <w:hideMark/>
          </w:tcPr>
          <w:p w14:paraId="68FAD759" w14:textId="77777777" w:rsidR="00311DF4" w:rsidRPr="001C0E54" w:rsidRDefault="00311DF4">
            <w:pPr>
              <w:pStyle w:val="TableParagraph"/>
              <w:kinsoku w:val="0"/>
              <w:overflowPunct w:val="0"/>
              <w:spacing w:before="26"/>
              <w:ind w:left="161"/>
              <w:jc w:val="both"/>
              <w:rPr>
                <w:sz w:val="22"/>
                <w:szCs w:val="22"/>
              </w:rPr>
            </w:pPr>
            <w:r w:rsidRPr="001C0E54">
              <w:rPr>
                <w:sz w:val="22"/>
                <w:szCs w:val="22"/>
              </w:rPr>
              <w:t>29</w:t>
            </w:r>
          </w:p>
        </w:tc>
        <w:tc>
          <w:tcPr>
            <w:tcW w:w="843" w:type="pct"/>
            <w:tcBorders>
              <w:top w:val="nil"/>
              <w:left w:val="single" w:sz="4" w:space="0" w:color="000000"/>
              <w:bottom w:val="nil"/>
              <w:right w:val="single" w:sz="4" w:space="0" w:color="000000"/>
            </w:tcBorders>
            <w:hideMark/>
          </w:tcPr>
          <w:p w14:paraId="7A2458F4" w14:textId="77777777" w:rsidR="00311DF4" w:rsidRPr="001C0E54" w:rsidRDefault="00311DF4">
            <w:pPr>
              <w:pStyle w:val="TableParagraph"/>
              <w:kinsoku w:val="0"/>
              <w:overflowPunct w:val="0"/>
              <w:spacing w:before="26"/>
              <w:ind w:left="452"/>
              <w:jc w:val="both"/>
              <w:rPr>
                <w:sz w:val="22"/>
                <w:szCs w:val="22"/>
              </w:rPr>
            </w:pPr>
            <w:r w:rsidRPr="001C0E54">
              <w:rPr>
                <w:sz w:val="22"/>
                <w:szCs w:val="22"/>
              </w:rPr>
              <w:t>24</w:t>
            </w:r>
            <w:r w:rsidRPr="001C0E54">
              <w:rPr>
                <w:spacing w:val="-3"/>
                <w:sz w:val="22"/>
                <w:szCs w:val="22"/>
              </w:rPr>
              <w:t xml:space="preserve"> </w:t>
            </w:r>
            <w:r w:rsidRPr="001C0E54">
              <w:rPr>
                <w:sz w:val="22"/>
                <w:szCs w:val="22"/>
              </w:rPr>
              <w:t>(24)</w:t>
            </w:r>
          </w:p>
        </w:tc>
        <w:tc>
          <w:tcPr>
            <w:tcW w:w="914" w:type="pct"/>
            <w:tcBorders>
              <w:top w:val="nil"/>
              <w:left w:val="single" w:sz="4" w:space="0" w:color="000000"/>
              <w:bottom w:val="nil"/>
              <w:right w:val="single" w:sz="4" w:space="0" w:color="000000"/>
            </w:tcBorders>
            <w:hideMark/>
          </w:tcPr>
          <w:p w14:paraId="5F7590DC" w14:textId="77777777" w:rsidR="00311DF4" w:rsidRPr="001C0E54" w:rsidRDefault="00311DF4">
            <w:pPr>
              <w:pStyle w:val="TableParagraph"/>
              <w:kinsoku w:val="0"/>
              <w:overflowPunct w:val="0"/>
              <w:spacing w:before="26"/>
              <w:ind w:left="141" w:right="137"/>
              <w:jc w:val="both"/>
              <w:rPr>
                <w:sz w:val="22"/>
                <w:szCs w:val="22"/>
              </w:rPr>
            </w:pPr>
            <w:r w:rsidRPr="001C0E54">
              <w:rPr>
                <w:sz w:val="22"/>
                <w:szCs w:val="22"/>
              </w:rPr>
              <w:t>11</w:t>
            </w:r>
          </w:p>
        </w:tc>
        <w:tc>
          <w:tcPr>
            <w:tcW w:w="1005" w:type="pct"/>
            <w:tcBorders>
              <w:top w:val="nil"/>
              <w:left w:val="single" w:sz="4" w:space="0" w:color="000000"/>
              <w:bottom w:val="nil"/>
              <w:right w:val="single" w:sz="4" w:space="0" w:color="000000"/>
            </w:tcBorders>
            <w:hideMark/>
          </w:tcPr>
          <w:p w14:paraId="3C432A74" w14:textId="77777777" w:rsidR="00311DF4" w:rsidRPr="001C0E54" w:rsidRDefault="00311DF4">
            <w:pPr>
              <w:pStyle w:val="TableParagraph"/>
              <w:kinsoku w:val="0"/>
              <w:overflowPunct w:val="0"/>
              <w:spacing w:before="26"/>
              <w:ind w:left="580" w:right="579"/>
              <w:jc w:val="both"/>
              <w:rPr>
                <w:sz w:val="22"/>
                <w:szCs w:val="22"/>
              </w:rPr>
            </w:pPr>
            <w:r w:rsidRPr="001C0E54">
              <w:rPr>
                <w:sz w:val="22"/>
                <w:szCs w:val="22"/>
              </w:rPr>
              <w:t>6</w:t>
            </w:r>
            <w:r w:rsidRPr="001C0E54">
              <w:rPr>
                <w:spacing w:val="-2"/>
                <w:sz w:val="22"/>
                <w:szCs w:val="22"/>
              </w:rPr>
              <w:t xml:space="preserve"> </w:t>
            </w:r>
            <w:r w:rsidRPr="001C0E54">
              <w:rPr>
                <w:sz w:val="22"/>
                <w:szCs w:val="22"/>
              </w:rPr>
              <w:t>(24)</w:t>
            </w:r>
          </w:p>
        </w:tc>
      </w:tr>
      <w:tr w:rsidR="00311DF4" w:rsidRPr="001C0E54" w14:paraId="62400031" w14:textId="77777777" w:rsidTr="002A7948">
        <w:trPr>
          <w:trHeight w:val="285"/>
        </w:trPr>
        <w:tc>
          <w:tcPr>
            <w:tcW w:w="814" w:type="pct"/>
            <w:tcBorders>
              <w:top w:val="nil"/>
              <w:left w:val="single" w:sz="4" w:space="0" w:color="000000"/>
              <w:bottom w:val="single" w:sz="4" w:space="0" w:color="000000"/>
              <w:right w:val="single" w:sz="4" w:space="0" w:color="000000"/>
            </w:tcBorders>
          </w:tcPr>
          <w:p w14:paraId="2DDC014C" w14:textId="77777777" w:rsidR="00311DF4" w:rsidRPr="001C0E54" w:rsidRDefault="00311DF4">
            <w:pPr>
              <w:pStyle w:val="TableParagraph"/>
              <w:kinsoku w:val="0"/>
              <w:overflowPunct w:val="0"/>
              <w:ind w:left="0"/>
              <w:jc w:val="both"/>
              <w:rPr>
                <w:sz w:val="22"/>
                <w:szCs w:val="22"/>
              </w:rPr>
            </w:pPr>
          </w:p>
        </w:tc>
        <w:tc>
          <w:tcPr>
            <w:tcW w:w="551" w:type="pct"/>
            <w:tcBorders>
              <w:top w:val="nil"/>
              <w:left w:val="single" w:sz="4" w:space="0" w:color="000000"/>
              <w:bottom w:val="single" w:sz="4" w:space="0" w:color="000000"/>
              <w:right w:val="single" w:sz="4" w:space="0" w:color="000000"/>
            </w:tcBorders>
          </w:tcPr>
          <w:p w14:paraId="6C2A9401" w14:textId="77777777" w:rsidR="00311DF4" w:rsidRPr="001C0E54" w:rsidRDefault="00311DF4">
            <w:pPr>
              <w:pStyle w:val="TableParagraph"/>
              <w:kinsoku w:val="0"/>
              <w:overflowPunct w:val="0"/>
              <w:ind w:left="0"/>
              <w:jc w:val="both"/>
              <w:rPr>
                <w:sz w:val="22"/>
                <w:szCs w:val="22"/>
              </w:rPr>
            </w:pPr>
          </w:p>
        </w:tc>
        <w:tc>
          <w:tcPr>
            <w:tcW w:w="576" w:type="pct"/>
            <w:tcBorders>
              <w:top w:val="nil"/>
              <w:left w:val="single" w:sz="4" w:space="0" w:color="000000"/>
              <w:bottom w:val="single" w:sz="4" w:space="0" w:color="000000"/>
              <w:right w:val="single" w:sz="4" w:space="0" w:color="000000"/>
            </w:tcBorders>
            <w:hideMark/>
          </w:tcPr>
          <w:p w14:paraId="387CCA92" w14:textId="77777777" w:rsidR="00311DF4" w:rsidRPr="001C0E54" w:rsidRDefault="00311DF4">
            <w:pPr>
              <w:pStyle w:val="TableParagraph"/>
              <w:kinsoku w:val="0"/>
              <w:overflowPunct w:val="0"/>
              <w:spacing w:before="27" w:line="238" w:lineRule="exact"/>
              <w:ind w:left="104"/>
              <w:jc w:val="both"/>
              <w:rPr>
                <w:sz w:val="22"/>
                <w:szCs w:val="22"/>
              </w:rPr>
            </w:pPr>
            <w:r w:rsidRPr="001C0E54">
              <w:rPr>
                <w:sz w:val="22"/>
                <w:szCs w:val="22"/>
              </w:rPr>
              <w:t>Severe</w:t>
            </w:r>
          </w:p>
        </w:tc>
        <w:tc>
          <w:tcPr>
            <w:tcW w:w="296" w:type="pct"/>
            <w:tcBorders>
              <w:top w:val="nil"/>
              <w:left w:val="single" w:sz="4" w:space="0" w:color="000000"/>
              <w:bottom w:val="single" w:sz="4" w:space="0" w:color="000000"/>
              <w:right w:val="single" w:sz="4" w:space="0" w:color="000000"/>
            </w:tcBorders>
            <w:hideMark/>
          </w:tcPr>
          <w:p w14:paraId="26742592" w14:textId="77777777" w:rsidR="00311DF4" w:rsidRPr="001C0E54" w:rsidRDefault="00311DF4">
            <w:pPr>
              <w:pStyle w:val="TableParagraph"/>
              <w:kinsoku w:val="0"/>
              <w:overflowPunct w:val="0"/>
              <w:spacing w:before="27" w:line="238" w:lineRule="exact"/>
              <w:ind w:left="161"/>
              <w:jc w:val="both"/>
              <w:rPr>
                <w:sz w:val="22"/>
                <w:szCs w:val="22"/>
              </w:rPr>
            </w:pPr>
            <w:r w:rsidRPr="001C0E54">
              <w:rPr>
                <w:sz w:val="22"/>
                <w:szCs w:val="22"/>
              </w:rPr>
              <w:t>10</w:t>
            </w:r>
          </w:p>
        </w:tc>
        <w:tc>
          <w:tcPr>
            <w:tcW w:w="843" w:type="pct"/>
            <w:tcBorders>
              <w:top w:val="nil"/>
              <w:left w:val="single" w:sz="4" w:space="0" w:color="000000"/>
              <w:bottom w:val="single" w:sz="4" w:space="0" w:color="000000"/>
              <w:right w:val="single" w:sz="4" w:space="0" w:color="000000"/>
            </w:tcBorders>
            <w:hideMark/>
          </w:tcPr>
          <w:p w14:paraId="50D22668" w14:textId="77777777" w:rsidR="00311DF4" w:rsidRPr="001C0E54" w:rsidRDefault="00311DF4">
            <w:pPr>
              <w:pStyle w:val="TableParagraph"/>
              <w:kinsoku w:val="0"/>
              <w:overflowPunct w:val="0"/>
              <w:spacing w:before="27" w:line="238" w:lineRule="exact"/>
              <w:ind w:left="507"/>
              <w:jc w:val="both"/>
              <w:rPr>
                <w:sz w:val="22"/>
                <w:szCs w:val="22"/>
              </w:rPr>
            </w:pPr>
            <w:r w:rsidRPr="001C0E54">
              <w:rPr>
                <w:sz w:val="22"/>
                <w:szCs w:val="22"/>
              </w:rPr>
              <w:t>7</w:t>
            </w:r>
            <w:r w:rsidRPr="001C0E54">
              <w:rPr>
                <w:spacing w:val="-1"/>
                <w:sz w:val="22"/>
                <w:szCs w:val="22"/>
              </w:rPr>
              <w:t xml:space="preserve"> </w:t>
            </w:r>
            <w:r w:rsidRPr="001C0E54">
              <w:rPr>
                <w:sz w:val="22"/>
                <w:szCs w:val="22"/>
              </w:rPr>
              <w:t>(25)</w:t>
            </w:r>
          </w:p>
        </w:tc>
        <w:tc>
          <w:tcPr>
            <w:tcW w:w="914" w:type="pct"/>
            <w:tcBorders>
              <w:top w:val="nil"/>
              <w:left w:val="single" w:sz="4" w:space="0" w:color="000000"/>
              <w:bottom w:val="single" w:sz="4" w:space="0" w:color="000000"/>
              <w:right w:val="single" w:sz="4" w:space="0" w:color="000000"/>
            </w:tcBorders>
            <w:hideMark/>
          </w:tcPr>
          <w:p w14:paraId="291851DA" w14:textId="77777777" w:rsidR="00311DF4" w:rsidRPr="001C0E54" w:rsidRDefault="00311DF4">
            <w:pPr>
              <w:pStyle w:val="TableParagraph"/>
              <w:kinsoku w:val="0"/>
              <w:overflowPunct w:val="0"/>
              <w:spacing w:before="27" w:line="238" w:lineRule="exact"/>
              <w:ind w:left="141" w:right="137"/>
              <w:jc w:val="both"/>
              <w:rPr>
                <w:sz w:val="22"/>
                <w:szCs w:val="22"/>
              </w:rPr>
            </w:pPr>
            <w:r w:rsidRPr="001C0E54">
              <w:rPr>
                <w:sz w:val="22"/>
                <w:szCs w:val="22"/>
              </w:rPr>
              <w:t>11</w:t>
            </w:r>
          </w:p>
        </w:tc>
        <w:tc>
          <w:tcPr>
            <w:tcW w:w="1005" w:type="pct"/>
            <w:tcBorders>
              <w:top w:val="nil"/>
              <w:left w:val="single" w:sz="4" w:space="0" w:color="000000"/>
              <w:bottom w:val="single" w:sz="4" w:space="0" w:color="000000"/>
              <w:right w:val="single" w:sz="4" w:space="0" w:color="000000"/>
            </w:tcBorders>
            <w:hideMark/>
          </w:tcPr>
          <w:p w14:paraId="2508EB84" w14:textId="77777777" w:rsidR="00311DF4" w:rsidRPr="001C0E54" w:rsidRDefault="00311DF4">
            <w:pPr>
              <w:pStyle w:val="TableParagraph"/>
              <w:kinsoku w:val="0"/>
              <w:overflowPunct w:val="0"/>
              <w:spacing w:before="27" w:line="238" w:lineRule="exact"/>
              <w:ind w:left="580" w:right="579"/>
              <w:jc w:val="both"/>
              <w:rPr>
                <w:sz w:val="22"/>
                <w:szCs w:val="22"/>
              </w:rPr>
            </w:pPr>
            <w:r w:rsidRPr="001C0E54">
              <w:rPr>
                <w:sz w:val="22"/>
                <w:szCs w:val="22"/>
              </w:rPr>
              <w:t>22</w:t>
            </w:r>
            <w:r w:rsidRPr="001C0E54">
              <w:rPr>
                <w:spacing w:val="-3"/>
                <w:sz w:val="22"/>
                <w:szCs w:val="22"/>
              </w:rPr>
              <w:t xml:space="preserve"> </w:t>
            </w:r>
            <w:r w:rsidRPr="001C0E54">
              <w:rPr>
                <w:sz w:val="22"/>
                <w:szCs w:val="22"/>
              </w:rPr>
              <w:t>(25)</w:t>
            </w:r>
          </w:p>
        </w:tc>
      </w:tr>
      <w:tr w:rsidR="00311DF4" w:rsidRPr="001C0E54" w14:paraId="5CF1DBFE" w14:textId="77777777" w:rsidTr="002A7948">
        <w:trPr>
          <w:trHeight w:val="316"/>
        </w:trPr>
        <w:tc>
          <w:tcPr>
            <w:tcW w:w="814" w:type="pct"/>
            <w:tcBorders>
              <w:top w:val="single" w:sz="4" w:space="0" w:color="000000"/>
              <w:left w:val="single" w:sz="4" w:space="0" w:color="000000"/>
              <w:bottom w:val="single" w:sz="4" w:space="0" w:color="000000"/>
              <w:right w:val="single" w:sz="4" w:space="0" w:color="000000"/>
            </w:tcBorders>
          </w:tcPr>
          <w:p w14:paraId="4C543E74" w14:textId="77777777" w:rsidR="00311DF4" w:rsidRPr="001C0E54" w:rsidRDefault="00311DF4">
            <w:pPr>
              <w:jc w:val="both"/>
              <w:rPr>
                <w:rFonts w:eastAsiaTheme="minorEastAsia"/>
                <w:sz w:val="22"/>
                <w:szCs w:val="22"/>
                <w:lang w:eastAsia="en-GB"/>
              </w:rPr>
            </w:pPr>
            <w:proofErr w:type="spellStart"/>
            <w:r w:rsidRPr="001C0E54">
              <w:rPr>
                <w:rFonts w:eastAsiaTheme="minorEastAsia"/>
                <w:sz w:val="22"/>
                <w:szCs w:val="22"/>
                <w:lang w:eastAsia="en-GB"/>
              </w:rPr>
              <w:t>Middle</w:t>
            </w:r>
            <w:proofErr w:type="spellEnd"/>
            <w:r w:rsidRPr="001C0E54">
              <w:rPr>
                <w:rFonts w:eastAsiaTheme="minorEastAsia"/>
                <w:sz w:val="22"/>
                <w:szCs w:val="22"/>
                <w:lang w:eastAsia="en-GB"/>
              </w:rPr>
              <w:t xml:space="preserve"> </w:t>
            </w:r>
            <w:proofErr w:type="spellStart"/>
            <w:r w:rsidRPr="001C0E54">
              <w:rPr>
                <w:rFonts w:eastAsiaTheme="minorEastAsia"/>
                <w:sz w:val="22"/>
                <w:szCs w:val="22"/>
                <w:lang w:eastAsia="en-GB"/>
              </w:rPr>
              <w:t>childhood</w:t>
            </w:r>
            <w:proofErr w:type="spellEnd"/>
          </w:p>
          <w:p w14:paraId="56ECBC22" w14:textId="77777777" w:rsidR="00311DF4" w:rsidRPr="001C0E54" w:rsidRDefault="00311DF4">
            <w:pPr>
              <w:pStyle w:val="TableParagraph"/>
              <w:kinsoku w:val="0"/>
              <w:overflowPunct w:val="0"/>
              <w:spacing w:before="56" w:line="240" w:lineRule="exact"/>
              <w:jc w:val="both"/>
              <w:rPr>
                <w:sz w:val="22"/>
                <w:szCs w:val="22"/>
              </w:rPr>
            </w:pPr>
          </w:p>
        </w:tc>
        <w:tc>
          <w:tcPr>
            <w:tcW w:w="551" w:type="pct"/>
            <w:tcBorders>
              <w:top w:val="single" w:sz="4" w:space="0" w:color="000000"/>
              <w:left w:val="single" w:sz="4" w:space="0" w:color="000000"/>
              <w:bottom w:val="single" w:sz="4" w:space="0" w:color="000000"/>
              <w:right w:val="single" w:sz="4" w:space="0" w:color="000000"/>
            </w:tcBorders>
            <w:hideMark/>
          </w:tcPr>
          <w:p w14:paraId="52FA55F1" w14:textId="77777777" w:rsidR="00311DF4" w:rsidRPr="001C0E54" w:rsidRDefault="00311DF4">
            <w:pPr>
              <w:pStyle w:val="TableParagraph"/>
              <w:kinsoku w:val="0"/>
              <w:overflowPunct w:val="0"/>
              <w:spacing w:before="56" w:line="240" w:lineRule="exact"/>
              <w:jc w:val="both"/>
              <w:rPr>
                <w:sz w:val="22"/>
                <w:szCs w:val="22"/>
              </w:rPr>
            </w:pPr>
            <w:r w:rsidRPr="001C0E54">
              <w:rPr>
                <w:sz w:val="22"/>
                <w:szCs w:val="22"/>
              </w:rPr>
              <w:t>Normal</w:t>
            </w:r>
          </w:p>
        </w:tc>
        <w:tc>
          <w:tcPr>
            <w:tcW w:w="576" w:type="pct"/>
            <w:tcBorders>
              <w:top w:val="single" w:sz="4" w:space="0" w:color="000000"/>
              <w:left w:val="single" w:sz="4" w:space="0" w:color="000000"/>
              <w:bottom w:val="single" w:sz="4" w:space="0" w:color="000000"/>
              <w:right w:val="single" w:sz="4" w:space="0" w:color="000000"/>
            </w:tcBorders>
          </w:tcPr>
          <w:p w14:paraId="68BFE679" w14:textId="77777777" w:rsidR="00311DF4" w:rsidRPr="001C0E54" w:rsidRDefault="00311DF4">
            <w:pPr>
              <w:pStyle w:val="TableParagraph"/>
              <w:kinsoku w:val="0"/>
              <w:overflowPunct w:val="0"/>
              <w:ind w:left="0"/>
              <w:jc w:val="both"/>
              <w:rPr>
                <w:sz w:val="22"/>
                <w:szCs w:val="22"/>
              </w:rPr>
            </w:pPr>
          </w:p>
        </w:tc>
        <w:tc>
          <w:tcPr>
            <w:tcW w:w="296" w:type="pct"/>
            <w:tcBorders>
              <w:top w:val="single" w:sz="4" w:space="0" w:color="000000"/>
              <w:left w:val="single" w:sz="4" w:space="0" w:color="000000"/>
              <w:bottom w:val="single" w:sz="4" w:space="0" w:color="000000"/>
              <w:right w:val="single" w:sz="4" w:space="0" w:color="000000"/>
            </w:tcBorders>
            <w:hideMark/>
          </w:tcPr>
          <w:p w14:paraId="24F9ADB0" w14:textId="77777777" w:rsidR="00311DF4" w:rsidRPr="001C0E54" w:rsidRDefault="00311DF4">
            <w:pPr>
              <w:pStyle w:val="TableParagraph"/>
              <w:kinsoku w:val="0"/>
              <w:overflowPunct w:val="0"/>
              <w:spacing w:before="56" w:line="240" w:lineRule="exact"/>
              <w:ind w:left="161"/>
              <w:jc w:val="both"/>
              <w:rPr>
                <w:sz w:val="22"/>
                <w:szCs w:val="22"/>
              </w:rPr>
            </w:pPr>
            <w:r w:rsidRPr="001C0E54">
              <w:rPr>
                <w:sz w:val="22"/>
                <w:szCs w:val="22"/>
              </w:rPr>
              <w:t>60</w:t>
            </w:r>
          </w:p>
        </w:tc>
        <w:tc>
          <w:tcPr>
            <w:tcW w:w="843" w:type="pct"/>
            <w:tcBorders>
              <w:top w:val="single" w:sz="4" w:space="0" w:color="000000"/>
              <w:left w:val="single" w:sz="4" w:space="0" w:color="000000"/>
              <w:bottom w:val="single" w:sz="4" w:space="0" w:color="000000"/>
              <w:right w:val="single" w:sz="4" w:space="0" w:color="000000"/>
            </w:tcBorders>
            <w:hideMark/>
          </w:tcPr>
          <w:p w14:paraId="19890AD6" w14:textId="77777777" w:rsidR="00311DF4" w:rsidRPr="001C0E54" w:rsidRDefault="00311DF4">
            <w:pPr>
              <w:pStyle w:val="TableParagraph"/>
              <w:kinsoku w:val="0"/>
              <w:overflowPunct w:val="0"/>
              <w:spacing w:before="56" w:line="240" w:lineRule="exact"/>
              <w:ind w:left="452"/>
              <w:jc w:val="both"/>
              <w:rPr>
                <w:sz w:val="22"/>
                <w:szCs w:val="22"/>
              </w:rPr>
            </w:pPr>
            <w:r w:rsidRPr="001C0E54">
              <w:rPr>
                <w:sz w:val="22"/>
                <w:szCs w:val="22"/>
              </w:rPr>
              <w:t>40</w:t>
            </w:r>
            <w:r w:rsidRPr="001C0E54">
              <w:rPr>
                <w:spacing w:val="-3"/>
                <w:sz w:val="22"/>
                <w:szCs w:val="22"/>
              </w:rPr>
              <w:t xml:space="preserve"> </w:t>
            </w:r>
            <w:r w:rsidRPr="001C0E54">
              <w:rPr>
                <w:sz w:val="22"/>
                <w:szCs w:val="22"/>
              </w:rPr>
              <w:t>(24)</w:t>
            </w:r>
          </w:p>
        </w:tc>
        <w:tc>
          <w:tcPr>
            <w:tcW w:w="914" w:type="pct"/>
            <w:tcBorders>
              <w:top w:val="single" w:sz="4" w:space="0" w:color="000000"/>
              <w:left w:val="single" w:sz="4" w:space="0" w:color="000000"/>
              <w:bottom w:val="single" w:sz="4" w:space="0" w:color="000000"/>
              <w:right w:val="single" w:sz="4" w:space="0" w:color="000000"/>
            </w:tcBorders>
            <w:hideMark/>
          </w:tcPr>
          <w:p w14:paraId="39717BAD" w14:textId="77777777" w:rsidR="00311DF4" w:rsidRPr="001C0E54" w:rsidRDefault="00311DF4">
            <w:pPr>
              <w:pStyle w:val="TableParagraph"/>
              <w:kinsoku w:val="0"/>
              <w:overflowPunct w:val="0"/>
              <w:spacing w:before="56" w:line="240" w:lineRule="exact"/>
              <w:ind w:left="4"/>
              <w:jc w:val="both"/>
              <w:rPr>
                <w:sz w:val="22"/>
                <w:szCs w:val="22"/>
              </w:rPr>
            </w:pPr>
            <w:r w:rsidRPr="001C0E54">
              <w:rPr>
                <w:sz w:val="22"/>
                <w:szCs w:val="22"/>
              </w:rPr>
              <w:t>5</w:t>
            </w:r>
          </w:p>
        </w:tc>
        <w:tc>
          <w:tcPr>
            <w:tcW w:w="1005" w:type="pct"/>
            <w:tcBorders>
              <w:top w:val="single" w:sz="4" w:space="0" w:color="000000"/>
              <w:left w:val="single" w:sz="4" w:space="0" w:color="000000"/>
              <w:bottom w:val="single" w:sz="4" w:space="0" w:color="000000"/>
              <w:right w:val="single" w:sz="4" w:space="0" w:color="000000"/>
            </w:tcBorders>
            <w:hideMark/>
          </w:tcPr>
          <w:p w14:paraId="51A25DB5" w14:textId="77777777" w:rsidR="00311DF4" w:rsidRPr="001C0E54" w:rsidRDefault="00311DF4">
            <w:pPr>
              <w:pStyle w:val="TableParagraph"/>
              <w:kinsoku w:val="0"/>
              <w:overflowPunct w:val="0"/>
              <w:spacing w:before="56" w:line="240" w:lineRule="exact"/>
              <w:ind w:left="580" w:right="579"/>
              <w:jc w:val="both"/>
              <w:rPr>
                <w:sz w:val="22"/>
                <w:szCs w:val="22"/>
              </w:rPr>
            </w:pPr>
            <w:r w:rsidRPr="001C0E54">
              <w:rPr>
                <w:sz w:val="22"/>
                <w:szCs w:val="22"/>
              </w:rPr>
              <w:t>2</w:t>
            </w:r>
            <w:r w:rsidRPr="001C0E54">
              <w:rPr>
                <w:spacing w:val="-2"/>
                <w:sz w:val="22"/>
                <w:szCs w:val="22"/>
              </w:rPr>
              <w:t xml:space="preserve"> </w:t>
            </w:r>
            <w:r w:rsidRPr="001C0E54">
              <w:rPr>
                <w:sz w:val="22"/>
                <w:szCs w:val="22"/>
              </w:rPr>
              <w:t>(22)</w:t>
            </w:r>
          </w:p>
        </w:tc>
      </w:tr>
      <w:tr w:rsidR="00311DF4" w:rsidRPr="001C0E54" w14:paraId="13505EA3" w14:textId="77777777" w:rsidTr="002A7948">
        <w:trPr>
          <w:trHeight w:val="316"/>
        </w:trPr>
        <w:tc>
          <w:tcPr>
            <w:tcW w:w="814" w:type="pct"/>
            <w:tcBorders>
              <w:top w:val="single" w:sz="4" w:space="0" w:color="000000"/>
              <w:left w:val="single" w:sz="4" w:space="0" w:color="000000"/>
              <w:bottom w:val="single" w:sz="4" w:space="0" w:color="000000"/>
              <w:right w:val="single" w:sz="4" w:space="0" w:color="000000"/>
            </w:tcBorders>
            <w:hideMark/>
          </w:tcPr>
          <w:p w14:paraId="4591870D" w14:textId="77777777" w:rsidR="00311DF4" w:rsidRPr="001C0E54" w:rsidRDefault="00311DF4">
            <w:pPr>
              <w:jc w:val="both"/>
              <w:rPr>
                <w:rFonts w:eastAsiaTheme="minorEastAsia"/>
                <w:sz w:val="22"/>
                <w:szCs w:val="22"/>
                <w:lang w:eastAsia="en-GB"/>
              </w:rPr>
            </w:pPr>
            <w:r w:rsidRPr="001C0E54">
              <w:rPr>
                <w:sz w:val="22"/>
                <w:szCs w:val="22"/>
              </w:rPr>
              <w:t>9</w:t>
            </w:r>
            <w:r w:rsidRPr="001C0E54">
              <w:rPr>
                <w:spacing w:val="-2"/>
                <w:sz w:val="22"/>
                <w:szCs w:val="22"/>
              </w:rPr>
              <w:t xml:space="preserve"> </w:t>
            </w:r>
            <w:proofErr w:type="spellStart"/>
            <w:r w:rsidRPr="001C0E54">
              <w:rPr>
                <w:sz w:val="22"/>
                <w:szCs w:val="22"/>
              </w:rPr>
              <w:t>yrs</w:t>
            </w:r>
            <w:proofErr w:type="spellEnd"/>
          </w:p>
        </w:tc>
        <w:tc>
          <w:tcPr>
            <w:tcW w:w="551" w:type="pct"/>
            <w:vMerge w:val="restart"/>
            <w:tcBorders>
              <w:top w:val="single" w:sz="4" w:space="0" w:color="000000"/>
              <w:left w:val="single" w:sz="4" w:space="0" w:color="000000"/>
              <w:bottom w:val="single" w:sz="4" w:space="0" w:color="000000"/>
              <w:right w:val="single" w:sz="4" w:space="0" w:color="000000"/>
            </w:tcBorders>
            <w:hideMark/>
          </w:tcPr>
          <w:p w14:paraId="7AF6C726" w14:textId="77777777" w:rsidR="00311DF4" w:rsidRPr="001C0E54" w:rsidRDefault="00311DF4">
            <w:pPr>
              <w:pStyle w:val="TableParagraph"/>
              <w:kinsoku w:val="0"/>
              <w:overflowPunct w:val="0"/>
              <w:spacing w:before="56" w:line="240" w:lineRule="exact"/>
              <w:jc w:val="both"/>
              <w:rPr>
                <w:sz w:val="22"/>
                <w:szCs w:val="22"/>
              </w:rPr>
            </w:pPr>
            <w:r w:rsidRPr="001C0E54">
              <w:rPr>
                <w:sz w:val="22"/>
                <w:szCs w:val="22"/>
              </w:rPr>
              <w:t>Impaired</w:t>
            </w:r>
          </w:p>
        </w:tc>
        <w:tc>
          <w:tcPr>
            <w:tcW w:w="576" w:type="pct"/>
            <w:tcBorders>
              <w:top w:val="single" w:sz="4" w:space="0" w:color="000000"/>
              <w:left w:val="single" w:sz="4" w:space="0" w:color="000000"/>
              <w:bottom w:val="single" w:sz="4" w:space="0" w:color="000000"/>
              <w:right w:val="single" w:sz="4" w:space="0" w:color="000000"/>
            </w:tcBorders>
            <w:hideMark/>
          </w:tcPr>
          <w:p w14:paraId="6842FD4E" w14:textId="77777777" w:rsidR="00311DF4" w:rsidRPr="001C0E54" w:rsidRDefault="00311DF4">
            <w:pPr>
              <w:pStyle w:val="TableParagraph"/>
              <w:kinsoku w:val="0"/>
              <w:overflowPunct w:val="0"/>
              <w:ind w:left="0"/>
              <w:jc w:val="both"/>
              <w:rPr>
                <w:sz w:val="22"/>
                <w:szCs w:val="22"/>
              </w:rPr>
            </w:pPr>
            <w:r w:rsidRPr="001C0E54">
              <w:rPr>
                <w:sz w:val="22"/>
                <w:szCs w:val="22"/>
              </w:rPr>
              <w:t>Mild</w:t>
            </w:r>
          </w:p>
        </w:tc>
        <w:tc>
          <w:tcPr>
            <w:tcW w:w="296" w:type="pct"/>
            <w:tcBorders>
              <w:top w:val="single" w:sz="4" w:space="0" w:color="000000"/>
              <w:left w:val="single" w:sz="4" w:space="0" w:color="000000"/>
              <w:bottom w:val="single" w:sz="4" w:space="0" w:color="000000"/>
              <w:right w:val="single" w:sz="4" w:space="0" w:color="000000"/>
            </w:tcBorders>
            <w:hideMark/>
          </w:tcPr>
          <w:p w14:paraId="6CFC86F4" w14:textId="77777777" w:rsidR="00311DF4" w:rsidRPr="001C0E54" w:rsidRDefault="00311DF4">
            <w:pPr>
              <w:pStyle w:val="TableParagraph"/>
              <w:kinsoku w:val="0"/>
              <w:overflowPunct w:val="0"/>
              <w:spacing w:before="56" w:line="240" w:lineRule="exact"/>
              <w:ind w:left="161"/>
              <w:jc w:val="both"/>
              <w:rPr>
                <w:sz w:val="22"/>
                <w:szCs w:val="22"/>
              </w:rPr>
            </w:pPr>
            <w:r w:rsidRPr="001C0E54">
              <w:rPr>
                <w:sz w:val="22"/>
                <w:szCs w:val="22"/>
              </w:rPr>
              <w:t>30</w:t>
            </w:r>
          </w:p>
        </w:tc>
        <w:tc>
          <w:tcPr>
            <w:tcW w:w="843" w:type="pct"/>
            <w:tcBorders>
              <w:top w:val="single" w:sz="4" w:space="0" w:color="000000"/>
              <w:left w:val="single" w:sz="4" w:space="0" w:color="000000"/>
              <w:bottom w:val="single" w:sz="4" w:space="0" w:color="000000"/>
              <w:right w:val="single" w:sz="4" w:space="0" w:color="000000"/>
            </w:tcBorders>
            <w:hideMark/>
          </w:tcPr>
          <w:p w14:paraId="2ED234E1" w14:textId="77777777" w:rsidR="00311DF4" w:rsidRPr="001C0E54" w:rsidRDefault="00311DF4">
            <w:pPr>
              <w:pStyle w:val="TableParagraph"/>
              <w:kinsoku w:val="0"/>
              <w:overflowPunct w:val="0"/>
              <w:spacing w:before="56" w:line="240" w:lineRule="exact"/>
              <w:ind w:left="452"/>
              <w:jc w:val="both"/>
              <w:rPr>
                <w:sz w:val="22"/>
                <w:szCs w:val="22"/>
              </w:rPr>
            </w:pPr>
            <w:r w:rsidRPr="001C0E54">
              <w:rPr>
                <w:sz w:val="22"/>
                <w:szCs w:val="22"/>
              </w:rPr>
              <w:t>21</w:t>
            </w:r>
            <w:r w:rsidRPr="001C0E54">
              <w:rPr>
                <w:spacing w:val="-3"/>
                <w:sz w:val="22"/>
                <w:szCs w:val="22"/>
              </w:rPr>
              <w:t xml:space="preserve"> </w:t>
            </w:r>
            <w:r w:rsidRPr="001C0E54">
              <w:rPr>
                <w:sz w:val="22"/>
                <w:szCs w:val="22"/>
              </w:rPr>
              <w:t>(24)</w:t>
            </w:r>
          </w:p>
        </w:tc>
        <w:tc>
          <w:tcPr>
            <w:tcW w:w="914" w:type="pct"/>
            <w:tcBorders>
              <w:top w:val="single" w:sz="4" w:space="0" w:color="000000"/>
              <w:left w:val="single" w:sz="4" w:space="0" w:color="000000"/>
              <w:bottom w:val="single" w:sz="4" w:space="0" w:color="000000"/>
              <w:right w:val="single" w:sz="4" w:space="0" w:color="000000"/>
            </w:tcBorders>
            <w:hideMark/>
          </w:tcPr>
          <w:p w14:paraId="5143677D" w14:textId="77777777" w:rsidR="00311DF4" w:rsidRPr="001C0E54" w:rsidRDefault="00311DF4">
            <w:pPr>
              <w:pStyle w:val="TableParagraph"/>
              <w:kinsoku w:val="0"/>
              <w:overflowPunct w:val="0"/>
              <w:spacing w:before="56" w:line="240" w:lineRule="exact"/>
              <w:ind w:left="4"/>
              <w:jc w:val="both"/>
              <w:rPr>
                <w:sz w:val="22"/>
                <w:szCs w:val="22"/>
              </w:rPr>
            </w:pPr>
            <w:r w:rsidRPr="001C0E54">
              <w:rPr>
                <w:sz w:val="22"/>
                <w:szCs w:val="22"/>
              </w:rPr>
              <w:t>6</w:t>
            </w:r>
          </w:p>
        </w:tc>
        <w:tc>
          <w:tcPr>
            <w:tcW w:w="1005" w:type="pct"/>
            <w:tcBorders>
              <w:top w:val="single" w:sz="4" w:space="0" w:color="000000"/>
              <w:left w:val="single" w:sz="4" w:space="0" w:color="000000"/>
              <w:bottom w:val="single" w:sz="4" w:space="0" w:color="000000"/>
              <w:right w:val="single" w:sz="4" w:space="0" w:color="000000"/>
            </w:tcBorders>
            <w:hideMark/>
          </w:tcPr>
          <w:p w14:paraId="21E618C1" w14:textId="77777777" w:rsidR="00311DF4" w:rsidRPr="001C0E54" w:rsidRDefault="00311DF4">
            <w:pPr>
              <w:pStyle w:val="TableParagraph"/>
              <w:kinsoku w:val="0"/>
              <w:overflowPunct w:val="0"/>
              <w:spacing w:before="56" w:line="240" w:lineRule="exact"/>
              <w:ind w:left="580" w:right="579"/>
              <w:jc w:val="both"/>
              <w:rPr>
                <w:sz w:val="22"/>
                <w:szCs w:val="22"/>
              </w:rPr>
            </w:pPr>
            <w:r w:rsidRPr="001C0E54">
              <w:rPr>
                <w:spacing w:val="-2"/>
                <w:sz w:val="22"/>
                <w:szCs w:val="22"/>
              </w:rPr>
              <w:t>4</w:t>
            </w:r>
            <w:r w:rsidRPr="001C0E54">
              <w:rPr>
                <w:sz w:val="22"/>
                <w:szCs w:val="22"/>
              </w:rPr>
              <w:t>(22)</w:t>
            </w:r>
          </w:p>
        </w:tc>
      </w:tr>
      <w:tr w:rsidR="00311DF4" w:rsidRPr="001C0E54" w14:paraId="0F60F397" w14:textId="77777777" w:rsidTr="002A7948">
        <w:trPr>
          <w:trHeight w:val="316"/>
        </w:trPr>
        <w:tc>
          <w:tcPr>
            <w:tcW w:w="814" w:type="pct"/>
            <w:tcBorders>
              <w:top w:val="single" w:sz="4" w:space="0" w:color="000000"/>
              <w:left w:val="single" w:sz="4" w:space="0" w:color="000000"/>
              <w:bottom w:val="single" w:sz="4" w:space="0" w:color="000000"/>
              <w:right w:val="single" w:sz="4" w:space="0" w:color="000000"/>
            </w:tcBorders>
            <w:hideMark/>
          </w:tcPr>
          <w:p w14:paraId="0D4B4160" w14:textId="77777777" w:rsidR="00311DF4" w:rsidRPr="001C0E54" w:rsidRDefault="00311DF4">
            <w:pPr>
              <w:jc w:val="both"/>
              <w:rPr>
                <w:sz w:val="22"/>
                <w:szCs w:val="22"/>
              </w:rPr>
            </w:pPr>
            <w:r w:rsidRPr="001C0E54">
              <w:rPr>
                <w:sz w:val="22"/>
                <w:szCs w:val="22"/>
              </w:rPr>
              <w:t>29</w:t>
            </w:r>
            <w:r w:rsidRPr="001C0E54">
              <w:rPr>
                <w:spacing w:val="-2"/>
                <w:sz w:val="22"/>
                <w:szCs w:val="22"/>
              </w:rPr>
              <w:t xml:space="preserve"> </w:t>
            </w:r>
            <w:r w:rsidRPr="001C0E54">
              <w:rPr>
                <w:sz w:val="22"/>
                <w:szCs w:val="22"/>
              </w:rPr>
              <w:t>kg</w:t>
            </w:r>
          </w:p>
        </w:tc>
        <w:tc>
          <w:tcPr>
            <w:tcW w:w="551" w:type="pct"/>
            <w:vMerge/>
            <w:tcBorders>
              <w:top w:val="single" w:sz="4" w:space="0" w:color="000000"/>
              <w:left w:val="single" w:sz="4" w:space="0" w:color="000000"/>
              <w:bottom w:val="single" w:sz="4" w:space="0" w:color="000000"/>
              <w:right w:val="single" w:sz="4" w:space="0" w:color="000000"/>
            </w:tcBorders>
            <w:vAlign w:val="center"/>
            <w:hideMark/>
          </w:tcPr>
          <w:p w14:paraId="1B17AF28" w14:textId="77777777" w:rsidR="00311DF4" w:rsidRPr="001C0E54" w:rsidRDefault="00311DF4">
            <w:pPr>
              <w:rPr>
                <w:rFonts w:eastAsiaTheme="minorEastAsia"/>
                <w:sz w:val="22"/>
                <w:szCs w:val="22"/>
                <w:lang w:val="en-GB" w:eastAsia="en-GB"/>
              </w:rPr>
            </w:pPr>
          </w:p>
        </w:tc>
        <w:tc>
          <w:tcPr>
            <w:tcW w:w="576" w:type="pct"/>
            <w:tcBorders>
              <w:top w:val="single" w:sz="4" w:space="0" w:color="000000"/>
              <w:left w:val="single" w:sz="4" w:space="0" w:color="000000"/>
              <w:bottom w:val="single" w:sz="4" w:space="0" w:color="000000"/>
              <w:right w:val="single" w:sz="4" w:space="0" w:color="000000"/>
            </w:tcBorders>
            <w:hideMark/>
          </w:tcPr>
          <w:p w14:paraId="76A75C9B" w14:textId="77777777" w:rsidR="00311DF4" w:rsidRPr="001C0E54" w:rsidRDefault="00311DF4">
            <w:pPr>
              <w:pStyle w:val="TableParagraph"/>
              <w:kinsoku w:val="0"/>
              <w:overflowPunct w:val="0"/>
              <w:ind w:left="0"/>
              <w:jc w:val="both"/>
              <w:rPr>
                <w:sz w:val="22"/>
                <w:szCs w:val="22"/>
              </w:rPr>
            </w:pPr>
            <w:r w:rsidRPr="001C0E54">
              <w:rPr>
                <w:sz w:val="22"/>
                <w:szCs w:val="22"/>
              </w:rPr>
              <w:t>Moderate</w:t>
            </w:r>
          </w:p>
        </w:tc>
        <w:tc>
          <w:tcPr>
            <w:tcW w:w="296" w:type="pct"/>
            <w:tcBorders>
              <w:top w:val="single" w:sz="4" w:space="0" w:color="000000"/>
              <w:left w:val="single" w:sz="4" w:space="0" w:color="000000"/>
              <w:bottom w:val="single" w:sz="4" w:space="0" w:color="000000"/>
              <w:right w:val="single" w:sz="4" w:space="0" w:color="000000"/>
            </w:tcBorders>
            <w:hideMark/>
          </w:tcPr>
          <w:p w14:paraId="0D98A6AA" w14:textId="77777777" w:rsidR="00311DF4" w:rsidRPr="001C0E54" w:rsidRDefault="00311DF4">
            <w:pPr>
              <w:pStyle w:val="TableParagraph"/>
              <w:kinsoku w:val="0"/>
              <w:overflowPunct w:val="0"/>
              <w:spacing w:before="56" w:line="240" w:lineRule="exact"/>
              <w:ind w:left="161"/>
              <w:jc w:val="both"/>
              <w:rPr>
                <w:sz w:val="22"/>
                <w:szCs w:val="22"/>
              </w:rPr>
            </w:pPr>
            <w:r w:rsidRPr="001C0E54">
              <w:rPr>
                <w:sz w:val="22"/>
                <w:szCs w:val="22"/>
              </w:rPr>
              <w:t>18</w:t>
            </w:r>
          </w:p>
        </w:tc>
        <w:tc>
          <w:tcPr>
            <w:tcW w:w="843" w:type="pct"/>
            <w:tcBorders>
              <w:top w:val="single" w:sz="4" w:space="0" w:color="000000"/>
              <w:left w:val="single" w:sz="4" w:space="0" w:color="000000"/>
              <w:bottom w:val="single" w:sz="4" w:space="0" w:color="000000"/>
              <w:right w:val="single" w:sz="4" w:space="0" w:color="000000"/>
            </w:tcBorders>
            <w:hideMark/>
          </w:tcPr>
          <w:p w14:paraId="343E8114" w14:textId="77777777" w:rsidR="00311DF4" w:rsidRPr="001C0E54" w:rsidRDefault="00311DF4">
            <w:pPr>
              <w:pStyle w:val="TableParagraph"/>
              <w:kinsoku w:val="0"/>
              <w:overflowPunct w:val="0"/>
              <w:spacing w:before="56" w:line="240" w:lineRule="exact"/>
              <w:ind w:left="452"/>
              <w:jc w:val="both"/>
              <w:rPr>
                <w:sz w:val="22"/>
                <w:szCs w:val="22"/>
              </w:rPr>
            </w:pPr>
            <w:r w:rsidRPr="001C0E54">
              <w:rPr>
                <w:sz w:val="22"/>
                <w:szCs w:val="22"/>
              </w:rPr>
              <w:t>12</w:t>
            </w:r>
            <w:r w:rsidRPr="001C0E54">
              <w:rPr>
                <w:spacing w:val="-3"/>
                <w:sz w:val="22"/>
                <w:szCs w:val="22"/>
              </w:rPr>
              <w:t xml:space="preserve"> </w:t>
            </w:r>
            <w:r w:rsidRPr="001C0E54">
              <w:rPr>
                <w:sz w:val="22"/>
                <w:szCs w:val="22"/>
              </w:rPr>
              <w:t>(25)</w:t>
            </w:r>
          </w:p>
        </w:tc>
        <w:tc>
          <w:tcPr>
            <w:tcW w:w="914" w:type="pct"/>
            <w:tcBorders>
              <w:top w:val="single" w:sz="4" w:space="0" w:color="000000"/>
              <w:left w:val="single" w:sz="4" w:space="0" w:color="000000"/>
              <w:bottom w:val="single" w:sz="4" w:space="0" w:color="000000"/>
              <w:right w:val="single" w:sz="4" w:space="0" w:color="000000"/>
            </w:tcBorders>
            <w:hideMark/>
          </w:tcPr>
          <w:p w14:paraId="5CEAB461" w14:textId="77777777" w:rsidR="00311DF4" w:rsidRPr="001C0E54" w:rsidRDefault="00311DF4">
            <w:pPr>
              <w:pStyle w:val="TableParagraph"/>
              <w:kinsoku w:val="0"/>
              <w:overflowPunct w:val="0"/>
              <w:spacing w:before="56" w:line="240" w:lineRule="exact"/>
              <w:ind w:left="4"/>
              <w:jc w:val="both"/>
              <w:rPr>
                <w:sz w:val="22"/>
                <w:szCs w:val="22"/>
              </w:rPr>
            </w:pPr>
            <w:r w:rsidRPr="001C0E54">
              <w:rPr>
                <w:sz w:val="22"/>
                <w:szCs w:val="22"/>
              </w:rPr>
              <w:t>6</w:t>
            </w:r>
          </w:p>
        </w:tc>
        <w:tc>
          <w:tcPr>
            <w:tcW w:w="1005" w:type="pct"/>
            <w:tcBorders>
              <w:top w:val="single" w:sz="4" w:space="0" w:color="000000"/>
              <w:left w:val="single" w:sz="4" w:space="0" w:color="000000"/>
              <w:bottom w:val="single" w:sz="4" w:space="0" w:color="000000"/>
              <w:right w:val="single" w:sz="4" w:space="0" w:color="000000"/>
            </w:tcBorders>
            <w:hideMark/>
          </w:tcPr>
          <w:p w14:paraId="3316DE75" w14:textId="77777777" w:rsidR="00311DF4" w:rsidRPr="001C0E54" w:rsidRDefault="00311DF4">
            <w:pPr>
              <w:pStyle w:val="TableParagraph"/>
              <w:kinsoku w:val="0"/>
              <w:overflowPunct w:val="0"/>
              <w:spacing w:before="56" w:line="240" w:lineRule="exact"/>
              <w:ind w:left="580" w:right="579"/>
              <w:jc w:val="both"/>
              <w:rPr>
                <w:spacing w:val="-2"/>
                <w:sz w:val="22"/>
                <w:szCs w:val="22"/>
              </w:rPr>
            </w:pPr>
            <w:r w:rsidRPr="001C0E54">
              <w:rPr>
                <w:sz w:val="22"/>
                <w:szCs w:val="22"/>
              </w:rPr>
              <w:t>7</w:t>
            </w:r>
            <w:r w:rsidRPr="001C0E54">
              <w:rPr>
                <w:spacing w:val="-2"/>
                <w:sz w:val="22"/>
                <w:szCs w:val="22"/>
              </w:rPr>
              <w:t xml:space="preserve"> </w:t>
            </w:r>
            <w:r w:rsidRPr="001C0E54">
              <w:rPr>
                <w:sz w:val="22"/>
                <w:szCs w:val="22"/>
              </w:rPr>
              <w:t>(24)</w:t>
            </w:r>
          </w:p>
        </w:tc>
      </w:tr>
      <w:tr w:rsidR="00311DF4" w:rsidRPr="001C0E54" w14:paraId="2B2E9DC5" w14:textId="77777777" w:rsidTr="002A7948">
        <w:trPr>
          <w:trHeight w:val="316"/>
        </w:trPr>
        <w:tc>
          <w:tcPr>
            <w:tcW w:w="814" w:type="pct"/>
            <w:tcBorders>
              <w:top w:val="single" w:sz="4" w:space="0" w:color="000000"/>
              <w:left w:val="single" w:sz="4" w:space="0" w:color="000000"/>
              <w:bottom w:val="single" w:sz="4" w:space="0" w:color="000000"/>
              <w:right w:val="single" w:sz="4" w:space="0" w:color="000000"/>
            </w:tcBorders>
          </w:tcPr>
          <w:p w14:paraId="156DAD77" w14:textId="77777777" w:rsidR="00311DF4" w:rsidRPr="001C0E54" w:rsidRDefault="00311DF4">
            <w:pPr>
              <w:jc w:val="both"/>
              <w:rPr>
                <w:sz w:val="22"/>
                <w:szCs w:val="22"/>
              </w:rPr>
            </w:pPr>
          </w:p>
        </w:tc>
        <w:tc>
          <w:tcPr>
            <w:tcW w:w="551" w:type="pct"/>
            <w:vMerge/>
            <w:tcBorders>
              <w:top w:val="single" w:sz="4" w:space="0" w:color="000000"/>
              <w:left w:val="single" w:sz="4" w:space="0" w:color="000000"/>
              <w:bottom w:val="single" w:sz="4" w:space="0" w:color="000000"/>
              <w:right w:val="single" w:sz="4" w:space="0" w:color="000000"/>
            </w:tcBorders>
            <w:vAlign w:val="center"/>
            <w:hideMark/>
          </w:tcPr>
          <w:p w14:paraId="2BA47E41" w14:textId="77777777" w:rsidR="00311DF4" w:rsidRPr="001C0E54" w:rsidRDefault="00311DF4">
            <w:pPr>
              <w:rPr>
                <w:rFonts w:eastAsiaTheme="minorEastAsia"/>
                <w:sz w:val="22"/>
                <w:szCs w:val="22"/>
                <w:lang w:val="en-GB" w:eastAsia="en-GB"/>
              </w:rPr>
            </w:pPr>
          </w:p>
        </w:tc>
        <w:tc>
          <w:tcPr>
            <w:tcW w:w="576" w:type="pct"/>
            <w:tcBorders>
              <w:top w:val="single" w:sz="4" w:space="0" w:color="000000"/>
              <w:left w:val="single" w:sz="4" w:space="0" w:color="000000"/>
              <w:bottom w:val="single" w:sz="4" w:space="0" w:color="000000"/>
              <w:right w:val="single" w:sz="4" w:space="0" w:color="000000"/>
            </w:tcBorders>
            <w:hideMark/>
          </w:tcPr>
          <w:p w14:paraId="608C5D27" w14:textId="77777777" w:rsidR="00311DF4" w:rsidRPr="001C0E54" w:rsidRDefault="00311DF4">
            <w:pPr>
              <w:pStyle w:val="TableParagraph"/>
              <w:kinsoku w:val="0"/>
              <w:overflowPunct w:val="0"/>
              <w:ind w:left="0"/>
              <w:jc w:val="both"/>
              <w:rPr>
                <w:sz w:val="22"/>
                <w:szCs w:val="22"/>
              </w:rPr>
            </w:pPr>
            <w:r w:rsidRPr="001C0E54">
              <w:rPr>
                <w:sz w:val="22"/>
                <w:szCs w:val="22"/>
              </w:rPr>
              <w:t>Severe</w:t>
            </w:r>
          </w:p>
        </w:tc>
        <w:tc>
          <w:tcPr>
            <w:tcW w:w="296" w:type="pct"/>
            <w:tcBorders>
              <w:top w:val="single" w:sz="4" w:space="0" w:color="000000"/>
              <w:left w:val="single" w:sz="4" w:space="0" w:color="000000"/>
              <w:bottom w:val="single" w:sz="4" w:space="0" w:color="000000"/>
              <w:right w:val="single" w:sz="4" w:space="0" w:color="000000"/>
            </w:tcBorders>
            <w:hideMark/>
          </w:tcPr>
          <w:p w14:paraId="03DE7D55" w14:textId="77777777" w:rsidR="00311DF4" w:rsidRPr="001C0E54" w:rsidRDefault="00311DF4">
            <w:pPr>
              <w:pStyle w:val="TableParagraph"/>
              <w:kinsoku w:val="0"/>
              <w:overflowPunct w:val="0"/>
              <w:spacing w:before="56" w:line="240" w:lineRule="exact"/>
              <w:ind w:left="161"/>
              <w:jc w:val="both"/>
              <w:rPr>
                <w:sz w:val="22"/>
                <w:szCs w:val="22"/>
              </w:rPr>
            </w:pPr>
            <w:r w:rsidRPr="001C0E54">
              <w:rPr>
                <w:sz w:val="22"/>
                <w:szCs w:val="22"/>
              </w:rPr>
              <w:t>6</w:t>
            </w:r>
          </w:p>
        </w:tc>
        <w:tc>
          <w:tcPr>
            <w:tcW w:w="843" w:type="pct"/>
            <w:tcBorders>
              <w:top w:val="single" w:sz="4" w:space="0" w:color="000000"/>
              <w:left w:val="single" w:sz="4" w:space="0" w:color="000000"/>
              <w:bottom w:val="single" w:sz="4" w:space="0" w:color="000000"/>
              <w:right w:val="single" w:sz="4" w:space="0" w:color="000000"/>
            </w:tcBorders>
            <w:hideMark/>
          </w:tcPr>
          <w:p w14:paraId="097AE965" w14:textId="77777777" w:rsidR="00311DF4" w:rsidRPr="001C0E54" w:rsidRDefault="00311DF4">
            <w:pPr>
              <w:pStyle w:val="TableParagraph"/>
              <w:kinsoku w:val="0"/>
              <w:overflowPunct w:val="0"/>
              <w:spacing w:before="56" w:line="240" w:lineRule="exact"/>
              <w:ind w:left="452"/>
              <w:jc w:val="both"/>
              <w:rPr>
                <w:sz w:val="22"/>
                <w:szCs w:val="22"/>
              </w:rPr>
            </w:pPr>
            <w:r w:rsidRPr="001C0E54">
              <w:rPr>
                <w:sz w:val="22"/>
                <w:szCs w:val="22"/>
              </w:rPr>
              <w:t>3</w:t>
            </w:r>
            <w:r w:rsidRPr="001C0E54">
              <w:rPr>
                <w:spacing w:val="-2"/>
                <w:sz w:val="22"/>
                <w:szCs w:val="22"/>
              </w:rPr>
              <w:t xml:space="preserve"> </w:t>
            </w:r>
            <w:r w:rsidRPr="001C0E54">
              <w:rPr>
                <w:sz w:val="22"/>
                <w:szCs w:val="22"/>
              </w:rPr>
              <w:t>(26)</w:t>
            </w:r>
          </w:p>
        </w:tc>
        <w:tc>
          <w:tcPr>
            <w:tcW w:w="914" w:type="pct"/>
            <w:tcBorders>
              <w:top w:val="single" w:sz="4" w:space="0" w:color="000000"/>
              <w:left w:val="single" w:sz="4" w:space="0" w:color="000000"/>
              <w:bottom w:val="single" w:sz="4" w:space="0" w:color="000000"/>
              <w:right w:val="single" w:sz="4" w:space="0" w:color="000000"/>
            </w:tcBorders>
            <w:hideMark/>
          </w:tcPr>
          <w:p w14:paraId="4B586E0E" w14:textId="77777777" w:rsidR="00311DF4" w:rsidRPr="001C0E54" w:rsidRDefault="00311DF4">
            <w:pPr>
              <w:pStyle w:val="TableParagraph"/>
              <w:kinsoku w:val="0"/>
              <w:overflowPunct w:val="0"/>
              <w:spacing w:before="56" w:line="240" w:lineRule="exact"/>
              <w:ind w:left="4"/>
              <w:jc w:val="both"/>
              <w:rPr>
                <w:sz w:val="22"/>
                <w:szCs w:val="22"/>
              </w:rPr>
            </w:pPr>
            <w:r w:rsidRPr="001C0E54">
              <w:rPr>
                <w:sz w:val="22"/>
                <w:szCs w:val="22"/>
              </w:rPr>
              <w:t>6</w:t>
            </w:r>
          </w:p>
        </w:tc>
        <w:tc>
          <w:tcPr>
            <w:tcW w:w="1005" w:type="pct"/>
            <w:tcBorders>
              <w:top w:val="single" w:sz="4" w:space="0" w:color="000000"/>
              <w:left w:val="single" w:sz="4" w:space="0" w:color="000000"/>
              <w:bottom w:val="single" w:sz="4" w:space="0" w:color="000000"/>
              <w:right w:val="single" w:sz="4" w:space="0" w:color="000000"/>
            </w:tcBorders>
            <w:hideMark/>
          </w:tcPr>
          <w:p w14:paraId="1A82E8ED" w14:textId="77777777" w:rsidR="00311DF4" w:rsidRPr="001C0E54" w:rsidRDefault="00311DF4">
            <w:pPr>
              <w:pStyle w:val="TableParagraph"/>
              <w:kinsoku w:val="0"/>
              <w:overflowPunct w:val="0"/>
              <w:spacing w:before="56" w:line="240" w:lineRule="exact"/>
              <w:ind w:left="580" w:right="579"/>
              <w:jc w:val="both"/>
              <w:rPr>
                <w:sz w:val="22"/>
                <w:szCs w:val="22"/>
              </w:rPr>
            </w:pPr>
            <w:r w:rsidRPr="001C0E54">
              <w:rPr>
                <w:sz w:val="22"/>
                <w:szCs w:val="22"/>
              </w:rPr>
              <w:t>25</w:t>
            </w:r>
            <w:r w:rsidRPr="001C0E54">
              <w:rPr>
                <w:spacing w:val="-3"/>
                <w:sz w:val="22"/>
                <w:szCs w:val="22"/>
              </w:rPr>
              <w:t xml:space="preserve"> </w:t>
            </w:r>
            <w:r w:rsidRPr="001C0E54">
              <w:rPr>
                <w:sz w:val="22"/>
                <w:szCs w:val="22"/>
              </w:rPr>
              <w:t>(25)</w:t>
            </w:r>
          </w:p>
        </w:tc>
      </w:tr>
      <w:tr w:rsidR="00311DF4" w:rsidRPr="001C0E54" w14:paraId="5345C866" w14:textId="77777777" w:rsidTr="002A7948">
        <w:trPr>
          <w:trHeight w:val="316"/>
        </w:trPr>
        <w:tc>
          <w:tcPr>
            <w:tcW w:w="814" w:type="pct"/>
            <w:tcBorders>
              <w:top w:val="single" w:sz="4" w:space="0" w:color="000000"/>
              <w:left w:val="single" w:sz="4" w:space="0" w:color="000000"/>
              <w:bottom w:val="single" w:sz="4" w:space="0" w:color="000000"/>
              <w:right w:val="single" w:sz="4" w:space="0" w:color="000000"/>
            </w:tcBorders>
            <w:hideMark/>
          </w:tcPr>
          <w:p w14:paraId="366767F5" w14:textId="77777777" w:rsidR="00311DF4" w:rsidRPr="001C0E54" w:rsidRDefault="00311DF4">
            <w:pPr>
              <w:jc w:val="both"/>
              <w:rPr>
                <w:sz w:val="22"/>
                <w:szCs w:val="22"/>
              </w:rPr>
            </w:pPr>
            <w:r w:rsidRPr="001C0E54">
              <w:rPr>
                <w:sz w:val="22"/>
                <w:szCs w:val="22"/>
              </w:rPr>
              <w:t xml:space="preserve">Early </w:t>
            </w:r>
            <w:proofErr w:type="spellStart"/>
            <w:r w:rsidRPr="001C0E54">
              <w:rPr>
                <w:sz w:val="22"/>
                <w:szCs w:val="22"/>
              </w:rPr>
              <w:t>childhood</w:t>
            </w:r>
            <w:proofErr w:type="spellEnd"/>
          </w:p>
        </w:tc>
        <w:tc>
          <w:tcPr>
            <w:tcW w:w="551" w:type="pct"/>
            <w:tcBorders>
              <w:top w:val="single" w:sz="4" w:space="0" w:color="000000"/>
              <w:left w:val="single" w:sz="4" w:space="0" w:color="000000"/>
              <w:bottom w:val="single" w:sz="4" w:space="0" w:color="000000"/>
              <w:right w:val="single" w:sz="4" w:space="0" w:color="000000"/>
            </w:tcBorders>
            <w:hideMark/>
          </w:tcPr>
          <w:p w14:paraId="380BF03B" w14:textId="77777777" w:rsidR="00311DF4" w:rsidRPr="001C0E54" w:rsidRDefault="00311DF4">
            <w:pPr>
              <w:pStyle w:val="TableParagraph"/>
              <w:kinsoku w:val="0"/>
              <w:overflowPunct w:val="0"/>
              <w:spacing w:before="56" w:line="240" w:lineRule="exact"/>
              <w:jc w:val="both"/>
              <w:rPr>
                <w:sz w:val="22"/>
                <w:szCs w:val="22"/>
              </w:rPr>
            </w:pPr>
            <w:r w:rsidRPr="001C0E54">
              <w:rPr>
                <w:sz w:val="22"/>
                <w:szCs w:val="22"/>
              </w:rPr>
              <w:t>Normal</w:t>
            </w:r>
          </w:p>
        </w:tc>
        <w:tc>
          <w:tcPr>
            <w:tcW w:w="576" w:type="pct"/>
            <w:tcBorders>
              <w:top w:val="single" w:sz="4" w:space="0" w:color="000000"/>
              <w:left w:val="single" w:sz="4" w:space="0" w:color="000000"/>
              <w:bottom w:val="single" w:sz="4" w:space="0" w:color="000000"/>
              <w:right w:val="single" w:sz="4" w:space="0" w:color="000000"/>
            </w:tcBorders>
          </w:tcPr>
          <w:p w14:paraId="3D0BD330" w14:textId="77777777" w:rsidR="00311DF4" w:rsidRPr="001C0E54" w:rsidRDefault="00311DF4">
            <w:pPr>
              <w:pStyle w:val="TableParagraph"/>
              <w:kinsoku w:val="0"/>
              <w:overflowPunct w:val="0"/>
              <w:ind w:left="0"/>
              <w:jc w:val="both"/>
              <w:rPr>
                <w:sz w:val="22"/>
                <w:szCs w:val="22"/>
              </w:rPr>
            </w:pPr>
          </w:p>
        </w:tc>
        <w:tc>
          <w:tcPr>
            <w:tcW w:w="296" w:type="pct"/>
            <w:tcBorders>
              <w:top w:val="single" w:sz="4" w:space="0" w:color="000000"/>
              <w:left w:val="single" w:sz="4" w:space="0" w:color="000000"/>
              <w:bottom w:val="single" w:sz="4" w:space="0" w:color="000000"/>
              <w:right w:val="single" w:sz="4" w:space="0" w:color="000000"/>
            </w:tcBorders>
            <w:hideMark/>
          </w:tcPr>
          <w:p w14:paraId="09B1A46B" w14:textId="77777777" w:rsidR="00311DF4" w:rsidRPr="001C0E54" w:rsidRDefault="00311DF4">
            <w:pPr>
              <w:pStyle w:val="TableParagraph"/>
              <w:kinsoku w:val="0"/>
              <w:overflowPunct w:val="0"/>
              <w:spacing w:before="56" w:line="240" w:lineRule="exact"/>
              <w:ind w:left="161"/>
              <w:jc w:val="both"/>
              <w:rPr>
                <w:sz w:val="22"/>
                <w:szCs w:val="22"/>
              </w:rPr>
            </w:pPr>
            <w:r w:rsidRPr="001C0E54">
              <w:rPr>
                <w:sz w:val="22"/>
                <w:szCs w:val="22"/>
              </w:rPr>
              <w:t>39</w:t>
            </w:r>
          </w:p>
        </w:tc>
        <w:tc>
          <w:tcPr>
            <w:tcW w:w="843" w:type="pct"/>
            <w:tcBorders>
              <w:top w:val="single" w:sz="4" w:space="0" w:color="000000"/>
              <w:left w:val="single" w:sz="4" w:space="0" w:color="000000"/>
              <w:bottom w:val="single" w:sz="4" w:space="0" w:color="000000"/>
              <w:right w:val="single" w:sz="4" w:space="0" w:color="000000"/>
            </w:tcBorders>
            <w:hideMark/>
          </w:tcPr>
          <w:p w14:paraId="7EFD5763" w14:textId="77777777" w:rsidR="00311DF4" w:rsidRPr="001C0E54" w:rsidRDefault="00311DF4">
            <w:pPr>
              <w:pStyle w:val="TableParagraph"/>
              <w:kinsoku w:val="0"/>
              <w:overflowPunct w:val="0"/>
              <w:spacing w:before="56" w:line="240" w:lineRule="exact"/>
              <w:ind w:left="452"/>
              <w:jc w:val="both"/>
              <w:rPr>
                <w:sz w:val="22"/>
                <w:szCs w:val="22"/>
              </w:rPr>
            </w:pPr>
            <w:r w:rsidRPr="001C0E54">
              <w:rPr>
                <w:sz w:val="22"/>
                <w:szCs w:val="22"/>
              </w:rPr>
              <w:t>24(25)</w:t>
            </w:r>
          </w:p>
        </w:tc>
        <w:tc>
          <w:tcPr>
            <w:tcW w:w="914" w:type="pct"/>
            <w:tcBorders>
              <w:top w:val="single" w:sz="4" w:space="0" w:color="000000"/>
              <w:left w:val="single" w:sz="4" w:space="0" w:color="000000"/>
              <w:bottom w:val="single" w:sz="4" w:space="0" w:color="000000"/>
              <w:right w:val="single" w:sz="4" w:space="0" w:color="000000"/>
            </w:tcBorders>
            <w:hideMark/>
          </w:tcPr>
          <w:p w14:paraId="580E6BD9" w14:textId="77777777" w:rsidR="00311DF4" w:rsidRPr="001C0E54" w:rsidRDefault="00311DF4">
            <w:pPr>
              <w:pStyle w:val="TableParagraph"/>
              <w:kinsoku w:val="0"/>
              <w:overflowPunct w:val="0"/>
              <w:spacing w:before="56" w:line="240" w:lineRule="exact"/>
              <w:ind w:left="4"/>
              <w:jc w:val="both"/>
              <w:rPr>
                <w:sz w:val="22"/>
                <w:szCs w:val="22"/>
              </w:rPr>
            </w:pPr>
            <w:r w:rsidRPr="001C0E54">
              <w:rPr>
                <w:sz w:val="22"/>
                <w:szCs w:val="22"/>
              </w:rPr>
              <w:t>3</w:t>
            </w:r>
          </w:p>
        </w:tc>
        <w:tc>
          <w:tcPr>
            <w:tcW w:w="1005" w:type="pct"/>
            <w:tcBorders>
              <w:top w:val="single" w:sz="4" w:space="0" w:color="000000"/>
              <w:left w:val="single" w:sz="4" w:space="0" w:color="000000"/>
              <w:bottom w:val="single" w:sz="4" w:space="0" w:color="000000"/>
              <w:right w:val="single" w:sz="4" w:space="0" w:color="000000"/>
            </w:tcBorders>
            <w:hideMark/>
          </w:tcPr>
          <w:p w14:paraId="3C4C397A" w14:textId="77777777" w:rsidR="00311DF4" w:rsidRPr="001C0E54" w:rsidRDefault="00311DF4">
            <w:pPr>
              <w:pStyle w:val="TableParagraph"/>
              <w:kinsoku w:val="0"/>
              <w:overflowPunct w:val="0"/>
              <w:spacing w:before="56" w:line="240" w:lineRule="exact"/>
              <w:ind w:left="580" w:right="579"/>
              <w:jc w:val="both"/>
              <w:rPr>
                <w:sz w:val="22"/>
                <w:szCs w:val="22"/>
              </w:rPr>
            </w:pPr>
            <w:r w:rsidRPr="001C0E54">
              <w:rPr>
                <w:sz w:val="22"/>
                <w:szCs w:val="22"/>
              </w:rPr>
              <w:t>2(22)</w:t>
            </w:r>
          </w:p>
        </w:tc>
      </w:tr>
      <w:tr w:rsidR="00311DF4" w:rsidRPr="001C0E54" w14:paraId="2D8C40EE" w14:textId="77777777" w:rsidTr="002A7948">
        <w:trPr>
          <w:trHeight w:val="316"/>
        </w:trPr>
        <w:tc>
          <w:tcPr>
            <w:tcW w:w="814" w:type="pct"/>
            <w:tcBorders>
              <w:top w:val="single" w:sz="4" w:space="0" w:color="000000"/>
              <w:left w:val="single" w:sz="4" w:space="0" w:color="000000"/>
              <w:bottom w:val="single" w:sz="4" w:space="0" w:color="000000"/>
              <w:right w:val="single" w:sz="4" w:space="0" w:color="000000"/>
            </w:tcBorders>
            <w:hideMark/>
          </w:tcPr>
          <w:p w14:paraId="3725CB0B" w14:textId="77777777" w:rsidR="00311DF4" w:rsidRPr="001C0E54" w:rsidRDefault="00311DF4">
            <w:pPr>
              <w:jc w:val="both"/>
              <w:rPr>
                <w:sz w:val="22"/>
                <w:szCs w:val="22"/>
              </w:rPr>
            </w:pPr>
            <w:r w:rsidRPr="001C0E54">
              <w:rPr>
                <w:sz w:val="22"/>
                <w:szCs w:val="22"/>
              </w:rPr>
              <w:t xml:space="preserve">4 </w:t>
            </w:r>
            <w:proofErr w:type="spellStart"/>
            <w:r w:rsidRPr="001C0E54">
              <w:rPr>
                <w:sz w:val="22"/>
                <w:szCs w:val="22"/>
              </w:rPr>
              <w:t>years</w:t>
            </w:r>
            <w:proofErr w:type="spellEnd"/>
          </w:p>
        </w:tc>
        <w:tc>
          <w:tcPr>
            <w:tcW w:w="551" w:type="pct"/>
            <w:vMerge w:val="restart"/>
            <w:tcBorders>
              <w:top w:val="single" w:sz="4" w:space="0" w:color="000000"/>
              <w:left w:val="single" w:sz="4" w:space="0" w:color="000000"/>
              <w:bottom w:val="single" w:sz="4" w:space="0" w:color="000000"/>
              <w:right w:val="single" w:sz="4" w:space="0" w:color="000000"/>
            </w:tcBorders>
            <w:hideMark/>
          </w:tcPr>
          <w:p w14:paraId="3FEB449B" w14:textId="77777777" w:rsidR="00311DF4" w:rsidRPr="001C0E54" w:rsidRDefault="00311DF4">
            <w:pPr>
              <w:pStyle w:val="TableParagraph"/>
              <w:kinsoku w:val="0"/>
              <w:overflowPunct w:val="0"/>
              <w:spacing w:before="56" w:line="240" w:lineRule="exact"/>
              <w:jc w:val="both"/>
              <w:rPr>
                <w:sz w:val="22"/>
                <w:szCs w:val="22"/>
              </w:rPr>
            </w:pPr>
            <w:r w:rsidRPr="001C0E54">
              <w:rPr>
                <w:sz w:val="22"/>
                <w:szCs w:val="22"/>
              </w:rPr>
              <w:t>Impaired</w:t>
            </w:r>
          </w:p>
        </w:tc>
        <w:tc>
          <w:tcPr>
            <w:tcW w:w="576" w:type="pct"/>
            <w:tcBorders>
              <w:top w:val="single" w:sz="4" w:space="0" w:color="000000"/>
              <w:left w:val="single" w:sz="4" w:space="0" w:color="000000"/>
              <w:bottom w:val="single" w:sz="4" w:space="0" w:color="000000"/>
              <w:right w:val="single" w:sz="4" w:space="0" w:color="000000"/>
            </w:tcBorders>
            <w:hideMark/>
          </w:tcPr>
          <w:p w14:paraId="3FB3BF75" w14:textId="77777777" w:rsidR="00311DF4" w:rsidRPr="001C0E54" w:rsidRDefault="00311DF4">
            <w:pPr>
              <w:pStyle w:val="TableParagraph"/>
              <w:kinsoku w:val="0"/>
              <w:overflowPunct w:val="0"/>
              <w:ind w:left="0"/>
              <w:jc w:val="both"/>
              <w:rPr>
                <w:sz w:val="22"/>
                <w:szCs w:val="22"/>
              </w:rPr>
            </w:pPr>
            <w:r w:rsidRPr="001C0E54">
              <w:rPr>
                <w:sz w:val="22"/>
                <w:szCs w:val="22"/>
              </w:rPr>
              <w:t>Mild</w:t>
            </w:r>
          </w:p>
        </w:tc>
        <w:tc>
          <w:tcPr>
            <w:tcW w:w="296" w:type="pct"/>
            <w:tcBorders>
              <w:top w:val="single" w:sz="4" w:space="0" w:color="000000"/>
              <w:left w:val="single" w:sz="4" w:space="0" w:color="000000"/>
              <w:bottom w:val="single" w:sz="4" w:space="0" w:color="000000"/>
              <w:right w:val="single" w:sz="4" w:space="0" w:color="000000"/>
            </w:tcBorders>
            <w:hideMark/>
          </w:tcPr>
          <w:p w14:paraId="6DC4BA7A" w14:textId="77777777" w:rsidR="00311DF4" w:rsidRPr="001C0E54" w:rsidRDefault="00311DF4">
            <w:pPr>
              <w:pStyle w:val="TableParagraph"/>
              <w:kinsoku w:val="0"/>
              <w:overflowPunct w:val="0"/>
              <w:spacing w:before="56" w:line="240" w:lineRule="exact"/>
              <w:ind w:left="161"/>
              <w:jc w:val="both"/>
              <w:rPr>
                <w:sz w:val="22"/>
                <w:szCs w:val="22"/>
              </w:rPr>
            </w:pPr>
            <w:r w:rsidRPr="001C0E54">
              <w:rPr>
                <w:sz w:val="22"/>
                <w:szCs w:val="22"/>
              </w:rPr>
              <w:t>19</w:t>
            </w:r>
          </w:p>
        </w:tc>
        <w:tc>
          <w:tcPr>
            <w:tcW w:w="843" w:type="pct"/>
            <w:tcBorders>
              <w:top w:val="single" w:sz="4" w:space="0" w:color="000000"/>
              <w:left w:val="single" w:sz="4" w:space="0" w:color="000000"/>
              <w:bottom w:val="single" w:sz="4" w:space="0" w:color="000000"/>
              <w:right w:val="single" w:sz="4" w:space="0" w:color="000000"/>
            </w:tcBorders>
            <w:hideMark/>
          </w:tcPr>
          <w:p w14:paraId="2F32C565" w14:textId="77777777" w:rsidR="00311DF4" w:rsidRPr="001C0E54" w:rsidRDefault="00311DF4">
            <w:pPr>
              <w:pStyle w:val="TableParagraph"/>
              <w:kinsoku w:val="0"/>
              <w:overflowPunct w:val="0"/>
              <w:spacing w:before="56" w:line="240" w:lineRule="exact"/>
              <w:ind w:left="452"/>
              <w:jc w:val="both"/>
              <w:rPr>
                <w:sz w:val="22"/>
                <w:szCs w:val="22"/>
              </w:rPr>
            </w:pPr>
            <w:r w:rsidRPr="001C0E54">
              <w:rPr>
                <w:sz w:val="22"/>
                <w:szCs w:val="22"/>
              </w:rPr>
              <w:t>11(25)</w:t>
            </w:r>
          </w:p>
        </w:tc>
        <w:tc>
          <w:tcPr>
            <w:tcW w:w="914" w:type="pct"/>
            <w:tcBorders>
              <w:top w:val="single" w:sz="4" w:space="0" w:color="000000"/>
              <w:left w:val="single" w:sz="4" w:space="0" w:color="000000"/>
              <w:bottom w:val="single" w:sz="4" w:space="0" w:color="000000"/>
              <w:right w:val="single" w:sz="4" w:space="0" w:color="000000"/>
            </w:tcBorders>
            <w:hideMark/>
          </w:tcPr>
          <w:p w14:paraId="49CB7CE5" w14:textId="77777777" w:rsidR="00311DF4" w:rsidRPr="001C0E54" w:rsidRDefault="00311DF4">
            <w:pPr>
              <w:pStyle w:val="TableParagraph"/>
              <w:kinsoku w:val="0"/>
              <w:overflowPunct w:val="0"/>
              <w:spacing w:before="56" w:line="240" w:lineRule="exact"/>
              <w:ind w:left="4"/>
              <w:jc w:val="both"/>
              <w:rPr>
                <w:sz w:val="22"/>
                <w:szCs w:val="22"/>
              </w:rPr>
            </w:pPr>
            <w:r w:rsidRPr="001C0E54">
              <w:rPr>
                <w:sz w:val="22"/>
                <w:szCs w:val="22"/>
              </w:rPr>
              <w:t>3</w:t>
            </w:r>
          </w:p>
        </w:tc>
        <w:tc>
          <w:tcPr>
            <w:tcW w:w="1005" w:type="pct"/>
            <w:tcBorders>
              <w:top w:val="single" w:sz="4" w:space="0" w:color="000000"/>
              <w:left w:val="single" w:sz="4" w:space="0" w:color="000000"/>
              <w:bottom w:val="single" w:sz="4" w:space="0" w:color="000000"/>
              <w:right w:val="single" w:sz="4" w:space="0" w:color="000000"/>
            </w:tcBorders>
            <w:hideMark/>
          </w:tcPr>
          <w:p w14:paraId="1E8348CA" w14:textId="77777777" w:rsidR="00311DF4" w:rsidRPr="001C0E54" w:rsidRDefault="00311DF4">
            <w:pPr>
              <w:pStyle w:val="TableParagraph"/>
              <w:kinsoku w:val="0"/>
              <w:overflowPunct w:val="0"/>
              <w:spacing w:before="56" w:line="240" w:lineRule="exact"/>
              <w:ind w:left="580" w:right="579"/>
              <w:jc w:val="both"/>
              <w:rPr>
                <w:sz w:val="22"/>
                <w:szCs w:val="22"/>
              </w:rPr>
            </w:pPr>
            <w:r w:rsidRPr="001C0E54">
              <w:rPr>
                <w:sz w:val="22"/>
                <w:szCs w:val="22"/>
              </w:rPr>
              <w:t>4(23)</w:t>
            </w:r>
          </w:p>
        </w:tc>
      </w:tr>
      <w:tr w:rsidR="00311DF4" w:rsidRPr="001C0E54" w14:paraId="515DED0D" w14:textId="77777777" w:rsidTr="002A7948">
        <w:trPr>
          <w:trHeight w:val="316"/>
        </w:trPr>
        <w:tc>
          <w:tcPr>
            <w:tcW w:w="814" w:type="pct"/>
            <w:tcBorders>
              <w:top w:val="single" w:sz="4" w:space="0" w:color="000000"/>
              <w:left w:val="single" w:sz="4" w:space="0" w:color="000000"/>
              <w:bottom w:val="single" w:sz="4" w:space="0" w:color="000000"/>
              <w:right w:val="single" w:sz="4" w:space="0" w:color="000000"/>
            </w:tcBorders>
            <w:hideMark/>
          </w:tcPr>
          <w:p w14:paraId="78A3B23D" w14:textId="77777777" w:rsidR="00311DF4" w:rsidRPr="001C0E54" w:rsidRDefault="00311DF4">
            <w:pPr>
              <w:jc w:val="both"/>
              <w:rPr>
                <w:sz w:val="22"/>
                <w:szCs w:val="22"/>
              </w:rPr>
            </w:pPr>
            <w:r w:rsidRPr="001C0E54">
              <w:rPr>
                <w:sz w:val="22"/>
                <w:szCs w:val="22"/>
              </w:rPr>
              <w:t>16 kg</w:t>
            </w:r>
          </w:p>
        </w:tc>
        <w:tc>
          <w:tcPr>
            <w:tcW w:w="551" w:type="pct"/>
            <w:vMerge/>
            <w:tcBorders>
              <w:top w:val="single" w:sz="4" w:space="0" w:color="000000"/>
              <w:left w:val="single" w:sz="4" w:space="0" w:color="000000"/>
              <w:bottom w:val="single" w:sz="4" w:space="0" w:color="000000"/>
              <w:right w:val="single" w:sz="4" w:space="0" w:color="000000"/>
            </w:tcBorders>
            <w:vAlign w:val="center"/>
            <w:hideMark/>
          </w:tcPr>
          <w:p w14:paraId="3AF9CED0" w14:textId="77777777" w:rsidR="00311DF4" w:rsidRPr="001C0E54" w:rsidRDefault="00311DF4">
            <w:pPr>
              <w:rPr>
                <w:rFonts w:eastAsiaTheme="minorEastAsia"/>
                <w:sz w:val="22"/>
                <w:szCs w:val="22"/>
                <w:lang w:val="en-GB" w:eastAsia="en-GB"/>
              </w:rPr>
            </w:pPr>
          </w:p>
        </w:tc>
        <w:tc>
          <w:tcPr>
            <w:tcW w:w="576" w:type="pct"/>
            <w:tcBorders>
              <w:top w:val="single" w:sz="4" w:space="0" w:color="000000"/>
              <w:left w:val="single" w:sz="4" w:space="0" w:color="000000"/>
              <w:bottom w:val="single" w:sz="4" w:space="0" w:color="000000"/>
              <w:right w:val="single" w:sz="4" w:space="0" w:color="000000"/>
            </w:tcBorders>
            <w:hideMark/>
          </w:tcPr>
          <w:p w14:paraId="1C7FD6C2" w14:textId="77777777" w:rsidR="00311DF4" w:rsidRPr="001C0E54" w:rsidRDefault="00311DF4">
            <w:pPr>
              <w:pStyle w:val="TableParagraph"/>
              <w:kinsoku w:val="0"/>
              <w:overflowPunct w:val="0"/>
              <w:ind w:left="0"/>
              <w:jc w:val="both"/>
              <w:rPr>
                <w:sz w:val="22"/>
                <w:szCs w:val="22"/>
              </w:rPr>
            </w:pPr>
            <w:r w:rsidRPr="001C0E54">
              <w:rPr>
                <w:sz w:val="22"/>
                <w:szCs w:val="22"/>
              </w:rPr>
              <w:t>Moderate</w:t>
            </w:r>
          </w:p>
        </w:tc>
        <w:tc>
          <w:tcPr>
            <w:tcW w:w="296" w:type="pct"/>
            <w:tcBorders>
              <w:top w:val="single" w:sz="4" w:space="0" w:color="000000"/>
              <w:left w:val="single" w:sz="4" w:space="0" w:color="000000"/>
              <w:bottom w:val="single" w:sz="4" w:space="0" w:color="000000"/>
              <w:right w:val="single" w:sz="4" w:space="0" w:color="000000"/>
            </w:tcBorders>
            <w:hideMark/>
          </w:tcPr>
          <w:p w14:paraId="6F5E981B" w14:textId="77777777" w:rsidR="00311DF4" w:rsidRPr="001C0E54" w:rsidRDefault="00311DF4">
            <w:pPr>
              <w:pStyle w:val="TableParagraph"/>
              <w:kinsoku w:val="0"/>
              <w:overflowPunct w:val="0"/>
              <w:spacing w:before="56" w:line="240" w:lineRule="exact"/>
              <w:ind w:left="161"/>
              <w:jc w:val="both"/>
              <w:rPr>
                <w:sz w:val="22"/>
                <w:szCs w:val="22"/>
              </w:rPr>
            </w:pPr>
            <w:r w:rsidRPr="001C0E54">
              <w:rPr>
                <w:sz w:val="22"/>
                <w:szCs w:val="22"/>
              </w:rPr>
              <w:t>12</w:t>
            </w:r>
          </w:p>
        </w:tc>
        <w:tc>
          <w:tcPr>
            <w:tcW w:w="843" w:type="pct"/>
            <w:tcBorders>
              <w:top w:val="single" w:sz="4" w:space="0" w:color="000000"/>
              <w:left w:val="single" w:sz="4" w:space="0" w:color="000000"/>
              <w:bottom w:val="single" w:sz="4" w:space="0" w:color="000000"/>
              <w:right w:val="single" w:sz="4" w:space="0" w:color="000000"/>
            </w:tcBorders>
            <w:hideMark/>
          </w:tcPr>
          <w:p w14:paraId="1AFE3687" w14:textId="77777777" w:rsidR="00311DF4" w:rsidRPr="001C0E54" w:rsidRDefault="00311DF4">
            <w:pPr>
              <w:pStyle w:val="TableParagraph"/>
              <w:kinsoku w:val="0"/>
              <w:overflowPunct w:val="0"/>
              <w:spacing w:before="56" w:line="240" w:lineRule="exact"/>
              <w:ind w:left="452"/>
              <w:jc w:val="both"/>
              <w:rPr>
                <w:sz w:val="22"/>
                <w:szCs w:val="22"/>
              </w:rPr>
            </w:pPr>
            <w:r w:rsidRPr="001C0E54">
              <w:rPr>
                <w:sz w:val="22"/>
                <w:szCs w:val="22"/>
              </w:rPr>
              <w:t>6(25)</w:t>
            </w:r>
          </w:p>
        </w:tc>
        <w:tc>
          <w:tcPr>
            <w:tcW w:w="914" w:type="pct"/>
            <w:tcBorders>
              <w:top w:val="single" w:sz="4" w:space="0" w:color="000000"/>
              <w:left w:val="single" w:sz="4" w:space="0" w:color="000000"/>
              <w:bottom w:val="single" w:sz="4" w:space="0" w:color="000000"/>
              <w:right w:val="single" w:sz="4" w:space="0" w:color="000000"/>
            </w:tcBorders>
            <w:hideMark/>
          </w:tcPr>
          <w:p w14:paraId="257E901E" w14:textId="77777777" w:rsidR="00311DF4" w:rsidRPr="001C0E54" w:rsidRDefault="00311DF4">
            <w:pPr>
              <w:pStyle w:val="TableParagraph"/>
              <w:kinsoku w:val="0"/>
              <w:overflowPunct w:val="0"/>
              <w:spacing w:before="56" w:line="240" w:lineRule="exact"/>
              <w:ind w:left="4"/>
              <w:jc w:val="both"/>
              <w:rPr>
                <w:sz w:val="22"/>
                <w:szCs w:val="22"/>
              </w:rPr>
            </w:pPr>
            <w:r w:rsidRPr="001C0E54">
              <w:rPr>
                <w:sz w:val="22"/>
                <w:szCs w:val="22"/>
              </w:rPr>
              <w:t>3</w:t>
            </w:r>
          </w:p>
        </w:tc>
        <w:tc>
          <w:tcPr>
            <w:tcW w:w="1005" w:type="pct"/>
            <w:tcBorders>
              <w:top w:val="single" w:sz="4" w:space="0" w:color="000000"/>
              <w:left w:val="single" w:sz="4" w:space="0" w:color="000000"/>
              <w:bottom w:val="single" w:sz="4" w:space="0" w:color="000000"/>
              <w:right w:val="single" w:sz="4" w:space="0" w:color="000000"/>
            </w:tcBorders>
            <w:hideMark/>
          </w:tcPr>
          <w:p w14:paraId="036B95C9" w14:textId="77777777" w:rsidR="00311DF4" w:rsidRPr="001C0E54" w:rsidRDefault="00311DF4">
            <w:pPr>
              <w:pStyle w:val="TableParagraph"/>
              <w:kinsoku w:val="0"/>
              <w:overflowPunct w:val="0"/>
              <w:spacing w:before="56" w:line="240" w:lineRule="exact"/>
              <w:ind w:left="580" w:right="579"/>
              <w:jc w:val="both"/>
              <w:rPr>
                <w:sz w:val="22"/>
                <w:szCs w:val="22"/>
              </w:rPr>
            </w:pPr>
            <w:r w:rsidRPr="001C0E54">
              <w:rPr>
                <w:sz w:val="22"/>
                <w:szCs w:val="22"/>
              </w:rPr>
              <w:t>7(24)</w:t>
            </w:r>
          </w:p>
        </w:tc>
      </w:tr>
      <w:tr w:rsidR="00311DF4" w:rsidRPr="001C0E54" w14:paraId="3885DCAF" w14:textId="77777777" w:rsidTr="002A7948">
        <w:trPr>
          <w:trHeight w:val="316"/>
        </w:trPr>
        <w:tc>
          <w:tcPr>
            <w:tcW w:w="814" w:type="pct"/>
            <w:tcBorders>
              <w:top w:val="single" w:sz="4" w:space="0" w:color="000000"/>
              <w:left w:val="single" w:sz="4" w:space="0" w:color="000000"/>
              <w:bottom w:val="single" w:sz="4" w:space="0" w:color="000000"/>
              <w:right w:val="single" w:sz="4" w:space="0" w:color="000000"/>
            </w:tcBorders>
          </w:tcPr>
          <w:p w14:paraId="1B5BEBEF" w14:textId="77777777" w:rsidR="00311DF4" w:rsidRPr="001C0E54" w:rsidRDefault="00311DF4">
            <w:pPr>
              <w:jc w:val="both"/>
              <w:rPr>
                <w:sz w:val="22"/>
                <w:szCs w:val="22"/>
              </w:rPr>
            </w:pPr>
          </w:p>
        </w:tc>
        <w:tc>
          <w:tcPr>
            <w:tcW w:w="551" w:type="pct"/>
            <w:vMerge/>
            <w:tcBorders>
              <w:top w:val="single" w:sz="4" w:space="0" w:color="000000"/>
              <w:left w:val="single" w:sz="4" w:space="0" w:color="000000"/>
              <w:bottom w:val="single" w:sz="4" w:space="0" w:color="000000"/>
              <w:right w:val="single" w:sz="4" w:space="0" w:color="000000"/>
            </w:tcBorders>
            <w:vAlign w:val="center"/>
            <w:hideMark/>
          </w:tcPr>
          <w:p w14:paraId="3076EBFE" w14:textId="77777777" w:rsidR="00311DF4" w:rsidRPr="001C0E54" w:rsidRDefault="00311DF4">
            <w:pPr>
              <w:rPr>
                <w:rFonts w:eastAsiaTheme="minorEastAsia"/>
                <w:sz w:val="22"/>
                <w:szCs w:val="22"/>
                <w:lang w:val="en-GB" w:eastAsia="en-GB"/>
              </w:rPr>
            </w:pPr>
          </w:p>
        </w:tc>
        <w:tc>
          <w:tcPr>
            <w:tcW w:w="576" w:type="pct"/>
            <w:tcBorders>
              <w:top w:val="single" w:sz="4" w:space="0" w:color="000000"/>
              <w:left w:val="single" w:sz="4" w:space="0" w:color="000000"/>
              <w:bottom w:val="single" w:sz="4" w:space="0" w:color="000000"/>
              <w:right w:val="single" w:sz="4" w:space="0" w:color="000000"/>
            </w:tcBorders>
            <w:hideMark/>
          </w:tcPr>
          <w:p w14:paraId="5D4843A4" w14:textId="77777777" w:rsidR="00311DF4" w:rsidRPr="001C0E54" w:rsidRDefault="00311DF4">
            <w:pPr>
              <w:pStyle w:val="TableParagraph"/>
              <w:kinsoku w:val="0"/>
              <w:overflowPunct w:val="0"/>
              <w:ind w:left="0"/>
              <w:jc w:val="both"/>
              <w:rPr>
                <w:sz w:val="22"/>
                <w:szCs w:val="22"/>
              </w:rPr>
            </w:pPr>
            <w:r w:rsidRPr="001C0E54">
              <w:rPr>
                <w:sz w:val="22"/>
                <w:szCs w:val="22"/>
              </w:rPr>
              <w:t>Severe</w:t>
            </w:r>
          </w:p>
        </w:tc>
        <w:tc>
          <w:tcPr>
            <w:tcW w:w="296" w:type="pct"/>
            <w:tcBorders>
              <w:top w:val="single" w:sz="4" w:space="0" w:color="000000"/>
              <w:left w:val="single" w:sz="4" w:space="0" w:color="000000"/>
              <w:bottom w:val="single" w:sz="4" w:space="0" w:color="000000"/>
              <w:right w:val="single" w:sz="4" w:space="0" w:color="000000"/>
            </w:tcBorders>
            <w:hideMark/>
          </w:tcPr>
          <w:p w14:paraId="3857D8A6" w14:textId="77777777" w:rsidR="00311DF4" w:rsidRPr="001C0E54" w:rsidRDefault="00311DF4">
            <w:pPr>
              <w:pStyle w:val="TableParagraph"/>
              <w:kinsoku w:val="0"/>
              <w:overflowPunct w:val="0"/>
              <w:spacing w:before="56" w:line="240" w:lineRule="exact"/>
              <w:ind w:left="161"/>
              <w:jc w:val="both"/>
              <w:rPr>
                <w:sz w:val="22"/>
                <w:szCs w:val="22"/>
              </w:rPr>
            </w:pPr>
            <w:r w:rsidRPr="001C0E54">
              <w:rPr>
                <w:sz w:val="22"/>
                <w:szCs w:val="22"/>
              </w:rPr>
              <w:t>4</w:t>
            </w:r>
          </w:p>
        </w:tc>
        <w:tc>
          <w:tcPr>
            <w:tcW w:w="843" w:type="pct"/>
            <w:tcBorders>
              <w:top w:val="single" w:sz="4" w:space="0" w:color="000000"/>
              <w:left w:val="single" w:sz="4" w:space="0" w:color="000000"/>
              <w:bottom w:val="single" w:sz="4" w:space="0" w:color="000000"/>
              <w:right w:val="single" w:sz="4" w:space="0" w:color="000000"/>
            </w:tcBorders>
            <w:hideMark/>
          </w:tcPr>
          <w:p w14:paraId="1D1F2BA1" w14:textId="77777777" w:rsidR="00311DF4" w:rsidRPr="001C0E54" w:rsidRDefault="00311DF4">
            <w:pPr>
              <w:pStyle w:val="TableParagraph"/>
              <w:kinsoku w:val="0"/>
              <w:overflowPunct w:val="0"/>
              <w:spacing w:before="56" w:line="240" w:lineRule="exact"/>
              <w:ind w:left="452"/>
              <w:jc w:val="both"/>
              <w:rPr>
                <w:sz w:val="22"/>
                <w:szCs w:val="22"/>
              </w:rPr>
            </w:pPr>
            <w:r w:rsidRPr="001C0E54">
              <w:rPr>
                <w:sz w:val="22"/>
                <w:szCs w:val="22"/>
              </w:rPr>
              <w:t>2(25)</w:t>
            </w:r>
          </w:p>
        </w:tc>
        <w:tc>
          <w:tcPr>
            <w:tcW w:w="914" w:type="pct"/>
            <w:tcBorders>
              <w:top w:val="single" w:sz="4" w:space="0" w:color="000000"/>
              <w:left w:val="single" w:sz="4" w:space="0" w:color="000000"/>
              <w:bottom w:val="single" w:sz="4" w:space="0" w:color="000000"/>
              <w:right w:val="single" w:sz="4" w:space="0" w:color="000000"/>
            </w:tcBorders>
            <w:hideMark/>
          </w:tcPr>
          <w:p w14:paraId="4FD9725D" w14:textId="77777777" w:rsidR="00311DF4" w:rsidRPr="001C0E54" w:rsidRDefault="00311DF4">
            <w:pPr>
              <w:pStyle w:val="TableParagraph"/>
              <w:kinsoku w:val="0"/>
              <w:overflowPunct w:val="0"/>
              <w:spacing w:before="56" w:line="240" w:lineRule="exact"/>
              <w:ind w:left="4"/>
              <w:jc w:val="both"/>
              <w:rPr>
                <w:sz w:val="22"/>
                <w:szCs w:val="22"/>
              </w:rPr>
            </w:pPr>
            <w:r w:rsidRPr="001C0E54">
              <w:rPr>
                <w:sz w:val="22"/>
                <w:szCs w:val="22"/>
              </w:rPr>
              <w:t>3</w:t>
            </w:r>
          </w:p>
        </w:tc>
        <w:tc>
          <w:tcPr>
            <w:tcW w:w="1005" w:type="pct"/>
            <w:tcBorders>
              <w:top w:val="single" w:sz="4" w:space="0" w:color="000000"/>
              <w:left w:val="single" w:sz="4" w:space="0" w:color="000000"/>
              <w:bottom w:val="single" w:sz="4" w:space="0" w:color="000000"/>
              <w:right w:val="single" w:sz="4" w:space="0" w:color="000000"/>
            </w:tcBorders>
            <w:hideMark/>
          </w:tcPr>
          <w:p w14:paraId="6405406F" w14:textId="77777777" w:rsidR="00311DF4" w:rsidRPr="001C0E54" w:rsidRDefault="00311DF4">
            <w:pPr>
              <w:pStyle w:val="TableParagraph"/>
              <w:kinsoku w:val="0"/>
              <w:overflowPunct w:val="0"/>
              <w:spacing w:before="56" w:line="240" w:lineRule="exact"/>
              <w:ind w:left="580" w:right="579"/>
              <w:jc w:val="both"/>
              <w:rPr>
                <w:sz w:val="22"/>
                <w:szCs w:val="22"/>
              </w:rPr>
            </w:pPr>
            <w:r w:rsidRPr="001C0E54">
              <w:rPr>
                <w:sz w:val="22"/>
                <w:szCs w:val="22"/>
              </w:rPr>
              <w:t>28(26)</w:t>
            </w:r>
          </w:p>
        </w:tc>
      </w:tr>
    </w:tbl>
    <w:p w14:paraId="026FF0CE" w14:textId="77777777" w:rsidR="00311DF4" w:rsidRPr="002A7948" w:rsidRDefault="00311DF4" w:rsidP="00311DF4">
      <w:pPr>
        <w:jc w:val="both"/>
        <w:rPr>
          <w:bCs/>
          <w:sz w:val="24"/>
          <w:szCs w:val="24"/>
          <w:lang w:val="en-GB" w:eastAsia="en-US"/>
        </w:rPr>
      </w:pPr>
    </w:p>
    <w:p w14:paraId="1B75D067" w14:textId="77777777" w:rsidR="00311DF4" w:rsidRPr="002A7948" w:rsidRDefault="00311DF4" w:rsidP="002A7948">
      <w:pPr>
        <w:ind w:left="851"/>
        <w:rPr>
          <w:sz w:val="24"/>
          <w:szCs w:val="24"/>
        </w:rPr>
      </w:pPr>
      <w:r w:rsidRPr="002A7948">
        <w:rPr>
          <w:sz w:val="24"/>
          <w:szCs w:val="24"/>
        </w:rPr>
        <w:t>CV=</w:t>
      </w:r>
      <w:proofErr w:type="spellStart"/>
      <w:r w:rsidRPr="002A7948">
        <w:rPr>
          <w:sz w:val="24"/>
          <w:szCs w:val="24"/>
        </w:rPr>
        <w:t>coefficient</w:t>
      </w:r>
      <w:proofErr w:type="spellEnd"/>
      <w:r w:rsidRPr="002A7948">
        <w:rPr>
          <w:sz w:val="24"/>
          <w:szCs w:val="24"/>
        </w:rPr>
        <w:t xml:space="preserve"> of variation</w:t>
      </w:r>
    </w:p>
    <w:p w14:paraId="11C8B06D" w14:textId="77777777" w:rsidR="00311DF4" w:rsidRPr="002A7948" w:rsidRDefault="00311DF4" w:rsidP="002A7948">
      <w:pPr>
        <w:ind w:left="851"/>
        <w:rPr>
          <w:bCs/>
          <w:sz w:val="24"/>
          <w:szCs w:val="24"/>
        </w:rPr>
      </w:pPr>
    </w:p>
    <w:p w14:paraId="5B250822" w14:textId="77777777" w:rsidR="00311DF4" w:rsidRPr="002A7948" w:rsidRDefault="00311DF4" w:rsidP="002A7948">
      <w:pPr>
        <w:ind w:left="851"/>
        <w:rPr>
          <w:sz w:val="24"/>
          <w:szCs w:val="24"/>
          <w:u w:val="single"/>
        </w:rPr>
      </w:pPr>
      <w:proofErr w:type="spellStart"/>
      <w:r w:rsidRPr="002A7948">
        <w:rPr>
          <w:sz w:val="24"/>
          <w:szCs w:val="24"/>
          <w:u w:val="single"/>
        </w:rPr>
        <w:t>Gender</w:t>
      </w:r>
      <w:proofErr w:type="spellEnd"/>
      <w:r w:rsidRPr="002A7948">
        <w:rPr>
          <w:sz w:val="24"/>
          <w:szCs w:val="24"/>
          <w:u w:val="single"/>
        </w:rPr>
        <w:t>:</w:t>
      </w:r>
    </w:p>
    <w:p w14:paraId="36B5E595" w14:textId="77777777" w:rsidR="00311DF4" w:rsidRPr="002A7948" w:rsidRDefault="00311DF4" w:rsidP="002A7948">
      <w:pPr>
        <w:ind w:left="851"/>
        <w:rPr>
          <w:sz w:val="24"/>
          <w:szCs w:val="24"/>
          <w:lang w:val="en-US"/>
        </w:rPr>
      </w:pPr>
      <w:r w:rsidRPr="002A7948">
        <w:rPr>
          <w:sz w:val="24"/>
          <w:szCs w:val="24"/>
          <w:lang w:val="en-US"/>
        </w:rPr>
        <w:t>No gender differences were observed.</w:t>
      </w:r>
    </w:p>
    <w:p w14:paraId="7B3547D0" w14:textId="77777777" w:rsidR="00311DF4" w:rsidRPr="002A7948" w:rsidRDefault="00311DF4" w:rsidP="002A7948">
      <w:pPr>
        <w:ind w:left="851"/>
        <w:rPr>
          <w:sz w:val="24"/>
          <w:szCs w:val="24"/>
          <w:lang w:val="en-US"/>
        </w:rPr>
      </w:pPr>
    </w:p>
    <w:p w14:paraId="4610E9BA" w14:textId="77777777" w:rsidR="00311DF4" w:rsidRPr="002A7948" w:rsidRDefault="00311DF4" w:rsidP="002A7948">
      <w:pPr>
        <w:ind w:left="851"/>
        <w:rPr>
          <w:sz w:val="24"/>
          <w:szCs w:val="24"/>
          <w:u w:val="single"/>
          <w:lang w:val="en-US"/>
        </w:rPr>
      </w:pPr>
      <w:r w:rsidRPr="002A7948">
        <w:rPr>
          <w:sz w:val="24"/>
          <w:szCs w:val="24"/>
          <w:u w:val="single"/>
          <w:lang w:val="en-US"/>
        </w:rPr>
        <w:t>Race:</w:t>
      </w:r>
    </w:p>
    <w:p w14:paraId="11E36575" w14:textId="77777777" w:rsidR="00311DF4" w:rsidRPr="002A7948" w:rsidRDefault="00311DF4" w:rsidP="002A7948">
      <w:pPr>
        <w:ind w:left="851"/>
        <w:rPr>
          <w:sz w:val="24"/>
          <w:szCs w:val="24"/>
          <w:lang w:val="en-US"/>
        </w:rPr>
      </w:pPr>
      <w:r w:rsidRPr="002A7948">
        <w:rPr>
          <w:sz w:val="24"/>
          <w:szCs w:val="24"/>
          <w:lang w:val="en-US"/>
        </w:rPr>
        <w:t>In a study in healthy Japanese and Caucasian subjects no clinically relevant differences in pharmacokinetic parameters were observed. Limited data does not indicate differences in pharmacokinetic parameters in Black or African Americans.</w:t>
      </w:r>
    </w:p>
    <w:p w14:paraId="5BB7E7A9" w14:textId="77777777" w:rsidR="00311DF4" w:rsidRPr="002A7948" w:rsidRDefault="00311DF4" w:rsidP="002A7948">
      <w:pPr>
        <w:ind w:left="851"/>
        <w:rPr>
          <w:sz w:val="24"/>
          <w:szCs w:val="24"/>
          <w:lang w:val="en-US"/>
        </w:rPr>
      </w:pPr>
    </w:p>
    <w:p w14:paraId="393F140A" w14:textId="77777777" w:rsidR="00311DF4" w:rsidRPr="002A7948" w:rsidRDefault="00311DF4" w:rsidP="002A7948">
      <w:pPr>
        <w:ind w:left="851"/>
        <w:rPr>
          <w:sz w:val="24"/>
          <w:szCs w:val="24"/>
          <w:u w:val="single"/>
          <w:lang w:val="en-US"/>
        </w:rPr>
      </w:pPr>
      <w:r w:rsidRPr="002A7948">
        <w:rPr>
          <w:sz w:val="24"/>
          <w:szCs w:val="24"/>
          <w:u w:val="single"/>
          <w:lang w:val="en-US"/>
        </w:rPr>
        <w:t>Body weight:</w:t>
      </w:r>
    </w:p>
    <w:p w14:paraId="43F08EB6" w14:textId="77777777" w:rsidR="00311DF4" w:rsidRPr="002A7948" w:rsidRDefault="00311DF4" w:rsidP="002A7948">
      <w:pPr>
        <w:ind w:left="851"/>
        <w:rPr>
          <w:sz w:val="24"/>
          <w:szCs w:val="24"/>
          <w:lang w:val="en-US"/>
        </w:rPr>
      </w:pPr>
      <w:r w:rsidRPr="002A7948">
        <w:rPr>
          <w:sz w:val="24"/>
          <w:szCs w:val="24"/>
          <w:lang w:val="en-US"/>
        </w:rPr>
        <w:t>Population pharmacokinetic analysis of adult and elderly patients showed no clinically relevant relationship of clearance and volume of distribution with body weight.</w:t>
      </w:r>
    </w:p>
    <w:p w14:paraId="7E9FB61A" w14:textId="5D7F0EB0" w:rsidR="001C0E54" w:rsidRDefault="001C0E54">
      <w:pPr>
        <w:rPr>
          <w:sz w:val="24"/>
          <w:szCs w:val="24"/>
          <w:lang w:val="en-US"/>
        </w:rPr>
      </w:pPr>
      <w:r>
        <w:rPr>
          <w:sz w:val="24"/>
          <w:szCs w:val="24"/>
          <w:lang w:val="en-US"/>
        </w:rPr>
        <w:br w:type="page"/>
      </w:r>
    </w:p>
    <w:p w14:paraId="6E634E93" w14:textId="77777777" w:rsidR="00311DF4" w:rsidRPr="002A7948" w:rsidRDefault="00311DF4" w:rsidP="002A7948">
      <w:pPr>
        <w:ind w:left="851"/>
        <w:rPr>
          <w:sz w:val="24"/>
          <w:szCs w:val="24"/>
          <w:lang w:val="en-US"/>
        </w:rPr>
      </w:pPr>
    </w:p>
    <w:p w14:paraId="501A096B" w14:textId="77777777" w:rsidR="00311DF4" w:rsidRPr="002A7948" w:rsidRDefault="00311DF4" w:rsidP="002A7948">
      <w:pPr>
        <w:ind w:left="851"/>
        <w:rPr>
          <w:sz w:val="24"/>
          <w:szCs w:val="24"/>
          <w:u w:val="single"/>
          <w:lang w:val="en-US"/>
        </w:rPr>
      </w:pPr>
      <w:r w:rsidRPr="002A7948">
        <w:rPr>
          <w:sz w:val="24"/>
          <w:szCs w:val="24"/>
          <w:u w:val="single"/>
          <w:lang w:val="en-US"/>
        </w:rPr>
        <w:t>Obesity:</w:t>
      </w:r>
    </w:p>
    <w:p w14:paraId="11E81F06" w14:textId="77777777" w:rsidR="00311DF4" w:rsidRPr="002A7948" w:rsidRDefault="00311DF4" w:rsidP="002A7948">
      <w:pPr>
        <w:ind w:left="851"/>
        <w:rPr>
          <w:sz w:val="24"/>
          <w:szCs w:val="24"/>
          <w:lang w:val="en-US"/>
        </w:rPr>
      </w:pPr>
      <w:r w:rsidRPr="002A7948">
        <w:rPr>
          <w:sz w:val="24"/>
          <w:szCs w:val="24"/>
          <w:lang w:val="en-US"/>
        </w:rPr>
        <w:t xml:space="preserve">In one clinical study in morbidly obese patients, </w:t>
      </w:r>
      <w:proofErr w:type="spellStart"/>
      <w:r w:rsidRPr="002A7948">
        <w:rPr>
          <w:sz w:val="24"/>
          <w:szCs w:val="24"/>
          <w:lang w:val="en-US"/>
        </w:rPr>
        <w:t>sugammadex</w:t>
      </w:r>
      <w:proofErr w:type="spellEnd"/>
      <w:r w:rsidRPr="002A7948">
        <w:rPr>
          <w:sz w:val="24"/>
          <w:szCs w:val="24"/>
          <w:lang w:val="en-US"/>
        </w:rPr>
        <w:t xml:space="preserve"> 2 mg/kg and 4 mg/kg was dosed according to actual body weight (n=76) or ideal body weight (n=74). </w:t>
      </w:r>
      <w:proofErr w:type="spellStart"/>
      <w:r w:rsidRPr="002A7948">
        <w:rPr>
          <w:sz w:val="24"/>
          <w:szCs w:val="24"/>
          <w:lang w:val="en-US"/>
        </w:rPr>
        <w:t>Sugammadex</w:t>
      </w:r>
      <w:proofErr w:type="spellEnd"/>
      <w:r w:rsidRPr="002A7948">
        <w:rPr>
          <w:sz w:val="24"/>
          <w:szCs w:val="24"/>
          <w:lang w:val="en-US"/>
        </w:rPr>
        <w:t xml:space="preserve"> exposure increased in a dose-dependent, linear manner following administration according to actual body weight or ideal body weight. No clinically relevant differences in pharmacokinetic parameters were observed between morbidly obese patients and the general population.</w:t>
      </w:r>
    </w:p>
    <w:p w14:paraId="627CD037" w14:textId="77777777" w:rsidR="007C5D2A" w:rsidRPr="002A7948" w:rsidRDefault="007C5D2A" w:rsidP="003E0341">
      <w:pPr>
        <w:tabs>
          <w:tab w:val="left" w:pos="851"/>
        </w:tabs>
        <w:ind w:left="851"/>
        <w:rPr>
          <w:sz w:val="24"/>
          <w:szCs w:val="24"/>
          <w:lang w:val="en-GB"/>
        </w:rPr>
      </w:pPr>
    </w:p>
    <w:p w14:paraId="694CBFCB" w14:textId="77777777" w:rsidR="007C5D2A" w:rsidRPr="002A7948" w:rsidRDefault="00180A12" w:rsidP="007C5D2A">
      <w:pPr>
        <w:tabs>
          <w:tab w:val="left" w:pos="851"/>
        </w:tabs>
        <w:ind w:left="851" w:hanging="851"/>
        <w:rPr>
          <w:b/>
          <w:sz w:val="24"/>
          <w:szCs w:val="24"/>
          <w:lang w:val="en-GB"/>
        </w:rPr>
      </w:pPr>
      <w:r w:rsidRPr="002A7948">
        <w:rPr>
          <w:b/>
          <w:sz w:val="24"/>
          <w:szCs w:val="24"/>
          <w:lang w:val="en-GB"/>
        </w:rPr>
        <w:t>5.3</w:t>
      </w:r>
      <w:r w:rsidRPr="002A7948">
        <w:rPr>
          <w:b/>
          <w:sz w:val="24"/>
          <w:szCs w:val="24"/>
          <w:lang w:val="en-GB"/>
        </w:rPr>
        <w:tab/>
        <w:t>Preclinical safety data</w:t>
      </w:r>
    </w:p>
    <w:p w14:paraId="07F0D594" w14:textId="77777777" w:rsidR="00311DF4" w:rsidRPr="002A7948" w:rsidRDefault="00311DF4" w:rsidP="002A7948">
      <w:pPr>
        <w:ind w:left="851"/>
        <w:rPr>
          <w:sz w:val="24"/>
          <w:szCs w:val="24"/>
          <w:lang w:val="en-GB"/>
        </w:rPr>
      </w:pPr>
      <w:r w:rsidRPr="002A7948">
        <w:rPr>
          <w:sz w:val="24"/>
          <w:szCs w:val="24"/>
          <w:lang w:val="en-GB"/>
        </w:rPr>
        <w:t>Preclinical data reveal no special hazard for humans based on conventional studies of safety pharmacology, repeated dose toxicity, genotoxicity potential, and toxicity to reproduction, local tolerance or compatibility with blood.</w:t>
      </w:r>
    </w:p>
    <w:p w14:paraId="3D3E4E28" w14:textId="77777777" w:rsidR="00311DF4" w:rsidRPr="002A7948" w:rsidRDefault="00311DF4" w:rsidP="002A7948">
      <w:pPr>
        <w:ind w:left="851"/>
        <w:rPr>
          <w:sz w:val="24"/>
          <w:szCs w:val="24"/>
          <w:lang w:val="en-GB"/>
        </w:rPr>
      </w:pPr>
    </w:p>
    <w:p w14:paraId="1A4921A3" w14:textId="77777777" w:rsidR="00311DF4" w:rsidRPr="002A7948" w:rsidRDefault="00311DF4" w:rsidP="002A7948">
      <w:pPr>
        <w:ind w:left="851"/>
        <w:rPr>
          <w:sz w:val="24"/>
          <w:szCs w:val="24"/>
          <w:lang w:val="en-GB"/>
        </w:rPr>
      </w:pPr>
      <w:proofErr w:type="spellStart"/>
      <w:r w:rsidRPr="002A7948">
        <w:rPr>
          <w:sz w:val="24"/>
          <w:szCs w:val="24"/>
          <w:lang w:val="en-US"/>
        </w:rPr>
        <w:t>Sugammadex</w:t>
      </w:r>
      <w:proofErr w:type="spellEnd"/>
      <w:r w:rsidRPr="002A7948">
        <w:rPr>
          <w:sz w:val="24"/>
          <w:szCs w:val="24"/>
          <w:lang w:val="en-US"/>
        </w:rPr>
        <w:t xml:space="preserve"> is rapidly cleared in preclinical species, although residual </w:t>
      </w:r>
      <w:proofErr w:type="spellStart"/>
      <w:r w:rsidRPr="002A7948">
        <w:rPr>
          <w:sz w:val="24"/>
          <w:szCs w:val="24"/>
          <w:lang w:val="en-US"/>
        </w:rPr>
        <w:t>sugammadex</w:t>
      </w:r>
      <w:proofErr w:type="spellEnd"/>
      <w:r w:rsidRPr="002A7948">
        <w:rPr>
          <w:sz w:val="24"/>
          <w:szCs w:val="24"/>
          <w:lang w:val="en-US"/>
        </w:rPr>
        <w:t xml:space="preserve"> was observed in bone and teeth of juvenile rats. Preclinical studies in young adult and mature rats demonstrate that </w:t>
      </w:r>
      <w:proofErr w:type="spellStart"/>
      <w:r w:rsidRPr="002A7948">
        <w:rPr>
          <w:sz w:val="24"/>
          <w:szCs w:val="24"/>
          <w:lang w:val="en-US"/>
        </w:rPr>
        <w:t>sugammadex</w:t>
      </w:r>
      <w:proofErr w:type="spellEnd"/>
      <w:r w:rsidRPr="002A7948">
        <w:rPr>
          <w:sz w:val="24"/>
          <w:szCs w:val="24"/>
          <w:lang w:val="en-US"/>
        </w:rPr>
        <w:t xml:space="preserve"> does not adversely affect tooth </w:t>
      </w:r>
      <w:proofErr w:type="spellStart"/>
      <w:r w:rsidRPr="002A7948">
        <w:rPr>
          <w:sz w:val="24"/>
          <w:szCs w:val="24"/>
          <w:lang w:val="en-US"/>
        </w:rPr>
        <w:t>colour</w:t>
      </w:r>
      <w:proofErr w:type="spellEnd"/>
      <w:r w:rsidRPr="002A7948">
        <w:rPr>
          <w:sz w:val="24"/>
          <w:szCs w:val="24"/>
          <w:lang w:val="en-US"/>
        </w:rPr>
        <w:t xml:space="preserve"> or bone quality, bone structure, or bone metabolism. </w:t>
      </w:r>
      <w:proofErr w:type="spellStart"/>
      <w:r w:rsidRPr="002A7948">
        <w:rPr>
          <w:sz w:val="24"/>
          <w:szCs w:val="24"/>
          <w:lang w:val="en-US"/>
        </w:rPr>
        <w:t>Sugammadex</w:t>
      </w:r>
      <w:proofErr w:type="spellEnd"/>
      <w:r w:rsidRPr="002A7948">
        <w:rPr>
          <w:sz w:val="24"/>
          <w:szCs w:val="24"/>
          <w:lang w:val="en-US"/>
        </w:rPr>
        <w:t xml:space="preserve"> has no effects on fracture repair and </w:t>
      </w:r>
      <w:proofErr w:type="spellStart"/>
      <w:r w:rsidRPr="002A7948">
        <w:rPr>
          <w:sz w:val="24"/>
          <w:szCs w:val="24"/>
          <w:lang w:val="en-US"/>
        </w:rPr>
        <w:t>remodelling</w:t>
      </w:r>
      <w:proofErr w:type="spellEnd"/>
      <w:r w:rsidRPr="002A7948">
        <w:rPr>
          <w:sz w:val="24"/>
          <w:szCs w:val="24"/>
          <w:lang w:val="en-US"/>
        </w:rPr>
        <w:t xml:space="preserve"> of bone.</w:t>
      </w:r>
    </w:p>
    <w:p w14:paraId="429CB7C5" w14:textId="77777777" w:rsidR="007C5D2A" w:rsidRPr="002A7948" w:rsidRDefault="007C5D2A" w:rsidP="003E0341">
      <w:pPr>
        <w:tabs>
          <w:tab w:val="left" w:pos="851"/>
        </w:tabs>
        <w:ind w:left="851"/>
        <w:rPr>
          <w:sz w:val="24"/>
          <w:szCs w:val="24"/>
          <w:lang w:val="en-GB"/>
        </w:rPr>
      </w:pPr>
    </w:p>
    <w:p w14:paraId="1142D397" w14:textId="77777777" w:rsidR="007C5D2A" w:rsidRPr="002A7948" w:rsidRDefault="007C5D2A" w:rsidP="003E0341">
      <w:pPr>
        <w:tabs>
          <w:tab w:val="left" w:pos="851"/>
        </w:tabs>
        <w:ind w:left="851"/>
        <w:rPr>
          <w:sz w:val="24"/>
          <w:szCs w:val="24"/>
          <w:lang w:val="en-GB"/>
        </w:rPr>
      </w:pPr>
    </w:p>
    <w:p w14:paraId="4BBC0539" w14:textId="77777777" w:rsidR="007C5D2A" w:rsidRPr="002A7948" w:rsidRDefault="009925C9" w:rsidP="007C5D2A">
      <w:pPr>
        <w:ind w:left="851" w:hanging="851"/>
        <w:rPr>
          <w:b/>
          <w:sz w:val="24"/>
          <w:szCs w:val="24"/>
          <w:lang w:val="en-GB"/>
        </w:rPr>
      </w:pPr>
      <w:r w:rsidRPr="002A7948">
        <w:rPr>
          <w:b/>
          <w:sz w:val="24"/>
          <w:szCs w:val="24"/>
          <w:lang w:val="en-GB"/>
        </w:rPr>
        <w:t>6.</w:t>
      </w:r>
      <w:r w:rsidR="007C5D2A" w:rsidRPr="002A7948">
        <w:rPr>
          <w:b/>
          <w:sz w:val="24"/>
          <w:szCs w:val="24"/>
          <w:lang w:val="en-GB"/>
        </w:rPr>
        <w:tab/>
        <w:t>PHARMACEUTICAL PARTICULARS</w:t>
      </w:r>
    </w:p>
    <w:p w14:paraId="07212C7C" w14:textId="77777777" w:rsidR="007C5D2A" w:rsidRPr="002A7948" w:rsidRDefault="007C5D2A" w:rsidP="003E0341">
      <w:pPr>
        <w:tabs>
          <w:tab w:val="left" w:pos="851"/>
        </w:tabs>
        <w:ind w:left="851"/>
        <w:rPr>
          <w:sz w:val="24"/>
          <w:szCs w:val="24"/>
          <w:lang w:val="en-GB"/>
        </w:rPr>
      </w:pPr>
    </w:p>
    <w:p w14:paraId="1EB43D2F" w14:textId="77777777" w:rsidR="007C5D2A" w:rsidRPr="002A7948" w:rsidRDefault="007C5D2A" w:rsidP="007C5D2A">
      <w:pPr>
        <w:ind w:left="851" w:hanging="851"/>
        <w:rPr>
          <w:b/>
          <w:sz w:val="24"/>
          <w:szCs w:val="24"/>
          <w:lang w:val="en-GB"/>
        </w:rPr>
      </w:pPr>
      <w:r w:rsidRPr="002A7948">
        <w:rPr>
          <w:b/>
          <w:sz w:val="24"/>
          <w:szCs w:val="24"/>
          <w:lang w:val="en-GB"/>
        </w:rPr>
        <w:t>6.1</w:t>
      </w:r>
      <w:r w:rsidRPr="002A7948">
        <w:rPr>
          <w:b/>
          <w:sz w:val="24"/>
          <w:szCs w:val="24"/>
          <w:lang w:val="en-GB"/>
        </w:rPr>
        <w:tab/>
        <w:t>List of excipients</w:t>
      </w:r>
    </w:p>
    <w:p w14:paraId="3871321F" w14:textId="77777777" w:rsidR="00311DF4" w:rsidRPr="002A7948" w:rsidRDefault="00311DF4" w:rsidP="002A7948">
      <w:pPr>
        <w:ind w:left="851"/>
        <w:rPr>
          <w:sz w:val="24"/>
          <w:szCs w:val="24"/>
          <w:lang w:val="en-US"/>
        </w:rPr>
      </w:pPr>
      <w:r w:rsidRPr="002A7948">
        <w:rPr>
          <w:sz w:val="24"/>
          <w:szCs w:val="24"/>
          <w:lang w:val="en-US"/>
        </w:rPr>
        <w:t>Hydrochloric acid 3.7% (to adjust pH) and/or sodium hydroxide (to adjust pH)</w:t>
      </w:r>
    </w:p>
    <w:p w14:paraId="699C9907" w14:textId="77777777" w:rsidR="00311DF4" w:rsidRPr="002A7948" w:rsidRDefault="00311DF4" w:rsidP="002A7948">
      <w:pPr>
        <w:ind w:left="851"/>
        <w:rPr>
          <w:sz w:val="24"/>
          <w:szCs w:val="24"/>
          <w:lang w:val="en-US"/>
        </w:rPr>
      </w:pPr>
      <w:r w:rsidRPr="002A7948">
        <w:rPr>
          <w:sz w:val="24"/>
          <w:szCs w:val="24"/>
          <w:lang w:val="en-US"/>
        </w:rPr>
        <w:t xml:space="preserve">Water for injections </w:t>
      </w:r>
    </w:p>
    <w:p w14:paraId="0EFABECE" w14:textId="77777777" w:rsidR="007C5D2A" w:rsidRPr="002A7948" w:rsidRDefault="007C5D2A" w:rsidP="003D727E">
      <w:pPr>
        <w:tabs>
          <w:tab w:val="left" w:pos="851"/>
        </w:tabs>
        <w:ind w:left="851"/>
        <w:rPr>
          <w:sz w:val="24"/>
          <w:szCs w:val="24"/>
          <w:lang w:val="en-GB"/>
        </w:rPr>
      </w:pPr>
    </w:p>
    <w:p w14:paraId="44768E59" w14:textId="77777777" w:rsidR="007C5D2A" w:rsidRPr="002A7948" w:rsidRDefault="007C5D2A" w:rsidP="007C5D2A">
      <w:pPr>
        <w:ind w:left="851" w:hanging="851"/>
        <w:rPr>
          <w:b/>
          <w:sz w:val="24"/>
          <w:szCs w:val="24"/>
          <w:lang w:val="en-GB"/>
        </w:rPr>
      </w:pPr>
      <w:r w:rsidRPr="002A7948">
        <w:rPr>
          <w:b/>
          <w:sz w:val="24"/>
          <w:szCs w:val="24"/>
          <w:lang w:val="en-GB"/>
        </w:rPr>
        <w:t>6.2</w:t>
      </w:r>
      <w:r w:rsidRPr="002A7948">
        <w:rPr>
          <w:b/>
          <w:sz w:val="24"/>
          <w:szCs w:val="24"/>
          <w:lang w:val="en-GB"/>
        </w:rPr>
        <w:tab/>
        <w:t>Incompatibilities</w:t>
      </w:r>
    </w:p>
    <w:p w14:paraId="59402712" w14:textId="72BCF3F1" w:rsidR="00311DF4" w:rsidRPr="002A7948" w:rsidRDefault="00311DF4" w:rsidP="002A7948">
      <w:pPr>
        <w:ind w:left="851"/>
        <w:rPr>
          <w:sz w:val="24"/>
          <w:szCs w:val="24"/>
          <w:lang w:val="en-US"/>
        </w:rPr>
      </w:pPr>
      <w:r w:rsidRPr="002A7948">
        <w:rPr>
          <w:sz w:val="24"/>
          <w:szCs w:val="24"/>
          <w:lang w:val="en-US"/>
        </w:rPr>
        <w:t>This medicinal product must not be mixed with other medicinal products except those mentioned in</w:t>
      </w:r>
      <w:r w:rsidR="001C0E54">
        <w:rPr>
          <w:sz w:val="24"/>
          <w:szCs w:val="24"/>
          <w:lang w:val="en-US"/>
        </w:rPr>
        <w:t xml:space="preserve"> </w:t>
      </w:r>
      <w:r w:rsidRPr="002A7948">
        <w:rPr>
          <w:sz w:val="24"/>
          <w:szCs w:val="24"/>
          <w:lang w:val="en-US"/>
        </w:rPr>
        <w:t>section 6.6.</w:t>
      </w:r>
    </w:p>
    <w:p w14:paraId="0D27BBCD" w14:textId="77777777" w:rsidR="00311DF4" w:rsidRPr="002A7948" w:rsidRDefault="00311DF4" w:rsidP="002A7948">
      <w:pPr>
        <w:ind w:left="851"/>
        <w:rPr>
          <w:sz w:val="24"/>
          <w:szCs w:val="24"/>
          <w:lang w:val="en-US"/>
        </w:rPr>
      </w:pPr>
      <w:r w:rsidRPr="002A7948">
        <w:rPr>
          <w:sz w:val="24"/>
          <w:szCs w:val="24"/>
          <w:lang w:val="en-US"/>
        </w:rPr>
        <w:t>Physical incompatibility has been reported with verapamil, ondansetron and ranitidine.</w:t>
      </w:r>
    </w:p>
    <w:p w14:paraId="0E80303B" w14:textId="77777777" w:rsidR="007C5D2A" w:rsidRPr="002A7948" w:rsidRDefault="007C5D2A" w:rsidP="003E0341">
      <w:pPr>
        <w:tabs>
          <w:tab w:val="left" w:pos="851"/>
        </w:tabs>
        <w:ind w:left="851"/>
        <w:rPr>
          <w:sz w:val="24"/>
          <w:szCs w:val="24"/>
          <w:lang w:val="en-GB"/>
        </w:rPr>
      </w:pPr>
    </w:p>
    <w:p w14:paraId="66C70A31" w14:textId="77777777" w:rsidR="007C5D2A" w:rsidRPr="002A7948" w:rsidRDefault="007C5D2A" w:rsidP="007C5D2A">
      <w:pPr>
        <w:ind w:left="851" w:hanging="851"/>
        <w:rPr>
          <w:b/>
          <w:sz w:val="24"/>
          <w:szCs w:val="24"/>
          <w:lang w:val="en-GB"/>
        </w:rPr>
      </w:pPr>
      <w:r w:rsidRPr="002A7948">
        <w:rPr>
          <w:b/>
          <w:sz w:val="24"/>
          <w:szCs w:val="24"/>
          <w:lang w:val="en-GB"/>
        </w:rPr>
        <w:t>6.3</w:t>
      </w:r>
      <w:r w:rsidRPr="002A7948">
        <w:rPr>
          <w:b/>
          <w:sz w:val="24"/>
          <w:szCs w:val="24"/>
          <w:lang w:val="en-GB"/>
        </w:rPr>
        <w:tab/>
        <w:t>Shelf</w:t>
      </w:r>
      <w:r w:rsidR="00B45DC5" w:rsidRPr="002A7948">
        <w:rPr>
          <w:b/>
          <w:sz w:val="24"/>
          <w:szCs w:val="24"/>
          <w:lang w:val="en-GB"/>
        </w:rPr>
        <w:t xml:space="preserve"> </w:t>
      </w:r>
      <w:r w:rsidRPr="002A7948">
        <w:rPr>
          <w:b/>
          <w:sz w:val="24"/>
          <w:szCs w:val="24"/>
          <w:lang w:val="en-GB"/>
        </w:rPr>
        <w:t>life</w:t>
      </w:r>
    </w:p>
    <w:p w14:paraId="75F79716" w14:textId="77777777" w:rsidR="00311DF4" w:rsidRPr="002A7948" w:rsidRDefault="00311DF4" w:rsidP="002A7948">
      <w:pPr>
        <w:ind w:left="851"/>
        <w:rPr>
          <w:sz w:val="24"/>
          <w:szCs w:val="24"/>
          <w:lang w:val="en-US"/>
        </w:rPr>
      </w:pPr>
      <w:r w:rsidRPr="002A7948">
        <w:rPr>
          <w:sz w:val="24"/>
          <w:szCs w:val="24"/>
          <w:lang w:val="en-US"/>
        </w:rPr>
        <w:t>2 years</w:t>
      </w:r>
    </w:p>
    <w:p w14:paraId="366C17FC" w14:textId="77777777" w:rsidR="00311DF4" w:rsidRPr="002A7948" w:rsidRDefault="00311DF4" w:rsidP="002A7948">
      <w:pPr>
        <w:ind w:left="851"/>
        <w:rPr>
          <w:sz w:val="24"/>
          <w:szCs w:val="24"/>
          <w:lang w:val="en-US"/>
        </w:rPr>
      </w:pPr>
      <w:r w:rsidRPr="002A7948">
        <w:rPr>
          <w:sz w:val="24"/>
          <w:szCs w:val="24"/>
          <w:lang w:val="en-US"/>
        </w:rPr>
        <w:t>After first opening and dilution chemical and physical in-use stability has been demonstrated for 48 hours at 2°C to 25°C. From a microbiological point of view, the diluted product should be used immediately. If not used immediately, in-use storage times and conditions prior to use are the responsibility of the user and would normally not be longer than 24 hours at 2°C to 8°C, unless dilution has taken place in controlled and validated aseptic conditions.</w:t>
      </w:r>
    </w:p>
    <w:p w14:paraId="1040F484" w14:textId="77777777" w:rsidR="007C5D2A" w:rsidRPr="002A7948" w:rsidRDefault="007C5D2A" w:rsidP="003E0341">
      <w:pPr>
        <w:tabs>
          <w:tab w:val="left" w:pos="851"/>
        </w:tabs>
        <w:ind w:left="851"/>
        <w:rPr>
          <w:sz w:val="24"/>
          <w:szCs w:val="24"/>
          <w:lang w:val="en-GB"/>
        </w:rPr>
      </w:pPr>
    </w:p>
    <w:p w14:paraId="26F11398" w14:textId="77777777" w:rsidR="007C5D2A" w:rsidRPr="002A7948" w:rsidRDefault="007C5D2A" w:rsidP="007C5D2A">
      <w:pPr>
        <w:ind w:left="851" w:hanging="851"/>
        <w:rPr>
          <w:b/>
          <w:sz w:val="24"/>
          <w:szCs w:val="24"/>
          <w:lang w:val="en-GB"/>
        </w:rPr>
      </w:pPr>
      <w:r w:rsidRPr="002A7948">
        <w:rPr>
          <w:b/>
          <w:sz w:val="24"/>
          <w:szCs w:val="24"/>
          <w:lang w:val="en-GB"/>
        </w:rPr>
        <w:t>6.4</w:t>
      </w:r>
      <w:r w:rsidRPr="002A7948">
        <w:rPr>
          <w:b/>
          <w:sz w:val="24"/>
          <w:szCs w:val="24"/>
          <w:lang w:val="en-GB"/>
        </w:rPr>
        <w:tab/>
        <w:t>Special precautions for storage</w:t>
      </w:r>
    </w:p>
    <w:p w14:paraId="549AB094" w14:textId="77777777" w:rsidR="00311DF4" w:rsidRPr="002A7948" w:rsidRDefault="00311DF4" w:rsidP="002A7948">
      <w:pPr>
        <w:ind w:left="851"/>
        <w:rPr>
          <w:sz w:val="24"/>
          <w:szCs w:val="24"/>
          <w:lang w:val="en-US"/>
        </w:rPr>
      </w:pPr>
      <w:r w:rsidRPr="002A7948">
        <w:rPr>
          <w:sz w:val="24"/>
          <w:szCs w:val="24"/>
          <w:lang w:val="en-US"/>
        </w:rPr>
        <w:t>Do not freeze.</w:t>
      </w:r>
    </w:p>
    <w:p w14:paraId="4D74FB33" w14:textId="77777777" w:rsidR="00311DF4" w:rsidRPr="002A7948" w:rsidRDefault="00311DF4" w:rsidP="002A7948">
      <w:pPr>
        <w:ind w:left="851"/>
        <w:rPr>
          <w:sz w:val="24"/>
          <w:szCs w:val="24"/>
          <w:lang w:val="en-US"/>
        </w:rPr>
      </w:pPr>
      <w:r w:rsidRPr="002A7948">
        <w:rPr>
          <w:sz w:val="24"/>
          <w:szCs w:val="24"/>
          <w:lang w:val="en-US"/>
        </w:rPr>
        <w:t>Keep the vial in the outer carton in order to protect from light.</w:t>
      </w:r>
    </w:p>
    <w:p w14:paraId="1BD5C0C6" w14:textId="77777777" w:rsidR="00311DF4" w:rsidRPr="002A7948" w:rsidRDefault="00311DF4" w:rsidP="002A7948">
      <w:pPr>
        <w:ind w:left="851"/>
        <w:rPr>
          <w:sz w:val="24"/>
          <w:szCs w:val="24"/>
          <w:lang w:val="en-US"/>
        </w:rPr>
      </w:pPr>
      <w:r w:rsidRPr="002A7948">
        <w:rPr>
          <w:sz w:val="24"/>
          <w:szCs w:val="24"/>
          <w:lang w:val="en-US"/>
        </w:rPr>
        <w:t>For storage conditions of the diluted medicinal product, see section 6.3.</w:t>
      </w:r>
    </w:p>
    <w:p w14:paraId="76F71583" w14:textId="77777777" w:rsidR="007C5D2A" w:rsidRPr="002A7948" w:rsidRDefault="007C5D2A" w:rsidP="003E0341">
      <w:pPr>
        <w:tabs>
          <w:tab w:val="left" w:pos="851"/>
        </w:tabs>
        <w:ind w:left="851"/>
        <w:rPr>
          <w:sz w:val="24"/>
          <w:szCs w:val="24"/>
          <w:lang w:val="en-GB"/>
        </w:rPr>
      </w:pPr>
    </w:p>
    <w:p w14:paraId="000148B7" w14:textId="77777777" w:rsidR="007C5D2A" w:rsidRPr="002A7948" w:rsidRDefault="007C5D2A" w:rsidP="007C5D2A">
      <w:pPr>
        <w:ind w:left="851" w:hanging="851"/>
        <w:rPr>
          <w:b/>
          <w:sz w:val="24"/>
          <w:szCs w:val="24"/>
          <w:lang w:val="en-GB"/>
        </w:rPr>
      </w:pPr>
      <w:r w:rsidRPr="002A7948">
        <w:rPr>
          <w:b/>
          <w:sz w:val="24"/>
          <w:szCs w:val="24"/>
          <w:lang w:val="en-GB"/>
        </w:rPr>
        <w:t>6.5</w:t>
      </w:r>
      <w:r w:rsidRPr="002A7948">
        <w:rPr>
          <w:b/>
          <w:sz w:val="24"/>
          <w:szCs w:val="24"/>
          <w:lang w:val="en-GB"/>
        </w:rPr>
        <w:tab/>
        <w:t>Nature and contents of container</w:t>
      </w:r>
    </w:p>
    <w:p w14:paraId="219CC516" w14:textId="276D64BE" w:rsidR="00311DF4" w:rsidRPr="002A7948" w:rsidRDefault="00311DF4" w:rsidP="002A7948">
      <w:pPr>
        <w:ind w:left="851"/>
        <w:rPr>
          <w:sz w:val="24"/>
          <w:szCs w:val="24"/>
          <w:lang w:val="en-US"/>
        </w:rPr>
      </w:pPr>
      <w:r w:rsidRPr="002A7948">
        <w:rPr>
          <w:sz w:val="24"/>
          <w:szCs w:val="24"/>
          <w:lang w:val="en-US"/>
        </w:rPr>
        <w:t xml:space="preserve">2 mL or 5 mL of solution in glass (type I) vial closed with </w:t>
      </w:r>
      <w:proofErr w:type="spellStart"/>
      <w:r w:rsidRPr="002A7948">
        <w:rPr>
          <w:sz w:val="24"/>
          <w:szCs w:val="24"/>
          <w:lang w:val="en-US"/>
        </w:rPr>
        <w:t>chlorobutyl</w:t>
      </w:r>
      <w:proofErr w:type="spellEnd"/>
      <w:r w:rsidRPr="002A7948">
        <w:rPr>
          <w:sz w:val="24"/>
          <w:szCs w:val="24"/>
          <w:lang w:val="en-US"/>
        </w:rPr>
        <w:t xml:space="preserve"> rubber stoppers with </w:t>
      </w:r>
      <w:proofErr w:type="spellStart"/>
      <w:r w:rsidRPr="002A7948">
        <w:rPr>
          <w:sz w:val="24"/>
          <w:szCs w:val="24"/>
          <w:lang w:val="en-US"/>
        </w:rPr>
        <w:t>aluminium</w:t>
      </w:r>
      <w:proofErr w:type="spellEnd"/>
      <w:r w:rsidR="001C0E54">
        <w:rPr>
          <w:sz w:val="24"/>
          <w:szCs w:val="24"/>
          <w:lang w:val="en-US"/>
        </w:rPr>
        <w:t xml:space="preserve"> </w:t>
      </w:r>
      <w:r w:rsidRPr="002A7948">
        <w:rPr>
          <w:sz w:val="24"/>
          <w:szCs w:val="24"/>
          <w:lang w:val="en-US"/>
        </w:rPr>
        <w:t>flip-off seal.</w:t>
      </w:r>
    </w:p>
    <w:p w14:paraId="16419531" w14:textId="77777777" w:rsidR="00311DF4" w:rsidRPr="002A7948" w:rsidRDefault="00311DF4" w:rsidP="002A7948">
      <w:pPr>
        <w:ind w:left="851"/>
        <w:rPr>
          <w:sz w:val="24"/>
          <w:szCs w:val="24"/>
          <w:lang w:val="en-US"/>
        </w:rPr>
      </w:pPr>
      <w:r w:rsidRPr="002A7948">
        <w:rPr>
          <w:sz w:val="24"/>
          <w:szCs w:val="24"/>
          <w:lang w:val="en-US"/>
        </w:rPr>
        <w:t xml:space="preserve">Pack sizes: 10 vials of 2 mL or 10 vials of 5 </w:t>
      </w:r>
      <w:proofErr w:type="spellStart"/>
      <w:r w:rsidRPr="002A7948">
        <w:rPr>
          <w:sz w:val="24"/>
          <w:szCs w:val="24"/>
          <w:lang w:val="en-US"/>
        </w:rPr>
        <w:t>mL.</w:t>
      </w:r>
      <w:proofErr w:type="spellEnd"/>
    </w:p>
    <w:p w14:paraId="6D05409E" w14:textId="77777777" w:rsidR="00311DF4" w:rsidRPr="002A7948" w:rsidRDefault="00311DF4" w:rsidP="002A7948">
      <w:pPr>
        <w:ind w:left="851"/>
        <w:rPr>
          <w:sz w:val="24"/>
          <w:szCs w:val="24"/>
          <w:lang w:val="en-US"/>
        </w:rPr>
      </w:pPr>
      <w:r w:rsidRPr="002A7948">
        <w:rPr>
          <w:sz w:val="24"/>
          <w:szCs w:val="24"/>
          <w:lang w:val="en-US"/>
        </w:rPr>
        <w:t>Not all pack-sizes may be marketed.</w:t>
      </w:r>
    </w:p>
    <w:p w14:paraId="19574A5E" w14:textId="77777777" w:rsidR="007C5D2A" w:rsidRPr="002A7948" w:rsidRDefault="007C5D2A" w:rsidP="003E0341">
      <w:pPr>
        <w:tabs>
          <w:tab w:val="left" w:pos="851"/>
        </w:tabs>
        <w:ind w:left="851"/>
        <w:rPr>
          <w:sz w:val="24"/>
          <w:szCs w:val="24"/>
          <w:lang w:val="en-GB"/>
        </w:rPr>
      </w:pPr>
    </w:p>
    <w:p w14:paraId="44CCC33A" w14:textId="77777777" w:rsidR="007C5D2A" w:rsidRPr="002A7948" w:rsidRDefault="007C5D2A" w:rsidP="007C5D2A">
      <w:pPr>
        <w:ind w:left="851" w:hanging="851"/>
        <w:rPr>
          <w:b/>
          <w:sz w:val="24"/>
          <w:szCs w:val="24"/>
          <w:lang w:val="en-GB"/>
        </w:rPr>
      </w:pPr>
      <w:r w:rsidRPr="002A7948">
        <w:rPr>
          <w:b/>
          <w:sz w:val="24"/>
          <w:szCs w:val="24"/>
          <w:lang w:val="en-GB"/>
        </w:rPr>
        <w:t>6.6</w:t>
      </w:r>
      <w:r w:rsidRPr="002A7948">
        <w:rPr>
          <w:b/>
          <w:sz w:val="24"/>
          <w:szCs w:val="24"/>
          <w:lang w:val="en-GB"/>
        </w:rPr>
        <w:tab/>
        <w:t>Special precautions for disposal and other handling</w:t>
      </w:r>
    </w:p>
    <w:p w14:paraId="4218C494" w14:textId="045A38A7" w:rsidR="00311DF4" w:rsidRPr="002A7948" w:rsidRDefault="001C0E54" w:rsidP="002A7948">
      <w:pPr>
        <w:ind w:left="851"/>
        <w:rPr>
          <w:sz w:val="24"/>
          <w:szCs w:val="24"/>
          <w:lang w:val="en-US"/>
        </w:rPr>
      </w:pPr>
      <w:proofErr w:type="spellStart"/>
      <w:r>
        <w:rPr>
          <w:sz w:val="24"/>
          <w:szCs w:val="24"/>
          <w:lang w:val="en-US"/>
        </w:rPr>
        <w:t>Sugammadex</w:t>
      </w:r>
      <w:proofErr w:type="spellEnd"/>
      <w:r>
        <w:rPr>
          <w:sz w:val="24"/>
          <w:szCs w:val="24"/>
          <w:lang w:val="en-US"/>
        </w:rPr>
        <w:t xml:space="preserve"> "</w:t>
      </w:r>
      <w:proofErr w:type="spellStart"/>
      <w:r>
        <w:rPr>
          <w:sz w:val="24"/>
          <w:szCs w:val="24"/>
          <w:lang w:val="en-US"/>
        </w:rPr>
        <w:t>Atnahs</w:t>
      </w:r>
      <w:proofErr w:type="spellEnd"/>
      <w:r>
        <w:rPr>
          <w:sz w:val="24"/>
          <w:szCs w:val="24"/>
          <w:lang w:val="en-US"/>
        </w:rPr>
        <w:t>"</w:t>
      </w:r>
      <w:r w:rsidR="00311DF4" w:rsidRPr="002A7948">
        <w:rPr>
          <w:sz w:val="24"/>
          <w:szCs w:val="24"/>
          <w:lang w:val="en-US"/>
        </w:rPr>
        <w:t xml:space="preserve"> can be injected into the intravenous line of a running infusion with the following intravenous solutions: sodium chloride 9 mg/mL (0.9%), glucose 50 mg/mL (5%), sodium chloride 4.5 mg/mL (0.45%) and glucose 25 mg/mL (2.5%), Ringers lactate solution, Ringers solution, glucose 50 mg/mL</w:t>
      </w:r>
      <w:r w:rsidR="002A7948" w:rsidRPr="002A7948">
        <w:rPr>
          <w:sz w:val="24"/>
          <w:szCs w:val="24"/>
          <w:lang w:val="en-US"/>
        </w:rPr>
        <w:t xml:space="preserve"> </w:t>
      </w:r>
      <w:r w:rsidR="00311DF4" w:rsidRPr="002A7948">
        <w:rPr>
          <w:sz w:val="24"/>
          <w:szCs w:val="24"/>
          <w:lang w:val="en-US"/>
        </w:rPr>
        <w:t>(5%) in sodium chloride 9 mg/mL (0.9%).</w:t>
      </w:r>
    </w:p>
    <w:p w14:paraId="4B3A28B9" w14:textId="77777777" w:rsidR="00311DF4" w:rsidRPr="002A7948" w:rsidRDefault="00311DF4" w:rsidP="002A7948">
      <w:pPr>
        <w:ind w:left="851"/>
        <w:rPr>
          <w:sz w:val="24"/>
          <w:szCs w:val="24"/>
          <w:lang w:val="en-US"/>
        </w:rPr>
      </w:pPr>
    </w:p>
    <w:p w14:paraId="11391B93" w14:textId="60266063" w:rsidR="00311DF4" w:rsidRPr="002A7948" w:rsidRDefault="00311DF4" w:rsidP="002A7948">
      <w:pPr>
        <w:ind w:left="851"/>
        <w:rPr>
          <w:sz w:val="24"/>
          <w:szCs w:val="24"/>
          <w:lang w:val="en-US"/>
        </w:rPr>
      </w:pPr>
      <w:r w:rsidRPr="002A7948">
        <w:rPr>
          <w:sz w:val="24"/>
          <w:szCs w:val="24"/>
          <w:lang w:val="en-US"/>
        </w:rPr>
        <w:t xml:space="preserve">The infusion line should be adequately flushed (e.g., with sodium chloride 9 mg/mL (0.9%)) between administration of </w:t>
      </w:r>
      <w:proofErr w:type="spellStart"/>
      <w:r w:rsidR="001C0E54">
        <w:rPr>
          <w:sz w:val="24"/>
          <w:szCs w:val="24"/>
          <w:lang w:val="en-US"/>
        </w:rPr>
        <w:t>Sugammadex</w:t>
      </w:r>
      <w:proofErr w:type="spellEnd"/>
      <w:r w:rsidR="001C0E54">
        <w:rPr>
          <w:sz w:val="24"/>
          <w:szCs w:val="24"/>
          <w:lang w:val="en-US"/>
        </w:rPr>
        <w:t xml:space="preserve"> "</w:t>
      </w:r>
      <w:proofErr w:type="spellStart"/>
      <w:r w:rsidR="001C0E54">
        <w:rPr>
          <w:sz w:val="24"/>
          <w:szCs w:val="24"/>
          <w:lang w:val="en-US"/>
        </w:rPr>
        <w:t>Atnahs</w:t>
      </w:r>
      <w:proofErr w:type="spellEnd"/>
      <w:r w:rsidR="001C0E54">
        <w:rPr>
          <w:sz w:val="24"/>
          <w:szCs w:val="24"/>
          <w:lang w:val="en-US"/>
        </w:rPr>
        <w:t>"</w:t>
      </w:r>
      <w:r w:rsidRPr="002A7948">
        <w:rPr>
          <w:sz w:val="24"/>
          <w:szCs w:val="24"/>
          <w:lang w:val="en-US"/>
        </w:rPr>
        <w:t xml:space="preserve"> and other medicinal products.</w:t>
      </w:r>
    </w:p>
    <w:p w14:paraId="56E38C20" w14:textId="77777777" w:rsidR="00311DF4" w:rsidRPr="002A7948" w:rsidRDefault="00311DF4" w:rsidP="002A7948">
      <w:pPr>
        <w:ind w:left="851"/>
        <w:rPr>
          <w:sz w:val="24"/>
          <w:szCs w:val="24"/>
          <w:lang w:val="en-US"/>
        </w:rPr>
      </w:pPr>
    </w:p>
    <w:p w14:paraId="72838A87" w14:textId="77777777" w:rsidR="00311DF4" w:rsidRPr="002A7948" w:rsidRDefault="00311DF4" w:rsidP="002A7948">
      <w:pPr>
        <w:ind w:left="851"/>
        <w:rPr>
          <w:sz w:val="24"/>
          <w:szCs w:val="24"/>
          <w:u w:val="single"/>
          <w:lang w:val="en-US"/>
        </w:rPr>
      </w:pPr>
      <w:r w:rsidRPr="002A7948">
        <w:rPr>
          <w:sz w:val="24"/>
          <w:szCs w:val="24"/>
          <w:u w:val="single"/>
          <w:lang w:val="en-US"/>
        </w:rPr>
        <w:t>Use in the paediatric population</w:t>
      </w:r>
    </w:p>
    <w:p w14:paraId="3B665441" w14:textId="57C67D05" w:rsidR="00311DF4" w:rsidRPr="002A7948" w:rsidRDefault="00311DF4" w:rsidP="002A7948">
      <w:pPr>
        <w:ind w:left="851"/>
        <w:rPr>
          <w:sz w:val="24"/>
          <w:szCs w:val="24"/>
          <w:lang w:val="en-US"/>
        </w:rPr>
      </w:pPr>
      <w:r w:rsidRPr="002A7948">
        <w:rPr>
          <w:sz w:val="24"/>
          <w:szCs w:val="24"/>
          <w:lang w:val="en-US"/>
        </w:rPr>
        <w:t xml:space="preserve">For paediatric patients </w:t>
      </w:r>
      <w:proofErr w:type="spellStart"/>
      <w:r w:rsidR="001C0E54">
        <w:rPr>
          <w:sz w:val="24"/>
          <w:szCs w:val="24"/>
          <w:lang w:val="en-US"/>
        </w:rPr>
        <w:t>Sugammadex</w:t>
      </w:r>
      <w:proofErr w:type="spellEnd"/>
      <w:r w:rsidR="001C0E54">
        <w:rPr>
          <w:sz w:val="24"/>
          <w:szCs w:val="24"/>
          <w:lang w:val="en-US"/>
        </w:rPr>
        <w:t xml:space="preserve"> "</w:t>
      </w:r>
      <w:proofErr w:type="spellStart"/>
      <w:r w:rsidR="001C0E54">
        <w:rPr>
          <w:sz w:val="24"/>
          <w:szCs w:val="24"/>
          <w:lang w:val="en-US"/>
        </w:rPr>
        <w:t>Atnahs</w:t>
      </w:r>
      <w:proofErr w:type="spellEnd"/>
      <w:r w:rsidR="001C0E54">
        <w:rPr>
          <w:sz w:val="24"/>
          <w:szCs w:val="24"/>
          <w:lang w:val="en-US"/>
        </w:rPr>
        <w:t>"</w:t>
      </w:r>
      <w:r w:rsidRPr="002A7948">
        <w:rPr>
          <w:sz w:val="24"/>
          <w:szCs w:val="24"/>
          <w:lang w:val="en-US"/>
        </w:rPr>
        <w:t xml:space="preserve"> can be diluted using sodium chloride 9</w:t>
      </w:r>
      <w:r w:rsidR="001C0E54">
        <w:rPr>
          <w:sz w:val="24"/>
          <w:szCs w:val="24"/>
          <w:lang w:val="en-US"/>
        </w:rPr>
        <w:t> </w:t>
      </w:r>
      <w:r w:rsidRPr="002A7948">
        <w:rPr>
          <w:sz w:val="24"/>
          <w:szCs w:val="24"/>
          <w:lang w:val="en-US"/>
        </w:rPr>
        <w:t xml:space="preserve">mg/mL (0.9%) to a concentration of 10 mg/mL (see section 6.3). </w:t>
      </w:r>
    </w:p>
    <w:p w14:paraId="5FBB1B27" w14:textId="77777777" w:rsidR="00311DF4" w:rsidRPr="002A7948" w:rsidRDefault="00311DF4" w:rsidP="002A7948">
      <w:pPr>
        <w:ind w:left="851"/>
        <w:rPr>
          <w:sz w:val="24"/>
          <w:szCs w:val="24"/>
          <w:lang w:val="en-US"/>
        </w:rPr>
      </w:pPr>
    </w:p>
    <w:p w14:paraId="29741764" w14:textId="7B60312D" w:rsidR="00311DF4" w:rsidRPr="002A7948" w:rsidRDefault="00311DF4" w:rsidP="002A7948">
      <w:pPr>
        <w:ind w:left="851"/>
        <w:rPr>
          <w:sz w:val="24"/>
          <w:szCs w:val="24"/>
          <w:lang w:val="en-US"/>
        </w:rPr>
      </w:pPr>
      <w:r w:rsidRPr="002A7948">
        <w:rPr>
          <w:sz w:val="24"/>
          <w:szCs w:val="24"/>
          <w:lang w:val="en-US"/>
        </w:rPr>
        <w:t>Any unused medicinal product or waste material should be disposed of in accordance with local</w:t>
      </w:r>
      <w:r w:rsidR="002A7948" w:rsidRPr="002A7948">
        <w:rPr>
          <w:sz w:val="24"/>
          <w:szCs w:val="24"/>
          <w:lang w:val="en-US"/>
        </w:rPr>
        <w:t xml:space="preserve"> </w:t>
      </w:r>
      <w:r w:rsidRPr="002A7948">
        <w:rPr>
          <w:sz w:val="24"/>
          <w:szCs w:val="24"/>
          <w:lang w:val="en-US"/>
        </w:rPr>
        <w:t>requirements.</w:t>
      </w:r>
    </w:p>
    <w:p w14:paraId="5240B90F" w14:textId="77777777" w:rsidR="007C5D2A" w:rsidRPr="002A7948" w:rsidRDefault="007C5D2A" w:rsidP="00AB4376">
      <w:pPr>
        <w:tabs>
          <w:tab w:val="left" w:pos="851"/>
        </w:tabs>
        <w:ind w:left="851"/>
        <w:rPr>
          <w:sz w:val="24"/>
          <w:szCs w:val="24"/>
          <w:lang w:val="en-GB"/>
        </w:rPr>
      </w:pPr>
    </w:p>
    <w:p w14:paraId="18084599" w14:textId="77777777" w:rsidR="007C5D2A" w:rsidRPr="002A7948" w:rsidRDefault="007C5D2A" w:rsidP="007C5D2A">
      <w:pPr>
        <w:tabs>
          <w:tab w:val="left" w:pos="851"/>
        </w:tabs>
        <w:ind w:left="851" w:hanging="851"/>
        <w:jc w:val="both"/>
        <w:rPr>
          <w:b/>
          <w:sz w:val="24"/>
          <w:szCs w:val="24"/>
          <w:lang w:val="en-GB"/>
        </w:rPr>
      </w:pPr>
      <w:r w:rsidRPr="002A7948">
        <w:rPr>
          <w:b/>
          <w:sz w:val="24"/>
          <w:szCs w:val="24"/>
          <w:lang w:val="en-GB"/>
        </w:rPr>
        <w:t>7.</w:t>
      </w:r>
      <w:r w:rsidRPr="002A7948">
        <w:rPr>
          <w:b/>
          <w:sz w:val="24"/>
          <w:szCs w:val="24"/>
          <w:lang w:val="en-GB"/>
        </w:rPr>
        <w:tab/>
        <w:t>MARKETING AUTHORISATION HOLDER</w:t>
      </w:r>
    </w:p>
    <w:p w14:paraId="1062CD8F" w14:textId="138945F9" w:rsidR="007C5D2A" w:rsidRPr="002A7948" w:rsidRDefault="00311DF4" w:rsidP="00A85D26">
      <w:pPr>
        <w:tabs>
          <w:tab w:val="left" w:pos="851"/>
        </w:tabs>
        <w:ind w:left="851"/>
        <w:jc w:val="both"/>
        <w:rPr>
          <w:sz w:val="24"/>
          <w:szCs w:val="24"/>
          <w:lang w:val="en-GB"/>
        </w:rPr>
      </w:pPr>
      <w:proofErr w:type="spellStart"/>
      <w:r w:rsidRPr="002A7948">
        <w:rPr>
          <w:sz w:val="24"/>
          <w:szCs w:val="24"/>
          <w:lang w:val="en-GB"/>
        </w:rPr>
        <w:t>Atnahs</w:t>
      </w:r>
      <w:proofErr w:type="spellEnd"/>
      <w:r w:rsidRPr="002A7948">
        <w:rPr>
          <w:sz w:val="24"/>
          <w:szCs w:val="24"/>
          <w:lang w:val="en-GB"/>
        </w:rPr>
        <w:t xml:space="preserve"> Pharma Netherlands B.V.</w:t>
      </w:r>
    </w:p>
    <w:p w14:paraId="144E24F8" w14:textId="4FFBC482" w:rsidR="00311DF4" w:rsidRPr="002A7948" w:rsidRDefault="00311DF4" w:rsidP="00A85D26">
      <w:pPr>
        <w:tabs>
          <w:tab w:val="left" w:pos="851"/>
        </w:tabs>
        <w:ind w:left="851"/>
        <w:jc w:val="both"/>
        <w:rPr>
          <w:sz w:val="24"/>
          <w:szCs w:val="24"/>
          <w:lang w:val="en-GB"/>
        </w:rPr>
      </w:pPr>
      <w:r w:rsidRPr="002A7948">
        <w:rPr>
          <w:sz w:val="24"/>
          <w:szCs w:val="24"/>
          <w:lang w:val="en-GB"/>
        </w:rPr>
        <w:t>Copenhagen Towers</w:t>
      </w:r>
    </w:p>
    <w:p w14:paraId="08AE9D73" w14:textId="401558FF" w:rsidR="00311DF4" w:rsidRPr="002A7948" w:rsidRDefault="00311DF4" w:rsidP="00A85D26">
      <w:pPr>
        <w:tabs>
          <w:tab w:val="left" w:pos="851"/>
        </w:tabs>
        <w:ind w:left="851"/>
        <w:jc w:val="both"/>
        <w:rPr>
          <w:sz w:val="24"/>
          <w:szCs w:val="24"/>
          <w:lang w:val="en-GB"/>
        </w:rPr>
      </w:pPr>
      <w:proofErr w:type="spellStart"/>
      <w:r w:rsidRPr="002A7948">
        <w:rPr>
          <w:sz w:val="24"/>
          <w:szCs w:val="24"/>
          <w:lang w:val="en-GB"/>
        </w:rPr>
        <w:t>Ørestads</w:t>
      </w:r>
      <w:proofErr w:type="spellEnd"/>
      <w:r w:rsidRPr="002A7948">
        <w:rPr>
          <w:sz w:val="24"/>
          <w:szCs w:val="24"/>
          <w:lang w:val="en-GB"/>
        </w:rPr>
        <w:t xml:space="preserve"> Boulevard 108, 5.tv</w:t>
      </w:r>
    </w:p>
    <w:p w14:paraId="0E04052F" w14:textId="3E066E97" w:rsidR="001C6EB4" w:rsidRPr="002A7948" w:rsidRDefault="001C6EB4" w:rsidP="00A85D26">
      <w:pPr>
        <w:tabs>
          <w:tab w:val="left" w:pos="851"/>
        </w:tabs>
        <w:ind w:left="851"/>
        <w:jc w:val="both"/>
        <w:rPr>
          <w:sz w:val="24"/>
          <w:szCs w:val="24"/>
          <w:lang w:val="en-GB"/>
        </w:rPr>
      </w:pPr>
      <w:r w:rsidRPr="002A7948">
        <w:rPr>
          <w:sz w:val="24"/>
          <w:szCs w:val="24"/>
          <w:lang w:val="en-GB"/>
        </w:rPr>
        <w:t xml:space="preserve">2300 </w:t>
      </w:r>
      <w:proofErr w:type="spellStart"/>
      <w:r w:rsidRPr="002A7948">
        <w:rPr>
          <w:sz w:val="24"/>
          <w:szCs w:val="24"/>
          <w:lang w:val="en-GB"/>
        </w:rPr>
        <w:t>København</w:t>
      </w:r>
      <w:proofErr w:type="spellEnd"/>
      <w:r w:rsidRPr="002A7948">
        <w:rPr>
          <w:sz w:val="24"/>
          <w:szCs w:val="24"/>
          <w:lang w:val="en-GB"/>
        </w:rPr>
        <w:t xml:space="preserve"> S</w:t>
      </w:r>
    </w:p>
    <w:p w14:paraId="6880765D" w14:textId="77777777" w:rsidR="008A24F6" w:rsidRPr="002A7948" w:rsidRDefault="008A24F6" w:rsidP="003E0341">
      <w:pPr>
        <w:tabs>
          <w:tab w:val="left" w:pos="851"/>
        </w:tabs>
        <w:ind w:left="851"/>
        <w:jc w:val="both"/>
        <w:rPr>
          <w:sz w:val="24"/>
          <w:szCs w:val="24"/>
          <w:lang w:val="en-GB"/>
        </w:rPr>
      </w:pPr>
    </w:p>
    <w:p w14:paraId="2349BBB5" w14:textId="77777777" w:rsidR="007C5D2A" w:rsidRPr="002A7948" w:rsidRDefault="007C5D2A" w:rsidP="007C5D2A">
      <w:pPr>
        <w:ind w:left="851" w:hanging="851"/>
        <w:jc w:val="both"/>
        <w:rPr>
          <w:b/>
          <w:sz w:val="24"/>
          <w:szCs w:val="24"/>
          <w:lang w:val="en-GB"/>
        </w:rPr>
      </w:pPr>
      <w:r w:rsidRPr="002A7948">
        <w:rPr>
          <w:b/>
          <w:sz w:val="24"/>
          <w:szCs w:val="24"/>
          <w:lang w:val="en-GB"/>
        </w:rPr>
        <w:t>8.</w:t>
      </w:r>
      <w:r w:rsidRPr="002A7948">
        <w:rPr>
          <w:b/>
          <w:sz w:val="24"/>
          <w:szCs w:val="24"/>
          <w:lang w:val="en-GB"/>
        </w:rPr>
        <w:tab/>
        <w:t>MARKETING AUTHORISATION NUMBER(S)</w:t>
      </w:r>
    </w:p>
    <w:p w14:paraId="5EB2D423" w14:textId="6B3A99FF" w:rsidR="007C5D2A" w:rsidRPr="002A7948" w:rsidRDefault="00D8692C" w:rsidP="00A85D26">
      <w:pPr>
        <w:tabs>
          <w:tab w:val="left" w:pos="851"/>
        </w:tabs>
        <w:ind w:left="851"/>
        <w:jc w:val="both"/>
        <w:rPr>
          <w:sz w:val="24"/>
          <w:szCs w:val="24"/>
          <w:lang w:val="en-GB"/>
        </w:rPr>
      </w:pPr>
      <w:r w:rsidRPr="002A7948">
        <w:rPr>
          <w:sz w:val="24"/>
          <w:szCs w:val="24"/>
          <w:lang w:val="en-GB"/>
        </w:rPr>
        <w:t>66825</w:t>
      </w:r>
    </w:p>
    <w:p w14:paraId="0D812433" w14:textId="77777777" w:rsidR="007C5D2A" w:rsidRPr="002A7948" w:rsidRDefault="007C5D2A" w:rsidP="00180A12">
      <w:pPr>
        <w:tabs>
          <w:tab w:val="left" w:pos="851"/>
        </w:tabs>
        <w:ind w:left="851"/>
        <w:jc w:val="both"/>
        <w:rPr>
          <w:sz w:val="24"/>
          <w:szCs w:val="24"/>
          <w:lang w:val="en-GB"/>
        </w:rPr>
      </w:pPr>
    </w:p>
    <w:p w14:paraId="2E567811" w14:textId="77777777" w:rsidR="007C5D2A" w:rsidRPr="002A7948" w:rsidRDefault="007C5D2A" w:rsidP="007C5D2A">
      <w:pPr>
        <w:tabs>
          <w:tab w:val="left" w:pos="851"/>
        </w:tabs>
        <w:jc w:val="both"/>
        <w:rPr>
          <w:sz w:val="24"/>
          <w:szCs w:val="24"/>
          <w:lang w:val="en-GB"/>
        </w:rPr>
      </w:pPr>
      <w:r w:rsidRPr="002A7948">
        <w:rPr>
          <w:b/>
          <w:sz w:val="24"/>
          <w:szCs w:val="24"/>
          <w:lang w:val="en-GB"/>
        </w:rPr>
        <w:t>9.</w:t>
      </w:r>
      <w:r w:rsidRPr="002A7948">
        <w:rPr>
          <w:b/>
          <w:sz w:val="24"/>
          <w:szCs w:val="24"/>
          <w:lang w:val="en-GB"/>
        </w:rPr>
        <w:tab/>
        <w:t>DATE OF FIRST AUTHORISATION</w:t>
      </w:r>
    </w:p>
    <w:p w14:paraId="4648FF37" w14:textId="7F72502B" w:rsidR="007C5D2A" w:rsidRPr="002A7948" w:rsidRDefault="000F54B0" w:rsidP="00A85D26">
      <w:pPr>
        <w:ind w:left="851"/>
        <w:jc w:val="both"/>
        <w:rPr>
          <w:sz w:val="24"/>
          <w:szCs w:val="24"/>
          <w:lang w:val="en-GB"/>
        </w:rPr>
      </w:pPr>
      <w:r>
        <w:rPr>
          <w:sz w:val="24"/>
          <w:szCs w:val="24"/>
          <w:lang w:val="en-GB"/>
        </w:rPr>
        <w:t>6 June 2023</w:t>
      </w:r>
    </w:p>
    <w:p w14:paraId="7973AF0D" w14:textId="77777777" w:rsidR="007C5D2A" w:rsidRPr="002A7948" w:rsidRDefault="007C5D2A" w:rsidP="003E0341">
      <w:pPr>
        <w:tabs>
          <w:tab w:val="left" w:pos="851"/>
        </w:tabs>
        <w:ind w:left="851"/>
        <w:jc w:val="both"/>
        <w:rPr>
          <w:sz w:val="24"/>
          <w:szCs w:val="24"/>
          <w:lang w:val="en-GB"/>
        </w:rPr>
      </w:pPr>
    </w:p>
    <w:p w14:paraId="660F9043" w14:textId="77777777" w:rsidR="007C5D2A" w:rsidRPr="002A7948" w:rsidRDefault="007C5D2A" w:rsidP="007C5D2A">
      <w:pPr>
        <w:tabs>
          <w:tab w:val="left" w:pos="851"/>
        </w:tabs>
        <w:jc w:val="both"/>
        <w:rPr>
          <w:sz w:val="24"/>
          <w:szCs w:val="24"/>
          <w:lang w:val="en-GB"/>
        </w:rPr>
      </w:pPr>
      <w:r w:rsidRPr="002A7948">
        <w:rPr>
          <w:b/>
          <w:sz w:val="24"/>
          <w:szCs w:val="24"/>
          <w:lang w:val="en-GB"/>
        </w:rPr>
        <w:t>10.</w:t>
      </w:r>
      <w:r w:rsidRPr="002A7948">
        <w:rPr>
          <w:b/>
          <w:sz w:val="24"/>
          <w:szCs w:val="24"/>
          <w:lang w:val="en-GB"/>
        </w:rPr>
        <w:tab/>
        <w:t>DATE OF REVISION OF THE TEXT</w:t>
      </w:r>
    </w:p>
    <w:p w14:paraId="7E1E54FE" w14:textId="089B3A0F" w:rsidR="007C5D2A" w:rsidRPr="002A7948" w:rsidRDefault="00D8692C" w:rsidP="003E0341">
      <w:pPr>
        <w:tabs>
          <w:tab w:val="left" w:pos="851"/>
        </w:tabs>
        <w:ind w:left="851"/>
        <w:jc w:val="both"/>
        <w:rPr>
          <w:sz w:val="24"/>
          <w:szCs w:val="24"/>
          <w:lang w:val="en-GB"/>
        </w:rPr>
      </w:pPr>
      <w:r w:rsidRPr="002A7948">
        <w:rPr>
          <w:sz w:val="24"/>
          <w:szCs w:val="24"/>
          <w:lang w:val="en-GB"/>
        </w:rPr>
        <w:t>-</w:t>
      </w:r>
    </w:p>
    <w:sectPr w:rsidR="007C5D2A" w:rsidRPr="002A794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C98B3" w14:textId="77777777" w:rsidR="00311DF4" w:rsidRDefault="00311DF4">
      <w:r>
        <w:separator/>
      </w:r>
    </w:p>
  </w:endnote>
  <w:endnote w:type="continuationSeparator" w:id="0">
    <w:p w14:paraId="2FA57D59" w14:textId="77777777" w:rsidR="00311DF4" w:rsidRDefault="0031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6D63" w14:textId="77777777" w:rsidR="00311DF4" w:rsidRDefault="00311DF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A1AC" w14:textId="77777777" w:rsidR="00311DF4" w:rsidRDefault="00311DF4">
    <w:pPr>
      <w:pStyle w:val="Sidefod"/>
      <w:pBdr>
        <w:bottom w:val="single" w:sz="6" w:space="1" w:color="auto"/>
      </w:pBdr>
    </w:pPr>
  </w:p>
  <w:p w14:paraId="77EE2E41" w14:textId="77777777" w:rsidR="00311DF4" w:rsidRDefault="00311DF4">
    <w:pPr>
      <w:pStyle w:val="Sidefod"/>
      <w:tabs>
        <w:tab w:val="clear" w:pos="4819"/>
        <w:tab w:val="left" w:pos="8647"/>
      </w:tabs>
      <w:rPr>
        <w:i/>
        <w:snapToGrid w:val="0"/>
        <w:sz w:val="18"/>
      </w:rPr>
    </w:pPr>
  </w:p>
  <w:p w14:paraId="07716D9A" w14:textId="529EC8D3" w:rsidR="00311DF4" w:rsidRDefault="00311DF4"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21333">
      <w:rPr>
        <w:i/>
        <w:noProof/>
        <w:snapToGrid w:val="0"/>
        <w:sz w:val="18"/>
      </w:rPr>
      <w:t>Sugammadex Atnahs, injektionsvæske, opløsning 100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71FB4" w14:textId="77777777" w:rsidR="00311DF4" w:rsidRDefault="00311DF4">
    <w:pPr>
      <w:pStyle w:val="Sidefod"/>
      <w:pBdr>
        <w:bottom w:val="single" w:sz="6" w:space="1" w:color="auto"/>
      </w:pBdr>
      <w:tabs>
        <w:tab w:val="clear" w:pos="4819"/>
        <w:tab w:val="left" w:pos="8789"/>
      </w:tabs>
      <w:rPr>
        <w:i/>
        <w:snapToGrid w:val="0"/>
        <w:sz w:val="18"/>
      </w:rPr>
    </w:pPr>
  </w:p>
  <w:p w14:paraId="6257F842" w14:textId="77777777" w:rsidR="00311DF4" w:rsidRDefault="00311DF4">
    <w:pPr>
      <w:pStyle w:val="Sidefod"/>
      <w:tabs>
        <w:tab w:val="clear" w:pos="4819"/>
        <w:tab w:val="left" w:pos="8789"/>
      </w:tabs>
      <w:rPr>
        <w:i/>
        <w:snapToGrid w:val="0"/>
        <w:sz w:val="18"/>
      </w:rPr>
    </w:pPr>
  </w:p>
  <w:p w14:paraId="63DBDAD5" w14:textId="658126E6" w:rsidR="00311DF4" w:rsidRDefault="00311DF4">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21333">
      <w:rPr>
        <w:i/>
        <w:noProof/>
        <w:snapToGrid w:val="0"/>
        <w:sz w:val="18"/>
      </w:rPr>
      <w:t>Sugammadex Atnahs, injektionsvæske, opløsning 100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8B407" w14:textId="77777777" w:rsidR="00311DF4" w:rsidRDefault="00311DF4">
      <w:r>
        <w:separator/>
      </w:r>
    </w:p>
  </w:footnote>
  <w:footnote w:type="continuationSeparator" w:id="0">
    <w:p w14:paraId="0D0FFECF" w14:textId="77777777" w:rsidR="00311DF4" w:rsidRDefault="00311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A01C3" w14:textId="77777777" w:rsidR="00311DF4" w:rsidRDefault="00311DF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D455" w14:textId="77777777" w:rsidR="00311DF4" w:rsidRDefault="00311DF4">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740C" w14:textId="77777777" w:rsidR="00311DF4" w:rsidRDefault="00311DF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8881C9D"/>
    <w:multiLevelType w:val="hybridMultilevel"/>
    <w:tmpl w:val="EEF02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9B"/>
    <w:rsid w:val="00021333"/>
    <w:rsid w:val="00056601"/>
    <w:rsid w:val="0006069B"/>
    <w:rsid w:val="000C3846"/>
    <w:rsid w:val="000C6218"/>
    <w:rsid w:val="000D3C9D"/>
    <w:rsid w:val="000F0D47"/>
    <w:rsid w:val="000F54B0"/>
    <w:rsid w:val="001242DE"/>
    <w:rsid w:val="00180A12"/>
    <w:rsid w:val="001C0E54"/>
    <w:rsid w:val="001C6EB4"/>
    <w:rsid w:val="00214331"/>
    <w:rsid w:val="00214CF4"/>
    <w:rsid w:val="00281F03"/>
    <w:rsid w:val="0029458A"/>
    <w:rsid w:val="002A1587"/>
    <w:rsid w:val="002A7948"/>
    <w:rsid w:val="002B27C5"/>
    <w:rsid w:val="002F6D9C"/>
    <w:rsid w:val="00303008"/>
    <w:rsid w:val="00311DF4"/>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74AEF"/>
    <w:rsid w:val="005A498B"/>
    <w:rsid w:val="00617BB8"/>
    <w:rsid w:val="006207FF"/>
    <w:rsid w:val="00680052"/>
    <w:rsid w:val="00683267"/>
    <w:rsid w:val="006844E9"/>
    <w:rsid w:val="006B3847"/>
    <w:rsid w:val="0075453D"/>
    <w:rsid w:val="007A4CC6"/>
    <w:rsid w:val="007C3623"/>
    <w:rsid w:val="007C5D2A"/>
    <w:rsid w:val="007D692D"/>
    <w:rsid w:val="007F1E00"/>
    <w:rsid w:val="00827444"/>
    <w:rsid w:val="008400E3"/>
    <w:rsid w:val="00864538"/>
    <w:rsid w:val="00873B4F"/>
    <w:rsid w:val="008A24F6"/>
    <w:rsid w:val="008B0872"/>
    <w:rsid w:val="008E51AE"/>
    <w:rsid w:val="008F2F8C"/>
    <w:rsid w:val="009925C9"/>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82621"/>
    <w:rsid w:val="00CB1423"/>
    <w:rsid w:val="00D02508"/>
    <w:rsid w:val="00D778CC"/>
    <w:rsid w:val="00D82FE9"/>
    <w:rsid w:val="00D8692C"/>
    <w:rsid w:val="00D97B77"/>
    <w:rsid w:val="00DB6A85"/>
    <w:rsid w:val="00E06B32"/>
    <w:rsid w:val="00E1290F"/>
    <w:rsid w:val="00E36A80"/>
    <w:rsid w:val="00EB21D7"/>
    <w:rsid w:val="00EE3EB7"/>
    <w:rsid w:val="00F57E16"/>
    <w:rsid w:val="00F60336"/>
    <w:rsid w:val="00F60DA9"/>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530E"/>
  <w15:chartTrackingRefBased/>
  <w15:docId w15:val="{F0E8C637-3B58-4AEA-AC0C-ABDBFF28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semiHidden/>
    <w:unhideWhenUsed/>
    <w:rsid w:val="00311DF4"/>
    <w:pPr>
      <w:jc w:val="both"/>
    </w:pPr>
    <w:rPr>
      <w:rFonts w:ascii="Arial" w:hAnsi="Arial"/>
      <w:sz w:val="24"/>
      <w:lang w:val="it-IT" w:eastAsia="en-US"/>
    </w:rPr>
  </w:style>
  <w:style w:type="character" w:customStyle="1" w:styleId="BrdtekstTegn">
    <w:name w:val="Brødtekst Tegn"/>
    <w:basedOn w:val="Standardskrifttypeiafsnit"/>
    <w:link w:val="Brdtekst"/>
    <w:semiHidden/>
    <w:rsid w:val="00311DF4"/>
    <w:rPr>
      <w:rFonts w:ascii="Arial" w:hAnsi="Arial"/>
      <w:sz w:val="24"/>
      <w:lang w:val="it-IT" w:eastAsia="en-US"/>
    </w:rPr>
  </w:style>
  <w:style w:type="paragraph" w:styleId="Listeafsnit">
    <w:name w:val="List Paragraph"/>
    <w:basedOn w:val="Normal"/>
    <w:uiPriority w:val="1"/>
    <w:qFormat/>
    <w:rsid w:val="00311DF4"/>
    <w:pPr>
      <w:ind w:left="720"/>
      <w:contextualSpacing/>
    </w:pPr>
    <w:rPr>
      <w:sz w:val="20"/>
      <w:lang w:val="en-GB" w:eastAsia="en-US"/>
    </w:rPr>
  </w:style>
  <w:style w:type="table" w:styleId="Tabel-Gitter">
    <w:name w:val="Table Grid"/>
    <w:basedOn w:val="Tabel-Normal"/>
    <w:uiPriority w:val="39"/>
    <w:rsid w:val="00311DF4"/>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drykning2">
    <w:name w:val="Body Text Indent 2"/>
    <w:basedOn w:val="Normal"/>
    <w:link w:val="Brdtekstindrykning2Tegn"/>
    <w:uiPriority w:val="99"/>
    <w:semiHidden/>
    <w:unhideWhenUsed/>
    <w:rsid w:val="00311DF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11DF4"/>
    <w:rPr>
      <w:sz w:val="23"/>
    </w:rPr>
  </w:style>
  <w:style w:type="paragraph" w:styleId="Brdtekstindrykning3">
    <w:name w:val="Body Text Indent 3"/>
    <w:basedOn w:val="Normal"/>
    <w:link w:val="Brdtekstindrykning3Tegn"/>
    <w:uiPriority w:val="99"/>
    <w:semiHidden/>
    <w:unhideWhenUsed/>
    <w:rsid w:val="00311DF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11DF4"/>
    <w:rPr>
      <w:sz w:val="16"/>
      <w:szCs w:val="16"/>
    </w:rPr>
  </w:style>
  <w:style w:type="paragraph" w:styleId="NormalWeb">
    <w:name w:val="Normal (Web)"/>
    <w:basedOn w:val="Normal"/>
    <w:uiPriority w:val="99"/>
    <w:semiHidden/>
    <w:unhideWhenUsed/>
    <w:rsid w:val="00311DF4"/>
    <w:pPr>
      <w:spacing w:before="100" w:beforeAutospacing="1" w:after="100" w:afterAutospacing="1"/>
    </w:pPr>
    <w:rPr>
      <w:sz w:val="24"/>
      <w:szCs w:val="24"/>
      <w:lang w:val="en-GB" w:eastAsia="en-GB"/>
    </w:rPr>
  </w:style>
  <w:style w:type="paragraph" w:customStyle="1" w:styleId="TableParagraph">
    <w:name w:val="Table Paragraph"/>
    <w:basedOn w:val="Normal"/>
    <w:uiPriority w:val="1"/>
    <w:semiHidden/>
    <w:qFormat/>
    <w:rsid w:val="00311DF4"/>
    <w:pPr>
      <w:widowControl w:val="0"/>
      <w:autoSpaceDE w:val="0"/>
      <w:autoSpaceDN w:val="0"/>
      <w:adjustRightInd w:val="0"/>
      <w:ind w:left="107"/>
    </w:pPr>
    <w:rPr>
      <w:rFonts w:eastAsiaTheme="minorEastAsi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286">
      <w:bodyDiv w:val="1"/>
      <w:marLeft w:val="0"/>
      <w:marRight w:val="0"/>
      <w:marTop w:val="0"/>
      <w:marBottom w:val="0"/>
      <w:divBdr>
        <w:top w:val="none" w:sz="0" w:space="0" w:color="auto"/>
        <w:left w:val="none" w:sz="0" w:space="0" w:color="auto"/>
        <w:bottom w:val="none" w:sz="0" w:space="0" w:color="auto"/>
        <w:right w:val="none" w:sz="0" w:space="0" w:color="auto"/>
      </w:divBdr>
    </w:div>
    <w:div w:id="72090694">
      <w:bodyDiv w:val="1"/>
      <w:marLeft w:val="0"/>
      <w:marRight w:val="0"/>
      <w:marTop w:val="0"/>
      <w:marBottom w:val="0"/>
      <w:divBdr>
        <w:top w:val="none" w:sz="0" w:space="0" w:color="auto"/>
        <w:left w:val="none" w:sz="0" w:space="0" w:color="auto"/>
        <w:bottom w:val="none" w:sz="0" w:space="0" w:color="auto"/>
        <w:right w:val="none" w:sz="0" w:space="0" w:color="auto"/>
      </w:divBdr>
    </w:div>
    <w:div w:id="129323984">
      <w:bodyDiv w:val="1"/>
      <w:marLeft w:val="0"/>
      <w:marRight w:val="0"/>
      <w:marTop w:val="0"/>
      <w:marBottom w:val="0"/>
      <w:divBdr>
        <w:top w:val="none" w:sz="0" w:space="0" w:color="auto"/>
        <w:left w:val="none" w:sz="0" w:space="0" w:color="auto"/>
        <w:bottom w:val="none" w:sz="0" w:space="0" w:color="auto"/>
        <w:right w:val="none" w:sz="0" w:space="0" w:color="auto"/>
      </w:divBdr>
    </w:div>
    <w:div w:id="234898093">
      <w:bodyDiv w:val="1"/>
      <w:marLeft w:val="0"/>
      <w:marRight w:val="0"/>
      <w:marTop w:val="0"/>
      <w:marBottom w:val="0"/>
      <w:divBdr>
        <w:top w:val="none" w:sz="0" w:space="0" w:color="auto"/>
        <w:left w:val="none" w:sz="0" w:space="0" w:color="auto"/>
        <w:bottom w:val="none" w:sz="0" w:space="0" w:color="auto"/>
        <w:right w:val="none" w:sz="0" w:space="0" w:color="auto"/>
      </w:divBdr>
    </w:div>
    <w:div w:id="273563358">
      <w:bodyDiv w:val="1"/>
      <w:marLeft w:val="0"/>
      <w:marRight w:val="0"/>
      <w:marTop w:val="0"/>
      <w:marBottom w:val="0"/>
      <w:divBdr>
        <w:top w:val="none" w:sz="0" w:space="0" w:color="auto"/>
        <w:left w:val="none" w:sz="0" w:space="0" w:color="auto"/>
        <w:bottom w:val="none" w:sz="0" w:space="0" w:color="auto"/>
        <w:right w:val="none" w:sz="0" w:space="0" w:color="auto"/>
      </w:divBdr>
    </w:div>
    <w:div w:id="314577979">
      <w:bodyDiv w:val="1"/>
      <w:marLeft w:val="0"/>
      <w:marRight w:val="0"/>
      <w:marTop w:val="0"/>
      <w:marBottom w:val="0"/>
      <w:divBdr>
        <w:top w:val="none" w:sz="0" w:space="0" w:color="auto"/>
        <w:left w:val="none" w:sz="0" w:space="0" w:color="auto"/>
        <w:bottom w:val="none" w:sz="0" w:space="0" w:color="auto"/>
        <w:right w:val="none" w:sz="0" w:space="0" w:color="auto"/>
      </w:divBdr>
    </w:div>
    <w:div w:id="376976742">
      <w:bodyDiv w:val="1"/>
      <w:marLeft w:val="0"/>
      <w:marRight w:val="0"/>
      <w:marTop w:val="0"/>
      <w:marBottom w:val="0"/>
      <w:divBdr>
        <w:top w:val="none" w:sz="0" w:space="0" w:color="auto"/>
        <w:left w:val="none" w:sz="0" w:space="0" w:color="auto"/>
        <w:bottom w:val="none" w:sz="0" w:space="0" w:color="auto"/>
        <w:right w:val="none" w:sz="0" w:space="0" w:color="auto"/>
      </w:divBdr>
    </w:div>
    <w:div w:id="460152607">
      <w:bodyDiv w:val="1"/>
      <w:marLeft w:val="0"/>
      <w:marRight w:val="0"/>
      <w:marTop w:val="0"/>
      <w:marBottom w:val="0"/>
      <w:divBdr>
        <w:top w:val="none" w:sz="0" w:space="0" w:color="auto"/>
        <w:left w:val="none" w:sz="0" w:space="0" w:color="auto"/>
        <w:bottom w:val="none" w:sz="0" w:space="0" w:color="auto"/>
        <w:right w:val="none" w:sz="0" w:space="0" w:color="auto"/>
      </w:divBdr>
    </w:div>
    <w:div w:id="698821572">
      <w:bodyDiv w:val="1"/>
      <w:marLeft w:val="0"/>
      <w:marRight w:val="0"/>
      <w:marTop w:val="0"/>
      <w:marBottom w:val="0"/>
      <w:divBdr>
        <w:top w:val="none" w:sz="0" w:space="0" w:color="auto"/>
        <w:left w:val="none" w:sz="0" w:space="0" w:color="auto"/>
        <w:bottom w:val="none" w:sz="0" w:space="0" w:color="auto"/>
        <w:right w:val="none" w:sz="0" w:space="0" w:color="auto"/>
      </w:divBdr>
    </w:div>
    <w:div w:id="899753539">
      <w:bodyDiv w:val="1"/>
      <w:marLeft w:val="0"/>
      <w:marRight w:val="0"/>
      <w:marTop w:val="0"/>
      <w:marBottom w:val="0"/>
      <w:divBdr>
        <w:top w:val="none" w:sz="0" w:space="0" w:color="auto"/>
        <w:left w:val="none" w:sz="0" w:space="0" w:color="auto"/>
        <w:bottom w:val="none" w:sz="0" w:space="0" w:color="auto"/>
        <w:right w:val="none" w:sz="0" w:space="0" w:color="auto"/>
      </w:divBdr>
    </w:div>
    <w:div w:id="958998222">
      <w:bodyDiv w:val="1"/>
      <w:marLeft w:val="0"/>
      <w:marRight w:val="0"/>
      <w:marTop w:val="0"/>
      <w:marBottom w:val="0"/>
      <w:divBdr>
        <w:top w:val="none" w:sz="0" w:space="0" w:color="auto"/>
        <w:left w:val="none" w:sz="0" w:space="0" w:color="auto"/>
        <w:bottom w:val="none" w:sz="0" w:space="0" w:color="auto"/>
        <w:right w:val="none" w:sz="0" w:space="0" w:color="auto"/>
      </w:divBdr>
    </w:div>
    <w:div w:id="962808310">
      <w:bodyDiv w:val="1"/>
      <w:marLeft w:val="0"/>
      <w:marRight w:val="0"/>
      <w:marTop w:val="0"/>
      <w:marBottom w:val="0"/>
      <w:divBdr>
        <w:top w:val="none" w:sz="0" w:space="0" w:color="auto"/>
        <w:left w:val="none" w:sz="0" w:space="0" w:color="auto"/>
        <w:bottom w:val="none" w:sz="0" w:space="0" w:color="auto"/>
        <w:right w:val="none" w:sz="0" w:space="0" w:color="auto"/>
      </w:divBdr>
    </w:div>
    <w:div w:id="974796678">
      <w:bodyDiv w:val="1"/>
      <w:marLeft w:val="0"/>
      <w:marRight w:val="0"/>
      <w:marTop w:val="0"/>
      <w:marBottom w:val="0"/>
      <w:divBdr>
        <w:top w:val="none" w:sz="0" w:space="0" w:color="auto"/>
        <w:left w:val="none" w:sz="0" w:space="0" w:color="auto"/>
        <w:bottom w:val="none" w:sz="0" w:space="0" w:color="auto"/>
        <w:right w:val="none" w:sz="0" w:space="0" w:color="auto"/>
      </w:divBdr>
    </w:div>
    <w:div w:id="1023281776">
      <w:bodyDiv w:val="1"/>
      <w:marLeft w:val="0"/>
      <w:marRight w:val="0"/>
      <w:marTop w:val="0"/>
      <w:marBottom w:val="0"/>
      <w:divBdr>
        <w:top w:val="none" w:sz="0" w:space="0" w:color="auto"/>
        <w:left w:val="none" w:sz="0" w:space="0" w:color="auto"/>
        <w:bottom w:val="none" w:sz="0" w:space="0" w:color="auto"/>
        <w:right w:val="none" w:sz="0" w:space="0" w:color="auto"/>
      </w:divBdr>
    </w:div>
    <w:div w:id="1232547661">
      <w:bodyDiv w:val="1"/>
      <w:marLeft w:val="0"/>
      <w:marRight w:val="0"/>
      <w:marTop w:val="0"/>
      <w:marBottom w:val="0"/>
      <w:divBdr>
        <w:top w:val="none" w:sz="0" w:space="0" w:color="auto"/>
        <w:left w:val="none" w:sz="0" w:space="0" w:color="auto"/>
        <w:bottom w:val="none" w:sz="0" w:space="0" w:color="auto"/>
        <w:right w:val="none" w:sz="0" w:space="0" w:color="auto"/>
      </w:divBdr>
    </w:div>
    <w:div w:id="1330865466">
      <w:bodyDiv w:val="1"/>
      <w:marLeft w:val="0"/>
      <w:marRight w:val="0"/>
      <w:marTop w:val="0"/>
      <w:marBottom w:val="0"/>
      <w:divBdr>
        <w:top w:val="none" w:sz="0" w:space="0" w:color="auto"/>
        <w:left w:val="none" w:sz="0" w:space="0" w:color="auto"/>
        <w:bottom w:val="none" w:sz="0" w:space="0" w:color="auto"/>
        <w:right w:val="none" w:sz="0" w:space="0" w:color="auto"/>
      </w:divBdr>
    </w:div>
    <w:div w:id="1369332356">
      <w:bodyDiv w:val="1"/>
      <w:marLeft w:val="0"/>
      <w:marRight w:val="0"/>
      <w:marTop w:val="0"/>
      <w:marBottom w:val="0"/>
      <w:divBdr>
        <w:top w:val="none" w:sz="0" w:space="0" w:color="auto"/>
        <w:left w:val="none" w:sz="0" w:space="0" w:color="auto"/>
        <w:bottom w:val="none" w:sz="0" w:space="0" w:color="auto"/>
        <w:right w:val="none" w:sz="0" w:space="0" w:color="auto"/>
      </w:divBdr>
    </w:div>
    <w:div w:id="1377848083">
      <w:bodyDiv w:val="1"/>
      <w:marLeft w:val="0"/>
      <w:marRight w:val="0"/>
      <w:marTop w:val="0"/>
      <w:marBottom w:val="0"/>
      <w:divBdr>
        <w:top w:val="none" w:sz="0" w:space="0" w:color="auto"/>
        <w:left w:val="none" w:sz="0" w:space="0" w:color="auto"/>
        <w:bottom w:val="none" w:sz="0" w:space="0" w:color="auto"/>
        <w:right w:val="none" w:sz="0" w:space="0" w:color="auto"/>
      </w:divBdr>
    </w:div>
    <w:div w:id="1456219217">
      <w:bodyDiv w:val="1"/>
      <w:marLeft w:val="0"/>
      <w:marRight w:val="0"/>
      <w:marTop w:val="0"/>
      <w:marBottom w:val="0"/>
      <w:divBdr>
        <w:top w:val="none" w:sz="0" w:space="0" w:color="auto"/>
        <w:left w:val="none" w:sz="0" w:space="0" w:color="auto"/>
        <w:bottom w:val="none" w:sz="0" w:space="0" w:color="auto"/>
        <w:right w:val="none" w:sz="0" w:space="0" w:color="auto"/>
      </w:divBdr>
    </w:div>
    <w:div w:id="1577738919">
      <w:bodyDiv w:val="1"/>
      <w:marLeft w:val="0"/>
      <w:marRight w:val="0"/>
      <w:marTop w:val="0"/>
      <w:marBottom w:val="0"/>
      <w:divBdr>
        <w:top w:val="none" w:sz="0" w:space="0" w:color="auto"/>
        <w:left w:val="none" w:sz="0" w:space="0" w:color="auto"/>
        <w:bottom w:val="none" w:sz="0" w:space="0" w:color="auto"/>
        <w:right w:val="none" w:sz="0" w:space="0" w:color="auto"/>
      </w:divBdr>
    </w:div>
    <w:div w:id="193732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89</TotalTime>
  <Pages>18</Pages>
  <Words>6245</Words>
  <Characters>36477</Characters>
  <Application>Microsoft Office Word</Application>
  <DocSecurity>0</DocSecurity>
  <Lines>303</Lines>
  <Paragraphs>85</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Hum skabelon - engelsk</dc:title>
  <dc:subject/>
  <dc:creator>Gitte Jørgensen</dc:creator>
  <cp:keywords/>
  <dc:description>2021100388, MT</dc:description>
  <cp:lastModifiedBy>Gitte Jørgensen</cp:lastModifiedBy>
  <cp:revision>7</cp:revision>
  <cp:lastPrinted>2006-02-24T09:31:00Z</cp:lastPrinted>
  <dcterms:created xsi:type="dcterms:W3CDTF">2023-06-06T07:03:00Z</dcterms:created>
  <dcterms:modified xsi:type="dcterms:W3CDTF">2023-06-06T10:38:00Z</dcterms:modified>
</cp:coreProperties>
</file>