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526A7" w14:textId="349FD333" w:rsidR="009260DE" w:rsidRPr="00407EDB" w:rsidRDefault="0021526C" w:rsidP="00407EDB">
      <w:pPr>
        <w:rPr>
          <w:b/>
          <w:sz w:val="24"/>
          <w:szCs w:val="24"/>
        </w:rPr>
      </w:pPr>
      <w:r w:rsidRPr="00407EDB">
        <w:rPr>
          <w:noProof/>
          <w:sz w:val="24"/>
          <w:szCs w:val="24"/>
          <w:lang w:eastAsia="da-DK"/>
        </w:rPr>
        <w:drawing>
          <wp:anchor distT="0" distB="0" distL="114300" distR="114300" simplePos="0" relativeHeight="251658240" behindDoc="0" locked="0" layoutInCell="1" allowOverlap="1" wp14:anchorId="36E1BFD2" wp14:editId="0D88B4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07EDB">
        <w:rPr>
          <w:sz w:val="24"/>
          <w:szCs w:val="24"/>
        </w:rPr>
        <w:br w:type="textWrapping" w:clear="all"/>
      </w:r>
    </w:p>
    <w:p w14:paraId="7DA2AB23" w14:textId="73E72FC8" w:rsidR="00220105" w:rsidRPr="00220105" w:rsidRDefault="009260DE" w:rsidP="009260DE">
      <w:pPr>
        <w:pStyle w:val="Titel"/>
        <w:tabs>
          <w:tab w:val="right" w:pos="9356"/>
        </w:tabs>
        <w:jc w:val="left"/>
        <w:rPr>
          <w:szCs w:val="24"/>
        </w:rPr>
      </w:pPr>
      <w:r w:rsidRPr="00407EDB">
        <w:rPr>
          <w:b w:val="0"/>
          <w:szCs w:val="24"/>
          <w:lang w:eastAsia="en-US"/>
        </w:rPr>
        <w:tab/>
      </w:r>
      <w:r w:rsidR="005240E5">
        <w:rPr>
          <w:szCs w:val="24"/>
        </w:rPr>
        <w:t>11</w:t>
      </w:r>
      <w:r w:rsidR="00F61DD2">
        <w:rPr>
          <w:szCs w:val="24"/>
        </w:rPr>
        <w:t xml:space="preserve">. </w:t>
      </w:r>
      <w:r w:rsidR="005240E5">
        <w:rPr>
          <w:szCs w:val="24"/>
        </w:rPr>
        <w:t>november</w:t>
      </w:r>
      <w:r w:rsidR="00F61DD2">
        <w:rPr>
          <w:szCs w:val="24"/>
        </w:rPr>
        <w:t xml:space="preserve"> 2024</w:t>
      </w:r>
    </w:p>
    <w:p w14:paraId="2A379B9E" w14:textId="594AF8FF" w:rsidR="009260DE" w:rsidRPr="00407EDB" w:rsidRDefault="009260DE" w:rsidP="009260DE">
      <w:pPr>
        <w:pStyle w:val="Titel"/>
        <w:tabs>
          <w:tab w:val="left" w:pos="8222"/>
        </w:tabs>
        <w:jc w:val="left"/>
        <w:rPr>
          <w:b w:val="0"/>
          <w:szCs w:val="24"/>
        </w:rPr>
      </w:pPr>
    </w:p>
    <w:p w14:paraId="39A5490B" w14:textId="5E78756B" w:rsidR="009260DE" w:rsidRDefault="009260DE" w:rsidP="009260DE">
      <w:pPr>
        <w:pStyle w:val="Titel"/>
        <w:jc w:val="left"/>
        <w:rPr>
          <w:b w:val="0"/>
          <w:szCs w:val="24"/>
        </w:rPr>
      </w:pPr>
    </w:p>
    <w:p w14:paraId="53830E9D" w14:textId="77777777" w:rsidR="00F61DD2" w:rsidRPr="00407EDB" w:rsidRDefault="00F61DD2" w:rsidP="009260DE">
      <w:pPr>
        <w:pStyle w:val="Titel"/>
        <w:jc w:val="left"/>
        <w:rPr>
          <w:b w:val="0"/>
          <w:szCs w:val="24"/>
        </w:rPr>
      </w:pPr>
    </w:p>
    <w:p w14:paraId="14EFF5B4" w14:textId="77777777" w:rsidR="009260DE" w:rsidRPr="00407EDB" w:rsidRDefault="009260DE" w:rsidP="009260DE">
      <w:pPr>
        <w:jc w:val="center"/>
        <w:rPr>
          <w:b/>
          <w:sz w:val="24"/>
          <w:szCs w:val="24"/>
        </w:rPr>
      </w:pPr>
      <w:r w:rsidRPr="00407EDB">
        <w:rPr>
          <w:b/>
          <w:sz w:val="24"/>
          <w:szCs w:val="24"/>
        </w:rPr>
        <w:t>PRODUKTRESUMÉ</w:t>
      </w:r>
    </w:p>
    <w:p w14:paraId="54B1B189" w14:textId="77777777" w:rsidR="009260DE" w:rsidRPr="00407EDB" w:rsidRDefault="009260DE" w:rsidP="009260DE">
      <w:pPr>
        <w:jc w:val="center"/>
        <w:rPr>
          <w:b/>
          <w:sz w:val="24"/>
          <w:szCs w:val="24"/>
        </w:rPr>
      </w:pPr>
    </w:p>
    <w:p w14:paraId="3FF4C8FC" w14:textId="77777777" w:rsidR="009260DE" w:rsidRPr="00407EDB" w:rsidRDefault="009260DE" w:rsidP="009260DE">
      <w:pPr>
        <w:jc w:val="center"/>
        <w:rPr>
          <w:b/>
          <w:sz w:val="24"/>
          <w:szCs w:val="24"/>
        </w:rPr>
      </w:pPr>
      <w:r w:rsidRPr="00407EDB">
        <w:rPr>
          <w:b/>
          <w:sz w:val="24"/>
          <w:szCs w:val="24"/>
        </w:rPr>
        <w:t>for</w:t>
      </w:r>
    </w:p>
    <w:p w14:paraId="2CCF3AD3" w14:textId="77777777" w:rsidR="000B058C" w:rsidRPr="00407EDB" w:rsidRDefault="000B058C" w:rsidP="009260DE">
      <w:pPr>
        <w:jc w:val="center"/>
        <w:rPr>
          <w:b/>
          <w:sz w:val="24"/>
          <w:szCs w:val="24"/>
        </w:rPr>
      </w:pPr>
    </w:p>
    <w:p w14:paraId="25106AE0" w14:textId="38BE1BD2" w:rsidR="009260DE" w:rsidRPr="00407EDB" w:rsidRDefault="00F61DD2" w:rsidP="009260DE">
      <w:pPr>
        <w:jc w:val="center"/>
        <w:rPr>
          <w:b/>
          <w:sz w:val="24"/>
          <w:szCs w:val="24"/>
        </w:rPr>
      </w:pPr>
      <w:proofErr w:type="spellStart"/>
      <w:r>
        <w:rPr>
          <w:b/>
          <w:sz w:val="24"/>
          <w:szCs w:val="24"/>
        </w:rPr>
        <w:t>Sumatriptan</w:t>
      </w:r>
      <w:proofErr w:type="spellEnd"/>
      <w:r>
        <w:rPr>
          <w:b/>
          <w:sz w:val="24"/>
          <w:szCs w:val="24"/>
        </w:rPr>
        <w:t xml:space="preserve"> "</w:t>
      </w:r>
      <w:proofErr w:type="spellStart"/>
      <w:r>
        <w:rPr>
          <w:b/>
          <w:sz w:val="24"/>
          <w:szCs w:val="24"/>
        </w:rPr>
        <w:t>Advanz</w:t>
      </w:r>
      <w:proofErr w:type="spellEnd"/>
      <w:r>
        <w:rPr>
          <w:b/>
          <w:sz w:val="24"/>
          <w:szCs w:val="24"/>
        </w:rPr>
        <w:t xml:space="preserve"> Pharma"</w:t>
      </w:r>
      <w:r w:rsidR="00FB5A92" w:rsidRPr="00407EDB">
        <w:rPr>
          <w:b/>
          <w:sz w:val="24"/>
          <w:szCs w:val="24"/>
        </w:rPr>
        <w:t>, injektionsvæske, opløsning i fyldt pen</w:t>
      </w:r>
    </w:p>
    <w:p w14:paraId="01E0CC06" w14:textId="77777777" w:rsidR="009260DE" w:rsidRPr="00407EDB" w:rsidRDefault="009260DE" w:rsidP="009260DE">
      <w:pPr>
        <w:jc w:val="both"/>
        <w:rPr>
          <w:sz w:val="24"/>
          <w:szCs w:val="24"/>
        </w:rPr>
      </w:pPr>
    </w:p>
    <w:p w14:paraId="27FFC1F2" w14:textId="77777777" w:rsidR="009260DE" w:rsidRPr="00407EDB" w:rsidRDefault="009260DE" w:rsidP="009260DE">
      <w:pPr>
        <w:jc w:val="both"/>
        <w:rPr>
          <w:sz w:val="24"/>
          <w:szCs w:val="24"/>
        </w:rPr>
      </w:pPr>
    </w:p>
    <w:p w14:paraId="19C02A80" w14:textId="77777777" w:rsidR="009260DE" w:rsidRPr="00407EDB" w:rsidRDefault="009260DE" w:rsidP="009260DE">
      <w:pPr>
        <w:tabs>
          <w:tab w:val="left" w:pos="851"/>
        </w:tabs>
        <w:ind w:left="851" w:hanging="851"/>
        <w:rPr>
          <w:b/>
          <w:sz w:val="24"/>
          <w:szCs w:val="24"/>
        </w:rPr>
      </w:pPr>
      <w:r w:rsidRPr="00407EDB">
        <w:rPr>
          <w:b/>
          <w:sz w:val="24"/>
          <w:szCs w:val="24"/>
        </w:rPr>
        <w:t>0.</w:t>
      </w:r>
      <w:r w:rsidRPr="00407EDB">
        <w:rPr>
          <w:b/>
          <w:sz w:val="24"/>
          <w:szCs w:val="24"/>
        </w:rPr>
        <w:tab/>
        <w:t>D.SP.NR.</w:t>
      </w:r>
    </w:p>
    <w:p w14:paraId="7C2B22D9" w14:textId="4967AA12" w:rsidR="009260DE" w:rsidRPr="00407EDB" w:rsidRDefault="00FB5A92" w:rsidP="009260DE">
      <w:pPr>
        <w:tabs>
          <w:tab w:val="left" w:pos="851"/>
        </w:tabs>
        <w:ind w:left="851"/>
        <w:rPr>
          <w:sz w:val="24"/>
          <w:szCs w:val="24"/>
        </w:rPr>
      </w:pPr>
      <w:r w:rsidRPr="00407EDB">
        <w:rPr>
          <w:sz w:val="24"/>
          <w:szCs w:val="24"/>
        </w:rPr>
        <w:t>32098</w:t>
      </w:r>
    </w:p>
    <w:p w14:paraId="1DE4E16F" w14:textId="77777777" w:rsidR="009260DE" w:rsidRPr="00407EDB" w:rsidRDefault="009260DE" w:rsidP="009260DE">
      <w:pPr>
        <w:tabs>
          <w:tab w:val="left" w:pos="851"/>
        </w:tabs>
        <w:ind w:left="851"/>
        <w:rPr>
          <w:sz w:val="24"/>
          <w:szCs w:val="24"/>
        </w:rPr>
      </w:pPr>
    </w:p>
    <w:p w14:paraId="70A929E0" w14:textId="77777777" w:rsidR="009260DE" w:rsidRPr="00407EDB" w:rsidRDefault="009260DE" w:rsidP="009260DE">
      <w:pPr>
        <w:tabs>
          <w:tab w:val="left" w:pos="851"/>
        </w:tabs>
        <w:ind w:left="851" w:hanging="851"/>
        <w:rPr>
          <w:b/>
          <w:sz w:val="24"/>
          <w:szCs w:val="24"/>
        </w:rPr>
      </w:pPr>
      <w:r w:rsidRPr="00407EDB">
        <w:rPr>
          <w:b/>
          <w:sz w:val="24"/>
          <w:szCs w:val="24"/>
        </w:rPr>
        <w:t>1.</w:t>
      </w:r>
      <w:r w:rsidRPr="00407EDB">
        <w:rPr>
          <w:b/>
          <w:sz w:val="24"/>
          <w:szCs w:val="24"/>
        </w:rPr>
        <w:tab/>
        <w:t>LÆGEMIDLETS NAVN</w:t>
      </w:r>
    </w:p>
    <w:p w14:paraId="24B86C50" w14:textId="187038D9" w:rsidR="009260DE" w:rsidRPr="00407EDB" w:rsidRDefault="00F61DD2" w:rsidP="009260DE">
      <w:pPr>
        <w:tabs>
          <w:tab w:val="left" w:pos="851"/>
        </w:tabs>
        <w:ind w:left="851"/>
        <w:rPr>
          <w:sz w:val="24"/>
          <w:szCs w:val="24"/>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p>
    <w:p w14:paraId="52200F4E" w14:textId="77777777" w:rsidR="009260DE" w:rsidRPr="00407EDB" w:rsidRDefault="009260DE" w:rsidP="009260DE">
      <w:pPr>
        <w:tabs>
          <w:tab w:val="left" w:pos="851"/>
        </w:tabs>
        <w:ind w:left="851"/>
        <w:rPr>
          <w:sz w:val="24"/>
          <w:szCs w:val="24"/>
        </w:rPr>
      </w:pPr>
    </w:p>
    <w:p w14:paraId="32F7FFCC" w14:textId="77777777" w:rsidR="009260DE" w:rsidRPr="00407EDB" w:rsidRDefault="009260DE" w:rsidP="009260DE">
      <w:pPr>
        <w:tabs>
          <w:tab w:val="left" w:pos="851"/>
        </w:tabs>
        <w:ind w:left="851" w:hanging="851"/>
        <w:rPr>
          <w:b/>
          <w:sz w:val="24"/>
          <w:szCs w:val="24"/>
        </w:rPr>
      </w:pPr>
      <w:r w:rsidRPr="00407EDB">
        <w:rPr>
          <w:b/>
          <w:sz w:val="24"/>
          <w:szCs w:val="24"/>
        </w:rPr>
        <w:t>2.</w:t>
      </w:r>
      <w:r w:rsidRPr="00407EDB">
        <w:rPr>
          <w:b/>
          <w:sz w:val="24"/>
          <w:szCs w:val="24"/>
        </w:rPr>
        <w:tab/>
        <w:t>KVALITATIV OG KVANTITATIV SAMMENSÆTNING</w:t>
      </w:r>
    </w:p>
    <w:p w14:paraId="68C9FC48" w14:textId="77777777" w:rsidR="00A81B1D" w:rsidRPr="00407EDB" w:rsidRDefault="00A81B1D" w:rsidP="00A81B1D">
      <w:pPr>
        <w:ind w:left="851"/>
        <w:rPr>
          <w:sz w:val="24"/>
          <w:szCs w:val="24"/>
          <w:lang w:eastAsia="de-DE"/>
        </w:rPr>
      </w:pPr>
      <w:r w:rsidRPr="00407EDB">
        <w:rPr>
          <w:sz w:val="24"/>
          <w:szCs w:val="24"/>
        </w:rPr>
        <w:t xml:space="preserve">Hver fyldt pen indeholder 6 mg </w:t>
      </w:r>
      <w:proofErr w:type="spellStart"/>
      <w:r w:rsidRPr="00407EDB">
        <w:rPr>
          <w:sz w:val="24"/>
          <w:szCs w:val="24"/>
        </w:rPr>
        <w:t>sumatriptan</w:t>
      </w:r>
      <w:proofErr w:type="spellEnd"/>
      <w:r w:rsidRPr="00407EDB">
        <w:rPr>
          <w:sz w:val="24"/>
          <w:szCs w:val="24"/>
        </w:rPr>
        <w:t xml:space="preserve"> (som </w:t>
      </w:r>
      <w:proofErr w:type="spellStart"/>
      <w:r w:rsidRPr="00407EDB">
        <w:rPr>
          <w:sz w:val="24"/>
          <w:szCs w:val="24"/>
        </w:rPr>
        <w:t>sumatriptansuccinat</w:t>
      </w:r>
      <w:proofErr w:type="spellEnd"/>
      <w:r w:rsidRPr="00407EDB">
        <w:rPr>
          <w:sz w:val="24"/>
          <w:szCs w:val="24"/>
        </w:rPr>
        <w:t>).</w:t>
      </w:r>
    </w:p>
    <w:p w14:paraId="27E0407B" w14:textId="77777777" w:rsidR="00A81B1D" w:rsidRPr="00407EDB" w:rsidRDefault="00A81B1D" w:rsidP="00A81B1D">
      <w:pPr>
        <w:ind w:left="851"/>
        <w:rPr>
          <w:sz w:val="24"/>
          <w:szCs w:val="24"/>
        </w:rPr>
      </w:pPr>
    </w:p>
    <w:p w14:paraId="61167EDB" w14:textId="33FD04AC" w:rsidR="00A81B1D" w:rsidRPr="00407EDB" w:rsidRDefault="00A81B1D" w:rsidP="00A81B1D">
      <w:pPr>
        <w:ind w:left="851"/>
        <w:rPr>
          <w:iCs/>
          <w:sz w:val="24"/>
          <w:szCs w:val="24"/>
          <w:u w:val="single"/>
        </w:rPr>
      </w:pPr>
      <w:r w:rsidRPr="00407EDB">
        <w:rPr>
          <w:sz w:val="24"/>
          <w:szCs w:val="24"/>
          <w:u w:val="single"/>
        </w:rPr>
        <w:t>Hjælpestoffer, som behandleren skal være opmærksom på</w:t>
      </w:r>
    </w:p>
    <w:p w14:paraId="370D7F09" w14:textId="77777777" w:rsidR="00A81B1D" w:rsidRPr="00407EDB" w:rsidRDefault="00A81B1D" w:rsidP="00A81B1D">
      <w:pPr>
        <w:ind w:left="851"/>
        <w:rPr>
          <w:sz w:val="24"/>
          <w:szCs w:val="24"/>
        </w:rPr>
      </w:pPr>
      <w:r w:rsidRPr="00407EDB">
        <w:rPr>
          <w:sz w:val="24"/>
          <w:szCs w:val="24"/>
        </w:rPr>
        <w:t>Hver fyldt pen indeholder 1,3 mg natrium.</w:t>
      </w:r>
    </w:p>
    <w:p w14:paraId="1BCF5031" w14:textId="77777777" w:rsidR="00A81B1D" w:rsidRPr="00407EDB" w:rsidRDefault="00A81B1D" w:rsidP="00A81B1D">
      <w:pPr>
        <w:ind w:left="851"/>
        <w:rPr>
          <w:sz w:val="24"/>
          <w:szCs w:val="24"/>
        </w:rPr>
      </w:pPr>
    </w:p>
    <w:p w14:paraId="7B442C0F" w14:textId="77777777" w:rsidR="00A81B1D" w:rsidRPr="00407EDB" w:rsidRDefault="00A81B1D" w:rsidP="00A81B1D">
      <w:pPr>
        <w:ind w:left="851"/>
        <w:rPr>
          <w:sz w:val="24"/>
          <w:szCs w:val="24"/>
        </w:rPr>
      </w:pPr>
      <w:r w:rsidRPr="00407EDB">
        <w:rPr>
          <w:sz w:val="24"/>
          <w:szCs w:val="24"/>
        </w:rPr>
        <w:t>Alle hjælpestoffer er anført under pkt. 6.1.</w:t>
      </w:r>
    </w:p>
    <w:p w14:paraId="49A80861" w14:textId="77777777" w:rsidR="009260DE" w:rsidRPr="00407EDB" w:rsidRDefault="009260DE" w:rsidP="009260DE">
      <w:pPr>
        <w:tabs>
          <w:tab w:val="left" w:pos="851"/>
        </w:tabs>
        <w:ind w:left="851"/>
        <w:rPr>
          <w:sz w:val="24"/>
          <w:szCs w:val="24"/>
        </w:rPr>
      </w:pPr>
    </w:p>
    <w:p w14:paraId="4E564C93" w14:textId="77777777" w:rsidR="009260DE" w:rsidRPr="00407EDB" w:rsidRDefault="009260DE" w:rsidP="009260DE">
      <w:pPr>
        <w:tabs>
          <w:tab w:val="left" w:pos="851"/>
        </w:tabs>
        <w:ind w:left="851" w:hanging="851"/>
        <w:rPr>
          <w:b/>
          <w:sz w:val="24"/>
          <w:szCs w:val="24"/>
        </w:rPr>
      </w:pPr>
      <w:r w:rsidRPr="00407EDB">
        <w:rPr>
          <w:b/>
          <w:sz w:val="24"/>
          <w:szCs w:val="24"/>
        </w:rPr>
        <w:t>3.</w:t>
      </w:r>
      <w:r w:rsidRPr="00407EDB">
        <w:rPr>
          <w:b/>
          <w:sz w:val="24"/>
          <w:szCs w:val="24"/>
        </w:rPr>
        <w:tab/>
        <w:t>LÆGEMIDDELFORM</w:t>
      </w:r>
    </w:p>
    <w:p w14:paraId="737E1C01" w14:textId="77777777" w:rsidR="00A81B1D" w:rsidRPr="00407EDB" w:rsidRDefault="00A81B1D" w:rsidP="00A81B1D">
      <w:pPr>
        <w:ind w:left="851"/>
        <w:rPr>
          <w:sz w:val="24"/>
          <w:szCs w:val="24"/>
          <w:lang w:eastAsia="de-DE"/>
        </w:rPr>
      </w:pPr>
      <w:r w:rsidRPr="00407EDB">
        <w:rPr>
          <w:sz w:val="24"/>
          <w:szCs w:val="24"/>
        </w:rPr>
        <w:t xml:space="preserve">Injektionsvæske, opløsning, i fyldt pen </w:t>
      </w:r>
    </w:p>
    <w:p w14:paraId="48054AB3" w14:textId="77777777" w:rsidR="00A81B1D" w:rsidRPr="00407EDB" w:rsidRDefault="00A81B1D" w:rsidP="00A81B1D">
      <w:pPr>
        <w:ind w:left="851"/>
        <w:rPr>
          <w:sz w:val="24"/>
          <w:szCs w:val="24"/>
        </w:rPr>
      </w:pPr>
    </w:p>
    <w:p w14:paraId="0E0F8414" w14:textId="77777777" w:rsidR="00A81B1D" w:rsidRPr="00407EDB" w:rsidRDefault="00A81B1D" w:rsidP="00A81B1D">
      <w:pPr>
        <w:ind w:left="851"/>
        <w:rPr>
          <w:iCs/>
          <w:sz w:val="24"/>
          <w:szCs w:val="24"/>
        </w:rPr>
      </w:pPr>
      <w:r w:rsidRPr="00407EDB">
        <w:rPr>
          <w:sz w:val="24"/>
          <w:szCs w:val="24"/>
        </w:rPr>
        <w:t>Klar, farveløs til bleggul opløsning.</w:t>
      </w:r>
    </w:p>
    <w:p w14:paraId="428C0EEC" w14:textId="77777777" w:rsidR="00A81B1D" w:rsidRPr="00407EDB" w:rsidRDefault="00A81B1D" w:rsidP="00A81B1D">
      <w:pPr>
        <w:ind w:left="851"/>
        <w:rPr>
          <w:sz w:val="24"/>
          <w:szCs w:val="24"/>
        </w:rPr>
      </w:pPr>
      <w:r w:rsidRPr="00407EDB">
        <w:rPr>
          <w:sz w:val="24"/>
          <w:szCs w:val="24"/>
        </w:rPr>
        <w:t>pH-værdien er mellem 4,2 og 5,3.</w:t>
      </w:r>
    </w:p>
    <w:p w14:paraId="122558BE" w14:textId="77777777" w:rsidR="00A81B1D" w:rsidRPr="00407EDB" w:rsidRDefault="00A81B1D" w:rsidP="00A81B1D">
      <w:pPr>
        <w:ind w:left="851"/>
        <w:rPr>
          <w:sz w:val="24"/>
          <w:szCs w:val="24"/>
        </w:rPr>
      </w:pPr>
      <w:proofErr w:type="spellStart"/>
      <w:r w:rsidRPr="00407EDB">
        <w:rPr>
          <w:sz w:val="24"/>
          <w:szCs w:val="24"/>
        </w:rPr>
        <w:t>Osmolariteten</w:t>
      </w:r>
      <w:proofErr w:type="spellEnd"/>
      <w:r w:rsidRPr="00407EDB">
        <w:rPr>
          <w:sz w:val="24"/>
          <w:szCs w:val="24"/>
        </w:rPr>
        <w:t xml:space="preserve"> er mellem 270 og 330 </w:t>
      </w:r>
      <w:proofErr w:type="spellStart"/>
      <w:r w:rsidRPr="00407EDB">
        <w:rPr>
          <w:sz w:val="24"/>
          <w:szCs w:val="24"/>
        </w:rPr>
        <w:t>mOsmol</w:t>
      </w:r>
      <w:proofErr w:type="spellEnd"/>
      <w:r w:rsidRPr="00407EDB">
        <w:rPr>
          <w:sz w:val="24"/>
          <w:szCs w:val="24"/>
        </w:rPr>
        <w:t>.</w:t>
      </w:r>
    </w:p>
    <w:p w14:paraId="126F8965" w14:textId="77777777" w:rsidR="009260DE" w:rsidRPr="00407EDB" w:rsidRDefault="009260DE" w:rsidP="009260DE">
      <w:pPr>
        <w:tabs>
          <w:tab w:val="left" w:pos="851"/>
        </w:tabs>
        <w:ind w:left="851"/>
        <w:rPr>
          <w:sz w:val="24"/>
          <w:szCs w:val="24"/>
        </w:rPr>
      </w:pPr>
    </w:p>
    <w:p w14:paraId="5BF6970B" w14:textId="77777777" w:rsidR="009260DE" w:rsidRPr="00407EDB" w:rsidRDefault="009260DE" w:rsidP="009260DE">
      <w:pPr>
        <w:tabs>
          <w:tab w:val="left" w:pos="851"/>
        </w:tabs>
        <w:ind w:left="851"/>
        <w:rPr>
          <w:sz w:val="24"/>
          <w:szCs w:val="24"/>
        </w:rPr>
      </w:pPr>
    </w:p>
    <w:p w14:paraId="1E0D7969" w14:textId="77777777" w:rsidR="009260DE" w:rsidRPr="00407EDB" w:rsidRDefault="009260DE" w:rsidP="009260DE">
      <w:pPr>
        <w:tabs>
          <w:tab w:val="left" w:pos="851"/>
        </w:tabs>
        <w:ind w:left="851" w:hanging="851"/>
        <w:rPr>
          <w:b/>
          <w:sz w:val="24"/>
          <w:szCs w:val="24"/>
        </w:rPr>
      </w:pPr>
      <w:r w:rsidRPr="00407EDB">
        <w:rPr>
          <w:b/>
          <w:sz w:val="24"/>
          <w:szCs w:val="24"/>
        </w:rPr>
        <w:t>4.</w:t>
      </w:r>
      <w:r w:rsidRPr="00407EDB">
        <w:rPr>
          <w:b/>
          <w:sz w:val="24"/>
          <w:szCs w:val="24"/>
        </w:rPr>
        <w:tab/>
        <w:t>KLINISKE OPLYSNINGER</w:t>
      </w:r>
    </w:p>
    <w:p w14:paraId="05F760A7" w14:textId="77777777" w:rsidR="009260DE" w:rsidRPr="00407EDB" w:rsidRDefault="009260DE" w:rsidP="009260DE">
      <w:pPr>
        <w:tabs>
          <w:tab w:val="left" w:pos="851"/>
        </w:tabs>
        <w:ind w:left="851"/>
        <w:rPr>
          <w:b/>
          <w:sz w:val="24"/>
          <w:szCs w:val="24"/>
        </w:rPr>
      </w:pPr>
    </w:p>
    <w:p w14:paraId="7E43A049" w14:textId="77777777" w:rsidR="009260DE" w:rsidRPr="00407EDB" w:rsidRDefault="009260DE" w:rsidP="009260DE">
      <w:pPr>
        <w:tabs>
          <w:tab w:val="left" w:pos="851"/>
        </w:tabs>
        <w:ind w:left="851" w:hanging="851"/>
        <w:rPr>
          <w:b/>
          <w:sz w:val="24"/>
          <w:szCs w:val="24"/>
          <w:u w:val="single"/>
        </w:rPr>
      </w:pPr>
      <w:r w:rsidRPr="00407EDB">
        <w:rPr>
          <w:b/>
          <w:sz w:val="24"/>
          <w:szCs w:val="24"/>
        </w:rPr>
        <w:t>4.1</w:t>
      </w:r>
      <w:r w:rsidRPr="00407EDB">
        <w:rPr>
          <w:b/>
          <w:sz w:val="24"/>
          <w:szCs w:val="24"/>
        </w:rPr>
        <w:tab/>
        <w:t>Terapeutiske indikationer</w:t>
      </w:r>
    </w:p>
    <w:p w14:paraId="2BBD730C" w14:textId="02BCF334" w:rsidR="00A81B1D" w:rsidRPr="00407EDB" w:rsidRDefault="00F61DD2" w:rsidP="00A81B1D">
      <w:pPr>
        <w:ind w:left="851"/>
        <w:rPr>
          <w:i/>
          <w:sz w:val="24"/>
          <w:szCs w:val="24"/>
          <w:lang w:eastAsia="de-DE"/>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r w:rsidR="00A81B1D" w:rsidRPr="00407EDB">
        <w:rPr>
          <w:sz w:val="24"/>
          <w:szCs w:val="24"/>
        </w:rPr>
        <w:t xml:space="preserve"> er indiceret til akut lindring af migræneanfald, med eller uden aura, og til akut behandling af Hortons hovedpine.</w:t>
      </w:r>
      <w:r w:rsidR="00A81B1D" w:rsidRPr="00407EDB">
        <w:rPr>
          <w:i/>
          <w:sz w:val="24"/>
          <w:szCs w:val="24"/>
        </w:rPr>
        <w:t xml:space="preserve"> </w:t>
      </w:r>
    </w:p>
    <w:p w14:paraId="1DF356DF" w14:textId="6D3C4D41" w:rsidR="00A81B1D" w:rsidRPr="00407EDB" w:rsidRDefault="00F61DD2" w:rsidP="00A81B1D">
      <w:pPr>
        <w:ind w:left="851"/>
        <w:rPr>
          <w:iCs/>
          <w:sz w:val="24"/>
          <w:szCs w:val="24"/>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r w:rsidR="00A81B1D" w:rsidRPr="00407EDB">
        <w:rPr>
          <w:sz w:val="24"/>
          <w:szCs w:val="24"/>
        </w:rPr>
        <w:t xml:space="preserve"> er indiceret hos voksne i alderen 18 år eller derover.</w:t>
      </w:r>
    </w:p>
    <w:p w14:paraId="6EDECFF5" w14:textId="77777777" w:rsidR="009260DE" w:rsidRPr="00407EDB" w:rsidRDefault="009260DE" w:rsidP="009260DE">
      <w:pPr>
        <w:tabs>
          <w:tab w:val="left" w:pos="851"/>
        </w:tabs>
        <w:ind w:left="851"/>
        <w:rPr>
          <w:sz w:val="24"/>
          <w:szCs w:val="24"/>
        </w:rPr>
      </w:pPr>
    </w:p>
    <w:p w14:paraId="74DCD6F2" w14:textId="77777777" w:rsidR="009260DE" w:rsidRPr="00407EDB" w:rsidRDefault="009260DE" w:rsidP="009260DE">
      <w:pPr>
        <w:tabs>
          <w:tab w:val="left" w:pos="851"/>
        </w:tabs>
        <w:ind w:left="851" w:hanging="851"/>
        <w:rPr>
          <w:b/>
          <w:sz w:val="24"/>
          <w:szCs w:val="24"/>
        </w:rPr>
      </w:pPr>
      <w:r w:rsidRPr="00407EDB">
        <w:rPr>
          <w:b/>
          <w:sz w:val="24"/>
          <w:szCs w:val="24"/>
        </w:rPr>
        <w:t>4.2</w:t>
      </w:r>
      <w:r w:rsidRPr="00407EDB">
        <w:rPr>
          <w:b/>
          <w:sz w:val="24"/>
          <w:szCs w:val="24"/>
        </w:rPr>
        <w:tab/>
        <w:t xml:space="preserve">Dosering og </w:t>
      </w:r>
      <w:r w:rsidR="002C1EC0" w:rsidRPr="00407EDB">
        <w:rPr>
          <w:b/>
          <w:sz w:val="24"/>
          <w:szCs w:val="24"/>
        </w:rPr>
        <w:t>administration</w:t>
      </w:r>
    </w:p>
    <w:p w14:paraId="17BC7E21" w14:textId="0C277ED9" w:rsidR="00A81B1D" w:rsidRPr="00407EDB" w:rsidRDefault="00F61DD2" w:rsidP="00A81B1D">
      <w:pPr>
        <w:ind w:left="851"/>
        <w:rPr>
          <w:sz w:val="24"/>
          <w:szCs w:val="24"/>
          <w:lang w:eastAsia="de-DE"/>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r w:rsidR="00A81B1D" w:rsidRPr="00407EDB">
        <w:rPr>
          <w:sz w:val="24"/>
          <w:szCs w:val="24"/>
        </w:rPr>
        <w:t xml:space="preserve"> bør ikke anvendes profylaktisk.</w:t>
      </w:r>
    </w:p>
    <w:p w14:paraId="353F6865" w14:textId="77777777" w:rsidR="00A81B1D" w:rsidRPr="00407EDB" w:rsidRDefault="00A81B1D" w:rsidP="00A81B1D">
      <w:pPr>
        <w:ind w:left="851"/>
        <w:rPr>
          <w:sz w:val="24"/>
          <w:szCs w:val="24"/>
        </w:rPr>
      </w:pPr>
    </w:p>
    <w:p w14:paraId="5C94AB34" w14:textId="77777777" w:rsidR="00A81B1D" w:rsidRPr="00407EDB" w:rsidRDefault="00A81B1D" w:rsidP="00A81B1D">
      <w:pPr>
        <w:ind w:left="851"/>
        <w:rPr>
          <w:sz w:val="24"/>
          <w:szCs w:val="24"/>
        </w:rPr>
      </w:pPr>
      <w:r w:rsidRPr="00407EDB">
        <w:rPr>
          <w:sz w:val="24"/>
          <w:szCs w:val="24"/>
        </w:rPr>
        <w:t>Det anbefales at påbegynde behandling ved første tegn på migrænehovedpine eller ledsagesymptomer, f.eks. kvalme, opkastning eller lysfølsomhed. Det er lige effektivt, uanset i hvilken fase af anfaldet det gives.</w:t>
      </w:r>
    </w:p>
    <w:p w14:paraId="4E78D2CA" w14:textId="77777777" w:rsidR="00A81B1D" w:rsidRPr="00407EDB" w:rsidRDefault="00A81B1D" w:rsidP="00A81B1D">
      <w:pPr>
        <w:ind w:left="851"/>
        <w:rPr>
          <w:sz w:val="24"/>
          <w:szCs w:val="24"/>
        </w:rPr>
      </w:pPr>
    </w:p>
    <w:p w14:paraId="0C3B749D" w14:textId="77777777" w:rsidR="00A81B1D" w:rsidRPr="00407EDB" w:rsidRDefault="00A81B1D" w:rsidP="00A81B1D">
      <w:pPr>
        <w:ind w:left="851"/>
        <w:rPr>
          <w:sz w:val="24"/>
          <w:szCs w:val="24"/>
        </w:rPr>
      </w:pPr>
      <w:r w:rsidRPr="00407EDB">
        <w:rPr>
          <w:sz w:val="24"/>
          <w:szCs w:val="24"/>
        </w:rPr>
        <w:t xml:space="preserve">Virkningen af </w:t>
      </w:r>
      <w:proofErr w:type="spellStart"/>
      <w:r w:rsidRPr="00407EDB">
        <w:rPr>
          <w:sz w:val="24"/>
          <w:szCs w:val="24"/>
        </w:rPr>
        <w:t>sumatriptan</w:t>
      </w:r>
      <w:proofErr w:type="spellEnd"/>
      <w:r w:rsidRPr="00407EDB">
        <w:rPr>
          <w:sz w:val="24"/>
          <w:szCs w:val="24"/>
        </w:rPr>
        <w:t xml:space="preserve"> er uafhængig af varigheden af anfaldet, når behandlingen påbegyndes. Administration under migræneaura før debut af andre symptomer vil muligvis ikke forhindre udvikling af hovedpine.</w:t>
      </w:r>
    </w:p>
    <w:p w14:paraId="5FF56DB8" w14:textId="77777777" w:rsidR="00A81B1D" w:rsidRPr="00407EDB" w:rsidRDefault="00A81B1D" w:rsidP="00A81B1D">
      <w:pPr>
        <w:ind w:left="851"/>
        <w:rPr>
          <w:sz w:val="24"/>
          <w:szCs w:val="24"/>
        </w:rPr>
      </w:pPr>
    </w:p>
    <w:p w14:paraId="657F1F02" w14:textId="77777777" w:rsidR="00A81B1D" w:rsidRPr="00F61DD2" w:rsidRDefault="00A81B1D" w:rsidP="00A81B1D">
      <w:pPr>
        <w:ind w:left="851"/>
        <w:rPr>
          <w:b/>
          <w:iCs/>
          <w:sz w:val="24"/>
          <w:szCs w:val="24"/>
        </w:rPr>
      </w:pPr>
      <w:r w:rsidRPr="00F61DD2">
        <w:rPr>
          <w:b/>
          <w:sz w:val="24"/>
          <w:szCs w:val="24"/>
        </w:rPr>
        <w:t>Dosering</w:t>
      </w:r>
    </w:p>
    <w:p w14:paraId="58D57088" w14:textId="77777777" w:rsidR="00A81B1D" w:rsidRPr="00407EDB" w:rsidRDefault="00A81B1D" w:rsidP="00A81B1D">
      <w:pPr>
        <w:ind w:left="851"/>
        <w:rPr>
          <w:iCs/>
          <w:sz w:val="24"/>
          <w:szCs w:val="24"/>
        </w:rPr>
      </w:pPr>
    </w:p>
    <w:p w14:paraId="0F4B0553" w14:textId="0529DBF3" w:rsidR="00A81B1D" w:rsidRPr="00407EDB" w:rsidRDefault="00A81B1D" w:rsidP="00A81B1D">
      <w:pPr>
        <w:ind w:left="851"/>
        <w:rPr>
          <w:bCs/>
          <w:sz w:val="24"/>
          <w:szCs w:val="24"/>
          <w:u w:val="single"/>
        </w:rPr>
      </w:pPr>
      <w:r w:rsidRPr="00407EDB">
        <w:rPr>
          <w:sz w:val="24"/>
          <w:szCs w:val="24"/>
          <w:u w:val="single"/>
        </w:rPr>
        <w:t>Migræne</w:t>
      </w:r>
    </w:p>
    <w:p w14:paraId="4C17F48E" w14:textId="77777777" w:rsidR="00A81B1D" w:rsidRPr="00407EDB" w:rsidRDefault="00A81B1D" w:rsidP="00A81B1D">
      <w:pPr>
        <w:ind w:left="851"/>
        <w:rPr>
          <w:sz w:val="24"/>
          <w:szCs w:val="24"/>
        </w:rPr>
      </w:pPr>
    </w:p>
    <w:p w14:paraId="4E0DB64A" w14:textId="31E7BB71" w:rsidR="00A81B1D" w:rsidRPr="00407EDB" w:rsidRDefault="00A81B1D" w:rsidP="00A81B1D">
      <w:pPr>
        <w:ind w:left="851"/>
        <w:rPr>
          <w:i/>
          <w:sz w:val="24"/>
          <w:szCs w:val="24"/>
        </w:rPr>
      </w:pPr>
      <w:r w:rsidRPr="00407EDB">
        <w:rPr>
          <w:i/>
          <w:sz w:val="24"/>
          <w:szCs w:val="24"/>
        </w:rPr>
        <w:t>Voksne</w:t>
      </w:r>
    </w:p>
    <w:p w14:paraId="7F171264" w14:textId="68DD6BD7" w:rsidR="00A81B1D" w:rsidRPr="00407EDB" w:rsidRDefault="00A81B1D" w:rsidP="00A81B1D">
      <w:pPr>
        <w:ind w:left="851"/>
        <w:rPr>
          <w:sz w:val="24"/>
          <w:szCs w:val="24"/>
        </w:rPr>
      </w:pPr>
      <w:r w:rsidRPr="00407EDB">
        <w:rPr>
          <w:sz w:val="24"/>
          <w:szCs w:val="24"/>
        </w:rPr>
        <w:t xml:space="preserve">Den anbefalede dosis af </w:t>
      </w:r>
      <w:proofErr w:type="spellStart"/>
      <w:r w:rsidR="00F61DD2">
        <w:rPr>
          <w:sz w:val="24"/>
          <w:szCs w:val="24"/>
        </w:rPr>
        <w:t>Sumatriptan</w:t>
      </w:r>
      <w:proofErr w:type="spellEnd"/>
      <w:r w:rsidR="00F61DD2">
        <w:rPr>
          <w:sz w:val="24"/>
          <w:szCs w:val="24"/>
        </w:rPr>
        <w:t xml:space="preserve"> "</w:t>
      </w:r>
      <w:proofErr w:type="spellStart"/>
      <w:r w:rsidR="00F61DD2">
        <w:rPr>
          <w:sz w:val="24"/>
          <w:szCs w:val="24"/>
        </w:rPr>
        <w:t>Advanz</w:t>
      </w:r>
      <w:proofErr w:type="spellEnd"/>
      <w:r w:rsidR="00F61DD2">
        <w:rPr>
          <w:sz w:val="24"/>
          <w:szCs w:val="24"/>
        </w:rPr>
        <w:t xml:space="preserve"> Pharma"</w:t>
      </w:r>
      <w:r w:rsidRPr="00407EDB">
        <w:rPr>
          <w:sz w:val="24"/>
          <w:szCs w:val="24"/>
        </w:rPr>
        <w:t xml:space="preserve"> hos voksne er en enkelt subkutan injektion af 6 mg.</w:t>
      </w:r>
    </w:p>
    <w:p w14:paraId="33297A8B" w14:textId="77777777" w:rsidR="00A81B1D" w:rsidRPr="00407EDB" w:rsidRDefault="00A81B1D" w:rsidP="00A81B1D">
      <w:pPr>
        <w:ind w:left="851"/>
        <w:rPr>
          <w:sz w:val="24"/>
          <w:szCs w:val="24"/>
        </w:rPr>
      </w:pPr>
    </w:p>
    <w:p w14:paraId="594EF5D8" w14:textId="77777777" w:rsidR="00A81B1D" w:rsidRPr="00407EDB" w:rsidRDefault="00A81B1D" w:rsidP="00A81B1D">
      <w:pPr>
        <w:ind w:left="851"/>
        <w:rPr>
          <w:sz w:val="24"/>
          <w:szCs w:val="24"/>
        </w:rPr>
      </w:pPr>
      <w:r w:rsidRPr="00407EDB">
        <w:rPr>
          <w:sz w:val="24"/>
          <w:szCs w:val="24"/>
        </w:rPr>
        <w:t xml:space="preserve">Hvis en patient ikke reagerer på den første dosis </w:t>
      </w:r>
      <w:proofErr w:type="spellStart"/>
      <w:r w:rsidRPr="00407EDB">
        <w:rPr>
          <w:sz w:val="24"/>
          <w:szCs w:val="24"/>
        </w:rPr>
        <w:t>sumatriptan</w:t>
      </w:r>
      <w:proofErr w:type="spellEnd"/>
      <w:r w:rsidRPr="00407EDB">
        <w:rPr>
          <w:sz w:val="24"/>
          <w:szCs w:val="24"/>
        </w:rPr>
        <w:t xml:space="preserve">, bør han/hun ikke tage en anden dosis for det samme anfald. I sådanne tilfælde kan anfaldet behandles med paracetamol, acetylsalicylsyre eller </w:t>
      </w:r>
      <w:proofErr w:type="spellStart"/>
      <w:r w:rsidRPr="00407EDB">
        <w:rPr>
          <w:sz w:val="24"/>
          <w:szCs w:val="24"/>
        </w:rPr>
        <w:t>nonsteroide</w:t>
      </w:r>
      <w:proofErr w:type="spellEnd"/>
      <w:r w:rsidRPr="00407EDB">
        <w:rPr>
          <w:sz w:val="24"/>
          <w:szCs w:val="24"/>
        </w:rPr>
        <w:t xml:space="preserve"> antiinflammatoriske lægemidler. Administration af </w:t>
      </w:r>
      <w:proofErr w:type="spellStart"/>
      <w:r w:rsidRPr="00407EDB">
        <w:rPr>
          <w:sz w:val="24"/>
          <w:szCs w:val="24"/>
        </w:rPr>
        <w:t>sumatriptan</w:t>
      </w:r>
      <w:proofErr w:type="spellEnd"/>
      <w:r w:rsidRPr="00407EDB">
        <w:rPr>
          <w:sz w:val="24"/>
          <w:szCs w:val="24"/>
        </w:rPr>
        <w:t xml:space="preserve"> kan foretages ved efterfølgende anfald.</w:t>
      </w:r>
    </w:p>
    <w:p w14:paraId="67C365B4" w14:textId="77777777" w:rsidR="00A81B1D" w:rsidRPr="00407EDB" w:rsidRDefault="00A81B1D" w:rsidP="00A81B1D">
      <w:pPr>
        <w:ind w:left="851"/>
        <w:rPr>
          <w:sz w:val="24"/>
          <w:szCs w:val="24"/>
        </w:rPr>
      </w:pPr>
    </w:p>
    <w:p w14:paraId="4E2190E4" w14:textId="77777777" w:rsidR="00A81B1D" w:rsidRPr="00407EDB" w:rsidRDefault="00A81B1D" w:rsidP="00A81B1D">
      <w:pPr>
        <w:ind w:left="851"/>
        <w:rPr>
          <w:sz w:val="24"/>
          <w:szCs w:val="24"/>
        </w:rPr>
      </w:pPr>
      <w:r w:rsidRPr="00407EDB">
        <w:rPr>
          <w:sz w:val="24"/>
          <w:szCs w:val="24"/>
        </w:rPr>
        <w:t>Hvis patienten har reageret på den første dosis, men symptomerne vender tilbage, kan en anden dosis gives inden for de næste 24 timer, forudsat at der er mindst 1 time mellem de to doser.</w:t>
      </w:r>
    </w:p>
    <w:p w14:paraId="78C0673F" w14:textId="77777777" w:rsidR="00A81B1D" w:rsidRPr="00407EDB" w:rsidRDefault="00A81B1D" w:rsidP="00A81B1D">
      <w:pPr>
        <w:ind w:left="851"/>
        <w:rPr>
          <w:sz w:val="24"/>
          <w:szCs w:val="24"/>
        </w:rPr>
      </w:pPr>
    </w:p>
    <w:p w14:paraId="0845D5B9" w14:textId="77777777" w:rsidR="00A81B1D" w:rsidRPr="00407EDB" w:rsidRDefault="00A81B1D" w:rsidP="00A81B1D">
      <w:pPr>
        <w:ind w:left="851"/>
        <w:rPr>
          <w:sz w:val="24"/>
          <w:szCs w:val="24"/>
        </w:rPr>
      </w:pPr>
      <w:r w:rsidRPr="00407EDB">
        <w:rPr>
          <w:sz w:val="24"/>
          <w:szCs w:val="24"/>
        </w:rPr>
        <w:t>Den maksimale døgndosis er to injektioner a 6 mg (12 mg i alt).</w:t>
      </w:r>
    </w:p>
    <w:p w14:paraId="7A24DB2B" w14:textId="77777777" w:rsidR="00A81B1D" w:rsidRPr="00407EDB" w:rsidRDefault="00A81B1D" w:rsidP="00A81B1D">
      <w:pPr>
        <w:ind w:left="851"/>
        <w:rPr>
          <w:sz w:val="24"/>
          <w:szCs w:val="24"/>
        </w:rPr>
      </w:pPr>
    </w:p>
    <w:p w14:paraId="72F8ECF7" w14:textId="4FB19148" w:rsidR="00A81B1D" w:rsidRPr="00407EDB" w:rsidRDefault="00F61DD2" w:rsidP="00A81B1D">
      <w:pPr>
        <w:ind w:left="851"/>
        <w:rPr>
          <w:sz w:val="24"/>
          <w:szCs w:val="24"/>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r w:rsidR="00A81B1D" w:rsidRPr="00407EDB">
        <w:rPr>
          <w:sz w:val="24"/>
          <w:szCs w:val="24"/>
        </w:rPr>
        <w:t xml:space="preserve"> anbefales som enkeltstofbehandling ved akut behandling af migræne og bør ikke gives samtidig med </w:t>
      </w:r>
      <w:proofErr w:type="spellStart"/>
      <w:r w:rsidR="00A81B1D" w:rsidRPr="00407EDB">
        <w:rPr>
          <w:sz w:val="24"/>
          <w:szCs w:val="24"/>
        </w:rPr>
        <w:t>ergotamin</w:t>
      </w:r>
      <w:proofErr w:type="spellEnd"/>
      <w:r w:rsidR="00A81B1D" w:rsidRPr="00407EDB">
        <w:rPr>
          <w:sz w:val="24"/>
          <w:szCs w:val="24"/>
        </w:rPr>
        <w:t xml:space="preserve"> eller derivater deraf (herunder </w:t>
      </w:r>
      <w:proofErr w:type="spellStart"/>
      <w:r w:rsidR="00A81B1D" w:rsidRPr="00407EDB">
        <w:rPr>
          <w:sz w:val="24"/>
          <w:szCs w:val="24"/>
        </w:rPr>
        <w:t>methysergid</w:t>
      </w:r>
      <w:proofErr w:type="spellEnd"/>
      <w:r w:rsidR="00A81B1D" w:rsidRPr="00407EDB">
        <w:rPr>
          <w:sz w:val="24"/>
          <w:szCs w:val="24"/>
        </w:rPr>
        <w:t>; se pkt. 4.3 og 4.5).</w:t>
      </w:r>
    </w:p>
    <w:p w14:paraId="52A7B2BF" w14:textId="77777777" w:rsidR="00A81B1D" w:rsidRPr="00407EDB" w:rsidRDefault="00A81B1D" w:rsidP="00A81B1D">
      <w:pPr>
        <w:ind w:left="851"/>
        <w:rPr>
          <w:sz w:val="24"/>
          <w:szCs w:val="24"/>
        </w:rPr>
      </w:pPr>
    </w:p>
    <w:p w14:paraId="06811C56" w14:textId="220EA070" w:rsidR="00A81B1D" w:rsidRPr="00407EDB" w:rsidRDefault="00A81B1D" w:rsidP="00A81B1D">
      <w:pPr>
        <w:ind w:left="851"/>
        <w:rPr>
          <w:bCs/>
          <w:sz w:val="24"/>
          <w:szCs w:val="24"/>
          <w:u w:val="single"/>
        </w:rPr>
      </w:pPr>
      <w:r w:rsidRPr="00407EDB">
        <w:rPr>
          <w:sz w:val="24"/>
          <w:szCs w:val="24"/>
          <w:u w:val="single"/>
        </w:rPr>
        <w:t>Hortons hovedpine</w:t>
      </w:r>
    </w:p>
    <w:p w14:paraId="2228C5A4" w14:textId="77777777" w:rsidR="00A81B1D" w:rsidRPr="00407EDB" w:rsidRDefault="00A81B1D" w:rsidP="00A81B1D">
      <w:pPr>
        <w:ind w:left="851"/>
        <w:rPr>
          <w:sz w:val="24"/>
          <w:szCs w:val="24"/>
          <w:u w:val="single"/>
        </w:rPr>
      </w:pPr>
    </w:p>
    <w:p w14:paraId="1132F97A" w14:textId="262DBFFB" w:rsidR="00A81B1D" w:rsidRPr="00407EDB" w:rsidRDefault="00A81B1D" w:rsidP="00A81B1D">
      <w:pPr>
        <w:ind w:left="851"/>
        <w:rPr>
          <w:bCs/>
          <w:i/>
          <w:sz w:val="24"/>
          <w:szCs w:val="24"/>
        </w:rPr>
      </w:pPr>
      <w:r w:rsidRPr="00407EDB">
        <w:rPr>
          <w:i/>
          <w:sz w:val="24"/>
          <w:szCs w:val="24"/>
        </w:rPr>
        <w:t>Voksne</w:t>
      </w:r>
    </w:p>
    <w:p w14:paraId="6B996913" w14:textId="77777777" w:rsidR="00A81B1D" w:rsidRPr="00407EDB" w:rsidRDefault="00A81B1D" w:rsidP="00A81B1D">
      <w:pPr>
        <w:ind w:left="851"/>
        <w:rPr>
          <w:sz w:val="24"/>
          <w:szCs w:val="24"/>
        </w:rPr>
      </w:pPr>
      <w:r w:rsidRPr="00407EDB">
        <w:rPr>
          <w:sz w:val="24"/>
          <w:szCs w:val="24"/>
        </w:rPr>
        <w:t>Den anbefalede dosis hos voksne er en enkelt subkutan injektion a 6 mg for hvert anfald af Hortons hovedpine. Den maksimale døgndosis er to injektioner a 6 mg (12 mg i alt) med mindst 1 time mellem de to doser.</w:t>
      </w:r>
    </w:p>
    <w:p w14:paraId="77610119" w14:textId="77777777" w:rsidR="00A81B1D" w:rsidRPr="00407EDB" w:rsidRDefault="00A81B1D" w:rsidP="00A81B1D">
      <w:pPr>
        <w:ind w:left="851"/>
        <w:rPr>
          <w:sz w:val="24"/>
          <w:szCs w:val="24"/>
        </w:rPr>
      </w:pPr>
    </w:p>
    <w:p w14:paraId="5F741E61" w14:textId="442ACB1D" w:rsidR="00A81B1D" w:rsidRPr="00407EDB" w:rsidRDefault="00A81B1D" w:rsidP="00A81B1D">
      <w:pPr>
        <w:ind w:left="851"/>
        <w:rPr>
          <w:bCs/>
          <w:i/>
          <w:sz w:val="24"/>
          <w:szCs w:val="24"/>
        </w:rPr>
      </w:pPr>
      <w:r w:rsidRPr="00407EDB">
        <w:rPr>
          <w:i/>
          <w:sz w:val="24"/>
          <w:szCs w:val="24"/>
        </w:rPr>
        <w:t>Ældre (over 65 år)</w:t>
      </w:r>
    </w:p>
    <w:p w14:paraId="04BE6AA6" w14:textId="4F283029" w:rsidR="00A81B1D" w:rsidRPr="00407EDB" w:rsidRDefault="00A81B1D" w:rsidP="00A81B1D">
      <w:pPr>
        <w:ind w:left="851"/>
        <w:rPr>
          <w:sz w:val="24"/>
          <w:szCs w:val="24"/>
        </w:rPr>
      </w:pPr>
      <w:r w:rsidRPr="00407EDB">
        <w:rPr>
          <w:sz w:val="24"/>
          <w:szCs w:val="24"/>
        </w:rPr>
        <w:t xml:space="preserve">Erfaringen med brug af </w:t>
      </w:r>
      <w:proofErr w:type="spellStart"/>
      <w:r w:rsidRPr="00407EDB">
        <w:rPr>
          <w:sz w:val="24"/>
          <w:szCs w:val="24"/>
        </w:rPr>
        <w:t>sumatriptan</w:t>
      </w:r>
      <w:proofErr w:type="spellEnd"/>
      <w:r w:rsidRPr="00407EDB">
        <w:rPr>
          <w:sz w:val="24"/>
          <w:szCs w:val="24"/>
        </w:rPr>
        <w:t xml:space="preserve">-injektioner hos patienter over 65 år er begrænset. Farmakokinetikken hos ældre er ikke væsentligt anderledes end hos en yngre population, men indtil der foreligger yderligere kliniske data, frarådes brugen af </w:t>
      </w:r>
      <w:proofErr w:type="spellStart"/>
      <w:r w:rsidR="00F61DD2">
        <w:rPr>
          <w:sz w:val="24"/>
          <w:szCs w:val="24"/>
        </w:rPr>
        <w:t>Sumatriptan</w:t>
      </w:r>
      <w:proofErr w:type="spellEnd"/>
      <w:r w:rsidR="00F61DD2">
        <w:rPr>
          <w:sz w:val="24"/>
          <w:szCs w:val="24"/>
        </w:rPr>
        <w:t xml:space="preserve"> "</w:t>
      </w:r>
      <w:proofErr w:type="spellStart"/>
      <w:r w:rsidR="00F61DD2">
        <w:rPr>
          <w:sz w:val="24"/>
          <w:szCs w:val="24"/>
        </w:rPr>
        <w:t>Advanz</w:t>
      </w:r>
      <w:proofErr w:type="spellEnd"/>
      <w:r w:rsidR="00F61DD2">
        <w:rPr>
          <w:sz w:val="24"/>
          <w:szCs w:val="24"/>
        </w:rPr>
        <w:t xml:space="preserve"> Pharma"</w:t>
      </w:r>
      <w:r w:rsidRPr="00407EDB">
        <w:rPr>
          <w:sz w:val="24"/>
          <w:szCs w:val="24"/>
        </w:rPr>
        <w:t xml:space="preserve"> hos patienter over 65 år.</w:t>
      </w:r>
    </w:p>
    <w:p w14:paraId="180E1C01" w14:textId="77777777" w:rsidR="00A81B1D" w:rsidRPr="00407EDB" w:rsidRDefault="00A81B1D" w:rsidP="00A81B1D">
      <w:pPr>
        <w:ind w:left="851"/>
        <w:rPr>
          <w:sz w:val="24"/>
          <w:szCs w:val="24"/>
        </w:rPr>
      </w:pPr>
    </w:p>
    <w:p w14:paraId="70550097" w14:textId="77777777" w:rsidR="00A81B1D" w:rsidRPr="00407EDB" w:rsidRDefault="00A81B1D" w:rsidP="00A81B1D">
      <w:pPr>
        <w:ind w:left="851"/>
        <w:rPr>
          <w:bCs/>
          <w:i/>
          <w:sz w:val="24"/>
          <w:szCs w:val="24"/>
        </w:rPr>
      </w:pPr>
      <w:r w:rsidRPr="00407EDB">
        <w:rPr>
          <w:i/>
          <w:sz w:val="24"/>
          <w:szCs w:val="24"/>
        </w:rPr>
        <w:t>Pædiatrisk population</w:t>
      </w:r>
    </w:p>
    <w:p w14:paraId="0804A3D5" w14:textId="3951AC2F" w:rsidR="00A81B1D" w:rsidRPr="00407EDB" w:rsidRDefault="00F61DD2" w:rsidP="00A81B1D">
      <w:pPr>
        <w:ind w:left="851"/>
        <w:rPr>
          <w:sz w:val="24"/>
          <w:szCs w:val="24"/>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w:t>
      </w:r>
      <w:proofErr w:type="spellStart"/>
      <w:r>
        <w:rPr>
          <w:sz w:val="24"/>
          <w:szCs w:val="24"/>
        </w:rPr>
        <w:t>Pharma"</w:t>
      </w:r>
      <w:r w:rsidR="00A81B1D" w:rsidRPr="00407EDB">
        <w:rPr>
          <w:sz w:val="24"/>
          <w:szCs w:val="24"/>
        </w:rPr>
        <w:t>s</w:t>
      </w:r>
      <w:proofErr w:type="spellEnd"/>
      <w:r w:rsidR="00A81B1D" w:rsidRPr="00407EDB">
        <w:rPr>
          <w:sz w:val="24"/>
          <w:szCs w:val="24"/>
        </w:rPr>
        <w:t xml:space="preserve"> sikkerhed og virkning hos børn og unge under 18 år er ikke klarlagt. </w:t>
      </w: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r w:rsidR="00A81B1D" w:rsidRPr="00407EDB">
        <w:rPr>
          <w:sz w:val="24"/>
          <w:szCs w:val="24"/>
        </w:rPr>
        <w:t xml:space="preserve"> anbefales ikke til brug hos børn og unge.</w:t>
      </w:r>
    </w:p>
    <w:p w14:paraId="350DE956" w14:textId="77777777" w:rsidR="00A81B1D" w:rsidRPr="00407EDB" w:rsidRDefault="00A81B1D" w:rsidP="00A81B1D">
      <w:pPr>
        <w:ind w:left="851"/>
        <w:rPr>
          <w:bCs/>
          <w:sz w:val="24"/>
          <w:szCs w:val="24"/>
        </w:rPr>
      </w:pPr>
    </w:p>
    <w:p w14:paraId="71BD629A" w14:textId="77777777" w:rsidR="00A81B1D" w:rsidRPr="00F61DD2" w:rsidRDefault="00A81B1D" w:rsidP="00A81B1D">
      <w:pPr>
        <w:ind w:left="851"/>
        <w:rPr>
          <w:b/>
          <w:sz w:val="24"/>
          <w:szCs w:val="24"/>
        </w:rPr>
      </w:pPr>
      <w:r w:rsidRPr="00F61DD2">
        <w:rPr>
          <w:b/>
          <w:sz w:val="24"/>
          <w:szCs w:val="24"/>
        </w:rPr>
        <w:t>Administration</w:t>
      </w:r>
    </w:p>
    <w:p w14:paraId="0F87F5AD" w14:textId="77777777" w:rsidR="00A81B1D" w:rsidRPr="00407EDB" w:rsidRDefault="00A81B1D" w:rsidP="00A81B1D">
      <w:pPr>
        <w:ind w:left="851"/>
        <w:rPr>
          <w:sz w:val="24"/>
          <w:szCs w:val="24"/>
        </w:rPr>
      </w:pPr>
      <w:r w:rsidRPr="00407EDB">
        <w:rPr>
          <w:sz w:val="24"/>
          <w:szCs w:val="24"/>
        </w:rPr>
        <w:t>Til subkutan anvendelse.</w:t>
      </w:r>
    </w:p>
    <w:p w14:paraId="6DE89F4C" w14:textId="77777777" w:rsidR="00A81B1D" w:rsidRPr="00407EDB" w:rsidRDefault="00A81B1D" w:rsidP="00A81B1D">
      <w:pPr>
        <w:ind w:left="851"/>
        <w:rPr>
          <w:iCs/>
          <w:sz w:val="24"/>
          <w:szCs w:val="24"/>
        </w:rPr>
      </w:pPr>
    </w:p>
    <w:p w14:paraId="10342252" w14:textId="07DC117C" w:rsidR="00A81B1D" w:rsidRPr="00407EDB" w:rsidRDefault="00F61DD2" w:rsidP="00A81B1D">
      <w:pPr>
        <w:ind w:left="851"/>
        <w:rPr>
          <w:sz w:val="24"/>
          <w:szCs w:val="24"/>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r w:rsidR="00A81B1D" w:rsidRPr="00220105">
        <w:rPr>
          <w:sz w:val="24"/>
          <w:szCs w:val="24"/>
        </w:rPr>
        <w:t xml:space="preserve"> skal injiceres subkutant. </w:t>
      </w:r>
      <w:r w:rsidR="00A81B1D" w:rsidRPr="00407EDB">
        <w:rPr>
          <w:sz w:val="24"/>
          <w:szCs w:val="24"/>
        </w:rPr>
        <w:t xml:space="preserve">Patienterne bør rådes til nøje at følge indlægssedlen for den subkutane </w:t>
      </w:r>
      <w:proofErr w:type="spellStart"/>
      <w:r w:rsidR="00A81B1D" w:rsidRPr="00407EDB">
        <w:rPr>
          <w:sz w:val="24"/>
          <w:szCs w:val="24"/>
        </w:rPr>
        <w:t>sumatriptan</w:t>
      </w:r>
      <w:proofErr w:type="spellEnd"/>
      <w:r w:rsidR="00A81B1D" w:rsidRPr="00407EDB">
        <w:rPr>
          <w:sz w:val="24"/>
          <w:szCs w:val="24"/>
        </w:rPr>
        <w:t>-injektion, især med hensyn til sikker bortskaffelse af sprøjter.</w:t>
      </w:r>
    </w:p>
    <w:p w14:paraId="3B155312" w14:textId="77777777" w:rsidR="00A81B1D" w:rsidRPr="00407EDB" w:rsidRDefault="00A81B1D" w:rsidP="00A81B1D">
      <w:pPr>
        <w:ind w:left="851"/>
        <w:rPr>
          <w:sz w:val="24"/>
          <w:szCs w:val="24"/>
        </w:rPr>
      </w:pPr>
    </w:p>
    <w:p w14:paraId="3C20A49E" w14:textId="3D198DF5" w:rsidR="00A81B1D" w:rsidRPr="00407EDB" w:rsidRDefault="00A81B1D" w:rsidP="00A81B1D">
      <w:pPr>
        <w:ind w:left="851"/>
        <w:rPr>
          <w:sz w:val="24"/>
          <w:szCs w:val="24"/>
        </w:rPr>
      </w:pPr>
      <w:r w:rsidRPr="00407EDB">
        <w:rPr>
          <w:sz w:val="24"/>
          <w:szCs w:val="24"/>
        </w:rPr>
        <w:t xml:space="preserve">Detaljeret information om sikker brug af lægemidlet er inkluderet i </w:t>
      </w:r>
      <w:r w:rsidR="007E48B3">
        <w:rPr>
          <w:sz w:val="24"/>
          <w:szCs w:val="24"/>
        </w:rPr>
        <w:t>pkt.</w:t>
      </w:r>
      <w:r w:rsidRPr="00407EDB">
        <w:rPr>
          <w:sz w:val="24"/>
          <w:szCs w:val="24"/>
        </w:rPr>
        <w:t xml:space="preserve"> 6.6.</w:t>
      </w:r>
    </w:p>
    <w:p w14:paraId="42120367" w14:textId="77777777" w:rsidR="009260DE" w:rsidRPr="00407EDB" w:rsidRDefault="009260DE" w:rsidP="009260DE">
      <w:pPr>
        <w:tabs>
          <w:tab w:val="left" w:pos="851"/>
        </w:tabs>
        <w:ind w:left="851"/>
        <w:rPr>
          <w:sz w:val="24"/>
          <w:szCs w:val="24"/>
        </w:rPr>
      </w:pPr>
    </w:p>
    <w:p w14:paraId="4819662D" w14:textId="77777777" w:rsidR="009260DE" w:rsidRPr="00407EDB" w:rsidRDefault="009260DE" w:rsidP="009260DE">
      <w:pPr>
        <w:tabs>
          <w:tab w:val="left" w:pos="851"/>
        </w:tabs>
        <w:ind w:left="851" w:hanging="851"/>
        <w:rPr>
          <w:b/>
          <w:sz w:val="24"/>
          <w:szCs w:val="24"/>
        </w:rPr>
      </w:pPr>
      <w:r w:rsidRPr="00407EDB">
        <w:rPr>
          <w:b/>
          <w:sz w:val="24"/>
          <w:szCs w:val="24"/>
        </w:rPr>
        <w:t>4.3</w:t>
      </w:r>
      <w:r w:rsidRPr="00407EDB">
        <w:rPr>
          <w:b/>
          <w:sz w:val="24"/>
          <w:szCs w:val="24"/>
        </w:rPr>
        <w:tab/>
        <w:t>Kontraindikationer</w:t>
      </w:r>
    </w:p>
    <w:p w14:paraId="17AFD38B" w14:textId="77777777" w:rsidR="00A81B1D" w:rsidRPr="00407EDB" w:rsidRDefault="00A81B1D" w:rsidP="00A81B1D">
      <w:pPr>
        <w:ind w:left="851"/>
        <w:rPr>
          <w:sz w:val="24"/>
          <w:szCs w:val="24"/>
          <w:lang w:eastAsia="de-DE"/>
        </w:rPr>
      </w:pPr>
      <w:r w:rsidRPr="00407EDB">
        <w:rPr>
          <w:sz w:val="24"/>
          <w:szCs w:val="24"/>
        </w:rPr>
        <w:t xml:space="preserve">Overfølsomhed over for </w:t>
      </w:r>
      <w:proofErr w:type="spellStart"/>
      <w:r w:rsidRPr="00407EDB">
        <w:rPr>
          <w:sz w:val="24"/>
          <w:szCs w:val="24"/>
        </w:rPr>
        <w:t>sumatriptan</w:t>
      </w:r>
      <w:proofErr w:type="spellEnd"/>
      <w:r w:rsidRPr="00407EDB">
        <w:rPr>
          <w:sz w:val="24"/>
          <w:szCs w:val="24"/>
        </w:rPr>
        <w:t xml:space="preserve"> eller over for et eller flere af hjælpestofferne anført i pkt. 6.1.</w:t>
      </w:r>
    </w:p>
    <w:p w14:paraId="4F5332B8" w14:textId="77777777" w:rsidR="00A81B1D" w:rsidRPr="00407EDB" w:rsidRDefault="00A81B1D" w:rsidP="00A81B1D">
      <w:pPr>
        <w:ind w:left="851"/>
        <w:rPr>
          <w:sz w:val="24"/>
          <w:szCs w:val="24"/>
        </w:rPr>
      </w:pPr>
    </w:p>
    <w:p w14:paraId="45CD91AA" w14:textId="77777777" w:rsidR="00A81B1D" w:rsidRPr="00407EDB" w:rsidRDefault="00A81B1D" w:rsidP="00A81B1D">
      <w:pPr>
        <w:ind w:left="851"/>
        <w:rPr>
          <w:sz w:val="24"/>
          <w:szCs w:val="24"/>
        </w:rPr>
      </w:pPr>
      <w:r w:rsidRPr="00407EDB">
        <w:rPr>
          <w:sz w:val="24"/>
          <w:szCs w:val="24"/>
        </w:rPr>
        <w:t xml:space="preserve">Patienter, der har haft myokardieinfarkt, eller som har iskæmisk hjertesygdom, </w:t>
      </w:r>
      <w:proofErr w:type="spellStart"/>
      <w:r w:rsidRPr="00407EDB">
        <w:rPr>
          <w:sz w:val="24"/>
          <w:szCs w:val="24"/>
        </w:rPr>
        <w:t>koronar</w:t>
      </w:r>
      <w:proofErr w:type="spellEnd"/>
      <w:r w:rsidRPr="00407EDB">
        <w:rPr>
          <w:sz w:val="24"/>
          <w:szCs w:val="24"/>
        </w:rPr>
        <w:t xml:space="preserve"> </w:t>
      </w:r>
      <w:proofErr w:type="spellStart"/>
      <w:r w:rsidRPr="00407EDB">
        <w:rPr>
          <w:sz w:val="24"/>
          <w:szCs w:val="24"/>
        </w:rPr>
        <w:t>vasospasme</w:t>
      </w:r>
      <w:proofErr w:type="spellEnd"/>
      <w:r w:rsidRPr="00407EDB">
        <w:rPr>
          <w:sz w:val="24"/>
          <w:szCs w:val="24"/>
        </w:rPr>
        <w:t xml:space="preserve"> (</w:t>
      </w:r>
      <w:proofErr w:type="spellStart"/>
      <w:r w:rsidRPr="00407EDB">
        <w:rPr>
          <w:sz w:val="24"/>
          <w:szCs w:val="24"/>
        </w:rPr>
        <w:t>Prinzmetals</w:t>
      </w:r>
      <w:proofErr w:type="spellEnd"/>
      <w:r w:rsidRPr="00407EDB">
        <w:rPr>
          <w:sz w:val="24"/>
          <w:szCs w:val="24"/>
        </w:rPr>
        <w:t xml:space="preserve"> angina), perifer </w:t>
      </w:r>
      <w:proofErr w:type="spellStart"/>
      <w:r w:rsidRPr="00407EDB">
        <w:rPr>
          <w:sz w:val="24"/>
          <w:szCs w:val="24"/>
        </w:rPr>
        <w:t>vaskulær</w:t>
      </w:r>
      <w:proofErr w:type="spellEnd"/>
      <w:r w:rsidRPr="00407EDB">
        <w:rPr>
          <w:sz w:val="24"/>
          <w:szCs w:val="24"/>
        </w:rPr>
        <w:t xml:space="preserve"> sygdom eller symptomer eller tegn, der er konsistente med iskæmisk hjertesygdom.</w:t>
      </w:r>
    </w:p>
    <w:p w14:paraId="7A59F1E8" w14:textId="77777777" w:rsidR="00A81B1D" w:rsidRPr="00407EDB" w:rsidRDefault="00A81B1D" w:rsidP="00A81B1D">
      <w:pPr>
        <w:ind w:left="851"/>
        <w:rPr>
          <w:sz w:val="24"/>
          <w:szCs w:val="24"/>
        </w:rPr>
      </w:pPr>
    </w:p>
    <w:p w14:paraId="67A2589A" w14:textId="77777777" w:rsidR="00A81B1D" w:rsidRPr="00407EDB" w:rsidRDefault="00A81B1D" w:rsidP="00A81B1D">
      <w:pPr>
        <w:ind w:left="851"/>
        <w:rPr>
          <w:sz w:val="24"/>
          <w:szCs w:val="24"/>
        </w:rPr>
      </w:pPr>
      <w:r w:rsidRPr="00407EDB">
        <w:rPr>
          <w:sz w:val="24"/>
          <w:szCs w:val="24"/>
        </w:rPr>
        <w:t xml:space="preserve">Patienter med tidligere </w:t>
      </w:r>
      <w:proofErr w:type="spellStart"/>
      <w:r w:rsidRPr="00407EDB">
        <w:rPr>
          <w:sz w:val="24"/>
          <w:szCs w:val="24"/>
        </w:rPr>
        <w:t>cerebrovaskulære</w:t>
      </w:r>
      <w:proofErr w:type="spellEnd"/>
      <w:r w:rsidRPr="00407EDB">
        <w:rPr>
          <w:sz w:val="24"/>
          <w:szCs w:val="24"/>
        </w:rPr>
        <w:t xml:space="preserve"> hændelser eller transitorisk iskæmisk attak.</w:t>
      </w:r>
    </w:p>
    <w:p w14:paraId="5A2DE795" w14:textId="77777777" w:rsidR="00A81B1D" w:rsidRPr="00407EDB" w:rsidRDefault="00A81B1D" w:rsidP="00A81B1D">
      <w:pPr>
        <w:ind w:left="851"/>
        <w:rPr>
          <w:sz w:val="24"/>
          <w:szCs w:val="24"/>
        </w:rPr>
      </w:pPr>
    </w:p>
    <w:p w14:paraId="2E1A1E97" w14:textId="77777777" w:rsidR="00A81B1D" w:rsidRPr="00407EDB" w:rsidRDefault="00A81B1D" w:rsidP="00A81B1D">
      <w:pPr>
        <w:ind w:left="851"/>
        <w:rPr>
          <w:sz w:val="24"/>
          <w:szCs w:val="24"/>
        </w:rPr>
      </w:pPr>
      <w:r w:rsidRPr="00407EDB">
        <w:rPr>
          <w:sz w:val="24"/>
          <w:szCs w:val="24"/>
        </w:rPr>
        <w:t>Patienter med svært nedsat leverfunktion.</w:t>
      </w:r>
    </w:p>
    <w:p w14:paraId="3B144A11" w14:textId="77777777" w:rsidR="00A81B1D" w:rsidRPr="00407EDB" w:rsidRDefault="00A81B1D" w:rsidP="00A81B1D">
      <w:pPr>
        <w:ind w:left="851"/>
        <w:rPr>
          <w:sz w:val="24"/>
          <w:szCs w:val="24"/>
        </w:rPr>
      </w:pPr>
    </w:p>
    <w:p w14:paraId="146A4565" w14:textId="77777777" w:rsidR="00A81B1D" w:rsidRPr="00407EDB" w:rsidRDefault="00A81B1D" w:rsidP="00A81B1D">
      <w:pPr>
        <w:ind w:left="851"/>
        <w:rPr>
          <w:sz w:val="24"/>
          <w:szCs w:val="24"/>
        </w:rPr>
      </w:pPr>
      <w:r w:rsidRPr="00407EDB">
        <w:rPr>
          <w:sz w:val="24"/>
          <w:szCs w:val="24"/>
        </w:rPr>
        <w:t>Patienter med moderat eller svær hypertension og mild ukontrolleret hypertension.</w:t>
      </w:r>
    </w:p>
    <w:p w14:paraId="4BF4F7A7" w14:textId="77777777" w:rsidR="00A81B1D" w:rsidRPr="00407EDB" w:rsidRDefault="00A81B1D" w:rsidP="00A81B1D">
      <w:pPr>
        <w:ind w:left="851"/>
        <w:rPr>
          <w:sz w:val="24"/>
          <w:szCs w:val="24"/>
        </w:rPr>
      </w:pPr>
    </w:p>
    <w:p w14:paraId="0FCD91D8" w14:textId="77777777" w:rsidR="00A81B1D" w:rsidRPr="00407EDB" w:rsidRDefault="00A81B1D" w:rsidP="00A81B1D">
      <w:pPr>
        <w:ind w:left="851"/>
        <w:rPr>
          <w:sz w:val="24"/>
          <w:szCs w:val="24"/>
        </w:rPr>
      </w:pPr>
      <w:r w:rsidRPr="00407EDB">
        <w:rPr>
          <w:sz w:val="24"/>
          <w:szCs w:val="24"/>
        </w:rPr>
        <w:t xml:space="preserve">Samtidig administration af </w:t>
      </w:r>
      <w:proofErr w:type="spellStart"/>
      <w:r w:rsidRPr="00407EDB">
        <w:rPr>
          <w:sz w:val="24"/>
          <w:szCs w:val="24"/>
        </w:rPr>
        <w:t>ergotamin</w:t>
      </w:r>
      <w:proofErr w:type="spellEnd"/>
      <w:r w:rsidRPr="00407EDB">
        <w:rPr>
          <w:sz w:val="24"/>
          <w:szCs w:val="24"/>
        </w:rPr>
        <w:t xml:space="preserve"> eller derivater deraf (herunder </w:t>
      </w:r>
      <w:proofErr w:type="spellStart"/>
      <w:r w:rsidRPr="00407EDB">
        <w:rPr>
          <w:sz w:val="24"/>
          <w:szCs w:val="24"/>
        </w:rPr>
        <w:t>methysergid</w:t>
      </w:r>
      <w:proofErr w:type="spellEnd"/>
      <w:r w:rsidRPr="00407EDB">
        <w:rPr>
          <w:sz w:val="24"/>
          <w:szCs w:val="24"/>
        </w:rPr>
        <w:t>) eller en triptan/5-hydroxytryptamin 1 (5-HT</w:t>
      </w:r>
      <w:proofErr w:type="gramStart"/>
      <w:r w:rsidRPr="00407EDB">
        <w:rPr>
          <w:sz w:val="24"/>
          <w:szCs w:val="24"/>
          <w:vertAlign w:val="subscript"/>
        </w:rPr>
        <w:t>1</w:t>
      </w:r>
      <w:r w:rsidRPr="00407EDB">
        <w:rPr>
          <w:sz w:val="24"/>
          <w:szCs w:val="24"/>
        </w:rPr>
        <w:t>)-</w:t>
      </w:r>
      <w:proofErr w:type="gramEnd"/>
      <w:r w:rsidRPr="00407EDB">
        <w:rPr>
          <w:sz w:val="24"/>
          <w:szCs w:val="24"/>
        </w:rPr>
        <w:t xml:space="preserve">receptoragonist og </w:t>
      </w:r>
      <w:proofErr w:type="spellStart"/>
      <w:r w:rsidRPr="00407EDB">
        <w:rPr>
          <w:sz w:val="24"/>
          <w:szCs w:val="24"/>
        </w:rPr>
        <w:t>sumatriptan</w:t>
      </w:r>
      <w:proofErr w:type="spellEnd"/>
      <w:r w:rsidRPr="00407EDB">
        <w:rPr>
          <w:sz w:val="24"/>
          <w:szCs w:val="24"/>
        </w:rPr>
        <w:t xml:space="preserve"> er kontraindiceret (se pkt. 4.5).</w:t>
      </w:r>
    </w:p>
    <w:p w14:paraId="5C60CC94" w14:textId="77777777" w:rsidR="00A81B1D" w:rsidRPr="00407EDB" w:rsidRDefault="00A81B1D" w:rsidP="00A81B1D">
      <w:pPr>
        <w:ind w:left="851"/>
        <w:rPr>
          <w:sz w:val="24"/>
          <w:szCs w:val="24"/>
        </w:rPr>
      </w:pPr>
    </w:p>
    <w:p w14:paraId="0895440D" w14:textId="6BCC9B23" w:rsidR="00A81B1D" w:rsidRPr="00407EDB" w:rsidRDefault="00A81B1D" w:rsidP="00A81B1D">
      <w:pPr>
        <w:ind w:left="851"/>
        <w:rPr>
          <w:sz w:val="24"/>
          <w:szCs w:val="24"/>
        </w:rPr>
      </w:pPr>
      <w:r w:rsidRPr="00407EDB">
        <w:rPr>
          <w:sz w:val="24"/>
          <w:szCs w:val="24"/>
        </w:rPr>
        <w:t xml:space="preserve">Samtidig administration af </w:t>
      </w:r>
      <w:proofErr w:type="spellStart"/>
      <w:r w:rsidRPr="00407EDB">
        <w:rPr>
          <w:sz w:val="24"/>
          <w:szCs w:val="24"/>
        </w:rPr>
        <w:t>monoaminooxidasehæmmere</w:t>
      </w:r>
      <w:proofErr w:type="spellEnd"/>
      <w:r w:rsidRPr="00407EDB">
        <w:rPr>
          <w:sz w:val="24"/>
          <w:szCs w:val="24"/>
        </w:rPr>
        <w:t xml:space="preserve"> og </w:t>
      </w:r>
      <w:proofErr w:type="spellStart"/>
      <w:r w:rsidRPr="00407EDB">
        <w:rPr>
          <w:sz w:val="24"/>
          <w:szCs w:val="24"/>
        </w:rPr>
        <w:t>sumatriptan</w:t>
      </w:r>
      <w:proofErr w:type="spellEnd"/>
      <w:r w:rsidRPr="00407EDB">
        <w:rPr>
          <w:sz w:val="24"/>
          <w:szCs w:val="24"/>
        </w:rPr>
        <w:t xml:space="preserve"> er kontraindiceret. </w:t>
      </w:r>
      <w:proofErr w:type="spellStart"/>
      <w:r w:rsidR="00F61DD2">
        <w:rPr>
          <w:sz w:val="24"/>
          <w:szCs w:val="24"/>
        </w:rPr>
        <w:t>Sumatriptan</w:t>
      </w:r>
      <w:proofErr w:type="spellEnd"/>
      <w:r w:rsidR="00F61DD2">
        <w:rPr>
          <w:sz w:val="24"/>
          <w:szCs w:val="24"/>
        </w:rPr>
        <w:t xml:space="preserve"> "</w:t>
      </w:r>
      <w:proofErr w:type="spellStart"/>
      <w:r w:rsidR="00F61DD2">
        <w:rPr>
          <w:sz w:val="24"/>
          <w:szCs w:val="24"/>
        </w:rPr>
        <w:t>Advanz</w:t>
      </w:r>
      <w:proofErr w:type="spellEnd"/>
      <w:r w:rsidR="00F61DD2">
        <w:rPr>
          <w:sz w:val="24"/>
          <w:szCs w:val="24"/>
        </w:rPr>
        <w:t xml:space="preserve"> Pharma"</w:t>
      </w:r>
      <w:r w:rsidRPr="00407EDB">
        <w:rPr>
          <w:sz w:val="24"/>
          <w:szCs w:val="24"/>
        </w:rPr>
        <w:t xml:space="preserve"> må ikke bruges inden for to uger efter ophør af behandling med </w:t>
      </w:r>
      <w:proofErr w:type="spellStart"/>
      <w:r w:rsidRPr="00407EDB">
        <w:rPr>
          <w:sz w:val="24"/>
          <w:szCs w:val="24"/>
        </w:rPr>
        <w:t>monoaminooxidasehæmmere</w:t>
      </w:r>
      <w:proofErr w:type="spellEnd"/>
      <w:r w:rsidRPr="00407EDB">
        <w:rPr>
          <w:sz w:val="24"/>
          <w:szCs w:val="24"/>
        </w:rPr>
        <w:t>.</w:t>
      </w:r>
    </w:p>
    <w:p w14:paraId="50CA880E" w14:textId="77777777" w:rsidR="009260DE" w:rsidRPr="00407EDB" w:rsidRDefault="009260DE" w:rsidP="009260DE">
      <w:pPr>
        <w:tabs>
          <w:tab w:val="left" w:pos="851"/>
        </w:tabs>
        <w:ind w:left="851"/>
        <w:rPr>
          <w:sz w:val="24"/>
          <w:szCs w:val="24"/>
        </w:rPr>
      </w:pPr>
    </w:p>
    <w:p w14:paraId="04D26CE9" w14:textId="77777777" w:rsidR="009260DE" w:rsidRPr="00407EDB" w:rsidRDefault="009260DE" w:rsidP="009260DE">
      <w:pPr>
        <w:tabs>
          <w:tab w:val="left" w:pos="851"/>
        </w:tabs>
        <w:ind w:left="851" w:hanging="851"/>
        <w:rPr>
          <w:b/>
          <w:sz w:val="24"/>
          <w:szCs w:val="24"/>
        </w:rPr>
      </w:pPr>
      <w:r w:rsidRPr="00407EDB">
        <w:rPr>
          <w:b/>
          <w:sz w:val="24"/>
          <w:szCs w:val="24"/>
        </w:rPr>
        <w:t>4.4</w:t>
      </w:r>
      <w:r w:rsidRPr="00407EDB">
        <w:rPr>
          <w:b/>
          <w:sz w:val="24"/>
          <w:szCs w:val="24"/>
        </w:rPr>
        <w:tab/>
        <w:t>Særlige advarsler og forsigtighedsregler vedrørende brugen</w:t>
      </w:r>
    </w:p>
    <w:p w14:paraId="45D33012" w14:textId="79C94831" w:rsidR="00A81B1D" w:rsidRPr="00407EDB" w:rsidRDefault="00F61DD2" w:rsidP="00A81B1D">
      <w:pPr>
        <w:ind w:left="851"/>
        <w:rPr>
          <w:sz w:val="24"/>
          <w:szCs w:val="24"/>
          <w:lang w:eastAsia="de-DE"/>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r w:rsidR="00A81B1D" w:rsidRPr="00407EDB">
        <w:rPr>
          <w:sz w:val="24"/>
          <w:szCs w:val="24"/>
        </w:rPr>
        <w:t xml:space="preserve"> bør kun anvendes ved klar diagnose på migræne eller Hortons hovedpine.</w:t>
      </w:r>
    </w:p>
    <w:p w14:paraId="51E809A4" w14:textId="77777777" w:rsidR="00A81B1D" w:rsidRPr="00407EDB" w:rsidRDefault="00A81B1D" w:rsidP="00A81B1D">
      <w:pPr>
        <w:ind w:left="851"/>
        <w:rPr>
          <w:sz w:val="24"/>
          <w:szCs w:val="24"/>
        </w:rPr>
      </w:pPr>
    </w:p>
    <w:p w14:paraId="4DC6B005" w14:textId="77777777" w:rsidR="00A81B1D" w:rsidRPr="00407EDB" w:rsidRDefault="00A81B1D" w:rsidP="00A81B1D">
      <w:pPr>
        <w:ind w:left="851"/>
        <w:rPr>
          <w:sz w:val="24"/>
          <w:szCs w:val="24"/>
        </w:rPr>
      </w:pPr>
      <w:proofErr w:type="spellStart"/>
      <w:r w:rsidRPr="00407EDB">
        <w:rPr>
          <w:sz w:val="24"/>
          <w:szCs w:val="24"/>
        </w:rPr>
        <w:t>Sumatriptan</w:t>
      </w:r>
      <w:proofErr w:type="spellEnd"/>
      <w:r w:rsidRPr="00407EDB">
        <w:rPr>
          <w:sz w:val="24"/>
          <w:szCs w:val="24"/>
        </w:rPr>
        <w:t xml:space="preserve"> er ikke indiceret til behandling af </w:t>
      </w:r>
      <w:proofErr w:type="spellStart"/>
      <w:r w:rsidRPr="00407EDB">
        <w:rPr>
          <w:sz w:val="24"/>
          <w:szCs w:val="24"/>
        </w:rPr>
        <w:t>hemiplegisk</w:t>
      </w:r>
      <w:proofErr w:type="spellEnd"/>
      <w:r w:rsidRPr="00407EDB">
        <w:rPr>
          <w:sz w:val="24"/>
          <w:szCs w:val="24"/>
        </w:rPr>
        <w:t xml:space="preserve"> migræne, </w:t>
      </w:r>
      <w:proofErr w:type="spellStart"/>
      <w:r w:rsidRPr="00407EDB">
        <w:rPr>
          <w:sz w:val="24"/>
          <w:szCs w:val="24"/>
        </w:rPr>
        <w:t>basilarismigræne</w:t>
      </w:r>
      <w:proofErr w:type="spellEnd"/>
      <w:r w:rsidRPr="00407EDB">
        <w:rPr>
          <w:sz w:val="24"/>
          <w:szCs w:val="24"/>
        </w:rPr>
        <w:t xml:space="preserve"> eller </w:t>
      </w:r>
      <w:proofErr w:type="spellStart"/>
      <w:r w:rsidRPr="00407EDB">
        <w:rPr>
          <w:sz w:val="24"/>
          <w:szCs w:val="24"/>
        </w:rPr>
        <w:t>oftalmoplegisk</w:t>
      </w:r>
      <w:proofErr w:type="spellEnd"/>
      <w:r w:rsidRPr="00407EDB">
        <w:rPr>
          <w:sz w:val="24"/>
          <w:szCs w:val="24"/>
        </w:rPr>
        <w:t xml:space="preserve"> migræne.</w:t>
      </w:r>
    </w:p>
    <w:p w14:paraId="5A5B88AE" w14:textId="77777777" w:rsidR="00A81B1D" w:rsidRPr="00407EDB" w:rsidRDefault="00A81B1D" w:rsidP="00A81B1D">
      <w:pPr>
        <w:ind w:left="851"/>
        <w:rPr>
          <w:sz w:val="24"/>
          <w:szCs w:val="24"/>
        </w:rPr>
      </w:pPr>
    </w:p>
    <w:p w14:paraId="04976563" w14:textId="77777777" w:rsidR="00A81B1D" w:rsidRPr="00407EDB" w:rsidRDefault="00A81B1D" w:rsidP="00A81B1D">
      <w:pPr>
        <w:ind w:left="851"/>
        <w:rPr>
          <w:sz w:val="24"/>
          <w:szCs w:val="24"/>
        </w:rPr>
      </w:pPr>
      <w:r w:rsidRPr="00407EDB">
        <w:rPr>
          <w:sz w:val="24"/>
          <w:szCs w:val="24"/>
        </w:rPr>
        <w:t xml:space="preserve">Den gennemsigtige </w:t>
      </w:r>
      <w:proofErr w:type="spellStart"/>
      <w:r w:rsidRPr="00407EDB">
        <w:rPr>
          <w:sz w:val="24"/>
          <w:szCs w:val="24"/>
        </w:rPr>
        <w:t>penhætte</w:t>
      </w:r>
      <w:proofErr w:type="spellEnd"/>
      <w:r w:rsidRPr="00407EDB">
        <w:rPr>
          <w:sz w:val="24"/>
          <w:szCs w:val="24"/>
        </w:rPr>
        <w:t xml:space="preserve"> på den fyldte pen kan indeholde naturgummilatex, der kan forårsage allergiske reaktioner hos personer, der er overfølsomme over for latex.</w:t>
      </w:r>
    </w:p>
    <w:p w14:paraId="3F194934" w14:textId="77777777" w:rsidR="00A81B1D" w:rsidRPr="00407EDB" w:rsidRDefault="00A81B1D" w:rsidP="00A81B1D">
      <w:pPr>
        <w:ind w:left="851"/>
        <w:rPr>
          <w:sz w:val="24"/>
          <w:szCs w:val="24"/>
        </w:rPr>
      </w:pPr>
    </w:p>
    <w:p w14:paraId="481A193F" w14:textId="65D82D86" w:rsidR="00A81B1D" w:rsidRPr="00407EDB" w:rsidRDefault="00F61DD2" w:rsidP="00A81B1D">
      <w:pPr>
        <w:ind w:left="851"/>
        <w:rPr>
          <w:sz w:val="24"/>
          <w:szCs w:val="24"/>
        </w:rPr>
      </w:pPr>
      <w:proofErr w:type="spellStart"/>
      <w:r>
        <w:rPr>
          <w:sz w:val="24"/>
          <w:szCs w:val="24"/>
        </w:rPr>
        <w:t>Sumatriptan</w:t>
      </w:r>
      <w:proofErr w:type="spellEnd"/>
      <w:r>
        <w:rPr>
          <w:sz w:val="24"/>
          <w:szCs w:val="24"/>
        </w:rPr>
        <w:t xml:space="preserve"> "</w:t>
      </w:r>
      <w:proofErr w:type="spellStart"/>
      <w:r>
        <w:rPr>
          <w:sz w:val="24"/>
          <w:szCs w:val="24"/>
        </w:rPr>
        <w:t>Advanz</w:t>
      </w:r>
      <w:proofErr w:type="spellEnd"/>
      <w:r>
        <w:rPr>
          <w:sz w:val="24"/>
          <w:szCs w:val="24"/>
        </w:rPr>
        <w:t xml:space="preserve"> Pharma"</w:t>
      </w:r>
      <w:r w:rsidR="00A81B1D" w:rsidRPr="00407EDB">
        <w:rPr>
          <w:sz w:val="24"/>
          <w:szCs w:val="24"/>
        </w:rPr>
        <w:t xml:space="preserve"> bør ikke gives intravenøst, da dette kan forårsage </w:t>
      </w:r>
      <w:proofErr w:type="spellStart"/>
      <w:r w:rsidR="00A81B1D" w:rsidRPr="00407EDB">
        <w:rPr>
          <w:sz w:val="24"/>
          <w:szCs w:val="24"/>
        </w:rPr>
        <w:t>vasospasme</w:t>
      </w:r>
      <w:proofErr w:type="spellEnd"/>
      <w:r w:rsidR="00A81B1D" w:rsidRPr="00407EDB">
        <w:rPr>
          <w:sz w:val="24"/>
          <w:szCs w:val="24"/>
        </w:rPr>
        <w:t xml:space="preserve">. </w:t>
      </w:r>
      <w:proofErr w:type="spellStart"/>
      <w:r w:rsidR="00A81B1D" w:rsidRPr="00407EDB">
        <w:rPr>
          <w:sz w:val="24"/>
          <w:szCs w:val="24"/>
        </w:rPr>
        <w:t>Vasospasme</w:t>
      </w:r>
      <w:proofErr w:type="spellEnd"/>
      <w:r w:rsidR="00A81B1D" w:rsidRPr="00407EDB">
        <w:rPr>
          <w:sz w:val="24"/>
          <w:szCs w:val="24"/>
        </w:rPr>
        <w:t xml:space="preserve"> kan medføre </w:t>
      </w:r>
      <w:proofErr w:type="spellStart"/>
      <w:r w:rsidR="00A81B1D" w:rsidRPr="00407EDB">
        <w:rPr>
          <w:sz w:val="24"/>
          <w:szCs w:val="24"/>
        </w:rPr>
        <w:t>arytmier</w:t>
      </w:r>
      <w:proofErr w:type="spellEnd"/>
      <w:r w:rsidR="00A81B1D" w:rsidRPr="00407EDB">
        <w:rPr>
          <w:sz w:val="24"/>
          <w:szCs w:val="24"/>
        </w:rPr>
        <w:t>, iskæmiske forandringer på ekg eller myokardieinfarkt.</w:t>
      </w:r>
    </w:p>
    <w:p w14:paraId="2C47590F" w14:textId="77777777" w:rsidR="00A81B1D" w:rsidRPr="00407EDB" w:rsidRDefault="00A81B1D" w:rsidP="00A81B1D">
      <w:pPr>
        <w:ind w:left="851"/>
        <w:rPr>
          <w:sz w:val="24"/>
          <w:szCs w:val="24"/>
        </w:rPr>
      </w:pPr>
    </w:p>
    <w:p w14:paraId="48305FC1" w14:textId="77777777" w:rsidR="00A81B1D" w:rsidRPr="00407EDB" w:rsidRDefault="00A81B1D" w:rsidP="00A81B1D">
      <w:pPr>
        <w:ind w:left="851"/>
        <w:rPr>
          <w:sz w:val="24"/>
          <w:szCs w:val="24"/>
        </w:rPr>
      </w:pPr>
      <w:r w:rsidRPr="00407EDB">
        <w:rPr>
          <w:sz w:val="24"/>
          <w:szCs w:val="24"/>
        </w:rPr>
        <w:t xml:space="preserve">Hos patienter, der har atypiske migrænesymptomer, eller som ikke har fået en sikker diagnose i forhold til brug af </w:t>
      </w:r>
      <w:proofErr w:type="spellStart"/>
      <w:r w:rsidRPr="00407EDB">
        <w:rPr>
          <w:sz w:val="24"/>
          <w:szCs w:val="24"/>
        </w:rPr>
        <w:t>sumatriptan</w:t>
      </w:r>
      <w:proofErr w:type="spellEnd"/>
      <w:r w:rsidRPr="00407EDB">
        <w:rPr>
          <w:sz w:val="24"/>
          <w:szCs w:val="24"/>
        </w:rPr>
        <w:t xml:space="preserve">, bør der udvises omhu for at udelukke potentielle alvorlige neurologiske lidelser (f.eks. </w:t>
      </w:r>
      <w:proofErr w:type="spellStart"/>
      <w:r w:rsidRPr="00407EDB">
        <w:rPr>
          <w:sz w:val="24"/>
          <w:szCs w:val="24"/>
        </w:rPr>
        <w:t>cerebrovaskulære</w:t>
      </w:r>
      <w:proofErr w:type="spellEnd"/>
      <w:r w:rsidRPr="00407EDB">
        <w:rPr>
          <w:sz w:val="24"/>
          <w:szCs w:val="24"/>
        </w:rPr>
        <w:t xml:space="preserve"> hændelser (CVA) eller transitorisk iskæmisk attak (TIA)), før behandling med </w:t>
      </w:r>
      <w:proofErr w:type="spellStart"/>
      <w:r w:rsidRPr="00407EDB">
        <w:rPr>
          <w:sz w:val="24"/>
          <w:szCs w:val="24"/>
        </w:rPr>
        <w:t>sumatriptan</w:t>
      </w:r>
      <w:proofErr w:type="spellEnd"/>
      <w:r w:rsidRPr="00407EDB">
        <w:rPr>
          <w:sz w:val="24"/>
          <w:szCs w:val="24"/>
        </w:rPr>
        <w:t xml:space="preserve"> påbegyndes.</w:t>
      </w:r>
    </w:p>
    <w:p w14:paraId="02D637A6" w14:textId="77777777" w:rsidR="00A81B1D" w:rsidRPr="00407EDB" w:rsidRDefault="00A81B1D" w:rsidP="00A81B1D">
      <w:pPr>
        <w:ind w:left="851"/>
        <w:rPr>
          <w:sz w:val="24"/>
          <w:szCs w:val="24"/>
        </w:rPr>
      </w:pPr>
    </w:p>
    <w:p w14:paraId="6F21882F" w14:textId="77777777" w:rsidR="00A81B1D" w:rsidRPr="00407EDB" w:rsidRDefault="00A81B1D" w:rsidP="00A81B1D">
      <w:pPr>
        <w:ind w:left="851"/>
        <w:rPr>
          <w:sz w:val="24"/>
          <w:szCs w:val="24"/>
        </w:rPr>
      </w:pPr>
      <w:r w:rsidRPr="00407EDB">
        <w:rPr>
          <w:sz w:val="24"/>
          <w:szCs w:val="24"/>
        </w:rPr>
        <w:t xml:space="preserve">Efter administration af </w:t>
      </w:r>
      <w:proofErr w:type="spellStart"/>
      <w:r w:rsidRPr="00407EDB">
        <w:rPr>
          <w:sz w:val="24"/>
          <w:szCs w:val="24"/>
        </w:rPr>
        <w:t>sumatriptan</w:t>
      </w:r>
      <w:proofErr w:type="spellEnd"/>
      <w:r w:rsidRPr="00407EDB">
        <w:rPr>
          <w:sz w:val="24"/>
          <w:szCs w:val="24"/>
        </w:rPr>
        <w:t xml:space="preserve"> er der set forbigående symptomer, herunder brystsmerter og trykken for brystet, som kan være intense og omfatte svælget (se pkt. 4.8). Hvis symptomerne vurderes at stamme fra iskæmisk hjertesygdom, bør der ikke gives yderligere doser af </w:t>
      </w:r>
      <w:proofErr w:type="spellStart"/>
      <w:r w:rsidRPr="00407EDB">
        <w:rPr>
          <w:sz w:val="24"/>
          <w:szCs w:val="24"/>
        </w:rPr>
        <w:t>sumatriptan</w:t>
      </w:r>
      <w:proofErr w:type="spellEnd"/>
      <w:r w:rsidRPr="00407EDB">
        <w:rPr>
          <w:sz w:val="24"/>
          <w:szCs w:val="24"/>
        </w:rPr>
        <w:t>, og passende undersøgelser bør gennemføres.</w:t>
      </w:r>
    </w:p>
    <w:p w14:paraId="74726BB5" w14:textId="77777777" w:rsidR="00A81B1D" w:rsidRPr="00407EDB" w:rsidRDefault="00A81B1D" w:rsidP="00A81B1D">
      <w:pPr>
        <w:ind w:left="851"/>
        <w:rPr>
          <w:sz w:val="24"/>
          <w:szCs w:val="24"/>
        </w:rPr>
      </w:pPr>
    </w:p>
    <w:p w14:paraId="649B009A" w14:textId="77777777" w:rsidR="00A81B1D" w:rsidRPr="00407EDB" w:rsidRDefault="00A81B1D" w:rsidP="00A81B1D">
      <w:pPr>
        <w:ind w:left="851"/>
        <w:rPr>
          <w:sz w:val="24"/>
          <w:szCs w:val="24"/>
        </w:rPr>
      </w:pPr>
      <w:proofErr w:type="spellStart"/>
      <w:r w:rsidRPr="00407EDB">
        <w:rPr>
          <w:sz w:val="24"/>
          <w:szCs w:val="24"/>
        </w:rPr>
        <w:t>Sumatriptan</w:t>
      </w:r>
      <w:proofErr w:type="spellEnd"/>
      <w:r w:rsidRPr="00407EDB">
        <w:rPr>
          <w:sz w:val="24"/>
          <w:szCs w:val="24"/>
        </w:rPr>
        <w:t xml:space="preserve"> bør ikke gives til patienter med risikofaktorer for iskæmisk hjertesygdom, herunder patienter, der er storrygere eller i nikotinerstatningsterapi, uden forudgående </w:t>
      </w:r>
      <w:proofErr w:type="spellStart"/>
      <w:r w:rsidRPr="00407EDB">
        <w:rPr>
          <w:sz w:val="24"/>
          <w:szCs w:val="24"/>
        </w:rPr>
        <w:lastRenderedPageBreak/>
        <w:t>kardiovaskulær</w:t>
      </w:r>
      <w:proofErr w:type="spellEnd"/>
      <w:r w:rsidRPr="00407EDB">
        <w:rPr>
          <w:sz w:val="24"/>
          <w:szCs w:val="24"/>
        </w:rPr>
        <w:t xml:space="preserve"> vurdering (se pkt. 4.3). Der bør udvises særlig opmærksomhed hos </w:t>
      </w:r>
      <w:proofErr w:type="spellStart"/>
      <w:r w:rsidRPr="00407EDB">
        <w:rPr>
          <w:sz w:val="24"/>
          <w:szCs w:val="24"/>
        </w:rPr>
        <w:t>postmenopausale</w:t>
      </w:r>
      <w:proofErr w:type="spellEnd"/>
      <w:r w:rsidRPr="00407EDB">
        <w:rPr>
          <w:sz w:val="24"/>
          <w:szCs w:val="24"/>
        </w:rPr>
        <w:t xml:space="preserve"> kvinder og mænd over 40 år med disse risikofaktorer. Disse vurderinger kan dog muligvis ikke identificere alle patienter med hjertesygdom, og der er i meget sjældne tilfælde set alvorlige hjertetilfælde hos patienter uden underliggende </w:t>
      </w:r>
      <w:proofErr w:type="spellStart"/>
      <w:r w:rsidRPr="00407EDB">
        <w:rPr>
          <w:sz w:val="24"/>
          <w:szCs w:val="24"/>
        </w:rPr>
        <w:t>kardiovaskulær</w:t>
      </w:r>
      <w:proofErr w:type="spellEnd"/>
      <w:r w:rsidRPr="00407EDB">
        <w:rPr>
          <w:sz w:val="24"/>
          <w:szCs w:val="24"/>
        </w:rPr>
        <w:t xml:space="preserve"> sygdom.</w:t>
      </w:r>
    </w:p>
    <w:p w14:paraId="29730BE8" w14:textId="77777777" w:rsidR="00A81B1D" w:rsidRPr="00407EDB" w:rsidRDefault="00A81B1D" w:rsidP="00A81B1D">
      <w:pPr>
        <w:ind w:left="851"/>
        <w:rPr>
          <w:sz w:val="24"/>
          <w:szCs w:val="24"/>
          <w:u w:val="single"/>
        </w:rPr>
      </w:pPr>
    </w:p>
    <w:p w14:paraId="3D9C95B4" w14:textId="77777777" w:rsidR="00A81B1D" w:rsidRPr="00407EDB" w:rsidRDefault="00A81B1D" w:rsidP="00A81B1D">
      <w:pPr>
        <w:ind w:left="851"/>
        <w:rPr>
          <w:sz w:val="24"/>
          <w:szCs w:val="24"/>
        </w:rPr>
      </w:pPr>
      <w:proofErr w:type="spellStart"/>
      <w:r w:rsidRPr="00407EDB">
        <w:rPr>
          <w:sz w:val="24"/>
          <w:szCs w:val="24"/>
        </w:rPr>
        <w:t>Sumatriptan</w:t>
      </w:r>
      <w:proofErr w:type="spellEnd"/>
      <w:r w:rsidRPr="00407EDB">
        <w:rPr>
          <w:sz w:val="24"/>
          <w:szCs w:val="24"/>
        </w:rPr>
        <w:t xml:space="preserve"> bør administreres med forsigtighed hos patienter med mild kontrolleret hypertension, da forbigående stigninger i blodtryk og perifer </w:t>
      </w:r>
      <w:proofErr w:type="spellStart"/>
      <w:r w:rsidRPr="00407EDB">
        <w:rPr>
          <w:sz w:val="24"/>
          <w:szCs w:val="24"/>
        </w:rPr>
        <w:t>vaskulær</w:t>
      </w:r>
      <w:proofErr w:type="spellEnd"/>
      <w:r w:rsidRPr="00407EDB">
        <w:rPr>
          <w:sz w:val="24"/>
          <w:szCs w:val="24"/>
        </w:rPr>
        <w:t xml:space="preserve"> modstand er set hos en lille andel af patienter (se pkt. 4.3).</w:t>
      </w:r>
    </w:p>
    <w:p w14:paraId="3B27ECBD" w14:textId="77777777" w:rsidR="00A81B1D" w:rsidRPr="00407EDB" w:rsidRDefault="00A81B1D" w:rsidP="00A81B1D">
      <w:pPr>
        <w:ind w:left="851"/>
        <w:rPr>
          <w:sz w:val="24"/>
          <w:szCs w:val="24"/>
        </w:rPr>
      </w:pPr>
    </w:p>
    <w:p w14:paraId="05B1DA0B" w14:textId="77777777" w:rsidR="00A81B1D" w:rsidRPr="00407EDB" w:rsidRDefault="00A81B1D" w:rsidP="00A81B1D">
      <w:pPr>
        <w:ind w:left="851"/>
        <w:rPr>
          <w:sz w:val="24"/>
          <w:szCs w:val="24"/>
        </w:rPr>
      </w:pPr>
      <w:r w:rsidRPr="00407EDB">
        <w:rPr>
          <w:sz w:val="24"/>
          <w:szCs w:val="24"/>
        </w:rPr>
        <w:t xml:space="preserve">Efter markedsføring er der set sjældne tilfælde af serotoninsyndrom (herunder ændret mental status, </w:t>
      </w:r>
      <w:proofErr w:type="spellStart"/>
      <w:r w:rsidRPr="00407EDB">
        <w:rPr>
          <w:sz w:val="24"/>
          <w:szCs w:val="24"/>
        </w:rPr>
        <w:t>autonomisk</w:t>
      </w:r>
      <w:proofErr w:type="spellEnd"/>
      <w:r w:rsidRPr="00407EDB">
        <w:rPr>
          <w:sz w:val="24"/>
          <w:szCs w:val="24"/>
        </w:rPr>
        <w:t xml:space="preserve"> uligevægt og </w:t>
      </w:r>
      <w:proofErr w:type="spellStart"/>
      <w:r w:rsidRPr="00407EDB">
        <w:rPr>
          <w:sz w:val="24"/>
          <w:szCs w:val="24"/>
        </w:rPr>
        <w:t>neuromuskulære</w:t>
      </w:r>
      <w:proofErr w:type="spellEnd"/>
      <w:r w:rsidRPr="00407EDB">
        <w:rPr>
          <w:sz w:val="24"/>
          <w:szCs w:val="24"/>
        </w:rPr>
        <w:t xml:space="preserve"> anomalier) efter brug af selektive </w:t>
      </w:r>
      <w:proofErr w:type="spellStart"/>
      <w:r w:rsidRPr="00407EDB">
        <w:rPr>
          <w:sz w:val="24"/>
          <w:szCs w:val="24"/>
        </w:rPr>
        <w:t>serotoningenoptagshæmmere</w:t>
      </w:r>
      <w:proofErr w:type="spellEnd"/>
      <w:r w:rsidRPr="00407EDB">
        <w:rPr>
          <w:sz w:val="24"/>
          <w:szCs w:val="24"/>
        </w:rPr>
        <w:t xml:space="preserve"> (</w:t>
      </w:r>
      <w:proofErr w:type="spellStart"/>
      <w:r w:rsidRPr="00407EDB">
        <w:rPr>
          <w:sz w:val="24"/>
          <w:szCs w:val="24"/>
        </w:rPr>
        <w:t>SSRI'er</w:t>
      </w:r>
      <w:proofErr w:type="spellEnd"/>
      <w:r w:rsidRPr="00407EDB">
        <w:rPr>
          <w:sz w:val="24"/>
          <w:szCs w:val="24"/>
        </w:rPr>
        <w:t xml:space="preserve">) og </w:t>
      </w:r>
      <w:proofErr w:type="spellStart"/>
      <w:r w:rsidRPr="00407EDB">
        <w:rPr>
          <w:sz w:val="24"/>
          <w:szCs w:val="24"/>
        </w:rPr>
        <w:t>sumatriptan</w:t>
      </w:r>
      <w:proofErr w:type="spellEnd"/>
      <w:r w:rsidRPr="00407EDB">
        <w:rPr>
          <w:sz w:val="24"/>
          <w:szCs w:val="24"/>
        </w:rPr>
        <w:t xml:space="preserve">. Serotoninsyndrom er rapporteret efter samtidig behandling med </w:t>
      </w:r>
      <w:proofErr w:type="spellStart"/>
      <w:r w:rsidRPr="00407EDB">
        <w:rPr>
          <w:sz w:val="24"/>
          <w:szCs w:val="24"/>
        </w:rPr>
        <w:t>triptaner</w:t>
      </w:r>
      <w:proofErr w:type="spellEnd"/>
      <w:r w:rsidRPr="00407EDB">
        <w:rPr>
          <w:sz w:val="24"/>
          <w:szCs w:val="24"/>
        </w:rPr>
        <w:t xml:space="preserve"> og serotonin-noradrenalin-</w:t>
      </w:r>
      <w:proofErr w:type="spellStart"/>
      <w:r w:rsidRPr="00407EDB">
        <w:rPr>
          <w:sz w:val="24"/>
          <w:szCs w:val="24"/>
        </w:rPr>
        <w:t>genoptagshæmmere</w:t>
      </w:r>
      <w:proofErr w:type="spellEnd"/>
      <w:r w:rsidRPr="00407EDB">
        <w:rPr>
          <w:sz w:val="24"/>
          <w:szCs w:val="24"/>
        </w:rPr>
        <w:t xml:space="preserve"> (</w:t>
      </w:r>
      <w:proofErr w:type="spellStart"/>
      <w:r w:rsidRPr="00407EDB">
        <w:rPr>
          <w:sz w:val="24"/>
          <w:szCs w:val="24"/>
        </w:rPr>
        <w:t>SNRI'er</w:t>
      </w:r>
      <w:proofErr w:type="spellEnd"/>
      <w:r w:rsidRPr="00407EDB">
        <w:rPr>
          <w:sz w:val="24"/>
          <w:szCs w:val="24"/>
        </w:rPr>
        <w:t>).</w:t>
      </w:r>
    </w:p>
    <w:p w14:paraId="13068123" w14:textId="77777777" w:rsidR="00A81B1D" w:rsidRPr="00407EDB" w:rsidRDefault="00A81B1D" w:rsidP="00A81B1D">
      <w:pPr>
        <w:ind w:left="851"/>
        <w:rPr>
          <w:sz w:val="24"/>
          <w:szCs w:val="24"/>
        </w:rPr>
      </w:pPr>
    </w:p>
    <w:p w14:paraId="7B94C479" w14:textId="77777777" w:rsidR="00A81B1D" w:rsidRPr="00407EDB" w:rsidRDefault="00A81B1D" w:rsidP="00A81B1D">
      <w:pPr>
        <w:ind w:left="851"/>
        <w:rPr>
          <w:sz w:val="24"/>
          <w:szCs w:val="24"/>
        </w:rPr>
      </w:pPr>
      <w:r w:rsidRPr="00407EDB">
        <w:rPr>
          <w:sz w:val="24"/>
          <w:szCs w:val="24"/>
        </w:rPr>
        <w:t xml:space="preserve">Hvis samtidig behandling med </w:t>
      </w:r>
      <w:proofErr w:type="spellStart"/>
      <w:r w:rsidRPr="00407EDB">
        <w:rPr>
          <w:sz w:val="24"/>
          <w:szCs w:val="24"/>
        </w:rPr>
        <w:t>sumatriptan</w:t>
      </w:r>
      <w:proofErr w:type="spellEnd"/>
      <w:r w:rsidRPr="00407EDB">
        <w:rPr>
          <w:sz w:val="24"/>
          <w:szCs w:val="24"/>
        </w:rPr>
        <w:t xml:space="preserve"> og SSRI/SNRI er klinisk begrundet, tilrådes passende observation af patienten (se pkt. 4.5).</w:t>
      </w:r>
    </w:p>
    <w:p w14:paraId="15424EF8" w14:textId="77777777" w:rsidR="00A81B1D" w:rsidRPr="00407EDB" w:rsidRDefault="00A81B1D" w:rsidP="00A81B1D">
      <w:pPr>
        <w:ind w:left="851"/>
        <w:rPr>
          <w:sz w:val="24"/>
          <w:szCs w:val="24"/>
        </w:rPr>
      </w:pPr>
    </w:p>
    <w:p w14:paraId="2BDC410F" w14:textId="77777777" w:rsidR="00A81B1D" w:rsidRPr="00407EDB" w:rsidRDefault="00A81B1D" w:rsidP="00A81B1D">
      <w:pPr>
        <w:ind w:left="851"/>
        <w:rPr>
          <w:sz w:val="24"/>
          <w:szCs w:val="24"/>
        </w:rPr>
      </w:pPr>
      <w:proofErr w:type="spellStart"/>
      <w:r w:rsidRPr="00407EDB">
        <w:rPr>
          <w:sz w:val="24"/>
          <w:szCs w:val="24"/>
        </w:rPr>
        <w:t>Sumatriptan</w:t>
      </w:r>
      <w:proofErr w:type="spellEnd"/>
      <w:r w:rsidRPr="00407EDB">
        <w:rPr>
          <w:sz w:val="24"/>
          <w:szCs w:val="24"/>
        </w:rPr>
        <w:t xml:space="preserve"> bør administreres med forsigtighed hos patienter med lidelser, der kan medføre væsentlig påvirkning af absorption, </w:t>
      </w:r>
      <w:proofErr w:type="spellStart"/>
      <w:r w:rsidRPr="00407EDB">
        <w:rPr>
          <w:sz w:val="24"/>
          <w:szCs w:val="24"/>
        </w:rPr>
        <w:t>metabolisering</w:t>
      </w:r>
      <w:proofErr w:type="spellEnd"/>
      <w:r w:rsidRPr="00407EDB">
        <w:rPr>
          <w:sz w:val="24"/>
          <w:szCs w:val="24"/>
        </w:rPr>
        <w:t xml:space="preserve"> eller udskillelse af lægemidlet, f.eks. nedsat leverfunktion (Child-</w:t>
      </w:r>
      <w:proofErr w:type="spellStart"/>
      <w:r w:rsidRPr="00407EDB">
        <w:rPr>
          <w:sz w:val="24"/>
          <w:szCs w:val="24"/>
        </w:rPr>
        <w:t>Pugh</w:t>
      </w:r>
      <w:proofErr w:type="spellEnd"/>
      <w:r w:rsidRPr="00407EDB">
        <w:rPr>
          <w:sz w:val="24"/>
          <w:szCs w:val="24"/>
        </w:rPr>
        <w:t xml:space="preserve"> klasse A eller B, se pkt. 5.2) eller nedsat nyrefunktion (se pkt. 5.2).</w:t>
      </w:r>
    </w:p>
    <w:p w14:paraId="3BB8A26F" w14:textId="77777777" w:rsidR="00A81B1D" w:rsidRPr="00407EDB" w:rsidRDefault="00A81B1D" w:rsidP="00A81B1D">
      <w:pPr>
        <w:ind w:left="851"/>
        <w:rPr>
          <w:sz w:val="24"/>
          <w:szCs w:val="24"/>
        </w:rPr>
      </w:pPr>
    </w:p>
    <w:p w14:paraId="353C48D4" w14:textId="77777777" w:rsidR="00A81B1D" w:rsidRPr="00407EDB" w:rsidRDefault="00A81B1D" w:rsidP="00A81B1D">
      <w:pPr>
        <w:ind w:left="851"/>
        <w:rPr>
          <w:sz w:val="24"/>
          <w:szCs w:val="24"/>
        </w:rPr>
      </w:pPr>
      <w:proofErr w:type="spellStart"/>
      <w:r w:rsidRPr="00407EDB">
        <w:rPr>
          <w:sz w:val="24"/>
          <w:szCs w:val="24"/>
        </w:rPr>
        <w:t>Sumatriptan</w:t>
      </w:r>
      <w:proofErr w:type="spellEnd"/>
      <w:r w:rsidRPr="00407EDB">
        <w:rPr>
          <w:sz w:val="24"/>
          <w:szCs w:val="24"/>
        </w:rPr>
        <w:t xml:space="preserve"> bør anvendes med forsigtighed hos patienter med tidligere krampeanfald eller andre risikofaktorer, der sænker krampetærsklen, da krampeanfald er rapporteret i forbindelse med </w:t>
      </w:r>
      <w:proofErr w:type="spellStart"/>
      <w:r w:rsidRPr="00407EDB">
        <w:rPr>
          <w:sz w:val="24"/>
          <w:szCs w:val="24"/>
        </w:rPr>
        <w:t>sumatriptan</w:t>
      </w:r>
      <w:proofErr w:type="spellEnd"/>
      <w:r w:rsidRPr="00407EDB">
        <w:rPr>
          <w:sz w:val="24"/>
          <w:szCs w:val="24"/>
        </w:rPr>
        <w:t xml:space="preserve"> (se pkt. 4.8).</w:t>
      </w:r>
    </w:p>
    <w:p w14:paraId="64C2B1F3" w14:textId="77777777" w:rsidR="00A81B1D" w:rsidRPr="00407EDB" w:rsidRDefault="00A81B1D" w:rsidP="00A81B1D">
      <w:pPr>
        <w:ind w:left="851"/>
        <w:rPr>
          <w:sz w:val="24"/>
          <w:szCs w:val="24"/>
        </w:rPr>
      </w:pPr>
    </w:p>
    <w:p w14:paraId="1C319551" w14:textId="77777777" w:rsidR="00A81B1D" w:rsidRPr="00407EDB" w:rsidRDefault="00A81B1D" w:rsidP="00A81B1D">
      <w:pPr>
        <w:ind w:left="851"/>
        <w:rPr>
          <w:sz w:val="24"/>
          <w:szCs w:val="24"/>
        </w:rPr>
      </w:pPr>
      <w:r w:rsidRPr="00407EDB">
        <w:rPr>
          <w:sz w:val="24"/>
          <w:szCs w:val="24"/>
        </w:rPr>
        <w:t xml:space="preserve">Patienter med kendt overfølsomhed over for sulfonamider kan få en allergisk reaktion efter administration af </w:t>
      </w:r>
      <w:proofErr w:type="spellStart"/>
      <w:r w:rsidRPr="00407EDB">
        <w:rPr>
          <w:sz w:val="24"/>
          <w:szCs w:val="24"/>
        </w:rPr>
        <w:t>sumatriptan</w:t>
      </w:r>
      <w:proofErr w:type="spellEnd"/>
      <w:r w:rsidRPr="00407EDB">
        <w:rPr>
          <w:sz w:val="24"/>
          <w:szCs w:val="24"/>
        </w:rPr>
        <w:t xml:space="preserve">. Reaktionerne kan variere fra </w:t>
      </w:r>
      <w:proofErr w:type="spellStart"/>
      <w:r w:rsidRPr="00407EDB">
        <w:rPr>
          <w:sz w:val="24"/>
          <w:szCs w:val="24"/>
        </w:rPr>
        <w:t>kutan</w:t>
      </w:r>
      <w:proofErr w:type="spellEnd"/>
      <w:r w:rsidRPr="00407EDB">
        <w:rPr>
          <w:sz w:val="24"/>
          <w:szCs w:val="24"/>
        </w:rPr>
        <w:t xml:space="preserve"> overfølsomhed til </w:t>
      </w:r>
      <w:proofErr w:type="spellStart"/>
      <w:r w:rsidRPr="00407EDB">
        <w:rPr>
          <w:sz w:val="24"/>
          <w:szCs w:val="24"/>
        </w:rPr>
        <w:t>anafylakse</w:t>
      </w:r>
      <w:proofErr w:type="spellEnd"/>
      <w:r w:rsidRPr="00407EDB">
        <w:rPr>
          <w:sz w:val="24"/>
          <w:szCs w:val="24"/>
        </w:rPr>
        <w:t xml:space="preserve">. Evidens for krydssensibilitet er begrænset, men der bør dog udvises forsigtighed før brug af </w:t>
      </w:r>
      <w:proofErr w:type="spellStart"/>
      <w:r w:rsidRPr="00407EDB">
        <w:rPr>
          <w:sz w:val="24"/>
          <w:szCs w:val="24"/>
        </w:rPr>
        <w:t>sumatriptan</w:t>
      </w:r>
      <w:proofErr w:type="spellEnd"/>
      <w:r w:rsidRPr="00407EDB">
        <w:rPr>
          <w:sz w:val="24"/>
          <w:szCs w:val="24"/>
        </w:rPr>
        <w:t xml:space="preserve"> hos disse patienter.</w:t>
      </w:r>
    </w:p>
    <w:p w14:paraId="3539F654" w14:textId="77777777" w:rsidR="00A81B1D" w:rsidRPr="00407EDB" w:rsidRDefault="00A81B1D" w:rsidP="00A81B1D">
      <w:pPr>
        <w:ind w:left="851"/>
        <w:rPr>
          <w:sz w:val="24"/>
          <w:szCs w:val="24"/>
        </w:rPr>
      </w:pPr>
    </w:p>
    <w:p w14:paraId="0BABCD4F" w14:textId="77777777" w:rsidR="00A81B1D" w:rsidRPr="00407EDB" w:rsidRDefault="00A81B1D" w:rsidP="00A81B1D">
      <w:pPr>
        <w:ind w:left="851"/>
        <w:rPr>
          <w:sz w:val="24"/>
          <w:szCs w:val="24"/>
        </w:rPr>
      </w:pPr>
      <w:r w:rsidRPr="00407EDB">
        <w:rPr>
          <w:sz w:val="24"/>
          <w:szCs w:val="24"/>
        </w:rPr>
        <w:t xml:space="preserve">Bivirkninger kan forekomme hyppigere ved samtidig brug af </w:t>
      </w:r>
      <w:proofErr w:type="spellStart"/>
      <w:r w:rsidRPr="00407EDB">
        <w:rPr>
          <w:sz w:val="24"/>
          <w:szCs w:val="24"/>
        </w:rPr>
        <w:t>triptaner</w:t>
      </w:r>
      <w:proofErr w:type="spellEnd"/>
      <w:r w:rsidRPr="00407EDB">
        <w:rPr>
          <w:sz w:val="24"/>
          <w:szCs w:val="24"/>
        </w:rPr>
        <w:t xml:space="preserve"> og naturlægemidler, der indeholder prikbladet perikum.</w:t>
      </w:r>
    </w:p>
    <w:p w14:paraId="58F00C8A" w14:textId="77777777" w:rsidR="00A81B1D" w:rsidRPr="00407EDB" w:rsidRDefault="00A81B1D" w:rsidP="00A81B1D">
      <w:pPr>
        <w:ind w:left="851"/>
        <w:rPr>
          <w:sz w:val="24"/>
          <w:szCs w:val="24"/>
        </w:rPr>
      </w:pPr>
    </w:p>
    <w:p w14:paraId="0C1DF6DB" w14:textId="77777777" w:rsidR="00A81B1D" w:rsidRPr="00407EDB" w:rsidRDefault="00A81B1D" w:rsidP="00A81B1D">
      <w:pPr>
        <w:ind w:left="851"/>
        <w:rPr>
          <w:sz w:val="24"/>
          <w:szCs w:val="24"/>
        </w:rPr>
      </w:pPr>
      <w:r w:rsidRPr="00407EDB">
        <w:rPr>
          <w:sz w:val="24"/>
          <w:szCs w:val="24"/>
        </w:rPr>
        <w:t>Længerevarende brug af en hvilken som helst type smertestillende middel mod hovedpine kan gøre hovedpinen værre. Hvis der er mistanke om en sådan situation, bør lægen spørges til råds, og behandlingen bør seponeres. Medicinoverforbrugshovedpine (MOH) bør mistænkes hos patienter med hyppige eller daglige hovedpineanfald på trods af (eller på grund af) regelmæssig brug af hovedpinemedicin.</w:t>
      </w:r>
    </w:p>
    <w:p w14:paraId="7493F889" w14:textId="77777777" w:rsidR="00A81B1D" w:rsidRPr="00407EDB" w:rsidRDefault="00A81B1D" w:rsidP="00A81B1D">
      <w:pPr>
        <w:ind w:left="851"/>
        <w:rPr>
          <w:sz w:val="24"/>
          <w:szCs w:val="24"/>
        </w:rPr>
      </w:pPr>
    </w:p>
    <w:p w14:paraId="6BB29CD3" w14:textId="77777777" w:rsidR="00A81B1D" w:rsidRPr="00407EDB" w:rsidRDefault="00A81B1D" w:rsidP="00A81B1D">
      <w:pPr>
        <w:ind w:left="851"/>
        <w:rPr>
          <w:sz w:val="24"/>
          <w:szCs w:val="24"/>
        </w:rPr>
      </w:pPr>
      <w:r w:rsidRPr="00407EDB">
        <w:rPr>
          <w:sz w:val="24"/>
          <w:szCs w:val="24"/>
        </w:rPr>
        <w:t>Dette lægemiddel indeholder mindre end 1 mmol natrium (23 mg) pr. 0,5 ml og er således stort set natriumfrit.</w:t>
      </w:r>
    </w:p>
    <w:p w14:paraId="45F52FB7" w14:textId="77777777" w:rsidR="009260DE" w:rsidRPr="00407EDB" w:rsidRDefault="009260DE" w:rsidP="009260DE">
      <w:pPr>
        <w:tabs>
          <w:tab w:val="left" w:pos="851"/>
        </w:tabs>
        <w:ind w:left="851"/>
        <w:rPr>
          <w:sz w:val="24"/>
          <w:szCs w:val="24"/>
        </w:rPr>
      </w:pPr>
    </w:p>
    <w:p w14:paraId="6A345AE4" w14:textId="77777777" w:rsidR="009260DE" w:rsidRPr="00407EDB" w:rsidRDefault="009260DE" w:rsidP="009260DE">
      <w:pPr>
        <w:tabs>
          <w:tab w:val="left" w:pos="851"/>
        </w:tabs>
        <w:ind w:left="851" w:hanging="851"/>
        <w:rPr>
          <w:b/>
          <w:sz w:val="24"/>
          <w:szCs w:val="24"/>
        </w:rPr>
      </w:pPr>
      <w:r w:rsidRPr="00407EDB">
        <w:rPr>
          <w:b/>
          <w:sz w:val="24"/>
          <w:szCs w:val="24"/>
        </w:rPr>
        <w:t>4.5</w:t>
      </w:r>
      <w:r w:rsidRPr="00407EDB">
        <w:rPr>
          <w:b/>
          <w:sz w:val="24"/>
          <w:szCs w:val="24"/>
        </w:rPr>
        <w:tab/>
        <w:t>Interaktion med andre lægemidler og andre former for interaktion</w:t>
      </w:r>
    </w:p>
    <w:p w14:paraId="316108C7" w14:textId="77777777" w:rsidR="00A81B1D" w:rsidRPr="00407EDB" w:rsidRDefault="00A81B1D" w:rsidP="00A81B1D">
      <w:pPr>
        <w:ind w:left="851"/>
        <w:rPr>
          <w:sz w:val="24"/>
          <w:szCs w:val="24"/>
          <w:lang w:eastAsia="de-DE"/>
        </w:rPr>
      </w:pPr>
      <w:r w:rsidRPr="00407EDB">
        <w:rPr>
          <w:sz w:val="24"/>
          <w:szCs w:val="24"/>
        </w:rPr>
        <w:t xml:space="preserve">Undersøgelser af raske forsøgspersoner har vist, at </w:t>
      </w:r>
      <w:proofErr w:type="spellStart"/>
      <w:r w:rsidRPr="00407EDB">
        <w:rPr>
          <w:sz w:val="24"/>
          <w:szCs w:val="24"/>
        </w:rPr>
        <w:t>sumatriptan</w:t>
      </w:r>
      <w:proofErr w:type="spellEnd"/>
      <w:r w:rsidRPr="00407EDB">
        <w:rPr>
          <w:sz w:val="24"/>
          <w:szCs w:val="24"/>
        </w:rPr>
        <w:t xml:space="preserve"> ikke interagerer med </w:t>
      </w:r>
      <w:proofErr w:type="spellStart"/>
      <w:r w:rsidRPr="00407EDB">
        <w:rPr>
          <w:sz w:val="24"/>
          <w:szCs w:val="24"/>
        </w:rPr>
        <w:t>propranolol</w:t>
      </w:r>
      <w:proofErr w:type="spellEnd"/>
      <w:r w:rsidRPr="00407EDB">
        <w:rPr>
          <w:sz w:val="24"/>
          <w:szCs w:val="24"/>
        </w:rPr>
        <w:t xml:space="preserve">, </w:t>
      </w:r>
      <w:proofErr w:type="spellStart"/>
      <w:r w:rsidRPr="00407EDB">
        <w:rPr>
          <w:sz w:val="24"/>
          <w:szCs w:val="24"/>
        </w:rPr>
        <w:t>flunarizin</w:t>
      </w:r>
      <w:proofErr w:type="spellEnd"/>
      <w:r w:rsidRPr="00407EDB">
        <w:rPr>
          <w:sz w:val="24"/>
          <w:szCs w:val="24"/>
        </w:rPr>
        <w:t xml:space="preserve">, </w:t>
      </w:r>
      <w:proofErr w:type="spellStart"/>
      <w:r w:rsidRPr="00407EDB">
        <w:rPr>
          <w:sz w:val="24"/>
          <w:szCs w:val="24"/>
        </w:rPr>
        <w:t>pizotifen</w:t>
      </w:r>
      <w:proofErr w:type="spellEnd"/>
      <w:r w:rsidRPr="00407EDB">
        <w:rPr>
          <w:sz w:val="24"/>
          <w:szCs w:val="24"/>
        </w:rPr>
        <w:t xml:space="preserve"> eller alkohol.</w:t>
      </w:r>
    </w:p>
    <w:p w14:paraId="729A7AF4" w14:textId="77777777" w:rsidR="00A81B1D" w:rsidRPr="00407EDB" w:rsidRDefault="00A81B1D" w:rsidP="00A81B1D">
      <w:pPr>
        <w:ind w:left="851"/>
        <w:rPr>
          <w:sz w:val="24"/>
          <w:szCs w:val="24"/>
        </w:rPr>
      </w:pPr>
    </w:p>
    <w:p w14:paraId="2B6BD97A" w14:textId="77777777" w:rsidR="00A81B1D" w:rsidRPr="00407EDB" w:rsidRDefault="00A81B1D" w:rsidP="00A81B1D">
      <w:pPr>
        <w:ind w:left="851"/>
        <w:rPr>
          <w:sz w:val="24"/>
          <w:szCs w:val="24"/>
        </w:rPr>
      </w:pPr>
      <w:r w:rsidRPr="00407EDB">
        <w:rPr>
          <w:sz w:val="24"/>
          <w:szCs w:val="24"/>
        </w:rPr>
        <w:lastRenderedPageBreak/>
        <w:t xml:space="preserve">Der er begrænsede data vedrørende interaktion med lægemidler, der indeholder </w:t>
      </w:r>
      <w:proofErr w:type="spellStart"/>
      <w:r w:rsidRPr="00407EDB">
        <w:rPr>
          <w:sz w:val="24"/>
          <w:szCs w:val="24"/>
        </w:rPr>
        <w:t>ergotamin</w:t>
      </w:r>
      <w:proofErr w:type="spellEnd"/>
      <w:r w:rsidRPr="00407EDB">
        <w:rPr>
          <w:sz w:val="24"/>
          <w:szCs w:val="24"/>
        </w:rPr>
        <w:t xml:space="preserve"> eller andre </w:t>
      </w:r>
      <w:proofErr w:type="spellStart"/>
      <w:r w:rsidRPr="00407EDB">
        <w:rPr>
          <w:sz w:val="24"/>
          <w:szCs w:val="24"/>
        </w:rPr>
        <w:t>triptaner</w:t>
      </w:r>
      <w:proofErr w:type="spellEnd"/>
      <w:r w:rsidRPr="00407EDB">
        <w:rPr>
          <w:sz w:val="24"/>
          <w:szCs w:val="24"/>
        </w:rPr>
        <w:t>/5-HT</w:t>
      </w:r>
      <w:r w:rsidRPr="00407EDB">
        <w:rPr>
          <w:sz w:val="24"/>
          <w:szCs w:val="24"/>
          <w:vertAlign w:val="subscript"/>
        </w:rPr>
        <w:t>1</w:t>
      </w:r>
      <w:r w:rsidRPr="00407EDB">
        <w:rPr>
          <w:sz w:val="24"/>
          <w:szCs w:val="24"/>
        </w:rPr>
        <w:t xml:space="preserve">-receptoragonister. Den øgede risiko for </w:t>
      </w:r>
      <w:proofErr w:type="spellStart"/>
      <w:r w:rsidRPr="00407EDB">
        <w:rPr>
          <w:sz w:val="24"/>
          <w:szCs w:val="24"/>
        </w:rPr>
        <w:t>koronar</w:t>
      </w:r>
      <w:proofErr w:type="spellEnd"/>
      <w:r w:rsidRPr="00407EDB">
        <w:rPr>
          <w:sz w:val="24"/>
          <w:szCs w:val="24"/>
        </w:rPr>
        <w:t xml:space="preserve"> </w:t>
      </w:r>
      <w:proofErr w:type="spellStart"/>
      <w:r w:rsidRPr="00407EDB">
        <w:rPr>
          <w:sz w:val="24"/>
          <w:szCs w:val="24"/>
        </w:rPr>
        <w:t>vasospasme</w:t>
      </w:r>
      <w:proofErr w:type="spellEnd"/>
      <w:r w:rsidRPr="00407EDB">
        <w:rPr>
          <w:sz w:val="24"/>
          <w:szCs w:val="24"/>
        </w:rPr>
        <w:t xml:space="preserve"> er en teoretisk mulighed, og samtidig administration er kontraindiceret (se pkt. 4.3).</w:t>
      </w:r>
    </w:p>
    <w:p w14:paraId="6382FA74" w14:textId="77777777" w:rsidR="00A81B1D" w:rsidRPr="00407EDB" w:rsidRDefault="00A81B1D" w:rsidP="00A81B1D">
      <w:pPr>
        <w:ind w:left="851"/>
        <w:rPr>
          <w:sz w:val="24"/>
          <w:szCs w:val="24"/>
        </w:rPr>
      </w:pPr>
    </w:p>
    <w:p w14:paraId="32CF2BE1" w14:textId="77777777" w:rsidR="00A81B1D" w:rsidRPr="00407EDB" w:rsidRDefault="00A81B1D" w:rsidP="00A81B1D">
      <w:pPr>
        <w:ind w:left="851"/>
        <w:rPr>
          <w:sz w:val="24"/>
          <w:szCs w:val="24"/>
        </w:rPr>
      </w:pPr>
      <w:r w:rsidRPr="00407EDB">
        <w:rPr>
          <w:sz w:val="24"/>
          <w:szCs w:val="24"/>
        </w:rPr>
        <w:t xml:space="preserve">Den tid, der bør gå mellem brugen af </w:t>
      </w:r>
      <w:proofErr w:type="spellStart"/>
      <w:r w:rsidRPr="00407EDB">
        <w:rPr>
          <w:sz w:val="24"/>
          <w:szCs w:val="24"/>
        </w:rPr>
        <w:t>sumatriptan</w:t>
      </w:r>
      <w:proofErr w:type="spellEnd"/>
      <w:r w:rsidRPr="00407EDB">
        <w:rPr>
          <w:sz w:val="24"/>
          <w:szCs w:val="24"/>
        </w:rPr>
        <w:t xml:space="preserve"> og </w:t>
      </w:r>
      <w:proofErr w:type="spellStart"/>
      <w:r w:rsidRPr="00407EDB">
        <w:rPr>
          <w:sz w:val="24"/>
          <w:szCs w:val="24"/>
        </w:rPr>
        <w:t>ergotaminholdige</w:t>
      </w:r>
      <w:proofErr w:type="spellEnd"/>
      <w:r w:rsidRPr="00407EDB">
        <w:rPr>
          <w:sz w:val="24"/>
          <w:szCs w:val="24"/>
        </w:rPr>
        <w:t xml:space="preserve"> lægemidler eller andre </w:t>
      </w:r>
      <w:proofErr w:type="spellStart"/>
      <w:r w:rsidRPr="00407EDB">
        <w:rPr>
          <w:sz w:val="24"/>
          <w:szCs w:val="24"/>
        </w:rPr>
        <w:t>triptaner</w:t>
      </w:r>
      <w:proofErr w:type="spellEnd"/>
      <w:r w:rsidRPr="00407EDB">
        <w:rPr>
          <w:sz w:val="24"/>
          <w:szCs w:val="24"/>
        </w:rPr>
        <w:t>/5-HT</w:t>
      </w:r>
      <w:r w:rsidRPr="00407EDB">
        <w:rPr>
          <w:sz w:val="24"/>
          <w:szCs w:val="24"/>
          <w:vertAlign w:val="subscript"/>
        </w:rPr>
        <w:t>1</w:t>
      </w:r>
      <w:r w:rsidRPr="00407EDB">
        <w:rPr>
          <w:sz w:val="24"/>
          <w:szCs w:val="24"/>
        </w:rPr>
        <w:t xml:space="preserve">-receptoragonister, kendes ikke. Det vil også afhænge af den anvendte dosis og type af produkt. Virkningerne kan være </w:t>
      </w:r>
      <w:proofErr w:type="spellStart"/>
      <w:r w:rsidRPr="00407EDB">
        <w:rPr>
          <w:sz w:val="24"/>
          <w:szCs w:val="24"/>
        </w:rPr>
        <w:t>additive</w:t>
      </w:r>
      <w:proofErr w:type="spellEnd"/>
      <w:r w:rsidRPr="00407EDB">
        <w:rPr>
          <w:sz w:val="24"/>
          <w:szCs w:val="24"/>
        </w:rPr>
        <w:t xml:space="preserve">. Det tilrådes at vente mindst 24 timer efter brugen af </w:t>
      </w:r>
      <w:proofErr w:type="spellStart"/>
      <w:r w:rsidRPr="00407EDB">
        <w:rPr>
          <w:sz w:val="24"/>
          <w:szCs w:val="24"/>
        </w:rPr>
        <w:t>ergotaminholdige</w:t>
      </w:r>
      <w:proofErr w:type="spellEnd"/>
      <w:r w:rsidRPr="00407EDB">
        <w:rPr>
          <w:sz w:val="24"/>
          <w:szCs w:val="24"/>
        </w:rPr>
        <w:t xml:space="preserve"> lægemidler eller andre </w:t>
      </w:r>
      <w:proofErr w:type="spellStart"/>
      <w:r w:rsidRPr="00407EDB">
        <w:rPr>
          <w:sz w:val="24"/>
          <w:szCs w:val="24"/>
        </w:rPr>
        <w:t>triptaner</w:t>
      </w:r>
      <w:proofErr w:type="spellEnd"/>
      <w:r w:rsidRPr="00407EDB">
        <w:rPr>
          <w:sz w:val="24"/>
          <w:szCs w:val="24"/>
        </w:rPr>
        <w:t>/5-HT</w:t>
      </w:r>
      <w:r w:rsidRPr="00407EDB">
        <w:rPr>
          <w:sz w:val="24"/>
          <w:szCs w:val="24"/>
          <w:vertAlign w:val="subscript"/>
        </w:rPr>
        <w:t>1</w:t>
      </w:r>
      <w:r w:rsidRPr="00407EDB">
        <w:rPr>
          <w:sz w:val="24"/>
          <w:szCs w:val="24"/>
        </w:rPr>
        <w:t xml:space="preserve">-receptoragonister før administration af </w:t>
      </w:r>
      <w:proofErr w:type="spellStart"/>
      <w:r w:rsidRPr="00407EDB">
        <w:rPr>
          <w:sz w:val="24"/>
          <w:szCs w:val="24"/>
        </w:rPr>
        <w:t>sumatriptan</w:t>
      </w:r>
      <w:proofErr w:type="spellEnd"/>
      <w:r w:rsidRPr="00407EDB">
        <w:rPr>
          <w:sz w:val="24"/>
          <w:szCs w:val="24"/>
        </w:rPr>
        <w:t xml:space="preserve">. Omvendt tilrådes det at vente mindst 6 timer efter brug af </w:t>
      </w:r>
      <w:proofErr w:type="spellStart"/>
      <w:r w:rsidRPr="00407EDB">
        <w:rPr>
          <w:sz w:val="24"/>
          <w:szCs w:val="24"/>
        </w:rPr>
        <w:t>sumatriptan</w:t>
      </w:r>
      <w:proofErr w:type="spellEnd"/>
      <w:r w:rsidRPr="00407EDB">
        <w:rPr>
          <w:sz w:val="24"/>
          <w:szCs w:val="24"/>
        </w:rPr>
        <w:t xml:space="preserve"> før administration af </w:t>
      </w:r>
      <w:proofErr w:type="spellStart"/>
      <w:r w:rsidRPr="00407EDB">
        <w:rPr>
          <w:sz w:val="24"/>
          <w:szCs w:val="24"/>
        </w:rPr>
        <w:t>ergotaminholdige</w:t>
      </w:r>
      <w:proofErr w:type="spellEnd"/>
      <w:r w:rsidRPr="00407EDB">
        <w:rPr>
          <w:sz w:val="24"/>
          <w:szCs w:val="24"/>
        </w:rPr>
        <w:t xml:space="preserve"> lægemidler og mindst 24 timer før administration af andre </w:t>
      </w:r>
      <w:proofErr w:type="spellStart"/>
      <w:r w:rsidRPr="00407EDB">
        <w:rPr>
          <w:sz w:val="24"/>
          <w:szCs w:val="24"/>
        </w:rPr>
        <w:t>triptaner</w:t>
      </w:r>
      <w:proofErr w:type="spellEnd"/>
      <w:r w:rsidRPr="00407EDB">
        <w:rPr>
          <w:sz w:val="24"/>
          <w:szCs w:val="24"/>
        </w:rPr>
        <w:t>/5-HT</w:t>
      </w:r>
      <w:r w:rsidRPr="00407EDB">
        <w:rPr>
          <w:sz w:val="24"/>
          <w:szCs w:val="24"/>
          <w:vertAlign w:val="subscript"/>
        </w:rPr>
        <w:t>1</w:t>
      </w:r>
      <w:r w:rsidRPr="00407EDB">
        <w:rPr>
          <w:sz w:val="24"/>
          <w:szCs w:val="24"/>
        </w:rPr>
        <w:t>-receptoragonister.</w:t>
      </w:r>
    </w:p>
    <w:p w14:paraId="50D31441" w14:textId="77777777" w:rsidR="00A81B1D" w:rsidRPr="00407EDB" w:rsidRDefault="00A81B1D" w:rsidP="00A81B1D">
      <w:pPr>
        <w:ind w:left="851"/>
        <w:rPr>
          <w:sz w:val="24"/>
          <w:szCs w:val="24"/>
        </w:rPr>
      </w:pPr>
    </w:p>
    <w:p w14:paraId="4CBCE052" w14:textId="77777777" w:rsidR="00A81B1D" w:rsidRPr="00407EDB" w:rsidRDefault="00A81B1D" w:rsidP="00A81B1D">
      <w:pPr>
        <w:ind w:left="851"/>
        <w:rPr>
          <w:sz w:val="24"/>
          <w:szCs w:val="24"/>
        </w:rPr>
      </w:pPr>
      <w:r w:rsidRPr="00407EDB">
        <w:rPr>
          <w:sz w:val="24"/>
          <w:szCs w:val="24"/>
        </w:rPr>
        <w:t xml:space="preserve">Der kan forekomme interaktion mellem </w:t>
      </w:r>
      <w:proofErr w:type="spellStart"/>
      <w:r w:rsidRPr="00407EDB">
        <w:rPr>
          <w:sz w:val="24"/>
          <w:szCs w:val="24"/>
        </w:rPr>
        <w:t>sumatriptan</w:t>
      </w:r>
      <w:proofErr w:type="spellEnd"/>
      <w:r w:rsidRPr="00407EDB">
        <w:rPr>
          <w:sz w:val="24"/>
          <w:szCs w:val="24"/>
        </w:rPr>
        <w:t xml:space="preserve"> og MAO-</w:t>
      </w:r>
      <w:proofErr w:type="spellStart"/>
      <w:r w:rsidRPr="00407EDB">
        <w:rPr>
          <w:sz w:val="24"/>
          <w:szCs w:val="24"/>
        </w:rPr>
        <w:t>hæmmere</w:t>
      </w:r>
      <w:proofErr w:type="spellEnd"/>
      <w:r w:rsidRPr="00407EDB">
        <w:rPr>
          <w:sz w:val="24"/>
          <w:szCs w:val="24"/>
        </w:rPr>
        <w:t>; samtidig administration er derfor kontraindiceret (se pkt. 4.3).</w:t>
      </w:r>
    </w:p>
    <w:p w14:paraId="04F69A69" w14:textId="77777777" w:rsidR="00A81B1D" w:rsidRPr="00407EDB" w:rsidRDefault="00A81B1D" w:rsidP="00A81B1D">
      <w:pPr>
        <w:ind w:left="851"/>
        <w:rPr>
          <w:sz w:val="24"/>
          <w:szCs w:val="24"/>
        </w:rPr>
      </w:pPr>
    </w:p>
    <w:p w14:paraId="038E61D9" w14:textId="77777777" w:rsidR="00A81B1D" w:rsidRPr="00407EDB" w:rsidRDefault="00A81B1D" w:rsidP="00A81B1D">
      <w:pPr>
        <w:ind w:left="851"/>
        <w:rPr>
          <w:sz w:val="24"/>
          <w:szCs w:val="24"/>
        </w:rPr>
      </w:pPr>
      <w:r w:rsidRPr="00407EDB">
        <w:rPr>
          <w:sz w:val="24"/>
          <w:szCs w:val="24"/>
        </w:rPr>
        <w:t xml:space="preserve">Der er i sjældne tilfælde efter markedsføring set serotoninsyndrom (herunder ændret mental status, </w:t>
      </w:r>
      <w:proofErr w:type="spellStart"/>
      <w:r w:rsidRPr="00407EDB">
        <w:rPr>
          <w:sz w:val="24"/>
          <w:szCs w:val="24"/>
        </w:rPr>
        <w:t>autonomisk</w:t>
      </w:r>
      <w:proofErr w:type="spellEnd"/>
      <w:r w:rsidRPr="00407EDB">
        <w:rPr>
          <w:sz w:val="24"/>
          <w:szCs w:val="24"/>
        </w:rPr>
        <w:t xml:space="preserve"> uligevægt og </w:t>
      </w:r>
      <w:proofErr w:type="spellStart"/>
      <w:r w:rsidRPr="00407EDB">
        <w:rPr>
          <w:sz w:val="24"/>
          <w:szCs w:val="24"/>
        </w:rPr>
        <w:t>neuromuskulære</w:t>
      </w:r>
      <w:proofErr w:type="spellEnd"/>
      <w:r w:rsidRPr="00407EDB">
        <w:rPr>
          <w:sz w:val="24"/>
          <w:szCs w:val="24"/>
        </w:rPr>
        <w:t xml:space="preserve"> anomalier) efter brug af </w:t>
      </w:r>
      <w:proofErr w:type="spellStart"/>
      <w:r w:rsidRPr="00407EDB">
        <w:rPr>
          <w:sz w:val="24"/>
          <w:szCs w:val="24"/>
        </w:rPr>
        <w:t>SSRI'er</w:t>
      </w:r>
      <w:proofErr w:type="spellEnd"/>
      <w:r w:rsidRPr="00407EDB">
        <w:rPr>
          <w:sz w:val="24"/>
          <w:szCs w:val="24"/>
        </w:rPr>
        <w:t xml:space="preserve"> og </w:t>
      </w:r>
      <w:proofErr w:type="spellStart"/>
      <w:r w:rsidRPr="00407EDB">
        <w:rPr>
          <w:sz w:val="24"/>
          <w:szCs w:val="24"/>
        </w:rPr>
        <w:t>sumatriptan</w:t>
      </w:r>
      <w:proofErr w:type="spellEnd"/>
      <w:r w:rsidRPr="00407EDB">
        <w:rPr>
          <w:sz w:val="24"/>
          <w:szCs w:val="24"/>
        </w:rPr>
        <w:t xml:space="preserve">. Serotoninsyndrom er også rapporteret efter samtidig behandling med </w:t>
      </w:r>
      <w:proofErr w:type="spellStart"/>
      <w:r w:rsidRPr="00407EDB">
        <w:rPr>
          <w:sz w:val="24"/>
          <w:szCs w:val="24"/>
        </w:rPr>
        <w:t>triptaner</w:t>
      </w:r>
      <w:proofErr w:type="spellEnd"/>
      <w:r w:rsidRPr="00407EDB">
        <w:rPr>
          <w:sz w:val="24"/>
          <w:szCs w:val="24"/>
        </w:rPr>
        <w:t xml:space="preserve"> og </w:t>
      </w:r>
      <w:proofErr w:type="spellStart"/>
      <w:r w:rsidRPr="00407EDB">
        <w:rPr>
          <w:sz w:val="24"/>
          <w:szCs w:val="24"/>
        </w:rPr>
        <w:t>SNRI'er</w:t>
      </w:r>
      <w:proofErr w:type="spellEnd"/>
      <w:r w:rsidRPr="00407EDB">
        <w:rPr>
          <w:sz w:val="24"/>
          <w:szCs w:val="24"/>
        </w:rPr>
        <w:t xml:space="preserve"> (se pkt. 4.4).</w:t>
      </w:r>
    </w:p>
    <w:p w14:paraId="28D4E7F6" w14:textId="77777777" w:rsidR="009260DE" w:rsidRPr="00407EDB" w:rsidRDefault="009260DE" w:rsidP="009260DE">
      <w:pPr>
        <w:tabs>
          <w:tab w:val="left" w:pos="851"/>
        </w:tabs>
        <w:ind w:left="851"/>
        <w:rPr>
          <w:sz w:val="24"/>
          <w:szCs w:val="24"/>
        </w:rPr>
      </w:pPr>
    </w:p>
    <w:p w14:paraId="0AD39E9D" w14:textId="77777777" w:rsidR="009260DE" w:rsidRPr="00407EDB" w:rsidRDefault="009260DE" w:rsidP="009260DE">
      <w:pPr>
        <w:tabs>
          <w:tab w:val="left" w:pos="851"/>
        </w:tabs>
        <w:ind w:left="851" w:hanging="851"/>
        <w:rPr>
          <w:b/>
          <w:sz w:val="24"/>
          <w:szCs w:val="24"/>
        </w:rPr>
      </w:pPr>
      <w:r w:rsidRPr="00407EDB">
        <w:rPr>
          <w:b/>
          <w:sz w:val="24"/>
          <w:szCs w:val="24"/>
        </w:rPr>
        <w:t>4.6</w:t>
      </w:r>
      <w:r w:rsidRPr="00407EDB">
        <w:rPr>
          <w:b/>
          <w:sz w:val="24"/>
          <w:szCs w:val="24"/>
        </w:rPr>
        <w:tab/>
      </w:r>
      <w:r w:rsidR="0071241E" w:rsidRPr="00407EDB">
        <w:rPr>
          <w:b/>
          <w:sz w:val="24"/>
          <w:szCs w:val="24"/>
        </w:rPr>
        <w:t>Fertilitet, g</w:t>
      </w:r>
      <w:r w:rsidRPr="00407EDB">
        <w:rPr>
          <w:b/>
          <w:sz w:val="24"/>
          <w:szCs w:val="24"/>
        </w:rPr>
        <w:t>raviditet og amning</w:t>
      </w:r>
    </w:p>
    <w:p w14:paraId="3B0ACBCA" w14:textId="77777777" w:rsidR="00407EDB" w:rsidRDefault="00407EDB" w:rsidP="00A81B1D">
      <w:pPr>
        <w:ind w:left="851"/>
        <w:rPr>
          <w:sz w:val="24"/>
          <w:szCs w:val="24"/>
          <w:u w:val="single"/>
        </w:rPr>
      </w:pPr>
    </w:p>
    <w:p w14:paraId="1A4A6D7D" w14:textId="41B0E9EC" w:rsidR="00A81B1D" w:rsidRPr="00407EDB" w:rsidRDefault="00A81B1D" w:rsidP="00A81B1D">
      <w:pPr>
        <w:ind w:left="851"/>
        <w:rPr>
          <w:sz w:val="24"/>
          <w:szCs w:val="24"/>
          <w:u w:val="single"/>
          <w:lang w:eastAsia="de-DE"/>
        </w:rPr>
      </w:pPr>
      <w:r w:rsidRPr="00407EDB">
        <w:rPr>
          <w:sz w:val="24"/>
          <w:szCs w:val="24"/>
          <w:u w:val="single"/>
        </w:rPr>
        <w:t>Graviditet</w:t>
      </w:r>
    </w:p>
    <w:p w14:paraId="345701F8" w14:textId="77777777" w:rsidR="00A81B1D" w:rsidRPr="00407EDB" w:rsidRDefault="00A81B1D" w:rsidP="00A81B1D">
      <w:pPr>
        <w:ind w:left="851"/>
        <w:rPr>
          <w:sz w:val="24"/>
          <w:szCs w:val="24"/>
        </w:rPr>
      </w:pPr>
      <w:r w:rsidRPr="00407EDB">
        <w:rPr>
          <w:sz w:val="24"/>
          <w:szCs w:val="24"/>
        </w:rPr>
        <w:t xml:space="preserve">Der foreligger data for brug af </w:t>
      </w:r>
      <w:proofErr w:type="spellStart"/>
      <w:r w:rsidRPr="00407EDB">
        <w:rPr>
          <w:sz w:val="24"/>
          <w:szCs w:val="24"/>
        </w:rPr>
        <w:t>sumatriptan</w:t>
      </w:r>
      <w:proofErr w:type="spellEnd"/>
      <w:r w:rsidRPr="00407EDB">
        <w:rPr>
          <w:sz w:val="24"/>
          <w:szCs w:val="24"/>
        </w:rPr>
        <w:t xml:space="preserve"> efter markedsføring i første trimester hos over 1.000 kvinder. Selvom disse data ikke indeholder tilstrækkelige oplysninger til at kunne drage endelige konklusioner, indikerer de ikke en øget risiko for medfødte misdannelser. Erfaring med brug af </w:t>
      </w:r>
      <w:proofErr w:type="spellStart"/>
      <w:r w:rsidRPr="00407EDB">
        <w:rPr>
          <w:sz w:val="24"/>
          <w:szCs w:val="24"/>
        </w:rPr>
        <w:t>sumatriptan</w:t>
      </w:r>
      <w:proofErr w:type="spellEnd"/>
      <w:r w:rsidRPr="00407EDB">
        <w:rPr>
          <w:sz w:val="24"/>
          <w:szCs w:val="24"/>
        </w:rPr>
        <w:t xml:space="preserve"> i andet og tredje trimester er begrænset.</w:t>
      </w:r>
    </w:p>
    <w:p w14:paraId="08F34B5B" w14:textId="77777777" w:rsidR="00A81B1D" w:rsidRPr="00407EDB" w:rsidRDefault="00A81B1D" w:rsidP="00A81B1D">
      <w:pPr>
        <w:ind w:left="851"/>
        <w:rPr>
          <w:sz w:val="24"/>
          <w:szCs w:val="24"/>
        </w:rPr>
      </w:pPr>
    </w:p>
    <w:p w14:paraId="789EA7BD" w14:textId="77777777" w:rsidR="00A81B1D" w:rsidRPr="00407EDB" w:rsidRDefault="00A81B1D" w:rsidP="00A81B1D">
      <w:pPr>
        <w:ind w:left="851"/>
        <w:rPr>
          <w:sz w:val="24"/>
          <w:szCs w:val="24"/>
        </w:rPr>
      </w:pPr>
      <w:r w:rsidRPr="00407EDB">
        <w:rPr>
          <w:sz w:val="24"/>
          <w:szCs w:val="24"/>
        </w:rPr>
        <w:t xml:space="preserve">Data fra dyreforsøg indikerer ikke nogen direkte </w:t>
      </w:r>
      <w:proofErr w:type="spellStart"/>
      <w:r w:rsidRPr="00407EDB">
        <w:rPr>
          <w:sz w:val="24"/>
          <w:szCs w:val="24"/>
        </w:rPr>
        <w:t>teratogene</w:t>
      </w:r>
      <w:proofErr w:type="spellEnd"/>
      <w:r w:rsidRPr="00407EDB">
        <w:rPr>
          <w:sz w:val="24"/>
          <w:szCs w:val="24"/>
        </w:rPr>
        <w:t xml:space="preserve"> virkninger eller skadelige virkninger på peri- og </w:t>
      </w:r>
      <w:proofErr w:type="spellStart"/>
      <w:r w:rsidRPr="00407EDB">
        <w:rPr>
          <w:sz w:val="24"/>
          <w:szCs w:val="24"/>
        </w:rPr>
        <w:t>postnatal</w:t>
      </w:r>
      <w:proofErr w:type="spellEnd"/>
      <w:r w:rsidRPr="00407EDB">
        <w:rPr>
          <w:sz w:val="24"/>
          <w:szCs w:val="24"/>
        </w:rPr>
        <w:t xml:space="preserve"> udvikling. Den </w:t>
      </w:r>
      <w:proofErr w:type="spellStart"/>
      <w:r w:rsidRPr="00407EDB">
        <w:rPr>
          <w:sz w:val="24"/>
          <w:szCs w:val="24"/>
        </w:rPr>
        <w:t>embryoføtale</w:t>
      </w:r>
      <w:proofErr w:type="spellEnd"/>
      <w:r w:rsidRPr="00407EDB">
        <w:rPr>
          <w:sz w:val="24"/>
          <w:szCs w:val="24"/>
        </w:rPr>
        <w:t xml:space="preserve"> levedygtighed hos kaniner kan dog være nedsat (se pkt. 5.3). Administration af </w:t>
      </w:r>
      <w:proofErr w:type="spellStart"/>
      <w:r w:rsidRPr="00407EDB">
        <w:rPr>
          <w:sz w:val="24"/>
          <w:szCs w:val="24"/>
        </w:rPr>
        <w:t>sumatriptan</w:t>
      </w:r>
      <w:proofErr w:type="spellEnd"/>
      <w:r w:rsidRPr="00407EDB">
        <w:rPr>
          <w:sz w:val="24"/>
          <w:szCs w:val="24"/>
        </w:rPr>
        <w:t xml:space="preserve"> bør derfor kun overvejes, hvis den forventede fordel for moderen er større end eventuelle risici for fostret.</w:t>
      </w:r>
    </w:p>
    <w:p w14:paraId="7995FB03" w14:textId="77777777" w:rsidR="00A81B1D" w:rsidRPr="00407EDB" w:rsidRDefault="00A81B1D" w:rsidP="00A81B1D">
      <w:pPr>
        <w:ind w:left="851"/>
        <w:rPr>
          <w:sz w:val="24"/>
          <w:szCs w:val="24"/>
          <w:u w:val="single"/>
        </w:rPr>
      </w:pPr>
    </w:p>
    <w:p w14:paraId="09CB9DF3" w14:textId="77777777" w:rsidR="00A81B1D" w:rsidRPr="00407EDB" w:rsidRDefault="00A81B1D" w:rsidP="00A81B1D">
      <w:pPr>
        <w:ind w:left="851"/>
        <w:rPr>
          <w:sz w:val="24"/>
          <w:szCs w:val="24"/>
          <w:u w:val="single"/>
        </w:rPr>
      </w:pPr>
      <w:r w:rsidRPr="00407EDB">
        <w:rPr>
          <w:sz w:val="24"/>
          <w:szCs w:val="24"/>
          <w:u w:val="single"/>
        </w:rPr>
        <w:t>Amning</w:t>
      </w:r>
    </w:p>
    <w:p w14:paraId="6377307E" w14:textId="77777777" w:rsidR="00A81B1D" w:rsidRPr="00407EDB" w:rsidRDefault="00A81B1D" w:rsidP="00A81B1D">
      <w:pPr>
        <w:ind w:left="851"/>
        <w:rPr>
          <w:sz w:val="24"/>
          <w:szCs w:val="24"/>
        </w:rPr>
      </w:pPr>
      <w:r w:rsidRPr="00407EDB">
        <w:rPr>
          <w:sz w:val="24"/>
          <w:szCs w:val="24"/>
        </w:rPr>
        <w:t xml:space="preserve">Det er påvist, at </w:t>
      </w:r>
      <w:proofErr w:type="spellStart"/>
      <w:r w:rsidRPr="00407EDB">
        <w:rPr>
          <w:sz w:val="24"/>
          <w:szCs w:val="24"/>
        </w:rPr>
        <w:t>sumatriptan</w:t>
      </w:r>
      <w:proofErr w:type="spellEnd"/>
      <w:r w:rsidRPr="00407EDB">
        <w:rPr>
          <w:sz w:val="24"/>
          <w:szCs w:val="24"/>
        </w:rPr>
        <w:t xml:space="preserve"> udskilles i brystmælk efter subkutan administration. Eksponering af spædbørn kan minimeres ved at undlade amning i 12 timer efter administration; i denne periode bør eventuel udpumpet modermælk bortskaffes.</w:t>
      </w:r>
    </w:p>
    <w:p w14:paraId="76172EBB" w14:textId="77777777" w:rsidR="009260DE" w:rsidRPr="00407EDB" w:rsidRDefault="009260DE" w:rsidP="009260DE">
      <w:pPr>
        <w:tabs>
          <w:tab w:val="left" w:pos="851"/>
        </w:tabs>
        <w:ind w:left="851"/>
        <w:rPr>
          <w:sz w:val="24"/>
          <w:szCs w:val="24"/>
        </w:rPr>
      </w:pPr>
    </w:p>
    <w:p w14:paraId="7268C4FA" w14:textId="77777777" w:rsidR="009260DE" w:rsidRPr="00407EDB" w:rsidRDefault="009260DE" w:rsidP="009260DE">
      <w:pPr>
        <w:tabs>
          <w:tab w:val="left" w:pos="851"/>
        </w:tabs>
        <w:ind w:left="851" w:hanging="851"/>
        <w:rPr>
          <w:b/>
          <w:sz w:val="24"/>
          <w:szCs w:val="24"/>
        </w:rPr>
      </w:pPr>
      <w:r w:rsidRPr="00407EDB">
        <w:rPr>
          <w:b/>
          <w:sz w:val="24"/>
          <w:szCs w:val="24"/>
        </w:rPr>
        <w:t>4.7</w:t>
      </w:r>
      <w:r w:rsidRPr="00407EDB">
        <w:rPr>
          <w:b/>
          <w:sz w:val="24"/>
          <w:szCs w:val="24"/>
        </w:rPr>
        <w:tab/>
        <w:t xml:space="preserve">Virkning på evnen til at føre motorkøretøj </w:t>
      </w:r>
      <w:r w:rsidR="0071241E" w:rsidRPr="00407EDB">
        <w:rPr>
          <w:b/>
          <w:sz w:val="24"/>
          <w:szCs w:val="24"/>
        </w:rPr>
        <w:t>og</w:t>
      </w:r>
      <w:r w:rsidRPr="00407EDB">
        <w:rPr>
          <w:b/>
          <w:sz w:val="24"/>
          <w:szCs w:val="24"/>
        </w:rPr>
        <w:t xml:space="preserve"> betjene maskiner</w:t>
      </w:r>
    </w:p>
    <w:p w14:paraId="549F28F7" w14:textId="77777777" w:rsidR="00A81B1D" w:rsidRPr="00407EDB" w:rsidRDefault="00A81B1D" w:rsidP="00A81B1D">
      <w:pPr>
        <w:ind w:left="851"/>
        <w:rPr>
          <w:sz w:val="24"/>
          <w:szCs w:val="24"/>
          <w:lang w:eastAsia="de-DE"/>
        </w:rPr>
      </w:pPr>
      <w:r w:rsidRPr="00407EDB">
        <w:rPr>
          <w:sz w:val="24"/>
          <w:szCs w:val="24"/>
        </w:rPr>
        <w:t>Ikke mærkning</w:t>
      </w:r>
    </w:p>
    <w:p w14:paraId="78F36A5D" w14:textId="77777777" w:rsidR="00A81B1D" w:rsidRPr="00407EDB" w:rsidRDefault="00A81B1D" w:rsidP="00A81B1D">
      <w:pPr>
        <w:ind w:left="851"/>
        <w:rPr>
          <w:sz w:val="24"/>
          <w:szCs w:val="24"/>
        </w:rPr>
      </w:pPr>
      <w:r w:rsidRPr="00407EDB">
        <w:rPr>
          <w:sz w:val="24"/>
          <w:szCs w:val="24"/>
        </w:rPr>
        <w:t xml:space="preserve">Der er ikke foretaget undersøgelser af påvirkningen af evnen til at føre motorkøretøj eller betjene maskiner. Døsighed kan forekomme som følge af migræne eller behandling med </w:t>
      </w:r>
      <w:proofErr w:type="spellStart"/>
      <w:r w:rsidRPr="00407EDB">
        <w:rPr>
          <w:sz w:val="24"/>
          <w:szCs w:val="24"/>
        </w:rPr>
        <w:t>sumatriptan</w:t>
      </w:r>
      <w:proofErr w:type="spellEnd"/>
      <w:r w:rsidRPr="00407EDB">
        <w:rPr>
          <w:sz w:val="24"/>
          <w:szCs w:val="24"/>
        </w:rPr>
        <w:t>. Dette kan påvirke evnen til at føre motorkøretøj eller betjene maskiner.</w:t>
      </w:r>
    </w:p>
    <w:p w14:paraId="5E8ACA66" w14:textId="77777777" w:rsidR="009260DE" w:rsidRPr="00407EDB" w:rsidRDefault="009260DE" w:rsidP="009260DE">
      <w:pPr>
        <w:tabs>
          <w:tab w:val="left" w:pos="851"/>
        </w:tabs>
        <w:ind w:left="851"/>
        <w:rPr>
          <w:sz w:val="24"/>
          <w:szCs w:val="24"/>
        </w:rPr>
      </w:pPr>
    </w:p>
    <w:p w14:paraId="0D8381FA" w14:textId="77777777" w:rsidR="009260DE" w:rsidRPr="00407EDB" w:rsidRDefault="009260DE" w:rsidP="009260DE">
      <w:pPr>
        <w:tabs>
          <w:tab w:val="left" w:pos="851"/>
        </w:tabs>
        <w:ind w:left="851" w:hanging="851"/>
        <w:rPr>
          <w:b/>
          <w:sz w:val="24"/>
          <w:szCs w:val="24"/>
        </w:rPr>
      </w:pPr>
      <w:r w:rsidRPr="00407EDB">
        <w:rPr>
          <w:b/>
          <w:sz w:val="24"/>
          <w:szCs w:val="24"/>
        </w:rPr>
        <w:t>4.8</w:t>
      </w:r>
      <w:r w:rsidRPr="00407EDB">
        <w:rPr>
          <w:b/>
          <w:sz w:val="24"/>
          <w:szCs w:val="24"/>
        </w:rPr>
        <w:tab/>
        <w:t>Bivirkninger</w:t>
      </w:r>
    </w:p>
    <w:p w14:paraId="074C720D" w14:textId="77777777" w:rsidR="00A81B1D" w:rsidRPr="00407EDB" w:rsidRDefault="00A81B1D" w:rsidP="00A81B1D">
      <w:pPr>
        <w:ind w:left="851"/>
        <w:rPr>
          <w:sz w:val="24"/>
          <w:szCs w:val="24"/>
          <w:lang w:eastAsia="de-DE"/>
        </w:rPr>
      </w:pPr>
      <w:r w:rsidRPr="00407EDB">
        <w:rPr>
          <w:sz w:val="24"/>
          <w:szCs w:val="24"/>
        </w:rPr>
        <w:t>Bivirkninger er anført nedenfor efter systemorganklasse og hyppighed. Hyppigheden defineres som meget almindelig (≥ 1/10), almindelig (≥ 1/100 til &lt; 1/10), ikke almindelig (≥ 1/1.000 til &lt; 1/100), sjælden (≥ 1/10.000 til &lt; 1/1.000), meget sjælden (&lt; 1/10.000) eller ikke kendt (kan ikke estimeres ud fra forhåndenværende data). Nogle af de symptomer, der er indberettet som bivirkninger, kan være relateret til migræne.</w:t>
      </w:r>
    </w:p>
    <w:p w14:paraId="1AC02003" w14:textId="77777777" w:rsidR="00A81B1D" w:rsidRPr="00407EDB" w:rsidRDefault="00A81B1D" w:rsidP="00A81B1D">
      <w:pPr>
        <w:ind w:left="851"/>
        <w:rPr>
          <w:sz w:val="24"/>
          <w:szCs w:val="24"/>
          <w:u w:val="single"/>
        </w:rPr>
      </w:pPr>
    </w:p>
    <w:p w14:paraId="5798CAE9" w14:textId="77777777" w:rsidR="00A81B1D" w:rsidRPr="00407EDB" w:rsidRDefault="00A81B1D" w:rsidP="00A81B1D">
      <w:pPr>
        <w:ind w:left="851"/>
        <w:rPr>
          <w:sz w:val="24"/>
          <w:szCs w:val="24"/>
          <w:u w:val="single"/>
        </w:rPr>
      </w:pPr>
      <w:r w:rsidRPr="00407EDB">
        <w:rPr>
          <w:sz w:val="24"/>
          <w:szCs w:val="24"/>
          <w:u w:val="single"/>
        </w:rPr>
        <w:lastRenderedPageBreak/>
        <w:t>Data fra kliniske studier og efter markedsføring</w:t>
      </w:r>
    </w:p>
    <w:p w14:paraId="1BAD32D9" w14:textId="77777777" w:rsidR="00A81B1D" w:rsidRPr="00407EDB" w:rsidRDefault="00A81B1D" w:rsidP="00A81B1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81B1D" w:rsidRPr="00407EDB" w14:paraId="1C179032"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5E847F61" w14:textId="77777777" w:rsidR="00A81B1D" w:rsidRPr="00407EDB" w:rsidRDefault="00A81B1D">
            <w:pPr>
              <w:rPr>
                <w:b/>
                <w:sz w:val="24"/>
                <w:szCs w:val="24"/>
              </w:rPr>
            </w:pPr>
            <w:r w:rsidRPr="00407EDB">
              <w:rPr>
                <w:b/>
                <w:sz w:val="24"/>
                <w:szCs w:val="24"/>
              </w:rPr>
              <w:t>Immunsystemet</w:t>
            </w:r>
          </w:p>
        </w:tc>
      </w:tr>
      <w:tr w:rsidR="00A81B1D" w:rsidRPr="00407EDB" w14:paraId="731CC55D"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4F038D7A"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56576DD1" w14:textId="77777777" w:rsidR="00A81B1D" w:rsidRPr="00407EDB" w:rsidRDefault="00A81B1D">
            <w:pPr>
              <w:rPr>
                <w:sz w:val="24"/>
                <w:szCs w:val="24"/>
              </w:rPr>
            </w:pPr>
            <w:r w:rsidRPr="00407EDB">
              <w:rPr>
                <w:sz w:val="24"/>
                <w:szCs w:val="24"/>
              </w:rPr>
              <w:t xml:space="preserve">Overfølsomhedsreaktioner fra </w:t>
            </w:r>
            <w:proofErr w:type="spellStart"/>
            <w:r w:rsidRPr="00407EDB">
              <w:rPr>
                <w:sz w:val="24"/>
                <w:szCs w:val="24"/>
              </w:rPr>
              <w:t>kutan</w:t>
            </w:r>
            <w:proofErr w:type="spellEnd"/>
            <w:r w:rsidRPr="00407EDB">
              <w:rPr>
                <w:sz w:val="24"/>
                <w:szCs w:val="24"/>
              </w:rPr>
              <w:t xml:space="preserve"> overfølsomhed til </w:t>
            </w:r>
            <w:proofErr w:type="spellStart"/>
            <w:r w:rsidRPr="00407EDB">
              <w:rPr>
                <w:sz w:val="24"/>
                <w:szCs w:val="24"/>
              </w:rPr>
              <w:t>anafylakse</w:t>
            </w:r>
            <w:proofErr w:type="spellEnd"/>
          </w:p>
        </w:tc>
      </w:tr>
      <w:tr w:rsidR="00A81B1D" w:rsidRPr="00407EDB" w14:paraId="091F0E0B"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31CC63D7" w14:textId="77777777" w:rsidR="00A81B1D" w:rsidRPr="00407EDB" w:rsidRDefault="00A81B1D">
            <w:pPr>
              <w:rPr>
                <w:b/>
                <w:sz w:val="24"/>
                <w:szCs w:val="24"/>
              </w:rPr>
            </w:pPr>
            <w:r w:rsidRPr="00407EDB">
              <w:rPr>
                <w:b/>
                <w:sz w:val="24"/>
                <w:szCs w:val="24"/>
              </w:rPr>
              <w:t>Psykiske forstyrrelser</w:t>
            </w:r>
          </w:p>
        </w:tc>
      </w:tr>
      <w:tr w:rsidR="00A81B1D" w:rsidRPr="00407EDB" w14:paraId="5A80C61D"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076A74CC"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1A0F5D73" w14:textId="77777777" w:rsidR="00A81B1D" w:rsidRPr="00407EDB" w:rsidRDefault="00A81B1D">
            <w:pPr>
              <w:rPr>
                <w:sz w:val="24"/>
                <w:szCs w:val="24"/>
              </w:rPr>
            </w:pPr>
            <w:r w:rsidRPr="00407EDB">
              <w:rPr>
                <w:sz w:val="24"/>
                <w:szCs w:val="24"/>
              </w:rPr>
              <w:t>Angst</w:t>
            </w:r>
          </w:p>
        </w:tc>
      </w:tr>
      <w:tr w:rsidR="00A81B1D" w:rsidRPr="00407EDB" w14:paraId="5B4EBAAE"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193D2F5D" w14:textId="77777777" w:rsidR="00A81B1D" w:rsidRPr="00407EDB" w:rsidRDefault="00A81B1D">
            <w:pPr>
              <w:rPr>
                <w:b/>
                <w:sz w:val="24"/>
                <w:szCs w:val="24"/>
              </w:rPr>
            </w:pPr>
            <w:r w:rsidRPr="00407EDB">
              <w:rPr>
                <w:b/>
                <w:sz w:val="24"/>
                <w:szCs w:val="24"/>
              </w:rPr>
              <w:t>Nervesystemet</w:t>
            </w:r>
          </w:p>
        </w:tc>
      </w:tr>
      <w:tr w:rsidR="00A81B1D" w:rsidRPr="00407EDB" w14:paraId="3CEA9EDF"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765C9261" w14:textId="77777777" w:rsidR="00A81B1D" w:rsidRPr="00407EDB" w:rsidRDefault="00A81B1D">
            <w:pPr>
              <w:rPr>
                <w:sz w:val="24"/>
                <w:szCs w:val="24"/>
              </w:rPr>
            </w:pPr>
            <w:r w:rsidRPr="00407EDB">
              <w:rPr>
                <w:sz w:val="24"/>
                <w:szCs w:val="24"/>
              </w:rPr>
              <w:t>Almindelige bivirkninger</w:t>
            </w:r>
          </w:p>
        </w:tc>
        <w:tc>
          <w:tcPr>
            <w:tcW w:w="2500" w:type="pct"/>
            <w:tcBorders>
              <w:top w:val="single" w:sz="4" w:space="0" w:color="auto"/>
              <w:left w:val="single" w:sz="4" w:space="0" w:color="auto"/>
              <w:bottom w:val="single" w:sz="4" w:space="0" w:color="auto"/>
              <w:right w:val="single" w:sz="4" w:space="0" w:color="auto"/>
            </w:tcBorders>
            <w:hideMark/>
          </w:tcPr>
          <w:p w14:paraId="58688607" w14:textId="77777777" w:rsidR="00A81B1D" w:rsidRPr="00407EDB" w:rsidRDefault="00A81B1D">
            <w:pPr>
              <w:rPr>
                <w:sz w:val="24"/>
                <w:szCs w:val="24"/>
              </w:rPr>
            </w:pPr>
            <w:r w:rsidRPr="00407EDB">
              <w:rPr>
                <w:sz w:val="24"/>
                <w:szCs w:val="24"/>
              </w:rPr>
              <w:t xml:space="preserve">Svimmelhed, døsighed, føleforstyrrelser, herunder </w:t>
            </w:r>
            <w:proofErr w:type="spellStart"/>
            <w:r w:rsidRPr="00407EDB">
              <w:rPr>
                <w:sz w:val="24"/>
                <w:szCs w:val="24"/>
              </w:rPr>
              <w:t>paræstesi</w:t>
            </w:r>
            <w:proofErr w:type="spellEnd"/>
            <w:r w:rsidRPr="00407EDB">
              <w:rPr>
                <w:sz w:val="24"/>
                <w:szCs w:val="24"/>
              </w:rPr>
              <w:t xml:space="preserve"> og </w:t>
            </w:r>
            <w:proofErr w:type="spellStart"/>
            <w:r w:rsidRPr="00407EDB">
              <w:rPr>
                <w:sz w:val="24"/>
                <w:szCs w:val="24"/>
              </w:rPr>
              <w:t>hypoæstesi</w:t>
            </w:r>
            <w:proofErr w:type="spellEnd"/>
          </w:p>
        </w:tc>
      </w:tr>
      <w:tr w:rsidR="00A81B1D" w:rsidRPr="00407EDB" w14:paraId="4AC0A85D"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0FDDB32C"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472F5083" w14:textId="77777777" w:rsidR="00A81B1D" w:rsidRPr="00407EDB" w:rsidRDefault="00A81B1D">
            <w:pPr>
              <w:rPr>
                <w:bCs/>
                <w:sz w:val="24"/>
                <w:szCs w:val="24"/>
              </w:rPr>
            </w:pPr>
            <w:r w:rsidRPr="00407EDB">
              <w:rPr>
                <w:sz w:val="24"/>
                <w:szCs w:val="24"/>
              </w:rPr>
              <w:t>Krampeanfald (der er set krampeanfald hos patienter med krampeanfald i anamnesen og hos patienter med samtidige lidelser, der prædisponerer for krampeanfald, men der er også rapporteret om krampeanfald hos patienter uden åbenlyse prædisponerende faktorer)</w:t>
            </w:r>
          </w:p>
          <w:p w14:paraId="7D308DE6" w14:textId="77777777" w:rsidR="00A81B1D" w:rsidRPr="00407EDB" w:rsidRDefault="00A81B1D">
            <w:pPr>
              <w:rPr>
                <w:bCs/>
                <w:sz w:val="24"/>
                <w:szCs w:val="24"/>
              </w:rPr>
            </w:pPr>
            <w:r w:rsidRPr="00407EDB">
              <w:rPr>
                <w:sz w:val="24"/>
                <w:szCs w:val="24"/>
              </w:rPr>
              <w:t xml:space="preserve">Rysten, </w:t>
            </w:r>
            <w:proofErr w:type="spellStart"/>
            <w:r w:rsidRPr="00407EDB">
              <w:rPr>
                <w:sz w:val="24"/>
                <w:szCs w:val="24"/>
              </w:rPr>
              <w:t>dystoni</w:t>
            </w:r>
            <w:proofErr w:type="spellEnd"/>
            <w:r w:rsidRPr="00407EDB">
              <w:rPr>
                <w:sz w:val="24"/>
                <w:szCs w:val="24"/>
              </w:rPr>
              <w:t xml:space="preserve">, nystagmus, </w:t>
            </w:r>
            <w:proofErr w:type="spellStart"/>
            <w:r w:rsidRPr="00407EDB">
              <w:rPr>
                <w:sz w:val="24"/>
                <w:szCs w:val="24"/>
              </w:rPr>
              <w:t>skotom</w:t>
            </w:r>
            <w:proofErr w:type="spellEnd"/>
          </w:p>
        </w:tc>
      </w:tr>
      <w:tr w:rsidR="00A81B1D" w:rsidRPr="00407EDB" w14:paraId="35911B50"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5C07E2B5" w14:textId="77777777" w:rsidR="00A81B1D" w:rsidRPr="00407EDB" w:rsidRDefault="00A81B1D">
            <w:pPr>
              <w:rPr>
                <w:b/>
                <w:bCs/>
                <w:sz w:val="24"/>
                <w:szCs w:val="24"/>
              </w:rPr>
            </w:pPr>
            <w:r w:rsidRPr="00407EDB">
              <w:rPr>
                <w:b/>
                <w:sz w:val="24"/>
                <w:szCs w:val="24"/>
              </w:rPr>
              <w:t>Øjne</w:t>
            </w:r>
          </w:p>
        </w:tc>
      </w:tr>
      <w:tr w:rsidR="00A81B1D" w:rsidRPr="00407EDB" w14:paraId="534DA274"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1AD19293"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74F0C1F4" w14:textId="77777777" w:rsidR="00A81B1D" w:rsidRPr="00407EDB" w:rsidRDefault="00A81B1D">
            <w:pPr>
              <w:rPr>
                <w:bCs/>
                <w:sz w:val="24"/>
                <w:szCs w:val="24"/>
              </w:rPr>
            </w:pPr>
            <w:r w:rsidRPr="00407EDB">
              <w:rPr>
                <w:sz w:val="24"/>
                <w:szCs w:val="24"/>
              </w:rPr>
              <w:t>Flimren, dobbeltsyn, reduceret syn. Synstab, herunder rapporter om permanente defekter. Synsforstyrrelser kan dog også forekomme under et migræneanfald</w:t>
            </w:r>
          </w:p>
        </w:tc>
      </w:tr>
      <w:tr w:rsidR="00A81B1D" w:rsidRPr="00407EDB" w14:paraId="098683F6"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645E1CDF" w14:textId="77777777" w:rsidR="00A81B1D" w:rsidRPr="00407EDB" w:rsidRDefault="00A81B1D">
            <w:pPr>
              <w:rPr>
                <w:b/>
                <w:bCs/>
                <w:sz w:val="24"/>
                <w:szCs w:val="24"/>
              </w:rPr>
            </w:pPr>
            <w:r w:rsidRPr="00407EDB">
              <w:rPr>
                <w:b/>
                <w:sz w:val="24"/>
                <w:szCs w:val="24"/>
              </w:rPr>
              <w:t>Hjerte</w:t>
            </w:r>
          </w:p>
        </w:tc>
      </w:tr>
      <w:tr w:rsidR="00A81B1D" w:rsidRPr="00407EDB" w14:paraId="12A9A391"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08812BE5"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5E7D9428" w14:textId="77777777" w:rsidR="00A81B1D" w:rsidRPr="00407EDB" w:rsidRDefault="00A81B1D">
            <w:pPr>
              <w:rPr>
                <w:bCs/>
                <w:sz w:val="24"/>
                <w:szCs w:val="24"/>
              </w:rPr>
            </w:pPr>
            <w:r w:rsidRPr="00407EDB">
              <w:rPr>
                <w:sz w:val="24"/>
                <w:szCs w:val="24"/>
              </w:rPr>
              <w:t xml:space="preserve">Bradykardi, </w:t>
            </w:r>
            <w:proofErr w:type="spellStart"/>
            <w:r w:rsidRPr="00407EDB">
              <w:rPr>
                <w:sz w:val="24"/>
                <w:szCs w:val="24"/>
              </w:rPr>
              <w:t>takykardi</w:t>
            </w:r>
            <w:proofErr w:type="spellEnd"/>
            <w:r w:rsidRPr="00407EDB">
              <w:rPr>
                <w:sz w:val="24"/>
                <w:szCs w:val="24"/>
              </w:rPr>
              <w:t xml:space="preserve">, hjertebanken, </w:t>
            </w:r>
            <w:proofErr w:type="spellStart"/>
            <w:r w:rsidRPr="00407EDB">
              <w:rPr>
                <w:sz w:val="24"/>
                <w:szCs w:val="24"/>
              </w:rPr>
              <w:t>arytmier</w:t>
            </w:r>
            <w:proofErr w:type="spellEnd"/>
            <w:r w:rsidRPr="00407EDB">
              <w:rPr>
                <w:sz w:val="24"/>
                <w:szCs w:val="24"/>
              </w:rPr>
              <w:t xml:space="preserve">, transitoriske iskæmiske ekg-forandringer, </w:t>
            </w:r>
            <w:proofErr w:type="spellStart"/>
            <w:r w:rsidRPr="00407EDB">
              <w:rPr>
                <w:sz w:val="24"/>
                <w:szCs w:val="24"/>
              </w:rPr>
              <w:t>koronar</w:t>
            </w:r>
            <w:proofErr w:type="spellEnd"/>
            <w:r w:rsidRPr="00407EDB">
              <w:rPr>
                <w:sz w:val="24"/>
                <w:szCs w:val="24"/>
              </w:rPr>
              <w:t xml:space="preserve"> </w:t>
            </w:r>
            <w:proofErr w:type="spellStart"/>
            <w:r w:rsidRPr="00407EDB">
              <w:rPr>
                <w:sz w:val="24"/>
                <w:szCs w:val="24"/>
              </w:rPr>
              <w:t>vasospasme</w:t>
            </w:r>
            <w:proofErr w:type="spellEnd"/>
            <w:r w:rsidRPr="00407EDB">
              <w:rPr>
                <w:sz w:val="24"/>
                <w:szCs w:val="24"/>
              </w:rPr>
              <w:t>, angina pectoris, myokardieinfarkt (se pkt. 4.3 og 4.4)</w:t>
            </w:r>
          </w:p>
        </w:tc>
      </w:tr>
      <w:tr w:rsidR="00A81B1D" w:rsidRPr="00407EDB" w14:paraId="15BB2BF8"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10F4ADC5" w14:textId="77777777" w:rsidR="00A81B1D" w:rsidRPr="00407EDB" w:rsidRDefault="00A81B1D">
            <w:pPr>
              <w:rPr>
                <w:b/>
                <w:bCs/>
                <w:sz w:val="24"/>
                <w:szCs w:val="24"/>
              </w:rPr>
            </w:pPr>
            <w:proofErr w:type="spellStart"/>
            <w:r w:rsidRPr="00407EDB">
              <w:rPr>
                <w:b/>
                <w:sz w:val="24"/>
                <w:szCs w:val="24"/>
              </w:rPr>
              <w:t>Vaskulære</w:t>
            </w:r>
            <w:proofErr w:type="spellEnd"/>
            <w:r w:rsidRPr="00407EDB">
              <w:rPr>
                <w:b/>
                <w:sz w:val="24"/>
                <w:szCs w:val="24"/>
              </w:rPr>
              <w:t xml:space="preserve"> sygdomme</w:t>
            </w:r>
          </w:p>
        </w:tc>
      </w:tr>
      <w:tr w:rsidR="00A81B1D" w:rsidRPr="00407EDB" w14:paraId="412293F9"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489294EC" w14:textId="77777777" w:rsidR="00A81B1D" w:rsidRPr="00407EDB" w:rsidRDefault="00A81B1D">
            <w:pPr>
              <w:rPr>
                <w:sz w:val="24"/>
                <w:szCs w:val="24"/>
              </w:rPr>
            </w:pPr>
            <w:r w:rsidRPr="00407EDB">
              <w:rPr>
                <w:sz w:val="24"/>
                <w:szCs w:val="24"/>
              </w:rPr>
              <w:t>Almindelige bivirkninger</w:t>
            </w:r>
          </w:p>
        </w:tc>
        <w:tc>
          <w:tcPr>
            <w:tcW w:w="2500" w:type="pct"/>
            <w:tcBorders>
              <w:top w:val="single" w:sz="4" w:space="0" w:color="auto"/>
              <w:left w:val="single" w:sz="4" w:space="0" w:color="auto"/>
              <w:bottom w:val="single" w:sz="4" w:space="0" w:color="auto"/>
              <w:right w:val="single" w:sz="4" w:space="0" w:color="auto"/>
            </w:tcBorders>
            <w:hideMark/>
          </w:tcPr>
          <w:p w14:paraId="3A67F4AE" w14:textId="77777777" w:rsidR="00A81B1D" w:rsidRPr="00407EDB" w:rsidRDefault="00A81B1D">
            <w:pPr>
              <w:rPr>
                <w:bCs/>
                <w:sz w:val="24"/>
                <w:szCs w:val="24"/>
              </w:rPr>
            </w:pPr>
            <w:r w:rsidRPr="00407EDB">
              <w:rPr>
                <w:sz w:val="24"/>
                <w:szCs w:val="24"/>
              </w:rPr>
              <w:t>Forbigående stigninger i blodtryk kort tid efter administration, hedeture</w:t>
            </w:r>
          </w:p>
        </w:tc>
      </w:tr>
      <w:tr w:rsidR="00A81B1D" w:rsidRPr="00407EDB" w14:paraId="478370C3"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66938C59"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457C2AD1" w14:textId="29449BC9" w:rsidR="00A81B1D" w:rsidRPr="00407EDB" w:rsidRDefault="00A81B1D">
            <w:pPr>
              <w:rPr>
                <w:bCs/>
                <w:sz w:val="24"/>
                <w:szCs w:val="24"/>
              </w:rPr>
            </w:pPr>
            <w:r w:rsidRPr="00407EDB">
              <w:rPr>
                <w:sz w:val="24"/>
                <w:szCs w:val="24"/>
              </w:rPr>
              <w:t>Hypotension</w:t>
            </w:r>
            <w:r w:rsidR="00407EDB">
              <w:rPr>
                <w:sz w:val="24"/>
                <w:szCs w:val="24"/>
              </w:rPr>
              <w:t>,</w:t>
            </w:r>
            <w:r w:rsidRPr="00407EDB">
              <w:rPr>
                <w:sz w:val="24"/>
                <w:szCs w:val="24"/>
              </w:rPr>
              <w:t xml:space="preserve"> </w:t>
            </w:r>
            <w:proofErr w:type="spellStart"/>
            <w:r w:rsidRPr="00407EDB">
              <w:rPr>
                <w:sz w:val="24"/>
                <w:szCs w:val="24"/>
              </w:rPr>
              <w:t>Raynauds</w:t>
            </w:r>
            <w:proofErr w:type="spellEnd"/>
            <w:r w:rsidRPr="00407EDB">
              <w:rPr>
                <w:sz w:val="24"/>
                <w:szCs w:val="24"/>
              </w:rPr>
              <w:t xml:space="preserve"> syndrom</w:t>
            </w:r>
          </w:p>
        </w:tc>
      </w:tr>
      <w:tr w:rsidR="00A81B1D" w:rsidRPr="00407EDB" w14:paraId="784BFB63"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1889C4B4" w14:textId="77777777" w:rsidR="00A81B1D" w:rsidRPr="00407EDB" w:rsidRDefault="00A81B1D">
            <w:pPr>
              <w:rPr>
                <w:bCs/>
                <w:sz w:val="24"/>
                <w:szCs w:val="24"/>
              </w:rPr>
            </w:pPr>
            <w:r w:rsidRPr="00407EDB">
              <w:rPr>
                <w:b/>
                <w:sz w:val="24"/>
                <w:szCs w:val="24"/>
              </w:rPr>
              <w:t xml:space="preserve">Luftveje, thorax og </w:t>
            </w:r>
            <w:proofErr w:type="spellStart"/>
            <w:r w:rsidRPr="00407EDB">
              <w:rPr>
                <w:b/>
                <w:sz w:val="24"/>
                <w:szCs w:val="24"/>
              </w:rPr>
              <w:t>mediastinum</w:t>
            </w:r>
            <w:proofErr w:type="spellEnd"/>
          </w:p>
        </w:tc>
      </w:tr>
      <w:tr w:rsidR="00A81B1D" w:rsidRPr="00407EDB" w14:paraId="45D6F7B7"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15F8088B" w14:textId="77777777" w:rsidR="00A81B1D" w:rsidRPr="00407EDB" w:rsidRDefault="00A81B1D">
            <w:pPr>
              <w:rPr>
                <w:sz w:val="24"/>
                <w:szCs w:val="24"/>
              </w:rPr>
            </w:pPr>
            <w:r w:rsidRPr="00407EDB">
              <w:rPr>
                <w:sz w:val="24"/>
                <w:szCs w:val="24"/>
              </w:rPr>
              <w:t>Almindelige bivirkninger</w:t>
            </w:r>
          </w:p>
        </w:tc>
        <w:tc>
          <w:tcPr>
            <w:tcW w:w="2500" w:type="pct"/>
            <w:tcBorders>
              <w:top w:val="single" w:sz="4" w:space="0" w:color="auto"/>
              <w:left w:val="single" w:sz="4" w:space="0" w:color="auto"/>
              <w:bottom w:val="single" w:sz="4" w:space="0" w:color="auto"/>
              <w:right w:val="single" w:sz="4" w:space="0" w:color="auto"/>
            </w:tcBorders>
            <w:hideMark/>
          </w:tcPr>
          <w:p w14:paraId="676C6E79" w14:textId="77777777" w:rsidR="00A81B1D" w:rsidRPr="00407EDB" w:rsidRDefault="00A81B1D">
            <w:pPr>
              <w:rPr>
                <w:bCs/>
                <w:sz w:val="24"/>
                <w:szCs w:val="24"/>
              </w:rPr>
            </w:pPr>
            <w:r w:rsidRPr="00407EDB">
              <w:rPr>
                <w:sz w:val="24"/>
                <w:szCs w:val="24"/>
              </w:rPr>
              <w:t>Dyspnø</w:t>
            </w:r>
          </w:p>
        </w:tc>
      </w:tr>
      <w:tr w:rsidR="00A81B1D" w:rsidRPr="00407EDB" w14:paraId="470AAF68"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62EA0690" w14:textId="77777777" w:rsidR="00A81B1D" w:rsidRPr="00407EDB" w:rsidRDefault="00A81B1D">
            <w:pPr>
              <w:rPr>
                <w:bCs/>
                <w:sz w:val="24"/>
                <w:szCs w:val="24"/>
              </w:rPr>
            </w:pPr>
            <w:r w:rsidRPr="00407EDB">
              <w:rPr>
                <w:b/>
                <w:sz w:val="24"/>
                <w:szCs w:val="24"/>
              </w:rPr>
              <w:t>Mave-tarm-kanalen</w:t>
            </w:r>
          </w:p>
        </w:tc>
      </w:tr>
      <w:tr w:rsidR="00A81B1D" w:rsidRPr="00407EDB" w14:paraId="5B22449F"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7FF81499" w14:textId="77777777" w:rsidR="00A81B1D" w:rsidRPr="00407EDB" w:rsidRDefault="00A81B1D">
            <w:pPr>
              <w:rPr>
                <w:sz w:val="24"/>
                <w:szCs w:val="24"/>
              </w:rPr>
            </w:pPr>
            <w:r w:rsidRPr="00407EDB">
              <w:rPr>
                <w:sz w:val="24"/>
                <w:szCs w:val="24"/>
              </w:rPr>
              <w:t>Almindelige bivirkninger</w:t>
            </w:r>
          </w:p>
        </w:tc>
        <w:tc>
          <w:tcPr>
            <w:tcW w:w="2500" w:type="pct"/>
            <w:tcBorders>
              <w:top w:val="single" w:sz="4" w:space="0" w:color="auto"/>
              <w:left w:val="single" w:sz="4" w:space="0" w:color="auto"/>
              <w:bottom w:val="single" w:sz="4" w:space="0" w:color="auto"/>
              <w:right w:val="single" w:sz="4" w:space="0" w:color="auto"/>
            </w:tcBorders>
            <w:hideMark/>
          </w:tcPr>
          <w:p w14:paraId="6B3B4065" w14:textId="77777777" w:rsidR="00A81B1D" w:rsidRPr="00407EDB" w:rsidRDefault="00A81B1D">
            <w:pPr>
              <w:rPr>
                <w:bCs/>
                <w:sz w:val="24"/>
                <w:szCs w:val="24"/>
              </w:rPr>
            </w:pPr>
            <w:r w:rsidRPr="00407EDB">
              <w:rPr>
                <w:sz w:val="24"/>
                <w:szCs w:val="24"/>
              </w:rPr>
              <w:t xml:space="preserve">Kvalme og opkastning er set hos nogle patienter, men det er uklart, om det er relateret til </w:t>
            </w:r>
            <w:proofErr w:type="spellStart"/>
            <w:r w:rsidRPr="00407EDB">
              <w:rPr>
                <w:sz w:val="24"/>
                <w:szCs w:val="24"/>
              </w:rPr>
              <w:t>sumatriptan</w:t>
            </w:r>
            <w:proofErr w:type="spellEnd"/>
            <w:r w:rsidRPr="00407EDB">
              <w:rPr>
                <w:sz w:val="24"/>
                <w:szCs w:val="24"/>
              </w:rPr>
              <w:t xml:space="preserve"> eller den underliggende lidelse</w:t>
            </w:r>
          </w:p>
        </w:tc>
      </w:tr>
      <w:tr w:rsidR="00A81B1D" w:rsidRPr="00407EDB" w14:paraId="31C99DC9"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4CAF712F"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019607B9" w14:textId="77777777" w:rsidR="00A81B1D" w:rsidRPr="00407EDB" w:rsidRDefault="00A81B1D">
            <w:pPr>
              <w:rPr>
                <w:bCs/>
                <w:sz w:val="24"/>
                <w:szCs w:val="24"/>
              </w:rPr>
            </w:pPr>
            <w:r w:rsidRPr="00407EDB">
              <w:rPr>
                <w:sz w:val="24"/>
                <w:szCs w:val="24"/>
              </w:rPr>
              <w:t>Iskæmisk colitis, diarré</w:t>
            </w:r>
          </w:p>
          <w:p w14:paraId="73B2EA0B" w14:textId="77777777" w:rsidR="00A81B1D" w:rsidRPr="00407EDB" w:rsidRDefault="00A81B1D">
            <w:pPr>
              <w:rPr>
                <w:bCs/>
                <w:sz w:val="24"/>
                <w:szCs w:val="24"/>
              </w:rPr>
            </w:pPr>
            <w:proofErr w:type="spellStart"/>
            <w:r w:rsidRPr="00407EDB">
              <w:rPr>
                <w:sz w:val="24"/>
                <w:szCs w:val="24"/>
              </w:rPr>
              <w:t>Dysfagi</w:t>
            </w:r>
            <w:proofErr w:type="spellEnd"/>
          </w:p>
        </w:tc>
      </w:tr>
      <w:tr w:rsidR="00A81B1D" w:rsidRPr="00407EDB" w14:paraId="6CE37132"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1EB6FBB7" w14:textId="77777777" w:rsidR="00A81B1D" w:rsidRPr="00407EDB" w:rsidRDefault="00A81B1D">
            <w:pPr>
              <w:rPr>
                <w:bCs/>
                <w:sz w:val="24"/>
                <w:szCs w:val="24"/>
              </w:rPr>
            </w:pPr>
            <w:r w:rsidRPr="00407EDB">
              <w:rPr>
                <w:b/>
                <w:sz w:val="24"/>
                <w:szCs w:val="24"/>
              </w:rPr>
              <w:t>Hud og subkutane væv</w:t>
            </w:r>
          </w:p>
        </w:tc>
      </w:tr>
      <w:tr w:rsidR="00A81B1D" w:rsidRPr="00407EDB" w14:paraId="7F7A3AFE"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6C7A8392"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33167459" w14:textId="77777777" w:rsidR="00A81B1D" w:rsidRPr="00407EDB" w:rsidRDefault="00A81B1D">
            <w:pPr>
              <w:rPr>
                <w:bCs/>
                <w:sz w:val="24"/>
                <w:szCs w:val="24"/>
              </w:rPr>
            </w:pPr>
            <w:proofErr w:type="spellStart"/>
            <w:r w:rsidRPr="00407EDB">
              <w:rPr>
                <w:sz w:val="24"/>
                <w:szCs w:val="24"/>
              </w:rPr>
              <w:t>Hyperhidrose</w:t>
            </w:r>
            <w:proofErr w:type="spellEnd"/>
          </w:p>
        </w:tc>
      </w:tr>
      <w:tr w:rsidR="00A81B1D" w:rsidRPr="00407EDB" w14:paraId="296E244F"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0F36191D" w14:textId="77777777" w:rsidR="00A81B1D" w:rsidRPr="00407EDB" w:rsidRDefault="00A81B1D">
            <w:pPr>
              <w:rPr>
                <w:bCs/>
                <w:sz w:val="24"/>
                <w:szCs w:val="24"/>
              </w:rPr>
            </w:pPr>
            <w:r w:rsidRPr="00407EDB">
              <w:rPr>
                <w:b/>
                <w:sz w:val="24"/>
                <w:szCs w:val="24"/>
              </w:rPr>
              <w:t xml:space="preserve">Knogler, led, muskler og bindevæv </w:t>
            </w:r>
          </w:p>
        </w:tc>
      </w:tr>
      <w:tr w:rsidR="00A81B1D" w:rsidRPr="00407EDB" w14:paraId="19B50196"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0173BC13" w14:textId="77777777" w:rsidR="00A81B1D" w:rsidRPr="00407EDB" w:rsidRDefault="00A81B1D">
            <w:pPr>
              <w:rPr>
                <w:sz w:val="24"/>
                <w:szCs w:val="24"/>
              </w:rPr>
            </w:pPr>
            <w:r w:rsidRPr="00407EDB">
              <w:rPr>
                <w:sz w:val="24"/>
                <w:szCs w:val="24"/>
              </w:rPr>
              <w:t>Almindelige bivirkninger</w:t>
            </w:r>
          </w:p>
        </w:tc>
        <w:tc>
          <w:tcPr>
            <w:tcW w:w="2500" w:type="pct"/>
            <w:tcBorders>
              <w:top w:val="single" w:sz="4" w:space="0" w:color="auto"/>
              <w:left w:val="single" w:sz="4" w:space="0" w:color="auto"/>
              <w:bottom w:val="single" w:sz="4" w:space="0" w:color="auto"/>
              <w:right w:val="single" w:sz="4" w:space="0" w:color="auto"/>
            </w:tcBorders>
            <w:hideMark/>
          </w:tcPr>
          <w:p w14:paraId="5002E26B" w14:textId="77777777" w:rsidR="00A81B1D" w:rsidRPr="00407EDB" w:rsidRDefault="00A81B1D">
            <w:pPr>
              <w:rPr>
                <w:bCs/>
                <w:sz w:val="24"/>
                <w:szCs w:val="24"/>
              </w:rPr>
            </w:pPr>
            <w:r w:rsidRPr="00407EDB">
              <w:rPr>
                <w:sz w:val="24"/>
                <w:szCs w:val="24"/>
              </w:rPr>
              <w:t>Tunghedsfornemmelse (som regel forbigående; kan være intens og påvirke alle dele af kroppen, herunder brystkassen og svælget) Myalgi</w:t>
            </w:r>
          </w:p>
        </w:tc>
      </w:tr>
      <w:tr w:rsidR="00A81B1D" w:rsidRPr="00407EDB" w14:paraId="4C9C019B"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500A86D9"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3EE404E1" w14:textId="77777777" w:rsidR="00A81B1D" w:rsidRPr="00407EDB" w:rsidRDefault="00A81B1D">
            <w:pPr>
              <w:rPr>
                <w:bCs/>
                <w:sz w:val="24"/>
                <w:szCs w:val="24"/>
              </w:rPr>
            </w:pPr>
            <w:r w:rsidRPr="00407EDB">
              <w:rPr>
                <w:sz w:val="24"/>
                <w:szCs w:val="24"/>
              </w:rPr>
              <w:t>Nakkestivhed, ledsmerter</w:t>
            </w:r>
          </w:p>
        </w:tc>
      </w:tr>
      <w:tr w:rsidR="00A81B1D" w:rsidRPr="00407EDB" w14:paraId="654B45DF"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17F6774B" w14:textId="77777777" w:rsidR="00A81B1D" w:rsidRPr="00407EDB" w:rsidRDefault="00A81B1D">
            <w:pPr>
              <w:rPr>
                <w:bCs/>
                <w:sz w:val="24"/>
                <w:szCs w:val="24"/>
              </w:rPr>
            </w:pPr>
            <w:r w:rsidRPr="00407EDB">
              <w:rPr>
                <w:b/>
                <w:sz w:val="24"/>
                <w:szCs w:val="24"/>
              </w:rPr>
              <w:t>Almene symptomer og reaktioner på administrationsstedet</w:t>
            </w:r>
          </w:p>
        </w:tc>
      </w:tr>
      <w:tr w:rsidR="00A81B1D" w:rsidRPr="00407EDB" w14:paraId="3F51F4FB"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13C45CBF" w14:textId="77777777" w:rsidR="00A81B1D" w:rsidRPr="00407EDB" w:rsidRDefault="00A81B1D">
            <w:pPr>
              <w:rPr>
                <w:sz w:val="24"/>
                <w:szCs w:val="24"/>
              </w:rPr>
            </w:pPr>
            <w:r w:rsidRPr="00407EDB">
              <w:rPr>
                <w:sz w:val="24"/>
                <w:szCs w:val="24"/>
              </w:rPr>
              <w:t>Meget almindelige bivirkninger</w:t>
            </w:r>
          </w:p>
        </w:tc>
        <w:tc>
          <w:tcPr>
            <w:tcW w:w="2500" w:type="pct"/>
            <w:tcBorders>
              <w:top w:val="single" w:sz="4" w:space="0" w:color="auto"/>
              <w:left w:val="single" w:sz="4" w:space="0" w:color="auto"/>
              <w:bottom w:val="single" w:sz="4" w:space="0" w:color="auto"/>
              <w:right w:val="single" w:sz="4" w:space="0" w:color="auto"/>
            </w:tcBorders>
            <w:hideMark/>
          </w:tcPr>
          <w:p w14:paraId="6F26D1F7" w14:textId="77777777" w:rsidR="00A81B1D" w:rsidRPr="00407EDB" w:rsidRDefault="00A81B1D">
            <w:pPr>
              <w:rPr>
                <w:bCs/>
                <w:sz w:val="24"/>
                <w:szCs w:val="24"/>
              </w:rPr>
            </w:pPr>
            <w:r w:rsidRPr="00407EDB">
              <w:rPr>
                <w:sz w:val="24"/>
                <w:szCs w:val="24"/>
              </w:rPr>
              <w:t xml:space="preserve">Forbigående smerter ved injektionsstedet. Der er også rapporteret om brændende og stikkende </w:t>
            </w:r>
            <w:r w:rsidRPr="00407EDB">
              <w:rPr>
                <w:sz w:val="24"/>
                <w:szCs w:val="24"/>
              </w:rPr>
              <w:lastRenderedPageBreak/>
              <w:t xml:space="preserve">fornemmelse, hævelse, </w:t>
            </w:r>
            <w:proofErr w:type="spellStart"/>
            <w:r w:rsidRPr="00407EDB">
              <w:rPr>
                <w:sz w:val="24"/>
                <w:szCs w:val="24"/>
              </w:rPr>
              <w:t>erytem</w:t>
            </w:r>
            <w:proofErr w:type="spellEnd"/>
            <w:r w:rsidRPr="00407EDB">
              <w:rPr>
                <w:sz w:val="24"/>
                <w:szCs w:val="24"/>
              </w:rPr>
              <w:t>, blå mærker og blødning ved injektionsstedet</w:t>
            </w:r>
          </w:p>
        </w:tc>
      </w:tr>
      <w:tr w:rsidR="00A81B1D" w:rsidRPr="00407EDB" w14:paraId="30C3E8F3"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46300B96" w14:textId="77777777" w:rsidR="00A81B1D" w:rsidRPr="00407EDB" w:rsidRDefault="00A81B1D">
            <w:pPr>
              <w:rPr>
                <w:sz w:val="24"/>
                <w:szCs w:val="24"/>
              </w:rPr>
            </w:pPr>
            <w:r w:rsidRPr="00407EDB">
              <w:rPr>
                <w:sz w:val="24"/>
                <w:szCs w:val="24"/>
              </w:rPr>
              <w:lastRenderedPageBreak/>
              <w:t>Almindelige bivirkninger</w:t>
            </w:r>
          </w:p>
        </w:tc>
        <w:tc>
          <w:tcPr>
            <w:tcW w:w="2500" w:type="pct"/>
            <w:tcBorders>
              <w:top w:val="single" w:sz="4" w:space="0" w:color="auto"/>
              <w:left w:val="single" w:sz="4" w:space="0" w:color="auto"/>
              <w:bottom w:val="single" w:sz="4" w:space="0" w:color="auto"/>
              <w:right w:val="single" w:sz="4" w:space="0" w:color="auto"/>
            </w:tcBorders>
            <w:hideMark/>
          </w:tcPr>
          <w:p w14:paraId="3C39617E" w14:textId="77777777" w:rsidR="00A81B1D" w:rsidRPr="00407EDB" w:rsidRDefault="00A81B1D">
            <w:pPr>
              <w:rPr>
                <w:bCs/>
                <w:sz w:val="24"/>
                <w:szCs w:val="24"/>
              </w:rPr>
            </w:pPr>
            <w:r w:rsidRPr="00407EDB">
              <w:rPr>
                <w:sz w:val="24"/>
                <w:szCs w:val="24"/>
              </w:rPr>
              <w:t>Smerter, fornemmelse af varme eller kulde, trykkende fornemmelse (disse bivirkninger er som regel forbigående og kan være intense og påvirke alle dele af kroppen, herunder brystkassen og svælget)</w:t>
            </w:r>
          </w:p>
          <w:p w14:paraId="005DFD1D" w14:textId="77777777" w:rsidR="00A81B1D" w:rsidRPr="00407EDB" w:rsidRDefault="00A81B1D">
            <w:pPr>
              <w:rPr>
                <w:bCs/>
                <w:sz w:val="24"/>
                <w:szCs w:val="24"/>
              </w:rPr>
            </w:pPr>
            <w:r w:rsidRPr="00407EDB">
              <w:rPr>
                <w:sz w:val="24"/>
                <w:szCs w:val="24"/>
              </w:rPr>
              <w:t>Følelse af svaghed eller træthed (som oftest mild til moderat og forbigående)</w:t>
            </w:r>
          </w:p>
        </w:tc>
      </w:tr>
      <w:tr w:rsidR="00A81B1D" w:rsidRPr="00407EDB" w14:paraId="3B6B83BF"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66CC7A95" w14:textId="77777777" w:rsidR="00A81B1D" w:rsidRPr="00407EDB" w:rsidRDefault="00A81B1D">
            <w:pPr>
              <w:rPr>
                <w:sz w:val="24"/>
                <w:szCs w:val="24"/>
              </w:rPr>
            </w:pPr>
            <w:r w:rsidRPr="00407EDB">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14:paraId="660DD32E" w14:textId="0A15150F" w:rsidR="00A81B1D" w:rsidRPr="00407EDB" w:rsidRDefault="00A81B1D" w:rsidP="00407EDB">
            <w:pPr>
              <w:rPr>
                <w:bCs/>
                <w:sz w:val="24"/>
                <w:szCs w:val="24"/>
              </w:rPr>
            </w:pPr>
            <w:r w:rsidRPr="00407EDB">
              <w:rPr>
                <w:sz w:val="24"/>
                <w:szCs w:val="24"/>
              </w:rPr>
              <w:t>Aktiveret smertetraume, aktiveret inflammationssmerte</w:t>
            </w:r>
          </w:p>
        </w:tc>
      </w:tr>
      <w:tr w:rsidR="00A81B1D" w:rsidRPr="00407EDB" w14:paraId="66F5A111" w14:textId="77777777" w:rsidTr="00A81B1D">
        <w:tc>
          <w:tcPr>
            <w:tcW w:w="5000" w:type="pct"/>
            <w:gridSpan w:val="2"/>
            <w:tcBorders>
              <w:top w:val="single" w:sz="4" w:space="0" w:color="auto"/>
              <w:left w:val="single" w:sz="4" w:space="0" w:color="auto"/>
              <w:bottom w:val="single" w:sz="4" w:space="0" w:color="auto"/>
              <w:right w:val="single" w:sz="4" w:space="0" w:color="auto"/>
            </w:tcBorders>
            <w:hideMark/>
          </w:tcPr>
          <w:p w14:paraId="26AA0FC7" w14:textId="77777777" w:rsidR="00A81B1D" w:rsidRPr="00407EDB" w:rsidRDefault="00A81B1D">
            <w:pPr>
              <w:rPr>
                <w:bCs/>
                <w:sz w:val="24"/>
                <w:szCs w:val="24"/>
              </w:rPr>
            </w:pPr>
            <w:r w:rsidRPr="00407EDB">
              <w:rPr>
                <w:sz w:val="24"/>
                <w:szCs w:val="24"/>
              </w:rPr>
              <w:t xml:space="preserve">Selvom en direkte sammenligning ikke er mulig, kan hedeture, </w:t>
            </w:r>
            <w:proofErr w:type="spellStart"/>
            <w:r w:rsidRPr="00407EDB">
              <w:rPr>
                <w:sz w:val="24"/>
                <w:szCs w:val="24"/>
              </w:rPr>
              <w:t>paræstesi</w:t>
            </w:r>
            <w:proofErr w:type="spellEnd"/>
            <w:r w:rsidRPr="00407EDB">
              <w:rPr>
                <w:sz w:val="24"/>
                <w:szCs w:val="24"/>
              </w:rPr>
              <w:t xml:space="preserve"> og fornemmelse af varme, trykken og tunghed forekomme mere hyppigt efter injektion af </w:t>
            </w:r>
            <w:proofErr w:type="spellStart"/>
            <w:r w:rsidRPr="00407EDB">
              <w:rPr>
                <w:sz w:val="24"/>
                <w:szCs w:val="24"/>
              </w:rPr>
              <w:t>sumatriptan</w:t>
            </w:r>
            <w:proofErr w:type="spellEnd"/>
            <w:r w:rsidRPr="00407EDB">
              <w:rPr>
                <w:sz w:val="24"/>
                <w:szCs w:val="24"/>
              </w:rPr>
              <w:t>.</w:t>
            </w:r>
          </w:p>
          <w:p w14:paraId="652C1384" w14:textId="77777777" w:rsidR="00A81B1D" w:rsidRPr="00407EDB" w:rsidRDefault="00A81B1D">
            <w:pPr>
              <w:rPr>
                <w:bCs/>
                <w:sz w:val="24"/>
                <w:szCs w:val="24"/>
              </w:rPr>
            </w:pPr>
            <w:r w:rsidRPr="00407EDB">
              <w:rPr>
                <w:sz w:val="24"/>
                <w:szCs w:val="24"/>
              </w:rPr>
              <w:t xml:space="preserve">Omvendt synes kvalme, opkastning og træthed at forekomme mindre hyppigt ved subkutan administration af </w:t>
            </w:r>
            <w:proofErr w:type="spellStart"/>
            <w:r w:rsidRPr="00407EDB">
              <w:rPr>
                <w:sz w:val="24"/>
                <w:szCs w:val="24"/>
              </w:rPr>
              <w:t>sumatriptan</w:t>
            </w:r>
            <w:proofErr w:type="spellEnd"/>
            <w:r w:rsidRPr="00407EDB">
              <w:rPr>
                <w:sz w:val="24"/>
                <w:szCs w:val="24"/>
              </w:rPr>
              <w:t xml:space="preserve"> end ved indgivelse af tabletter.</w:t>
            </w:r>
          </w:p>
        </w:tc>
      </w:tr>
      <w:tr w:rsidR="00A81B1D" w:rsidRPr="00407EDB" w14:paraId="1BBE0157"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7830FB83" w14:textId="77777777" w:rsidR="00A81B1D" w:rsidRPr="00407EDB" w:rsidRDefault="00A81B1D">
            <w:pPr>
              <w:rPr>
                <w:sz w:val="24"/>
                <w:szCs w:val="24"/>
              </w:rPr>
            </w:pPr>
            <w:r w:rsidRPr="00407EDB">
              <w:rPr>
                <w:b/>
                <w:sz w:val="24"/>
                <w:szCs w:val="24"/>
              </w:rPr>
              <w:t>Undersøgelser</w:t>
            </w:r>
          </w:p>
        </w:tc>
        <w:tc>
          <w:tcPr>
            <w:tcW w:w="2500" w:type="pct"/>
            <w:tcBorders>
              <w:top w:val="single" w:sz="4" w:space="0" w:color="auto"/>
              <w:left w:val="single" w:sz="4" w:space="0" w:color="auto"/>
              <w:bottom w:val="single" w:sz="4" w:space="0" w:color="auto"/>
              <w:right w:val="single" w:sz="4" w:space="0" w:color="auto"/>
            </w:tcBorders>
          </w:tcPr>
          <w:p w14:paraId="0A2DD7D7" w14:textId="77777777" w:rsidR="00A81B1D" w:rsidRPr="00407EDB" w:rsidRDefault="00A81B1D">
            <w:pPr>
              <w:rPr>
                <w:bCs/>
                <w:sz w:val="24"/>
                <w:szCs w:val="24"/>
              </w:rPr>
            </w:pPr>
          </w:p>
        </w:tc>
      </w:tr>
      <w:tr w:rsidR="00A81B1D" w:rsidRPr="00407EDB" w14:paraId="57F8D651" w14:textId="77777777" w:rsidTr="00A81B1D">
        <w:tc>
          <w:tcPr>
            <w:tcW w:w="2500" w:type="pct"/>
            <w:tcBorders>
              <w:top w:val="single" w:sz="4" w:space="0" w:color="auto"/>
              <w:left w:val="single" w:sz="4" w:space="0" w:color="auto"/>
              <w:bottom w:val="single" w:sz="4" w:space="0" w:color="auto"/>
              <w:right w:val="single" w:sz="4" w:space="0" w:color="auto"/>
            </w:tcBorders>
            <w:hideMark/>
          </w:tcPr>
          <w:p w14:paraId="63461CDA" w14:textId="77777777" w:rsidR="00A81B1D" w:rsidRPr="00407EDB" w:rsidRDefault="00A81B1D">
            <w:pPr>
              <w:rPr>
                <w:sz w:val="24"/>
                <w:szCs w:val="24"/>
              </w:rPr>
            </w:pPr>
            <w:r w:rsidRPr="00407EDB">
              <w:rPr>
                <w:sz w:val="24"/>
                <w:szCs w:val="24"/>
              </w:rPr>
              <w:t>Meget sjældne bivirkninger</w:t>
            </w:r>
          </w:p>
        </w:tc>
        <w:tc>
          <w:tcPr>
            <w:tcW w:w="2500" w:type="pct"/>
            <w:tcBorders>
              <w:top w:val="single" w:sz="4" w:space="0" w:color="auto"/>
              <w:left w:val="single" w:sz="4" w:space="0" w:color="auto"/>
              <w:bottom w:val="single" w:sz="4" w:space="0" w:color="auto"/>
              <w:right w:val="single" w:sz="4" w:space="0" w:color="auto"/>
            </w:tcBorders>
            <w:hideMark/>
          </w:tcPr>
          <w:p w14:paraId="13CDC485" w14:textId="77777777" w:rsidR="00A81B1D" w:rsidRPr="00407EDB" w:rsidRDefault="00A81B1D">
            <w:pPr>
              <w:rPr>
                <w:bCs/>
                <w:sz w:val="24"/>
                <w:szCs w:val="24"/>
              </w:rPr>
            </w:pPr>
            <w:r w:rsidRPr="00407EDB">
              <w:rPr>
                <w:sz w:val="24"/>
                <w:szCs w:val="24"/>
              </w:rPr>
              <w:t>Der er indimellem observeret mindre forstyrrelser af leverfunktionen</w:t>
            </w:r>
          </w:p>
        </w:tc>
      </w:tr>
    </w:tbl>
    <w:p w14:paraId="0042BD84" w14:textId="77777777" w:rsidR="00A81B1D" w:rsidRPr="00407EDB" w:rsidRDefault="00A81B1D" w:rsidP="00A81B1D">
      <w:pPr>
        <w:ind w:left="851"/>
        <w:rPr>
          <w:sz w:val="24"/>
          <w:szCs w:val="24"/>
          <w:lang w:eastAsia="de-DE"/>
        </w:rPr>
      </w:pPr>
    </w:p>
    <w:p w14:paraId="1B6D2D7F" w14:textId="77777777" w:rsidR="00A81B1D" w:rsidRPr="00407EDB" w:rsidRDefault="00A81B1D" w:rsidP="00A81B1D">
      <w:pPr>
        <w:ind w:left="851"/>
        <w:rPr>
          <w:sz w:val="24"/>
          <w:szCs w:val="24"/>
          <w:u w:val="single"/>
        </w:rPr>
      </w:pPr>
      <w:r w:rsidRPr="00407EDB">
        <w:rPr>
          <w:sz w:val="24"/>
          <w:szCs w:val="24"/>
          <w:u w:val="single"/>
        </w:rPr>
        <w:t>Indberetning af formodede bivirkninger</w:t>
      </w:r>
    </w:p>
    <w:p w14:paraId="467731FC" w14:textId="0FF7D55F" w:rsidR="00A81B1D" w:rsidRPr="00407EDB" w:rsidRDefault="00A81B1D" w:rsidP="00A81B1D">
      <w:pPr>
        <w:ind w:left="851"/>
        <w:rPr>
          <w:sz w:val="24"/>
          <w:szCs w:val="24"/>
        </w:rPr>
      </w:pPr>
      <w:r w:rsidRPr="00407EDB">
        <w:rPr>
          <w:sz w:val="24"/>
          <w:szCs w:val="24"/>
        </w:rPr>
        <w:t>Når lægemidlet er godkendt, er indberetning af formodede bivirkninger vigtig. Det muliggør løbende overvågning af benefit/</w:t>
      </w:r>
      <w:proofErr w:type="spellStart"/>
      <w:r w:rsidRPr="00407EDB">
        <w:rPr>
          <w:sz w:val="24"/>
          <w:szCs w:val="24"/>
        </w:rPr>
        <w:t>risk</w:t>
      </w:r>
      <w:proofErr w:type="spellEnd"/>
      <w:r w:rsidRPr="00407EDB">
        <w:rPr>
          <w:sz w:val="24"/>
          <w:szCs w:val="24"/>
        </w:rPr>
        <w:t>-forholdet for lægemidlet. Sundhedspersoner anmodes om at indberette alle formodede bivirkninger via</w:t>
      </w:r>
      <w:r w:rsidR="00F61DD2">
        <w:rPr>
          <w:sz w:val="24"/>
          <w:szCs w:val="24"/>
        </w:rPr>
        <w:t>:</w:t>
      </w:r>
    </w:p>
    <w:p w14:paraId="0213FFF6" w14:textId="77777777" w:rsidR="00A81B1D" w:rsidRPr="00407EDB" w:rsidRDefault="00A81B1D" w:rsidP="00A81B1D">
      <w:pPr>
        <w:ind w:left="851"/>
        <w:rPr>
          <w:sz w:val="24"/>
          <w:szCs w:val="24"/>
        </w:rPr>
      </w:pPr>
    </w:p>
    <w:p w14:paraId="65C57865" w14:textId="77777777" w:rsidR="00A81B1D" w:rsidRPr="00407EDB" w:rsidRDefault="00A81B1D" w:rsidP="00A81B1D">
      <w:pPr>
        <w:ind w:left="851"/>
        <w:rPr>
          <w:rFonts w:eastAsia="Calibri"/>
          <w:color w:val="000000"/>
          <w:sz w:val="24"/>
          <w:szCs w:val="24"/>
          <w:lang w:eastAsia="zh-CN"/>
        </w:rPr>
      </w:pPr>
      <w:r w:rsidRPr="00407EDB">
        <w:rPr>
          <w:sz w:val="24"/>
          <w:szCs w:val="24"/>
        </w:rPr>
        <w:t>Lægemiddelstyrelsen</w:t>
      </w:r>
    </w:p>
    <w:p w14:paraId="63A8B173" w14:textId="77777777" w:rsidR="00A81B1D" w:rsidRPr="00407EDB" w:rsidRDefault="00A81B1D" w:rsidP="00A81B1D">
      <w:pPr>
        <w:ind w:left="851"/>
        <w:rPr>
          <w:rFonts w:eastAsia="Calibri"/>
          <w:noProof/>
          <w:sz w:val="24"/>
          <w:szCs w:val="24"/>
          <w:lang w:eastAsia="zh-CN"/>
        </w:rPr>
      </w:pPr>
      <w:r w:rsidRPr="00407EDB">
        <w:rPr>
          <w:rFonts w:eastAsia="Calibri"/>
          <w:sz w:val="24"/>
          <w:szCs w:val="24"/>
          <w:lang w:eastAsia="zh-CN"/>
        </w:rPr>
        <w:t>Axel Heides Gade 1</w:t>
      </w:r>
    </w:p>
    <w:p w14:paraId="59AC8528" w14:textId="77777777" w:rsidR="00A81B1D" w:rsidRPr="00407EDB" w:rsidRDefault="00A81B1D" w:rsidP="00A81B1D">
      <w:pPr>
        <w:ind w:left="851"/>
        <w:rPr>
          <w:rFonts w:eastAsia="Calibri"/>
          <w:noProof/>
          <w:sz w:val="24"/>
          <w:szCs w:val="24"/>
          <w:lang w:eastAsia="zh-CN"/>
        </w:rPr>
      </w:pPr>
      <w:r w:rsidRPr="00407EDB">
        <w:rPr>
          <w:rFonts w:eastAsia="Calibri"/>
          <w:noProof/>
          <w:sz w:val="24"/>
          <w:szCs w:val="24"/>
          <w:lang w:eastAsia="zh-CN"/>
        </w:rPr>
        <w:t xml:space="preserve">DK-2300 </w:t>
      </w:r>
      <w:r w:rsidRPr="00407EDB">
        <w:rPr>
          <w:rFonts w:eastAsia="Calibri"/>
          <w:sz w:val="24"/>
          <w:szCs w:val="24"/>
          <w:lang w:eastAsia="zh-CN"/>
        </w:rPr>
        <w:t>København S</w:t>
      </w:r>
    </w:p>
    <w:p w14:paraId="4A7D3D73" w14:textId="0E2DD959" w:rsidR="00A81B1D" w:rsidRPr="00407EDB" w:rsidRDefault="00A81B1D" w:rsidP="00A81B1D">
      <w:pPr>
        <w:ind w:left="851"/>
        <w:rPr>
          <w:sz w:val="24"/>
          <w:szCs w:val="24"/>
          <w:lang w:eastAsia="de-DE"/>
        </w:rPr>
      </w:pPr>
      <w:r w:rsidRPr="00407EDB">
        <w:rPr>
          <w:rFonts w:eastAsia="Calibri"/>
          <w:sz w:val="24"/>
          <w:szCs w:val="24"/>
          <w:lang w:eastAsia="zh-CN"/>
        </w:rPr>
        <w:t>Websted</w:t>
      </w:r>
      <w:r w:rsidRPr="00407EDB">
        <w:rPr>
          <w:rFonts w:eastAsia="Calibri"/>
          <w:noProof/>
          <w:sz w:val="24"/>
          <w:szCs w:val="24"/>
          <w:lang w:eastAsia="zh-CN"/>
        </w:rPr>
        <w:t xml:space="preserve">: </w:t>
      </w:r>
      <w:r w:rsidRPr="00F61DD2">
        <w:rPr>
          <w:rFonts w:eastAsia="Calibri"/>
          <w:noProof/>
          <w:sz w:val="24"/>
          <w:szCs w:val="24"/>
          <w:lang w:eastAsia="zh-CN"/>
        </w:rPr>
        <w:t>www.meldenbivirkning.dk</w:t>
      </w:r>
    </w:p>
    <w:p w14:paraId="5E55D3F0" w14:textId="77777777" w:rsidR="009260DE" w:rsidRPr="00407EDB" w:rsidRDefault="009260DE" w:rsidP="00A10294">
      <w:pPr>
        <w:tabs>
          <w:tab w:val="left" w:pos="851"/>
        </w:tabs>
        <w:ind w:left="851"/>
        <w:rPr>
          <w:sz w:val="24"/>
          <w:szCs w:val="24"/>
        </w:rPr>
      </w:pPr>
    </w:p>
    <w:p w14:paraId="1DB0842B" w14:textId="77777777" w:rsidR="009260DE" w:rsidRPr="00407EDB" w:rsidRDefault="009260DE" w:rsidP="009260DE">
      <w:pPr>
        <w:tabs>
          <w:tab w:val="left" w:pos="851"/>
        </w:tabs>
        <w:ind w:left="851" w:hanging="851"/>
        <w:rPr>
          <w:b/>
          <w:sz w:val="24"/>
          <w:szCs w:val="24"/>
        </w:rPr>
      </w:pPr>
      <w:r w:rsidRPr="00407EDB">
        <w:rPr>
          <w:b/>
          <w:sz w:val="24"/>
          <w:szCs w:val="24"/>
        </w:rPr>
        <w:t>4.9</w:t>
      </w:r>
      <w:r w:rsidRPr="00407EDB">
        <w:rPr>
          <w:b/>
          <w:sz w:val="24"/>
          <w:szCs w:val="24"/>
        </w:rPr>
        <w:tab/>
        <w:t>Overdosering</w:t>
      </w:r>
    </w:p>
    <w:p w14:paraId="69BBAE32" w14:textId="629FDF27" w:rsidR="00A81B1D" w:rsidRPr="00407EDB" w:rsidRDefault="00A81B1D" w:rsidP="00A81B1D">
      <w:pPr>
        <w:ind w:left="851"/>
        <w:rPr>
          <w:sz w:val="24"/>
          <w:szCs w:val="24"/>
        </w:rPr>
      </w:pPr>
      <w:r w:rsidRPr="00407EDB">
        <w:rPr>
          <w:sz w:val="24"/>
          <w:szCs w:val="24"/>
        </w:rPr>
        <w:t xml:space="preserve">Der er rapporteret om tilfælde af overdosering med </w:t>
      </w:r>
      <w:proofErr w:type="spellStart"/>
      <w:r w:rsidRPr="00407EDB">
        <w:rPr>
          <w:sz w:val="24"/>
          <w:szCs w:val="24"/>
        </w:rPr>
        <w:t>sumatriptan</w:t>
      </w:r>
      <w:proofErr w:type="spellEnd"/>
      <w:r w:rsidRPr="00407EDB">
        <w:rPr>
          <w:sz w:val="24"/>
          <w:szCs w:val="24"/>
        </w:rPr>
        <w:t>. Patienter har fået enkeltinjektioner på op til 12 mg subkutant uden væsentlige bivirkninger. Doser på over 16</w:t>
      </w:r>
      <w:r w:rsidR="007E48B3">
        <w:rPr>
          <w:sz w:val="24"/>
          <w:szCs w:val="24"/>
        </w:rPr>
        <w:t> </w:t>
      </w:r>
      <w:r w:rsidRPr="00407EDB">
        <w:rPr>
          <w:sz w:val="24"/>
          <w:szCs w:val="24"/>
        </w:rPr>
        <w:t>mg subkutant var ikke forbundet med bivirkninger ud over dem, der er nævnt i pkt. 4.8.</w:t>
      </w:r>
    </w:p>
    <w:p w14:paraId="6016AC7F" w14:textId="77777777" w:rsidR="00A81B1D" w:rsidRPr="00407EDB" w:rsidRDefault="00A81B1D" w:rsidP="00A81B1D">
      <w:pPr>
        <w:ind w:left="851"/>
        <w:rPr>
          <w:sz w:val="24"/>
          <w:szCs w:val="24"/>
        </w:rPr>
      </w:pPr>
    </w:p>
    <w:p w14:paraId="60E47966" w14:textId="7CCFA5F1" w:rsidR="00A81B1D" w:rsidRPr="00407EDB" w:rsidRDefault="00A81B1D" w:rsidP="00A81B1D">
      <w:pPr>
        <w:ind w:left="851"/>
        <w:rPr>
          <w:sz w:val="24"/>
          <w:szCs w:val="24"/>
        </w:rPr>
      </w:pPr>
      <w:r w:rsidRPr="00407EDB">
        <w:rPr>
          <w:sz w:val="24"/>
          <w:szCs w:val="24"/>
        </w:rPr>
        <w:t xml:space="preserve">Hvis overdosering med </w:t>
      </w:r>
      <w:proofErr w:type="spellStart"/>
      <w:r w:rsidR="00F61DD2">
        <w:rPr>
          <w:sz w:val="24"/>
          <w:szCs w:val="24"/>
        </w:rPr>
        <w:t>Sumatriptan</w:t>
      </w:r>
      <w:proofErr w:type="spellEnd"/>
      <w:r w:rsidR="00F61DD2">
        <w:rPr>
          <w:sz w:val="24"/>
          <w:szCs w:val="24"/>
        </w:rPr>
        <w:t xml:space="preserve"> "</w:t>
      </w:r>
      <w:proofErr w:type="spellStart"/>
      <w:r w:rsidR="00F61DD2">
        <w:rPr>
          <w:sz w:val="24"/>
          <w:szCs w:val="24"/>
        </w:rPr>
        <w:t>Advanz</w:t>
      </w:r>
      <w:proofErr w:type="spellEnd"/>
      <w:r w:rsidR="00F61DD2">
        <w:rPr>
          <w:sz w:val="24"/>
          <w:szCs w:val="24"/>
        </w:rPr>
        <w:t xml:space="preserve"> Pharma"</w:t>
      </w:r>
      <w:r w:rsidRPr="00407EDB">
        <w:rPr>
          <w:sz w:val="24"/>
          <w:szCs w:val="24"/>
        </w:rPr>
        <w:t xml:space="preserve"> forekommer, bør patienten overvåges i mindst 10 timer, og understøttende standardbehandling iværksættes om nødvendigt.</w:t>
      </w:r>
    </w:p>
    <w:p w14:paraId="38122229" w14:textId="77777777" w:rsidR="00A81B1D" w:rsidRPr="00407EDB" w:rsidRDefault="00A81B1D" w:rsidP="00A81B1D">
      <w:pPr>
        <w:ind w:left="851"/>
        <w:rPr>
          <w:sz w:val="24"/>
          <w:szCs w:val="24"/>
        </w:rPr>
      </w:pPr>
    </w:p>
    <w:p w14:paraId="2AB54C26" w14:textId="77777777" w:rsidR="00A81B1D" w:rsidRPr="00407EDB" w:rsidRDefault="00A81B1D" w:rsidP="00A81B1D">
      <w:pPr>
        <w:ind w:left="851"/>
        <w:rPr>
          <w:sz w:val="24"/>
          <w:szCs w:val="24"/>
        </w:rPr>
      </w:pPr>
      <w:r w:rsidRPr="00407EDB">
        <w:rPr>
          <w:sz w:val="24"/>
          <w:szCs w:val="24"/>
        </w:rPr>
        <w:t xml:space="preserve">Det vides ikke, hvilken effekt hæmodialyse eller </w:t>
      </w:r>
      <w:proofErr w:type="spellStart"/>
      <w:r w:rsidRPr="00407EDB">
        <w:rPr>
          <w:sz w:val="24"/>
          <w:szCs w:val="24"/>
        </w:rPr>
        <w:t>peritoneal</w:t>
      </w:r>
      <w:proofErr w:type="spellEnd"/>
      <w:r w:rsidRPr="00407EDB">
        <w:rPr>
          <w:sz w:val="24"/>
          <w:szCs w:val="24"/>
        </w:rPr>
        <w:t xml:space="preserve"> dialyse har på plasmakoncentrationen efter injektion af </w:t>
      </w:r>
      <w:proofErr w:type="spellStart"/>
      <w:r w:rsidRPr="00407EDB">
        <w:rPr>
          <w:sz w:val="24"/>
          <w:szCs w:val="24"/>
        </w:rPr>
        <w:t>sumatriptan</w:t>
      </w:r>
      <w:proofErr w:type="spellEnd"/>
      <w:r w:rsidRPr="00407EDB">
        <w:rPr>
          <w:sz w:val="24"/>
          <w:szCs w:val="24"/>
        </w:rPr>
        <w:t>.</w:t>
      </w:r>
    </w:p>
    <w:p w14:paraId="66C7F7A8" w14:textId="77777777" w:rsidR="009260DE" w:rsidRPr="00407EDB" w:rsidRDefault="009260DE" w:rsidP="009260DE">
      <w:pPr>
        <w:tabs>
          <w:tab w:val="left" w:pos="851"/>
        </w:tabs>
        <w:ind w:left="851"/>
        <w:rPr>
          <w:sz w:val="24"/>
          <w:szCs w:val="24"/>
        </w:rPr>
      </w:pPr>
    </w:p>
    <w:p w14:paraId="2074CC96" w14:textId="77777777" w:rsidR="009260DE" w:rsidRPr="00407EDB" w:rsidRDefault="009260DE" w:rsidP="009260DE">
      <w:pPr>
        <w:tabs>
          <w:tab w:val="left" w:pos="851"/>
        </w:tabs>
        <w:ind w:left="851" w:hanging="851"/>
        <w:rPr>
          <w:b/>
          <w:sz w:val="24"/>
          <w:szCs w:val="24"/>
        </w:rPr>
      </w:pPr>
      <w:r w:rsidRPr="00407EDB">
        <w:rPr>
          <w:b/>
          <w:sz w:val="24"/>
          <w:szCs w:val="24"/>
        </w:rPr>
        <w:t>4.10</w:t>
      </w:r>
      <w:r w:rsidRPr="00407EDB">
        <w:rPr>
          <w:b/>
          <w:sz w:val="24"/>
          <w:szCs w:val="24"/>
        </w:rPr>
        <w:tab/>
        <w:t>Udlevering</w:t>
      </w:r>
    </w:p>
    <w:p w14:paraId="3BD96731" w14:textId="783E28B6" w:rsidR="009260DE" w:rsidRPr="00407EDB" w:rsidRDefault="00A81B1D" w:rsidP="009260DE">
      <w:pPr>
        <w:tabs>
          <w:tab w:val="left" w:pos="851"/>
        </w:tabs>
        <w:ind w:left="851"/>
        <w:rPr>
          <w:sz w:val="24"/>
          <w:szCs w:val="24"/>
        </w:rPr>
      </w:pPr>
      <w:r w:rsidRPr="00407EDB">
        <w:rPr>
          <w:sz w:val="24"/>
          <w:szCs w:val="24"/>
        </w:rPr>
        <w:t>B</w:t>
      </w:r>
    </w:p>
    <w:p w14:paraId="1E588E55" w14:textId="77777777" w:rsidR="009260DE" w:rsidRPr="00407EDB" w:rsidRDefault="009260DE" w:rsidP="009260DE">
      <w:pPr>
        <w:tabs>
          <w:tab w:val="left" w:pos="851"/>
        </w:tabs>
        <w:ind w:left="851"/>
        <w:rPr>
          <w:sz w:val="24"/>
          <w:szCs w:val="24"/>
        </w:rPr>
      </w:pPr>
    </w:p>
    <w:p w14:paraId="465909F3" w14:textId="77777777" w:rsidR="009260DE" w:rsidRPr="00407EDB" w:rsidRDefault="009260DE" w:rsidP="009260DE">
      <w:pPr>
        <w:tabs>
          <w:tab w:val="left" w:pos="851"/>
        </w:tabs>
        <w:ind w:left="851"/>
        <w:rPr>
          <w:sz w:val="24"/>
          <w:szCs w:val="24"/>
        </w:rPr>
      </w:pPr>
    </w:p>
    <w:p w14:paraId="60DF9C85" w14:textId="77777777" w:rsidR="009260DE" w:rsidRPr="00407EDB" w:rsidRDefault="009260DE" w:rsidP="009260DE">
      <w:pPr>
        <w:tabs>
          <w:tab w:val="left" w:pos="851"/>
        </w:tabs>
        <w:ind w:left="851" w:hanging="851"/>
        <w:rPr>
          <w:b/>
          <w:sz w:val="24"/>
          <w:szCs w:val="24"/>
        </w:rPr>
      </w:pPr>
      <w:r w:rsidRPr="00407EDB">
        <w:rPr>
          <w:b/>
          <w:sz w:val="24"/>
          <w:szCs w:val="24"/>
        </w:rPr>
        <w:t>5.</w:t>
      </w:r>
      <w:r w:rsidRPr="00407EDB">
        <w:rPr>
          <w:b/>
          <w:sz w:val="24"/>
          <w:szCs w:val="24"/>
        </w:rPr>
        <w:tab/>
        <w:t>FARMAKOLOGISKE EGENSKABER</w:t>
      </w:r>
    </w:p>
    <w:p w14:paraId="7D849412" w14:textId="77777777" w:rsidR="009260DE" w:rsidRPr="00407EDB" w:rsidRDefault="009260DE" w:rsidP="009260DE">
      <w:pPr>
        <w:tabs>
          <w:tab w:val="left" w:pos="851"/>
        </w:tabs>
        <w:ind w:left="851"/>
        <w:rPr>
          <w:sz w:val="24"/>
          <w:szCs w:val="24"/>
        </w:rPr>
      </w:pPr>
    </w:p>
    <w:p w14:paraId="62317D1C" w14:textId="77777777" w:rsidR="009260DE" w:rsidRPr="00407EDB" w:rsidRDefault="009260DE" w:rsidP="009260DE">
      <w:pPr>
        <w:tabs>
          <w:tab w:val="num" w:pos="851"/>
        </w:tabs>
        <w:ind w:left="851" w:hanging="851"/>
        <w:rPr>
          <w:b/>
          <w:sz w:val="24"/>
          <w:szCs w:val="24"/>
        </w:rPr>
      </w:pPr>
      <w:r w:rsidRPr="00407EDB">
        <w:rPr>
          <w:b/>
          <w:sz w:val="24"/>
          <w:szCs w:val="24"/>
        </w:rPr>
        <w:t>5.1</w:t>
      </w:r>
      <w:r w:rsidRPr="00407EDB">
        <w:rPr>
          <w:b/>
          <w:sz w:val="24"/>
          <w:szCs w:val="24"/>
        </w:rPr>
        <w:tab/>
      </w:r>
      <w:proofErr w:type="spellStart"/>
      <w:r w:rsidRPr="00407EDB">
        <w:rPr>
          <w:b/>
          <w:sz w:val="24"/>
          <w:szCs w:val="24"/>
        </w:rPr>
        <w:t>Farmakodynamiske</w:t>
      </w:r>
      <w:proofErr w:type="spellEnd"/>
      <w:r w:rsidRPr="00407EDB">
        <w:rPr>
          <w:b/>
          <w:sz w:val="24"/>
          <w:szCs w:val="24"/>
        </w:rPr>
        <w:t xml:space="preserve"> egenskaber</w:t>
      </w:r>
    </w:p>
    <w:p w14:paraId="00A104F2" w14:textId="64CD7228" w:rsidR="00A81B1D" w:rsidRPr="00407EDB" w:rsidRDefault="00A81B1D" w:rsidP="00407EDB">
      <w:pPr>
        <w:ind w:left="851"/>
        <w:rPr>
          <w:sz w:val="24"/>
          <w:szCs w:val="24"/>
        </w:rPr>
      </w:pPr>
      <w:proofErr w:type="spellStart"/>
      <w:r w:rsidRPr="00407EDB">
        <w:rPr>
          <w:sz w:val="24"/>
          <w:szCs w:val="24"/>
        </w:rPr>
        <w:t>Farmakoterapeutisk</w:t>
      </w:r>
      <w:proofErr w:type="spellEnd"/>
      <w:r w:rsidRPr="00407EDB">
        <w:rPr>
          <w:sz w:val="24"/>
          <w:szCs w:val="24"/>
        </w:rPr>
        <w:t xml:space="preserve"> klassifikation: Midler mod migræne, selektive 5</w:t>
      </w:r>
      <w:proofErr w:type="gramStart"/>
      <w:r w:rsidRPr="00407EDB">
        <w:rPr>
          <w:sz w:val="24"/>
          <w:szCs w:val="24"/>
        </w:rPr>
        <w:t>HT(</w:t>
      </w:r>
      <w:proofErr w:type="gramEnd"/>
      <w:r w:rsidRPr="00407EDB">
        <w:rPr>
          <w:sz w:val="24"/>
          <w:szCs w:val="24"/>
        </w:rPr>
        <w:t>1)-receptor-agonister</w:t>
      </w:r>
      <w:r w:rsidR="00407EDB">
        <w:rPr>
          <w:sz w:val="24"/>
          <w:szCs w:val="24"/>
        </w:rPr>
        <w:t xml:space="preserve">, </w:t>
      </w:r>
      <w:r w:rsidRPr="00407EDB">
        <w:rPr>
          <w:sz w:val="24"/>
          <w:szCs w:val="24"/>
        </w:rPr>
        <w:t>ATC-kode: N02CC01</w:t>
      </w:r>
      <w:r w:rsidR="00407EDB">
        <w:rPr>
          <w:sz w:val="24"/>
          <w:szCs w:val="24"/>
        </w:rPr>
        <w:t>.</w:t>
      </w:r>
    </w:p>
    <w:p w14:paraId="3C477B6D" w14:textId="77777777" w:rsidR="00A81B1D" w:rsidRPr="00407EDB" w:rsidRDefault="00A81B1D" w:rsidP="00407EDB">
      <w:pPr>
        <w:ind w:left="851"/>
        <w:rPr>
          <w:sz w:val="24"/>
          <w:szCs w:val="24"/>
        </w:rPr>
      </w:pPr>
    </w:p>
    <w:p w14:paraId="1D56D154" w14:textId="77777777" w:rsidR="00A81B1D" w:rsidRPr="00407EDB" w:rsidRDefault="00A81B1D" w:rsidP="00407EDB">
      <w:pPr>
        <w:ind w:left="851"/>
        <w:rPr>
          <w:sz w:val="24"/>
          <w:szCs w:val="24"/>
        </w:rPr>
      </w:pPr>
      <w:r w:rsidRPr="00407EDB">
        <w:rPr>
          <w:sz w:val="24"/>
          <w:szCs w:val="24"/>
        </w:rPr>
        <w:lastRenderedPageBreak/>
        <w:t xml:space="preserve">Det er påvist, at </w:t>
      </w:r>
      <w:proofErr w:type="spellStart"/>
      <w:r w:rsidRPr="00407EDB">
        <w:rPr>
          <w:sz w:val="24"/>
          <w:szCs w:val="24"/>
        </w:rPr>
        <w:t>sumatriptan</w:t>
      </w:r>
      <w:proofErr w:type="spellEnd"/>
      <w:r w:rsidRPr="00407EDB">
        <w:rPr>
          <w:sz w:val="24"/>
          <w:szCs w:val="24"/>
        </w:rPr>
        <w:t xml:space="preserve"> er en specifik, selektiv 5-hydroxytryptamin-(5-HT</w:t>
      </w:r>
      <w:r w:rsidRPr="00407EDB">
        <w:rPr>
          <w:sz w:val="24"/>
          <w:szCs w:val="24"/>
          <w:vertAlign w:val="subscript"/>
        </w:rPr>
        <w:t>1</w:t>
      </w:r>
      <w:proofErr w:type="gramStart"/>
      <w:r w:rsidRPr="00407EDB">
        <w:rPr>
          <w:sz w:val="24"/>
          <w:szCs w:val="24"/>
          <w:vertAlign w:val="subscript"/>
        </w:rPr>
        <w:t>D</w:t>
      </w:r>
      <w:r w:rsidRPr="00407EDB">
        <w:rPr>
          <w:sz w:val="24"/>
          <w:szCs w:val="24"/>
        </w:rPr>
        <w:t>)-</w:t>
      </w:r>
      <w:proofErr w:type="gramEnd"/>
      <w:r w:rsidRPr="00407EDB">
        <w:rPr>
          <w:sz w:val="24"/>
          <w:szCs w:val="24"/>
        </w:rPr>
        <w:t>receptoragonist uden effekt på andre 5-HT-receptorundertyper (5-HT</w:t>
      </w:r>
      <w:r w:rsidRPr="00407EDB">
        <w:rPr>
          <w:sz w:val="24"/>
          <w:szCs w:val="24"/>
          <w:vertAlign w:val="subscript"/>
        </w:rPr>
        <w:t>2</w:t>
      </w:r>
      <w:r w:rsidRPr="00407EDB">
        <w:rPr>
          <w:sz w:val="24"/>
          <w:szCs w:val="24"/>
        </w:rPr>
        <w:t>-5-HT</w:t>
      </w:r>
      <w:r w:rsidRPr="00407EDB">
        <w:rPr>
          <w:sz w:val="24"/>
          <w:szCs w:val="24"/>
          <w:vertAlign w:val="subscript"/>
        </w:rPr>
        <w:t>7</w:t>
      </w:r>
      <w:r w:rsidRPr="00407EDB">
        <w:rPr>
          <w:sz w:val="24"/>
          <w:szCs w:val="24"/>
        </w:rPr>
        <w:t xml:space="preserve">). </w:t>
      </w:r>
      <w:proofErr w:type="spellStart"/>
      <w:r w:rsidRPr="00407EDB">
        <w:rPr>
          <w:sz w:val="24"/>
          <w:szCs w:val="24"/>
        </w:rPr>
        <w:t>Vaskulære</w:t>
      </w:r>
      <w:proofErr w:type="spellEnd"/>
      <w:r w:rsidRPr="00407EDB">
        <w:rPr>
          <w:sz w:val="24"/>
          <w:szCs w:val="24"/>
        </w:rPr>
        <w:t xml:space="preserve"> 5-HT</w:t>
      </w:r>
      <w:r w:rsidRPr="00407EDB">
        <w:rPr>
          <w:sz w:val="24"/>
          <w:szCs w:val="24"/>
          <w:vertAlign w:val="subscript"/>
        </w:rPr>
        <w:t>1D</w:t>
      </w:r>
      <w:r w:rsidRPr="00407EDB">
        <w:rPr>
          <w:sz w:val="24"/>
          <w:szCs w:val="24"/>
        </w:rPr>
        <w:t xml:space="preserve">-receptorer findes hovedsagelig i kraniets blodkar og medierer </w:t>
      </w:r>
      <w:proofErr w:type="spellStart"/>
      <w:r w:rsidRPr="00407EDB">
        <w:rPr>
          <w:sz w:val="24"/>
          <w:szCs w:val="24"/>
        </w:rPr>
        <w:t>vasokonstriktion</w:t>
      </w:r>
      <w:proofErr w:type="spellEnd"/>
      <w:r w:rsidRPr="00407EDB">
        <w:rPr>
          <w:sz w:val="24"/>
          <w:szCs w:val="24"/>
        </w:rPr>
        <w:t xml:space="preserve">. Hos dyr kontraheres </w:t>
      </w:r>
      <w:proofErr w:type="spellStart"/>
      <w:r w:rsidRPr="00407EDB">
        <w:rPr>
          <w:sz w:val="24"/>
          <w:szCs w:val="24"/>
        </w:rPr>
        <w:t>carotisarterierne</w:t>
      </w:r>
      <w:proofErr w:type="spellEnd"/>
      <w:r w:rsidRPr="00407EDB">
        <w:rPr>
          <w:sz w:val="24"/>
          <w:szCs w:val="24"/>
        </w:rPr>
        <w:t xml:space="preserve"> selektivt af </w:t>
      </w:r>
      <w:proofErr w:type="spellStart"/>
      <w:r w:rsidRPr="00407EDB">
        <w:rPr>
          <w:sz w:val="24"/>
          <w:szCs w:val="24"/>
        </w:rPr>
        <w:t>sumatriptan</w:t>
      </w:r>
      <w:proofErr w:type="spellEnd"/>
      <w:r w:rsidRPr="00407EDB">
        <w:rPr>
          <w:sz w:val="24"/>
          <w:szCs w:val="24"/>
        </w:rPr>
        <w:t xml:space="preserve">, men den cerebrale blodgennemstrømning ændres ikke. </w:t>
      </w:r>
      <w:proofErr w:type="spellStart"/>
      <w:r w:rsidRPr="00407EDB">
        <w:rPr>
          <w:sz w:val="24"/>
          <w:szCs w:val="24"/>
        </w:rPr>
        <w:t>Carotisarterierne</w:t>
      </w:r>
      <w:proofErr w:type="spellEnd"/>
      <w:r w:rsidRPr="00407EDB">
        <w:rPr>
          <w:sz w:val="24"/>
          <w:szCs w:val="24"/>
        </w:rPr>
        <w:t xml:space="preserve"> sørger for blodforsyning til det </w:t>
      </w:r>
      <w:proofErr w:type="spellStart"/>
      <w:r w:rsidRPr="00407EDB">
        <w:rPr>
          <w:sz w:val="24"/>
          <w:szCs w:val="24"/>
        </w:rPr>
        <w:t>ekstrakranielle</w:t>
      </w:r>
      <w:proofErr w:type="spellEnd"/>
      <w:r w:rsidRPr="00407EDB">
        <w:rPr>
          <w:sz w:val="24"/>
          <w:szCs w:val="24"/>
        </w:rPr>
        <w:t xml:space="preserve"> og </w:t>
      </w:r>
      <w:proofErr w:type="spellStart"/>
      <w:r w:rsidRPr="00407EDB">
        <w:rPr>
          <w:sz w:val="24"/>
          <w:szCs w:val="24"/>
        </w:rPr>
        <w:t>intrakranielle</w:t>
      </w:r>
      <w:proofErr w:type="spellEnd"/>
      <w:r w:rsidRPr="00407EDB">
        <w:rPr>
          <w:sz w:val="24"/>
          <w:szCs w:val="24"/>
        </w:rPr>
        <w:t xml:space="preserve"> væv såsom </w:t>
      </w:r>
      <w:proofErr w:type="spellStart"/>
      <w:r w:rsidRPr="00407EDB">
        <w:rPr>
          <w:sz w:val="24"/>
          <w:szCs w:val="24"/>
        </w:rPr>
        <w:t>meninges</w:t>
      </w:r>
      <w:proofErr w:type="spellEnd"/>
      <w:r w:rsidRPr="00407EDB">
        <w:rPr>
          <w:sz w:val="24"/>
          <w:szCs w:val="24"/>
        </w:rPr>
        <w:t xml:space="preserve">, og dilatation og/eller ødemdannelse i disse væv menes at være den underliggende mekanisme ved migræne hos mennesker. Endvidere tyder data fra dyreforsøg på, at </w:t>
      </w:r>
      <w:proofErr w:type="spellStart"/>
      <w:r w:rsidRPr="00407EDB">
        <w:rPr>
          <w:sz w:val="24"/>
          <w:szCs w:val="24"/>
        </w:rPr>
        <w:t>sumatriptan</w:t>
      </w:r>
      <w:proofErr w:type="spellEnd"/>
      <w:r w:rsidRPr="00407EDB">
        <w:rPr>
          <w:sz w:val="24"/>
          <w:szCs w:val="24"/>
        </w:rPr>
        <w:t xml:space="preserve"> hæmmer aktiviteten af </w:t>
      </w:r>
      <w:proofErr w:type="spellStart"/>
      <w:r w:rsidRPr="00407EDB">
        <w:rPr>
          <w:sz w:val="24"/>
          <w:szCs w:val="24"/>
        </w:rPr>
        <w:t>trigeminusnerven</w:t>
      </w:r>
      <w:proofErr w:type="spellEnd"/>
      <w:r w:rsidRPr="00407EDB">
        <w:rPr>
          <w:sz w:val="24"/>
          <w:szCs w:val="24"/>
        </w:rPr>
        <w:t>. Begge disse mekanismer (</w:t>
      </w:r>
      <w:proofErr w:type="spellStart"/>
      <w:r w:rsidRPr="00407EDB">
        <w:rPr>
          <w:sz w:val="24"/>
          <w:szCs w:val="24"/>
        </w:rPr>
        <w:t>kraniel</w:t>
      </w:r>
      <w:proofErr w:type="spellEnd"/>
      <w:r w:rsidRPr="00407EDB">
        <w:rPr>
          <w:sz w:val="24"/>
          <w:szCs w:val="24"/>
        </w:rPr>
        <w:t xml:space="preserve"> </w:t>
      </w:r>
      <w:proofErr w:type="spellStart"/>
      <w:r w:rsidRPr="00407EDB">
        <w:rPr>
          <w:sz w:val="24"/>
          <w:szCs w:val="24"/>
        </w:rPr>
        <w:t>vasokonstriktion</w:t>
      </w:r>
      <w:proofErr w:type="spellEnd"/>
      <w:r w:rsidRPr="00407EDB">
        <w:rPr>
          <w:sz w:val="24"/>
          <w:szCs w:val="24"/>
        </w:rPr>
        <w:t xml:space="preserve"> og hæmning af </w:t>
      </w:r>
      <w:proofErr w:type="spellStart"/>
      <w:r w:rsidRPr="00407EDB">
        <w:rPr>
          <w:sz w:val="24"/>
          <w:szCs w:val="24"/>
        </w:rPr>
        <w:t>trigeminusnervens</w:t>
      </w:r>
      <w:proofErr w:type="spellEnd"/>
      <w:r w:rsidRPr="00407EDB">
        <w:rPr>
          <w:sz w:val="24"/>
          <w:szCs w:val="24"/>
        </w:rPr>
        <w:t xml:space="preserve"> aktivitet) kan medvirke til </w:t>
      </w:r>
      <w:proofErr w:type="spellStart"/>
      <w:r w:rsidRPr="00407EDB">
        <w:rPr>
          <w:sz w:val="24"/>
          <w:szCs w:val="24"/>
        </w:rPr>
        <w:t>sumatriptans</w:t>
      </w:r>
      <w:proofErr w:type="spellEnd"/>
      <w:r w:rsidRPr="00407EDB">
        <w:rPr>
          <w:sz w:val="24"/>
          <w:szCs w:val="24"/>
        </w:rPr>
        <w:t xml:space="preserve"> effekt på migræne hos mennesker.</w:t>
      </w:r>
    </w:p>
    <w:p w14:paraId="26A94275" w14:textId="77777777" w:rsidR="00A81B1D" w:rsidRPr="00407EDB" w:rsidRDefault="00A81B1D" w:rsidP="00407EDB">
      <w:pPr>
        <w:ind w:left="851"/>
        <w:rPr>
          <w:sz w:val="24"/>
          <w:szCs w:val="24"/>
        </w:rPr>
      </w:pPr>
    </w:p>
    <w:p w14:paraId="46674C29" w14:textId="77777777" w:rsidR="00A81B1D" w:rsidRPr="00407EDB" w:rsidRDefault="00A81B1D" w:rsidP="00407EDB">
      <w:pPr>
        <w:ind w:left="851"/>
        <w:rPr>
          <w:sz w:val="24"/>
          <w:szCs w:val="24"/>
        </w:rPr>
      </w:pPr>
      <w:proofErr w:type="spellStart"/>
      <w:r w:rsidRPr="00407EDB">
        <w:rPr>
          <w:sz w:val="24"/>
          <w:szCs w:val="24"/>
        </w:rPr>
        <w:t>Sumatriptan</w:t>
      </w:r>
      <w:proofErr w:type="spellEnd"/>
      <w:r w:rsidRPr="00407EDB">
        <w:rPr>
          <w:sz w:val="24"/>
          <w:szCs w:val="24"/>
        </w:rPr>
        <w:t xml:space="preserve"> er effektivt til behandling af menstruationsmigræne, dvs. migræne uden aura, der forekommer fra 3 dage før til 5 dage efter menstruationsstart.</w:t>
      </w:r>
    </w:p>
    <w:p w14:paraId="03E18994" w14:textId="77777777" w:rsidR="00A81B1D" w:rsidRPr="00407EDB" w:rsidRDefault="00A81B1D" w:rsidP="00407EDB">
      <w:pPr>
        <w:ind w:left="851"/>
        <w:rPr>
          <w:sz w:val="24"/>
          <w:szCs w:val="24"/>
        </w:rPr>
      </w:pPr>
    </w:p>
    <w:p w14:paraId="7E67AD95" w14:textId="77777777" w:rsidR="00A81B1D" w:rsidRPr="00407EDB" w:rsidRDefault="00A81B1D" w:rsidP="00407EDB">
      <w:pPr>
        <w:ind w:left="851"/>
        <w:rPr>
          <w:sz w:val="24"/>
          <w:szCs w:val="24"/>
        </w:rPr>
      </w:pPr>
      <w:r w:rsidRPr="00407EDB">
        <w:rPr>
          <w:sz w:val="24"/>
          <w:szCs w:val="24"/>
        </w:rPr>
        <w:t>Det kliniske respons begynder 10-15 minutter efter en subkutan injektion af 6 mg.</w:t>
      </w:r>
    </w:p>
    <w:p w14:paraId="5E7836C2" w14:textId="77777777" w:rsidR="009260DE" w:rsidRPr="00407EDB" w:rsidRDefault="009260DE" w:rsidP="009260DE">
      <w:pPr>
        <w:tabs>
          <w:tab w:val="left" w:pos="851"/>
        </w:tabs>
        <w:ind w:left="851"/>
        <w:rPr>
          <w:sz w:val="24"/>
          <w:szCs w:val="24"/>
        </w:rPr>
      </w:pPr>
    </w:p>
    <w:p w14:paraId="44D99E8C" w14:textId="77777777" w:rsidR="009260DE" w:rsidRPr="00407EDB" w:rsidRDefault="009260DE" w:rsidP="009260DE">
      <w:pPr>
        <w:tabs>
          <w:tab w:val="left" w:pos="851"/>
        </w:tabs>
        <w:ind w:left="851" w:hanging="851"/>
        <w:rPr>
          <w:b/>
          <w:sz w:val="24"/>
          <w:szCs w:val="24"/>
        </w:rPr>
      </w:pPr>
      <w:r w:rsidRPr="00407EDB">
        <w:rPr>
          <w:b/>
          <w:sz w:val="24"/>
          <w:szCs w:val="24"/>
        </w:rPr>
        <w:t>5.2</w:t>
      </w:r>
      <w:r w:rsidRPr="00407EDB">
        <w:rPr>
          <w:b/>
          <w:sz w:val="24"/>
          <w:szCs w:val="24"/>
        </w:rPr>
        <w:tab/>
      </w:r>
      <w:proofErr w:type="spellStart"/>
      <w:r w:rsidRPr="00407EDB">
        <w:rPr>
          <w:b/>
          <w:sz w:val="24"/>
          <w:szCs w:val="24"/>
        </w:rPr>
        <w:t>Farmakokinetiske</w:t>
      </w:r>
      <w:proofErr w:type="spellEnd"/>
      <w:r w:rsidRPr="00407EDB">
        <w:rPr>
          <w:b/>
          <w:sz w:val="24"/>
          <w:szCs w:val="24"/>
        </w:rPr>
        <w:t xml:space="preserve"> egenskaber</w:t>
      </w:r>
    </w:p>
    <w:p w14:paraId="22D16AC2" w14:textId="77777777" w:rsidR="00407EDB" w:rsidRDefault="00407EDB" w:rsidP="00407EDB">
      <w:pPr>
        <w:ind w:left="851"/>
        <w:rPr>
          <w:sz w:val="24"/>
          <w:szCs w:val="24"/>
        </w:rPr>
      </w:pPr>
    </w:p>
    <w:p w14:paraId="608F8D70" w14:textId="38A165F6" w:rsidR="00A81B1D" w:rsidRPr="00407EDB" w:rsidRDefault="00A81B1D" w:rsidP="00407EDB">
      <w:pPr>
        <w:ind w:left="851"/>
        <w:rPr>
          <w:sz w:val="24"/>
          <w:szCs w:val="24"/>
          <w:u w:val="single"/>
          <w:lang w:eastAsia="de-DE"/>
        </w:rPr>
      </w:pPr>
      <w:r w:rsidRPr="00407EDB">
        <w:rPr>
          <w:sz w:val="24"/>
          <w:szCs w:val="24"/>
          <w:u w:val="single"/>
        </w:rPr>
        <w:t>Absorption</w:t>
      </w:r>
    </w:p>
    <w:p w14:paraId="59DF3A4A" w14:textId="77777777" w:rsidR="00A81B1D" w:rsidRPr="00407EDB" w:rsidRDefault="00A81B1D" w:rsidP="00407EDB">
      <w:pPr>
        <w:ind w:left="851"/>
        <w:rPr>
          <w:sz w:val="24"/>
          <w:szCs w:val="24"/>
        </w:rPr>
      </w:pPr>
      <w:r w:rsidRPr="00407EDB">
        <w:rPr>
          <w:sz w:val="24"/>
          <w:szCs w:val="24"/>
        </w:rPr>
        <w:t xml:space="preserve">Ved subkutan injektion har </w:t>
      </w:r>
      <w:proofErr w:type="spellStart"/>
      <w:r w:rsidRPr="00407EDB">
        <w:rPr>
          <w:sz w:val="24"/>
          <w:szCs w:val="24"/>
        </w:rPr>
        <w:t>sumatriptan</w:t>
      </w:r>
      <w:proofErr w:type="spellEnd"/>
      <w:r w:rsidRPr="00407EDB">
        <w:rPr>
          <w:sz w:val="24"/>
          <w:szCs w:val="24"/>
        </w:rPr>
        <w:t xml:space="preserve"> en høj gennemsnitlig biotilgængelighed (96 %), og maksimal serumkoncentration nås efter 25 minutter. Den maksimale serumkoncentration efter en dosis på 6 mg subkutant er 72 </w:t>
      </w:r>
      <w:proofErr w:type="spellStart"/>
      <w:r w:rsidRPr="00407EDB">
        <w:rPr>
          <w:sz w:val="24"/>
          <w:szCs w:val="24"/>
        </w:rPr>
        <w:t>ng</w:t>
      </w:r>
      <w:proofErr w:type="spellEnd"/>
      <w:r w:rsidRPr="00407EDB">
        <w:rPr>
          <w:sz w:val="24"/>
          <w:szCs w:val="24"/>
        </w:rPr>
        <w:t>/ml.</w:t>
      </w:r>
    </w:p>
    <w:p w14:paraId="63CC21BE" w14:textId="77777777" w:rsidR="00A81B1D" w:rsidRPr="00407EDB" w:rsidRDefault="00A81B1D" w:rsidP="00407EDB">
      <w:pPr>
        <w:ind w:left="851"/>
        <w:rPr>
          <w:sz w:val="24"/>
          <w:szCs w:val="24"/>
        </w:rPr>
      </w:pPr>
    </w:p>
    <w:p w14:paraId="29374F57" w14:textId="77777777" w:rsidR="00A81B1D" w:rsidRPr="00407EDB" w:rsidRDefault="00A81B1D" w:rsidP="00407EDB">
      <w:pPr>
        <w:ind w:left="851"/>
        <w:rPr>
          <w:sz w:val="24"/>
          <w:szCs w:val="24"/>
          <w:u w:val="single"/>
        </w:rPr>
      </w:pPr>
      <w:r w:rsidRPr="00407EDB">
        <w:rPr>
          <w:sz w:val="24"/>
          <w:szCs w:val="24"/>
          <w:u w:val="single"/>
        </w:rPr>
        <w:t>Fordeling</w:t>
      </w:r>
    </w:p>
    <w:p w14:paraId="6B2E8528" w14:textId="203634C4" w:rsidR="00A81B1D" w:rsidRPr="00407EDB" w:rsidRDefault="00A81B1D" w:rsidP="00407EDB">
      <w:pPr>
        <w:ind w:left="851"/>
        <w:rPr>
          <w:sz w:val="24"/>
          <w:szCs w:val="24"/>
        </w:rPr>
      </w:pPr>
      <w:r w:rsidRPr="00407EDB">
        <w:rPr>
          <w:sz w:val="24"/>
          <w:szCs w:val="24"/>
        </w:rPr>
        <w:t>Plasmaproteinbindingen er lav (14-21 %), og det gennemsnitlige fordelingsvolumen er 170</w:t>
      </w:r>
      <w:r w:rsidR="00220105">
        <w:rPr>
          <w:sz w:val="24"/>
          <w:szCs w:val="24"/>
        </w:rPr>
        <w:t> </w:t>
      </w:r>
      <w:r w:rsidRPr="00407EDB">
        <w:rPr>
          <w:sz w:val="24"/>
          <w:szCs w:val="24"/>
        </w:rPr>
        <w:t>liter.</w:t>
      </w:r>
    </w:p>
    <w:p w14:paraId="72B7417F" w14:textId="77777777" w:rsidR="00A81B1D" w:rsidRPr="00407EDB" w:rsidRDefault="00A81B1D" w:rsidP="00407EDB">
      <w:pPr>
        <w:ind w:left="851"/>
        <w:rPr>
          <w:sz w:val="24"/>
          <w:szCs w:val="24"/>
        </w:rPr>
      </w:pPr>
    </w:p>
    <w:p w14:paraId="7B58899D" w14:textId="77777777" w:rsidR="00A81B1D" w:rsidRPr="00407EDB" w:rsidRDefault="00A81B1D" w:rsidP="00407EDB">
      <w:pPr>
        <w:ind w:left="851"/>
        <w:rPr>
          <w:sz w:val="24"/>
          <w:szCs w:val="24"/>
          <w:u w:val="single"/>
        </w:rPr>
      </w:pPr>
      <w:proofErr w:type="spellStart"/>
      <w:r w:rsidRPr="00407EDB">
        <w:rPr>
          <w:sz w:val="24"/>
          <w:szCs w:val="24"/>
          <w:u w:val="single"/>
        </w:rPr>
        <w:t>Metabolisering</w:t>
      </w:r>
      <w:proofErr w:type="spellEnd"/>
    </w:p>
    <w:p w14:paraId="4DA66D95" w14:textId="77777777" w:rsidR="00A81B1D" w:rsidRPr="00407EDB" w:rsidRDefault="00A81B1D" w:rsidP="00407EDB">
      <w:pPr>
        <w:ind w:left="851"/>
        <w:rPr>
          <w:sz w:val="24"/>
          <w:szCs w:val="24"/>
        </w:rPr>
      </w:pPr>
      <w:r w:rsidRPr="00407EDB">
        <w:rPr>
          <w:sz w:val="24"/>
          <w:szCs w:val="24"/>
        </w:rPr>
        <w:t xml:space="preserve">Den primære metabolit er </w:t>
      </w:r>
      <w:proofErr w:type="spellStart"/>
      <w:r w:rsidRPr="00407EDB">
        <w:rPr>
          <w:sz w:val="24"/>
          <w:szCs w:val="24"/>
        </w:rPr>
        <w:t>indoleddikesyre-analogen</w:t>
      </w:r>
      <w:proofErr w:type="spellEnd"/>
      <w:r w:rsidRPr="00407EDB">
        <w:rPr>
          <w:sz w:val="24"/>
          <w:szCs w:val="24"/>
        </w:rPr>
        <w:t xml:space="preserve"> af </w:t>
      </w:r>
      <w:proofErr w:type="spellStart"/>
      <w:r w:rsidRPr="00407EDB">
        <w:rPr>
          <w:sz w:val="24"/>
          <w:szCs w:val="24"/>
        </w:rPr>
        <w:t>sumatriptan</w:t>
      </w:r>
      <w:proofErr w:type="spellEnd"/>
      <w:r w:rsidRPr="00407EDB">
        <w:rPr>
          <w:sz w:val="24"/>
          <w:szCs w:val="24"/>
        </w:rPr>
        <w:t xml:space="preserve">. </w:t>
      </w:r>
    </w:p>
    <w:p w14:paraId="04C6CD0B" w14:textId="77777777" w:rsidR="00A81B1D" w:rsidRPr="00407EDB" w:rsidRDefault="00A81B1D" w:rsidP="00407EDB">
      <w:pPr>
        <w:ind w:left="851"/>
        <w:rPr>
          <w:sz w:val="24"/>
          <w:szCs w:val="24"/>
        </w:rPr>
      </w:pPr>
    </w:p>
    <w:p w14:paraId="59B4BF4A" w14:textId="77777777" w:rsidR="00A81B1D" w:rsidRPr="00407EDB" w:rsidRDefault="00A81B1D" w:rsidP="00407EDB">
      <w:pPr>
        <w:ind w:left="851"/>
        <w:rPr>
          <w:sz w:val="24"/>
          <w:szCs w:val="24"/>
          <w:u w:val="single"/>
        </w:rPr>
      </w:pPr>
      <w:r w:rsidRPr="00407EDB">
        <w:rPr>
          <w:sz w:val="24"/>
          <w:szCs w:val="24"/>
          <w:u w:val="single"/>
        </w:rPr>
        <w:t>Elimination og udskillelse</w:t>
      </w:r>
    </w:p>
    <w:p w14:paraId="630E3EDE" w14:textId="77777777" w:rsidR="00A81B1D" w:rsidRPr="00407EDB" w:rsidRDefault="00A81B1D" w:rsidP="00407EDB">
      <w:pPr>
        <w:ind w:left="851"/>
        <w:rPr>
          <w:sz w:val="24"/>
          <w:szCs w:val="24"/>
        </w:rPr>
      </w:pPr>
      <w:r w:rsidRPr="00407EDB">
        <w:rPr>
          <w:sz w:val="24"/>
          <w:szCs w:val="24"/>
        </w:rPr>
        <w:t xml:space="preserve">Den gennemsnitlige totale </w:t>
      </w:r>
      <w:proofErr w:type="spellStart"/>
      <w:r w:rsidRPr="00407EDB">
        <w:rPr>
          <w:sz w:val="24"/>
          <w:szCs w:val="24"/>
        </w:rPr>
        <w:t>plasmaclearance</w:t>
      </w:r>
      <w:proofErr w:type="spellEnd"/>
      <w:r w:rsidRPr="00407EDB">
        <w:rPr>
          <w:sz w:val="24"/>
          <w:szCs w:val="24"/>
        </w:rPr>
        <w:t xml:space="preserve"> er ca. 1.160 ml/min, og den gennemsnitlige </w:t>
      </w:r>
      <w:proofErr w:type="spellStart"/>
      <w:r w:rsidRPr="00407EDB">
        <w:rPr>
          <w:sz w:val="24"/>
          <w:szCs w:val="24"/>
        </w:rPr>
        <w:t>renale</w:t>
      </w:r>
      <w:proofErr w:type="spellEnd"/>
      <w:r w:rsidRPr="00407EDB">
        <w:rPr>
          <w:sz w:val="24"/>
          <w:szCs w:val="24"/>
        </w:rPr>
        <w:t xml:space="preserve"> </w:t>
      </w:r>
      <w:proofErr w:type="spellStart"/>
      <w:r w:rsidRPr="00407EDB">
        <w:rPr>
          <w:sz w:val="24"/>
          <w:szCs w:val="24"/>
        </w:rPr>
        <w:t>plasmaclearance</w:t>
      </w:r>
      <w:proofErr w:type="spellEnd"/>
      <w:r w:rsidRPr="00407EDB">
        <w:rPr>
          <w:sz w:val="24"/>
          <w:szCs w:val="24"/>
        </w:rPr>
        <w:t xml:space="preserve"> er ca. 260 ml/min. Non-</w:t>
      </w:r>
      <w:proofErr w:type="spellStart"/>
      <w:r w:rsidRPr="00407EDB">
        <w:rPr>
          <w:sz w:val="24"/>
          <w:szCs w:val="24"/>
        </w:rPr>
        <w:t>renal</w:t>
      </w:r>
      <w:proofErr w:type="spellEnd"/>
      <w:r w:rsidRPr="00407EDB">
        <w:rPr>
          <w:sz w:val="24"/>
          <w:szCs w:val="24"/>
        </w:rPr>
        <w:t xml:space="preserve"> </w:t>
      </w:r>
      <w:proofErr w:type="spellStart"/>
      <w:r w:rsidRPr="00407EDB">
        <w:rPr>
          <w:sz w:val="24"/>
          <w:szCs w:val="24"/>
        </w:rPr>
        <w:t>clearance</w:t>
      </w:r>
      <w:proofErr w:type="spellEnd"/>
      <w:r w:rsidRPr="00407EDB">
        <w:rPr>
          <w:sz w:val="24"/>
          <w:szCs w:val="24"/>
        </w:rPr>
        <w:t xml:space="preserve"> udgør ca. 80 % af den totale </w:t>
      </w:r>
      <w:proofErr w:type="spellStart"/>
      <w:r w:rsidRPr="00407EDB">
        <w:rPr>
          <w:sz w:val="24"/>
          <w:szCs w:val="24"/>
        </w:rPr>
        <w:t>clearance</w:t>
      </w:r>
      <w:proofErr w:type="spellEnd"/>
      <w:r w:rsidRPr="00407EDB">
        <w:rPr>
          <w:sz w:val="24"/>
          <w:szCs w:val="24"/>
        </w:rPr>
        <w:t xml:space="preserve">. </w:t>
      </w:r>
      <w:proofErr w:type="spellStart"/>
      <w:r w:rsidRPr="00407EDB">
        <w:rPr>
          <w:sz w:val="24"/>
          <w:szCs w:val="24"/>
        </w:rPr>
        <w:t>Sumatriptan</w:t>
      </w:r>
      <w:proofErr w:type="spellEnd"/>
      <w:r w:rsidRPr="00407EDB">
        <w:rPr>
          <w:sz w:val="24"/>
          <w:szCs w:val="24"/>
        </w:rPr>
        <w:t xml:space="preserve"> elimineres primært ved </w:t>
      </w:r>
      <w:proofErr w:type="spellStart"/>
      <w:r w:rsidRPr="00407EDB">
        <w:rPr>
          <w:sz w:val="24"/>
          <w:szCs w:val="24"/>
        </w:rPr>
        <w:t>oxidativ</w:t>
      </w:r>
      <w:proofErr w:type="spellEnd"/>
      <w:r w:rsidRPr="00407EDB">
        <w:rPr>
          <w:sz w:val="24"/>
          <w:szCs w:val="24"/>
        </w:rPr>
        <w:t xml:space="preserve"> </w:t>
      </w:r>
      <w:proofErr w:type="spellStart"/>
      <w:r w:rsidRPr="00407EDB">
        <w:rPr>
          <w:sz w:val="24"/>
          <w:szCs w:val="24"/>
        </w:rPr>
        <w:t>metabolisering</w:t>
      </w:r>
      <w:proofErr w:type="spellEnd"/>
      <w:r w:rsidRPr="00407EDB">
        <w:rPr>
          <w:sz w:val="24"/>
          <w:szCs w:val="24"/>
        </w:rPr>
        <w:t xml:space="preserve"> medieret af </w:t>
      </w:r>
      <w:proofErr w:type="spellStart"/>
      <w:r w:rsidRPr="00407EDB">
        <w:rPr>
          <w:sz w:val="24"/>
          <w:szCs w:val="24"/>
        </w:rPr>
        <w:t>monoaminooxidase</w:t>
      </w:r>
      <w:proofErr w:type="spellEnd"/>
      <w:r w:rsidRPr="00407EDB">
        <w:rPr>
          <w:sz w:val="24"/>
          <w:szCs w:val="24"/>
        </w:rPr>
        <w:t xml:space="preserve"> A.</w:t>
      </w:r>
    </w:p>
    <w:p w14:paraId="348EAC0E" w14:textId="77777777" w:rsidR="00A81B1D" w:rsidRPr="00407EDB" w:rsidRDefault="00A81B1D" w:rsidP="00407EDB">
      <w:pPr>
        <w:ind w:left="851"/>
        <w:rPr>
          <w:sz w:val="24"/>
          <w:szCs w:val="24"/>
        </w:rPr>
      </w:pPr>
    </w:p>
    <w:p w14:paraId="606B7405" w14:textId="77777777" w:rsidR="00A81B1D" w:rsidRPr="00407EDB" w:rsidRDefault="00A81B1D" w:rsidP="00407EDB">
      <w:pPr>
        <w:ind w:left="851"/>
        <w:rPr>
          <w:sz w:val="24"/>
          <w:szCs w:val="24"/>
        </w:rPr>
      </w:pPr>
      <w:r w:rsidRPr="00407EDB">
        <w:rPr>
          <w:sz w:val="24"/>
          <w:szCs w:val="24"/>
        </w:rPr>
        <w:t xml:space="preserve">Den primære metabolit, </w:t>
      </w:r>
      <w:proofErr w:type="spellStart"/>
      <w:r w:rsidRPr="00407EDB">
        <w:rPr>
          <w:sz w:val="24"/>
          <w:szCs w:val="24"/>
        </w:rPr>
        <w:t>indoleddikesyre-analogen</w:t>
      </w:r>
      <w:proofErr w:type="spellEnd"/>
      <w:r w:rsidRPr="00407EDB">
        <w:rPr>
          <w:sz w:val="24"/>
          <w:szCs w:val="24"/>
        </w:rPr>
        <w:t xml:space="preserve"> af </w:t>
      </w:r>
      <w:proofErr w:type="spellStart"/>
      <w:r w:rsidRPr="00407EDB">
        <w:rPr>
          <w:sz w:val="24"/>
          <w:szCs w:val="24"/>
        </w:rPr>
        <w:t>sumatriptan</w:t>
      </w:r>
      <w:proofErr w:type="spellEnd"/>
      <w:r w:rsidRPr="00407EDB">
        <w:rPr>
          <w:sz w:val="24"/>
          <w:szCs w:val="24"/>
        </w:rPr>
        <w:t xml:space="preserve">, udskilles hovedsagelig i urinen, hvor den findes som fri syre og </w:t>
      </w:r>
      <w:proofErr w:type="spellStart"/>
      <w:r w:rsidRPr="00407EDB">
        <w:rPr>
          <w:sz w:val="24"/>
          <w:szCs w:val="24"/>
        </w:rPr>
        <w:t>glucuronidkonjugat</w:t>
      </w:r>
      <w:proofErr w:type="spellEnd"/>
      <w:r w:rsidRPr="00407EDB">
        <w:rPr>
          <w:sz w:val="24"/>
          <w:szCs w:val="24"/>
        </w:rPr>
        <w:t>. Den har ingen kendt 5-HT</w:t>
      </w:r>
      <w:r w:rsidRPr="00407EDB">
        <w:rPr>
          <w:sz w:val="24"/>
          <w:szCs w:val="24"/>
          <w:vertAlign w:val="subscript"/>
        </w:rPr>
        <w:t>1</w:t>
      </w:r>
      <w:r w:rsidRPr="00407EDB">
        <w:rPr>
          <w:sz w:val="24"/>
          <w:szCs w:val="24"/>
        </w:rPr>
        <w:t>- eller 5-HT</w:t>
      </w:r>
      <w:r w:rsidRPr="00407EDB">
        <w:rPr>
          <w:sz w:val="24"/>
          <w:szCs w:val="24"/>
          <w:vertAlign w:val="subscript"/>
        </w:rPr>
        <w:t>2</w:t>
      </w:r>
      <w:r w:rsidRPr="00407EDB">
        <w:rPr>
          <w:sz w:val="24"/>
          <w:szCs w:val="24"/>
        </w:rPr>
        <w:t>-aktivitet. Der er ikke påvist andre metabolitter.</w:t>
      </w:r>
    </w:p>
    <w:p w14:paraId="154EC2FA" w14:textId="77777777" w:rsidR="00A81B1D" w:rsidRPr="00407EDB" w:rsidRDefault="00A81B1D" w:rsidP="00407EDB">
      <w:pPr>
        <w:ind w:left="851"/>
        <w:rPr>
          <w:sz w:val="24"/>
          <w:szCs w:val="24"/>
        </w:rPr>
      </w:pPr>
    </w:p>
    <w:p w14:paraId="099ABE86" w14:textId="77777777" w:rsidR="00A81B1D" w:rsidRPr="00407EDB" w:rsidRDefault="00A81B1D" w:rsidP="00407EDB">
      <w:pPr>
        <w:ind w:left="851"/>
        <w:rPr>
          <w:sz w:val="24"/>
          <w:szCs w:val="24"/>
        </w:rPr>
      </w:pPr>
      <w:r w:rsidRPr="00407EDB">
        <w:rPr>
          <w:sz w:val="24"/>
          <w:szCs w:val="24"/>
        </w:rPr>
        <w:t>Eliminationshalveringstiden (T½) er ca. to timer.</w:t>
      </w:r>
    </w:p>
    <w:p w14:paraId="108BDC05" w14:textId="77777777" w:rsidR="00A81B1D" w:rsidRPr="00407EDB" w:rsidRDefault="00A81B1D" w:rsidP="00407EDB">
      <w:pPr>
        <w:ind w:left="851"/>
        <w:rPr>
          <w:sz w:val="24"/>
          <w:szCs w:val="24"/>
        </w:rPr>
      </w:pPr>
    </w:p>
    <w:p w14:paraId="60846E47" w14:textId="77777777" w:rsidR="00A81B1D" w:rsidRPr="00407EDB" w:rsidRDefault="00A81B1D" w:rsidP="00407EDB">
      <w:pPr>
        <w:ind w:left="851"/>
        <w:rPr>
          <w:sz w:val="24"/>
          <w:szCs w:val="24"/>
          <w:u w:val="single"/>
        </w:rPr>
      </w:pPr>
      <w:r w:rsidRPr="00407EDB">
        <w:rPr>
          <w:sz w:val="24"/>
          <w:szCs w:val="24"/>
          <w:u w:val="single"/>
        </w:rPr>
        <w:t>Alder og leverfunktion</w:t>
      </w:r>
    </w:p>
    <w:p w14:paraId="0F1577E6" w14:textId="77777777" w:rsidR="00A81B1D" w:rsidRPr="00407EDB" w:rsidRDefault="00A81B1D" w:rsidP="00407EDB">
      <w:pPr>
        <w:ind w:left="851"/>
        <w:rPr>
          <w:sz w:val="24"/>
          <w:szCs w:val="24"/>
        </w:rPr>
      </w:pPr>
      <w:r w:rsidRPr="00407EDB">
        <w:rPr>
          <w:sz w:val="24"/>
          <w:szCs w:val="24"/>
        </w:rPr>
        <w:t xml:space="preserve">I et pilotstudie blev der ikke fundet væsentlige forskelle i de </w:t>
      </w:r>
      <w:proofErr w:type="spellStart"/>
      <w:r w:rsidRPr="00407EDB">
        <w:rPr>
          <w:sz w:val="24"/>
          <w:szCs w:val="24"/>
        </w:rPr>
        <w:t>farmakokinetiske</w:t>
      </w:r>
      <w:proofErr w:type="spellEnd"/>
      <w:r w:rsidRPr="00407EDB">
        <w:rPr>
          <w:sz w:val="24"/>
          <w:szCs w:val="24"/>
        </w:rPr>
        <w:t xml:space="preserve"> parametre mellem ældre og unge raske forsøgspersoner.</w:t>
      </w:r>
    </w:p>
    <w:p w14:paraId="45A5589E" w14:textId="77777777" w:rsidR="00A81B1D" w:rsidRPr="00407EDB" w:rsidRDefault="00A81B1D" w:rsidP="00407EDB">
      <w:pPr>
        <w:ind w:left="851"/>
        <w:rPr>
          <w:sz w:val="24"/>
          <w:szCs w:val="24"/>
        </w:rPr>
      </w:pPr>
    </w:p>
    <w:p w14:paraId="734589BA" w14:textId="4DC186BA" w:rsidR="00A81B1D" w:rsidRPr="00407EDB" w:rsidRDefault="00A81B1D" w:rsidP="00407EDB">
      <w:pPr>
        <w:ind w:left="851"/>
        <w:rPr>
          <w:sz w:val="24"/>
          <w:szCs w:val="24"/>
        </w:rPr>
      </w:pPr>
      <w:r w:rsidRPr="00407EDB">
        <w:rPr>
          <w:sz w:val="24"/>
          <w:szCs w:val="24"/>
        </w:rPr>
        <w:t>Indvirkningen af moderat leversygdom (Child-</w:t>
      </w:r>
      <w:proofErr w:type="spellStart"/>
      <w:r w:rsidRPr="00407EDB">
        <w:rPr>
          <w:sz w:val="24"/>
          <w:szCs w:val="24"/>
        </w:rPr>
        <w:t>Pugh</w:t>
      </w:r>
      <w:proofErr w:type="spellEnd"/>
      <w:r w:rsidRPr="00407EDB">
        <w:rPr>
          <w:sz w:val="24"/>
          <w:szCs w:val="24"/>
        </w:rPr>
        <w:t xml:space="preserve"> klasse B) på </w:t>
      </w:r>
      <w:proofErr w:type="spellStart"/>
      <w:r w:rsidRPr="00407EDB">
        <w:rPr>
          <w:sz w:val="24"/>
          <w:szCs w:val="24"/>
        </w:rPr>
        <w:t>sumatriptans</w:t>
      </w:r>
      <w:proofErr w:type="spellEnd"/>
      <w:r w:rsidRPr="00407EDB">
        <w:rPr>
          <w:sz w:val="24"/>
          <w:szCs w:val="24"/>
        </w:rPr>
        <w:t xml:space="preserve"> farmakokinetik ved subkutan administration er blevet undersøgt. Ved subkutan administration var der ingen signifikante forskelle i farmakokinetikken hos forsøgspersoner med moderat nedsat leverfunktion i forhold til raske personer (se pkt. 4.4).</w:t>
      </w:r>
    </w:p>
    <w:p w14:paraId="1572A1F4" w14:textId="77777777" w:rsidR="009260DE" w:rsidRPr="00407EDB" w:rsidRDefault="009260DE" w:rsidP="009260DE">
      <w:pPr>
        <w:tabs>
          <w:tab w:val="left" w:pos="851"/>
        </w:tabs>
        <w:ind w:left="851"/>
        <w:rPr>
          <w:sz w:val="24"/>
          <w:szCs w:val="24"/>
        </w:rPr>
      </w:pPr>
    </w:p>
    <w:p w14:paraId="69BBCE00" w14:textId="77777777" w:rsidR="009260DE" w:rsidRPr="00407EDB" w:rsidRDefault="009260DE" w:rsidP="009260DE">
      <w:pPr>
        <w:tabs>
          <w:tab w:val="left" w:pos="851"/>
        </w:tabs>
        <w:ind w:left="851" w:hanging="851"/>
        <w:rPr>
          <w:b/>
          <w:sz w:val="24"/>
          <w:szCs w:val="24"/>
        </w:rPr>
      </w:pPr>
      <w:r w:rsidRPr="00407EDB">
        <w:rPr>
          <w:b/>
          <w:sz w:val="24"/>
          <w:szCs w:val="24"/>
        </w:rPr>
        <w:t>5.3</w:t>
      </w:r>
      <w:r w:rsidRPr="00407EDB">
        <w:rPr>
          <w:b/>
          <w:sz w:val="24"/>
          <w:szCs w:val="24"/>
        </w:rPr>
        <w:tab/>
      </w:r>
      <w:r w:rsidR="00BD7931" w:rsidRPr="00407EDB">
        <w:rPr>
          <w:b/>
          <w:sz w:val="24"/>
          <w:szCs w:val="24"/>
        </w:rPr>
        <w:t>Non-</w:t>
      </w:r>
      <w:r w:rsidRPr="00407EDB">
        <w:rPr>
          <w:b/>
          <w:sz w:val="24"/>
          <w:szCs w:val="24"/>
        </w:rPr>
        <w:t>kliniske sikkerhedsdata</w:t>
      </w:r>
    </w:p>
    <w:p w14:paraId="59B15D86" w14:textId="77777777" w:rsidR="00A81B1D" w:rsidRPr="00407EDB" w:rsidRDefault="00A81B1D" w:rsidP="00407EDB">
      <w:pPr>
        <w:ind w:left="851"/>
        <w:rPr>
          <w:sz w:val="24"/>
          <w:szCs w:val="24"/>
          <w:lang w:eastAsia="de-DE"/>
        </w:rPr>
      </w:pPr>
      <w:r w:rsidRPr="00407EDB">
        <w:rPr>
          <w:sz w:val="24"/>
          <w:szCs w:val="24"/>
        </w:rPr>
        <w:t>Der er i eksperimentelle studier af akut og kronisk toksicitet ikke påvist toksiske virkninger ved anvendelse af humane terapeutiske doser.</w:t>
      </w:r>
    </w:p>
    <w:p w14:paraId="045DB93F" w14:textId="77777777" w:rsidR="00A81B1D" w:rsidRPr="00407EDB" w:rsidRDefault="00A81B1D" w:rsidP="00407EDB">
      <w:pPr>
        <w:ind w:left="851"/>
        <w:rPr>
          <w:sz w:val="24"/>
          <w:szCs w:val="24"/>
        </w:rPr>
      </w:pPr>
    </w:p>
    <w:p w14:paraId="1A985804" w14:textId="77777777" w:rsidR="00A81B1D" w:rsidRPr="00407EDB" w:rsidRDefault="00A81B1D" w:rsidP="00407EDB">
      <w:pPr>
        <w:ind w:left="851"/>
        <w:rPr>
          <w:sz w:val="24"/>
          <w:szCs w:val="24"/>
        </w:rPr>
      </w:pPr>
      <w:r w:rsidRPr="00407EDB">
        <w:rPr>
          <w:sz w:val="24"/>
          <w:szCs w:val="24"/>
        </w:rPr>
        <w:t xml:space="preserve">I et fertilitetsstudie hos rotter sås nedsat succes af insemination ved eksponering for doser, der lå et godt stykke over den maksimale humane eksponering. Hos kaniner sås fosterdød uden markante </w:t>
      </w:r>
      <w:proofErr w:type="spellStart"/>
      <w:r w:rsidRPr="00407EDB">
        <w:rPr>
          <w:sz w:val="24"/>
          <w:szCs w:val="24"/>
        </w:rPr>
        <w:t>teratogene</w:t>
      </w:r>
      <w:proofErr w:type="spellEnd"/>
      <w:r w:rsidRPr="00407EDB">
        <w:rPr>
          <w:sz w:val="24"/>
          <w:szCs w:val="24"/>
        </w:rPr>
        <w:t xml:space="preserve"> defekter. Betydningen af disse fund for mennesker er ikke kendt.</w:t>
      </w:r>
    </w:p>
    <w:p w14:paraId="617558C8" w14:textId="77777777" w:rsidR="00A81B1D" w:rsidRPr="00407EDB" w:rsidRDefault="00A81B1D" w:rsidP="00407EDB">
      <w:pPr>
        <w:ind w:left="851"/>
        <w:rPr>
          <w:sz w:val="24"/>
          <w:szCs w:val="24"/>
          <w:lang w:val="de-DE"/>
        </w:rPr>
      </w:pPr>
    </w:p>
    <w:p w14:paraId="6DDBEDDC" w14:textId="77777777" w:rsidR="00A81B1D" w:rsidRPr="00407EDB" w:rsidRDefault="00A81B1D" w:rsidP="00407EDB">
      <w:pPr>
        <w:ind w:left="851"/>
        <w:rPr>
          <w:sz w:val="24"/>
          <w:szCs w:val="24"/>
        </w:rPr>
      </w:pPr>
      <w:proofErr w:type="spellStart"/>
      <w:r w:rsidRPr="00407EDB">
        <w:rPr>
          <w:sz w:val="24"/>
          <w:szCs w:val="24"/>
        </w:rPr>
        <w:t>Sumatriptan</w:t>
      </w:r>
      <w:proofErr w:type="spellEnd"/>
      <w:r w:rsidRPr="00407EDB">
        <w:rPr>
          <w:sz w:val="24"/>
          <w:szCs w:val="24"/>
        </w:rPr>
        <w:t xml:space="preserve"> viste ingen genotoksisk eller karcinogen aktivitet </w:t>
      </w:r>
      <w:r w:rsidRPr="00407EDB">
        <w:rPr>
          <w:i/>
          <w:iCs/>
          <w:sz w:val="24"/>
          <w:szCs w:val="24"/>
        </w:rPr>
        <w:t>in-</w:t>
      </w:r>
      <w:proofErr w:type="spellStart"/>
      <w:r w:rsidRPr="00407EDB">
        <w:rPr>
          <w:i/>
          <w:iCs/>
          <w:sz w:val="24"/>
          <w:szCs w:val="24"/>
        </w:rPr>
        <w:t>vitro</w:t>
      </w:r>
      <w:proofErr w:type="spellEnd"/>
      <w:r w:rsidRPr="00407EDB">
        <w:rPr>
          <w:sz w:val="24"/>
          <w:szCs w:val="24"/>
        </w:rPr>
        <w:t xml:space="preserve"> eller i dyreforsøg.</w:t>
      </w:r>
    </w:p>
    <w:p w14:paraId="3A8378A0" w14:textId="77777777" w:rsidR="009260DE" w:rsidRPr="00407EDB" w:rsidRDefault="009260DE" w:rsidP="009260DE">
      <w:pPr>
        <w:tabs>
          <w:tab w:val="left" w:pos="851"/>
        </w:tabs>
        <w:ind w:left="851"/>
        <w:rPr>
          <w:sz w:val="24"/>
          <w:szCs w:val="24"/>
        </w:rPr>
      </w:pPr>
    </w:p>
    <w:p w14:paraId="60B7540F" w14:textId="77777777" w:rsidR="009260DE" w:rsidRPr="00407EDB" w:rsidRDefault="009260DE" w:rsidP="009260DE">
      <w:pPr>
        <w:tabs>
          <w:tab w:val="left" w:pos="851"/>
        </w:tabs>
        <w:ind w:left="851"/>
        <w:rPr>
          <w:sz w:val="24"/>
          <w:szCs w:val="24"/>
        </w:rPr>
      </w:pPr>
    </w:p>
    <w:p w14:paraId="7420BDA8" w14:textId="77777777" w:rsidR="009260DE" w:rsidRPr="00407EDB" w:rsidRDefault="009260DE" w:rsidP="009260DE">
      <w:pPr>
        <w:tabs>
          <w:tab w:val="left" w:pos="851"/>
        </w:tabs>
        <w:ind w:left="851" w:hanging="851"/>
        <w:rPr>
          <w:b/>
          <w:sz w:val="24"/>
          <w:szCs w:val="24"/>
        </w:rPr>
      </w:pPr>
      <w:r w:rsidRPr="00407EDB">
        <w:rPr>
          <w:b/>
          <w:sz w:val="24"/>
          <w:szCs w:val="24"/>
        </w:rPr>
        <w:t>6.</w:t>
      </w:r>
      <w:r w:rsidRPr="00407EDB">
        <w:rPr>
          <w:b/>
          <w:sz w:val="24"/>
          <w:szCs w:val="24"/>
        </w:rPr>
        <w:tab/>
        <w:t>FARMACEUTISKE OPLYSNINGER</w:t>
      </w:r>
    </w:p>
    <w:p w14:paraId="2718B9B0" w14:textId="77777777" w:rsidR="009260DE" w:rsidRPr="00407EDB" w:rsidRDefault="009260DE" w:rsidP="009260DE">
      <w:pPr>
        <w:tabs>
          <w:tab w:val="left" w:pos="851"/>
        </w:tabs>
        <w:ind w:left="851"/>
        <w:rPr>
          <w:sz w:val="24"/>
          <w:szCs w:val="24"/>
        </w:rPr>
      </w:pPr>
    </w:p>
    <w:p w14:paraId="7A985EE3" w14:textId="77777777" w:rsidR="009260DE" w:rsidRPr="00407EDB" w:rsidRDefault="009260DE" w:rsidP="009260DE">
      <w:pPr>
        <w:tabs>
          <w:tab w:val="left" w:pos="851"/>
        </w:tabs>
        <w:ind w:left="851" w:hanging="851"/>
        <w:rPr>
          <w:b/>
          <w:sz w:val="24"/>
          <w:szCs w:val="24"/>
        </w:rPr>
      </w:pPr>
      <w:r w:rsidRPr="00407EDB">
        <w:rPr>
          <w:b/>
          <w:sz w:val="24"/>
          <w:szCs w:val="24"/>
        </w:rPr>
        <w:t>6.1</w:t>
      </w:r>
      <w:r w:rsidRPr="00407EDB">
        <w:rPr>
          <w:b/>
          <w:sz w:val="24"/>
          <w:szCs w:val="24"/>
        </w:rPr>
        <w:tab/>
        <w:t>Hjælpestoffer</w:t>
      </w:r>
    </w:p>
    <w:p w14:paraId="5FC0F6ED" w14:textId="77777777" w:rsidR="00A81B1D" w:rsidRPr="00407EDB" w:rsidRDefault="00A81B1D" w:rsidP="00407EDB">
      <w:pPr>
        <w:ind w:left="851"/>
        <w:rPr>
          <w:sz w:val="24"/>
          <w:szCs w:val="24"/>
          <w:lang w:eastAsia="de-DE"/>
        </w:rPr>
      </w:pPr>
      <w:proofErr w:type="spellStart"/>
      <w:r w:rsidRPr="00407EDB">
        <w:rPr>
          <w:sz w:val="24"/>
          <w:szCs w:val="24"/>
        </w:rPr>
        <w:t>Natriumchlorid</w:t>
      </w:r>
      <w:proofErr w:type="spellEnd"/>
    </w:p>
    <w:p w14:paraId="08CDCC6D" w14:textId="77777777" w:rsidR="00A81B1D" w:rsidRPr="00407EDB" w:rsidRDefault="00A81B1D" w:rsidP="00407EDB">
      <w:pPr>
        <w:ind w:left="851"/>
        <w:rPr>
          <w:sz w:val="24"/>
          <w:szCs w:val="24"/>
        </w:rPr>
      </w:pPr>
      <w:r w:rsidRPr="00407EDB">
        <w:rPr>
          <w:sz w:val="24"/>
          <w:szCs w:val="24"/>
        </w:rPr>
        <w:t>Vand til injektionsvæsker</w:t>
      </w:r>
    </w:p>
    <w:p w14:paraId="5875C173" w14:textId="77777777" w:rsidR="009260DE" w:rsidRPr="00407EDB" w:rsidRDefault="009260DE" w:rsidP="009260DE">
      <w:pPr>
        <w:tabs>
          <w:tab w:val="left" w:pos="851"/>
        </w:tabs>
        <w:ind w:left="851"/>
        <w:rPr>
          <w:sz w:val="24"/>
          <w:szCs w:val="24"/>
        </w:rPr>
      </w:pPr>
    </w:p>
    <w:p w14:paraId="388B323E" w14:textId="77777777" w:rsidR="009260DE" w:rsidRPr="00407EDB" w:rsidRDefault="009260DE" w:rsidP="009260DE">
      <w:pPr>
        <w:tabs>
          <w:tab w:val="left" w:pos="851"/>
        </w:tabs>
        <w:ind w:left="851" w:hanging="851"/>
        <w:rPr>
          <w:b/>
          <w:sz w:val="24"/>
          <w:szCs w:val="24"/>
        </w:rPr>
      </w:pPr>
      <w:r w:rsidRPr="00407EDB">
        <w:rPr>
          <w:b/>
          <w:sz w:val="24"/>
          <w:szCs w:val="24"/>
        </w:rPr>
        <w:t>6.2</w:t>
      </w:r>
      <w:r w:rsidRPr="00407EDB">
        <w:rPr>
          <w:b/>
          <w:sz w:val="24"/>
          <w:szCs w:val="24"/>
        </w:rPr>
        <w:tab/>
        <w:t>Uforligeligheder</w:t>
      </w:r>
    </w:p>
    <w:p w14:paraId="6448D1C1" w14:textId="77777777" w:rsidR="00A81B1D" w:rsidRPr="00407EDB" w:rsidRDefault="00A81B1D" w:rsidP="00407EDB">
      <w:pPr>
        <w:ind w:left="851"/>
        <w:rPr>
          <w:sz w:val="24"/>
          <w:szCs w:val="24"/>
          <w:lang w:eastAsia="de-DE"/>
        </w:rPr>
      </w:pPr>
      <w:r w:rsidRPr="00407EDB">
        <w:rPr>
          <w:sz w:val="24"/>
          <w:szCs w:val="24"/>
        </w:rPr>
        <w:t>Hvis der ikke foreligger kompatibilitetsundersøgelser, må dette lægemiddel ikke blandes med andre lægemidler.</w:t>
      </w:r>
    </w:p>
    <w:p w14:paraId="31FFDF7A" w14:textId="77777777" w:rsidR="009260DE" w:rsidRPr="00407EDB" w:rsidRDefault="009260DE" w:rsidP="009260DE">
      <w:pPr>
        <w:tabs>
          <w:tab w:val="left" w:pos="851"/>
        </w:tabs>
        <w:ind w:left="851"/>
        <w:rPr>
          <w:sz w:val="24"/>
          <w:szCs w:val="24"/>
        </w:rPr>
      </w:pPr>
    </w:p>
    <w:p w14:paraId="402D17AC" w14:textId="77777777" w:rsidR="009260DE" w:rsidRPr="00407EDB" w:rsidRDefault="009260DE" w:rsidP="009260DE">
      <w:pPr>
        <w:tabs>
          <w:tab w:val="left" w:pos="851"/>
        </w:tabs>
        <w:ind w:left="851" w:hanging="851"/>
        <w:rPr>
          <w:b/>
          <w:sz w:val="24"/>
          <w:szCs w:val="24"/>
        </w:rPr>
      </w:pPr>
      <w:r w:rsidRPr="00407EDB">
        <w:rPr>
          <w:b/>
          <w:sz w:val="24"/>
          <w:szCs w:val="24"/>
        </w:rPr>
        <w:t>6.3</w:t>
      </w:r>
      <w:r w:rsidRPr="00407EDB">
        <w:rPr>
          <w:b/>
          <w:sz w:val="24"/>
          <w:szCs w:val="24"/>
        </w:rPr>
        <w:tab/>
        <w:t>Opbevaringstid</w:t>
      </w:r>
    </w:p>
    <w:p w14:paraId="08788E8E" w14:textId="0AD2506F" w:rsidR="00A81B1D" w:rsidRPr="00407EDB" w:rsidRDefault="00A81B1D" w:rsidP="00407EDB">
      <w:pPr>
        <w:ind w:left="851"/>
        <w:rPr>
          <w:sz w:val="24"/>
          <w:szCs w:val="24"/>
          <w:lang w:eastAsia="de-DE"/>
        </w:rPr>
      </w:pPr>
      <w:r w:rsidRPr="00407EDB">
        <w:rPr>
          <w:sz w:val="24"/>
          <w:szCs w:val="24"/>
        </w:rPr>
        <w:t>2 år</w:t>
      </w:r>
      <w:r w:rsidR="00234A8B">
        <w:rPr>
          <w:sz w:val="24"/>
          <w:szCs w:val="24"/>
        </w:rPr>
        <w:t>.</w:t>
      </w:r>
    </w:p>
    <w:p w14:paraId="0ACA8AC0" w14:textId="77777777" w:rsidR="009260DE" w:rsidRPr="00407EDB" w:rsidRDefault="009260DE" w:rsidP="009260DE">
      <w:pPr>
        <w:tabs>
          <w:tab w:val="left" w:pos="851"/>
        </w:tabs>
        <w:ind w:left="851"/>
        <w:rPr>
          <w:sz w:val="24"/>
          <w:szCs w:val="24"/>
        </w:rPr>
      </w:pPr>
    </w:p>
    <w:p w14:paraId="173998E8" w14:textId="77777777" w:rsidR="009260DE" w:rsidRPr="00407EDB" w:rsidRDefault="009260DE" w:rsidP="009260DE">
      <w:pPr>
        <w:tabs>
          <w:tab w:val="left" w:pos="851"/>
        </w:tabs>
        <w:ind w:left="851" w:hanging="851"/>
        <w:rPr>
          <w:b/>
          <w:sz w:val="24"/>
          <w:szCs w:val="24"/>
        </w:rPr>
      </w:pPr>
      <w:r w:rsidRPr="00407EDB">
        <w:rPr>
          <w:b/>
          <w:sz w:val="24"/>
          <w:szCs w:val="24"/>
        </w:rPr>
        <w:t>6.4</w:t>
      </w:r>
      <w:r w:rsidRPr="00407EDB">
        <w:rPr>
          <w:b/>
          <w:sz w:val="24"/>
          <w:szCs w:val="24"/>
        </w:rPr>
        <w:tab/>
        <w:t>Særlige opbevaringsforhold</w:t>
      </w:r>
    </w:p>
    <w:p w14:paraId="262A7215" w14:textId="77777777" w:rsidR="00234A8B" w:rsidRDefault="00A81B1D" w:rsidP="00407EDB">
      <w:pPr>
        <w:ind w:left="851"/>
        <w:rPr>
          <w:sz w:val="24"/>
          <w:szCs w:val="24"/>
        </w:rPr>
      </w:pPr>
      <w:r w:rsidRPr="00407EDB">
        <w:rPr>
          <w:sz w:val="24"/>
          <w:szCs w:val="24"/>
        </w:rPr>
        <w:t>Må ikke opbevares ved temperaturer over 25 °C.</w:t>
      </w:r>
    </w:p>
    <w:p w14:paraId="69537E3F" w14:textId="43D03913" w:rsidR="00A81B1D" w:rsidRPr="00407EDB" w:rsidRDefault="00A81B1D" w:rsidP="00407EDB">
      <w:pPr>
        <w:ind w:left="851"/>
        <w:rPr>
          <w:sz w:val="24"/>
          <w:szCs w:val="24"/>
          <w:lang w:eastAsia="de-DE"/>
        </w:rPr>
      </w:pPr>
      <w:r w:rsidRPr="00407EDB">
        <w:rPr>
          <w:sz w:val="24"/>
          <w:szCs w:val="24"/>
        </w:rPr>
        <w:t>Opbevares i den originale emballage for at beskytte mod lys.</w:t>
      </w:r>
    </w:p>
    <w:p w14:paraId="31686CCE" w14:textId="77777777" w:rsidR="009260DE" w:rsidRPr="00407EDB" w:rsidRDefault="009260DE" w:rsidP="009260DE">
      <w:pPr>
        <w:tabs>
          <w:tab w:val="left" w:pos="851"/>
        </w:tabs>
        <w:ind w:left="851"/>
        <w:rPr>
          <w:sz w:val="24"/>
          <w:szCs w:val="24"/>
        </w:rPr>
      </w:pPr>
    </w:p>
    <w:p w14:paraId="0E22DD73" w14:textId="77777777" w:rsidR="009260DE" w:rsidRPr="00407EDB" w:rsidRDefault="009260DE" w:rsidP="009260DE">
      <w:pPr>
        <w:tabs>
          <w:tab w:val="left" w:pos="851"/>
        </w:tabs>
        <w:ind w:left="851" w:hanging="851"/>
        <w:rPr>
          <w:b/>
          <w:sz w:val="24"/>
          <w:szCs w:val="24"/>
        </w:rPr>
      </w:pPr>
      <w:r w:rsidRPr="00407EDB">
        <w:rPr>
          <w:b/>
          <w:sz w:val="24"/>
          <w:szCs w:val="24"/>
        </w:rPr>
        <w:t>6.5</w:t>
      </w:r>
      <w:r w:rsidRPr="00407EDB">
        <w:rPr>
          <w:b/>
          <w:sz w:val="24"/>
          <w:szCs w:val="24"/>
        </w:rPr>
        <w:tab/>
        <w:t>Emballagetype og pakningsstørrelser</w:t>
      </w:r>
    </w:p>
    <w:p w14:paraId="4E8C9340" w14:textId="77777777" w:rsidR="00A81B1D" w:rsidRPr="00407EDB" w:rsidRDefault="00A81B1D" w:rsidP="00407EDB">
      <w:pPr>
        <w:ind w:left="851"/>
        <w:rPr>
          <w:sz w:val="24"/>
          <w:szCs w:val="24"/>
          <w:lang w:eastAsia="de-DE"/>
        </w:rPr>
      </w:pPr>
      <w:r w:rsidRPr="00407EDB">
        <w:rPr>
          <w:sz w:val="24"/>
          <w:szCs w:val="24"/>
        </w:rPr>
        <w:t xml:space="preserve">Fyldt pen bestående af en aflang 1 ml-sprøjtekrop fremstillet af klart type 1-glas, med tilskåret flange og fastgjort kanyle (29 gauge, ½ tomme 5-skråkant), lukket med en stiv gennemsigtig </w:t>
      </w:r>
      <w:proofErr w:type="spellStart"/>
      <w:r w:rsidRPr="00407EDB">
        <w:rPr>
          <w:sz w:val="24"/>
          <w:szCs w:val="24"/>
        </w:rPr>
        <w:t>penhætte</w:t>
      </w:r>
      <w:proofErr w:type="spellEnd"/>
      <w:r w:rsidRPr="00407EDB">
        <w:rPr>
          <w:sz w:val="24"/>
          <w:szCs w:val="24"/>
        </w:rPr>
        <w:t xml:space="preserve">, steril sort </w:t>
      </w:r>
      <w:proofErr w:type="spellStart"/>
      <w:r w:rsidRPr="00407EDB">
        <w:rPr>
          <w:sz w:val="24"/>
          <w:szCs w:val="24"/>
        </w:rPr>
        <w:t>chlorobutylstempelprop</w:t>
      </w:r>
      <w:proofErr w:type="spellEnd"/>
      <w:r w:rsidRPr="00407EDB">
        <w:rPr>
          <w:sz w:val="24"/>
          <w:szCs w:val="24"/>
        </w:rPr>
        <w:t xml:space="preserve"> og pakket i en æske.</w:t>
      </w:r>
    </w:p>
    <w:p w14:paraId="01F9D95E" w14:textId="77777777" w:rsidR="00A81B1D" w:rsidRPr="00407EDB" w:rsidRDefault="00A81B1D" w:rsidP="00407EDB">
      <w:pPr>
        <w:ind w:left="851"/>
        <w:rPr>
          <w:sz w:val="24"/>
          <w:szCs w:val="24"/>
        </w:rPr>
      </w:pPr>
    </w:p>
    <w:p w14:paraId="691499D4" w14:textId="77777777" w:rsidR="00A81B1D" w:rsidRPr="00407EDB" w:rsidRDefault="00A81B1D" w:rsidP="00407EDB">
      <w:pPr>
        <w:ind w:left="851"/>
        <w:rPr>
          <w:sz w:val="24"/>
          <w:szCs w:val="24"/>
        </w:rPr>
      </w:pPr>
      <w:r w:rsidRPr="00407EDB">
        <w:rPr>
          <w:sz w:val="24"/>
          <w:szCs w:val="24"/>
        </w:rPr>
        <w:t xml:space="preserve">Den samlede mængde opløsning i en fyldt pen er 0,5 ml. </w:t>
      </w:r>
    </w:p>
    <w:p w14:paraId="565E3A13" w14:textId="77777777" w:rsidR="00A81B1D" w:rsidRPr="00407EDB" w:rsidRDefault="00A81B1D" w:rsidP="00407EDB">
      <w:pPr>
        <w:ind w:left="851"/>
        <w:rPr>
          <w:sz w:val="24"/>
          <w:szCs w:val="24"/>
        </w:rPr>
      </w:pPr>
    </w:p>
    <w:p w14:paraId="77E6D67F" w14:textId="0C907576" w:rsidR="00A81B1D" w:rsidRPr="00407EDB" w:rsidRDefault="00A81B1D" w:rsidP="00407EDB">
      <w:pPr>
        <w:ind w:left="851"/>
        <w:rPr>
          <w:sz w:val="24"/>
          <w:szCs w:val="24"/>
        </w:rPr>
      </w:pPr>
      <w:r w:rsidRPr="00407EDB">
        <w:rPr>
          <w:sz w:val="24"/>
          <w:szCs w:val="24"/>
        </w:rPr>
        <w:t>Pakningsstørrelse</w:t>
      </w:r>
      <w:r w:rsidR="00CA1224">
        <w:rPr>
          <w:sz w:val="24"/>
          <w:szCs w:val="24"/>
        </w:rPr>
        <w:t>r</w:t>
      </w:r>
      <w:r w:rsidRPr="00407EDB">
        <w:rPr>
          <w:sz w:val="24"/>
          <w:szCs w:val="24"/>
        </w:rPr>
        <w:t xml:space="preserve">: 1, 2, 6 </w:t>
      </w:r>
      <w:r w:rsidR="00CA1224">
        <w:rPr>
          <w:sz w:val="24"/>
          <w:szCs w:val="24"/>
        </w:rPr>
        <w:t>og</w:t>
      </w:r>
      <w:r w:rsidRPr="00407EDB">
        <w:rPr>
          <w:sz w:val="24"/>
          <w:szCs w:val="24"/>
        </w:rPr>
        <w:t xml:space="preserve"> 12 fyldte penne.</w:t>
      </w:r>
    </w:p>
    <w:p w14:paraId="70375437" w14:textId="77777777" w:rsidR="00A81B1D" w:rsidRPr="00407EDB" w:rsidRDefault="00A81B1D" w:rsidP="00407EDB">
      <w:pPr>
        <w:ind w:left="851"/>
        <w:rPr>
          <w:sz w:val="24"/>
          <w:szCs w:val="24"/>
        </w:rPr>
      </w:pPr>
      <w:r w:rsidRPr="00407EDB">
        <w:rPr>
          <w:sz w:val="24"/>
          <w:szCs w:val="24"/>
        </w:rPr>
        <w:t>Ikke alle pakningsstørrelser er nødvendigvis markedsført.</w:t>
      </w:r>
    </w:p>
    <w:p w14:paraId="22B9279A" w14:textId="77777777" w:rsidR="009260DE" w:rsidRPr="00407EDB" w:rsidRDefault="009260DE" w:rsidP="009260DE">
      <w:pPr>
        <w:tabs>
          <w:tab w:val="left" w:pos="851"/>
        </w:tabs>
        <w:ind w:left="851"/>
        <w:rPr>
          <w:sz w:val="24"/>
          <w:szCs w:val="24"/>
        </w:rPr>
      </w:pPr>
    </w:p>
    <w:p w14:paraId="34310C1F" w14:textId="77777777" w:rsidR="009260DE" w:rsidRPr="00407EDB" w:rsidRDefault="009260DE" w:rsidP="009260DE">
      <w:pPr>
        <w:tabs>
          <w:tab w:val="left" w:pos="851"/>
        </w:tabs>
        <w:ind w:left="851" w:hanging="851"/>
        <w:rPr>
          <w:b/>
          <w:sz w:val="24"/>
          <w:szCs w:val="24"/>
        </w:rPr>
      </w:pPr>
      <w:r w:rsidRPr="00407EDB">
        <w:rPr>
          <w:b/>
          <w:sz w:val="24"/>
          <w:szCs w:val="24"/>
        </w:rPr>
        <w:t>6.6</w:t>
      </w:r>
      <w:r w:rsidRPr="00407EDB">
        <w:rPr>
          <w:b/>
          <w:sz w:val="24"/>
          <w:szCs w:val="24"/>
        </w:rPr>
        <w:tab/>
        <w:t xml:space="preserve">Regler for </w:t>
      </w:r>
      <w:r w:rsidR="00BD7931" w:rsidRPr="00407EDB">
        <w:rPr>
          <w:b/>
          <w:sz w:val="24"/>
          <w:szCs w:val="24"/>
        </w:rPr>
        <w:t>bortskaffelse</w:t>
      </w:r>
      <w:r w:rsidRPr="00407EDB">
        <w:rPr>
          <w:b/>
          <w:sz w:val="24"/>
          <w:szCs w:val="24"/>
        </w:rPr>
        <w:t xml:space="preserve"> og anden håndtering</w:t>
      </w:r>
    </w:p>
    <w:p w14:paraId="28A4BF0A" w14:textId="760B8E1D" w:rsidR="00A81B1D" w:rsidRDefault="00A81B1D" w:rsidP="00407EDB">
      <w:pPr>
        <w:ind w:left="851"/>
        <w:rPr>
          <w:sz w:val="24"/>
          <w:szCs w:val="24"/>
          <w:lang w:eastAsia="de-DE"/>
        </w:rPr>
      </w:pPr>
    </w:p>
    <w:p w14:paraId="5341BC79" w14:textId="57F35E60" w:rsidR="00A81B1D" w:rsidRDefault="00A81B1D" w:rsidP="00407EDB">
      <w:pPr>
        <w:ind w:left="851"/>
        <w:rPr>
          <w:b/>
          <w:i/>
          <w:sz w:val="24"/>
          <w:szCs w:val="24"/>
        </w:rPr>
      </w:pPr>
      <w:r w:rsidRPr="004E35C4">
        <w:rPr>
          <w:b/>
          <w:i/>
          <w:sz w:val="24"/>
          <w:szCs w:val="24"/>
        </w:rPr>
        <w:t>Brugsanvisning</w:t>
      </w:r>
    </w:p>
    <w:p w14:paraId="2E7870A7" w14:textId="77777777" w:rsidR="004E35C4" w:rsidRPr="004E35C4" w:rsidRDefault="004E35C4" w:rsidP="00407EDB">
      <w:pPr>
        <w:ind w:left="851"/>
        <w:rPr>
          <w:b/>
          <w:sz w:val="24"/>
          <w:szCs w:val="24"/>
        </w:rPr>
      </w:pPr>
    </w:p>
    <w:tbl>
      <w:tblPr>
        <w:tblW w:w="8788" w:type="dxa"/>
        <w:tblInd w:w="846" w:type="dxa"/>
        <w:tblLayout w:type="fixed"/>
        <w:tblLook w:val="04A0" w:firstRow="1" w:lastRow="0" w:firstColumn="1" w:lastColumn="0" w:noHBand="0" w:noVBand="1"/>
      </w:tblPr>
      <w:tblGrid>
        <w:gridCol w:w="6384"/>
        <w:gridCol w:w="310"/>
        <w:gridCol w:w="2094"/>
      </w:tblGrid>
      <w:tr w:rsidR="00A81B1D" w:rsidRPr="00407EDB" w14:paraId="2F73DC7C" w14:textId="77777777" w:rsidTr="00CA1224">
        <w:tc>
          <w:tcPr>
            <w:tcW w:w="6384" w:type="dxa"/>
            <w:hideMark/>
          </w:tcPr>
          <w:p w14:paraId="1BE83FA2" w14:textId="77777777" w:rsidR="00A81B1D" w:rsidRPr="00407EDB" w:rsidRDefault="00A81B1D">
            <w:pPr>
              <w:rPr>
                <w:bCs/>
                <w:sz w:val="24"/>
                <w:szCs w:val="24"/>
              </w:rPr>
            </w:pPr>
            <w:r w:rsidRPr="00407EDB">
              <w:rPr>
                <w:sz w:val="24"/>
                <w:szCs w:val="24"/>
              </w:rPr>
              <w:t>SÅDAN BRUGES DEN FYLDTE PEN</w:t>
            </w:r>
          </w:p>
        </w:tc>
        <w:tc>
          <w:tcPr>
            <w:tcW w:w="2404" w:type="dxa"/>
            <w:gridSpan w:val="2"/>
            <w:hideMark/>
          </w:tcPr>
          <w:p w14:paraId="37DDDCE1" w14:textId="77777777" w:rsidR="00A81B1D" w:rsidRPr="00CA1224" w:rsidRDefault="00A81B1D">
            <w:pPr>
              <w:rPr>
                <w:b/>
                <w:bCs/>
                <w:sz w:val="24"/>
                <w:szCs w:val="24"/>
              </w:rPr>
            </w:pPr>
            <w:r w:rsidRPr="00CA1224">
              <w:rPr>
                <w:b/>
                <w:sz w:val="24"/>
                <w:szCs w:val="24"/>
              </w:rPr>
              <w:t>Figur 1</w:t>
            </w:r>
          </w:p>
          <w:p w14:paraId="556F71F6" w14:textId="77777777" w:rsidR="00A81B1D" w:rsidRPr="00407EDB" w:rsidRDefault="00A81B1D">
            <w:pPr>
              <w:rPr>
                <w:bCs/>
                <w:sz w:val="24"/>
                <w:szCs w:val="24"/>
              </w:rPr>
            </w:pPr>
            <w:r w:rsidRPr="00CA1224">
              <w:rPr>
                <w:b/>
                <w:sz w:val="24"/>
                <w:szCs w:val="24"/>
              </w:rPr>
              <w:t>(fyldt pen set forfra)</w:t>
            </w:r>
          </w:p>
        </w:tc>
      </w:tr>
      <w:tr w:rsidR="00A81B1D" w:rsidRPr="00407EDB" w14:paraId="0D3DC011" w14:textId="77777777" w:rsidTr="00407EDB">
        <w:tc>
          <w:tcPr>
            <w:tcW w:w="8788" w:type="dxa"/>
            <w:gridSpan w:val="3"/>
            <w:hideMark/>
          </w:tcPr>
          <w:p w14:paraId="0ADE4D07" w14:textId="2C00C11B" w:rsidR="00A81B1D" w:rsidRPr="00407EDB" w:rsidRDefault="00F61DD2">
            <w:pPr>
              <w:rPr>
                <w:sz w:val="24"/>
                <w:szCs w:val="24"/>
              </w:rPr>
            </w:pPr>
            <w:proofErr w:type="spellStart"/>
            <w:r>
              <w:rPr>
                <w:b/>
                <w:sz w:val="24"/>
                <w:szCs w:val="24"/>
              </w:rPr>
              <w:t>Sumatriptan</w:t>
            </w:r>
            <w:proofErr w:type="spellEnd"/>
            <w:r>
              <w:rPr>
                <w:b/>
                <w:sz w:val="24"/>
                <w:szCs w:val="24"/>
              </w:rPr>
              <w:t xml:space="preserve"> "</w:t>
            </w:r>
            <w:proofErr w:type="spellStart"/>
            <w:r>
              <w:rPr>
                <w:b/>
                <w:sz w:val="24"/>
                <w:szCs w:val="24"/>
              </w:rPr>
              <w:t>Advanz</w:t>
            </w:r>
            <w:proofErr w:type="spellEnd"/>
            <w:r>
              <w:rPr>
                <w:b/>
                <w:sz w:val="24"/>
                <w:szCs w:val="24"/>
              </w:rPr>
              <w:t xml:space="preserve"> Pharma"</w:t>
            </w:r>
          </w:p>
        </w:tc>
      </w:tr>
      <w:tr w:rsidR="00A81B1D" w:rsidRPr="00407EDB" w14:paraId="0F583B95" w14:textId="77777777" w:rsidTr="00407EDB">
        <w:tc>
          <w:tcPr>
            <w:tcW w:w="8788" w:type="dxa"/>
            <w:gridSpan w:val="3"/>
          </w:tcPr>
          <w:p w14:paraId="14FDFA56" w14:textId="77777777" w:rsidR="00A81B1D" w:rsidRPr="00407EDB" w:rsidRDefault="00A81B1D">
            <w:pPr>
              <w:numPr>
                <w:ilvl w:val="12"/>
                <w:numId w:val="0"/>
              </w:numPr>
              <w:ind w:right="-2"/>
              <w:rPr>
                <w:sz w:val="24"/>
                <w:szCs w:val="24"/>
              </w:rPr>
            </w:pPr>
            <w:r w:rsidRPr="00407EDB">
              <w:rPr>
                <w:sz w:val="24"/>
                <w:szCs w:val="24"/>
              </w:rPr>
              <w:t xml:space="preserve">Nedenstående tekst er en vejledning i brugen af den fyldte </w:t>
            </w:r>
            <w:proofErr w:type="spellStart"/>
            <w:r w:rsidRPr="00407EDB">
              <w:rPr>
                <w:sz w:val="24"/>
                <w:szCs w:val="24"/>
              </w:rPr>
              <w:t>sumatriptan</w:t>
            </w:r>
            <w:proofErr w:type="spellEnd"/>
            <w:r w:rsidRPr="00407EDB">
              <w:rPr>
                <w:sz w:val="24"/>
                <w:szCs w:val="24"/>
              </w:rPr>
              <w:t>-pen.</w:t>
            </w:r>
          </w:p>
          <w:p w14:paraId="6E796485" w14:textId="77777777" w:rsidR="00A81B1D" w:rsidRPr="00407EDB" w:rsidRDefault="00A81B1D">
            <w:pPr>
              <w:numPr>
                <w:ilvl w:val="12"/>
                <w:numId w:val="0"/>
              </w:numPr>
              <w:ind w:right="-2"/>
              <w:rPr>
                <w:sz w:val="24"/>
                <w:szCs w:val="24"/>
              </w:rPr>
            </w:pPr>
            <w:r w:rsidRPr="00407EDB">
              <w:rPr>
                <w:sz w:val="24"/>
                <w:szCs w:val="24"/>
              </w:rPr>
              <w:t xml:space="preserve">Den person, der skal bruge den fyldte </w:t>
            </w:r>
            <w:proofErr w:type="spellStart"/>
            <w:r w:rsidRPr="00407EDB">
              <w:rPr>
                <w:sz w:val="24"/>
                <w:szCs w:val="24"/>
              </w:rPr>
              <w:t>sumatriptan</w:t>
            </w:r>
            <w:proofErr w:type="spellEnd"/>
            <w:r w:rsidRPr="00407EDB">
              <w:rPr>
                <w:sz w:val="24"/>
                <w:szCs w:val="24"/>
              </w:rPr>
              <w:t xml:space="preserve">-pen, skal læse vejledningen grundigt før påbegyndelse af injektionen. </w:t>
            </w:r>
          </w:p>
          <w:p w14:paraId="421233C2" w14:textId="77777777" w:rsidR="00A81B1D" w:rsidRPr="00407EDB" w:rsidRDefault="00A81B1D">
            <w:pPr>
              <w:numPr>
                <w:ilvl w:val="12"/>
                <w:numId w:val="0"/>
              </w:numPr>
              <w:rPr>
                <w:sz w:val="24"/>
                <w:szCs w:val="24"/>
              </w:rPr>
            </w:pPr>
            <w:r w:rsidRPr="00407EDB">
              <w:rPr>
                <w:sz w:val="24"/>
                <w:szCs w:val="24"/>
              </w:rPr>
              <w:t>Kun til brug hos patienter, der har fået ordineret en dosis på 6 mg.</w:t>
            </w:r>
          </w:p>
          <w:p w14:paraId="4F58739D" w14:textId="77777777" w:rsidR="00A81B1D" w:rsidRPr="00407EDB" w:rsidRDefault="00A81B1D">
            <w:pPr>
              <w:rPr>
                <w:b/>
                <w:bCs/>
                <w:sz w:val="24"/>
                <w:szCs w:val="24"/>
              </w:rPr>
            </w:pPr>
          </w:p>
        </w:tc>
      </w:tr>
      <w:tr w:rsidR="00A81B1D" w:rsidRPr="00407EDB" w14:paraId="61F304FE" w14:textId="77777777" w:rsidTr="00407EDB">
        <w:tc>
          <w:tcPr>
            <w:tcW w:w="8788" w:type="dxa"/>
            <w:gridSpan w:val="3"/>
            <w:hideMark/>
          </w:tcPr>
          <w:p w14:paraId="46F28C09" w14:textId="77777777" w:rsidR="00A81B1D" w:rsidRPr="00407EDB" w:rsidRDefault="00A81B1D">
            <w:pPr>
              <w:rPr>
                <w:b/>
                <w:bCs/>
                <w:sz w:val="24"/>
                <w:szCs w:val="24"/>
              </w:rPr>
            </w:pPr>
            <w:r w:rsidRPr="00407EDB">
              <w:rPr>
                <w:b/>
                <w:sz w:val="24"/>
                <w:szCs w:val="24"/>
              </w:rPr>
              <w:lastRenderedPageBreak/>
              <w:t>Personen, der bruger den fyldte pen, skal være opmærksom på følgende:</w:t>
            </w:r>
          </w:p>
        </w:tc>
      </w:tr>
      <w:tr w:rsidR="00A81B1D" w:rsidRPr="00407EDB" w14:paraId="5A953E9E" w14:textId="77777777" w:rsidTr="00407EDB">
        <w:tc>
          <w:tcPr>
            <w:tcW w:w="8788" w:type="dxa"/>
            <w:gridSpan w:val="3"/>
            <w:hideMark/>
          </w:tcPr>
          <w:p w14:paraId="4313684E" w14:textId="77777777" w:rsidR="00A81B1D" w:rsidRPr="00407EDB" w:rsidRDefault="00A81B1D">
            <w:pPr>
              <w:ind w:left="567" w:hanging="567"/>
              <w:rPr>
                <w:sz w:val="24"/>
                <w:szCs w:val="24"/>
              </w:rPr>
            </w:pPr>
            <w:r w:rsidRPr="00407EDB">
              <w:rPr>
                <w:sz w:val="24"/>
                <w:szCs w:val="24"/>
              </w:rPr>
              <w:t>•</w:t>
            </w:r>
            <w:r w:rsidRPr="00407EDB">
              <w:rPr>
                <w:sz w:val="24"/>
                <w:szCs w:val="24"/>
              </w:rPr>
              <w:tab/>
              <w:t xml:space="preserve">Tjek udseendet af </w:t>
            </w:r>
            <w:proofErr w:type="spellStart"/>
            <w:r w:rsidRPr="00407EDB">
              <w:rPr>
                <w:sz w:val="24"/>
                <w:szCs w:val="24"/>
              </w:rPr>
              <w:t>sumatriptan</w:t>
            </w:r>
            <w:proofErr w:type="spellEnd"/>
            <w:r w:rsidRPr="00407EDB">
              <w:rPr>
                <w:sz w:val="24"/>
                <w:szCs w:val="24"/>
              </w:rPr>
              <w:t xml:space="preserve"> gennem </w:t>
            </w:r>
            <w:proofErr w:type="spellStart"/>
            <w:r w:rsidRPr="00407EDB">
              <w:rPr>
                <w:sz w:val="24"/>
                <w:szCs w:val="24"/>
              </w:rPr>
              <w:t>penvinduet</w:t>
            </w:r>
            <w:proofErr w:type="spellEnd"/>
            <w:r w:rsidRPr="00407EDB">
              <w:rPr>
                <w:sz w:val="24"/>
                <w:szCs w:val="24"/>
              </w:rPr>
              <w:t xml:space="preserve"> (fig. 1). Opløsningen skal være klar, farveløs og bleggul. Indgiv ikke opløsningen, hvis den fremstår misfarvet eller uklar eller indeholder klumper, flager eller partikler.</w:t>
            </w:r>
          </w:p>
        </w:tc>
      </w:tr>
      <w:tr w:rsidR="00A81B1D" w:rsidRPr="00407EDB" w14:paraId="758655BD" w14:textId="77777777" w:rsidTr="00407EDB">
        <w:tc>
          <w:tcPr>
            <w:tcW w:w="8788" w:type="dxa"/>
            <w:gridSpan w:val="3"/>
            <w:hideMark/>
          </w:tcPr>
          <w:p w14:paraId="2A901BC6" w14:textId="77777777" w:rsidR="00A81B1D" w:rsidRPr="00407EDB" w:rsidRDefault="00A81B1D">
            <w:pPr>
              <w:ind w:left="567" w:hanging="567"/>
              <w:rPr>
                <w:sz w:val="24"/>
                <w:szCs w:val="24"/>
              </w:rPr>
            </w:pPr>
            <w:r w:rsidRPr="00407EDB">
              <w:rPr>
                <w:sz w:val="24"/>
                <w:szCs w:val="24"/>
              </w:rPr>
              <w:t>•</w:t>
            </w:r>
            <w:r w:rsidRPr="00407EDB">
              <w:rPr>
                <w:sz w:val="24"/>
                <w:szCs w:val="24"/>
              </w:rPr>
              <w:tab/>
              <w:t xml:space="preserve">Fjern ikke den gennemsigtige </w:t>
            </w:r>
            <w:proofErr w:type="spellStart"/>
            <w:r w:rsidRPr="00407EDB">
              <w:rPr>
                <w:sz w:val="24"/>
                <w:szCs w:val="24"/>
              </w:rPr>
              <w:t>penhætte</w:t>
            </w:r>
            <w:proofErr w:type="spellEnd"/>
            <w:r w:rsidRPr="00407EDB">
              <w:rPr>
                <w:sz w:val="24"/>
                <w:szCs w:val="24"/>
              </w:rPr>
              <w:t xml:space="preserve"> fra den fyldte pen, før du er klar til at injicere.</w:t>
            </w:r>
          </w:p>
        </w:tc>
      </w:tr>
      <w:tr w:rsidR="00A81B1D" w:rsidRPr="00407EDB" w14:paraId="7A70ED33" w14:textId="77777777" w:rsidTr="00407EDB">
        <w:tc>
          <w:tcPr>
            <w:tcW w:w="8788" w:type="dxa"/>
            <w:gridSpan w:val="3"/>
            <w:hideMark/>
          </w:tcPr>
          <w:p w14:paraId="3D94398F" w14:textId="77777777" w:rsidR="00A81B1D" w:rsidRPr="00407EDB" w:rsidRDefault="00A81B1D">
            <w:pPr>
              <w:ind w:left="567" w:hanging="567"/>
              <w:rPr>
                <w:sz w:val="24"/>
                <w:szCs w:val="24"/>
              </w:rPr>
            </w:pPr>
            <w:r w:rsidRPr="00407EDB">
              <w:rPr>
                <w:sz w:val="24"/>
                <w:szCs w:val="24"/>
              </w:rPr>
              <w:t>•</w:t>
            </w:r>
            <w:r w:rsidRPr="00407EDB">
              <w:rPr>
                <w:sz w:val="24"/>
                <w:szCs w:val="24"/>
              </w:rPr>
              <w:tab/>
              <w:t xml:space="preserve">Sæt IKKE den gennemsigtige </w:t>
            </w:r>
            <w:proofErr w:type="spellStart"/>
            <w:r w:rsidRPr="00407EDB">
              <w:rPr>
                <w:sz w:val="24"/>
                <w:szCs w:val="24"/>
              </w:rPr>
              <w:t>penhætte</w:t>
            </w:r>
            <w:proofErr w:type="spellEnd"/>
            <w:r w:rsidRPr="00407EDB">
              <w:rPr>
                <w:sz w:val="24"/>
                <w:szCs w:val="24"/>
              </w:rPr>
              <w:t xml:space="preserve"> tilbage på den fyldte pen.</w:t>
            </w:r>
          </w:p>
        </w:tc>
      </w:tr>
      <w:tr w:rsidR="00A81B1D" w:rsidRPr="00407EDB" w14:paraId="56AC205E" w14:textId="77777777" w:rsidTr="00407EDB">
        <w:tc>
          <w:tcPr>
            <w:tcW w:w="8788" w:type="dxa"/>
            <w:gridSpan w:val="3"/>
            <w:hideMark/>
          </w:tcPr>
          <w:p w14:paraId="5948BDF4" w14:textId="77777777" w:rsidR="00A81B1D" w:rsidRPr="00407EDB" w:rsidRDefault="00A81B1D">
            <w:pPr>
              <w:ind w:left="567" w:hanging="567"/>
              <w:rPr>
                <w:sz w:val="24"/>
                <w:szCs w:val="24"/>
              </w:rPr>
            </w:pPr>
            <w:r w:rsidRPr="00407EDB">
              <w:rPr>
                <w:sz w:val="24"/>
                <w:szCs w:val="24"/>
              </w:rPr>
              <w:t>•</w:t>
            </w:r>
            <w:r w:rsidRPr="00407EDB">
              <w:rPr>
                <w:sz w:val="24"/>
                <w:szCs w:val="24"/>
              </w:rPr>
              <w:tab/>
              <w:t>Anbring IKKE tommelfingeren, andre fingre eller hånden over den grå kanylehætte.</w:t>
            </w:r>
          </w:p>
        </w:tc>
      </w:tr>
      <w:tr w:rsidR="00A81B1D" w:rsidRPr="00407EDB" w14:paraId="006897E2" w14:textId="77777777" w:rsidTr="00407EDB">
        <w:tc>
          <w:tcPr>
            <w:tcW w:w="8788" w:type="dxa"/>
            <w:gridSpan w:val="3"/>
          </w:tcPr>
          <w:p w14:paraId="7465CCA4" w14:textId="77777777" w:rsidR="00A81B1D" w:rsidRPr="00407EDB" w:rsidRDefault="00A81B1D">
            <w:pPr>
              <w:rPr>
                <w:sz w:val="24"/>
                <w:szCs w:val="24"/>
              </w:rPr>
            </w:pPr>
          </w:p>
        </w:tc>
      </w:tr>
      <w:tr w:rsidR="00A81B1D" w:rsidRPr="00407EDB" w14:paraId="474D0836" w14:textId="77777777" w:rsidTr="00407EDB">
        <w:tc>
          <w:tcPr>
            <w:tcW w:w="6694" w:type="dxa"/>
            <w:gridSpan w:val="2"/>
            <w:hideMark/>
          </w:tcPr>
          <w:p w14:paraId="47976695" w14:textId="77777777" w:rsidR="00A81B1D" w:rsidRPr="00407EDB" w:rsidRDefault="00A81B1D">
            <w:pPr>
              <w:rPr>
                <w:b/>
                <w:bCs/>
                <w:sz w:val="24"/>
                <w:szCs w:val="24"/>
              </w:rPr>
            </w:pPr>
            <w:r w:rsidRPr="00407EDB">
              <w:rPr>
                <w:b/>
                <w:sz w:val="24"/>
                <w:szCs w:val="24"/>
              </w:rPr>
              <w:t>Sådan bruges den fyldte pen</w:t>
            </w:r>
          </w:p>
        </w:tc>
        <w:tc>
          <w:tcPr>
            <w:tcW w:w="2094" w:type="dxa"/>
          </w:tcPr>
          <w:p w14:paraId="164745CA" w14:textId="77777777" w:rsidR="00A81B1D" w:rsidRPr="00407EDB" w:rsidRDefault="00A81B1D">
            <w:pPr>
              <w:rPr>
                <w:b/>
                <w:bCs/>
                <w:sz w:val="24"/>
                <w:szCs w:val="24"/>
              </w:rPr>
            </w:pPr>
          </w:p>
        </w:tc>
      </w:tr>
      <w:tr w:rsidR="00A81B1D" w:rsidRPr="00407EDB" w14:paraId="5EAF9D03" w14:textId="77777777" w:rsidTr="00407EDB">
        <w:tc>
          <w:tcPr>
            <w:tcW w:w="8788" w:type="dxa"/>
            <w:gridSpan w:val="3"/>
            <w:hideMark/>
          </w:tcPr>
          <w:p w14:paraId="7140D170" w14:textId="77777777" w:rsidR="00A81B1D" w:rsidRPr="00407EDB" w:rsidRDefault="00A81B1D">
            <w:pPr>
              <w:ind w:left="567" w:hanging="567"/>
              <w:rPr>
                <w:sz w:val="24"/>
                <w:szCs w:val="24"/>
              </w:rPr>
            </w:pPr>
            <w:r w:rsidRPr="00407EDB">
              <w:rPr>
                <w:sz w:val="24"/>
                <w:szCs w:val="24"/>
              </w:rPr>
              <w:t>a.</w:t>
            </w:r>
            <w:r w:rsidRPr="00407EDB">
              <w:rPr>
                <w:sz w:val="24"/>
                <w:szCs w:val="24"/>
              </w:rPr>
              <w:tab/>
              <w:t>Vask hænderne grundigt.</w:t>
            </w:r>
          </w:p>
        </w:tc>
      </w:tr>
      <w:tr w:rsidR="00A81B1D" w:rsidRPr="00407EDB" w14:paraId="37F04FA0" w14:textId="77777777" w:rsidTr="00407EDB">
        <w:tc>
          <w:tcPr>
            <w:tcW w:w="6694" w:type="dxa"/>
            <w:gridSpan w:val="2"/>
            <w:hideMark/>
          </w:tcPr>
          <w:p w14:paraId="12276884" w14:textId="77777777" w:rsidR="00A81B1D" w:rsidRPr="00407EDB" w:rsidRDefault="00A81B1D">
            <w:pPr>
              <w:ind w:left="567" w:hanging="567"/>
              <w:rPr>
                <w:sz w:val="24"/>
                <w:szCs w:val="24"/>
              </w:rPr>
            </w:pPr>
            <w:r w:rsidRPr="00407EDB">
              <w:rPr>
                <w:sz w:val="24"/>
                <w:szCs w:val="24"/>
              </w:rPr>
              <w:t>b.</w:t>
            </w:r>
            <w:r w:rsidRPr="00407EDB">
              <w:rPr>
                <w:sz w:val="24"/>
                <w:szCs w:val="24"/>
              </w:rPr>
              <w:tab/>
              <w:t>Find et komfortabelt sted med god belysning. Sørg for at have redskaberne (fyldt pen og spritservietter eller sterile servietter) inden for rækkevidde.</w:t>
            </w:r>
          </w:p>
        </w:tc>
        <w:tc>
          <w:tcPr>
            <w:tcW w:w="2094" w:type="dxa"/>
          </w:tcPr>
          <w:p w14:paraId="0CE13D10" w14:textId="77777777" w:rsidR="00A81B1D" w:rsidRPr="00407EDB" w:rsidRDefault="00A81B1D">
            <w:pPr>
              <w:rPr>
                <w:sz w:val="24"/>
                <w:szCs w:val="24"/>
              </w:rPr>
            </w:pPr>
          </w:p>
        </w:tc>
      </w:tr>
      <w:tr w:rsidR="00A81B1D" w:rsidRPr="00407EDB" w14:paraId="703BF2CA" w14:textId="77777777" w:rsidTr="00407EDB">
        <w:tc>
          <w:tcPr>
            <w:tcW w:w="6694" w:type="dxa"/>
            <w:gridSpan w:val="2"/>
            <w:hideMark/>
          </w:tcPr>
          <w:p w14:paraId="192B8B8A" w14:textId="77777777" w:rsidR="00A81B1D" w:rsidRPr="00407EDB" w:rsidRDefault="00A81B1D">
            <w:pPr>
              <w:ind w:left="567" w:hanging="567"/>
              <w:rPr>
                <w:sz w:val="24"/>
                <w:szCs w:val="24"/>
              </w:rPr>
            </w:pPr>
            <w:r w:rsidRPr="00407EDB">
              <w:rPr>
                <w:sz w:val="24"/>
                <w:szCs w:val="24"/>
              </w:rPr>
              <w:t>c.</w:t>
            </w:r>
            <w:r w:rsidRPr="00407EDB">
              <w:rPr>
                <w:sz w:val="24"/>
                <w:szCs w:val="24"/>
              </w:rPr>
              <w:tab/>
              <w:t xml:space="preserve">Find et injektionssted med et passende lag fedtvæv, f.eks. på overarmen eller låret (fig. 2). </w:t>
            </w:r>
          </w:p>
          <w:p w14:paraId="3694DB84" w14:textId="77777777" w:rsidR="00A81B1D" w:rsidRPr="00407EDB" w:rsidRDefault="00A81B1D">
            <w:pPr>
              <w:ind w:left="567"/>
              <w:rPr>
                <w:sz w:val="24"/>
                <w:szCs w:val="24"/>
              </w:rPr>
            </w:pPr>
            <w:r w:rsidRPr="00407EDB">
              <w:rPr>
                <w:sz w:val="24"/>
                <w:szCs w:val="24"/>
              </w:rPr>
              <w:t>Du må ikke injicere i områder, hvor huden er øm, forslået, rød eller hård.</w:t>
            </w:r>
          </w:p>
        </w:tc>
        <w:tc>
          <w:tcPr>
            <w:tcW w:w="2094" w:type="dxa"/>
            <w:hideMark/>
          </w:tcPr>
          <w:p w14:paraId="07B61B24" w14:textId="77777777" w:rsidR="00A81B1D" w:rsidRPr="00407EDB" w:rsidRDefault="00A81B1D">
            <w:pPr>
              <w:rPr>
                <w:b/>
                <w:bCs/>
                <w:sz w:val="24"/>
                <w:szCs w:val="24"/>
              </w:rPr>
            </w:pPr>
            <w:r w:rsidRPr="00407EDB">
              <w:rPr>
                <w:b/>
                <w:sz w:val="24"/>
                <w:szCs w:val="24"/>
              </w:rPr>
              <w:t>Figur 2</w:t>
            </w:r>
          </w:p>
        </w:tc>
      </w:tr>
      <w:tr w:rsidR="00A81B1D" w:rsidRPr="00407EDB" w14:paraId="4500AFCA" w14:textId="77777777" w:rsidTr="00407EDB">
        <w:tc>
          <w:tcPr>
            <w:tcW w:w="6694" w:type="dxa"/>
            <w:gridSpan w:val="2"/>
            <w:hideMark/>
          </w:tcPr>
          <w:p w14:paraId="46DE30DC" w14:textId="77777777" w:rsidR="00A81B1D" w:rsidRPr="00407EDB" w:rsidRDefault="00A81B1D">
            <w:pPr>
              <w:ind w:left="567" w:hanging="567"/>
              <w:rPr>
                <w:sz w:val="24"/>
                <w:szCs w:val="24"/>
              </w:rPr>
            </w:pPr>
            <w:r w:rsidRPr="00407EDB">
              <w:rPr>
                <w:sz w:val="24"/>
                <w:szCs w:val="24"/>
              </w:rPr>
              <w:t>d.</w:t>
            </w:r>
            <w:r w:rsidRPr="00407EDB">
              <w:rPr>
                <w:sz w:val="24"/>
                <w:szCs w:val="24"/>
              </w:rPr>
              <w:tab/>
              <w:t>Rengør injektionsstedet med en spritserviet eller en ny steril serviet, og lad det tørre. Rør ikke området før injektionen.</w:t>
            </w:r>
          </w:p>
        </w:tc>
        <w:tc>
          <w:tcPr>
            <w:tcW w:w="2094" w:type="dxa"/>
          </w:tcPr>
          <w:p w14:paraId="55053CF7" w14:textId="77777777" w:rsidR="00A81B1D" w:rsidRPr="00407EDB" w:rsidRDefault="00A81B1D">
            <w:pPr>
              <w:rPr>
                <w:sz w:val="24"/>
                <w:szCs w:val="24"/>
              </w:rPr>
            </w:pPr>
          </w:p>
        </w:tc>
      </w:tr>
      <w:tr w:rsidR="00A81B1D" w:rsidRPr="00407EDB" w14:paraId="1F4CCF6F" w14:textId="77777777" w:rsidTr="00407EDB">
        <w:tc>
          <w:tcPr>
            <w:tcW w:w="8788" w:type="dxa"/>
            <w:gridSpan w:val="3"/>
            <w:hideMark/>
          </w:tcPr>
          <w:p w14:paraId="4664ACFA" w14:textId="77777777" w:rsidR="00A81B1D" w:rsidRPr="00407EDB" w:rsidRDefault="00A81B1D">
            <w:pPr>
              <w:ind w:left="567" w:hanging="567"/>
              <w:rPr>
                <w:sz w:val="24"/>
                <w:szCs w:val="24"/>
              </w:rPr>
            </w:pPr>
            <w:r w:rsidRPr="00407EDB">
              <w:rPr>
                <w:sz w:val="24"/>
                <w:szCs w:val="24"/>
              </w:rPr>
              <w:t>e.</w:t>
            </w:r>
            <w:r w:rsidRPr="00407EDB">
              <w:rPr>
                <w:sz w:val="24"/>
                <w:szCs w:val="24"/>
              </w:rPr>
              <w:tab/>
              <w:t>Tag den fyldte pen ud af æsken.</w:t>
            </w:r>
          </w:p>
        </w:tc>
      </w:tr>
      <w:tr w:rsidR="00A81B1D" w:rsidRPr="00407EDB" w14:paraId="07E3DA68" w14:textId="77777777" w:rsidTr="00407EDB">
        <w:tc>
          <w:tcPr>
            <w:tcW w:w="6694" w:type="dxa"/>
            <w:gridSpan w:val="2"/>
            <w:hideMark/>
          </w:tcPr>
          <w:p w14:paraId="60BE9C48" w14:textId="77777777" w:rsidR="00A81B1D" w:rsidRPr="00407EDB" w:rsidRDefault="00A81B1D">
            <w:pPr>
              <w:ind w:left="567" w:hanging="567"/>
              <w:rPr>
                <w:sz w:val="24"/>
                <w:szCs w:val="24"/>
              </w:rPr>
            </w:pPr>
            <w:r w:rsidRPr="00407EDB">
              <w:rPr>
                <w:sz w:val="24"/>
                <w:szCs w:val="24"/>
              </w:rPr>
              <w:t>f.</w:t>
            </w:r>
            <w:r w:rsidRPr="00407EDB">
              <w:rPr>
                <w:sz w:val="24"/>
                <w:szCs w:val="24"/>
              </w:rPr>
              <w:tab/>
              <w:t xml:space="preserve">Løft den fyldte pen op med den ene hånd, og fjern den gennemsigtige </w:t>
            </w:r>
            <w:proofErr w:type="spellStart"/>
            <w:r w:rsidRPr="00407EDB">
              <w:rPr>
                <w:sz w:val="24"/>
                <w:szCs w:val="24"/>
              </w:rPr>
              <w:t>penhætte</w:t>
            </w:r>
            <w:proofErr w:type="spellEnd"/>
            <w:r w:rsidRPr="00407EDB">
              <w:rPr>
                <w:sz w:val="24"/>
                <w:szCs w:val="24"/>
              </w:rPr>
              <w:t xml:space="preserve"> ved at trække den lige af med den anden hånd. Du må ikke vride hætten af eller sætte den tilbage på pennen, da du derved risikerer at beskadige kanylen indeni (fig. 3).</w:t>
            </w:r>
          </w:p>
        </w:tc>
        <w:tc>
          <w:tcPr>
            <w:tcW w:w="2094" w:type="dxa"/>
            <w:hideMark/>
          </w:tcPr>
          <w:p w14:paraId="0B7E5086" w14:textId="77777777" w:rsidR="00A81B1D" w:rsidRPr="00407EDB" w:rsidRDefault="00A81B1D">
            <w:pPr>
              <w:rPr>
                <w:b/>
                <w:bCs/>
                <w:sz w:val="24"/>
                <w:szCs w:val="24"/>
              </w:rPr>
            </w:pPr>
            <w:r w:rsidRPr="00407EDB">
              <w:rPr>
                <w:b/>
                <w:sz w:val="24"/>
                <w:szCs w:val="24"/>
              </w:rPr>
              <w:t>Figur 3</w:t>
            </w:r>
          </w:p>
        </w:tc>
      </w:tr>
      <w:tr w:rsidR="00A81B1D" w:rsidRPr="00407EDB" w14:paraId="6A691A76" w14:textId="77777777" w:rsidTr="00407EDB">
        <w:tc>
          <w:tcPr>
            <w:tcW w:w="8788" w:type="dxa"/>
            <w:gridSpan w:val="3"/>
          </w:tcPr>
          <w:p w14:paraId="38673500" w14:textId="77777777" w:rsidR="00A81B1D" w:rsidRPr="00407EDB" w:rsidRDefault="00A81B1D">
            <w:pPr>
              <w:rPr>
                <w:sz w:val="24"/>
                <w:szCs w:val="24"/>
              </w:rPr>
            </w:pPr>
          </w:p>
        </w:tc>
      </w:tr>
      <w:tr w:rsidR="00A81B1D" w:rsidRPr="00407EDB" w14:paraId="0D34493C" w14:textId="77777777" w:rsidTr="00407EDB">
        <w:tc>
          <w:tcPr>
            <w:tcW w:w="8788" w:type="dxa"/>
            <w:gridSpan w:val="3"/>
            <w:hideMark/>
          </w:tcPr>
          <w:p w14:paraId="5D291C6C" w14:textId="7C8DB00C" w:rsidR="00A81B1D" w:rsidRPr="00407EDB" w:rsidRDefault="00A81B1D">
            <w:pPr>
              <w:rPr>
                <w:b/>
                <w:bCs/>
                <w:sz w:val="24"/>
                <w:szCs w:val="24"/>
              </w:rPr>
            </w:pPr>
            <w:r w:rsidRPr="00407EDB">
              <w:rPr>
                <w:b/>
                <w:sz w:val="24"/>
                <w:szCs w:val="24"/>
              </w:rPr>
              <w:t>Sådan påbegyndes injektionen</w:t>
            </w:r>
          </w:p>
        </w:tc>
      </w:tr>
      <w:tr w:rsidR="00A81B1D" w:rsidRPr="00407EDB" w14:paraId="6CB890A6" w14:textId="77777777" w:rsidTr="00407EDB">
        <w:tc>
          <w:tcPr>
            <w:tcW w:w="6694" w:type="dxa"/>
            <w:gridSpan w:val="2"/>
            <w:hideMark/>
          </w:tcPr>
          <w:p w14:paraId="29EA28CA" w14:textId="2C45C14F" w:rsidR="00A81B1D" w:rsidRPr="00407EDB" w:rsidRDefault="00A81B1D">
            <w:pPr>
              <w:ind w:left="567" w:hanging="567"/>
              <w:rPr>
                <w:sz w:val="24"/>
                <w:szCs w:val="24"/>
              </w:rPr>
            </w:pPr>
            <w:r w:rsidRPr="00407EDB">
              <w:rPr>
                <w:sz w:val="24"/>
                <w:szCs w:val="24"/>
              </w:rPr>
              <w:t>1.</w:t>
            </w:r>
            <w:r w:rsidRPr="00407EDB">
              <w:rPr>
                <w:sz w:val="24"/>
                <w:szCs w:val="24"/>
              </w:rPr>
              <w:tab/>
              <w:t>Placér pennens åbne ende på injektionsstedet i lodret position (vinkelret på huden).</w:t>
            </w:r>
            <w:r w:rsidR="00407EDB" w:rsidRPr="00407EDB">
              <w:rPr>
                <w:sz w:val="24"/>
                <w:szCs w:val="24"/>
              </w:rPr>
              <w:t xml:space="preserve"> </w:t>
            </w:r>
            <w:r w:rsidRPr="00407EDB">
              <w:rPr>
                <w:sz w:val="24"/>
                <w:szCs w:val="24"/>
              </w:rPr>
              <w:t>Tryk kanylehætten mod huden med et fast greb for at låse pennen op. Når kanylehætten er trykket helt i bund, stikkes kanylen ind i vævet under huden.</w:t>
            </w:r>
          </w:p>
        </w:tc>
        <w:tc>
          <w:tcPr>
            <w:tcW w:w="2094" w:type="dxa"/>
          </w:tcPr>
          <w:p w14:paraId="172B8462" w14:textId="77777777" w:rsidR="00A81B1D" w:rsidRPr="00407EDB" w:rsidRDefault="00A81B1D">
            <w:pPr>
              <w:rPr>
                <w:sz w:val="24"/>
                <w:szCs w:val="24"/>
              </w:rPr>
            </w:pPr>
          </w:p>
          <w:p w14:paraId="7B826383" w14:textId="77777777" w:rsidR="00A81B1D" w:rsidRPr="00407EDB" w:rsidRDefault="00A81B1D">
            <w:pPr>
              <w:rPr>
                <w:sz w:val="24"/>
                <w:szCs w:val="24"/>
              </w:rPr>
            </w:pPr>
          </w:p>
          <w:p w14:paraId="54309678" w14:textId="77777777" w:rsidR="00A81B1D" w:rsidRPr="00407EDB" w:rsidRDefault="00A81B1D">
            <w:pPr>
              <w:rPr>
                <w:sz w:val="24"/>
                <w:szCs w:val="24"/>
              </w:rPr>
            </w:pPr>
          </w:p>
          <w:p w14:paraId="6709596D" w14:textId="77777777" w:rsidR="00A81B1D" w:rsidRPr="00407EDB" w:rsidRDefault="00A81B1D">
            <w:pPr>
              <w:rPr>
                <w:b/>
                <w:bCs/>
                <w:sz w:val="24"/>
                <w:szCs w:val="24"/>
              </w:rPr>
            </w:pPr>
          </w:p>
        </w:tc>
      </w:tr>
      <w:tr w:rsidR="00A81B1D" w:rsidRPr="00407EDB" w14:paraId="1F2942C9" w14:textId="77777777" w:rsidTr="00407EDB">
        <w:tc>
          <w:tcPr>
            <w:tcW w:w="6694" w:type="dxa"/>
            <w:gridSpan w:val="2"/>
            <w:hideMark/>
          </w:tcPr>
          <w:p w14:paraId="7F921947" w14:textId="77777777" w:rsidR="00A81B1D" w:rsidRPr="00407EDB" w:rsidRDefault="00A81B1D">
            <w:pPr>
              <w:ind w:left="567" w:hanging="567"/>
              <w:rPr>
                <w:sz w:val="24"/>
                <w:szCs w:val="24"/>
              </w:rPr>
            </w:pPr>
            <w:r w:rsidRPr="00407EDB">
              <w:rPr>
                <w:sz w:val="24"/>
                <w:szCs w:val="24"/>
              </w:rPr>
              <w:t>2.</w:t>
            </w:r>
            <w:r w:rsidRPr="00407EDB">
              <w:rPr>
                <w:sz w:val="24"/>
                <w:szCs w:val="24"/>
              </w:rPr>
              <w:tab/>
              <w:t>Der høres et klik, når injektionen påbegyndes.</w:t>
            </w:r>
          </w:p>
        </w:tc>
        <w:tc>
          <w:tcPr>
            <w:tcW w:w="2094" w:type="dxa"/>
          </w:tcPr>
          <w:p w14:paraId="22E0A511" w14:textId="77777777" w:rsidR="00A81B1D" w:rsidRPr="00407EDB" w:rsidRDefault="00A81B1D">
            <w:pPr>
              <w:rPr>
                <w:b/>
                <w:bCs/>
                <w:sz w:val="24"/>
                <w:szCs w:val="24"/>
              </w:rPr>
            </w:pPr>
          </w:p>
        </w:tc>
      </w:tr>
      <w:tr w:rsidR="00A81B1D" w:rsidRPr="00407EDB" w14:paraId="77F3CF55" w14:textId="77777777" w:rsidTr="00407EDB">
        <w:tc>
          <w:tcPr>
            <w:tcW w:w="6694" w:type="dxa"/>
            <w:gridSpan w:val="2"/>
            <w:hideMark/>
          </w:tcPr>
          <w:p w14:paraId="0CF3E90C" w14:textId="77777777" w:rsidR="00A81B1D" w:rsidRPr="00407EDB" w:rsidRDefault="00A81B1D">
            <w:pPr>
              <w:ind w:left="567"/>
              <w:rPr>
                <w:sz w:val="24"/>
                <w:szCs w:val="24"/>
              </w:rPr>
            </w:pPr>
            <w:r w:rsidRPr="00407EDB">
              <w:rPr>
                <w:sz w:val="24"/>
                <w:szCs w:val="24"/>
              </w:rPr>
              <w:t>Flyt ikke pennen fra injektionsstedet.</w:t>
            </w:r>
          </w:p>
          <w:p w14:paraId="0440248A" w14:textId="77777777" w:rsidR="00A81B1D" w:rsidRPr="00407EDB" w:rsidRDefault="00A81B1D">
            <w:pPr>
              <w:ind w:left="567"/>
              <w:rPr>
                <w:sz w:val="24"/>
                <w:szCs w:val="24"/>
              </w:rPr>
            </w:pPr>
            <w:r w:rsidRPr="00407EDB">
              <w:rPr>
                <w:sz w:val="24"/>
                <w:szCs w:val="24"/>
              </w:rPr>
              <w:t>Mens du stadig trykker pennen stabilt mod huden, hører du et nyt klik, der angiver afslutningen på injektionen. Hold fortsat pennen mod huden i yderligere 5 sekunder for at sikre, at hele dosen afgives (fig. 4).</w:t>
            </w:r>
          </w:p>
        </w:tc>
        <w:tc>
          <w:tcPr>
            <w:tcW w:w="2094" w:type="dxa"/>
            <w:hideMark/>
          </w:tcPr>
          <w:p w14:paraId="2BC677EF" w14:textId="77777777" w:rsidR="00A81B1D" w:rsidRPr="00407EDB" w:rsidRDefault="00A81B1D">
            <w:pPr>
              <w:rPr>
                <w:sz w:val="24"/>
                <w:szCs w:val="24"/>
              </w:rPr>
            </w:pPr>
            <w:r w:rsidRPr="00407EDB">
              <w:rPr>
                <w:b/>
                <w:sz w:val="24"/>
                <w:szCs w:val="24"/>
              </w:rPr>
              <w:t>Figur 4</w:t>
            </w:r>
          </w:p>
        </w:tc>
      </w:tr>
      <w:tr w:rsidR="00A81B1D" w:rsidRPr="00407EDB" w14:paraId="25A62B7F" w14:textId="77777777" w:rsidTr="00407EDB">
        <w:tc>
          <w:tcPr>
            <w:tcW w:w="6694" w:type="dxa"/>
            <w:gridSpan w:val="2"/>
            <w:hideMark/>
          </w:tcPr>
          <w:p w14:paraId="5F65E2F8" w14:textId="77777777" w:rsidR="00A81B1D" w:rsidRPr="00407EDB" w:rsidRDefault="00A81B1D">
            <w:pPr>
              <w:ind w:left="567" w:hanging="567"/>
              <w:rPr>
                <w:sz w:val="24"/>
                <w:szCs w:val="24"/>
              </w:rPr>
            </w:pPr>
            <w:r w:rsidRPr="00407EDB">
              <w:rPr>
                <w:sz w:val="24"/>
                <w:szCs w:val="24"/>
              </w:rPr>
              <w:t>3.</w:t>
            </w:r>
            <w:r w:rsidRPr="00407EDB">
              <w:rPr>
                <w:sz w:val="24"/>
                <w:szCs w:val="24"/>
              </w:rPr>
              <w:tab/>
              <w:t>Fjern pennen i en lodret og lige vinkel fra huden (fig. 5).</w:t>
            </w:r>
          </w:p>
        </w:tc>
        <w:tc>
          <w:tcPr>
            <w:tcW w:w="2094" w:type="dxa"/>
            <w:hideMark/>
          </w:tcPr>
          <w:p w14:paraId="62C11DEE" w14:textId="77777777" w:rsidR="00A81B1D" w:rsidRPr="00407EDB" w:rsidRDefault="00A81B1D">
            <w:pPr>
              <w:rPr>
                <w:b/>
                <w:bCs/>
                <w:sz w:val="24"/>
                <w:szCs w:val="24"/>
              </w:rPr>
            </w:pPr>
            <w:r w:rsidRPr="00407EDB">
              <w:rPr>
                <w:b/>
                <w:sz w:val="24"/>
                <w:szCs w:val="24"/>
              </w:rPr>
              <w:t>Figur 5</w:t>
            </w:r>
          </w:p>
        </w:tc>
      </w:tr>
      <w:tr w:rsidR="00A81B1D" w:rsidRPr="00407EDB" w14:paraId="1068E7D2" w14:textId="77777777" w:rsidTr="00407EDB">
        <w:tc>
          <w:tcPr>
            <w:tcW w:w="6694" w:type="dxa"/>
            <w:gridSpan w:val="2"/>
            <w:hideMark/>
          </w:tcPr>
          <w:p w14:paraId="72DF8086" w14:textId="77777777" w:rsidR="00A81B1D" w:rsidRPr="00407EDB" w:rsidRDefault="00A81B1D">
            <w:pPr>
              <w:ind w:left="567" w:hanging="567"/>
              <w:rPr>
                <w:sz w:val="24"/>
                <w:szCs w:val="24"/>
              </w:rPr>
            </w:pPr>
            <w:r w:rsidRPr="00407EDB">
              <w:rPr>
                <w:sz w:val="24"/>
                <w:szCs w:val="24"/>
              </w:rPr>
              <w:t>4.</w:t>
            </w:r>
            <w:r w:rsidRPr="00407EDB">
              <w:rPr>
                <w:sz w:val="24"/>
                <w:szCs w:val="24"/>
              </w:rPr>
              <w:tab/>
              <w:t xml:space="preserve">Når injektionen er slut, er det grå stempel helt synligt i </w:t>
            </w:r>
            <w:proofErr w:type="spellStart"/>
            <w:r w:rsidRPr="00407EDB">
              <w:rPr>
                <w:sz w:val="24"/>
                <w:szCs w:val="24"/>
              </w:rPr>
              <w:t>penvinduet</w:t>
            </w:r>
            <w:proofErr w:type="spellEnd"/>
            <w:r w:rsidRPr="00407EDB">
              <w:rPr>
                <w:sz w:val="24"/>
                <w:szCs w:val="24"/>
              </w:rPr>
              <w:t>.</w:t>
            </w:r>
          </w:p>
        </w:tc>
        <w:tc>
          <w:tcPr>
            <w:tcW w:w="2094" w:type="dxa"/>
          </w:tcPr>
          <w:p w14:paraId="03528946" w14:textId="77777777" w:rsidR="00A81B1D" w:rsidRPr="00407EDB" w:rsidRDefault="00A81B1D">
            <w:pPr>
              <w:rPr>
                <w:sz w:val="24"/>
                <w:szCs w:val="24"/>
              </w:rPr>
            </w:pPr>
          </w:p>
        </w:tc>
      </w:tr>
      <w:tr w:rsidR="00A81B1D" w:rsidRPr="00407EDB" w14:paraId="7839089F" w14:textId="77777777" w:rsidTr="00407EDB">
        <w:tc>
          <w:tcPr>
            <w:tcW w:w="6694" w:type="dxa"/>
            <w:gridSpan w:val="2"/>
          </w:tcPr>
          <w:p w14:paraId="23922F45" w14:textId="77777777" w:rsidR="00A81B1D" w:rsidRPr="00407EDB" w:rsidRDefault="00A81B1D">
            <w:pPr>
              <w:rPr>
                <w:sz w:val="24"/>
                <w:szCs w:val="24"/>
              </w:rPr>
            </w:pPr>
          </w:p>
          <w:p w14:paraId="3A2C3B97" w14:textId="77777777" w:rsidR="00A81B1D" w:rsidRPr="00407EDB" w:rsidRDefault="00A81B1D">
            <w:pPr>
              <w:ind w:right="-2"/>
              <w:rPr>
                <w:sz w:val="24"/>
                <w:szCs w:val="24"/>
              </w:rPr>
            </w:pPr>
            <w:r w:rsidRPr="00407EDB">
              <w:rPr>
                <w:sz w:val="24"/>
                <w:szCs w:val="24"/>
              </w:rPr>
              <w:t xml:space="preserve">Hvis </w:t>
            </w:r>
            <w:proofErr w:type="spellStart"/>
            <w:r w:rsidRPr="00407EDB">
              <w:rPr>
                <w:sz w:val="24"/>
                <w:szCs w:val="24"/>
              </w:rPr>
              <w:t>penvinduet</w:t>
            </w:r>
            <w:proofErr w:type="spellEnd"/>
            <w:r w:rsidRPr="00407EDB">
              <w:rPr>
                <w:sz w:val="24"/>
                <w:szCs w:val="24"/>
              </w:rPr>
              <w:t xml:space="preserve"> ikke er gråt, må du ikke gøre et nyt forsøg.</w:t>
            </w:r>
          </w:p>
          <w:p w14:paraId="4DF6DB4F" w14:textId="77777777" w:rsidR="00A81B1D" w:rsidRPr="00407EDB" w:rsidRDefault="00A81B1D">
            <w:pPr>
              <w:rPr>
                <w:sz w:val="24"/>
                <w:szCs w:val="24"/>
              </w:rPr>
            </w:pPr>
          </w:p>
        </w:tc>
        <w:tc>
          <w:tcPr>
            <w:tcW w:w="2094" w:type="dxa"/>
          </w:tcPr>
          <w:p w14:paraId="12483C2B" w14:textId="77777777" w:rsidR="00A81B1D" w:rsidRPr="00407EDB" w:rsidRDefault="00A81B1D">
            <w:pPr>
              <w:rPr>
                <w:sz w:val="24"/>
                <w:szCs w:val="24"/>
              </w:rPr>
            </w:pPr>
          </w:p>
        </w:tc>
      </w:tr>
      <w:tr w:rsidR="00A81B1D" w:rsidRPr="00407EDB" w14:paraId="008D95C7" w14:textId="77777777" w:rsidTr="00407EDB">
        <w:tc>
          <w:tcPr>
            <w:tcW w:w="6694" w:type="dxa"/>
            <w:gridSpan w:val="2"/>
          </w:tcPr>
          <w:p w14:paraId="658E302B" w14:textId="77777777" w:rsidR="00A81B1D" w:rsidRPr="00407EDB" w:rsidRDefault="00A81B1D">
            <w:pPr>
              <w:rPr>
                <w:b/>
                <w:bCs/>
                <w:sz w:val="24"/>
                <w:szCs w:val="24"/>
              </w:rPr>
            </w:pPr>
            <w:r w:rsidRPr="00407EDB">
              <w:rPr>
                <w:b/>
                <w:sz w:val="24"/>
                <w:szCs w:val="24"/>
              </w:rPr>
              <w:t>FORSØG ALDRIG AT GENBRUGE EN FYLDT PEN</w:t>
            </w:r>
          </w:p>
          <w:p w14:paraId="1ADAD8C2" w14:textId="77777777" w:rsidR="00A81B1D" w:rsidRPr="00407EDB" w:rsidRDefault="00A81B1D">
            <w:pPr>
              <w:rPr>
                <w:sz w:val="24"/>
                <w:szCs w:val="24"/>
              </w:rPr>
            </w:pPr>
          </w:p>
        </w:tc>
        <w:tc>
          <w:tcPr>
            <w:tcW w:w="2094" w:type="dxa"/>
          </w:tcPr>
          <w:p w14:paraId="58BA5CF9" w14:textId="77777777" w:rsidR="00A81B1D" w:rsidRPr="00407EDB" w:rsidRDefault="00A81B1D">
            <w:pPr>
              <w:rPr>
                <w:sz w:val="24"/>
                <w:szCs w:val="24"/>
              </w:rPr>
            </w:pPr>
          </w:p>
        </w:tc>
      </w:tr>
      <w:tr w:rsidR="00A81B1D" w:rsidRPr="00407EDB" w14:paraId="4FEA6521" w14:textId="77777777" w:rsidTr="00407EDB">
        <w:tc>
          <w:tcPr>
            <w:tcW w:w="6694" w:type="dxa"/>
            <w:gridSpan w:val="2"/>
            <w:hideMark/>
          </w:tcPr>
          <w:p w14:paraId="52B79430" w14:textId="77777777" w:rsidR="00A81B1D" w:rsidRPr="00407EDB" w:rsidRDefault="00A81B1D">
            <w:pPr>
              <w:ind w:left="567" w:hanging="567"/>
              <w:rPr>
                <w:sz w:val="24"/>
                <w:szCs w:val="24"/>
              </w:rPr>
            </w:pPr>
            <w:r w:rsidRPr="00407EDB">
              <w:rPr>
                <w:sz w:val="24"/>
                <w:szCs w:val="24"/>
              </w:rPr>
              <w:t>5.</w:t>
            </w:r>
            <w:r w:rsidRPr="00407EDB">
              <w:rPr>
                <w:sz w:val="24"/>
                <w:szCs w:val="24"/>
              </w:rPr>
              <w:tab/>
              <w:t>Kanylehætten på den fyldte pen vil automatisk dække kanylen og låse sig fast. Kanylen er ikke længere synlig (fig. 6).</w:t>
            </w:r>
          </w:p>
        </w:tc>
        <w:tc>
          <w:tcPr>
            <w:tcW w:w="2094" w:type="dxa"/>
            <w:hideMark/>
          </w:tcPr>
          <w:p w14:paraId="67BCC54F" w14:textId="77777777" w:rsidR="00A81B1D" w:rsidRPr="00407EDB" w:rsidRDefault="00A81B1D">
            <w:pPr>
              <w:rPr>
                <w:b/>
                <w:bCs/>
                <w:sz w:val="24"/>
                <w:szCs w:val="24"/>
              </w:rPr>
            </w:pPr>
            <w:r w:rsidRPr="00407EDB">
              <w:rPr>
                <w:b/>
                <w:sz w:val="24"/>
                <w:szCs w:val="24"/>
              </w:rPr>
              <w:t>Figur 6</w:t>
            </w:r>
          </w:p>
        </w:tc>
      </w:tr>
      <w:tr w:rsidR="00A81B1D" w:rsidRPr="00407EDB" w14:paraId="4CE61E52" w14:textId="77777777" w:rsidTr="00407EDB">
        <w:tc>
          <w:tcPr>
            <w:tcW w:w="6694" w:type="dxa"/>
            <w:gridSpan w:val="2"/>
          </w:tcPr>
          <w:p w14:paraId="6E367F5F" w14:textId="77777777" w:rsidR="00A81B1D" w:rsidRPr="00407EDB" w:rsidRDefault="00A81B1D">
            <w:pPr>
              <w:ind w:right="-2"/>
              <w:rPr>
                <w:sz w:val="24"/>
                <w:szCs w:val="24"/>
              </w:rPr>
            </w:pPr>
          </w:p>
          <w:p w14:paraId="3BC15E4A" w14:textId="77777777" w:rsidR="00A81B1D" w:rsidRPr="00407EDB" w:rsidRDefault="00A81B1D">
            <w:pPr>
              <w:ind w:right="-2"/>
              <w:rPr>
                <w:sz w:val="24"/>
                <w:szCs w:val="24"/>
              </w:rPr>
            </w:pPr>
            <w:r w:rsidRPr="00407EDB">
              <w:rPr>
                <w:sz w:val="24"/>
                <w:szCs w:val="24"/>
              </w:rPr>
              <w:lastRenderedPageBreak/>
              <w:t>Hvis der er mistanke om, at patienten ikke har fået den fulde dosis, må man ikke gentage injektionen med en ny fyldt pen.</w:t>
            </w:r>
          </w:p>
          <w:p w14:paraId="044B239D" w14:textId="77777777" w:rsidR="00A81B1D" w:rsidRPr="00407EDB" w:rsidRDefault="00A81B1D">
            <w:pPr>
              <w:rPr>
                <w:sz w:val="24"/>
                <w:szCs w:val="24"/>
              </w:rPr>
            </w:pPr>
          </w:p>
        </w:tc>
        <w:tc>
          <w:tcPr>
            <w:tcW w:w="2094" w:type="dxa"/>
          </w:tcPr>
          <w:p w14:paraId="51A1F2A2" w14:textId="77777777" w:rsidR="00A81B1D" w:rsidRPr="00407EDB" w:rsidRDefault="00A81B1D">
            <w:pPr>
              <w:rPr>
                <w:sz w:val="24"/>
                <w:szCs w:val="24"/>
              </w:rPr>
            </w:pPr>
          </w:p>
        </w:tc>
      </w:tr>
      <w:tr w:rsidR="00A81B1D" w:rsidRPr="00407EDB" w14:paraId="0B02CE2F" w14:textId="77777777" w:rsidTr="00407EDB">
        <w:tc>
          <w:tcPr>
            <w:tcW w:w="6694" w:type="dxa"/>
            <w:gridSpan w:val="2"/>
            <w:hideMark/>
          </w:tcPr>
          <w:p w14:paraId="33261817" w14:textId="77777777" w:rsidR="00A81B1D" w:rsidRPr="00407EDB" w:rsidRDefault="00A81B1D">
            <w:pPr>
              <w:ind w:left="567" w:hanging="567"/>
              <w:rPr>
                <w:sz w:val="24"/>
                <w:szCs w:val="24"/>
              </w:rPr>
            </w:pPr>
            <w:r w:rsidRPr="00407EDB">
              <w:rPr>
                <w:sz w:val="24"/>
                <w:szCs w:val="24"/>
              </w:rPr>
              <w:t>6.</w:t>
            </w:r>
            <w:r w:rsidRPr="00407EDB">
              <w:rPr>
                <w:sz w:val="24"/>
                <w:szCs w:val="24"/>
              </w:rPr>
              <w:tab/>
              <w:t>Eventuelt blod ved injektionsstedet kan tørres væk med et stykke vat eller en serviet (gnid ikke på injektionsstedet). Om nødvendigt kan du sætte et plaster på injektionsstedet.</w:t>
            </w:r>
          </w:p>
        </w:tc>
        <w:tc>
          <w:tcPr>
            <w:tcW w:w="2094" w:type="dxa"/>
          </w:tcPr>
          <w:p w14:paraId="5776FE33" w14:textId="77777777" w:rsidR="00A81B1D" w:rsidRPr="00407EDB" w:rsidRDefault="00A81B1D">
            <w:pPr>
              <w:rPr>
                <w:sz w:val="24"/>
                <w:szCs w:val="24"/>
              </w:rPr>
            </w:pPr>
          </w:p>
        </w:tc>
      </w:tr>
    </w:tbl>
    <w:p w14:paraId="5A9CA4EF" w14:textId="77777777" w:rsidR="00407EDB" w:rsidRPr="00407EDB" w:rsidRDefault="00407EDB" w:rsidP="00407EDB">
      <w:pPr>
        <w:ind w:left="851" w:right="-2"/>
        <w:rPr>
          <w:sz w:val="24"/>
          <w:szCs w:val="24"/>
        </w:rPr>
      </w:pPr>
    </w:p>
    <w:p w14:paraId="29A6A6C8" w14:textId="362C3FE9" w:rsidR="00A81B1D" w:rsidRPr="00407EDB" w:rsidRDefault="00A81B1D" w:rsidP="00A81B1D">
      <w:pPr>
        <w:ind w:left="360" w:right="-2"/>
        <w:jc w:val="center"/>
        <w:rPr>
          <w:b/>
          <w:bCs/>
          <w:sz w:val="24"/>
          <w:szCs w:val="24"/>
        </w:rPr>
      </w:pPr>
      <w:r w:rsidRPr="00407EDB">
        <w:rPr>
          <w:b/>
          <w:sz w:val="24"/>
          <w:szCs w:val="24"/>
        </w:rPr>
        <w:t>Figur 1</w:t>
      </w:r>
    </w:p>
    <w:p w14:paraId="795904C5" w14:textId="77777777" w:rsidR="00A81B1D" w:rsidRPr="00407EDB" w:rsidRDefault="00A81B1D" w:rsidP="00407EDB">
      <w:pPr>
        <w:ind w:left="851" w:right="-2"/>
        <w:rPr>
          <w:bCs/>
          <w:sz w:val="24"/>
          <w:szCs w:val="24"/>
        </w:rPr>
      </w:pPr>
    </w:p>
    <w:p w14:paraId="6718E9A8" w14:textId="07ABD6ED" w:rsidR="00A81B1D" w:rsidRPr="00407EDB" w:rsidRDefault="00A81B1D" w:rsidP="00A81B1D">
      <w:pPr>
        <w:ind w:left="360" w:right="-2"/>
        <w:jc w:val="center"/>
        <w:rPr>
          <w:b/>
          <w:bCs/>
          <w:sz w:val="24"/>
          <w:szCs w:val="24"/>
        </w:rPr>
      </w:pPr>
      <w:r w:rsidRPr="00407EDB">
        <w:rPr>
          <w:noProof/>
          <w:sz w:val="24"/>
          <w:szCs w:val="24"/>
          <w:lang w:val="de-DE"/>
        </w:rPr>
        <w:drawing>
          <wp:inline distT="0" distB="0" distL="0" distR="0" wp14:anchorId="6353BBF2" wp14:editId="3AAFDC86">
            <wp:extent cx="4688205" cy="2317115"/>
            <wp:effectExtent l="0" t="0" r="0" b="698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205" cy="2317115"/>
                    </a:xfrm>
                    <a:prstGeom prst="rect">
                      <a:avLst/>
                    </a:prstGeom>
                    <a:noFill/>
                    <a:ln>
                      <a:noFill/>
                    </a:ln>
                  </pic:spPr>
                </pic:pic>
              </a:graphicData>
            </a:graphic>
          </wp:inline>
        </w:drawing>
      </w:r>
    </w:p>
    <w:p w14:paraId="41C8C80B" w14:textId="77777777" w:rsidR="00A81B1D" w:rsidRPr="00407EDB" w:rsidRDefault="00A81B1D" w:rsidP="00A81B1D">
      <w:pPr>
        <w:ind w:left="360" w:right="-2"/>
        <w:jc w:val="center"/>
        <w:rPr>
          <w:b/>
          <w:bCs/>
          <w:sz w:val="24"/>
          <w:szCs w:val="24"/>
        </w:rPr>
      </w:pPr>
    </w:p>
    <w:p w14:paraId="3113A8DB" w14:textId="77777777" w:rsidR="00A81B1D" w:rsidRPr="00407EDB" w:rsidRDefault="00A81B1D" w:rsidP="00A81B1D">
      <w:pPr>
        <w:ind w:left="360" w:right="-2"/>
        <w:jc w:val="center"/>
        <w:rPr>
          <w:b/>
          <w:bCs/>
          <w:sz w:val="24"/>
          <w:szCs w:val="24"/>
        </w:rPr>
      </w:pPr>
      <w:r w:rsidRPr="00407EDB">
        <w:rPr>
          <w:b/>
          <w:sz w:val="24"/>
          <w:szCs w:val="24"/>
        </w:rPr>
        <w:t>Figur 2</w:t>
      </w:r>
    </w:p>
    <w:p w14:paraId="5A419B32" w14:textId="77777777" w:rsidR="00A81B1D" w:rsidRPr="00407EDB" w:rsidRDefault="00A81B1D" w:rsidP="00407EDB">
      <w:pPr>
        <w:ind w:left="851" w:right="-2"/>
        <w:rPr>
          <w:b/>
          <w:bCs/>
          <w:sz w:val="24"/>
          <w:szCs w:val="24"/>
        </w:rPr>
      </w:pPr>
    </w:p>
    <w:p w14:paraId="21EBAB80" w14:textId="10A44B9D" w:rsidR="00A81B1D" w:rsidRPr="00407EDB" w:rsidRDefault="00A81B1D" w:rsidP="00A81B1D">
      <w:pPr>
        <w:ind w:left="360" w:right="-2"/>
        <w:jc w:val="center"/>
        <w:rPr>
          <w:b/>
          <w:bCs/>
          <w:sz w:val="24"/>
          <w:szCs w:val="24"/>
        </w:rPr>
      </w:pPr>
      <w:r w:rsidRPr="00407EDB">
        <w:rPr>
          <w:noProof/>
          <w:sz w:val="24"/>
          <w:szCs w:val="24"/>
          <w:lang w:val="de-DE"/>
        </w:rPr>
        <w:drawing>
          <wp:inline distT="0" distB="0" distL="0" distR="0" wp14:anchorId="1E5E1EE3" wp14:editId="7F6995C9">
            <wp:extent cx="4417060" cy="2014855"/>
            <wp:effectExtent l="0" t="0" r="2540" b="444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7060" cy="2014855"/>
                    </a:xfrm>
                    <a:prstGeom prst="rect">
                      <a:avLst/>
                    </a:prstGeom>
                    <a:noFill/>
                    <a:ln>
                      <a:noFill/>
                    </a:ln>
                  </pic:spPr>
                </pic:pic>
              </a:graphicData>
            </a:graphic>
          </wp:inline>
        </w:drawing>
      </w:r>
    </w:p>
    <w:p w14:paraId="11F612CA" w14:textId="77777777" w:rsidR="00A81B1D" w:rsidRPr="00407EDB" w:rsidRDefault="00A81B1D" w:rsidP="00A81B1D">
      <w:pPr>
        <w:ind w:left="360" w:right="-2"/>
        <w:rPr>
          <w:b/>
          <w:bCs/>
          <w:sz w:val="24"/>
          <w:szCs w:val="24"/>
        </w:rPr>
      </w:pPr>
    </w:p>
    <w:p w14:paraId="283B87A8" w14:textId="77777777" w:rsidR="00A81B1D" w:rsidRPr="00407EDB" w:rsidRDefault="00A81B1D" w:rsidP="00A81B1D">
      <w:pPr>
        <w:keepNext/>
        <w:ind w:left="357"/>
        <w:jc w:val="center"/>
        <w:rPr>
          <w:b/>
          <w:bCs/>
          <w:sz w:val="24"/>
          <w:szCs w:val="24"/>
        </w:rPr>
      </w:pPr>
      <w:r w:rsidRPr="00407EDB">
        <w:rPr>
          <w:b/>
          <w:sz w:val="24"/>
          <w:szCs w:val="24"/>
        </w:rPr>
        <w:t>Figur 3</w:t>
      </w:r>
    </w:p>
    <w:p w14:paraId="0ECFFB52" w14:textId="747312F2" w:rsidR="00A81B1D" w:rsidRPr="00407EDB" w:rsidRDefault="00A81B1D" w:rsidP="00A81B1D">
      <w:pPr>
        <w:ind w:left="360" w:right="-2"/>
        <w:jc w:val="center"/>
        <w:rPr>
          <w:b/>
          <w:bCs/>
          <w:sz w:val="24"/>
          <w:szCs w:val="24"/>
        </w:rPr>
      </w:pPr>
      <w:r w:rsidRPr="00407EDB">
        <w:rPr>
          <w:noProof/>
          <w:sz w:val="24"/>
          <w:szCs w:val="24"/>
          <w:lang w:val="de-DE"/>
        </w:rPr>
        <w:drawing>
          <wp:inline distT="0" distB="0" distL="0" distR="0" wp14:anchorId="1BD3BA7E" wp14:editId="05E9C68F">
            <wp:extent cx="3456305" cy="215455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6305" cy="2154555"/>
                    </a:xfrm>
                    <a:prstGeom prst="rect">
                      <a:avLst/>
                    </a:prstGeom>
                    <a:noFill/>
                    <a:ln>
                      <a:noFill/>
                    </a:ln>
                  </pic:spPr>
                </pic:pic>
              </a:graphicData>
            </a:graphic>
          </wp:inline>
        </w:drawing>
      </w:r>
    </w:p>
    <w:p w14:paraId="0823F7A1" w14:textId="77777777" w:rsidR="00A81B1D" w:rsidRPr="00407EDB" w:rsidRDefault="00A81B1D" w:rsidP="00A81B1D">
      <w:pPr>
        <w:ind w:left="360" w:right="-2"/>
        <w:rPr>
          <w:b/>
          <w:bCs/>
          <w:sz w:val="24"/>
          <w:szCs w:val="24"/>
        </w:rPr>
      </w:pPr>
    </w:p>
    <w:p w14:paraId="66DF9901" w14:textId="77777777" w:rsidR="00A81B1D" w:rsidRPr="00407EDB" w:rsidRDefault="00A81B1D" w:rsidP="00A81B1D">
      <w:pPr>
        <w:ind w:left="360" w:right="-2"/>
        <w:jc w:val="center"/>
        <w:rPr>
          <w:b/>
          <w:bCs/>
          <w:sz w:val="24"/>
          <w:szCs w:val="24"/>
        </w:rPr>
      </w:pPr>
      <w:r w:rsidRPr="00407EDB">
        <w:rPr>
          <w:b/>
          <w:sz w:val="24"/>
          <w:szCs w:val="24"/>
        </w:rPr>
        <w:t>Figur 4</w:t>
      </w:r>
    </w:p>
    <w:p w14:paraId="2AFD9A13" w14:textId="77777777" w:rsidR="00A81B1D" w:rsidRPr="00407EDB" w:rsidRDefault="00A81B1D" w:rsidP="00A81B1D">
      <w:pPr>
        <w:ind w:left="360" w:right="-2"/>
        <w:rPr>
          <w:b/>
          <w:bCs/>
          <w:sz w:val="24"/>
          <w:szCs w:val="24"/>
        </w:rPr>
      </w:pPr>
    </w:p>
    <w:p w14:paraId="5E0C9528" w14:textId="538EBCB5" w:rsidR="00A81B1D" w:rsidRPr="00407EDB" w:rsidRDefault="00A81B1D" w:rsidP="00A81B1D">
      <w:pPr>
        <w:ind w:left="360" w:right="-2"/>
        <w:jc w:val="center"/>
        <w:rPr>
          <w:b/>
          <w:bCs/>
          <w:sz w:val="24"/>
          <w:szCs w:val="24"/>
        </w:rPr>
      </w:pPr>
      <w:r w:rsidRPr="00407EDB">
        <w:rPr>
          <w:noProof/>
          <w:sz w:val="24"/>
          <w:szCs w:val="24"/>
          <w:lang w:val="de-DE"/>
        </w:rPr>
        <w:drawing>
          <wp:inline distT="0" distB="0" distL="0" distR="0" wp14:anchorId="24A626F4" wp14:editId="5D4FA58B">
            <wp:extent cx="5385435" cy="1929765"/>
            <wp:effectExtent l="0" t="0" r="571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5435" cy="1929765"/>
                    </a:xfrm>
                    <a:prstGeom prst="rect">
                      <a:avLst/>
                    </a:prstGeom>
                    <a:noFill/>
                    <a:ln>
                      <a:noFill/>
                    </a:ln>
                  </pic:spPr>
                </pic:pic>
              </a:graphicData>
            </a:graphic>
          </wp:inline>
        </w:drawing>
      </w:r>
    </w:p>
    <w:p w14:paraId="23C2F999" w14:textId="77777777" w:rsidR="00A81B1D" w:rsidRPr="00407EDB" w:rsidRDefault="00A81B1D" w:rsidP="00A81B1D">
      <w:pPr>
        <w:ind w:left="360" w:right="-2"/>
        <w:rPr>
          <w:b/>
          <w:bCs/>
          <w:sz w:val="24"/>
          <w:szCs w:val="24"/>
        </w:rPr>
      </w:pPr>
    </w:p>
    <w:p w14:paraId="09EE22CD" w14:textId="77777777" w:rsidR="00A81B1D" w:rsidRPr="00407EDB" w:rsidRDefault="00A81B1D" w:rsidP="00A81B1D">
      <w:pPr>
        <w:ind w:left="360" w:right="-2"/>
        <w:jc w:val="center"/>
        <w:rPr>
          <w:b/>
          <w:bCs/>
          <w:sz w:val="24"/>
          <w:szCs w:val="24"/>
        </w:rPr>
      </w:pPr>
      <w:r w:rsidRPr="00407EDB">
        <w:rPr>
          <w:b/>
          <w:sz w:val="24"/>
          <w:szCs w:val="24"/>
        </w:rPr>
        <w:t>Figur 5</w:t>
      </w:r>
    </w:p>
    <w:p w14:paraId="0FB9B924" w14:textId="1CC23458" w:rsidR="00A81B1D" w:rsidRPr="00407EDB" w:rsidRDefault="00A81B1D" w:rsidP="00A81B1D">
      <w:pPr>
        <w:ind w:left="360" w:right="-2"/>
        <w:jc w:val="center"/>
        <w:rPr>
          <w:sz w:val="24"/>
          <w:szCs w:val="24"/>
        </w:rPr>
      </w:pPr>
      <w:r w:rsidRPr="00407EDB">
        <w:rPr>
          <w:noProof/>
          <w:sz w:val="24"/>
          <w:szCs w:val="24"/>
          <w:lang w:val="de-DE"/>
        </w:rPr>
        <w:drawing>
          <wp:inline distT="0" distB="0" distL="0" distR="0" wp14:anchorId="15311471" wp14:editId="6BA464F6">
            <wp:extent cx="2820670" cy="2394585"/>
            <wp:effectExtent l="0" t="0" r="0" b="571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0670" cy="2394585"/>
                    </a:xfrm>
                    <a:prstGeom prst="rect">
                      <a:avLst/>
                    </a:prstGeom>
                    <a:noFill/>
                    <a:ln>
                      <a:noFill/>
                    </a:ln>
                  </pic:spPr>
                </pic:pic>
              </a:graphicData>
            </a:graphic>
          </wp:inline>
        </w:drawing>
      </w:r>
    </w:p>
    <w:p w14:paraId="63004310" w14:textId="77777777" w:rsidR="00A81B1D" w:rsidRPr="00407EDB" w:rsidRDefault="00A81B1D" w:rsidP="00A81B1D">
      <w:pPr>
        <w:ind w:left="360" w:right="-2"/>
        <w:rPr>
          <w:b/>
          <w:bCs/>
          <w:sz w:val="24"/>
          <w:szCs w:val="24"/>
        </w:rPr>
      </w:pPr>
    </w:p>
    <w:p w14:paraId="1C19A45E" w14:textId="77777777" w:rsidR="00A81B1D" w:rsidRPr="00407EDB" w:rsidRDefault="00A81B1D" w:rsidP="00A81B1D">
      <w:pPr>
        <w:keepNext/>
        <w:ind w:left="357"/>
        <w:jc w:val="center"/>
        <w:rPr>
          <w:b/>
          <w:bCs/>
          <w:sz w:val="24"/>
          <w:szCs w:val="24"/>
        </w:rPr>
      </w:pPr>
      <w:r w:rsidRPr="00407EDB">
        <w:rPr>
          <w:b/>
          <w:sz w:val="24"/>
          <w:szCs w:val="24"/>
        </w:rPr>
        <w:t>Figur 6</w:t>
      </w:r>
    </w:p>
    <w:p w14:paraId="1EC35EAD" w14:textId="77777777" w:rsidR="00A81B1D" w:rsidRPr="00407EDB" w:rsidRDefault="00A81B1D" w:rsidP="00A81B1D">
      <w:pPr>
        <w:keepNext/>
        <w:ind w:left="357"/>
        <w:rPr>
          <w:b/>
          <w:bCs/>
          <w:sz w:val="24"/>
          <w:szCs w:val="24"/>
        </w:rPr>
      </w:pPr>
    </w:p>
    <w:p w14:paraId="4813D2FC" w14:textId="5F9C3738" w:rsidR="00A81B1D" w:rsidRPr="00407EDB" w:rsidRDefault="00A81B1D" w:rsidP="00A81B1D">
      <w:pPr>
        <w:ind w:left="360" w:right="-2"/>
        <w:jc w:val="center"/>
        <w:rPr>
          <w:b/>
          <w:bCs/>
          <w:sz w:val="24"/>
          <w:szCs w:val="24"/>
        </w:rPr>
      </w:pPr>
      <w:r w:rsidRPr="00407EDB">
        <w:rPr>
          <w:noProof/>
          <w:sz w:val="24"/>
          <w:szCs w:val="24"/>
          <w:lang w:val="de-DE"/>
        </w:rPr>
        <w:drawing>
          <wp:inline distT="0" distB="0" distL="0" distR="0" wp14:anchorId="16E9F690" wp14:editId="34B6B075">
            <wp:extent cx="4649470" cy="263461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9470" cy="2634615"/>
                    </a:xfrm>
                    <a:prstGeom prst="rect">
                      <a:avLst/>
                    </a:prstGeom>
                    <a:noFill/>
                    <a:ln>
                      <a:noFill/>
                    </a:ln>
                  </pic:spPr>
                </pic:pic>
              </a:graphicData>
            </a:graphic>
          </wp:inline>
        </w:drawing>
      </w:r>
    </w:p>
    <w:p w14:paraId="3B91F9F8" w14:textId="77777777" w:rsidR="00A81B1D" w:rsidRPr="00407EDB" w:rsidRDefault="00A81B1D" w:rsidP="00407EDB">
      <w:pPr>
        <w:ind w:left="851"/>
        <w:rPr>
          <w:sz w:val="24"/>
          <w:szCs w:val="24"/>
        </w:rPr>
      </w:pPr>
    </w:p>
    <w:p w14:paraId="6A2F7290" w14:textId="77777777" w:rsidR="00A81B1D" w:rsidRPr="00407EDB" w:rsidRDefault="00A81B1D" w:rsidP="00407EDB">
      <w:pPr>
        <w:ind w:left="851"/>
        <w:rPr>
          <w:sz w:val="24"/>
          <w:szCs w:val="24"/>
        </w:rPr>
      </w:pPr>
      <w:r w:rsidRPr="00407EDB">
        <w:rPr>
          <w:sz w:val="24"/>
          <w:szCs w:val="24"/>
        </w:rPr>
        <w:t>Ikke anvendt lægemiddel samt affald heraf skal bortskaffes i henhold til lokale retningslinjer.</w:t>
      </w:r>
    </w:p>
    <w:p w14:paraId="2E28802B" w14:textId="77777777" w:rsidR="009260DE" w:rsidRPr="00407EDB" w:rsidRDefault="009260DE" w:rsidP="000730CA">
      <w:pPr>
        <w:tabs>
          <w:tab w:val="left" w:pos="851"/>
        </w:tabs>
        <w:ind w:left="851"/>
        <w:rPr>
          <w:sz w:val="24"/>
          <w:szCs w:val="24"/>
        </w:rPr>
      </w:pPr>
    </w:p>
    <w:p w14:paraId="62C9CD42" w14:textId="77777777" w:rsidR="009260DE" w:rsidRPr="00407EDB" w:rsidRDefault="009260DE" w:rsidP="009260DE">
      <w:pPr>
        <w:tabs>
          <w:tab w:val="left" w:pos="851"/>
        </w:tabs>
        <w:ind w:left="851" w:hanging="851"/>
        <w:rPr>
          <w:b/>
          <w:sz w:val="24"/>
          <w:szCs w:val="24"/>
        </w:rPr>
      </w:pPr>
      <w:r w:rsidRPr="00407EDB">
        <w:rPr>
          <w:b/>
          <w:sz w:val="24"/>
          <w:szCs w:val="24"/>
        </w:rPr>
        <w:lastRenderedPageBreak/>
        <w:t>7.</w:t>
      </w:r>
      <w:r w:rsidRPr="00407EDB">
        <w:rPr>
          <w:b/>
          <w:sz w:val="24"/>
          <w:szCs w:val="24"/>
        </w:rPr>
        <w:tab/>
        <w:t>INDEHAVER AF MARKEDSFØRINGSTILLADELSEN</w:t>
      </w:r>
    </w:p>
    <w:p w14:paraId="7A53080B" w14:textId="5F83318F" w:rsidR="00A81B1D" w:rsidRDefault="00CA1224" w:rsidP="00407EDB">
      <w:pPr>
        <w:numPr>
          <w:ilvl w:val="12"/>
          <w:numId w:val="0"/>
        </w:numPr>
        <w:ind w:left="851" w:right="-2"/>
        <w:rPr>
          <w:sz w:val="24"/>
          <w:szCs w:val="24"/>
        </w:rPr>
      </w:pPr>
      <w:proofErr w:type="spellStart"/>
      <w:r>
        <w:rPr>
          <w:sz w:val="24"/>
          <w:szCs w:val="24"/>
        </w:rPr>
        <w:t>Advanz</w:t>
      </w:r>
      <w:proofErr w:type="spellEnd"/>
      <w:r>
        <w:rPr>
          <w:sz w:val="24"/>
          <w:szCs w:val="24"/>
        </w:rPr>
        <w:t xml:space="preserve"> Pharma Limited</w:t>
      </w:r>
    </w:p>
    <w:p w14:paraId="47112619" w14:textId="4A682B0F" w:rsidR="00CA1224" w:rsidRPr="00573320" w:rsidRDefault="005240E5" w:rsidP="00407EDB">
      <w:pPr>
        <w:numPr>
          <w:ilvl w:val="12"/>
          <w:numId w:val="0"/>
        </w:numPr>
        <w:ind w:left="851" w:right="-2"/>
        <w:rPr>
          <w:sz w:val="24"/>
          <w:szCs w:val="24"/>
          <w:lang w:val="en-US"/>
        </w:rPr>
      </w:pPr>
      <w:r>
        <w:rPr>
          <w:sz w:val="24"/>
          <w:szCs w:val="24"/>
          <w:lang w:val="en-US"/>
        </w:rPr>
        <w:t>Unit</w:t>
      </w:r>
      <w:r w:rsidR="00CA1224" w:rsidRPr="00573320">
        <w:rPr>
          <w:sz w:val="24"/>
          <w:szCs w:val="24"/>
          <w:lang w:val="en-US"/>
        </w:rPr>
        <w:t xml:space="preserve"> 17, Northwood House</w:t>
      </w:r>
    </w:p>
    <w:p w14:paraId="653511E7" w14:textId="12660DD0" w:rsidR="00CA1224" w:rsidRPr="00CA1224" w:rsidRDefault="00CA1224" w:rsidP="00407EDB">
      <w:pPr>
        <w:numPr>
          <w:ilvl w:val="12"/>
          <w:numId w:val="0"/>
        </w:numPr>
        <w:ind w:left="851" w:right="-2"/>
        <w:rPr>
          <w:sz w:val="24"/>
          <w:szCs w:val="24"/>
          <w:lang w:val="en-US"/>
        </w:rPr>
      </w:pPr>
      <w:r w:rsidRPr="00CA1224">
        <w:rPr>
          <w:sz w:val="24"/>
          <w:szCs w:val="24"/>
          <w:lang w:val="en-US"/>
        </w:rPr>
        <w:t xml:space="preserve">Northwood </w:t>
      </w:r>
      <w:r w:rsidR="005240E5">
        <w:rPr>
          <w:sz w:val="24"/>
          <w:szCs w:val="24"/>
          <w:lang w:val="en-US"/>
        </w:rPr>
        <w:t>Crescent</w:t>
      </w:r>
    </w:p>
    <w:p w14:paraId="0B2BA08D" w14:textId="1CA9BB86" w:rsidR="00CA1224" w:rsidRPr="005240E5" w:rsidRDefault="00CA1224" w:rsidP="00407EDB">
      <w:pPr>
        <w:numPr>
          <w:ilvl w:val="12"/>
          <w:numId w:val="0"/>
        </w:numPr>
        <w:ind w:left="851" w:right="-2"/>
        <w:rPr>
          <w:sz w:val="24"/>
          <w:szCs w:val="24"/>
          <w:lang w:val="en-US"/>
        </w:rPr>
      </w:pPr>
      <w:r w:rsidRPr="005240E5">
        <w:rPr>
          <w:sz w:val="24"/>
          <w:szCs w:val="24"/>
          <w:lang w:val="en-US"/>
        </w:rPr>
        <w:t>D09 V504, Dublin 9</w:t>
      </w:r>
    </w:p>
    <w:p w14:paraId="3C0ED7C3" w14:textId="65B56741" w:rsidR="00CA1224" w:rsidRPr="00573320" w:rsidRDefault="00CA1224" w:rsidP="00407EDB">
      <w:pPr>
        <w:numPr>
          <w:ilvl w:val="12"/>
          <w:numId w:val="0"/>
        </w:numPr>
        <w:ind w:left="851" w:right="-2"/>
        <w:rPr>
          <w:sz w:val="24"/>
          <w:szCs w:val="24"/>
        </w:rPr>
      </w:pPr>
      <w:r w:rsidRPr="00573320">
        <w:rPr>
          <w:sz w:val="24"/>
          <w:szCs w:val="24"/>
        </w:rPr>
        <w:t>Irland</w:t>
      </w:r>
    </w:p>
    <w:p w14:paraId="00C10281" w14:textId="0789C02B" w:rsidR="005365FF" w:rsidRPr="00573320" w:rsidRDefault="005365FF" w:rsidP="00407EDB">
      <w:pPr>
        <w:numPr>
          <w:ilvl w:val="12"/>
          <w:numId w:val="0"/>
        </w:numPr>
        <w:ind w:left="851" w:right="-2"/>
        <w:rPr>
          <w:sz w:val="24"/>
          <w:szCs w:val="24"/>
        </w:rPr>
      </w:pPr>
    </w:p>
    <w:p w14:paraId="4A9DF907" w14:textId="6F47E4E9" w:rsidR="005365FF" w:rsidRDefault="005365FF" w:rsidP="00407EDB">
      <w:pPr>
        <w:numPr>
          <w:ilvl w:val="12"/>
          <w:numId w:val="0"/>
        </w:numPr>
        <w:ind w:left="851" w:right="-2"/>
        <w:rPr>
          <w:sz w:val="24"/>
          <w:szCs w:val="24"/>
        </w:rPr>
      </w:pPr>
      <w:r>
        <w:rPr>
          <w:b/>
          <w:sz w:val="24"/>
          <w:szCs w:val="24"/>
        </w:rPr>
        <w:t>Repræsentant</w:t>
      </w:r>
    </w:p>
    <w:p w14:paraId="6BCE1290" w14:textId="77777777" w:rsidR="005365FF" w:rsidRPr="005365FF" w:rsidRDefault="005365FF" w:rsidP="005365FF">
      <w:pPr>
        <w:numPr>
          <w:ilvl w:val="12"/>
          <w:numId w:val="0"/>
        </w:numPr>
        <w:ind w:left="851" w:right="-2"/>
        <w:rPr>
          <w:sz w:val="24"/>
          <w:szCs w:val="24"/>
        </w:rPr>
      </w:pPr>
      <w:proofErr w:type="spellStart"/>
      <w:r w:rsidRPr="005365FF">
        <w:rPr>
          <w:sz w:val="24"/>
          <w:szCs w:val="24"/>
        </w:rPr>
        <w:t>Abcur</w:t>
      </w:r>
      <w:proofErr w:type="spellEnd"/>
      <w:r w:rsidRPr="005365FF">
        <w:rPr>
          <w:sz w:val="24"/>
          <w:szCs w:val="24"/>
        </w:rPr>
        <w:t xml:space="preserve"> AB </w:t>
      </w:r>
    </w:p>
    <w:p w14:paraId="5BAAFD78" w14:textId="77777777" w:rsidR="005365FF" w:rsidRPr="005365FF" w:rsidRDefault="005365FF" w:rsidP="005365FF">
      <w:pPr>
        <w:numPr>
          <w:ilvl w:val="12"/>
          <w:numId w:val="0"/>
        </w:numPr>
        <w:ind w:left="851" w:right="-2"/>
        <w:rPr>
          <w:sz w:val="24"/>
          <w:szCs w:val="24"/>
        </w:rPr>
      </w:pPr>
      <w:r w:rsidRPr="005365FF">
        <w:rPr>
          <w:sz w:val="24"/>
          <w:szCs w:val="24"/>
        </w:rPr>
        <w:t>Box 1452</w:t>
      </w:r>
    </w:p>
    <w:p w14:paraId="49CAD8CF" w14:textId="77777777" w:rsidR="005365FF" w:rsidRPr="005365FF" w:rsidRDefault="005365FF" w:rsidP="005365FF">
      <w:pPr>
        <w:numPr>
          <w:ilvl w:val="12"/>
          <w:numId w:val="0"/>
        </w:numPr>
        <w:ind w:left="851" w:right="-2"/>
        <w:rPr>
          <w:sz w:val="24"/>
          <w:szCs w:val="24"/>
        </w:rPr>
      </w:pPr>
      <w:r w:rsidRPr="005365FF">
        <w:rPr>
          <w:sz w:val="24"/>
          <w:szCs w:val="24"/>
        </w:rPr>
        <w:t>251 14 Helsingborg</w:t>
      </w:r>
      <w:bookmarkStart w:id="0" w:name="_GoBack"/>
      <w:bookmarkEnd w:id="0"/>
    </w:p>
    <w:p w14:paraId="34259F61" w14:textId="05EC4C7A" w:rsidR="005365FF" w:rsidRPr="005365FF" w:rsidRDefault="005365FF" w:rsidP="005365FF">
      <w:pPr>
        <w:numPr>
          <w:ilvl w:val="12"/>
          <w:numId w:val="0"/>
        </w:numPr>
        <w:ind w:left="851" w:right="-2"/>
        <w:rPr>
          <w:sz w:val="24"/>
          <w:szCs w:val="24"/>
        </w:rPr>
      </w:pPr>
      <w:r w:rsidRPr="005365FF">
        <w:rPr>
          <w:sz w:val="24"/>
          <w:szCs w:val="24"/>
        </w:rPr>
        <w:t>Sverige</w:t>
      </w:r>
    </w:p>
    <w:p w14:paraId="7BA8A8E4" w14:textId="77777777" w:rsidR="00641C65" w:rsidRPr="00407EDB" w:rsidRDefault="00641C65" w:rsidP="009260DE">
      <w:pPr>
        <w:tabs>
          <w:tab w:val="left" w:pos="851"/>
        </w:tabs>
        <w:ind w:left="851"/>
        <w:rPr>
          <w:sz w:val="24"/>
          <w:szCs w:val="24"/>
        </w:rPr>
      </w:pPr>
    </w:p>
    <w:p w14:paraId="10641AAF" w14:textId="77777777" w:rsidR="009260DE" w:rsidRPr="00407EDB" w:rsidRDefault="009260DE" w:rsidP="009260DE">
      <w:pPr>
        <w:tabs>
          <w:tab w:val="left" w:pos="851"/>
        </w:tabs>
        <w:ind w:left="851" w:hanging="851"/>
        <w:rPr>
          <w:b/>
          <w:sz w:val="24"/>
          <w:szCs w:val="24"/>
        </w:rPr>
      </w:pPr>
      <w:r w:rsidRPr="00407EDB">
        <w:rPr>
          <w:b/>
          <w:sz w:val="24"/>
          <w:szCs w:val="24"/>
        </w:rPr>
        <w:t>8.</w:t>
      </w:r>
      <w:r w:rsidRPr="00407EDB">
        <w:rPr>
          <w:b/>
          <w:sz w:val="24"/>
          <w:szCs w:val="24"/>
        </w:rPr>
        <w:tab/>
        <w:t>MARKEDSFØRINGSTILLADELSESNUMMER (</w:t>
      </w:r>
      <w:r w:rsidR="00BF6243" w:rsidRPr="00407EDB">
        <w:rPr>
          <w:b/>
          <w:sz w:val="24"/>
          <w:szCs w:val="24"/>
        </w:rPr>
        <w:t>-</w:t>
      </w:r>
      <w:r w:rsidRPr="00407EDB">
        <w:rPr>
          <w:b/>
          <w:sz w:val="24"/>
          <w:szCs w:val="24"/>
        </w:rPr>
        <w:t>NUMRE)</w:t>
      </w:r>
    </w:p>
    <w:p w14:paraId="6B6055C2" w14:textId="6E6F53A4" w:rsidR="009260DE" w:rsidRPr="00407EDB" w:rsidRDefault="00A81B1D" w:rsidP="009260DE">
      <w:pPr>
        <w:tabs>
          <w:tab w:val="left" w:pos="851"/>
        </w:tabs>
        <w:ind w:left="851"/>
        <w:rPr>
          <w:sz w:val="24"/>
          <w:szCs w:val="24"/>
        </w:rPr>
      </w:pPr>
      <w:r w:rsidRPr="00407EDB">
        <w:rPr>
          <w:sz w:val="24"/>
          <w:szCs w:val="24"/>
        </w:rPr>
        <w:t>64570</w:t>
      </w:r>
    </w:p>
    <w:p w14:paraId="69C6D76E" w14:textId="77777777" w:rsidR="009260DE" w:rsidRPr="00407EDB" w:rsidRDefault="009260DE" w:rsidP="009260DE">
      <w:pPr>
        <w:tabs>
          <w:tab w:val="left" w:pos="851"/>
        </w:tabs>
        <w:ind w:left="851"/>
        <w:jc w:val="both"/>
        <w:rPr>
          <w:sz w:val="24"/>
          <w:szCs w:val="24"/>
        </w:rPr>
      </w:pPr>
    </w:p>
    <w:p w14:paraId="0C437CCB" w14:textId="77777777" w:rsidR="009260DE" w:rsidRPr="00407EDB" w:rsidRDefault="009260DE" w:rsidP="009260DE">
      <w:pPr>
        <w:tabs>
          <w:tab w:val="left" w:pos="851"/>
        </w:tabs>
        <w:ind w:left="851" w:hanging="851"/>
        <w:rPr>
          <w:b/>
          <w:sz w:val="24"/>
          <w:szCs w:val="24"/>
        </w:rPr>
      </w:pPr>
      <w:r w:rsidRPr="00407EDB">
        <w:rPr>
          <w:b/>
          <w:sz w:val="24"/>
          <w:szCs w:val="24"/>
        </w:rPr>
        <w:t>9.</w:t>
      </w:r>
      <w:r w:rsidRPr="00407EDB">
        <w:rPr>
          <w:b/>
          <w:sz w:val="24"/>
          <w:szCs w:val="24"/>
        </w:rPr>
        <w:tab/>
        <w:t>DATO FOR FØRSTE MARKEDSFØRINGSTILLADELSE</w:t>
      </w:r>
    </w:p>
    <w:p w14:paraId="14172575" w14:textId="44844074" w:rsidR="009260DE" w:rsidRPr="00407EDB" w:rsidRDefault="00220105" w:rsidP="009260DE">
      <w:pPr>
        <w:tabs>
          <w:tab w:val="left" w:pos="851"/>
        </w:tabs>
        <w:ind w:left="851"/>
        <w:rPr>
          <w:sz w:val="24"/>
          <w:szCs w:val="24"/>
        </w:rPr>
      </w:pPr>
      <w:r>
        <w:rPr>
          <w:sz w:val="24"/>
          <w:szCs w:val="24"/>
        </w:rPr>
        <w:t>4. marts 2024</w:t>
      </w:r>
    </w:p>
    <w:p w14:paraId="5704A556" w14:textId="77777777" w:rsidR="009260DE" w:rsidRPr="00407EDB" w:rsidRDefault="009260DE" w:rsidP="009260DE">
      <w:pPr>
        <w:tabs>
          <w:tab w:val="left" w:pos="851"/>
        </w:tabs>
        <w:ind w:left="851"/>
        <w:rPr>
          <w:sz w:val="24"/>
          <w:szCs w:val="24"/>
        </w:rPr>
      </w:pPr>
    </w:p>
    <w:p w14:paraId="6847B80B" w14:textId="77777777" w:rsidR="009260DE" w:rsidRPr="00407EDB" w:rsidRDefault="009260DE" w:rsidP="009260DE">
      <w:pPr>
        <w:tabs>
          <w:tab w:val="left" w:pos="851"/>
        </w:tabs>
        <w:ind w:left="851" w:hanging="851"/>
        <w:rPr>
          <w:b/>
          <w:sz w:val="24"/>
          <w:szCs w:val="24"/>
        </w:rPr>
      </w:pPr>
      <w:r w:rsidRPr="00407EDB">
        <w:rPr>
          <w:b/>
          <w:sz w:val="24"/>
          <w:szCs w:val="24"/>
        </w:rPr>
        <w:t>10.</w:t>
      </w:r>
      <w:r w:rsidRPr="00407EDB">
        <w:rPr>
          <w:b/>
          <w:sz w:val="24"/>
          <w:szCs w:val="24"/>
        </w:rPr>
        <w:tab/>
        <w:t>DATO FOR ÆNDRING AF TEKSTEN</w:t>
      </w:r>
    </w:p>
    <w:p w14:paraId="226C7C1A" w14:textId="0C1E9CE0" w:rsidR="009260DE" w:rsidRPr="00407EDB" w:rsidRDefault="005240E5" w:rsidP="009260DE">
      <w:pPr>
        <w:tabs>
          <w:tab w:val="left" w:pos="851"/>
        </w:tabs>
        <w:ind w:left="851"/>
        <w:rPr>
          <w:sz w:val="24"/>
          <w:szCs w:val="24"/>
        </w:rPr>
      </w:pPr>
      <w:r>
        <w:rPr>
          <w:sz w:val="24"/>
          <w:szCs w:val="24"/>
        </w:rPr>
        <w:t>11</w:t>
      </w:r>
      <w:r w:rsidR="00F61DD2">
        <w:rPr>
          <w:sz w:val="24"/>
          <w:szCs w:val="24"/>
        </w:rPr>
        <w:t xml:space="preserve">. </w:t>
      </w:r>
      <w:r>
        <w:rPr>
          <w:sz w:val="24"/>
          <w:szCs w:val="24"/>
        </w:rPr>
        <w:t>november</w:t>
      </w:r>
      <w:r w:rsidR="00F61DD2">
        <w:rPr>
          <w:sz w:val="24"/>
          <w:szCs w:val="24"/>
        </w:rPr>
        <w:t xml:space="preserve"> 2024</w:t>
      </w:r>
    </w:p>
    <w:sectPr w:rsidR="009260DE" w:rsidRPr="00407EDB"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007A7" w14:textId="77777777" w:rsidR="00330823" w:rsidRDefault="00330823">
      <w:r>
        <w:separator/>
      </w:r>
    </w:p>
  </w:endnote>
  <w:endnote w:type="continuationSeparator" w:id="0">
    <w:p w14:paraId="3845C734" w14:textId="77777777" w:rsidR="00330823" w:rsidRDefault="0033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B5FD" w14:textId="77777777" w:rsidR="000259B9" w:rsidRDefault="000259B9">
    <w:pPr>
      <w:pStyle w:val="Sidefod"/>
      <w:pBdr>
        <w:bottom w:val="single" w:sz="6" w:space="1" w:color="auto"/>
      </w:pBdr>
    </w:pPr>
  </w:p>
  <w:p w14:paraId="1ECD6F52" w14:textId="77777777" w:rsidR="000259B9" w:rsidRDefault="000259B9" w:rsidP="00C42586">
    <w:pPr>
      <w:pStyle w:val="Sidefod"/>
      <w:tabs>
        <w:tab w:val="clear" w:pos="4819"/>
        <w:tab w:val="left" w:pos="8505"/>
      </w:tabs>
      <w:rPr>
        <w:i/>
        <w:sz w:val="18"/>
        <w:szCs w:val="18"/>
      </w:rPr>
    </w:pPr>
  </w:p>
  <w:p w14:paraId="4A347069" w14:textId="751D6EA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61DD2">
      <w:rPr>
        <w:i/>
        <w:noProof/>
        <w:sz w:val="18"/>
        <w:szCs w:val="18"/>
      </w:rPr>
      <w:t>Sumatriptan Advanz Pharma, injektionsvæske, opløsning i fyldt pen 6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7BA96" w14:textId="77777777" w:rsidR="00330823" w:rsidRDefault="00330823">
      <w:r>
        <w:separator/>
      </w:r>
    </w:p>
  </w:footnote>
  <w:footnote w:type="continuationSeparator" w:id="0">
    <w:p w14:paraId="038D0294" w14:textId="77777777" w:rsidR="00330823" w:rsidRDefault="00330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23"/>
    <w:rsid w:val="000259B9"/>
    <w:rsid w:val="00041491"/>
    <w:rsid w:val="00050D16"/>
    <w:rsid w:val="000730CA"/>
    <w:rsid w:val="00074F2A"/>
    <w:rsid w:val="000A1CA8"/>
    <w:rsid w:val="000A466B"/>
    <w:rsid w:val="000B058C"/>
    <w:rsid w:val="000D68B0"/>
    <w:rsid w:val="000E4EE6"/>
    <w:rsid w:val="00144A64"/>
    <w:rsid w:val="001454E2"/>
    <w:rsid w:val="00206CE8"/>
    <w:rsid w:val="0021526C"/>
    <w:rsid w:val="00220105"/>
    <w:rsid w:val="00234A8B"/>
    <w:rsid w:val="00283A2B"/>
    <w:rsid w:val="002B30AD"/>
    <w:rsid w:val="002C1EC0"/>
    <w:rsid w:val="002C2C01"/>
    <w:rsid w:val="00330823"/>
    <w:rsid w:val="003A29AE"/>
    <w:rsid w:val="003A32D7"/>
    <w:rsid w:val="003B4074"/>
    <w:rsid w:val="003C769A"/>
    <w:rsid w:val="003D3A90"/>
    <w:rsid w:val="003F1838"/>
    <w:rsid w:val="00407EDB"/>
    <w:rsid w:val="004251C1"/>
    <w:rsid w:val="0045746C"/>
    <w:rsid w:val="0049104B"/>
    <w:rsid w:val="00494054"/>
    <w:rsid w:val="004E35C4"/>
    <w:rsid w:val="004E3B12"/>
    <w:rsid w:val="004E5670"/>
    <w:rsid w:val="005240E5"/>
    <w:rsid w:val="00532310"/>
    <w:rsid w:val="005365FF"/>
    <w:rsid w:val="00565F0F"/>
    <w:rsid w:val="00573320"/>
    <w:rsid w:val="00594A86"/>
    <w:rsid w:val="00596D86"/>
    <w:rsid w:val="00637F5A"/>
    <w:rsid w:val="00641C65"/>
    <w:rsid w:val="006560B1"/>
    <w:rsid w:val="006756DD"/>
    <w:rsid w:val="0071241E"/>
    <w:rsid w:val="00737275"/>
    <w:rsid w:val="00740EEC"/>
    <w:rsid w:val="0078011A"/>
    <w:rsid w:val="00782AF4"/>
    <w:rsid w:val="00790EE7"/>
    <w:rsid w:val="007B6649"/>
    <w:rsid w:val="007E48B3"/>
    <w:rsid w:val="0082576E"/>
    <w:rsid w:val="008502DE"/>
    <w:rsid w:val="0089346F"/>
    <w:rsid w:val="00907F75"/>
    <w:rsid w:val="009260DE"/>
    <w:rsid w:val="0093258A"/>
    <w:rsid w:val="009C7BA3"/>
    <w:rsid w:val="009D1F5A"/>
    <w:rsid w:val="00A10294"/>
    <w:rsid w:val="00A81B1D"/>
    <w:rsid w:val="00B003BF"/>
    <w:rsid w:val="00B373D7"/>
    <w:rsid w:val="00B55271"/>
    <w:rsid w:val="00BD7931"/>
    <w:rsid w:val="00BF6243"/>
    <w:rsid w:val="00C36276"/>
    <w:rsid w:val="00C42586"/>
    <w:rsid w:val="00C45F6B"/>
    <w:rsid w:val="00C60CCD"/>
    <w:rsid w:val="00C84483"/>
    <w:rsid w:val="00C84586"/>
    <w:rsid w:val="00C95551"/>
    <w:rsid w:val="00CA1224"/>
    <w:rsid w:val="00CB20D7"/>
    <w:rsid w:val="00D020B0"/>
    <w:rsid w:val="00D11748"/>
    <w:rsid w:val="00D237F6"/>
    <w:rsid w:val="00D34D98"/>
    <w:rsid w:val="00D366CF"/>
    <w:rsid w:val="00D93992"/>
    <w:rsid w:val="00E108AA"/>
    <w:rsid w:val="00E3749A"/>
    <w:rsid w:val="00E7437F"/>
    <w:rsid w:val="00E865B8"/>
    <w:rsid w:val="00EC0B9B"/>
    <w:rsid w:val="00ED5E9F"/>
    <w:rsid w:val="00F61DD2"/>
    <w:rsid w:val="00F66D4F"/>
    <w:rsid w:val="00FB5A92"/>
    <w:rsid w:val="00FB6D01"/>
    <w:rsid w:val="00FF3C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E1B83"/>
  <w15:chartTrackingRefBased/>
  <w15:docId w15:val="{0E2B2C11-6378-4DB0-8EB9-955D34B3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A81B1D"/>
    <w:pPr>
      <w:spacing w:before="100" w:beforeAutospacing="1" w:after="100" w:afterAutospacing="1"/>
    </w:pPr>
    <w:rPr>
      <w:sz w:val="24"/>
      <w:szCs w:val="24"/>
      <w:lang w:eastAsia="de-DE"/>
    </w:rPr>
  </w:style>
  <w:style w:type="paragraph" w:customStyle="1" w:styleId="EMEAEnBodyText">
    <w:name w:val="EMEA En Body Text"/>
    <w:basedOn w:val="Normal"/>
    <w:uiPriority w:val="99"/>
    <w:rsid w:val="00A81B1D"/>
    <w:pPr>
      <w:spacing w:before="120" w:after="120"/>
      <w:jc w:val="both"/>
    </w:pPr>
    <w:rPr>
      <w:sz w:val="22"/>
      <w:lang w:eastAsia="de-DE"/>
    </w:rPr>
  </w:style>
  <w:style w:type="character" w:styleId="Hyperlink">
    <w:name w:val="Hyperlink"/>
    <w:basedOn w:val="Standardskrifttypeiafsnit"/>
    <w:uiPriority w:val="99"/>
    <w:semiHidden/>
    <w:unhideWhenUsed/>
    <w:rsid w:val="00A81B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0067020">
      <w:bodyDiv w:val="1"/>
      <w:marLeft w:val="0"/>
      <w:marRight w:val="0"/>
      <w:marTop w:val="0"/>
      <w:marBottom w:val="0"/>
      <w:divBdr>
        <w:top w:val="none" w:sz="0" w:space="0" w:color="auto"/>
        <w:left w:val="none" w:sz="0" w:space="0" w:color="auto"/>
        <w:bottom w:val="none" w:sz="0" w:space="0" w:color="auto"/>
        <w:right w:val="none" w:sz="0" w:space="0" w:color="auto"/>
      </w:divBdr>
    </w:div>
    <w:div w:id="441801881">
      <w:bodyDiv w:val="1"/>
      <w:marLeft w:val="0"/>
      <w:marRight w:val="0"/>
      <w:marTop w:val="0"/>
      <w:marBottom w:val="0"/>
      <w:divBdr>
        <w:top w:val="none" w:sz="0" w:space="0" w:color="auto"/>
        <w:left w:val="none" w:sz="0" w:space="0" w:color="auto"/>
        <w:bottom w:val="none" w:sz="0" w:space="0" w:color="auto"/>
        <w:right w:val="none" w:sz="0" w:space="0" w:color="auto"/>
      </w:divBdr>
    </w:div>
    <w:div w:id="562840008">
      <w:bodyDiv w:val="1"/>
      <w:marLeft w:val="0"/>
      <w:marRight w:val="0"/>
      <w:marTop w:val="0"/>
      <w:marBottom w:val="0"/>
      <w:divBdr>
        <w:top w:val="none" w:sz="0" w:space="0" w:color="auto"/>
        <w:left w:val="none" w:sz="0" w:space="0" w:color="auto"/>
        <w:bottom w:val="none" w:sz="0" w:space="0" w:color="auto"/>
        <w:right w:val="none" w:sz="0" w:space="0" w:color="auto"/>
      </w:divBdr>
    </w:div>
    <w:div w:id="568930568">
      <w:bodyDiv w:val="1"/>
      <w:marLeft w:val="0"/>
      <w:marRight w:val="0"/>
      <w:marTop w:val="0"/>
      <w:marBottom w:val="0"/>
      <w:divBdr>
        <w:top w:val="none" w:sz="0" w:space="0" w:color="auto"/>
        <w:left w:val="none" w:sz="0" w:space="0" w:color="auto"/>
        <w:bottom w:val="none" w:sz="0" w:space="0" w:color="auto"/>
        <w:right w:val="none" w:sz="0" w:space="0" w:color="auto"/>
      </w:divBdr>
    </w:div>
    <w:div w:id="576018661">
      <w:bodyDiv w:val="1"/>
      <w:marLeft w:val="0"/>
      <w:marRight w:val="0"/>
      <w:marTop w:val="0"/>
      <w:marBottom w:val="0"/>
      <w:divBdr>
        <w:top w:val="none" w:sz="0" w:space="0" w:color="auto"/>
        <w:left w:val="none" w:sz="0" w:space="0" w:color="auto"/>
        <w:bottom w:val="none" w:sz="0" w:space="0" w:color="auto"/>
        <w:right w:val="none" w:sz="0" w:space="0" w:color="auto"/>
      </w:divBdr>
    </w:div>
    <w:div w:id="639698834">
      <w:bodyDiv w:val="1"/>
      <w:marLeft w:val="0"/>
      <w:marRight w:val="0"/>
      <w:marTop w:val="0"/>
      <w:marBottom w:val="0"/>
      <w:divBdr>
        <w:top w:val="none" w:sz="0" w:space="0" w:color="auto"/>
        <w:left w:val="none" w:sz="0" w:space="0" w:color="auto"/>
        <w:bottom w:val="none" w:sz="0" w:space="0" w:color="auto"/>
        <w:right w:val="none" w:sz="0" w:space="0" w:color="auto"/>
      </w:divBdr>
    </w:div>
    <w:div w:id="963198753">
      <w:bodyDiv w:val="1"/>
      <w:marLeft w:val="0"/>
      <w:marRight w:val="0"/>
      <w:marTop w:val="0"/>
      <w:marBottom w:val="0"/>
      <w:divBdr>
        <w:top w:val="none" w:sz="0" w:space="0" w:color="auto"/>
        <w:left w:val="none" w:sz="0" w:space="0" w:color="auto"/>
        <w:bottom w:val="none" w:sz="0" w:space="0" w:color="auto"/>
        <w:right w:val="none" w:sz="0" w:space="0" w:color="auto"/>
      </w:divBdr>
    </w:div>
    <w:div w:id="1193768112">
      <w:bodyDiv w:val="1"/>
      <w:marLeft w:val="0"/>
      <w:marRight w:val="0"/>
      <w:marTop w:val="0"/>
      <w:marBottom w:val="0"/>
      <w:divBdr>
        <w:top w:val="none" w:sz="0" w:space="0" w:color="auto"/>
        <w:left w:val="none" w:sz="0" w:space="0" w:color="auto"/>
        <w:bottom w:val="none" w:sz="0" w:space="0" w:color="auto"/>
        <w:right w:val="none" w:sz="0" w:space="0" w:color="auto"/>
      </w:divBdr>
    </w:div>
    <w:div w:id="1270308609">
      <w:bodyDiv w:val="1"/>
      <w:marLeft w:val="0"/>
      <w:marRight w:val="0"/>
      <w:marTop w:val="0"/>
      <w:marBottom w:val="0"/>
      <w:divBdr>
        <w:top w:val="none" w:sz="0" w:space="0" w:color="auto"/>
        <w:left w:val="none" w:sz="0" w:space="0" w:color="auto"/>
        <w:bottom w:val="none" w:sz="0" w:space="0" w:color="auto"/>
        <w:right w:val="none" w:sz="0" w:space="0" w:color="auto"/>
      </w:divBdr>
    </w:div>
    <w:div w:id="1338314102">
      <w:bodyDiv w:val="1"/>
      <w:marLeft w:val="0"/>
      <w:marRight w:val="0"/>
      <w:marTop w:val="0"/>
      <w:marBottom w:val="0"/>
      <w:divBdr>
        <w:top w:val="none" w:sz="0" w:space="0" w:color="auto"/>
        <w:left w:val="none" w:sz="0" w:space="0" w:color="auto"/>
        <w:bottom w:val="none" w:sz="0" w:space="0" w:color="auto"/>
        <w:right w:val="none" w:sz="0" w:space="0" w:color="auto"/>
      </w:divBdr>
    </w:div>
    <w:div w:id="1343900197">
      <w:bodyDiv w:val="1"/>
      <w:marLeft w:val="0"/>
      <w:marRight w:val="0"/>
      <w:marTop w:val="0"/>
      <w:marBottom w:val="0"/>
      <w:divBdr>
        <w:top w:val="none" w:sz="0" w:space="0" w:color="auto"/>
        <w:left w:val="none" w:sz="0" w:space="0" w:color="auto"/>
        <w:bottom w:val="none" w:sz="0" w:space="0" w:color="auto"/>
        <w:right w:val="none" w:sz="0" w:space="0" w:color="auto"/>
      </w:divBdr>
    </w:div>
    <w:div w:id="1436827786">
      <w:bodyDiv w:val="1"/>
      <w:marLeft w:val="0"/>
      <w:marRight w:val="0"/>
      <w:marTop w:val="0"/>
      <w:marBottom w:val="0"/>
      <w:divBdr>
        <w:top w:val="none" w:sz="0" w:space="0" w:color="auto"/>
        <w:left w:val="none" w:sz="0" w:space="0" w:color="auto"/>
        <w:bottom w:val="none" w:sz="0" w:space="0" w:color="auto"/>
        <w:right w:val="none" w:sz="0" w:space="0" w:color="auto"/>
      </w:divBdr>
    </w:div>
    <w:div w:id="1437366743">
      <w:bodyDiv w:val="1"/>
      <w:marLeft w:val="0"/>
      <w:marRight w:val="0"/>
      <w:marTop w:val="0"/>
      <w:marBottom w:val="0"/>
      <w:divBdr>
        <w:top w:val="none" w:sz="0" w:space="0" w:color="auto"/>
        <w:left w:val="none" w:sz="0" w:space="0" w:color="auto"/>
        <w:bottom w:val="none" w:sz="0" w:space="0" w:color="auto"/>
        <w:right w:val="none" w:sz="0" w:space="0" w:color="auto"/>
      </w:divBdr>
    </w:div>
    <w:div w:id="1734890523">
      <w:bodyDiv w:val="1"/>
      <w:marLeft w:val="0"/>
      <w:marRight w:val="0"/>
      <w:marTop w:val="0"/>
      <w:marBottom w:val="0"/>
      <w:divBdr>
        <w:top w:val="none" w:sz="0" w:space="0" w:color="auto"/>
        <w:left w:val="none" w:sz="0" w:space="0" w:color="auto"/>
        <w:bottom w:val="none" w:sz="0" w:space="0" w:color="auto"/>
        <w:right w:val="none" w:sz="0" w:space="0" w:color="auto"/>
      </w:divBdr>
    </w:div>
    <w:div w:id="1826895135">
      <w:bodyDiv w:val="1"/>
      <w:marLeft w:val="0"/>
      <w:marRight w:val="0"/>
      <w:marTop w:val="0"/>
      <w:marBottom w:val="0"/>
      <w:divBdr>
        <w:top w:val="none" w:sz="0" w:space="0" w:color="auto"/>
        <w:left w:val="none" w:sz="0" w:space="0" w:color="auto"/>
        <w:bottom w:val="none" w:sz="0" w:space="0" w:color="auto"/>
        <w:right w:val="none" w:sz="0" w:space="0" w:color="auto"/>
      </w:divBdr>
    </w:div>
    <w:div w:id="1937866114">
      <w:bodyDiv w:val="1"/>
      <w:marLeft w:val="0"/>
      <w:marRight w:val="0"/>
      <w:marTop w:val="0"/>
      <w:marBottom w:val="0"/>
      <w:divBdr>
        <w:top w:val="none" w:sz="0" w:space="0" w:color="auto"/>
        <w:left w:val="none" w:sz="0" w:space="0" w:color="auto"/>
        <w:bottom w:val="none" w:sz="0" w:space="0" w:color="auto"/>
        <w:right w:val="none" w:sz="0" w:space="0" w:color="auto"/>
      </w:divBdr>
    </w:div>
    <w:div w:id="1954701126">
      <w:bodyDiv w:val="1"/>
      <w:marLeft w:val="0"/>
      <w:marRight w:val="0"/>
      <w:marTop w:val="0"/>
      <w:marBottom w:val="0"/>
      <w:divBdr>
        <w:top w:val="none" w:sz="0" w:space="0" w:color="auto"/>
        <w:left w:val="none" w:sz="0" w:space="0" w:color="auto"/>
        <w:bottom w:val="none" w:sz="0" w:space="0" w:color="auto"/>
        <w:right w:val="none" w:sz="0" w:space="0" w:color="auto"/>
      </w:divBdr>
    </w:div>
    <w:div w:id="2022659461">
      <w:bodyDiv w:val="1"/>
      <w:marLeft w:val="0"/>
      <w:marRight w:val="0"/>
      <w:marTop w:val="0"/>
      <w:marBottom w:val="0"/>
      <w:divBdr>
        <w:top w:val="none" w:sz="0" w:space="0" w:color="auto"/>
        <w:left w:val="none" w:sz="0" w:space="0" w:color="auto"/>
        <w:bottom w:val="none" w:sz="0" w:space="0" w:color="auto"/>
        <w:right w:val="none" w:sz="0" w:space="0" w:color="auto"/>
      </w:divBdr>
    </w:div>
    <w:div w:id="2047631770">
      <w:bodyDiv w:val="1"/>
      <w:marLeft w:val="0"/>
      <w:marRight w:val="0"/>
      <w:marTop w:val="0"/>
      <w:marBottom w:val="0"/>
      <w:divBdr>
        <w:top w:val="none" w:sz="0" w:space="0" w:color="auto"/>
        <w:left w:val="none" w:sz="0" w:space="0" w:color="auto"/>
        <w:bottom w:val="none" w:sz="0" w:space="0" w:color="auto"/>
        <w:right w:val="none" w:sz="0" w:space="0" w:color="auto"/>
      </w:divBdr>
    </w:div>
    <w:div w:id="2067534241">
      <w:bodyDiv w:val="1"/>
      <w:marLeft w:val="0"/>
      <w:marRight w:val="0"/>
      <w:marTop w:val="0"/>
      <w:marBottom w:val="0"/>
      <w:divBdr>
        <w:top w:val="none" w:sz="0" w:space="0" w:color="auto"/>
        <w:left w:val="none" w:sz="0" w:space="0" w:color="auto"/>
        <w:bottom w:val="none" w:sz="0" w:space="0" w:color="auto"/>
        <w:right w:val="none" w:sz="0" w:space="0" w:color="auto"/>
      </w:divBdr>
    </w:div>
    <w:div w:id="21459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13</Pages>
  <Words>3132</Words>
  <Characters>19919</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2024094168_x000d_
Ændring af MAH adresse</dc:description>
  <cp:lastModifiedBy>Marianne Ott Jensen</cp:lastModifiedBy>
  <cp:revision>3</cp:revision>
  <cp:lastPrinted>2012-08-22T08:53:00Z</cp:lastPrinted>
  <dcterms:created xsi:type="dcterms:W3CDTF">2024-11-11T09:52:00Z</dcterms:created>
  <dcterms:modified xsi:type="dcterms:W3CDTF">2024-11-11T09:53:00Z</dcterms:modified>
</cp:coreProperties>
</file>