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AD4" w:rsidRDefault="00594AD4" w:rsidP="00594AD4">
      <w:pPr>
        <w:pStyle w:val="Titel"/>
        <w:tabs>
          <w:tab w:val="left" w:pos="7938"/>
        </w:tabs>
        <w:jc w:val="left"/>
        <w:rPr>
          <w:b w:val="0"/>
        </w:rPr>
      </w:pPr>
      <w:r w:rsidRPr="00CD6EB1">
        <w:rPr>
          <w:b w:val="0"/>
          <w:noProof/>
        </w:rPr>
        <w:drawing>
          <wp:inline distT="0" distB="0" distL="0" distR="0" wp14:anchorId="30075D38" wp14:editId="258FF0A2">
            <wp:extent cx="2463800" cy="685800"/>
            <wp:effectExtent l="0" t="0" r="0"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3800" cy="685800"/>
                    </a:xfrm>
                    <a:prstGeom prst="rect">
                      <a:avLst/>
                    </a:prstGeom>
                    <a:noFill/>
                    <a:ln>
                      <a:noFill/>
                    </a:ln>
                  </pic:spPr>
                </pic:pic>
              </a:graphicData>
            </a:graphic>
          </wp:inline>
        </w:drawing>
      </w:r>
      <w:r>
        <w:rPr>
          <w:b w:val="0"/>
        </w:rPr>
        <w:tab/>
      </w:r>
    </w:p>
    <w:p w:rsidR="00594AD4" w:rsidRDefault="00594AD4" w:rsidP="00594AD4">
      <w:pPr>
        <w:pStyle w:val="Titel"/>
        <w:tabs>
          <w:tab w:val="left" w:pos="6804"/>
        </w:tabs>
        <w:jc w:val="left"/>
      </w:pPr>
    </w:p>
    <w:p w:rsidR="00594AD4" w:rsidRDefault="00386C75" w:rsidP="00594AD4">
      <w:pPr>
        <w:pStyle w:val="Titel"/>
        <w:tabs>
          <w:tab w:val="left" w:pos="6804"/>
        </w:tabs>
        <w:jc w:val="right"/>
      </w:pPr>
      <w:r>
        <w:t>8. marts 2021</w:t>
      </w:r>
    </w:p>
    <w:p w:rsidR="00594AD4" w:rsidRDefault="00594AD4" w:rsidP="00594AD4">
      <w:pPr>
        <w:pStyle w:val="Titel"/>
        <w:jc w:val="left"/>
        <w:rPr>
          <w:b w:val="0"/>
        </w:rPr>
      </w:pPr>
    </w:p>
    <w:p w:rsidR="00594AD4" w:rsidRDefault="00594AD4" w:rsidP="00594AD4">
      <w:pPr>
        <w:jc w:val="center"/>
        <w:rPr>
          <w:b/>
        </w:rPr>
      </w:pPr>
      <w:r>
        <w:rPr>
          <w:b/>
        </w:rPr>
        <w:t>PRODUKTRESUMÉ</w:t>
      </w:r>
    </w:p>
    <w:p w:rsidR="00594AD4" w:rsidRDefault="00594AD4" w:rsidP="00594AD4">
      <w:pPr>
        <w:jc w:val="center"/>
        <w:rPr>
          <w:b/>
        </w:rPr>
      </w:pPr>
      <w:bookmarkStart w:id="0" w:name="_GoBack"/>
      <w:bookmarkEnd w:id="0"/>
    </w:p>
    <w:p w:rsidR="00594AD4" w:rsidRDefault="00594AD4" w:rsidP="00594AD4">
      <w:pPr>
        <w:jc w:val="center"/>
        <w:rPr>
          <w:b/>
        </w:rPr>
      </w:pPr>
      <w:r>
        <w:rPr>
          <w:b/>
        </w:rPr>
        <w:t>for</w:t>
      </w:r>
    </w:p>
    <w:p w:rsidR="00594AD4" w:rsidRDefault="00594AD4" w:rsidP="00594AD4">
      <w:pPr>
        <w:jc w:val="center"/>
        <w:rPr>
          <w:b/>
        </w:rPr>
      </w:pPr>
    </w:p>
    <w:p w:rsidR="00594AD4" w:rsidRDefault="00594AD4" w:rsidP="00594AD4">
      <w:pPr>
        <w:jc w:val="center"/>
        <w:rPr>
          <w:b/>
        </w:rPr>
      </w:pPr>
      <w:proofErr w:type="spellStart"/>
      <w:r>
        <w:rPr>
          <w:b/>
          <w:spacing w:val="-3"/>
        </w:rPr>
        <w:t>Sumatriptan</w:t>
      </w:r>
      <w:proofErr w:type="spellEnd"/>
      <w:r>
        <w:rPr>
          <w:b/>
          <w:spacing w:val="-3"/>
        </w:rPr>
        <w:t xml:space="preserve"> ”Sandoz”, filmovertrukne tabletter</w:t>
      </w:r>
    </w:p>
    <w:p w:rsidR="00594AD4" w:rsidRDefault="00594AD4" w:rsidP="00594AD4"/>
    <w:p w:rsidR="00594AD4" w:rsidRDefault="00594AD4" w:rsidP="00594AD4">
      <w:pPr>
        <w:jc w:val="both"/>
      </w:pPr>
    </w:p>
    <w:p w:rsidR="00594AD4" w:rsidRPr="00E775C6" w:rsidRDefault="00594AD4" w:rsidP="00594AD4">
      <w:pPr>
        <w:numPr>
          <w:ilvl w:val="0"/>
          <w:numId w:val="6"/>
        </w:numPr>
        <w:tabs>
          <w:tab w:val="clear" w:pos="855"/>
          <w:tab w:val="left" w:pos="851"/>
        </w:tabs>
        <w:jc w:val="both"/>
        <w:rPr>
          <w:b/>
          <w:sz w:val="24"/>
          <w:szCs w:val="24"/>
        </w:rPr>
      </w:pPr>
      <w:r w:rsidRPr="00E775C6">
        <w:rPr>
          <w:b/>
          <w:sz w:val="24"/>
          <w:szCs w:val="24"/>
        </w:rPr>
        <w:t>D.SP.NR.</w:t>
      </w:r>
    </w:p>
    <w:p w:rsidR="00594AD4" w:rsidRPr="00E775C6" w:rsidRDefault="00594AD4" w:rsidP="00594AD4">
      <w:pPr>
        <w:tabs>
          <w:tab w:val="left" w:pos="851"/>
        </w:tabs>
        <w:jc w:val="both"/>
        <w:rPr>
          <w:sz w:val="24"/>
          <w:szCs w:val="24"/>
        </w:rPr>
      </w:pPr>
      <w:r w:rsidRPr="00E775C6">
        <w:rPr>
          <w:sz w:val="24"/>
          <w:szCs w:val="24"/>
        </w:rPr>
        <w:tab/>
        <w:t>22464</w:t>
      </w:r>
    </w:p>
    <w:p w:rsidR="00594AD4" w:rsidRPr="00E775C6" w:rsidRDefault="00594AD4" w:rsidP="00594AD4">
      <w:pPr>
        <w:tabs>
          <w:tab w:val="left" w:pos="851"/>
        </w:tabs>
        <w:jc w:val="both"/>
        <w:rPr>
          <w:sz w:val="24"/>
          <w:szCs w:val="24"/>
        </w:rPr>
      </w:pPr>
    </w:p>
    <w:p w:rsidR="00594AD4" w:rsidRPr="00E775C6" w:rsidRDefault="00594AD4" w:rsidP="00594AD4">
      <w:pPr>
        <w:numPr>
          <w:ilvl w:val="0"/>
          <w:numId w:val="6"/>
        </w:numPr>
        <w:jc w:val="both"/>
        <w:rPr>
          <w:b/>
          <w:sz w:val="24"/>
          <w:szCs w:val="24"/>
        </w:rPr>
      </w:pPr>
      <w:r w:rsidRPr="00E775C6">
        <w:rPr>
          <w:b/>
          <w:sz w:val="24"/>
          <w:szCs w:val="24"/>
        </w:rPr>
        <w:t>LÆGEMIDLETS NAVN</w:t>
      </w:r>
    </w:p>
    <w:p w:rsidR="00594AD4" w:rsidRPr="00E775C6" w:rsidRDefault="00594AD4" w:rsidP="00594AD4">
      <w:pPr>
        <w:tabs>
          <w:tab w:val="left" w:pos="851"/>
        </w:tabs>
        <w:jc w:val="both"/>
        <w:rPr>
          <w:sz w:val="24"/>
          <w:szCs w:val="24"/>
        </w:rPr>
      </w:pPr>
      <w:r w:rsidRPr="00E775C6">
        <w:rPr>
          <w:sz w:val="24"/>
          <w:szCs w:val="24"/>
        </w:rPr>
        <w:tab/>
      </w:r>
      <w:proofErr w:type="spellStart"/>
      <w:r w:rsidRPr="00E775C6">
        <w:rPr>
          <w:sz w:val="24"/>
          <w:szCs w:val="24"/>
        </w:rPr>
        <w:t>Sumatriptan</w:t>
      </w:r>
      <w:proofErr w:type="spellEnd"/>
      <w:r w:rsidRPr="00E775C6">
        <w:rPr>
          <w:sz w:val="24"/>
          <w:szCs w:val="24"/>
        </w:rPr>
        <w:t xml:space="preserve"> ”Sandoz”</w:t>
      </w:r>
    </w:p>
    <w:p w:rsidR="00594AD4" w:rsidRPr="00E775C6" w:rsidRDefault="00594AD4" w:rsidP="00594AD4">
      <w:pPr>
        <w:tabs>
          <w:tab w:val="left" w:pos="851"/>
        </w:tabs>
        <w:jc w:val="both"/>
        <w:rPr>
          <w:sz w:val="24"/>
          <w:szCs w:val="24"/>
        </w:rPr>
      </w:pPr>
      <w:r w:rsidRPr="00E775C6">
        <w:rPr>
          <w:sz w:val="24"/>
          <w:szCs w:val="24"/>
        </w:rPr>
        <w:tab/>
      </w:r>
    </w:p>
    <w:p w:rsidR="00594AD4" w:rsidRPr="00E775C6" w:rsidRDefault="00594AD4" w:rsidP="00B435D5">
      <w:pPr>
        <w:numPr>
          <w:ilvl w:val="0"/>
          <w:numId w:val="6"/>
        </w:numPr>
        <w:jc w:val="both"/>
        <w:rPr>
          <w:b/>
          <w:sz w:val="24"/>
          <w:szCs w:val="24"/>
        </w:rPr>
      </w:pPr>
      <w:r w:rsidRPr="00E775C6">
        <w:rPr>
          <w:b/>
          <w:sz w:val="24"/>
          <w:szCs w:val="24"/>
        </w:rPr>
        <w:t>KVALITATIV OG KVANTITATIV SAMMENSÆTNING</w:t>
      </w:r>
    </w:p>
    <w:p w:rsidR="00B435D5" w:rsidRPr="00E775C6" w:rsidRDefault="00B435D5" w:rsidP="00B435D5">
      <w:pPr>
        <w:suppressAutoHyphens/>
        <w:ind w:left="851"/>
        <w:rPr>
          <w:sz w:val="24"/>
          <w:szCs w:val="24"/>
          <w:lang w:eastAsia="da-DK"/>
        </w:rPr>
      </w:pPr>
      <w:proofErr w:type="spellStart"/>
      <w:r w:rsidRPr="00E775C6">
        <w:rPr>
          <w:sz w:val="24"/>
          <w:szCs w:val="24"/>
        </w:rPr>
        <w:t>Sumatriptan</w:t>
      </w:r>
      <w:proofErr w:type="spellEnd"/>
      <w:r w:rsidRPr="00E775C6">
        <w:rPr>
          <w:sz w:val="24"/>
          <w:szCs w:val="24"/>
        </w:rPr>
        <w:t xml:space="preserve"> “Sandoz” 50 mg:</w:t>
      </w:r>
      <w:r w:rsidRPr="00E775C6">
        <w:rPr>
          <w:sz w:val="24"/>
          <w:szCs w:val="24"/>
        </w:rPr>
        <w:br/>
        <w:t xml:space="preserve">Hver filmovertrukket tablet indeholder 50 mg </w:t>
      </w:r>
      <w:proofErr w:type="spellStart"/>
      <w:r w:rsidRPr="00E775C6">
        <w:rPr>
          <w:sz w:val="24"/>
          <w:szCs w:val="24"/>
        </w:rPr>
        <w:t>sumatriptan</w:t>
      </w:r>
      <w:proofErr w:type="spellEnd"/>
      <w:r w:rsidRPr="00E775C6">
        <w:rPr>
          <w:sz w:val="24"/>
          <w:szCs w:val="24"/>
        </w:rPr>
        <w:t xml:space="preserve"> (som </w:t>
      </w:r>
      <w:proofErr w:type="spellStart"/>
      <w:r w:rsidRPr="00E775C6">
        <w:rPr>
          <w:sz w:val="24"/>
          <w:szCs w:val="24"/>
        </w:rPr>
        <w:t>succinat</w:t>
      </w:r>
      <w:proofErr w:type="spellEnd"/>
      <w:r w:rsidRPr="00E775C6">
        <w:rPr>
          <w:sz w:val="24"/>
          <w:szCs w:val="24"/>
        </w:rPr>
        <w:t>).</w:t>
      </w:r>
    </w:p>
    <w:p w:rsidR="00B435D5" w:rsidRPr="00E775C6" w:rsidRDefault="00B435D5" w:rsidP="00B435D5">
      <w:pPr>
        <w:suppressAutoHyphens/>
        <w:ind w:left="851"/>
        <w:rPr>
          <w:sz w:val="24"/>
          <w:szCs w:val="24"/>
        </w:rPr>
      </w:pPr>
    </w:p>
    <w:p w:rsidR="00B435D5" w:rsidRPr="00E775C6" w:rsidRDefault="00B435D5" w:rsidP="00B435D5">
      <w:pPr>
        <w:suppressAutoHyphens/>
        <w:ind w:left="851"/>
        <w:rPr>
          <w:sz w:val="24"/>
          <w:szCs w:val="24"/>
          <w:u w:val="single"/>
        </w:rPr>
      </w:pPr>
      <w:r w:rsidRPr="00E775C6">
        <w:rPr>
          <w:sz w:val="24"/>
          <w:szCs w:val="24"/>
          <w:u w:val="single"/>
        </w:rPr>
        <w:t>Hjælpestoffer, som behandleren skal være opmærksom på:</w:t>
      </w:r>
    </w:p>
    <w:p w:rsidR="00B435D5" w:rsidRPr="00E775C6" w:rsidRDefault="00B435D5" w:rsidP="00B435D5">
      <w:pPr>
        <w:suppressAutoHyphens/>
        <w:ind w:left="851"/>
        <w:rPr>
          <w:sz w:val="24"/>
          <w:szCs w:val="24"/>
        </w:rPr>
      </w:pPr>
      <w:r w:rsidRPr="00E775C6">
        <w:rPr>
          <w:sz w:val="24"/>
          <w:szCs w:val="24"/>
        </w:rPr>
        <w:t xml:space="preserve">Hver filmovertrukket tablet indeholder 56,32 mg </w:t>
      </w:r>
      <w:proofErr w:type="spellStart"/>
      <w:r w:rsidRPr="00E775C6">
        <w:rPr>
          <w:sz w:val="24"/>
          <w:szCs w:val="24"/>
        </w:rPr>
        <w:t>lactose</w:t>
      </w:r>
      <w:proofErr w:type="spellEnd"/>
      <w:r w:rsidRPr="00E775C6">
        <w:rPr>
          <w:sz w:val="24"/>
          <w:szCs w:val="24"/>
        </w:rPr>
        <w:t xml:space="preserve"> og 0,09 mg </w:t>
      </w:r>
      <w:proofErr w:type="spellStart"/>
      <w:r w:rsidRPr="00E775C6">
        <w:rPr>
          <w:sz w:val="24"/>
          <w:szCs w:val="24"/>
        </w:rPr>
        <w:t>aspartam</w:t>
      </w:r>
      <w:proofErr w:type="spellEnd"/>
      <w:r w:rsidRPr="00E775C6">
        <w:rPr>
          <w:sz w:val="24"/>
          <w:szCs w:val="24"/>
        </w:rPr>
        <w:t>.</w:t>
      </w:r>
    </w:p>
    <w:p w:rsidR="00B435D5" w:rsidRPr="00E775C6" w:rsidRDefault="00B435D5" w:rsidP="00B435D5">
      <w:pPr>
        <w:suppressAutoHyphens/>
        <w:ind w:left="851"/>
        <w:rPr>
          <w:sz w:val="24"/>
          <w:szCs w:val="24"/>
        </w:rPr>
      </w:pPr>
    </w:p>
    <w:p w:rsidR="00B435D5" w:rsidRPr="00E775C6" w:rsidRDefault="00B435D5" w:rsidP="00B435D5">
      <w:pPr>
        <w:suppressAutoHyphens/>
        <w:ind w:left="851"/>
        <w:rPr>
          <w:sz w:val="24"/>
          <w:szCs w:val="24"/>
        </w:rPr>
      </w:pPr>
      <w:proofErr w:type="spellStart"/>
      <w:r w:rsidRPr="00E775C6">
        <w:rPr>
          <w:sz w:val="24"/>
          <w:szCs w:val="24"/>
        </w:rPr>
        <w:t>Sumatriptan</w:t>
      </w:r>
      <w:proofErr w:type="spellEnd"/>
      <w:r w:rsidRPr="00E775C6">
        <w:rPr>
          <w:sz w:val="24"/>
          <w:szCs w:val="24"/>
        </w:rPr>
        <w:t xml:space="preserve"> “Sandoz” 100 mg:</w:t>
      </w:r>
      <w:r w:rsidRPr="00E775C6">
        <w:rPr>
          <w:sz w:val="24"/>
          <w:szCs w:val="24"/>
        </w:rPr>
        <w:br/>
        <w:t xml:space="preserve">Hver filmovertrukket tablet indeholder 100 mg </w:t>
      </w:r>
      <w:proofErr w:type="spellStart"/>
      <w:r w:rsidRPr="00E775C6">
        <w:rPr>
          <w:sz w:val="24"/>
          <w:szCs w:val="24"/>
        </w:rPr>
        <w:t>sumatriptan</w:t>
      </w:r>
      <w:proofErr w:type="spellEnd"/>
      <w:r w:rsidRPr="00E775C6">
        <w:rPr>
          <w:sz w:val="24"/>
          <w:szCs w:val="24"/>
        </w:rPr>
        <w:t xml:space="preserve"> (som </w:t>
      </w:r>
      <w:proofErr w:type="spellStart"/>
      <w:r w:rsidRPr="00E775C6">
        <w:rPr>
          <w:sz w:val="24"/>
          <w:szCs w:val="24"/>
        </w:rPr>
        <w:t>succinat</w:t>
      </w:r>
      <w:proofErr w:type="spellEnd"/>
      <w:r w:rsidRPr="00E775C6">
        <w:rPr>
          <w:sz w:val="24"/>
          <w:szCs w:val="24"/>
        </w:rPr>
        <w:t>).</w:t>
      </w:r>
    </w:p>
    <w:p w:rsidR="00B435D5" w:rsidRPr="00E775C6" w:rsidRDefault="00B435D5" w:rsidP="00B435D5">
      <w:pPr>
        <w:suppressAutoHyphens/>
        <w:ind w:left="851"/>
        <w:rPr>
          <w:sz w:val="24"/>
          <w:szCs w:val="24"/>
        </w:rPr>
      </w:pPr>
    </w:p>
    <w:p w:rsidR="00B435D5" w:rsidRPr="00E775C6" w:rsidRDefault="00B435D5" w:rsidP="00B435D5">
      <w:pPr>
        <w:ind w:left="851"/>
        <w:rPr>
          <w:sz w:val="24"/>
          <w:szCs w:val="24"/>
        </w:rPr>
      </w:pPr>
      <w:r w:rsidRPr="00E775C6">
        <w:rPr>
          <w:sz w:val="24"/>
          <w:szCs w:val="24"/>
          <w:u w:val="single"/>
        </w:rPr>
        <w:t>Hjælpestoffer, som behandleren skal være opmærksom på:</w:t>
      </w:r>
    </w:p>
    <w:p w:rsidR="00B435D5" w:rsidRDefault="00B435D5" w:rsidP="00B435D5">
      <w:pPr>
        <w:ind w:left="851"/>
        <w:rPr>
          <w:sz w:val="24"/>
          <w:szCs w:val="24"/>
        </w:rPr>
      </w:pPr>
      <w:r w:rsidRPr="00E775C6">
        <w:rPr>
          <w:sz w:val="24"/>
          <w:szCs w:val="24"/>
        </w:rPr>
        <w:t xml:space="preserve">Hver filmovertrukket tablet indeholder 112,64 mg </w:t>
      </w:r>
      <w:proofErr w:type="spellStart"/>
      <w:r w:rsidRPr="00E775C6">
        <w:rPr>
          <w:sz w:val="24"/>
          <w:szCs w:val="24"/>
        </w:rPr>
        <w:t>lactose</w:t>
      </w:r>
      <w:proofErr w:type="spellEnd"/>
      <w:r w:rsidRPr="00E775C6">
        <w:rPr>
          <w:sz w:val="24"/>
          <w:szCs w:val="24"/>
        </w:rPr>
        <w:t xml:space="preserve"> og 0,18 mg </w:t>
      </w:r>
      <w:proofErr w:type="spellStart"/>
      <w:r w:rsidRPr="00E775C6">
        <w:rPr>
          <w:sz w:val="24"/>
          <w:szCs w:val="24"/>
        </w:rPr>
        <w:t>aspartam</w:t>
      </w:r>
      <w:proofErr w:type="spellEnd"/>
      <w:r w:rsidRPr="00E775C6">
        <w:rPr>
          <w:sz w:val="24"/>
          <w:szCs w:val="24"/>
        </w:rPr>
        <w:t xml:space="preserve">. </w:t>
      </w:r>
    </w:p>
    <w:p w:rsidR="002B2FF5" w:rsidRDefault="002B2FF5" w:rsidP="00B435D5">
      <w:pPr>
        <w:ind w:left="851"/>
        <w:rPr>
          <w:sz w:val="24"/>
          <w:szCs w:val="24"/>
        </w:rPr>
      </w:pPr>
    </w:p>
    <w:p w:rsidR="002B2FF5" w:rsidRPr="00E775C6" w:rsidRDefault="002B2FF5" w:rsidP="00B435D5">
      <w:pPr>
        <w:ind w:left="851"/>
        <w:rPr>
          <w:sz w:val="24"/>
          <w:szCs w:val="24"/>
        </w:rPr>
      </w:pPr>
      <w:r w:rsidRPr="002B2FF5">
        <w:rPr>
          <w:sz w:val="24"/>
          <w:szCs w:val="24"/>
        </w:rPr>
        <w:t>Alle hjælpestoffer er anført under pkt. 6.1</w:t>
      </w:r>
      <w:r>
        <w:rPr>
          <w:sz w:val="24"/>
          <w:szCs w:val="24"/>
        </w:rPr>
        <w:t>.</w:t>
      </w:r>
    </w:p>
    <w:p w:rsidR="00B435D5" w:rsidRPr="00E775C6" w:rsidRDefault="00B435D5" w:rsidP="00594AD4">
      <w:pPr>
        <w:tabs>
          <w:tab w:val="left" w:pos="851"/>
        </w:tabs>
        <w:jc w:val="both"/>
        <w:rPr>
          <w:sz w:val="24"/>
          <w:szCs w:val="24"/>
        </w:rPr>
      </w:pPr>
    </w:p>
    <w:p w:rsidR="00594AD4" w:rsidRPr="00E775C6" w:rsidRDefault="00594AD4" w:rsidP="00B435D5">
      <w:pPr>
        <w:numPr>
          <w:ilvl w:val="0"/>
          <w:numId w:val="6"/>
        </w:numPr>
        <w:jc w:val="both"/>
        <w:rPr>
          <w:b/>
          <w:sz w:val="24"/>
          <w:szCs w:val="24"/>
        </w:rPr>
      </w:pPr>
      <w:r w:rsidRPr="00E775C6">
        <w:rPr>
          <w:b/>
          <w:sz w:val="24"/>
          <w:szCs w:val="24"/>
        </w:rPr>
        <w:t>LÆGEMIDDELFORM</w:t>
      </w:r>
    </w:p>
    <w:p w:rsidR="00B435D5" w:rsidRPr="00E775C6" w:rsidRDefault="00B435D5" w:rsidP="00B435D5">
      <w:pPr>
        <w:suppressAutoHyphens/>
        <w:ind w:firstLine="851"/>
        <w:rPr>
          <w:sz w:val="24"/>
          <w:szCs w:val="24"/>
          <w:lang w:eastAsia="da-DK"/>
        </w:rPr>
      </w:pPr>
      <w:r w:rsidRPr="00E775C6">
        <w:rPr>
          <w:sz w:val="24"/>
          <w:szCs w:val="24"/>
        </w:rPr>
        <w:t>Tabletter, filmovertrukne</w:t>
      </w:r>
    </w:p>
    <w:p w:rsidR="00B435D5" w:rsidRPr="00E775C6" w:rsidRDefault="00B435D5" w:rsidP="00B435D5">
      <w:pPr>
        <w:suppressAutoHyphens/>
        <w:ind w:firstLine="851"/>
        <w:rPr>
          <w:sz w:val="24"/>
          <w:szCs w:val="24"/>
        </w:rPr>
      </w:pPr>
    </w:p>
    <w:p w:rsidR="00B435D5" w:rsidRPr="00E775C6" w:rsidRDefault="00B435D5" w:rsidP="00B435D5">
      <w:pPr>
        <w:suppressAutoHyphens/>
        <w:ind w:firstLine="851"/>
        <w:rPr>
          <w:i/>
          <w:iCs/>
          <w:sz w:val="24"/>
          <w:szCs w:val="24"/>
        </w:rPr>
      </w:pPr>
      <w:r w:rsidRPr="00E775C6">
        <w:rPr>
          <w:i/>
          <w:iCs/>
          <w:sz w:val="24"/>
          <w:szCs w:val="24"/>
        </w:rPr>
        <w:t xml:space="preserve">50 mg filmovertrukne tabletter: </w:t>
      </w:r>
    </w:p>
    <w:p w:rsidR="00B435D5" w:rsidRPr="00E775C6" w:rsidRDefault="00B435D5" w:rsidP="00B435D5">
      <w:pPr>
        <w:suppressAutoHyphens/>
        <w:ind w:left="851"/>
        <w:rPr>
          <w:sz w:val="24"/>
          <w:szCs w:val="24"/>
        </w:rPr>
      </w:pPr>
      <w:r w:rsidRPr="00E775C6">
        <w:rPr>
          <w:sz w:val="24"/>
          <w:szCs w:val="24"/>
        </w:rPr>
        <w:t>Pink, kapselformet tablet, der er konveks på den ene side og har delekærv på den anden side.</w:t>
      </w:r>
    </w:p>
    <w:p w:rsidR="00B435D5" w:rsidRPr="00E775C6" w:rsidRDefault="00B435D5" w:rsidP="00B435D5">
      <w:pPr>
        <w:suppressAutoHyphens/>
        <w:ind w:firstLine="851"/>
        <w:rPr>
          <w:sz w:val="24"/>
          <w:szCs w:val="24"/>
        </w:rPr>
      </w:pPr>
      <w:r w:rsidRPr="00E775C6">
        <w:rPr>
          <w:sz w:val="24"/>
          <w:szCs w:val="24"/>
        </w:rPr>
        <w:t>Tabletten kan deles i to lige store doser.</w:t>
      </w:r>
    </w:p>
    <w:p w:rsidR="00B435D5" w:rsidRPr="00E775C6" w:rsidRDefault="00B435D5" w:rsidP="00B435D5">
      <w:pPr>
        <w:suppressAutoHyphens/>
        <w:ind w:firstLine="851"/>
        <w:rPr>
          <w:i/>
          <w:iCs/>
          <w:sz w:val="24"/>
          <w:szCs w:val="24"/>
        </w:rPr>
      </w:pPr>
      <w:r w:rsidRPr="00E775C6">
        <w:rPr>
          <w:i/>
          <w:iCs/>
          <w:sz w:val="24"/>
          <w:szCs w:val="24"/>
        </w:rPr>
        <w:t xml:space="preserve">100 mg filmovertrukne tabletter: </w:t>
      </w:r>
    </w:p>
    <w:p w:rsidR="00B435D5" w:rsidRPr="00E775C6" w:rsidRDefault="00B435D5" w:rsidP="00B435D5">
      <w:pPr>
        <w:suppressAutoHyphens/>
        <w:ind w:firstLine="851"/>
        <w:rPr>
          <w:sz w:val="24"/>
          <w:szCs w:val="24"/>
        </w:rPr>
      </w:pPr>
      <w:r w:rsidRPr="00E775C6">
        <w:rPr>
          <w:sz w:val="24"/>
          <w:szCs w:val="24"/>
        </w:rPr>
        <w:t xml:space="preserve">Lysegul, oval, </w:t>
      </w:r>
      <w:proofErr w:type="spellStart"/>
      <w:r w:rsidRPr="00E775C6">
        <w:rPr>
          <w:sz w:val="24"/>
          <w:szCs w:val="24"/>
        </w:rPr>
        <w:t>bikonveks</w:t>
      </w:r>
      <w:proofErr w:type="spellEnd"/>
      <w:r w:rsidRPr="00E775C6">
        <w:rPr>
          <w:sz w:val="24"/>
          <w:szCs w:val="24"/>
        </w:rPr>
        <w:t xml:space="preserve"> tablet, der er glat på begge sider.</w:t>
      </w:r>
    </w:p>
    <w:p w:rsidR="00B435D5" w:rsidRDefault="00B435D5" w:rsidP="00594AD4">
      <w:pPr>
        <w:suppressAutoHyphens/>
      </w:pPr>
    </w:p>
    <w:p w:rsidR="00594AD4" w:rsidRDefault="00594AD4" w:rsidP="00594AD4">
      <w:pPr>
        <w:suppressAutoHyphens/>
      </w:pPr>
    </w:p>
    <w:p w:rsidR="00594AD4" w:rsidRPr="00E775C6" w:rsidRDefault="00594AD4" w:rsidP="00E775C6">
      <w:pPr>
        <w:pStyle w:val="Listeafsnit"/>
        <w:numPr>
          <w:ilvl w:val="0"/>
          <w:numId w:val="6"/>
        </w:numPr>
        <w:tabs>
          <w:tab w:val="left" w:pos="-720"/>
        </w:tabs>
        <w:suppressAutoHyphens/>
      </w:pPr>
      <w:r w:rsidRPr="00E775C6">
        <w:rPr>
          <w:b/>
        </w:rPr>
        <w:t>KLINISKE OPLYSNINGER</w:t>
      </w:r>
    </w:p>
    <w:p w:rsidR="00594AD4" w:rsidRDefault="00594AD4" w:rsidP="00594AD4">
      <w:pPr>
        <w:suppressAutoHyphens/>
      </w:pPr>
    </w:p>
    <w:p w:rsidR="00E775C6" w:rsidRPr="00E775C6" w:rsidRDefault="00594AD4" w:rsidP="00E775C6">
      <w:pPr>
        <w:pStyle w:val="Listeafsnit"/>
        <w:numPr>
          <w:ilvl w:val="1"/>
          <w:numId w:val="6"/>
        </w:numPr>
        <w:tabs>
          <w:tab w:val="left" w:pos="-720"/>
        </w:tabs>
        <w:suppressAutoHyphens/>
        <w:rPr>
          <w:b/>
        </w:rPr>
      </w:pPr>
      <w:r w:rsidRPr="00E775C6">
        <w:rPr>
          <w:b/>
        </w:rPr>
        <w:t>Terapeutiske indikationer</w:t>
      </w:r>
    </w:p>
    <w:p w:rsidR="00594AD4" w:rsidRPr="00E775C6" w:rsidRDefault="00594AD4" w:rsidP="00594AD4">
      <w:pPr>
        <w:tabs>
          <w:tab w:val="left" w:pos="851"/>
        </w:tabs>
        <w:ind w:left="851"/>
        <w:rPr>
          <w:sz w:val="24"/>
          <w:szCs w:val="24"/>
        </w:rPr>
      </w:pPr>
      <w:proofErr w:type="spellStart"/>
      <w:r w:rsidRPr="00E775C6">
        <w:rPr>
          <w:sz w:val="24"/>
          <w:szCs w:val="24"/>
        </w:rPr>
        <w:t>Sumatriptan</w:t>
      </w:r>
      <w:proofErr w:type="spellEnd"/>
      <w:r w:rsidRPr="00E775C6">
        <w:rPr>
          <w:sz w:val="24"/>
          <w:szCs w:val="24"/>
        </w:rPr>
        <w:t xml:space="preserve"> ”Sandoz” er indiceret til akut behandling af migræneanfald med eller uden aura. </w:t>
      </w:r>
      <w:proofErr w:type="spellStart"/>
      <w:r w:rsidRPr="00E775C6">
        <w:rPr>
          <w:sz w:val="24"/>
          <w:szCs w:val="24"/>
        </w:rPr>
        <w:t>Sumatriptan</w:t>
      </w:r>
      <w:proofErr w:type="spellEnd"/>
      <w:r w:rsidRPr="00E775C6">
        <w:rPr>
          <w:sz w:val="24"/>
          <w:szCs w:val="24"/>
        </w:rPr>
        <w:t xml:space="preserve"> ”Sandoz” må kun anvendes, når der er stillet en klar diagnose på migræne.</w:t>
      </w:r>
    </w:p>
    <w:p w:rsidR="00594AD4" w:rsidRDefault="00594AD4" w:rsidP="00594AD4"/>
    <w:p w:rsidR="00E775C6" w:rsidRPr="00E775C6" w:rsidRDefault="00594AD4" w:rsidP="00E775C6">
      <w:pPr>
        <w:pStyle w:val="Listeafsnit"/>
        <w:keepNext/>
        <w:numPr>
          <w:ilvl w:val="1"/>
          <w:numId w:val="6"/>
        </w:numPr>
        <w:tabs>
          <w:tab w:val="left" w:pos="-720"/>
        </w:tabs>
        <w:suppressAutoHyphens/>
        <w:ind w:left="856" w:hanging="856"/>
        <w:rPr>
          <w:b/>
        </w:rPr>
      </w:pPr>
      <w:r w:rsidRPr="00E775C6">
        <w:rPr>
          <w:b/>
        </w:rPr>
        <w:t>Dosering og indgivelsesmåde</w:t>
      </w:r>
    </w:p>
    <w:p w:rsidR="00B435D5" w:rsidRPr="00E775C6" w:rsidRDefault="00B435D5" w:rsidP="00B435D5">
      <w:pPr>
        <w:ind w:left="851"/>
        <w:rPr>
          <w:sz w:val="24"/>
          <w:szCs w:val="24"/>
          <w:u w:val="single"/>
          <w:lang w:eastAsia="da-DK"/>
        </w:rPr>
      </w:pPr>
      <w:r w:rsidRPr="00E775C6">
        <w:rPr>
          <w:sz w:val="24"/>
          <w:szCs w:val="24"/>
          <w:u w:val="single"/>
        </w:rPr>
        <w:t>Generelle anbefalinger vedrørende brug og administration</w:t>
      </w:r>
    </w:p>
    <w:p w:rsidR="00B435D5" w:rsidRPr="00E775C6" w:rsidRDefault="00B435D5" w:rsidP="00B435D5">
      <w:pPr>
        <w:ind w:left="851"/>
        <w:rPr>
          <w:sz w:val="24"/>
          <w:szCs w:val="24"/>
        </w:rPr>
      </w:pPr>
      <w:proofErr w:type="spellStart"/>
      <w:r w:rsidRPr="00E775C6">
        <w:rPr>
          <w:sz w:val="24"/>
          <w:szCs w:val="24"/>
        </w:rPr>
        <w:t>Sumatriptan</w:t>
      </w:r>
      <w:proofErr w:type="spellEnd"/>
      <w:r w:rsidRPr="00E775C6">
        <w:rPr>
          <w:sz w:val="24"/>
          <w:szCs w:val="24"/>
        </w:rPr>
        <w:t xml:space="preserve"> “Sandoz” bør ikke anvendes profylaktisk.</w:t>
      </w:r>
    </w:p>
    <w:p w:rsidR="00B435D5" w:rsidRPr="00E775C6" w:rsidRDefault="00B435D5" w:rsidP="00B435D5">
      <w:pPr>
        <w:ind w:left="851"/>
        <w:rPr>
          <w:sz w:val="24"/>
          <w:szCs w:val="24"/>
        </w:rPr>
      </w:pPr>
    </w:p>
    <w:p w:rsidR="00B435D5" w:rsidRPr="00E775C6" w:rsidRDefault="00B435D5" w:rsidP="00B435D5">
      <w:pPr>
        <w:pStyle w:val="Brdtekstindrykning"/>
        <w:rPr>
          <w:szCs w:val="24"/>
        </w:rPr>
      </w:pPr>
      <w:proofErr w:type="spellStart"/>
      <w:r w:rsidRPr="00E775C6">
        <w:rPr>
          <w:szCs w:val="24"/>
        </w:rPr>
        <w:t>Sumatriptan</w:t>
      </w:r>
      <w:proofErr w:type="spellEnd"/>
      <w:r w:rsidRPr="00E775C6">
        <w:rPr>
          <w:szCs w:val="24"/>
        </w:rPr>
        <w:t xml:space="preserve"> “Sandoz” anbefales som monoterapi ved akut behandling af migræneanfald og bør ikke indtages samtidig med </w:t>
      </w:r>
      <w:proofErr w:type="spellStart"/>
      <w:r w:rsidRPr="00E775C6">
        <w:rPr>
          <w:szCs w:val="24"/>
        </w:rPr>
        <w:t>ergotamin</w:t>
      </w:r>
      <w:proofErr w:type="spellEnd"/>
      <w:r w:rsidRPr="00E775C6">
        <w:rPr>
          <w:szCs w:val="24"/>
        </w:rPr>
        <w:t xml:space="preserve"> eller derivater af </w:t>
      </w:r>
      <w:proofErr w:type="spellStart"/>
      <w:r w:rsidRPr="00E775C6">
        <w:rPr>
          <w:szCs w:val="24"/>
        </w:rPr>
        <w:t>ergotamin</w:t>
      </w:r>
      <w:proofErr w:type="spellEnd"/>
      <w:r w:rsidRPr="00E775C6">
        <w:rPr>
          <w:szCs w:val="24"/>
        </w:rPr>
        <w:t xml:space="preserve"> (inklusive </w:t>
      </w:r>
      <w:proofErr w:type="spellStart"/>
      <w:r w:rsidRPr="00E775C6">
        <w:rPr>
          <w:szCs w:val="24"/>
        </w:rPr>
        <w:t>methysergid</w:t>
      </w:r>
      <w:proofErr w:type="spellEnd"/>
      <w:r w:rsidRPr="00E775C6">
        <w:rPr>
          <w:szCs w:val="24"/>
        </w:rPr>
        <w:t xml:space="preserve">) (se pkt. 4.3). </w:t>
      </w:r>
    </w:p>
    <w:p w:rsidR="00B435D5" w:rsidRPr="00E775C6" w:rsidRDefault="00B435D5" w:rsidP="00B435D5">
      <w:pPr>
        <w:pStyle w:val="Brdtekstindrykning"/>
        <w:rPr>
          <w:szCs w:val="24"/>
        </w:rPr>
      </w:pPr>
    </w:p>
    <w:p w:rsidR="00B435D5" w:rsidRPr="00E775C6" w:rsidRDefault="00B435D5" w:rsidP="00B435D5">
      <w:pPr>
        <w:pStyle w:val="Brdtekstindrykning"/>
        <w:rPr>
          <w:szCs w:val="24"/>
        </w:rPr>
      </w:pPr>
      <w:proofErr w:type="spellStart"/>
      <w:r w:rsidRPr="00E775C6">
        <w:rPr>
          <w:szCs w:val="24"/>
        </w:rPr>
        <w:t>Sumatriptan</w:t>
      </w:r>
      <w:proofErr w:type="spellEnd"/>
      <w:r w:rsidRPr="00E775C6">
        <w:rPr>
          <w:szCs w:val="24"/>
        </w:rPr>
        <w:t xml:space="preserve"> bør tages så tidligt som muligt, når der er tegn på migrænehovedpine. </w:t>
      </w:r>
      <w:proofErr w:type="spellStart"/>
      <w:r w:rsidRPr="00E775C6">
        <w:rPr>
          <w:szCs w:val="24"/>
        </w:rPr>
        <w:t>Sumatriptan</w:t>
      </w:r>
      <w:proofErr w:type="spellEnd"/>
      <w:r w:rsidRPr="00E775C6">
        <w:rPr>
          <w:szCs w:val="24"/>
        </w:rPr>
        <w:t xml:space="preserve"> er lige effektivt, uanset på hvilket tidspunkt af migræneanfaldet det indtages.</w:t>
      </w:r>
    </w:p>
    <w:p w:rsidR="00B435D5" w:rsidRPr="00E775C6" w:rsidRDefault="00B435D5" w:rsidP="00B435D5">
      <w:pPr>
        <w:ind w:left="851"/>
        <w:rPr>
          <w:sz w:val="24"/>
          <w:szCs w:val="24"/>
        </w:rPr>
      </w:pPr>
    </w:p>
    <w:p w:rsidR="00B435D5" w:rsidRPr="00E775C6" w:rsidRDefault="00B435D5" w:rsidP="00B435D5">
      <w:pPr>
        <w:ind w:left="851"/>
        <w:rPr>
          <w:sz w:val="24"/>
          <w:szCs w:val="24"/>
        </w:rPr>
      </w:pPr>
      <w:r w:rsidRPr="00E775C6">
        <w:rPr>
          <w:sz w:val="24"/>
          <w:szCs w:val="24"/>
          <w:u w:val="single"/>
        </w:rPr>
        <w:t>Dosering</w:t>
      </w:r>
    </w:p>
    <w:p w:rsidR="00B435D5" w:rsidRPr="00E775C6" w:rsidRDefault="00B435D5" w:rsidP="00B435D5">
      <w:pPr>
        <w:ind w:left="851"/>
        <w:rPr>
          <w:sz w:val="24"/>
          <w:szCs w:val="24"/>
        </w:rPr>
      </w:pPr>
      <w:r w:rsidRPr="00E775C6">
        <w:rPr>
          <w:sz w:val="24"/>
          <w:szCs w:val="24"/>
        </w:rPr>
        <w:t xml:space="preserve">De anbefalede doser </w:t>
      </w:r>
      <w:proofErr w:type="spellStart"/>
      <w:r w:rsidRPr="00E775C6">
        <w:rPr>
          <w:sz w:val="24"/>
          <w:szCs w:val="24"/>
        </w:rPr>
        <w:t>sumatriptan</w:t>
      </w:r>
      <w:proofErr w:type="spellEnd"/>
      <w:r w:rsidRPr="00E775C6">
        <w:rPr>
          <w:sz w:val="24"/>
          <w:szCs w:val="24"/>
        </w:rPr>
        <w:t xml:space="preserve"> nedenfor bør ikke overskrides.</w:t>
      </w:r>
    </w:p>
    <w:p w:rsidR="00B435D5" w:rsidRPr="00E775C6" w:rsidRDefault="00B435D5" w:rsidP="00B435D5">
      <w:pPr>
        <w:tabs>
          <w:tab w:val="left" w:pos="851"/>
          <w:tab w:val="left" w:pos="1418"/>
        </w:tabs>
        <w:ind w:left="851"/>
        <w:rPr>
          <w:b/>
          <w:sz w:val="24"/>
          <w:szCs w:val="24"/>
        </w:rPr>
      </w:pPr>
    </w:p>
    <w:p w:rsidR="00B435D5" w:rsidRPr="00E775C6" w:rsidRDefault="00B435D5" w:rsidP="00B435D5">
      <w:pPr>
        <w:tabs>
          <w:tab w:val="left" w:pos="851"/>
          <w:tab w:val="left" w:pos="1418"/>
        </w:tabs>
        <w:rPr>
          <w:b/>
          <w:i/>
          <w:sz w:val="24"/>
          <w:szCs w:val="24"/>
        </w:rPr>
      </w:pPr>
      <w:r w:rsidRPr="00E775C6">
        <w:rPr>
          <w:b/>
          <w:sz w:val="24"/>
          <w:szCs w:val="24"/>
        </w:rPr>
        <w:tab/>
      </w:r>
      <w:r w:rsidRPr="00E775C6">
        <w:rPr>
          <w:i/>
          <w:sz w:val="24"/>
          <w:szCs w:val="24"/>
        </w:rPr>
        <w:t>Voksne</w:t>
      </w:r>
    </w:p>
    <w:p w:rsidR="00B435D5" w:rsidRPr="00E775C6" w:rsidRDefault="00B435D5" w:rsidP="00B435D5">
      <w:pPr>
        <w:pStyle w:val="leipa"/>
        <w:spacing w:before="0" w:beforeAutospacing="0" w:after="0" w:afterAutospacing="0"/>
        <w:ind w:left="851"/>
        <w:rPr>
          <w:rFonts w:ascii="Times New Roman" w:hAnsi="Times New Roman"/>
          <w:color w:val="auto"/>
          <w:sz w:val="24"/>
          <w:szCs w:val="24"/>
          <w:lang w:val="da-DK"/>
        </w:rPr>
      </w:pPr>
      <w:r w:rsidRPr="00E775C6">
        <w:rPr>
          <w:rFonts w:ascii="Times New Roman" w:hAnsi="Times New Roman"/>
          <w:color w:val="auto"/>
          <w:sz w:val="24"/>
          <w:szCs w:val="24"/>
          <w:lang w:val="da-DK"/>
        </w:rPr>
        <w:t xml:space="preserve">Den anbefalede dosis </w:t>
      </w:r>
      <w:r w:rsidRPr="00E775C6">
        <w:rPr>
          <w:rFonts w:ascii="Times New Roman" w:eastAsia="Times New Roman" w:hAnsi="Times New Roman" w:cs="Times New Roman"/>
          <w:color w:val="auto"/>
          <w:sz w:val="24"/>
          <w:szCs w:val="24"/>
          <w:lang w:val="da-DK"/>
        </w:rPr>
        <w:t xml:space="preserve">peroral </w:t>
      </w:r>
      <w:proofErr w:type="spellStart"/>
      <w:r w:rsidRPr="00E775C6">
        <w:rPr>
          <w:rFonts w:ascii="Times New Roman" w:eastAsia="Times New Roman" w:hAnsi="Times New Roman" w:cs="Times New Roman"/>
          <w:color w:val="auto"/>
          <w:sz w:val="24"/>
          <w:szCs w:val="24"/>
          <w:lang w:val="da-DK"/>
        </w:rPr>
        <w:t>sumatriptan</w:t>
      </w:r>
      <w:proofErr w:type="spellEnd"/>
      <w:r w:rsidRPr="00E775C6">
        <w:rPr>
          <w:rFonts w:ascii="Times New Roman" w:hAnsi="Times New Roman"/>
          <w:color w:val="auto"/>
          <w:sz w:val="24"/>
          <w:szCs w:val="24"/>
          <w:lang w:val="da-DK"/>
        </w:rPr>
        <w:t xml:space="preserve"> er </w:t>
      </w:r>
      <w:r w:rsidRPr="00E775C6">
        <w:rPr>
          <w:rFonts w:ascii="Times New Roman" w:eastAsia="Times New Roman" w:hAnsi="Times New Roman" w:cs="Times New Roman"/>
          <w:color w:val="auto"/>
          <w:sz w:val="24"/>
          <w:szCs w:val="24"/>
          <w:lang w:val="da-DK"/>
        </w:rPr>
        <w:t>én</w:t>
      </w:r>
      <w:r w:rsidRPr="00E775C6">
        <w:rPr>
          <w:rFonts w:ascii="Times New Roman" w:hAnsi="Times New Roman"/>
          <w:color w:val="auto"/>
          <w:sz w:val="24"/>
          <w:szCs w:val="24"/>
          <w:lang w:val="da-DK"/>
        </w:rPr>
        <w:t xml:space="preserve"> 50 mg tablet. </w:t>
      </w:r>
      <w:r w:rsidRPr="00E775C6">
        <w:rPr>
          <w:rFonts w:ascii="Times New Roman" w:eastAsia="Times New Roman" w:hAnsi="Times New Roman" w:cs="Times New Roman"/>
          <w:color w:val="auto"/>
          <w:sz w:val="24"/>
          <w:szCs w:val="24"/>
          <w:lang w:val="da-DK"/>
        </w:rPr>
        <w:t>Nogle</w:t>
      </w:r>
      <w:r w:rsidRPr="00E775C6">
        <w:rPr>
          <w:rFonts w:ascii="Times New Roman" w:hAnsi="Times New Roman"/>
          <w:color w:val="auto"/>
          <w:sz w:val="24"/>
          <w:szCs w:val="24"/>
          <w:lang w:val="da-DK"/>
        </w:rPr>
        <w:t xml:space="preserve"> patienter kan </w:t>
      </w:r>
      <w:r w:rsidRPr="00E775C6">
        <w:rPr>
          <w:rFonts w:ascii="Times New Roman" w:eastAsia="Times New Roman" w:hAnsi="Times New Roman" w:cs="Times New Roman"/>
          <w:color w:val="auto"/>
          <w:sz w:val="24"/>
          <w:szCs w:val="24"/>
          <w:lang w:val="da-DK"/>
        </w:rPr>
        <w:t>have behov for</w:t>
      </w:r>
      <w:r w:rsidRPr="00E775C6">
        <w:rPr>
          <w:rFonts w:ascii="Times New Roman" w:hAnsi="Times New Roman"/>
          <w:color w:val="auto"/>
          <w:sz w:val="24"/>
          <w:szCs w:val="24"/>
          <w:lang w:val="da-DK"/>
        </w:rPr>
        <w:t xml:space="preserve"> 100 mg </w:t>
      </w:r>
      <w:proofErr w:type="spellStart"/>
      <w:r w:rsidRPr="00E775C6">
        <w:rPr>
          <w:rFonts w:ascii="Times New Roman" w:hAnsi="Times New Roman"/>
          <w:color w:val="auto"/>
          <w:sz w:val="24"/>
          <w:szCs w:val="24"/>
          <w:lang w:val="da-DK"/>
        </w:rPr>
        <w:t>sumatriptan</w:t>
      </w:r>
      <w:proofErr w:type="spellEnd"/>
      <w:r w:rsidRPr="00E775C6">
        <w:rPr>
          <w:rFonts w:ascii="Times New Roman" w:hAnsi="Times New Roman"/>
          <w:color w:val="auto"/>
          <w:sz w:val="24"/>
          <w:szCs w:val="24"/>
          <w:lang w:val="da-DK"/>
        </w:rPr>
        <w:t>.</w:t>
      </w:r>
    </w:p>
    <w:p w:rsidR="00B435D5" w:rsidRPr="00E775C6" w:rsidRDefault="00B435D5" w:rsidP="00B435D5">
      <w:pPr>
        <w:ind w:left="851"/>
        <w:rPr>
          <w:sz w:val="24"/>
          <w:szCs w:val="24"/>
        </w:rPr>
      </w:pPr>
    </w:p>
    <w:p w:rsidR="00B435D5" w:rsidRPr="00E775C6" w:rsidRDefault="00B435D5" w:rsidP="00B435D5">
      <w:pPr>
        <w:ind w:left="851"/>
        <w:rPr>
          <w:sz w:val="24"/>
          <w:szCs w:val="24"/>
        </w:rPr>
      </w:pPr>
      <w:r w:rsidRPr="00E775C6">
        <w:rPr>
          <w:sz w:val="24"/>
          <w:szCs w:val="24"/>
        </w:rPr>
        <w:t xml:space="preserve">Selvom den anbefalede perorale </w:t>
      </w:r>
      <w:proofErr w:type="spellStart"/>
      <w:r w:rsidRPr="00E775C6">
        <w:rPr>
          <w:sz w:val="24"/>
          <w:szCs w:val="24"/>
        </w:rPr>
        <w:t>sumatriptandosis</w:t>
      </w:r>
      <w:proofErr w:type="spellEnd"/>
      <w:r w:rsidRPr="00E775C6">
        <w:rPr>
          <w:sz w:val="24"/>
          <w:szCs w:val="24"/>
        </w:rPr>
        <w:t xml:space="preserve"> er 50 mg, skal der tages højde for, at sværhedsgraden af migræneanfald varierer, både hos den enkelte patient og fra patient til patient. Det er i kliniske forsøg påvist, at doser på 25-100 mg er mere effektive end placebo, men 25 mg er statistisk set signifikant mindre effektivt end 50 mg og 100 mg.</w:t>
      </w:r>
    </w:p>
    <w:p w:rsidR="00B435D5" w:rsidRPr="00E775C6" w:rsidRDefault="00B435D5" w:rsidP="00B435D5">
      <w:pPr>
        <w:ind w:left="851"/>
        <w:rPr>
          <w:sz w:val="24"/>
          <w:szCs w:val="24"/>
        </w:rPr>
      </w:pPr>
    </w:p>
    <w:p w:rsidR="00B435D5" w:rsidRPr="00E775C6" w:rsidRDefault="00B435D5" w:rsidP="00B435D5">
      <w:pPr>
        <w:ind w:left="851"/>
        <w:rPr>
          <w:sz w:val="24"/>
          <w:szCs w:val="24"/>
        </w:rPr>
      </w:pPr>
      <w:r w:rsidRPr="00E775C6">
        <w:rPr>
          <w:sz w:val="24"/>
          <w:szCs w:val="24"/>
        </w:rPr>
        <w:t xml:space="preserve">Patienter, som ikke responderer på den første </w:t>
      </w:r>
      <w:proofErr w:type="spellStart"/>
      <w:r w:rsidRPr="00E775C6">
        <w:rPr>
          <w:sz w:val="24"/>
          <w:szCs w:val="24"/>
        </w:rPr>
        <w:t>sumatriptandosis</w:t>
      </w:r>
      <w:proofErr w:type="spellEnd"/>
      <w:r w:rsidRPr="00E775C6">
        <w:rPr>
          <w:sz w:val="24"/>
          <w:szCs w:val="24"/>
        </w:rPr>
        <w:t xml:space="preserve">, skal ikke tage endnu en dosis under samme anfald. I sådanne tilfælde kan anfaldet behandles med paracetamol, acetylsalicylsyre eller </w:t>
      </w:r>
      <w:proofErr w:type="spellStart"/>
      <w:r w:rsidRPr="00E775C6">
        <w:rPr>
          <w:sz w:val="24"/>
          <w:szCs w:val="24"/>
        </w:rPr>
        <w:t>NSAID’er</w:t>
      </w:r>
      <w:proofErr w:type="spellEnd"/>
      <w:r w:rsidRPr="00E775C6">
        <w:rPr>
          <w:sz w:val="24"/>
          <w:szCs w:val="24"/>
        </w:rPr>
        <w:t xml:space="preserve">. </w:t>
      </w:r>
      <w:proofErr w:type="spellStart"/>
      <w:r w:rsidRPr="00E775C6">
        <w:rPr>
          <w:sz w:val="24"/>
          <w:szCs w:val="24"/>
        </w:rPr>
        <w:t>Sumatriptan</w:t>
      </w:r>
      <w:proofErr w:type="spellEnd"/>
      <w:r w:rsidRPr="00E775C6">
        <w:rPr>
          <w:sz w:val="24"/>
          <w:szCs w:val="24"/>
        </w:rPr>
        <w:t xml:space="preserve"> kan anvendes igen under et senere anfald. </w:t>
      </w:r>
    </w:p>
    <w:p w:rsidR="00B435D5" w:rsidRPr="00E775C6" w:rsidRDefault="00B435D5" w:rsidP="00B435D5">
      <w:pPr>
        <w:ind w:left="851"/>
        <w:rPr>
          <w:sz w:val="24"/>
          <w:szCs w:val="24"/>
        </w:rPr>
      </w:pPr>
    </w:p>
    <w:p w:rsidR="00B435D5" w:rsidRPr="00E775C6" w:rsidRDefault="00B435D5" w:rsidP="00B435D5">
      <w:pPr>
        <w:ind w:left="851"/>
        <w:rPr>
          <w:sz w:val="24"/>
          <w:szCs w:val="24"/>
        </w:rPr>
      </w:pPr>
      <w:r w:rsidRPr="00E775C6">
        <w:rPr>
          <w:sz w:val="24"/>
          <w:szCs w:val="24"/>
        </w:rPr>
        <w:t xml:space="preserve">Hvis patienten har responderet på den første dosis, men symptomerne recidiverer senere, kan der gives endnu en dosis inden for de næste 24 timer, forudsat at der går mindst to timer mellem de to doser. Der må ikke tages mere end 300 mg </w:t>
      </w:r>
      <w:proofErr w:type="spellStart"/>
      <w:r w:rsidRPr="00E775C6">
        <w:rPr>
          <w:sz w:val="24"/>
          <w:szCs w:val="24"/>
        </w:rPr>
        <w:t>sumatriptan</w:t>
      </w:r>
      <w:proofErr w:type="spellEnd"/>
      <w:r w:rsidRPr="00E775C6">
        <w:rPr>
          <w:sz w:val="24"/>
          <w:szCs w:val="24"/>
        </w:rPr>
        <w:t xml:space="preserve"> inden for 24 timer.</w:t>
      </w:r>
    </w:p>
    <w:p w:rsidR="00B435D5" w:rsidRPr="00E775C6" w:rsidRDefault="00B435D5" w:rsidP="00B435D5">
      <w:pPr>
        <w:ind w:left="851"/>
        <w:rPr>
          <w:sz w:val="24"/>
          <w:szCs w:val="24"/>
        </w:rPr>
      </w:pPr>
    </w:p>
    <w:p w:rsidR="00B435D5" w:rsidRPr="00E775C6" w:rsidRDefault="00B435D5" w:rsidP="00B435D5">
      <w:pPr>
        <w:ind w:left="851"/>
        <w:rPr>
          <w:sz w:val="24"/>
          <w:szCs w:val="24"/>
        </w:rPr>
      </w:pPr>
      <w:proofErr w:type="spellStart"/>
      <w:r w:rsidRPr="00E775C6">
        <w:rPr>
          <w:sz w:val="24"/>
          <w:szCs w:val="24"/>
        </w:rPr>
        <w:t>Sumatriptan</w:t>
      </w:r>
      <w:proofErr w:type="spellEnd"/>
      <w:r w:rsidRPr="00E775C6">
        <w:rPr>
          <w:sz w:val="24"/>
          <w:szCs w:val="24"/>
        </w:rPr>
        <w:t xml:space="preserve"> ”Sandoz” fås i styrkerne 50 og 100 mg, så det er muligt at opnå de forskellige doseringsregimer.</w:t>
      </w:r>
    </w:p>
    <w:p w:rsidR="00B435D5" w:rsidRPr="00E775C6" w:rsidRDefault="00B435D5" w:rsidP="00B435D5">
      <w:pPr>
        <w:pStyle w:val="Default"/>
        <w:ind w:left="851"/>
        <w:rPr>
          <w:color w:val="auto"/>
          <w:lang w:val="da-DK"/>
        </w:rPr>
      </w:pPr>
    </w:p>
    <w:p w:rsidR="00B435D5" w:rsidRPr="00E775C6" w:rsidRDefault="00B435D5" w:rsidP="00B435D5">
      <w:pPr>
        <w:ind w:left="851"/>
        <w:rPr>
          <w:i/>
          <w:sz w:val="24"/>
          <w:szCs w:val="24"/>
        </w:rPr>
      </w:pPr>
      <w:r w:rsidRPr="00E775C6">
        <w:rPr>
          <w:i/>
          <w:sz w:val="24"/>
          <w:szCs w:val="24"/>
        </w:rPr>
        <w:t>Pædiatrisk population</w:t>
      </w:r>
    </w:p>
    <w:p w:rsidR="00B435D5" w:rsidRPr="00E775C6" w:rsidRDefault="00B435D5" w:rsidP="00B435D5">
      <w:pPr>
        <w:pStyle w:val="Default"/>
        <w:tabs>
          <w:tab w:val="left" w:pos="851"/>
        </w:tabs>
        <w:ind w:left="851"/>
        <w:rPr>
          <w:lang w:val="da-DK"/>
        </w:rPr>
      </w:pPr>
      <w:r w:rsidRPr="00E775C6">
        <w:rPr>
          <w:lang w:val="da-DK"/>
        </w:rPr>
        <w:t xml:space="preserve">Sikkerhed og virkning af </w:t>
      </w:r>
      <w:proofErr w:type="spellStart"/>
      <w:r w:rsidRPr="00E775C6">
        <w:rPr>
          <w:lang w:val="da-DK"/>
        </w:rPr>
        <w:t>sumatriptantabletter</w:t>
      </w:r>
      <w:proofErr w:type="spellEnd"/>
      <w:r w:rsidRPr="00E775C6">
        <w:rPr>
          <w:lang w:val="da-DK"/>
        </w:rPr>
        <w:t xml:space="preserve"> hos børn under 10 år er ikke klarlagt. Der foreligger ingen data fra denne aldersgruppe.</w:t>
      </w:r>
    </w:p>
    <w:p w:rsidR="00B435D5" w:rsidRPr="00E775C6" w:rsidRDefault="00B435D5" w:rsidP="00B435D5">
      <w:pPr>
        <w:pStyle w:val="Default"/>
        <w:tabs>
          <w:tab w:val="left" w:pos="851"/>
        </w:tabs>
        <w:ind w:left="851"/>
        <w:rPr>
          <w:i/>
          <w:lang w:val="da-DK"/>
        </w:rPr>
      </w:pPr>
    </w:p>
    <w:p w:rsidR="00B435D5" w:rsidRPr="00E775C6" w:rsidRDefault="00B435D5" w:rsidP="00B435D5">
      <w:pPr>
        <w:pStyle w:val="Default"/>
        <w:tabs>
          <w:tab w:val="left" w:pos="851"/>
        </w:tabs>
        <w:ind w:left="851"/>
        <w:rPr>
          <w:lang w:val="da-DK"/>
        </w:rPr>
      </w:pPr>
      <w:r w:rsidRPr="00E775C6">
        <w:rPr>
          <w:lang w:val="da-DK"/>
        </w:rPr>
        <w:t xml:space="preserve">Der kunne ikke påvises virkning og sikkerhed af </w:t>
      </w:r>
      <w:proofErr w:type="spellStart"/>
      <w:r w:rsidRPr="00E775C6">
        <w:rPr>
          <w:lang w:val="da-DK"/>
        </w:rPr>
        <w:t>sumatriptantabletter</w:t>
      </w:r>
      <w:proofErr w:type="spellEnd"/>
      <w:r w:rsidRPr="00E775C6">
        <w:rPr>
          <w:lang w:val="da-DK"/>
        </w:rPr>
        <w:t xml:space="preserve"> hos børn i alderen fra 10 til 17 år i de kliniske forsøg, der er udført i denne aldersgruppe. Derfor kan brug af </w:t>
      </w:r>
      <w:proofErr w:type="spellStart"/>
      <w:r w:rsidRPr="00E775C6">
        <w:rPr>
          <w:lang w:val="da-DK"/>
        </w:rPr>
        <w:t>sumatriptantabletter</w:t>
      </w:r>
      <w:proofErr w:type="spellEnd"/>
      <w:r w:rsidRPr="00E775C6">
        <w:rPr>
          <w:lang w:val="da-DK"/>
        </w:rPr>
        <w:t xml:space="preserve"> ikke anbefales til børn i alderen 10 til 17 år (se pkt. 5.1).</w:t>
      </w:r>
    </w:p>
    <w:p w:rsidR="00B435D5" w:rsidRPr="00E775C6" w:rsidRDefault="00B435D5" w:rsidP="00B435D5">
      <w:pPr>
        <w:pStyle w:val="Default"/>
        <w:tabs>
          <w:tab w:val="left" w:pos="851"/>
        </w:tabs>
        <w:ind w:left="851"/>
        <w:rPr>
          <w:lang w:val="da-DK"/>
        </w:rPr>
      </w:pPr>
    </w:p>
    <w:p w:rsidR="00B435D5" w:rsidRPr="00E775C6" w:rsidRDefault="00B435D5" w:rsidP="00B435D5">
      <w:pPr>
        <w:pStyle w:val="Default"/>
        <w:tabs>
          <w:tab w:val="left" w:pos="851"/>
        </w:tabs>
        <w:ind w:left="851"/>
        <w:rPr>
          <w:lang w:val="da-DK"/>
        </w:rPr>
      </w:pPr>
      <w:r w:rsidRPr="00E775C6">
        <w:rPr>
          <w:i/>
          <w:lang w:val="da-DK"/>
        </w:rPr>
        <w:t>Ældre (over 65 år)</w:t>
      </w:r>
    </w:p>
    <w:p w:rsidR="00B435D5" w:rsidRPr="00E775C6" w:rsidRDefault="00B435D5" w:rsidP="00B435D5">
      <w:pPr>
        <w:pStyle w:val="Default"/>
        <w:tabs>
          <w:tab w:val="left" w:pos="851"/>
        </w:tabs>
        <w:ind w:left="851"/>
        <w:rPr>
          <w:lang w:val="da-DK"/>
        </w:rPr>
      </w:pPr>
      <w:r w:rsidRPr="00E775C6">
        <w:rPr>
          <w:lang w:val="da-DK"/>
        </w:rPr>
        <w:t xml:space="preserve">Erfaring med anvendelse af </w:t>
      </w:r>
      <w:proofErr w:type="spellStart"/>
      <w:r w:rsidRPr="00E775C6">
        <w:rPr>
          <w:lang w:val="da-DK"/>
        </w:rPr>
        <w:t>sumatriptan</w:t>
      </w:r>
      <w:proofErr w:type="spellEnd"/>
      <w:r w:rsidRPr="00E775C6">
        <w:rPr>
          <w:lang w:val="da-DK"/>
        </w:rPr>
        <w:t xml:space="preserve"> tabletter til patienter over 65 år er begrænset. Farmakokinetikken er ikke væsentligt anderledes end for en yngre population, men indtil der foreligger yderligere kliniske data, anbefales brugen af </w:t>
      </w:r>
      <w:proofErr w:type="spellStart"/>
      <w:r w:rsidRPr="00E775C6">
        <w:rPr>
          <w:lang w:val="da-DK"/>
        </w:rPr>
        <w:t>sumatriptan</w:t>
      </w:r>
      <w:proofErr w:type="spellEnd"/>
      <w:r w:rsidRPr="00E775C6">
        <w:rPr>
          <w:lang w:val="da-DK"/>
        </w:rPr>
        <w:t xml:space="preserve"> ikke til patienter over 65 år.</w:t>
      </w:r>
    </w:p>
    <w:p w:rsidR="00B435D5" w:rsidRPr="00E775C6" w:rsidRDefault="00B435D5" w:rsidP="00B435D5">
      <w:pPr>
        <w:pStyle w:val="Default"/>
        <w:tabs>
          <w:tab w:val="left" w:pos="851"/>
        </w:tabs>
        <w:ind w:left="491"/>
        <w:rPr>
          <w:lang w:val="da-DK"/>
        </w:rPr>
      </w:pPr>
    </w:p>
    <w:p w:rsidR="00B435D5" w:rsidRPr="00E775C6" w:rsidRDefault="00B435D5" w:rsidP="00E775C6">
      <w:pPr>
        <w:pStyle w:val="Default"/>
        <w:keepNext/>
        <w:tabs>
          <w:tab w:val="left" w:pos="851"/>
        </w:tabs>
        <w:rPr>
          <w:i/>
          <w:color w:val="auto"/>
          <w:lang w:val="da-DK" w:eastAsia="da-DK"/>
        </w:rPr>
      </w:pPr>
      <w:r w:rsidRPr="00E775C6">
        <w:rPr>
          <w:b/>
          <w:color w:val="auto"/>
          <w:lang w:val="da-DK" w:eastAsia="da-DK"/>
        </w:rPr>
        <w:lastRenderedPageBreak/>
        <w:tab/>
      </w:r>
      <w:r w:rsidRPr="00E775C6">
        <w:rPr>
          <w:i/>
          <w:color w:val="auto"/>
          <w:lang w:val="da-DK" w:eastAsia="da-DK"/>
        </w:rPr>
        <w:t>Nedsat leverfunktion</w:t>
      </w:r>
    </w:p>
    <w:p w:rsidR="00B435D5" w:rsidRPr="00E775C6" w:rsidRDefault="00B435D5" w:rsidP="00B435D5">
      <w:pPr>
        <w:pStyle w:val="Default"/>
        <w:ind w:left="851"/>
        <w:rPr>
          <w:color w:val="auto"/>
          <w:lang w:val="da-DK" w:eastAsia="da-DK"/>
        </w:rPr>
      </w:pPr>
      <w:r w:rsidRPr="00E775C6">
        <w:rPr>
          <w:color w:val="auto"/>
          <w:lang w:val="da-DK" w:eastAsia="da-DK"/>
        </w:rPr>
        <w:t xml:space="preserve">Hos patienter med mild til moderat nedsat leverfunktion skal det overvejes at ordinere lave doser på 25-50 mg </w:t>
      </w:r>
      <w:proofErr w:type="spellStart"/>
      <w:r w:rsidRPr="00E775C6">
        <w:rPr>
          <w:color w:val="auto"/>
          <w:lang w:val="da-DK" w:eastAsia="da-DK"/>
        </w:rPr>
        <w:t>sumatriptan</w:t>
      </w:r>
      <w:proofErr w:type="spellEnd"/>
      <w:r w:rsidRPr="00E775C6">
        <w:rPr>
          <w:color w:val="auto"/>
          <w:lang w:val="da-DK" w:eastAsia="da-DK"/>
        </w:rPr>
        <w:t xml:space="preserve">. </w:t>
      </w:r>
    </w:p>
    <w:p w:rsidR="00B435D5" w:rsidRPr="00E775C6" w:rsidRDefault="00B435D5" w:rsidP="00B435D5">
      <w:pPr>
        <w:pStyle w:val="Default"/>
        <w:rPr>
          <w:b/>
          <w:color w:val="auto"/>
          <w:lang w:val="da-DK" w:eastAsia="da-DK"/>
        </w:rPr>
      </w:pPr>
    </w:p>
    <w:p w:rsidR="00B435D5" w:rsidRPr="00E775C6" w:rsidRDefault="00B435D5" w:rsidP="00B435D5">
      <w:pPr>
        <w:pStyle w:val="Default"/>
        <w:tabs>
          <w:tab w:val="left" w:pos="851"/>
        </w:tabs>
        <w:rPr>
          <w:i/>
          <w:color w:val="auto"/>
          <w:lang w:val="da-DK" w:eastAsia="da-DK"/>
        </w:rPr>
      </w:pPr>
      <w:r w:rsidRPr="00E775C6">
        <w:rPr>
          <w:b/>
          <w:color w:val="auto"/>
          <w:lang w:val="da-DK" w:eastAsia="da-DK"/>
        </w:rPr>
        <w:tab/>
      </w:r>
      <w:r w:rsidRPr="00E775C6">
        <w:rPr>
          <w:i/>
          <w:color w:val="auto"/>
          <w:lang w:val="da-DK" w:eastAsia="da-DK"/>
        </w:rPr>
        <w:t>Nedsat nyrefunktion</w:t>
      </w:r>
    </w:p>
    <w:p w:rsidR="00B435D5" w:rsidRPr="00E775C6" w:rsidRDefault="00B435D5" w:rsidP="00B435D5">
      <w:pPr>
        <w:ind w:left="851"/>
        <w:rPr>
          <w:sz w:val="24"/>
          <w:szCs w:val="24"/>
          <w:lang w:eastAsia="da-DK"/>
        </w:rPr>
      </w:pPr>
      <w:r w:rsidRPr="00E775C6">
        <w:rPr>
          <w:sz w:val="24"/>
          <w:szCs w:val="24"/>
        </w:rPr>
        <w:t>Se pkt. 4.4.</w:t>
      </w:r>
    </w:p>
    <w:p w:rsidR="00B435D5" w:rsidRPr="00E775C6" w:rsidRDefault="00B435D5" w:rsidP="00B435D5">
      <w:pPr>
        <w:pStyle w:val="Default"/>
        <w:ind w:left="851"/>
        <w:rPr>
          <w:i/>
          <w:color w:val="auto"/>
          <w:lang w:val="da-DK"/>
        </w:rPr>
      </w:pPr>
    </w:p>
    <w:p w:rsidR="00B435D5" w:rsidRPr="00E775C6" w:rsidRDefault="00B435D5" w:rsidP="00B435D5">
      <w:pPr>
        <w:pStyle w:val="Default"/>
        <w:ind w:left="851"/>
        <w:rPr>
          <w:color w:val="auto"/>
          <w:u w:val="single"/>
          <w:lang w:val="da-DK"/>
        </w:rPr>
      </w:pPr>
      <w:r w:rsidRPr="00E775C6">
        <w:rPr>
          <w:color w:val="auto"/>
          <w:u w:val="single"/>
          <w:lang w:val="da-DK"/>
        </w:rPr>
        <w:t>Administration</w:t>
      </w:r>
    </w:p>
    <w:p w:rsidR="00B435D5" w:rsidRPr="00E775C6" w:rsidRDefault="00B435D5" w:rsidP="00B435D5">
      <w:pPr>
        <w:pStyle w:val="Default"/>
        <w:ind w:left="851"/>
        <w:rPr>
          <w:color w:val="auto"/>
          <w:lang w:val="da-DK"/>
        </w:rPr>
      </w:pPr>
      <w:r w:rsidRPr="00E775C6">
        <w:rPr>
          <w:color w:val="auto"/>
          <w:lang w:val="da-DK"/>
        </w:rPr>
        <w:t>50 mg filmovertrukne tabletter:</w:t>
      </w:r>
    </w:p>
    <w:p w:rsidR="00B435D5" w:rsidRPr="00E775C6" w:rsidRDefault="00B435D5" w:rsidP="00B435D5">
      <w:pPr>
        <w:pStyle w:val="Default"/>
        <w:ind w:left="851"/>
        <w:rPr>
          <w:b/>
          <w:color w:val="auto"/>
          <w:lang w:val="da-DK"/>
        </w:rPr>
      </w:pPr>
      <w:r w:rsidRPr="00E775C6">
        <w:rPr>
          <w:color w:val="auto"/>
          <w:lang w:val="da-DK"/>
        </w:rPr>
        <w:t>De filmovertrukne tabletter eller halve tabletter skal synkes hele sammen med vand</w:t>
      </w:r>
      <w:r w:rsidRPr="00E775C6">
        <w:rPr>
          <w:b/>
          <w:color w:val="auto"/>
          <w:lang w:val="da-DK"/>
        </w:rPr>
        <w:t>.</w:t>
      </w:r>
    </w:p>
    <w:p w:rsidR="00B435D5" w:rsidRPr="00E775C6" w:rsidRDefault="00B435D5" w:rsidP="00B435D5">
      <w:pPr>
        <w:pStyle w:val="Default"/>
        <w:ind w:left="851"/>
        <w:rPr>
          <w:color w:val="auto"/>
          <w:lang w:val="da-DK"/>
        </w:rPr>
      </w:pPr>
    </w:p>
    <w:p w:rsidR="00B435D5" w:rsidRPr="00E775C6" w:rsidRDefault="00B435D5" w:rsidP="00B435D5">
      <w:pPr>
        <w:pStyle w:val="Default"/>
        <w:ind w:left="851"/>
        <w:rPr>
          <w:color w:val="auto"/>
          <w:lang w:val="da-DK"/>
        </w:rPr>
      </w:pPr>
      <w:r w:rsidRPr="00E775C6">
        <w:rPr>
          <w:color w:val="auto"/>
          <w:lang w:val="da-DK"/>
        </w:rPr>
        <w:t>100 mg filmovertrukne tabletter:</w:t>
      </w:r>
    </w:p>
    <w:p w:rsidR="00B435D5" w:rsidRPr="00E775C6" w:rsidRDefault="00B435D5" w:rsidP="00B435D5">
      <w:pPr>
        <w:pStyle w:val="Default"/>
        <w:ind w:left="851"/>
        <w:rPr>
          <w:color w:val="auto"/>
          <w:lang w:val="da-DK"/>
        </w:rPr>
      </w:pPr>
      <w:r w:rsidRPr="00E775C6">
        <w:rPr>
          <w:color w:val="auto"/>
          <w:lang w:val="da-DK"/>
        </w:rPr>
        <w:t>De filmovertrukne tabletter skal synkes hele sammen med vand.</w:t>
      </w:r>
    </w:p>
    <w:p w:rsidR="00594AD4" w:rsidRPr="00EF1FDA" w:rsidRDefault="00594AD4" w:rsidP="00594AD4">
      <w:pPr>
        <w:pStyle w:val="Default"/>
        <w:ind w:left="851"/>
        <w:rPr>
          <w:b/>
          <w:color w:val="auto"/>
          <w:lang w:val="da-DK"/>
        </w:rPr>
      </w:pPr>
    </w:p>
    <w:p w:rsidR="00E775C6" w:rsidRPr="00E775C6" w:rsidRDefault="00594AD4" w:rsidP="00E775C6">
      <w:pPr>
        <w:pStyle w:val="Listeafsnit"/>
        <w:numPr>
          <w:ilvl w:val="1"/>
          <w:numId w:val="6"/>
        </w:numPr>
        <w:suppressAutoHyphens/>
      </w:pPr>
      <w:r w:rsidRPr="00E775C6">
        <w:rPr>
          <w:b/>
        </w:rPr>
        <w:t>Kontraindikationer</w:t>
      </w:r>
    </w:p>
    <w:p w:rsidR="00B435D5" w:rsidRPr="00E775C6" w:rsidRDefault="00B435D5" w:rsidP="00E775C6">
      <w:pPr>
        <w:pStyle w:val="Listeafsnit"/>
        <w:suppressAutoHyphens/>
        <w:ind w:left="855"/>
        <w:rPr>
          <w:lang w:eastAsia="en-US"/>
        </w:rPr>
      </w:pPr>
      <w:r w:rsidRPr="00E775C6">
        <w:t>Overfølsomhed over for det aktive stof eller over for et eller flere af hjælpestofferne anført i pkt. 6.1.</w:t>
      </w:r>
    </w:p>
    <w:p w:rsidR="00B435D5" w:rsidRPr="00E775C6" w:rsidRDefault="00B435D5" w:rsidP="00B435D5">
      <w:pPr>
        <w:ind w:left="851"/>
        <w:rPr>
          <w:sz w:val="24"/>
          <w:szCs w:val="24"/>
        </w:rPr>
      </w:pPr>
    </w:p>
    <w:p w:rsidR="00B435D5" w:rsidRPr="00E775C6" w:rsidRDefault="00B435D5" w:rsidP="00B435D5">
      <w:pPr>
        <w:ind w:left="851"/>
        <w:rPr>
          <w:sz w:val="24"/>
          <w:szCs w:val="24"/>
        </w:rPr>
      </w:pPr>
      <w:proofErr w:type="spellStart"/>
      <w:r w:rsidRPr="00E775C6">
        <w:rPr>
          <w:sz w:val="24"/>
          <w:szCs w:val="24"/>
        </w:rPr>
        <w:t>Sumatriptan</w:t>
      </w:r>
      <w:proofErr w:type="spellEnd"/>
      <w:r w:rsidRPr="00E775C6">
        <w:rPr>
          <w:sz w:val="24"/>
          <w:szCs w:val="24"/>
        </w:rPr>
        <w:t xml:space="preserve"> må ikke ordineres til patienter, som har haft myokardieinfarkt eller har iskæmisk hjertesygdom, </w:t>
      </w:r>
      <w:proofErr w:type="spellStart"/>
      <w:r w:rsidRPr="00E775C6">
        <w:rPr>
          <w:sz w:val="24"/>
          <w:szCs w:val="24"/>
        </w:rPr>
        <w:t>Prinzmetals</w:t>
      </w:r>
      <w:proofErr w:type="spellEnd"/>
      <w:r w:rsidRPr="00E775C6">
        <w:rPr>
          <w:sz w:val="24"/>
          <w:szCs w:val="24"/>
        </w:rPr>
        <w:t xml:space="preserve"> angina/</w:t>
      </w:r>
      <w:proofErr w:type="spellStart"/>
      <w:r w:rsidRPr="00E775C6">
        <w:rPr>
          <w:sz w:val="24"/>
          <w:szCs w:val="24"/>
        </w:rPr>
        <w:t>koronar</w:t>
      </w:r>
      <w:proofErr w:type="spellEnd"/>
      <w:r w:rsidRPr="00E775C6">
        <w:rPr>
          <w:sz w:val="24"/>
          <w:szCs w:val="24"/>
        </w:rPr>
        <w:t xml:space="preserve"> </w:t>
      </w:r>
      <w:proofErr w:type="spellStart"/>
      <w:r w:rsidRPr="00E775C6">
        <w:rPr>
          <w:sz w:val="24"/>
          <w:szCs w:val="24"/>
        </w:rPr>
        <w:t>vasospasme</w:t>
      </w:r>
      <w:proofErr w:type="spellEnd"/>
      <w:r w:rsidRPr="00E775C6">
        <w:rPr>
          <w:sz w:val="24"/>
          <w:szCs w:val="24"/>
        </w:rPr>
        <w:t xml:space="preserve"> eller perifer </w:t>
      </w:r>
      <w:proofErr w:type="spellStart"/>
      <w:r w:rsidRPr="00E775C6">
        <w:rPr>
          <w:sz w:val="24"/>
          <w:szCs w:val="24"/>
        </w:rPr>
        <w:t>vaskulær</w:t>
      </w:r>
      <w:proofErr w:type="spellEnd"/>
      <w:r w:rsidRPr="00E775C6">
        <w:rPr>
          <w:sz w:val="24"/>
          <w:szCs w:val="24"/>
        </w:rPr>
        <w:t xml:space="preserve"> lidelse. Det bør heller ikke ordineres til patienter med symptomer eller tegn på iskæmisk hjertesygdom.</w:t>
      </w:r>
    </w:p>
    <w:p w:rsidR="00B435D5" w:rsidRPr="00E775C6" w:rsidRDefault="00B435D5" w:rsidP="00B435D5">
      <w:pPr>
        <w:ind w:left="851"/>
        <w:rPr>
          <w:sz w:val="24"/>
          <w:szCs w:val="24"/>
        </w:rPr>
      </w:pPr>
    </w:p>
    <w:p w:rsidR="00B435D5" w:rsidRPr="00E775C6" w:rsidRDefault="00B435D5" w:rsidP="00B435D5">
      <w:pPr>
        <w:ind w:left="851"/>
        <w:rPr>
          <w:sz w:val="24"/>
          <w:szCs w:val="24"/>
        </w:rPr>
      </w:pPr>
      <w:proofErr w:type="spellStart"/>
      <w:r w:rsidRPr="00E775C6">
        <w:rPr>
          <w:sz w:val="24"/>
          <w:szCs w:val="24"/>
        </w:rPr>
        <w:t>Sumatriptan</w:t>
      </w:r>
      <w:proofErr w:type="spellEnd"/>
      <w:r w:rsidRPr="00E775C6">
        <w:rPr>
          <w:sz w:val="24"/>
          <w:szCs w:val="24"/>
        </w:rPr>
        <w:t xml:space="preserve"> må ikke gives til patienter med tidligere tilfælde af stroke (</w:t>
      </w:r>
      <w:proofErr w:type="spellStart"/>
      <w:r w:rsidRPr="00E775C6">
        <w:rPr>
          <w:spacing w:val="-3"/>
          <w:sz w:val="24"/>
          <w:szCs w:val="24"/>
        </w:rPr>
        <w:t>cerebrovaskulær</w:t>
      </w:r>
      <w:proofErr w:type="spellEnd"/>
      <w:r w:rsidRPr="00E775C6">
        <w:rPr>
          <w:spacing w:val="-3"/>
          <w:sz w:val="24"/>
          <w:szCs w:val="24"/>
        </w:rPr>
        <w:t xml:space="preserve"> hændelse</w:t>
      </w:r>
      <w:r w:rsidRPr="00E775C6">
        <w:rPr>
          <w:sz w:val="24"/>
          <w:szCs w:val="24"/>
        </w:rPr>
        <w:t xml:space="preserve"> [CVA]) eller transitorisk iskæmisk anfald (TIA). </w:t>
      </w:r>
    </w:p>
    <w:p w:rsidR="00B435D5" w:rsidRPr="00E775C6" w:rsidRDefault="00B435D5" w:rsidP="00B435D5">
      <w:pPr>
        <w:ind w:left="851"/>
        <w:rPr>
          <w:sz w:val="24"/>
          <w:szCs w:val="24"/>
        </w:rPr>
      </w:pPr>
    </w:p>
    <w:p w:rsidR="00B435D5" w:rsidRPr="00E775C6" w:rsidRDefault="00B435D5" w:rsidP="00B435D5">
      <w:pPr>
        <w:ind w:firstLine="851"/>
        <w:rPr>
          <w:sz w:val="24"/>
          <w:szCs w:val="24"/>
        </w:rPr>
      </w:pPr>
      <w:proofErr w:type="spellStart"/>
      <w:r w:rsidRPr="00E775C6">
        <w:rPr>
          <w:sz w:val="24"/>
          <w:szCs w:val="24"/>
        </w:rPr>
        <w:t>Sumatriptan</w:t>
      </w:r>
      <w:proofErr w:type="spellEnd"/>
      <w:r w:rsidRPr="00E775C6">
        <w:rPr>
          <w:sz w:val="24"/>
          <w:szCs w:val="24"/>
        </w:rPr>
        <w:t xml:space="preserve"> må ikke gives til patienter med svært nedsat leverfunktion.</w:t>
      </w:r>
    </w:p>
    <w:p w:rsidR="00B435D5" w:rsidRPr="00E775C6" w:rsidRDefault="00B435D5" w:rsidP="00B435D5">
      <w:pPr>
        <w:ind w:firstLine="851"/>
        <w:rPr>
          <w:sz w:val="24"/>
          <w:szCs w:val="24"/>
        </w:rPr>
      </w:pPr>
    </w:p>
    <w:p w:rsidR="00B435D5" w:rsidRPr="00E775C6" w:rsidRDefault="00B435D5" w:rsidP="00B435D5">
      <w:pPr>
        <w:ind w:left="851"/>
        <w:rPr>
          <w:sz w:val="24"/>
          <w:szCs w:val="24"/>
        </w:rPr>
      </w:pPr>
      <w:r w:rsidRPr="00E775C6">
        <w:rPr>
          <w:sz w:val="24"/>
          <w:szCs w:val="24"/>
        </w:rPr>
        <w:t xml:space="preserve">Administration af </w:t>
      </w:r>
      <w:proofErr w:type="spellStart"/>
      <w:r w:rsidRPr="00E775C6">
        <w:rPr>
          <w:sz w:val="24"/>
          <w:szCs w:val="24"/>
        </w:rPr>
        <w:t>sumatriptan</w:t>
      </w:r>
      <w:proofErr w:type="spellEnd"/>
      <w:r w:rsidRPr="00E775C6">
        <w:rPr>
          <w:sz w:val="24"/>
          <w:szCs w:val="24"/>
        </w:rPr>
        <w:t xml:space="preserve"> er kontraindiceret til patienter med moderat til svær hypertension eller ukontrolleret mild hypertension.</w:t>
      </w:r>
    </w:p>
    <w:p w:rsidR="00B435D5" w:rsidRPr="00E775C6" w:rsidRDefault="00B435D5" w:rsidP="00B435D5">
      <w:pPr>
        <w:ind w:left="851"/>
        <w:rPr>
          <w:sz w:val="24"/>
          <w:szCs w:val="24"/>
        </w:rPr>
      </w:pPr>
    </w:p>
    <w:p w:rsidR="00B435D5" w:rsidRPr="00E775C6" w:rsidRDefault="00B435D5" w:rsidP="00B435D5">
      <w:pPr>
        <w:pStyle w:val="Default"/>
        <w:ind w:left="851"/>
        <w:rPr>
          <w:color w:val="auto"/>
          <w:lang w:val="da-DK" w:eastAsia="da-DK"/>
        </w:rPr>
      </w:pPr>
      <w:r w:rsidRPr="00E775C6">
        <w:rPr>
          <w:color w:val="auto"/>
          <w:lang w:val="da-DK" w:eastAsia="da-DK"/>
        </w:rPr>
        <w:t xml:space="preserve">Samtidig indgivelse af </w:t>
      </w:r>
      <w:proofErr w:type="spellStart"/>
      <w:r w:rsidRPr="00E775C6">
        <w:rPr>
          <w:color w:val="auto"/>
          <w:lang w:val="da-DK" w:eastAsia="da-DK"/>
        </w:rPr>
        <w:t>ergotamin</w:t>
      </w:r>
      <w:proofErr w:type="spellEnd"/>
      <w:r w:rsidRPr="00E775C6">
        <w:rPr>
          <w:color w:val="auto"/>
          <w:lang w:val="da-DK" w:eastAsia="da-DK"/>
        </w:rPr>
        <w:t xml:space="preserve"> eller </w:t>
      </w:r>
      <w:r w:rsidRPr="00E775C6">
        <w:rPr>
          <w:color w:val="auto"/>
          <w:lang w:val="da-DK"/>
        </w:rPr>
        <w:t xml:space="preserve">derivater af </w:t>
      </w:r>
      <w:proofErr w:type="spellStart"/>
      <w:r w:rsidRPr="00E775C6">
        <w:rPr>
          <w:color w:val="auto"/>
          <w:lang w:val="da-DK"/>
        </w:rPr>
        <w:t>ergotamin</w:t>
      </w:r>
      <w:proofErr w:type="spellEnd"/>
      <w:r w:rsidRPr="00E775C6">
        <w:rPr>
          <w:color w:val="auto"/>
          <w:lang w:val="da-DK"/>
        </w:rPr>
        <w:t xml:space="preserve"> (</w:t>
      </w:r>
      <w:r w:rsidRPr="00E775C6">
        <w:rPr>
          <w:color w:val="auto"/>
          <w:lang w:val="da-DK" w:eastAsia="da-DK"/>
        </w:rPr>
        <w:t>inklusive</w:t>
      </w:r>
      <w:r w:rsidRPr="00E775C6">
        <w:rPr>
          <w:color w:val="auto"/>
          <w:lang w:val="da-DK"/>
        </w:rPr>
        <w:t xml:space="preserve"> </w:t>
      </w:r>
      <w:proofErr w:type="spellStart"/>
      <w:r w:rsidRPr="00E775C6">
        <w:rPr>
          <w:color w:val="auto"/>
          <w:lang w:val="da-DK"/>
        </w:rPr>
        <w:t>methysergid</w:t>
      </w:r>
      <w:proofErr w:type="spellEnd"/>
      <w:r w:rsidRPr="00E775C6">
        <w:rPr>
          <w:color w:val="auto"/>
          <w:lang w:val="da-DK"/>
        </w:rPr>
        <w:t xml:space="preserve">) </w:t>
      </w:r>
      <w:r w:rsidRPr="00E775C6">
        <w:rPr>
          <w:color w:val="auto"/>
          <w:lang w:val="da-DK" w:eastAsia="da-DK"/>
        </w:rPr>
        <w:t xml:space="preserve">eller andre </w:t>
      </w:r>
      <w:proofErr w:type="spellStart"/>
      <w:r w:rsidRPr="00E775C6">
        <w:rPr>
          <w:color w:val="auto"/>
          <w:lang w:val="da-DK" w:eastAsia="da-DK"/>
        </w:rPr>
        <w:t>triptaner</w:t>
      </w:r>
      <w:proofErr w:type="spellEnd"/>
      <w:r w:rsidRPr="00E775C6">
        <w:rPr>
          <w:color w:val="auto"/>
          <w:lang w:val="da-DK" w:eastAsia="da-DK"/>
        </w:rPr>
        <w:t>/5-hydroxytryptamin</w:t>
      </w:r>
      <w:r w:rsidRPr="00E775C6">
        <w:rPr>
          <w:color w:val="auto"/>
          <w:lang w:val="da-DK"/>
        </w:rPr>
        <w:t>1</w:t>
      </w:r>
      <w:r w:rsidRPr="00E775C6">
        <w:rPr>
          <w:color w:val="auto"/>
          <w:lang w:val="da-DK" w:eastAsia="da-DK"/>
        </w:rPr>
        <w:t xml:space="preserve"> (5-HT</w:t>
      </w:r>
      <w:r w:rsidRPr="00E775C6">
        <w:rPr>
          <w:color w:val="auto"/>
          <w:vertAlign w:val="subscript"/>
          <w:lang w:val="da-DK"/>
        </w:rPr>
        <w:t>1</w:t>
      </w:r>
      <w:r w:rsidRPr="00E775C6">
        <w:rPr>
          <w:color w:val="auto"/>
          <w:lang w:val="da-DK" w:eastAsia="da-DK"/>
        </w:rPr>
        <w:t>) receptoragonister er kontraindiceret (se pkt. 4.5).</w:t>
      </w:r>
    </w:p>
    <w:p w:rsidR="00B435D5" w:rsidRPr="00E775C6" w:rsidRDefault="00B435D5" w:rsidP="00B435D5">
      <w:pPr>
        <w:pStyle w:val="Default"/>
        <w:ind w:left="851"/>
        <w:rPr>
          <w:color w:val="auto"/>
          <w:lang w:val="da-DK" w:eastAsia="da-DK"/>
        </w:rPr>
      </w:pPr>
      <w:r w:rsidRPr="00E775C6">
        <w:rPr>
          <w:color w:val="auto"/>
          <w:lang w:val="da-DK" w:eastAsia="da-DK"/>
        </w:rPr>
        <w:t xml:space="preserve"> </w:t>
      </w:r>
    </w:p>
    <w:p w:rsidR="00B435D5" w:rsidRPr="00E775C6" w:rsidRDefault="00B435D5" w:rsidP="00B435D5">
      <w:pPr>
        <w:pStyle w:val="Default"/>
        <w:ind w:left="851"/>
        <w:rPr>
          <w:color w:val="auto"/>
          <w:lang w:val="da-DK"/>
        </w:rPr>
      </w:pPr>
      <w:r w:rsidRPr="00E775C6">
        <w:rPr>
          <w:lang w:val="da-DK"/>
        </w:rPr>
        <w:t xml:space="preserve">Samtidig indgift af </w:t>
      </w:r>
      <w:proofErr w:type="spellStart"/>
      <w:r w:rsidRPr="00E775C6">
        <w:rPr>
          <w:lang w:val="da-DK"/>
        </w:rPr>
        <w:t>monoaminooxidasehæmmere</w:t>
      </w:r>
      <w:proofErr w:type="spellEnd"/>
      <w:r w:rsidRPr="00E775C6">
        <w:rPr>
          <w:lang w:val="da-DK"/>
        </w:rPr>
        <w:t xml:space="preserve"> (MAO-</w:t>
      </w:r>
      <w:proofErr w:type="spellStart"/>
      <w:r w:rsidRPr="00E775C6">
        <w:rPr>
          <w:lang w:val="da-DK"/>
        </w:rPr>
        <w:t>hæmmere</w:t>
      </w:r>
      <w:proofErr w:type="spellEnd"/>
      <w:r w:rsidRPr="00E775C6">
        <w:rPr>
          <w:lang w:val="da-DK"/>
        </w:rPr>
        <w:t xml:space="preserve">) og </w:t>
      </w:r>
      <w:proofErr w:type="spellStart"/>
      <w:r w:rsidRPr="00E775C6">
        <w:rPr>
          <w:lang w:val="da-DK"/>
        </w:rPr>
        <w:t>sumatriptan</w:t>
      </w:r>
      <w:proofErr w:type="spellEnd"/>
      <w:r w:rsidRPr="00E775C6">
        <w:rPr>
          <w:lang w:val="da-DK"/>
        </w:rPr>
        <w:t xml:space="preserve"> er kontraindiceret</w:t>
      </w:r>
      <w:r w:rsidRPr="00E775C6">
        <w:rPr>
          <w:color w:val="auto"/>
          <w:lang w:val="da-DK"/>
        </w:rPr>
        <w:t xml:space="preserve">. </w:t>
      </w:r>
      <w:proofErr w:type="spellStart"/>
      <w:r w:rsidRPr="00E775C6">
        <w:rPr>
          <w:color w:val="auto"/>
          <w:lang w:val="da-DK"/>
        </w:rPr>
        <w:t>Sumatriptan</w:t>
      </w:r>
      <w:proofErr w:type="spellEnd"/>
      <w:r w:rsidRPr="00E775C6">
        <w:rPr>
          <w:color w:val="auto"/>
          <w:lang w:val="da-DK"/>
        </w:rPr>
        <w:t xml:space="preserve"> “Sandoz” må ikke </w:t>
      </w:r>
      <w:r w:rsidRPr="00E775C6">
        <w:rPr>
          <w:color w:val="auto"/>
          <w:lang w:val="da-DK" w:eastAsia="da-DK"/>
        </w:rPr>
        <w:t>bruges</w:t>
      </w:r>
      <w:r w:rsidRPr="00E775C6">
        <w:rPr>
          <w:color w:val="auto"/>
          <w:lang w:val="da-DK"/>
        </w:rPr>
        <w:t xml:space="preserve"> inden for 2 uger efter </w:t>
      </w:r>
      <w:proofErr w:type="spellStart"/>
      <w:r w:rsidRPr="00E775C6">
        <w:rPr>
          <w:color w:val="auto"/>
          <w:lang w:val="da-DK"/>
        </w:rPr>
        <w:t>seponering</w:t>
      </w:r>
      <w:proofErr w:type="spellEnd"/>
      <w:r w:rsidRPr="00E775C6">
        <w:rPr>
          <w:color w:val="auto"/>
          <w:lang w:val="da-DK"/>
        </w:rPr>
        <w:t xml:space="preserve"> af behandling med </w:t>
      </w:r>
      <w:r w:rsidRPr="00E775C6">
        <w:rPr>
          <w:lang w:val="da-DK"/>
        </w:rPr>
        <w:t>MAO-</w:t>
      </w:r>
      <w:proofErr w:type="spellStart"/>
      <w:r w:rsidRPr="00E775C6">
        <w:rPr>
          <w:lang w:val="da-DK"/>
        </w:rPr>
        <w:t>hæmmere</w:t>
      </w:r>
      <w:proofErr w:type="spellEnd"/>
      <w:r w:rsidRPr="00E775C6">
        <w:rPr>
          <w:color w:val="auto"/>
          <w:lang w:val="da-DK" w:eastAsia="da-DK"/>
        </w:rPr>
        <w:t xml:space="preserve">. </w:t>
      </w:r>
    </w:p>
    <w:p w:rsidR="00594AD4" w:rsidRPr="00B82106" w:rsidRDefault="00594AD4" w:rsidP="00594AD4">
      <w:pPr>
        <w:pStyle w:val="Default"/>
        <w:ind w:left="851"/>
        <w:rPr>
          <w:lang w:val="da-DK"/>
        </w:rPr>
      </w:pPr>
    </w:p>
    <w:p w:rsidR="00594AD4" w:rsidRPr="00E775C6" w:rsidRDefault="00594AD4" w:rsidP="00E775C6">
      <w:pPr>
        <w:pStyle w:val="Listeafsnit"/>
        <w:numPr>
          <w:ilvl w:val="1"/>
          <w:numId w:val="6"/>
        </w:numPr>
        <w:suppressAutoHyphens/>
        <w:rPr>
          <w:b/>
        </w:rPr>
      </w:pPr>
      <w:r w:rsidRPr="00E775C6">
        <w:rPr>
          <w:b/>
        </w:rPr>
        <w:t>Særlige advarsler og forsigtighedsregler vedrørende brugen</w:t>
      </w:r>
    </w:p>
    <w:p w:rsidR="00B435D5" w:rsidRPr="00E775C6" w:rsidRDefault="00B435D5" w:rsidP="00B435D5">
      <w:pPr>
        <w:ind w:left="851"/>
        <w:rPr>
          <w:sz w:val="24"/>
          <w:szCs w:val="24"/>
          <w:lang w:eastAsia="da-DK"/>
        </w:rPr>
      </w:pPr>
      <w:proofErr w:type="spellStart"/>
      <w:r w:rsidRPr="00E775C6">
        <w:rPr>
          <w:sz w:val="24"/>
          <w:szCs w:val="24"/>
        </w:rPr>
        <w:t>Sumatriptan</w:t>
      </w:r>
      <w:proofErr w:type="spellEnd"/>
      <w:r w:rsidRPr="00E775C6">
        <w:rPr>
          <w:sz w:val="24"/>
          <w:szCs w:val="24"/>
        </w:rPr>
        <w:t xml:space="preserve"> bør kun anvendes ved sikker migrænediagnose.</w:t>
      </w:r>
    </w:p>
    <w:p w:rsidR="00B435D5" w:rsidRPr="00E775C6" w:rsidRDefault="00B435D5" w:rsidP="00B435D5">
      <w:pPr>
        <w:ind w:left="851"/>
        <w:rPr>
          <w:sz w:val="24"/>
          <w:szCs w:val="24"/>
        </w:rPr>
      </w:pPr>
    </w:p>
    <w:p w:rsidR="00B435D5" w:rsidRPr="00E775C6" w:rsidRDefault="00B435D5" w:rsidP="00B435D5">
      <w:pPr>
        <w:ind w:left="851"/>
        <w:rPr>
          <w:sz w:val="24"/>
          <w:szCs w:val="24"/>
        </w:rPr>
      </w:pPr>
      <w:proofErr w:type="spellStart"/>
      <w:r w:rsidRPr="00E775C6">
        <w:rPr>
          <w:sz w:val="24"/>
          <w:szCs w:val="24"/>
        </w:rPr>
        <w:t>Sumatriptan</w:t>
      </w:r>
      <w:proofErr w:type="spellEnd"/>
      <w:r w:rsidRPr="00E775C6">
        <w:rPr>
          <w:sz w:val="24"/>
          <w:szCs w:val="24"/>
        </w:rPr>
        <w:t xml:space="preserve"> er ikke indiceret til brug ved </w:t>
      </w:r>
      <w:proofErr w:type="spellStart"/>
      <w:r w:rsidRPr="00E775C6">
        <w:rPr>
          <w:sz w:val="24"/>
          <w:szCs w:val="24"/>
        </w:rPr>
        <w:t>hemiplegisk</w:t>
      </w:r>
      <w:proofErr w:type="spellEnd"/>
      <w:r w:rsidRPr="00E775C6">
        <w:rPr>
          <w:sz w:val="24"/>
          <w:szCs w:val="24"/>
        </w:rPr>
        <w:t xml:space="preserve"> migræne, basilarisk migræne eller </w:t>
      </w:r>
      <w:proofErr w:type="spellStart"/>
      <w:r w:rsidRPr="00E775C6">
        <w:rPr>
          <w:sz w:val="24"/>
          <w:szCs w:val="24"/>
        </w:rPr>
        <w:t>oftalmoplegisk</w:t>
      </w:r>
      <w:proofErr w:type="spellEnd"/>
      <w:r w:rsidRPr="00E775C6">
        <w:rPr>
          <w:sz w:val="24"/>
          <w:szCs w:val="24"/>
        </w:rPr>
        <w:t xml:space="preserve"> migræne.</w:t>
      </w:r>
    </w:p>
    <w:p w:rsidR="00B435D5" w:rsidRPr="00E775C6" w:rsidRDefault="00B435D5" w:rsidP="00B435D5">
      <w:pPr>
        <w:ind w:left="851"/>
        <w:rPr>
          <w:sz w:val="24"/>
          <w:szCs w:val="24"/>
        </w:rPr>
      </w:pPr>
    </w:p>
    <w:p w:rsidR="00B435D5" w:rsidRPr="00E775C6" w:rsidRDefault="00B435D5" w:rsidP="00B435D5">
      <w:pPr>
        <w:ind w:left="851"/>
        <w:rPr>
          <w:sz w:val="24"/>
          <w:szCs w:val="24"/>
        </w:rPr>
      </w:pPr>
      <w:r w:rsidRPr="00E775C6">
        <w:rPr>
          <w:sz w:val="24"/>
          <w:szCs w:val="24"/>
        </w:rPr>
        <w:t xml:space="preserve">Inden behandling med </w:t>
      </w:r>
      <w:proofErr w:type="spellStart"/>
      <w:r w:rsidRPr="00E775C6">
        <w:rPr>
          <w:sz w:val="24"/>
          <w:szCs w:val="24"/>
        </w:rPr>
        <w:t>sumatriptan</w:t>
      </w:r>
      <w:proofErr w:type="spellEnd"/>
      <w:r w:rsidRPr="00E775C6">
        <w:rPr>
          <w:sz w:val="24"/>
          <w:szCs w:val="24"/>
        </w:rPr>
        <w:t xml:space="preserve"> bør potentielt alvorlige neurologiske sygdomme (f.eks. CVA, TIA) udelukkes, hvis patienten udviser atypiske symptomer eller ikke har fået en relevant diagnose med indikation for brug af </w:t>
      </w:r>
      <w:proofErr w:type="spellStart"/>
      <w:r w:rsidRPr="00E775C6">
        <w:rPr>
          <w:sz w:val="24"/>
          <w:szCs w:val="24"/>
        </w:rPr>
        <w:t>sumatriptan</w:t>
      </w:r>
      <w:proofErr w:type="spellEnd"/>
      <w:r w:rsidRPr="00E775C6">
        <w:rPr>
          <w:sz w:val="24"/>
          <w:szCs w:val="24"/>
        </w:rPr>
        <w:t xml:space="preserve">. </w:t>
      </w:r>
    </w:p>
    <w:p w:rsidR="00B435D5" w:rsidRPr="00E775C6" w:rsidRDefault="00B435D5" w:rsidP="00B435D5">
      <w:pPr>
        <w:tabs>
          <w:tab w:val="left" w:pos="0"/>
        </w:tabs>
        <w:ind w:left="851"/>
        <w:rPr>
          <w:sz w:val="24"/>
          <w:szCs w:val="24"/>
        </w:rPr>
      </w:pPr>
    </w:p>
    <w:p w:rsidR="00B435D5" w:rsidRPr="00E775C6" w:rsidRDefault="00B435D5" w:rsidP="00B435D5">
      <w:pPr>
        <w:tabs>
          <w:tab w:val="left" w:pos="0"/>
        </w:tabs>
        <w:ind w:left="851"/>
        <w:rPr>
          <w:sz w:val="24"/>
          <w:szCs w:val="24"/>
        </w:rPr>
      </w:pPr>
      <w:proofErr w:type="spellStart"/>
      <w:r w:rsidRPr="00E775C6">
        <w:rPr>
          <w:sz w:val="24"/>
          <w:szCs w:val="24"/>
        </w:rPr>
        <w:t>Sumatriptan</w:t>
      </w:r>
      <w:proofErr w:type="spellEnd"/>
      <w:r w:rsidRPr="00E775C6">
        <w:rPr>
          <w:sz w:val="24"/>
          <w:szCs w:val="24"/>
        </w:rPr>
        <w:t xml:space="preserve"> kan give forbigående symptomer som brystsmerter og fornemmelse af trykken for brystet, som kan være intense og også omfatte halsregionen (se pkt. 4.8). I tilfælde hvor </w:t>
      </w:r>
      <w:r w:rsidRPr="00E775C6">
        <w:rPr>
          <w:sz w:val="24"/>
          <w:szCs w:val="24"/>
        </w:rPr>
        <w:lastRenderedPageBreak/>
        <w:t xml:space="preserve">disse symptomer kan tænkes at skyldes iskæmisk hjertesygdom, bør der ikke gives yderligere doser af </w:t>
      </w:r>
      <w:proofErr w:type="spellStart"/>
      <w:r w:rsidRPr="00E775C6">
        <w:rPr>
          <w:sz w:val="24"/>
          <w:szCs w:val="24"/>
        </w:rPr>
        <w:t>sumatriptan</w:t>
      </w:r>
      <w:proofErr w:type="spellEnd"/>
      <w:r w:rsidRPr="00E775C6">
        <w:rPr>
          <w:sz w:val="24"/>
          <w:szCs w:val="24"/>
        </w:rPr>
        <w:t>, og nærmere undersøgelser bør foretages.</w:t>
      </w:r>
    </w:p>
    <w:p w:rsidR="00B435D5" w:rsidRPr="00E775C6" w:rsidRDefault="00B435D5" w:rsidP="00B435D5">
      <w:pPr>
        <w:tabs>
          <w:tab w:val="left" w:pos="0"/>
        </w:tabs>
        <w:ind w:left="851"/>
        <w:rPr>
          <w:sz w:val="24"/>
          <w:szCs w:val="24"/>
        </w:rPr>
      </w:pPr>
    </w:p>
    <w:p w:rsidR="00B435D5" w:rsidRPr="00E775C6" w:rsidRDefault="00B435D5" w:rsidP="00B435D5">
      <w:pPr>
        <w:tabs>
          <w:tab w:val="left" w:pos="0"/>
        </w:tabs>
        <w:ind w:left="851"/>
        <w:rPr>
          <w:sz w:val="24"/>
          <w:szCs w:val="24"/>
        </w:rPr>
      </w:pPr>
      <w:proofErr w:type="spellStart"/>
      <w:r w:rsidRPr="00E775C6">
        <w:rPr>
          <w:sz w:val="24"/>
          <w:szCs w:val="24"/>
        </w:rPr>
        <w:t>Sumatriptan</w:t>
      </w:r>
      <w:proofErr w:type="spellEnd"/>
      <w:r w:rsidRPr="00E775C6">
        <w:rPr>
          <w:sz w:val="24"/>
          <w:szCs w:val="24"/>
        </w:rPr>
        <w:t xml:space="preserve"> skal administreres med forsigtighed til patienter med mild kontrolleret hypertension, da der er set forbigående blodtryksstigninger og perifer </w:t>
      </w:r>
      <w:proofErr w:type="spellStart"/>
      <w:r w:rsidRPr="00E775C6">
        <w:rPr>
          <w:sz w:val="24"/>
          <w:szCs w:val="24"/>
        </w:rPr>
        <w:t>vaskulær</w:t>
      </w:r>
      <w:proofErr w:type="spellEnd"/>
      <w:r w:rsidRPr="00E775C6">
        <w:rPr>
          <w:sz w:val="24"/>
          <w:szCs w:val="24"/>
        </w:rPr>
        <w:t xml:space="preserve"> modstand hos en lille andel af disse patienter (se pkt. 4.3). Hvis sådanne symptomer menes at være tegn på iskæmisk hjertesygdom eller koronararterieforsnævring, skal der foretages en relevant vurdering.</w:t>
      </w:r>
    </w:p>
    <w:p w:rsidR="00B435D5" w:rsidRPr="00E775C6" w:rsidRDefault="00B435D5" w:rsidP="00B435D5">
      <w:pPr>
        <w:tabs>
          <w:tab w:val="left" w:pos="0"/>
        </w:tabs>
        <w:ind w:left="851"/>
        <w:rPr>
          <w:sz w:val="24"/>
          <w:szCs w:val="24"/>
        </w:rPr>
      </w:pPr>
    </w:p>
    <w:p w:rsidR="00B435D5" w:rsidRPr="00E775C6" w:rsidRDefault="00B435D5" w:rsidP="00B435D5">
      <w:pPr>
        <w:tabs>
          <w:tab w:val="left" w:pos="0"/>
        </w:tabs>
        <w:ind w:left="851"/>
        <w:rPr>
          <w:sz w:val="24"/>
          <w:szCs w:val="24"/>
        </w:rPr>
      </w:pPr>
      <w:proofErr w:type="spellStart"/>
      <w:r w:rsidRPr="00E775C6">
        <w:rPr>
          <w:sz w:val="24"/>
          <w:szCs w:val="24"/>
        </w:rPr>
        <w:t>Sumatriptan</w:t>
      </w:r>
      <w:proofErr w:type="spellEnd"/>
      <w:r w:rsidRPr="00E775C6">
        <w:rPr>
          <w:sz w:val="24"/>
          <w:szCs w:val="24"/>
        </w:rPr>
        <w:t xml:space="preserve"> bør ikke ordineres til patienter med prædisponerende risikofaktorer for iskæmisk hjertesygdom, inklusive storrygere og brugere af nikotinsubstitutionsmidler, uden forudgående </w:t>
      </w:r>
      <w:proofErr w:type="spellStart"/>
      <w:r w:rsidRPr="00E775C6">
        <w:rPr>
          <w:sz w:val="24"/>
          <w:szCs w:val="24"/>
        </w:rPr>
        <w:t>kardiovaskulær</w:t>
      </w:r>
      <w:proofErr w:type="spellEnd"/>
      <w:r w:rsidRPr="00E775C6">
        <w:rPr>
          <w:sz w:val="24"/>
          <w:szCs w:val="24"/>
        </w:rPr>
        <w:t xml:space="preserve"> undersøgelse (se pkt. 4.3). Særlig opmærksomhed bør rettes mod </w:t>
      </w:r>
      <w:proofErr w:type="spellStart"/>
      <w:r w:rsidRPr="00E775C6">
        <w:rPr>
          <w:sz w:val="24"/>
          <w:szCs w:val="24"/>
        </w:rPr>
        <w:t>postmenopausale</w:t>
      </w:r>
      <w:proofErr w:type="spellEnd"/>
      <w:r w:rsidRPr="00E775C6">
        <w:rPr>
          <w:sz w:val="24"/>
          <w:szCs w:val="24"/>
        </w:rPr>
        <w:t xml:space="preserve"> kvinder og mænd over 40 år med disse risikofaktorer. Det er ikke sikkert, at alle patienter med hjertesygdom kan identificeres ved sådanne evalueringer, og der er i meget sjældne tilfælde rapporteret om alvorlige hjerterelaterede hændelser hos patienter uden underliggende hjertesygdom (se pkt. 4.8). </w:t>
      </w:r>
    </w:p>
    <w:p w:rsidR="00B435D5" w:rsidRPr="00E775C6" w:rsidRDefault="00B435D5" w:rsidP="00B435D5">
      <w:pPr>
        <w:tabs>
          <w:tab w:val="left" w:pos="0"/>
        </w:tabs>
        <w:ind w:left="851"/>
        <w:rPr>
          <w:sz w:val="24"/>
          <w:szCs w:val="24"/>
        </w:rPr>
      </w:pPr>
    </w:p>
    <w:p w:rsidR="00B435D5" w:rsidRPr="00E775C6" w:rsidRDefault="00B435D5" w:rsidP="00B435D5">
      <w:pPr>
        <w:tabs>
          <w:tab w:val="left" w:pos="0"/>
        </w:tabs>
        <w:ind w:left="851"/>
        <w:rPr>
          <w:sz w:val="24"/>
          <w:szCs w:val="24"/>
        </w:rPr>
      </w:pPr>
      <w:r w:rsidRPr="00E775C6">
        <w:rPr>
          <w:sz w:val="24"/>
          <w:szCs w:val="24"/>
        </w:rPr>
        <w:t xml:space="preserve">I rapporter efter markedsføring af produktet er der beskrevet sjældne tilfælde af serotoninsyndrom (inklusive ændret psykisk tilstand, autonom ustabilitet og </w:t>
      </w:r>
      <w:proofErr w:type="spellStart"/>
      <w:r w:rsidRPr="00E775C6">
        <w:rPr>
          <w:sz w:val="24"/>
          <w:szCs w:val="24"/>
        </w:rPr>
        <w:t>neuromuskulære</w:t>
      </w:r>
      <w:proofErr w:type="spellEnd"/>
      <w:r w:rsidRPr="00E775C6">
        <w:rPr>
          <w:sz w:val="24"/>
          <w:szCs w:val="24"/>
        </w:rPr>
        <w:t xml:space="preserve"> </w:t>
      </w:r>
      <w:proofErr w:type="spellStart"/>
      <w:r w:rsidRPr="00E775C6">
        <w:rPr>
          <w:sz w:val="24"/>
          <w:szCs w:val="24"/>
        </w:rPr>
        <w:t>abnormaliteter</w:t>
      </w:r>
      <w:proofErr w:type="spellEnd"/>
      <w:r w:rsidRPr="00E775C6">
        <w:rPr>
          <w:sz w:val="24"/>
          <w:szCs w:val="24"/>
        </w:rPr>
        <w:t>) efter brug af selektive serotonin-</w:t>
      </w:r>
      <w:proofErr w:type="spellStart"/>
      <w:r w:rsidRPr="00E775C6">
        <w:rPr>
          <w:sz w:val="24"/>
          <w:szCs w:val="24"/>
        </w:rPr>
        <w:t>reuptake</w:t>
      </w:r>
      <w:proofErr w:type="spellEnd"/>
      <w:r w:rsidRPr="00E775C6">
        <w:rPr>
          <w:sz w:val="24"/>
          <w:szCs w:val="24"/>
        </w:rPr>
        <w:t>-</w:t>
      </w:r>
      <w:proofErr w:type="spellStart"/>
      <w:r w:rsidRPr="00E775C6">
        <w:rPr>
          <w:sz w:val="24"/>
          <w:szCs w:val="24"/>
        </w:rPr>
        <w:t>hæmmere</w:t>
      </w:r>
      <w:proofErr w:type="spellEnd"/>
      <w:r w:rsidRPr="00E775C6">
        <w:rPr>
          <w:sz w:val="24"/>
          <w:szCs w:val="24"/>
        </w:rPr>
        <w:t xml:space="preserve"> (</w:t>
      </w:r>
      <w:proofErr w:type="spellStart"/>
      <w:r w:rsidRPr="00E775C6">
        <w:rPr>
          <w:sz w:val="24"/>
          <w:szCs w:val="24"/>
        </w:rPr>
        <w:t>SSRI'er</w:t>
      </w:r>
      <w:proofErr w:type="spellEnd"/>
      <w:r w:rsidRPr="00E775C6">
        <w:rPr>
          <w:sz w:val="24"/>
          <w:szCs w:val="24"/>
        </w:rPr>
        <w:t xml:space="preserve">) og </w:t>
      </w:r>
      <w:proofErr w:type="spellStart"/>
      <w:r w:rsidRPr="00E775C6">
        <w:rPr>
          <w:sz w:val="24"/>
          <w:szCs w:val="24"/>
        </w:rPr>
        <w:t>sumatriptan</w:t>
      </w:r>
      <w:proofErr w:type="spellEnd"/>
      <w:r w:rsidRPr="00E775C6">
        <w:rPr>
          <w:sz w:val="24"/>
          <w:szCs w:val="24"/>
        </w:rPr>
        <w:t xml:space="preserve">. Der foreligger rapporter om serotoninsyndrom efter samtidig behandling med </w:t>
      </w:r>
      <w:proofErr w:type="spellStart"/>
      <w:r w:rsidRPr="00E775C6">
        <w:rPr>
          <w:sz w:val="24"/>
          <w:szCs w:val="24"/>
        </w:rPr>
        <w:t>triptaner</w:t>
      </w:r>
      <w:proofErr w:type="spellEnd"/>
      <w:r w:rsidRPr="00E775C6">
        <w:rPr>
          <w:sz w:val="24"/>
          <w:szCs w:val="24"/>
        </w:rPr>
        <w:t xml:space="preserve"> og serotonin- og noradrenalin-</w:t>
      </w:r>
      <w:proofErr w:type="spellStart"/>
      <w:r w:rsidRPr="00E775C6">
        <w:rPr>
          <w:sz w:val="24"/>
          <w:szCs w:val="24"/>
        </w:rPr>
        <w:t>reuptake</w:t>
      </w:r>
      <w:proofErr w:type="spellEnd"/>
      <w:r w:rsidRPr="00E775C6">
        <w:rPr>
          <w:sz w:val="24"/>
          <w:szCs w:val="24"/>
        </w:rPr>
        <w:t>-</w:t>
      </w:r>
      <w:proofErr w:type="spellStart"/>
      <w:r w:rsidRPr="00E775C6">
        <w:rPr>
          <w:sz w:val="24"/>
          <w:szCs w:val="24"/>
        </w:rPr>
        <w:t>hæmmere</w:t>
      </w:r>
      <w:proofErr w:type="spellEnd"/>
      <w:r w:rsidRPr="00E775C6">
        <w:rPr>
          <w:sz w:val="24"/>
          <w:szCs w:val="24"/>
        </w:rPr>
        <w:t xml:space="preserve"> (</w:t>
      </w:r>
      <w:proofErr w:type="spellStart"/>
      <w:r w:rsidRPr="00E775C6">
        <w:rPr>
          <w:sz w:val="24"/>
          <w:szCs w:val="24"/>
        </w:rPr>
        <w:t>SNRI'er</w:t>
      </w:r>
      <w:proofErr w:type="spellEnd"/>
      <w:r w:rsidRPr="00E775C6">
        <w:rPr>
          <w:sz w:val="24"/>
          <w:szCs w:val="24"/>
        </w:rPr>
        <w:t xml:space="preserve">). Hvis der er klinisk indikation for samtidig behandling med </w:t>
      </w:r>
      <w:proofErr w:type="spellStart"/>
      <w:r w:rsidRPr="00E775C6">
        <w:rPr>
          <w:sz w:val="24"/>
          <w:szCs w:val="24"/>
        </w:rPr>
        <w:t>sumatriptan</w:t>
      </w:r>
      <w:proofErr w:type="spellEnd"/>
      <w:r w:rsidRPr="00E775C6">
        <w:rPr>
          <w:sz w:val="24"/>
          <w:szCs w:val="24"/>
        </w:rPr>
        <w:t xml:space="preserve"> og en SSRI/SNRI, tilrådes passende observation af patienten (se pkt. 4.5).</w:t>
      </w:r>
    </w:p>
    <w:p w:rsidR="00B435D5" w:rsidRPr="00E775C6" w:rsidRDefault="00B435D5" w:rsidP="00B435D5">
      <w:pPr>
        <w:tabs>
          <w:tab w:val="left" w:pos="0"/>
        </w:tabs>
        <w:ind w:left="851"/>
        <w:rPr>
          <w:sz w:val="24"/>
          <w:szCs w:val="24"/>
        </w:rPr>
      </w:pPr>
    </w:p>
    <w:p w:rsidR="00B435D5" w:rsidRPr="00E775C6" w:rsidRDefault="00B435D5" w:rsidP="00B435D5">
      <w:pPr>
        <w:tabs>
          <w:tab w:val="left" w:pos="0"/>
        </w:tabs>
        <w:ind w:left="851"/>
        <w:rPr>
          <w:sz w:val="24"/>
          <w:szCs w:val="24"/>
        </w:rPr>
      </w:pPr>
      <w:proofErr w:type="spellStart"/>
      <w:r w:rsidRPr="00E775C6">
        <w:rPr>
          <w:sz w:val="24"/>
          <w:szCs w:val="24"/>
        </w:rPr>
        <w:t>Sumatriptan</w:t>
      </w:r>
      <w:proofErr w:type="spellEnd"/>
      <w:r w:rsidRPr="00E775C6">
        <w:rPr>
          <w:sz w:val="24"/>
          <w:szCs w:val="24"/>
        </w:rPr>
        <w:t xml:space="preserve"> bør anvendes med forsigtighed til patienter med sygdomme, som kan påvirke absorptionen, metabolismen eller udskillelsen af lægemidler i signifikant grad, f.eks. leverinsufficiens (Child-</w:t>
      </w:r>
      <w:proofErr w:type="spellStart"/>
      <w:r w:rsidRPr="00E775C6">
        <w:rPr>
          <w:sz w:val="24"/>
          <w:szCs w:val="24"/>
        </w:rPr>
        <w:t>Pugh</w:t>
      </w:r>
      <w:proofErr w:type="spellEnd"/>
      <w:r w:rsidRPr="00E775C6">
        <w:rPr>
          <w:sz w:val="24"/>
          <w:szCs w:val="24"/>
        </w:rPr>
        <w:t xml:space="preserve">-score A eller B; se pkt. 5.2) eller nyreinsufficiens (se pkt. 5.2). </w:t>
      </w:r>
    </w:p>
    <w:p w:rsidR="00B435D5" w:rsidRPr="00E775C6" w:rsidRDefault="00B435D5" w:rsidP="00B435D5">
      <w:pPr>
        <w:tabs>
          <w:tab w:val="left" w:pos="0"/>
        </w:tabs>
        <w:ind w:left="851"/>
        <w:rPr>
          <w:sz w:val="24"/>
          <w:szCs w:val="24"/>
        </w:rPr>
      </w:pPr>
    </w:p>
    <w:p w:rsidR="00B435D5" w:rsidRPr="00E775C6" w:rsidRDefault="00B435D5" w:rsidP="00B435D5">
      <w:pPr>
        <w:tabs>
          <w:tab w:val="left" w:pos="0"/>
        </w:tabs>
        <w:ind w:left="851"/>
        <w:rPr>
          <w:sz w:val="24"/>
          <w:szCs w:val="24"/>
        </w:rPr>
      </w:pPr>
      <w:r w:rsidRPr="00E775C6">
        <w:rPr>
          <w:sz w:val="24"/>
          <w:szCs w:val="24"/>
        </w:rPr>
        <w:t xml:space="preserve">Da krampeanfald er rapporteret i forbindelse med behandling med </w:t>
      </w:r>
      <w:proofErr w:type="spellStart"/>
      <w:r w:rsidRPr="00E775C6">
        <w:rPr>
          <w:sz w:val="24"/>
          <w:szCs w:val="24"/>
        </w:rPr>
        <w:t>sumatriptan</w:t>
      </w:r>
      <w:proofErr w:type="spellEnd"/>
      <w:r w:rsidRPr="00E775C6">
        <w:rPr>
          <w:sz w:val="24"/>
          <w:szCs w:val="24"/>
        </w:rPr>
        <w:t>, bør anvendelse ske med forsigtighed til patienter med krampeanfald i anamnesen eller andre risikofaktorer, som kan nedsætte deres krampetærskel (se pkt. 4.8).</w:t>
      </w:r>
    </w:p>
    <w:p w:rsidR="00B435D5" w:rsidRPr="00E775C6" w:rsidRDefault="00B435D5" w:rsidP="00B435D5">
      <w:pPr>
        <w:tabs>
          <w:tab w:val="left" w:pos="0"/>
        </w:tabs>
        <w:ind w:left="851"/>
        <w:rPr>
          <w:sz w:val="24"/>
          <w:szCs w:val="24"/>
        </w:rPr>
      </w:pPr>
      <w:r w:rsidRPr="00E775C6">
        <w:rPr>
          <w:sz w:val="24"/>
          <w:szCs w:val="24"/>
        </w:rPr>
        <w:tab/>
      </w:r>
    </w:p>
    <w:p w:rsidR="00B435D5" w:rsidRPr="00E775C6" w:rsidRDefault="00B435D5" w:rsidP="00B435D5">
      <w:pPr>
        <w:tabs>
          <w:tab w:val="left" w:pos="0"/>
        </w:tabs>
        <w:ind w:left="851"/>
        <w:rPr>
          <w:sz w:val="24"/>
          <w:szCs w:val="24"/>
        </w:rPr>
      </w:pPr>
      <w:r w:rsidRPr="00E775C6">
        <w:rPr>
          <w:sz w:val="24"/>
          <w:szCs w:val="24"/>
        </w:rPr>
        <w:t xml:space="preserve">Patienter med overfølsomhed over for sulfonamider kan få en allergisk reaktion af </w:t>
      </w:r>
      <w:proofErr w:type="spellStart"/>
      <w:r w:rsidRPr="00E775C6">
        <w:rPr>
          <w:sz w:val="24"/>
          <w:szCs w:val="24"/>
        </w:rPr>
        <w:t>sumatriptan</w:t>
      </w:r>
      <w:proofErr w:type="spellEnd"/>
      <w:r w:rsidRPr="00E775C6">
        <w:rPr>
          <w:sz w:val="24"/>
          <w:szCs w:val="24"/>
        </w:rPr>
        <w:t xml:space="preserve">. Sværhedsgraden af reaktionerne er fra hudreaktioner til anafylaksi. Sandsynligheden for krydsallergi er begrænset, dog bør </w:t>
      </w:r>
      <w:proofErr w:type="spellStart"/>
      <w:r w:rsidRPr="00E775C6">
        <w:rPr>
          <w:sz w:val="24"/>
          <w:szCs w:val="24"/>
        </w:rPr>
        <w:t>sumatriptan</w:t>
      </w:r>
      <w:proofErr w:type="spellEnd"/>
      <w:r w:rsidRPr="00E775C6">
        <w:rPr>
          <w:sz w:val="24"/>
          <w:szCs w:val="24"/>
        </w:rPr>
        <w:t xml:space="preserve"> anvendes med forsigtighed til disse patienter.</w:t>
      </w:r>
    </w:p>
    <w:p w:rsidR="00B435D5" w:rsidRPr="00E775C6" w:rsidRDefault="00B435D5" w:rsidP="00B435D5">
      <w:pPr>
        <w:tabs>
          <w:tab w:val="left" w:pos="0"/>
        </w:tabs>
        <w:ind w:left="851"/>
        <w:rPr>
          <w:sz w:val="24"/>
          <w:szCs w:val="24"/>
        </w:rPr>
      </w:pPr>
    </w:p>
    <w:p w:rsidR="00B435D5" w:rsidRPr="00E775C6" w:rsidRDefault="00B435D5" w:rsidP="00B435D5">
      <w:pPr>
        <w:tabs>
          <w:tab w:val="left" w:pos="0"/>
        </w:tabs>
        <w:ind w:left="851"/>
        <w:rPr>
          <w:sz w:val="24"/>
          <w:szCs w:val="24"/>
        </w:rPr>
      </w:pPr>
      <w:r w:rsidRPr="00E775C6">
        <w:rPr>
          <w:sz w:val="24"/>
          <w:szCs w:val="24"/>
        </w:rPr>
        <w:t xml:space="preserve">Bivirkninger kan opstå hyppigere ved samtidig brug af </w:t>
      </w:r>
      <w:proofErr w:type="spellStart"/>
      <w:r w:rsidRPr="00E775C6">
        <w:rPr>
          <w:sz w:val="24"/>
          <w:szCs w:val="24"/>
        </w:rPr>
        <w:t>triptaner</w:t>
      </w:r>
      <w:proofErr w:type="spellEnd"/>
      <w:r w:rsidRPr="00E775C6">
        <w:rPr>
          <w:sz w:val="24"/>
          <w:szCs w:val="24"/>
        </w:rPr>
        <w:t xml:space="preserve"> og naturmedicin indeholdende prikbladet perikon (</w:t>
      </w:r>
      <w:proofErr w:type="spellStart"/>
      <w:r w:rsidRPr="00E775C6">
        <w:rPr>
          <w:sz w:val="24"/>
          <w:szCs w:val="24"/>
        </w:rPr>
        <w:t>Hypericum</w:t>
      </w:r>
      <w:proofErr w:type="spellEnd"/>
      <w:r w:rsidRPr="00E775C6">
        <w:rPr>
          <w:sz w:val="24"/>
          <w:szCs w:val="24"/>
        </w:rPr>
        <w:t xml:space="preserve"> </w:t>
      </w:r>
      <w:proofErr w:type="spellStart"/>
      <w:r w:rsidRPr="00E775C6">
        <w:rPr>
          <w:sz w:val="24"/>
          <w:szCs w:val="24"/>
        </w:rPr>
        <w:t>perforatum</w:t>
      </w:r>
      <w:proofErr w:type="spellEnd"/>
      <w:r w:rsidRPr="00E775C6">
        <w:rPr>
          <w:sz w:val="24"/>
          <w:szCs w:val="24"/>
        </w:rPr>
        <w:t>).</w:t>
      </w:r>
    </w:p>
    <w:p w:rsidR="00B435D5" w:rsidRPr="00E775C6" w:rsidRDefault="00B435D5" w:rsidP="00B435D5">
      <w:pPr>
        <w:tabs>
          <w:tab w:val="left" w:pos="0"/>
        </w:tabs>
        <w:ind w:left="851"/>
        <w:rPr>
          <w:sz w:val="24"/>
          <w:szCs w:val="24"/>
        </w:rPr>
      </w:pPr>
    </w:p>
    <w:p w:rsidR="00B435D5" w:rsidRPr="00E775C6" w:rsidRDefault="00B435D5" w:rsidP="00B435D5">
      <w:pPr>
        <w:tabs>
          <w:tab w:val="left" w:pos="0"/>
        </w:tabs>
        <w:ind w:left="851"/>
        <w:rPr>
          <w:sz w:val="24"/>
          <w:szCs w:val="24"/>
        </w:rPr>
      </w:pPr>
      <w:r w:rsidRPr="00E775C6">
        <w:rPr>
          <w:sz w:val="24"/>
          <w:szCs w:val="24"/>
        </w:rPr>
        <w:t>Længere tids brug af et smertestillende middel mod hovedpine kan gøre hovedpinen værre. Hvis patienten kommer ud for dette eller har mistanke om det, bør behandlingen seponeres, og patienten bør søge læge. Diagnosen medicinoverforbrugshovedpine (MOH) bør overvejes hos patienter, der lider af hyppig eller daglig hovedpine på trods af (eller på grund af) regelmæssig brug af smertestillende midler mod hovedpine.</w:t>
      </w:r>
    </w:p>
    <w:p w:rsidR="00B435D5" w:rsidRPr="00E775C6" w:rsidRDefault="00B435D5" w:rsidP="00B435D5">
      <w:pPr>
        <w:tabs>
          <w:tab w:val="left" w:pos="0"/>
        </w:tabs>
        <w:ind w:left="851"/>
        <w:rPr>
          <w:sz w:val="24"/>
          <w:szCs w:val="24"/>
        </w:rPr>
      </w:pPr>
    </w:p>
    <w:p w:rsidR="00B435D5" w:rsidRPr="00E775C6" w:rsidRDefault="00B435D5" w:rsidP="00B435D5">
      <w:pPr>
        <w:tabs>
          <w:tab w:val="left" w:pos="0"/>
        </w:tabs>
        <w:ind w:left="851"/>
        <w:rPr>
          <w:sz w:val="24"/>
          <w:szCs w:val="24"/>
        </w:rPr>
      </w:pPr>
      <w:r w:rsidRPr="00E775C6">
        <w:rPr>
          <w:sz w:val="24"/>
          <w:szCs w:val="24"/>
        </w:rPr>
        <w:t xml:space="preserve">50 mg filmovertrukne tabletter: </w:t>
      </w:r>
    </w:p>
    <w:p w:rsidR="00B435D5" w:rsidRPr="00E775C6" w:rsidRDefault="00B435D5" w:rsidP="00B435D5">
      <w:pPr>
        <w:tabs>
          <w:tab w:val="left" w:pos="0"/>
        </w:tabs>
        <w:ind w:left="851"/>
        <w:rPr>
          <w:sz w:val="24"/>
          <w:szCs w:val="24"/>
        </w:rPr>
      </w:pPr>
      <w:r w:rsidRPr="00E775C6">
        <w:rPr>
          <w:sz w:val="24"/>
          <w:szCs w:val="24"/>
        </w:rPr>
        <w:t xml:space="preserve">Dette lægemiddel indeholder 0,09 mg </w:t>
      </w:r>
      <w:proofErr w:type="spellStart"/>
      <w:r w:rsidRPr="00E775C6">
        <w:rPr>
          <w:sz w:val="24"/>
          <w:szCs w:val="24"/>
        </w:rPr>
        <w:t>aspartam</w:t>
      </w:r>
      <w:proofErr w:type="spellEnd"/>
      <w:r w:rsidRPr="00E775C6">
        <w:rPr>
          <w:sz w:val="24"/>
          <w:szCs w:val="24"/>
        </w:rPr>
        <w:t xml:space="preserve"> pr. filmovertrukket tablet.</w:t>
      </w:r>
    </w:p>
    <w:p w:rsidR="00B435D5" w:rsidRPr="00E775C6" w:rsidRDefault="00B435D5" w:rsidP="00B435D5">
      <w:pPr>
        <w:tabs>
          <w:tab w:val="left" w:pos="0"/>
        </w:tabs>
        <w:ind w:left="851"/>
        <w:rPr>
          <w:sz w:val="24"/>
          <w:szCs w:val="24"/>
        </w:rPr>
      </w:pPr>
      <w:r w:rsidRPr="00E775C6">
        <w:rPr>
          <w:sz w:val="24"/>
          <w:szCs w:val="24"/>
        </w:rPr>
        <w:t xml:space="preserve">100 mg filmovertrukne tabletter: </w:t>
      </w:r>
    </w:p>
    <w:p w:rsidR="00B435D5" w:rsidRPr="00E775C6" w:rsidRDefault="00B435D5" w:rsidP="00B435D5">
      <w:pPr>
        <w:tabs>
          <w:tab w:val="left" w:pos="0"/>
        </w:tabs>
        <w:ind w:left="851"/>
        <w:rPr>
          <w:sz w:val="24"/>
          <w:szCs w:val="24"/>
        </w:rPr>
      </w:pPr>
      <w:r w:rsidRPr="00E775C6">
        <w:rPr>
          <w:sz w:val="24"/>
          <w:szCs w:val="24"/>
        </w:rPr>
        <w:lastRenderedPageBreak/>
        <w:t xml:space="preserve">Dette lægemiddel indeholder 0,18 mg </w:t>
      </w:r>
      <w:proofErr w:type="spellStart"/>
      <w:r w:rsidRPr="00E775C6">
        <w:rPr>
          <w:sz w:val="24"/>
          <w:szCs w:val="24"/>
        </w:rPr>
        <w:t>aspartam</w:t>
      </w:r>
      <w:proofErr w:type="spellEnd"/>
      <w:r w:rsidRPr="00E775C6">
        <w:rPr>
          <w:sz w:val="24"/>
          <w:szCs w:val="24"/>
        </w:rPr>
        <w:t xml:space="preserve"> pr. filmovertrukket tablet.</w:t>
      </w:r>
    </w:p>
    <w:p w:rsidR="00B435D5" w:rsidRPr="00E775C6" w:rsidRDefault="00B435D5" w:rsidP="00B435D5">
      <w:pPr>
        <w:tabs>
          <w:tab w:val="left" w:pos="0"/>
        </w:tabs>
        <w:ind w:left="851"/>
        <w:rPr>
          <w:sz w:val="24"/>
          <w:szCs w:val="24"/>
        </w:rPr>
      </w:pPr>
      <w:proofErr w:type="spellStart"/>
      <w:r w:rsidRPr="00E775C6">
        <w:rPr>
          <w:sz w:val="24"/>
          <w:szCs w:val="24"/>
        </w:rPr>
        <w:t>Aspartam</w:t>
      </w:r>
      <w:proofErr w:type="spellEnd"/>
      <w:r w:rsidRPr="00E775C6">
        <w:rPr>
          <w:sz w:val="24"/>
          <w:szCs w:val="24"/>
        </w:rPr>
        <w:t xml:space="preserve"> er en </w:t>
      </w:r>
      <w:proofErr w:type="spellStart"/>
      <w:r w:rsidRPr="00E775C6">
        <w:rPr>
          <w:sz w:val="24"/>
          <w:szCs w:val="24"/>
        </w:rPr>
        <w:t>phenylalaninkilde</w:t>
      </w:r>
      <w:proofErr w:type="spellEnd"/>
      <w:r w:rsidRPr="00E775C6">
        <w:rPr>
          <w:sz w:val="24"/>
          <w:szCs w:val="24"/>
        </w:rPr>
        <w:t xml:space="preserve">. Det kan være skadeligt for patienter med </w:t>
      </w:r>
      <w:proofErr w:type="spellStart"/>
      <w:r w:rsidRPr="00E775C6">
        <w:rPr>
          <w:sz w:val="24"/>
          <w:szCs w:val="24"/>
        </w:rPr>
        <w:t>phenylketonuri</w:t>
      </w:r>
      <w:proofErr w:type="spellEnd"/>
      <w:r w:rsidRPr="00E775C6">
        <w:rPr>
          <w:sz w:val="24"/>
          <w:szCs w:val="24"/>
        </w:rPr>
        <w:t>.</w:t>
      </w:r>
    </w:p>
    <w:p w:rsidR="00B435D5" w:rsidRPr="00E775C6" w:rsidRDefault="00B435D5" w:rsidP="00B435D5">
      <w:pPr>
        <w:tabs>
          <w:tab w:val="left" w:pos="0"/>
        </w:tabs>
        <w:ind w:left="851"/>
        <w:rPr>
          <w:sz w:val="24"/>
          <w:szCs w:val="24"/>
        </w:rPr>
      </w:pPr>
    </w:p>
    <w:p w:rsidR="00B435D5" w:rsidRPr="00E775C6" w:rsidRDefault="00B435D5" w:rsidP="00B435D5">
      <w:pPr>
        <w:tabs>
          <w:tab w:val="left" w:pos="0"/>
        </w:tabs>
        <w:ind w:left="851"/>
        <w:rPr>
          <w:sz w:val="24"/>
          <w:szCs w:val="24"/>
        </w:rPr>
      </w:pPr>
      <w:r w:rsidRPr="00E775C6">
        <w:rPr>
          <w:sz w:val="24"/>
          <w:szCs w:val="24"/>
        </w:rPr>
        <w:t xml:space="preserve">Tabletterne indeholder </w:t>
      </w:r>
      <w:proofErr w:type="spellStart"/>
      <w:r w:rsidRPr="00E775C6">
        <w:rPr>
          <w:sz w:val="24"/>
          <w:szCs w:val="24"/>
        </w:rPr>
        <w:t>lactosemonohydrat</w:t>
      </w:r>
      <w:proofErr w:type="spellEnd"/>
      <w:r w:rsidRPr="00E775C6">
        <w:rPr>
          <w:sz w:val="24"/>
          <w:szCs w:val="24"/>
        </w:rPr>
        <w:t xml:space="preserve">. Bør ikke anvendes til patienter med hereditær </w:t>
      </w:r>
      <w:proofErr w:type="spellStart"/>
      <w:r w:rsidRPr="00E775C6">
        <w:rPr>
          <w:sz w:val="24"/>
          <w:szCs w:val="24"/>
        </w:rPr>
        <w:t>galactoseintolerans</w:t>
      </w:r>
      <w:proofErr w:type="spellEnd"/>
      <w:r w:rsidRPr="00E775C6">
        <w:rPr>
          <w:sz w:val="24"/>
          <w:szCs w:val="24"/>
        </w:rPr>
        <w:t xml:space="preserve">, total </w:t>
      </w:r>
      <w:proofErr w:type="spellStart"/>
      <w:r w:rsidRPr="00E775C6">
        <w:rPr>
          <w:sz w:val="24"/>
          <w:szCs w:val="24"/>
        </w:rPr>
        <w:t>lactasemangel</w:t>
      </w:r>
      <w:proofErr w:type="spellEnd"/>
      <w:r w:rsidRPr="00E775C6">
        <w:rPr>
          <w:sz w:val="24"/>
          <w:szCs w:val="24"/>
        </w:rPr>
        <w:t xml:space="preserve"> eller </w:t>
      </w:r>
      <w:proofErr w:type="spellStart"/>
      <w:r w:rsidRPr="00E775C6">
        <w:rPr>
          <w:sz w:val="24"/>
          <w:szCs w:val="24"/>
        </w:rPr>
        <w:t>glucose</w:t>
      </w:r>
      <w:proofErr w:type="spellEnd"/>
      <w:r w:rsidRPr="00E775C6">
        <w:rPr>
          <w:sz w:val="24"/>
          <w:szCs w:val="24"/>
        </w:rPr>
        <w:t>/</w:t>
      </w:r>
      <w:proofErr w:type="spellStart"/>
      <w:r w:rsidRPr="00E775C6">
        <w:rPr>
          <w:sz w:val="24"/>
          <w:szCs w:val="24"/>
        </w:rPr>
        <w:t>galactosemalabsorption</w:t>
      </w:r>
      <w:proofErr w:type="spellEnd"/>
      <w:r w:rsidRPr="00E775C6">
        <w:rPr>
          <w:sz w:val="24"/>
          <w:szCs w:val="24"/>
        </w:rPr>
        <w:t xml:space="preserve">. </w:t>
      </w:r>
    </w:p>
    <w:p w:rsidR="00B435D5" w:rsidRPr="00E775C6" w:rsidRDefault="00B435D5" w:rsidP="00B435D5">
      <w:pPr>
        <w:tabs>
          <w:tab w:val="left" w:pos="0"/>
        </w:tabs>
        <w:ind w:left="851"/>
        <w:rPr>
          <w:sz w:val="24"/>
          <w:szCs w:val="24"/>
        </w:rPr>
      </w:pPr>
    </w:p>
    <w:p w:rsidR="00594AD4" w:rsidRDefault="00B435D5" w:rsidP="00B435D5">
      <w:pPr>
        <w:tabs>
          <w:tab w:val="left" w:pos="0"/>
        </w:tabs>
        <w:ind w:left="851"/>
      </w:pPr>
      <w:r w:rsidRPr="00E775C6">
        <w:rPr>
          <w:sz w:val="24"/>
          <w:szCs w:val="24"/>
        </w:rPr>
        <w:t>Dette lægemiddel indeholder mindre end 1 mmol (23 mg) natrium pr. filmovertrukket tablet, dvs. det er i det væsentlige natrium-frit.</w:t>
      </w:r>
      <w:r>
        <w:br/>
      </w:r>
      <w:r w:rsidR="00594AD4">
        <w:t xml:space="preserve"> </w:t>
      </w:r>
    </w:p>
    <w:p w:rsidR="00594AD4" w:rsidRPr="00E775C6" w:rsidRDefault="00594AD4" w:rsidP="00E775C6">
      <w:pPr>
        <w:pStyle w:val="Listeafsnit"/>
        <w:numPr>
          <w:ilvl w:val="1"/>
          <w:numId w:val="6"/>
        </w:numPr>
        <w:suppressAutoHyphens/>
        <w:rPr>
          <w:b/>
        </w:rPr>
      </w:pPr>
      <w:r w:rsidRPr="00E775C6">
        <w:rPr>
          <w:b/>
        </w:rPr>
        <w:t>Interaktion med andre lægemidler og andre former for interaktion</w:t>
      </w:r>
    </w:p>
    <w:p w:rsidR="00B435D5" w:rsidRPr="00E775C6" w:rsidRDefault="00B435D5" w:rsidP="00B435D5">
      <w:pPr>
        <w:ind w:left="851"/>
        <w:rPr>
          <w:sz w:val="24"/>
          <w:szCs w:val="24"/>
          <w:lang w:eastAsia="da-DK"/>
        </w:rPr>
      </w:pPr>
      <w:r w:rsidRPr="00E775C6">
        <w:rPr>
          <w:sz w:val="24"/>
          <w:szCs w:val="24"/>
        </w:rPr>
        <w:t xml:space="preserve">Der er ingen evidens for interaktioner mellem </w:t>
      </w:r>
      <w:proofErr w:type="spellStart"/>
      <w:r w:rsidRPr="00E775C6">
        <w:rPr>
          <w:sz w:val="24"/>
          <w:szCs w:val="24"/>
        </w:rPr>
        <w:t>Sumatriptan</w:t>
      </w:r>
      <w:proofErr w:type="spellEnd"/>
      <w:r w:rsidRPr="00E775C6">
        <w:rPr>
          <w:sz w:val="24"/>
          <w:szCs w:val="24"/>
        </w:rPr>
        <w:t xml:space="preserve"> “Sandoz” og </w:t>
      </w:r>
      <w:proofErr w:type="spellStart"/>
      <w:r w:rsidRPr="00E775C6">
        <w:rPr>
          <w:sz w:val="24"/>
          <w:szCs w:val="24"/>
        </w:rPr>
        <w:t>propranolol</w:t>
      </w:r>
      <w:proofErr w:type="spellEnd"/>
      <w:r w:rsidRPr="00E775C6">
        <w:rPr>
          <w:sz w:val="24"/>
          <w:szCs w:val="24"/>
        </w:rPr>
        <w:t xml:space="preserve">, </w:t>
      </w:r>
      <w:proofErr w:type="spellStart"/>
      <w:r w:rsidRPr="00E775C6">
        <w:rPr>
          <w:sz w:val="24"/>
          <w:szCs w:val="24"/>
        </w:rPr>
        <w:t>flunarizin</w:t>
      </w:r>
      <w:proofErr w:type="spellEnd"/>
      <w:r w:rsidRPr="00E775C6">
        <w:rPr>
          <w:sz w:val="24"/>
          <w:szCs w:val="24"/>
        </w:rPr>
        <w:t xml:space="preserve">, </w:t>
      </w:r>
      <w:proofErr w:type="spellStart"/>
      <w:r w:rsidRPr="00E775C6">
        <w:rPr>
          <w:sz w:val="24"/>
          <w:szCs w:val="24"/>
        </w:rPr>
        <w:t>pizotifen</w:t>
      </w:r>
      <w:proofErr w:type="spellEnd"/>
      <w:r w:rsidRPr="00E775C6">
        <w:rPr>
          <w:sz w:val="24"/>
          <w:szCs w:val="24"/>
        </w:rPr>
        <w:t xml:space="preserve"> eller alkohol.</w:t>
      </w:r>
    </w:p>
    <w:p w:rsidR="00B435D5" w:rsidRPr="00E775C6" w:rsidRDefault="00B435D5" w:rsidP="00B435D5">
      <w:pPr>
        <w:ind w:left="851"/>
        <w:rPr>
          <w:sz w:val="24"/>
          <w:szCs w:val="24"/>
        </w:rPr>
      </w:pPr>
    </w:p>
    <w:p w:rsidR="00B435D5" w:rsidRPr="00E775C6" w:rsidRDefault="00B435D5" w:rsidP="00B435D5">
      <w:pPr>
        <w:pStyle w:val="leipa"/>
        <w:spacing w:before="0" w:beforeAutospacing="0" w:after="0" w:afterAutospacing="0"/>
        <w:ind w:left="855"/>
        <w:rPr>
          <w:rFonts w:ascii="Times New Roman" w:hAnsi="Times New Roman"/>
          <w:color w:val="auto"/>
          <w:sz w:val="24"/>
          <w:szCs w:val="24"/>
          <w:lang w:val="da-DK"/>
        </w:rPr>
      </w:pPr>
      <w:r w:rsidRPr="00E775C6">
        <w:rPr>
          <w:rFonts w:ascii="Times New Roman" w:hAnsi="Times New Roman"/>
          <w:color w:val="auto"/>
          <w:sz w:val="24"/>
          <w:szCs w:val="24"/>
          <w:lang w:val="da-DK"/>
        </w:rPr>
        <w:t xml:space="preserve">Der </w:t>
      </w:r>
      <w:r w:rsidRPr="00E775C6">
        <w:rPr>
          <w:rFonts w:ascii="Times New Roman" w:eastAsia="Times New Roman" w:hAnsi="Times New Roman" w:cs="Times New Roman"/>
          <w:color w:val="auto"/>
          <w:sz w:val="24"/>
          <w:szCs w:val="24"/>
          <w:lang w:val="da-DK"/>
        </w:rPr>
        <w:t>foreligger</w:t>
      </w:r>
      <w:r w:rsidRPr="00E775C6">
        <w:rPr>
          <w:rFonts w:ascii="Times New Roman" w:hAnsi="Times New Roman"/>
          <w:color w:val="auto"/>
          <w:sz w:val="24"/>
          <w:szCs w:val="24"/>
          <w:lang w:val="da-DK"/>
        </w:rPr>
        <w:t xml:space="preserve"> begrænsede </w:t>
      </w:r>
      <w:r w:rsidRPr="00E775C6">
        <w:rPr>
          <w:rFonts w:ascii="Times New Roman" w:eastAsia="Times New Roman" w:hAnsi="Times New Roman" w:cs="Times New Roman"/>
          <w:color w:val="auto"/>
          <w:sz w:val="24"/>
          <w:szCs w:val="24"/>
          <w:lang w:val="da-DK"/>
        </w:rPr>
        <w:t>data</w:t>
      </w:r>
      <w:r w:rsidRPr="00E775C6">
        <w:rPr>
          <w:rFonts w:ascii="Times New Roman" w:hAnsi="Times New Roman"/>
          <w:color w:val="auto"/>
          <w:sz w:val="24"/>
          <w:szCs w:val="24"/>
          <w:lang w:val="da-DK"/>
        </w:rPr>
        <w:t xml:space="preserve"> om </w:t>
      </w:r>
      <w:r w:rsidRPr="00E775C6">
        <w:rPr>
          <w:rFonts w:ascii="Times New Roman" w:eastAsia="Times New Roman" w:hAnsi="Times New Roman" w:cs="Times New Roman"/>
          <w:color w:val="auto"/>
          <w:sz w:val="24"/>
          <w:szCs w:val="24"/>
          <w:lang w:val="da-DK"/>
        </w:rPr>
        <w:t xml:space="preserve">interaktion </w:t>
      </w:r>
      <w:r w:rsidRPr="00E775C6">
        <w:rPr>
          <w:rFonts w:ascii="Times New Roman" w:hAnsi="Times New Roman"/>
          <w:color w:val="auto"/>
          <w:sz w:val="24"/>
          <w:szCs w:val="24"/>
          <w:lang w:val="da-DK"/>
        </w:rPr>
        <w:t xml:space="preserve">med </w:t>
      </w:r>
      <w:proofErr w:type="spellStart"/>
      <w:r w:rsidRPr="00E775C6">
        <w:rPr>
          <w:rFonts w:ascii="Times New Roman" w:hAnsi="Times New Roman"/>
          <w:color w:val="auto"/>
          <w:sz w:val="24"/>
          <w:szCs w:val="24"/>
          <w:lang w:val="da-DK"/>
        </w:rPr>
        <w:t>ergotaminholdige</w:t>
      </w:r>
      <w:proofErr w:type="spellEnd"/>
      <w:r w:rsidRPr="00E775C6">
        <w:rPr>
          <w:rFonts w:ascii="Times New Roman" w:hAnsi="Times New Roman"/>
          <w:color w:val="auto"/>
          <w:sz w:val="24"/>
          <w:szCs w:val="24"/>
          <w:lang w:val="da-DK"/>
        </w:rPr>
        <w:t xml:space="preserve"> præparater eller </w:t>
      </w:r>
      <w:r w:rsidRPr="00E775C6">
        <w:rPr>
          <w:rFonts w:ascii="Times New Roman" w:eastAsia="Times New Roman" w:hAnsi="Times New Roman" w:cs="Times New Roman"/>
          <w:color w:val="auto"/>
          <w:sz w:val="24"/>
          <w:szCs w:val="24"/>
          <w:lang w:val="da-DK"/>
        </w:rPr>
        <w:t>en anden triptan-/</w:t>
      </w:r>
      <w:r w:rsidRPr="00E775C6">
        <w:rPr>
          <w:rFonts w:ascii="Times New Roman" w:hAnsi="Times New Roman"/>
          <w:color w:val="auto"/>
          <w:sz w:val="24"/>
          <w:szCs w:val="24"/>
          <w:lang w:val="da-DK"/>
        </w:rPr>
        <w:t>5-HT</w:t>
      </w:r>
      <w:r w:rsidRPr="00E775C6">
        <w:rPr>
          <w:rFonts w:ascii="Times New Roman" w:hAnsi="Times New Roman"/>
          <w:color w:val="auto"/>
          <w:sz w:val="24"/>
          <w:szCs w:val="24"/>
          <w:vertAlign w:val="subscript"/>
          <w:lang w:val="da-DK"/>
        </w:rPr>
        <w:t>1</w:t>
      </w:r>
      <w:r w:rsidRPr="00E775C6">
        <w:rPr>
          <w:rFonts w:ascii="Times New Roman" w:eastAsia="Times New Roman" w:hAnsi="Times New Roman" w:cs="Times New Roman"/>
          <w:color w:val="auto"/>
          <w:sz w:val="24"/>
          <w:szCs w:val="24"/>
          <w:lang w:val="da-DK"/>
        </w:rPr>
        <w:t>-receptoragonist. I teorien kan der være en øget</w:t>
      </w:r>
      <w:r w:rsidRPr="00E775C6">
        <w:rPr>
          <w:rFonts w:ascii="Times New Roman" w:hAnsi="Times New Roman"/>
          <w:color w:val="auto"/>
          <w:sz w:val="24"/>
          <w:szCs w:val="24"/>
          <w:lang w:val="da-DK"/>
        </w:rPr>
        <w:t xml:space="preserve"> risiko for </w:t>
      </w:r>
      <w:proofErr w:type="spellStart"/>
      <w:r w:rsidRPr="00E775C6">
        <w:rPr>
          <w:rFonts w:ascii="Times New Roman" w:hAnsi="Times New Roman"/>
          <w:color w:val="auto"/>
          <w:sz w:val="24"/>
          <w:szCs w:val="24"/>
          <w:lang w:val="da-DK"/>
        </w:rPr>
        <w:t>koronar</w:t>
      </w:r>
      <w:proofErr w:type="spellEnd"/>
      <w:r w:rsidRPr="00E775C6">
        <w:rPr>
          <w:rFonts w:ascii="Times New Roman" w:hAnsi="Times New Roman"/>
          <w:color w:val="auto"/>
          <w:sz w:val="24"/>
          <w:szCs w:val="24"/>
          <w:lang w:val="da-DK"/>
        </w:rPr>
        <w:t xml:space="preserve"> </w:t>
      </w:r>
      <w:proofErr w:type="spellStart"/>
      <w:r w:rsidRPr="00E775C6">
        <w:rPr>
          <w:rFonts w:ascii="Times New Roman" w:hAnsi="Times New Roman"/>
          <w:color w:val="auto"/>
          <w:sz w:val="24"/>
          <w:szCs w:val="24"/>
          <w:lang w:val="da-DK"/>
        </w:rPr>
        <w:t>vasospasme</w:t>
      </w:r>
      <w:proofErr w:type="spellEnd"/>
      <w:r w:rsidRPr="00E775C6">
        <w:rPr>
          <w:rFonts w:ascii="Times New Roman" w:hAnsi="Times New Roman"/>
          <w:color w:val="auto"/>
          <w:sz w:val="24"/>
          <w:szCs w:val="24"/>
          <w:lang w:val="da-DK"/>
        </w:rPr>
        <w:t xml:space="preserve">, og samtidig </w:t>
      </w:r>
      <w:r w:rsidRPr="00E775C6">
        <w:rPr>
          <w:rFonts w:ascii="Times New Roman" w:eastAsia="Times New Roman" w:hAnsi="Times New Roman" w:cs="Times New Roman"/>
          <w:color w:val="auto"/>
          <w:sz w:val="24"/>
          <w:szCs w:val="24"/>
          <w:lang w:val="da-DK"/>
        </w:rPr>
        <w:t>indgivelse</w:t>
      </w:r>
      <w:r w:rsidRPr="00E775C6">
        <w:rPr>
          <w:rFonts w:ascii="Times New Roman" w:hAnsi="Times New Roman"/>
          <w:color w:val="auto"/>
          <w:sz w:val="24"/>
          <w:szCs w:val="24"/>
          <w:lang w:val="da-DK"/>
        </w:rPr>
        <w:t xml:space="preserve"> er kontraindiceret (se pkt. 4.3).</w:t>
      </w:r>
    </w:p>
    <w:p w:rsidR="00B435D5" w:rsidRPr="00E775C6" w:rsidRDefault="00B435D5" w:rsidP="00B435D5">
      <w:pPr>
        <w:pStyle w:val="leipa"/>
        <w:spacing w:before="0" w:beforeAutospacing="0" w:after="0" w:afterAutospacing="0"/>
        <w:ind w:left="855"/>
        <w:jc w:val="both"/>
        <w:rPr>
          <w:rFonts w:ascii="Times New Roman" w:hAnsi="Times New Roman"/>
          <w:color w:val="auto"/>
          <w:sz w:val="24"/>
          <w:szCs w:val="24"/>
          <w:lang w:val="da-DK"/>
        </w:rPr>
      </w:pPr>
    </w:p>
    <w:p w:rsidR="00B435D5" w:rsidRPr="00E775C6" w:rsidRDefault="00B435D5" w:rsidP="00B435D5">
      <w:pPr>
        <w:pStyle w:val="leipa"/>
        <w:spacing w:before="0" w:beforeAutospacing="0" w:after="0" w:afterAutospacing="0"/>
        <w:ind w:left="855"/>
        <w:rPr>
          <w:rFonts w:ascii="Times New Roman" w:hAnsi="Times New Roman"/>
          <w:color w:val="auto"/>
          <w:sz w:val="24"/>
          <w:szCs w:val="24"/>
          <w:lang w:val="da-DK"/>
        </w:rPr>
      </w:pPr>
      <w:r w:rsidRPr="00E775C6">
        <w:rPr>
          <w:rFonts w:ascii="Times New Roman" w:eastAsia="Times New Roman" w:hAnsi="Times New Roman" w:cs="Times New Roman"/>
          <w:color w:val="auto"/>
          <w:sz w:val="24"/>
          <w:szCs w:val="24"/>
          <w:lang w:val="da-DK"/>
        </w:rPr>
        <w:t>Det vides ikke, hvor lang tid der skal forløbe</w:t>
      </w:r>
      <w:r w:rsidRPr="00E775C6">
        <w:rPr>
          <w:rFonts w:ascii="Times New Roman" w:hAnsi="Times New Roman"/>
          <w:color w:val="auto"/>
          <w:sz w:val="24"/>
          <w:szCs w:val="24"/>
          <w:lang w:val="da-DK"/>
        </w:rPr>
        <w:t xml:space="preserve"> mellem </w:t>
      </w:r>
      <w:r w:rsidRPr="00E775C6">
        <w:rPr>
          <w:rFonts w:ascii="Times New Roman" w:eastAsia="Times New Roman" w:hAnsi="Times New Roman" w:cs="Times New Roman"/>
          <w:color w:val="auto"/>
          <w:sz w:val="24"/>
          <w:szCs w:val="24"/>
          <w:lang w:val="da-DK"/>
        </w:rPr>
        <w:t>indgivelsen</w:t>
      </w:r>
      <w:r w:rsidRPr="00E775C6">
        <w:rPr>
          <w:rFonts w:ascii="Times New Roman" w:hAnsi="Times New Roman"/>
          <w:color w:val="auto"/>
          <w:sz w:val="24"/>
          <w:szCs w:val="24"/>
          <w:lang w:val="da-DK"/>
        </w:rPr>
        <w:t xml:space="preserve"> af </w:t>
      </w:r>
      <w:proofErr w:type="spellStart"/>
      <w:r w:rsidRPr="00E775C6">
        <w:rPr>
          <w:rFonts w:ascii="Times New Roman" w:hAnsi="Times New Roman"/>
          <w:color w:val="auto"/>
          <w:sz w:val="24"/>
          <w:szCs w:val="24"/>
          <w:lang w:val="da-DK"/>
        </w:rPr>
        <w:t>sumatriptan</w:t>
      </w:r>
      <w:proofErr w:type="spellEnd"/>
      <w:r w:rsidRPr="00E775C6">
        <w:rPr>
          <w:rFonts w:ascii="Times New Roman" w:hAnsi="Times New Roman"/>
          <w:color w:val="auto"/>
          <w:sz w:val="24"/>
          <w:szCs w:val="24"/>
          <w:lang w:val="da-DK"/>
        </w:rPr>
        <w:t xml:space="preserve"> og </w:t>
      </w:r>
      <w:proofErr w:type="spellStart"/>
      <w:r w:rsidRPr="00E775C6">
        <w:rPr>
          <w:rFonts w:ascii="Times New Roman" w:hAnsi="Times New Roman"/>
          <w:color w:val="auto"/>
          <w:sz w:val="24"/>
          <w:szCs w:val="24"/>
          <w:lang w:val="da-DK"/>
        </w:rPr>
        <w:t>ergotaminholdige</w:t>
      </w:r>
      <w:proofErr w:type="spellEnd"/>
      <w:r w:rsidRPr="00E775C6">
        <w:rPr>
          <w:rFonts w:ascii="Times New Roman" w:hAnsi="Times New Roman"/>
          <w:color w:val="auto"/>
          <w:sz w:val="24"/>
          <w:szCs w:val="24"/>
          <w:lang w:val="da-DK"/>
        </w:rPr>
        <w:t xml:space="preserve"> præparater eller </w:t>
      </w:r>
      <w:r w:rsidRPr="00E775C6">
        <w:rPr>
          <w:rFonts w:ascii="Times New Roman" w:eastAsia="Times New Roman" w:hAnsi="Times New Roman" w:cs="Times New Roman"/>
          <w:color w:val="auto"/>
          <w:sz w:val="24"/>
          <w:szCs w:val="24"/>
          <w:lang w:val="da-DK"/>
        </w:rPr>
        <w:t>en anden triptan-/</w:t>
      </w:r>
      <w:r w:rsidRPr="00E775C6">
        <w:rPr>
          <w:rFonts w:ascii="Times New Roman" w:hAnsi="Times New Roman"/>
          <w:color w:val="auto"/>
          <w:sz w:val="24"/>
          <w:szCs w:val="24"/>
          <w:lang w:val="da-DK"/>
        </w:rPr>
        <w:t>5-HT</w:t>
      </w:r>
      <w:r w:rsidRPr="00E775C6">
        <w:rPr>
          <w:rFonts w:ascii="Times New Roman" w:hAnsi="Times New Roman"/>
          <w:color w:val="auto"/>
          <w:sz w:val="24"/>
          <w:szCs w:val="24"/>
          <w:vertAlign w:val="subscript"/>
          <w:lang w:val="da-DK"/>
        </w:rPr>
        <w:t>1</w:t>
      </w:r>
      <w:r w:rsidRPr="00E775C6">
        <w:rPr>
          <w:rFonts w:ascii="Times New Roman" w:eastAsia="Times New Roman" w:hAnsi="Times New Roman" w:cs="Times New Roman"/>
          <w:color w:val="auto"/>
          <w:sz w:val="24"/>
          <w:szCs w:val="24"/>
          <w:lang w:val="da-DK"/>
        </w:rPr>
        <w:t xml:space="preserve">-receptoragonist. Dette </w:t>
      </w:r>
      <w:r w:rsidRPr="00E775C6">
        <w:rPr>
          <w:rFonts w:ascii="Times New Roman" w:hAnsi="Times New Roman"/>
          <w:color w:val="auto"/>
          <w:sz w:val="24"/>
          <w:szCs w:val="24"/>
          <w:lang w:val="da-DK"/>
        </w:rPr>
        <w:t xml:space="preserve">afhænger </w:t>
      </w:r>
      <w:r w:rsidRPr="00E775C6">
        <w:rPr>
          <w:rFonts w:ascii="Times New Roman" w:eastAsia="Times New Roman" w:hAnsi="Times New Roman" w:cs="Times New Roman"/>
          <w:color w:val="auto"/>
          <w:sz w:val="24"/>
          <w:szCs w:val="24"/>
          <w:lang w:val="da-DK"/>
        </w:rPr>
        <w:t xml:space="preserve">endvidere </w:t>
      </w:r>
      <w:r w:rsidRPr="00E775C6">
        <w:rPr>
          <w:rFonts w:ascii="Times New Roman" w:hAnsi="Times New Roman"/>
          <w:color w:val="auto"/>
          <w:sz w:val="24"/>
          <w:szCs w:val="24"/>
          <w:lang w:val="da-DK"/>
        </w:rPr>
        <w:t xml:space="preserve">af </w:t>
      </w:r>
      <w:r w:rsidRPr="00E775C6">
        <w:rPr>
          <w:rFonts w:ascii="Times New Roman" w:eastAsia="Times New Roman" w:hAnsi="Times New Roman" w:cs="Times New Roman"/>
          <w:color w:val="auto"/>
          <w:sz w:val="24"/>
          <w:szCs w:val="24"/>
          <w:lang w:val="da-DK"/>
        </w:rPr>
        <w:t>doserne</w:t>
      </w:r>
      <w:r w:rsidRPr="00E775C6">
        <w:rPr>
          <w:rFonts w:ascii="Times New Roman" w:hAnsi="Times New Roman"/>
          <w:color w:val="auto"/>
          <w:sz w:val="24"/>
          <w:szCs w:val="24"/>
          <w:lang w:val="da-DK"/>
        </w:rPr>
        <w:t xml:space="preserve"> og typen af </w:t>
      </w:r>
      <w:r w:rsidRPr="00E775C6">
        <w:rPr>
          <w:rFonts w:ascii="Times New Roman" w:eastAsia="Times New Roman" w:hAnsi="Times New Roman" w:cs="Times New Roman"/>
          <w:color w:val="auto"/>
          <w:sz w:val="24"/>
          <w:szCs w:val="24"/>
          <w:lang w:val="da-DK"/>
        </w:rPr>
        <w:t>det</w:t>
      </w:r>
      <w:r w:rsidRPr="00E775C6">
        <w:rPr>
          <w:rFonts w:ascii="Times New Roman" w:hAnsi="Times New Roman"/>
          <w:color w:val="auto"/>
          <w:sz w:val="24"/>
          <w:szCs w:val="24"/>
          <w:lang w:val="da-DK"/>
        </w:rPr>
        <w:t xml:space="preserve"> anvendte </w:t>
      </w:r>
      <w:r w:rsidRPr="00E775C6">
        <w:rPr>
          <w:rFonts w:ascii="Times New Roman" w:eastAsia="Times New Roman" w:hAnsi="Times New Roman" w:cs="Times New Roman"/>
          <w:color w:val="auto"/>
          <w:sz w:val="24"/>
          <w:szCs w:val="24"/>
          <w:lang w:val="da-DK"/>
        </w:rPr>
        <w:t>produkt</w:t>
      </w:r>
      <w:r w:rsidRPr="00E775C6">
        <w:rPr>
          <w:rFonts w:ascii="Times New Roman" w:hAnsi="Times New Roman"/>
          <w:color w:val="auto"/>
          <w:sz w:val="24"/>
          <w:szCs w:val="24"/>
          <w:lang w:val="da-DK"/>
        </w:rPr>
        <w:t xml:space="preserve">. Effekten kan være additiv. Det </w:t>
      </w:r>
      <w:r w:rsidRPr="00E775C6">
        <w:rPr>
          <w:rFonts w:ascii="Times New Roman" w:eastAsia="Times New Roman" w:hAnsi="Times New Roman" w:cs="Times New Roman"/>
          <w:color w:val="auto"/>
          <w:sz w:val="24"/>
          <w:szCs w:val="24"/>
          <w:lang w:val="da-DK"/>
        </w:rPr>
        <w:t>anbefales,</w:t>
      </w:r>
      <w:r w:rsidRPr="00E775C6">
        <w:rPr>
          <w:rFonts w:ascii="Times New Roman" w:hAnsi="Times New Roman"/>
          <w:color w:val="auto"/>
          <w:sz w:val="24"/>
          <w:szCs w:val="24"/>
          <w:lang w:val="da-DK"/>
        </w:rPr>
        <w:t xml:space="preserve"> at </w:t>
      </w:r>
      <w:r w:rsidRPr="00E775C6">
        <w:rPr>
          <w:rFonts w:ascii="Times New Roman" w:eastAsia="Times New Roman" w:hAnsi="Times New Roman" w:cs="Times New Roman"/>
          <w:color w:val="auto"/>
          <w:sz w:val="24"/>
          <w:szCs w:val="24"/>
          <w:lang w:val="da-DK"/>
        </w:rPr>
        <w:t>der går</w:t>
      </w:r>
      <w:r w:rsidRPr="00E775C6">
        <w:rPr>
          <w:rFonts w:ascii="Times New Roman" w:hAnsi="Times New Roman"/>
          <w:color w:val="auto"/>
          <w:sz w:val="24"/>
          <w:szCs w:val="24"/>
          <w:lang w:val="da-DK"/>
        </w:rPr>
        <w:t xml:space="preserve"> mindst 24 timer efter brugen af </w:t>
      </w:r>
      <w:proofErr w:type="spellStart"/>
      <w:r w:rsidRPr="00E775C6">
        <w:rPr>
          <w:rFonts w:ascii="Times New Roman" w:hAnsi="Times New Roman"/>
          <w:color w:val="auto"/>
          <w:sz w:val="24"/>
          <w:szCs w:val="24"/>
          <w:lang w:val="da-DK"/>
        </w:rPr>
        <w:t>ergotaminholdige</w:t>
      </w:r>
      <w:proofErr w:type="spellEnd"/>
      <w:r w:rsidRPr="00E775C6">
        <w:rPr>
          <w:rFonts w:ascii="Times New Roman" w:hAnsi="Times New Roman"/>
          <w:color w:val="auto"/>
          <w:sz w:val="24"/>
          <w:szCs w:val="24"/>
          <w:lang w:val="da-DK"/>
        </w:rPr>
        <w:t xml:space="preserve"> præparater eller </w:t>
      </w:r>
      <w:r w:rsidRPr="00E775C6">
        <w:rPr>
          <w:rFonts w:ascii="Times New Roman" w:eastAsia="Times New Roman" w:hAnsi="Times New Roman" w:cs="Times New Roman"/>
          <w:color w:val="auto"/>
          <w:sz w:val="24"/>
          <w:szCs w:val="24"/>
          <w:lang w:val="da-DK"/>
        </w:rPr>
        <w:t>en anden triptan-/</w:t>
      </w:r>
      <w:r w:rsidRPr="00E775C6">
        <w:rPr>
          <w:rFonts w:ascii="Times New Roman" w:hAnsi="Times New Roman"/>
          <w:color w:val="auto"/>
          <w:sz w:val="24"/>
          <w:szCs w:val="24"/>
          <w:lang w:val="da-DK"/>
        </w:rPr>
        <w:t>5-HT</w:t>
      </w:r>
      <w:r w:rsidRPr="00E775C6">
        <w:rPr>
          <w:rFonts w:ascii="Times New Roman" w:hAnsi="Times New Roman"/>
          <w:color w:val="auto"/>
          <w:sz w:val="24"/>
          <w:szCs w:val="24"/>
          <w:vertAlign w:val="subscript"/>
          <w:lang w:val="da-DK"/>
        </w:rPr>
        <w:t>1</w:t>
      </w:r>
      <w:r w:rsidRPr="00E775C6">
        <w:rPr>
          <w:rFonts w:ascii="Times New Roman" w:eastAsia="Times New Roman" w:hAnsi="Times New Roman" w:cs="Times New Roman"/>
          <w:color w:val="auto"/>
          <w:sz w:val="24"/>
          <w:szCs w:val="24"/>
          <w:lang w:val="da-DK"/>
        </w:rPr>
        <w:t>-receptoragonist</w:t>
      </w:r>
      <w:r w:rsidRPr="00E775C6">
        <w:rPr>
          <w:rFonts w:ascii="Times New Roman" w:hAnsi="Times New Roman"/>
          <w:color w:val="auto"/>
          <w:sz w:val="24"/>
          <w:szCs w:val="24"/>
          <w:lang w:val="da-DK"/>
        </w:rPr>
        <w:t xml:space="preserve">, før der indgives </w:t>
      </w:r>
      <w:proofErr w:type="spellStart"/>
      <w:r w:rsidRPr="00E775C6">
        <w:rPr>
          <w:rFonts w:ascii="Times New Roman" w:hAnsi="Times New Roman"/>
          <w:color w:val="auto"/>
          <w:sz w:val="24"/>
          <w:szCs w:val="24"/>
          <w:lang w:val="da-DK"/>
        </w:rPr>
        <w:t>sumatriptan</w:t>
      </w:r>
      <w:proofErr w:type="spellEnd"/>
      <w:r w:rsidRPr="00E775C6">
        <w:rPr>
          <w:rFonts w:ascii="Times New Roman" w:hAnsi="Times New Roman"/>
          <w:color w:val="auto"/>
          <w:sz w:val="24"/>
          <w:szCs w:val="24"/>
          <w:lang w:val="da-DK"/>
        </w:rPr>
        <w:t xml:space="preserve">. </w:t>
      </w:r>
      <w:r w:rsidRPr="00E775C6">
        <w:rPr>
          <w:rFonts w:ascii="Times New Roman" w:eastAsia="Times New Roman" w:hAnsi="Times New Roman" w:cs="Times New Roman"/>
          <w:color w:val="auto"/>
          <w:sz w:val="24"/>
          <w:szCs w:val="24"/>
          <w:lang w:val="da-DK"/>
        </w:rPr>
        <w:t xml:space="preserve">Det anbefales omvendt, </w:t>
      </w:r>
      <w:r w:rsidRPr="00E775C6">
        <w:rPr>
          <w:rFonts w:ascii="Times New Roman" w:hAnsi="Times New Roman"/>
          <w:color w:val="auto"/>
          <w:sz w:val="24"/>
          <w:szCs w:val="24"/>
          <w:lang w:val="da-DK"/>
        </w:rPr>
        <w:t xml:space="preserve">at </w:t>
      </w:r>
      <w:r w:rsidRPr="00E775C6">
        <w:rPr>
          <w:rFonts w:ascii="Times New Roman" w:eastAsia="Times New Roman" w:hAnsi="Times New Roman" w:cs="Times New Roman"/>
          <w:color w:val="auto"/>
          <w:sz w:val="24"/>
          <w:szCs w:val="24"/>
          <w:lang w:val="da-DK"/>
        </w:rPr>
        <w:t>der går</w:t>
      </w:r>
      <w:r w:rsidRPr="00E775C6">
        <w:rPr>
          <w:rFonts w:ascii="Times New Roman" w:hAnsi="Times New Roman"/>
          <w:color w:val="auto"/>
          <w:sz w:val="24"/>
          <w:szCs w:val="24"/>
          <w:lang w:val="da-DK"/>
        </w:rPr>
        <w:t xml:space="preserve"> mindst 6 timer efter </w:t>
      </w:r>
      <w:r w:rsidRPr="00E775C6">
        <w:rPr>
          <w:rFonts w:ascii="Times New Roman" w:eastAsia="Times New Roman" w:hAnsi="Times New Roman" w:cs="Times New Roman"/>
          <w:color w:val="auto"/>
          <w:sz w:val="24"/>
          <w:szCs w:val="24"/>
          <w:lang w:val="da-DK"/>
        </w:rPr>
        <w:t>brugen</w:t>
      </w:r>
      <w:r w:rsidRPr="00E775C6">
        <w:rPr>
          <w:rFonts w:ascii="Times New Roman" w:hAnsi="Times New Roman"/>
          <w:color w:val="auto"/>
          <w:sz w:val="24"/>
          <w:szCs w:val="24"/>
          <w:lang w:val="da-DK"/>
        </w:rPr>
        <w:t xml:space="preserve"> af </w:t>
      </w:r>
      <w:proofErr w:type="spellStart"/>
      <w:r w:rsidRPr="00E775C6">
        <w:rPr>
          <w:rFonts w:ascii="Times New Roman" w:hAnsi="Times New Roman"/>
          <w:color w:val="auto"/>
          <w:sz w:val="24"/>
          <w:szCs w:val="24"/>
          <w:lang w:val="da-DK"/>
        </w:rPr>
        <w:t>sumatriptan</w:t>
      </w:r>
      <w:proofErr w:type="spellEnd"/>
      <w:r w:rsidRPr="00E775C6">
        <w:rPr>
          <w:rFonts w:ascii="Times New Roman" w:eastAsia="Times New Roman" w:hAnsi="Times New Roman" w:cs="Times New Roman"/>
          <w:color w:val="auto"/>
          <w:sz w:val="24"/>
          <w:szCs w:val="24"/>
          <w:lang w:val="da-DK"/>
        </w:rPr>
        <w:t>,</w:t>
      </w:r>
      <w:r w:rsidRPr="00E775C6">
        <w:rPr>
          <w:rFonts w:ascii="Times New Roman" w:hAnsi="Times New Roman"/>
          <w:color w:val="auto"/>
          <w:sz w:val="24"/>
          <w:szCs w:val="24"/>
          <w:lang w:val="da-DK"/>
        </w:rPr>
        <w:t xml:space="preserve"> før </w:t>
      </w:r>
      <w:r w:rsidRPr="00E775C6">
        <w:rPr>
          <w:rFonts w:ascii="Times New Roman" w:eastAsia="Times New Roman" w:hAnsi="Times New Roman" w:cs="Times New Roman"/>
          <w:color w:val="auto"/>
          <w:sz w:val="24"/>
          <w:szCs w:val="24"/>
          <w:lang w:val="da-DK"/>
        </w:rPr>
        <w:t>der indgives</w:t>
      </w:r>
      <w:r w:rsidRPr="00E775C6">
        <w:rPr>
          <w:rFonts w:ascii="Times New Roman" w:hAnsi="Times New Roman"/>
          <w:color w:val="auto"/>
          <w:sz w:val="24"/>
          <w:szCs w:val="24"/>
          <w:lang w:val="da-DK"/>
        </w:rPr>
        <w:t xml:space="preserve"> et </w:t>
      </w:r>
      <w:proofErr w:type="spellStart"/>
      <w:r w:rsidRPr="00E775C6">
        <w:rPr>
          <w:rFonts w:ascii="Times New Roman" w:hAnsi="Times New Roman"/>
          <w:color w:val="auto"/>
          <w:sz w:val="24"/>
          <w:szCs w:val="24"/>
          <w:lang w:val="da-DK"/>
        </w:rPr>
        <w:t>ergotaminholdigt</w:t>
      </w:r>
      <w:proofErr w:type="spellEnd"/>
      <w:r w:rsidRPr="00E775C6">
        <w:rPr>
          <w:rFonts w:ascii="Times New Roman" w:hAnsi="Times New Roman"/>
          <w:color w:val="auto"/>
          <w:sz w:val="24"/>
          <w:szCs w:val="24"/>
          <w:lang w:val="da-DK"/>
        </w:rPr>
        <w:t xml:space="preserve"> </w:t>
      </w:r>
      <w:r w:rsidRPr="00E775C6">
        <w:rPr>
          <w:rFonts w:ascii="Times New Roman" w:eastAsia="Times New Roman" w:hAnsi="Times New Roman" w:cs="Times New Roman"/>
          <w:color w:val="auto"/>
          <w:sz w:val="24"/>
          <w:szCs w:val="24"/>
          <w:lang w:val="da-DK"/>
        </w:rPr>
        <w:t>produkt,</w:t>
      </w:r>
      <w:r w:rsidRPr="00E775C6">
        <w:rPr>
          <w:rFonts w:ascii="Times New Roman" w:hAnsi="Times New Roman"/>
          <w:color w:val="auto"/>
          <w:sz w:val="24"/>
          <w:szCs w:val="24"/>
          <w:lang w:val="da-DK"/>
        </w:rPr>
        <w:t xml:space="preserve"> og mindst 24 timer</w:t>
      </w:r>
      <w:r w:rsidRPr="00E775C6">
        <w:rPr>
          <w:rFonts w:ascii="Times New Roman" w:eastAsia="Times New Roman" w:hAnsi="Times New Roman" w:cs="Times New Roman"/>
          <w:color w:val="auto"/>
          <w:sz w:val="24"/>
          <w:szCs w:val="24"/>
          <w:lang w:val="da-DK"/>
        </w:rPr>
        <w:t>,</w:t>
      </w:r>
      <w:r w:rsidRPr="00E775C6">
        <w:rPr>
          <w:rFonts w:ascii="Times New Roman" w:hAnsi="Times New Roman"/>
          <w:color w:val="auto"/>
          <w:sz w:val="24"/>
          <w:szCs w:val="24"/>
          <w:lang w:val="da-DK"/>
        </w:rPr>
        <w:t xml:space="preserve"> før </w:t>
      </w:r>
      <w:r w:rsidRPr="00E775C6">
        <w:rPr>
          <w:rFonts w:ascii="Times New Roman" w:eastAsia="Times New Roman" w:hAnsi="Times New Roman" w:cs="Times New Roman"/>
          <w:color w:val="auto"/>
          <w:sz w:val="24"/>
          <w:szCs w:val="24"/>
          <w:lang w:val="da-DK"/>
        </w:rPr>
        <w:t>der indgives en anden triptan-/</w:t>
      </w:r>
      <w:r w:rsidRPr="00E775C6">
        <w:rPr>
          <w:rFonts w:ascii="Times New Roman" w:hAnsi="Times New Roman"/>
          <w:color w:val="auto"/>
          <w:sz w:val="24"/>
          <w:szCs w:val="24"/>
          <w:lang w:val="da-DK"/>
        </w:rPr>
        <w:t>5-HT</w:t>
      </w:r>
      <w:r w:rsidRPr="00E775C6">
        <w:rPr>
          <w:rFonts w:ascii="Times New Roman" w:hAnsi="Times New Roman"/>
          <w:color w:val="auto"/>
          <w:sz w:val="24"/>
          <w:szCs w:val="24"/>
          <w:vertAlign w:val="subscript"/>
          <w:lang w:val="da-DK"/>
        </w:rPr>
        <w:t>1</w:t>
      </w:r>
      <w:r w:rsidRPr="00E775C6">
        <w:rPr>
          <w:rFonts w:ascii="Times New Roman" w:eastAsia="Times New Roman" w:hAnsi="Times New Roman" w:cs="Times New Roman"/>
          <w:color w:val="auto"/>
          <w:sz w:val="24"/>
          <w:szCs w:val="24"/>
          <w:lang w:val="da-DK"/>
        </w:rPr>
        <w:t>-receptoragonist.</w:t>
      </w:r>
    </w:p>
    <w:p w:rsidR="00B435D5" w:rsidRPr="00E775C6" w:rsidRDefault="00B435D5" w:rsidP="00B435D5">
      <w:pPr>
        <w:pStyle w:val="Listeafsnit"/>
        <w:suppressAutoHyphens/>
        <w:ind w:left="855"/>
        <w:jc w:val="both"/>
      </w:pPr>
    </w:p>
    <w:p w:rsidR="00B435D5" w:rsidRPr="00E775C6" w:rsidRDefault="00B435D5" w:rsidP="00B435D5">
      <w:pPr>
        <w:pStyle w:val="Listeafsnit"/>
        <w:suppressAutoHyphens/>
        <w:ind w:left="855"/>
        <w:jc w:val="both"/>
      </w:pPr>
      <w:r w:rsidRPr="00E775C6">
        <w:t xml:space="preserve">Der kan forekomme interaktion mellem </w:t>
      </w:r>
      <w:proofErr w:type="spellStart"/>
      <w:r w:rsidRPr="00E775C6">
        <w:t>sumatriptan</w:t>
      </w:r>
      <w:proofErr w:type="spellEnd"/>
      <w:r w:rsidRPr="00E775C6">
        <w:t xml:space="preserve"> og MAO-</w:t>
      </w:r>
      <w:proofErr w:type="spellStart"/>
      <w:r w:rsidRPr="00E775C6">
        <w:t>hæmmere</w:t>
      </w:r>
      <w:proofErr w:type="spellEnd"/>
      <w:r w:rsidRPr="00E775C6">
        <w:t xml:space="preserve">, og samtidig indgivelse er kontraindiceret (se pkt. 4.3). </w:t>
      </w:r>
    </w:p>
    <w:p w:rsidR="00B435D5" w:rsidRPr="00E775C6" w:rsidRDefault="00B435D5" w:rsidP="00B435D5">
      <w:pPr>
        <w:pStyle w:val="leipa"/>
        <w:spacing w:before="0" w:beforeAutospacing="0" w:after="0" w:afterAutospacing="0"/>
        <w:ind w:left="855"/>
        <w:rPr>
          <w:rFonts w:ascii="Times New Roman" w:eastAsia="Times New Roman" w:hAnsi="Times New Roman" w:cs="Times New Roman"/>
          <w:color w:val="auto"/>
          <w:sz w:val="24"/>
          <w:szCs w:val="24"/>
          <w:lang w:val="da-DK"/>
        </w:rPr>
      </w:pPr>
    </w:p>
    <w:p w:rsidR="00B435D5" w:rsidRPr="00E775C6" w:rsidRDefault="00B435D5" w:rsidP="00B435D5">
      <w:pPr>
        <w:pStyle w:val="leipa"/>
        <w:spacing w:before="0" w:beforeAutospacing="0" w:after="0" w:afterAutospacing="0"/>
        <w:ind w:left="855"/>
        <w:rPr>
          <w:rFonts w:ascii="Times New Roman" w:eastAsia="Times New Roman" w:hAnsi="Times New Roman" w:cs="Times New Roman"/>
          <w:color w:val="auto"/>
          <w:sz w:val="24"/>
          <w:szCs w:val="24"/>
          <w:lang w:val="da-DK"/>
        </w:rPr>
      </w:pPr>
      <w:r w:rsidRPr="00E775C6">
        <w:rPr>
          <w:rFonts w:ascii="Times New Roman" w:eastAsia="Times New Roman" w:hAnsi="Times New Roman" w:cs="Times New Roman"/>
          <w:color w:val="auto"/>
          <w:sz w:val="24"/>
          <w:szCs w:val="24"/>
          <w:lang w:val="da-DK"/>
        </w:rPr>
        <w:t>I rapporter efter markedsføring af produktet er der beskrevet</w:t>
      </w:r>
      <w:r w:rsidRPr="00E775C6">
        <w:rPr>
          <w:rFonts w:ascii="Times New Roman" w:hAnsi="Times New Roman"/>
          <w:color w:val="auto"/>
          <w:sz w:val="24"/>
          <w:szCs w:val="24"/>
          <w:lang w:val="da-DK"/>
        </w:rPr>
        <w:t xml:space="preserve"> sjældne tilfælde af </w:t>
      </w:r>
      <w:r w:rsidRPr="00E775C6">
        <w:rPr>
          <w:rFonts w:ascii="Times New Roman" w:eastAsia="Times New Roman" w:hAnsi="Times New Roman" w:cs="Times New Roman"/>
          <w:color w:val="auto"/>
          <w:sz w:val="24"/>
          <w:szCs w:val="24"/>
          <w:lang w:val="da-DK"/>
        </w:rPr>
        <w:t>serotoninsyndrom (inklusive</w:t>
      </w:r>
      <w:r w:rsidRPr="00E775C6">
        <w:rPr>
          <w:rFonts w:ascii="Times New Roman" w:hAnsi="Times New Roman"/>
          <w:color w:val="auto"/>
          <w:sz w:val="24"/>
          <w:szCs w:val="24"/>
          <w:lang w:val="da-DK"/>
        </w:rPr>
        <w:t xml:space="preserve"> ændret </w:t>
      </w:r>
      <w:r w:rsidRPr="00E775C6">
        <w:rPr>
          <w:rFonts w:ascii="Times New Roman" w:eastAsia="Times New Roman" w:hAnsi="Times New Roman" w:cs="Times New Roman"/>
          <w:color w:val="auto"/>
          <w:sz w:val="24"/>
          <w:szCs w:val="24"/>
          <w:lang w:val="da-DK"/>
        </w:rPr>
        <w:t>psykisk tilstand, autonom ustabilitet</w:t>
      </w:r>
      <w:r w:rsidRPr="00E775C6">
        <w:rPr>
          <w:rFonts w:ascii="Times New Roman" w:hAnsi="Times New Roman"/>
          <w:color w:val="auto"/>
          <w:sz w:val="24"/>
          <w:szCs w:val="24"/>
          <w:lang w:val="da-DK"/>
        </w:rPr>
        <w:t xml:space="preserve"> og </w:t>
      </w:r>
      <w:proofErr w:type="spellStart"/>
      <w:r w:rsidRPr="00E775C6">
        <w:rPr>
          <w:rFonts w:ascii="Times New Roman" w:hAnsi="Times New Roman"/>
          <w:color w:val="auto"/>
          <w:sz w:val="24"/>
          <w:szCs w:val="24"/>
          <w:lang w:val="da-DK"/>
        </w:rPr>
        <w:t>neuromuskulære</w:t>
      </w:r>
      <w:proofErr w:type="spellEnd"/>
      <w:r w:rsidRPr="00E775C6">
        <w:rPr>
          <w:rFonts w:ascii="Times New Roman" w:hAnsi="Times New Roman"/>
          <w:color w:val="auto"/>
          <w:sz w:val="24"/>
          <w:szCs w:val="24"/>
          <w:lang w:val="da-DK"/>
        </w:rPr>
        <w:t xml:space="preserve"> </w:t>
      </w:r>
      <w:proofErr w:type="spellStart"/>
      <w:r w:rsidRPr="00E775C6">
        <w:rPr>
          <w:rFonts w:ascii="Times New Roman" w:hAnsi="Times New Roman"/>
          <w:color w:val="auto"/>
          <w:sz w:val="24"/>
          <w:szCs w:val="24"/>
          <w:lang w:val="da-DK"/>
        </w:rPr>
        <w:t>abnormaliteter</w:t>
      </w:r>
      <w:proofErr w:type="spellEnd"/>
      <w:r w:rsidRPr="00E775C6">
        <w:rPr>
          <w:rFonts w:ascii="Times New Roman" w:hAnsi="Times New Roman"/>
          <w:color w:val="auto"/>
          <w:sz w:val="24"/>
          <w:szCs w:val="24"/>
          <w:lang w:val="da-DK"/>
        </w:rPr>
        <w:t xml:space="preserve">) </w:t>
      </w:r>
      <w:r w:rsidRPr="00E775C6">
        <w:rPr>
          <w:rFonts w:ascii="Times New Roman" w:eastAsia="Times New Roman" w:hAnsi="Times New Roman" w:cs="Times New Roman"/>
          <w:color w:val="auto"/>
          <w:sz w:val="24"/>
          <w:szCs w:val="24"/>
          <w:lang w:val="da-DK"/>
        </w:rPr>
        <w:t xml:space="preserve">efter brug af </w:t>
      </w:r>
      <w:proofErr w:type="spellStart"/>
      <w:r w:rsidRPr="00E775C6">
        <w:rPr>
          <w:rFonts w:ascii="Times New Roman" w:eastAsia="Times New Roman" w:hAnsi="Times New Roman" w:cs="Times New Roman"/>
          <w:color w:val="auto"/>
          <w:sz w:val="24"/>
          <w:szCs w:val="24"/>
          <w:lang w:val="da-DK"/>
        </w:rPr>
        <w:t>SSRI'er</w:t>
      </w:r>
      <w:proofErr w:type="spellEnd"/>
      <w:r w:rsidRPr="00E775C6">
        <w:rPr>
          <w:rFonts w:ascii="Times New Roman" w:eastAsia="Times New Roman" w:hAnsi="Times New Roman" w:cs="Times New Roman"/>
          <w:color w:val="auto"/>
          <w:sz w:val="24"/>
          <w:szCs w:val="24"/>
          <w:lang w:val="da-DK"/>
        </w:rPr>
        <w:t xml:space="preserve"> og </w:t>
      </w:r>
      <w:proofErr w:type="spellStart"/>
      <w:r w:rsidRPr="00E775C6">
        <w:rPr>
          <w:rFonts w:ascii="Times New Roman" w:eastAsia="Times New Roman" w:hAnsi="Times New Roman" w:cs="Times New Roman"/>
          <w:color w:val="auto"/>
          <w:sz w:val="24"/>
          <w:szCs w:val="24"/>
          <w:lang w:val="da-DK"/>
        </w:rPr>
        <w:t>sumatriptan</w:t>
      </w:r>
      <w:proofErr w:type="spellEnd"/>
      <w:r w:rsidRPr="00E775C6">
        <w:rPr>
          <w:rFonts w:ascii="Times New Roman" w:eastAsia="Times New Roman" w:hAnsi="Times New Roman" w:cs="Times New Roman"/>
          <w:color w:val="auto"/>
          <w:sz w:val="24"/>
          <w:szCs w:val="24"/>
          <w:lang w:val="da-DK"/>
        </w:rPr>
        <w:t>. Der foreligger endvidere rapporter om serotoninsyndrom</w:t>
      </w:r>
      <w:r w:rsidRPr="00E775C6">
        <w:rPr>
          <w:rFonts w:ascii="Times New Roman" w:hAnsi="Times New Roman"/>
          <w:color w:val="auto"/>
          <w:sz w:val="24"/>
          <w:szCs w:val="24"/>
          <w:lang w:val="da-DK"/>
        </w:rPr>
        <w:t xml:space="preserve"> efter samtidig behandling med </w:t>
      </w:r>
      <w:proofErr w:type="spellStart"/>
      <w:r w:rsidRPr="00E775C6">
        <w:rPr>
          <w:rFonts w:ascii="Times New Roman" w:hAnsi="Times New Roman"/>
          <w:color w:val="auto"/>
          <w:sz w:val="24"/>
          <w:szCs w:val="24"/>
          <w:lang w:val="da-DK"/>
        </w:rPr>
        <w:t>triptaner</w:t>
      </w:r>
      <w:proofErr w:type="spellEnd"/>
      <w:r w:rsidRPr="00E775C6">
        <w:rPr>
          <w:rFonts w:ascii="Times New Roman" w:hAnsi="Times New Roman"/>
          <w:color w:val="auto"/>
          <w:sz w:val="24"/>
          <w:szCs w:val="24"/>
          <w:lang w:val="da-DK"/>
        </w:rPr>
        <w:t xml:space="preserve"> og </w:t>
      </w:r>
      <w:proofErr w:type="spellStart"/>
      <w:r w:rsidRPr="00E775C6">
        <w:rPr>
          <w:rFonts w:ascii="Times New Roman" w:eastAsia="Times New Roman" w:hAnsi="Times New Roman" w:cs="Times New Roman"/>
          <w:color w:val="auto"/>
          <w:sz w:val="24"/>
          <w:szCs w:val="24"/>
          <w:lang w:val="da-DK"/>
        </w:rPr>
        <w:t>SNRI'er</w:t>
      </w:r>
      <w:proofErr w:type="spellEnd"/>
      <w:r w:rsidRPr="00E775C6">
        <w:rPr>
          <w:rFonts w:ascii="Times New Roman" w:hAnsi="Times New Roman"/>
          <w:color w:val="auto"/>
          <w:sz w:val="24"/>
          <w:szCs w:val="24"/>
          <w:lang w:val="da-DK"/>
        </w:rPr>
        <w:t xml:space="preserve"> (se pkt. </w:t>
      </w:r>
      <w:r w:rsidRPr="00E775C6">
        <w:rPr>
          <w:rFonts w:ascii="Times New Roman" w:eastAsia="Times New Roman" w:hAnsi="Times New Roman" w:cs="Times New Roman"/>
          <w:color w:val="auto"/>
          <w:sz w:val="24"/>
          <w:szCs w:val="24"/>
          <w:lang w:val="da-DK"/>
        </w:rPr>
        <w:t>4.</w:t>
      </w:r>
      <w:r w:rsidRPr="00E775C6">
        <w:rPr>
          <w:rFonts w:ascii="Times New Roman" w:hAnsi="Times New Roman"/>
          <w:color w:val="auto"/>
          <w:sz w:val="24"/>
          <w:szCs w:val="24"/>
          <w:lang w:val="da-DK"/>
        </w:rPr>
        <w:t>4</w:t>
      </w:r>
      <w:r w:rsidRPr="00E775C6">
        <w:rPr>
          <w:rFonts w:ascii="Times New Roman" w:eastAsia="Times New Roman" w:hAnsi="Times New Roman" w:cs="Times New Roman"/>
          <w:color w:val="auto"/>
          <w:sz w:val="24"/>
          <w:szCs w:val="24"/>
          <w:lang w:val="da-DK"/>
        </w:rPr>
        <w:t>).</w:t>
      </w:r>
    </w:p>
    <w:p w:rsidR="00594AD4" w:rsidRPr="00B82106" w:rsidRDefault="00594AD4" w:rsidP="00B435D5">
      <w:pPr>
        <w:pStyle w:val="Default"/>
        <w:rPr>
          <w:lang w:val="da-DK"/>
        </w:rPr>
      </w:pPr>
      <w:r w:rsidRPr="00B82106">
        <w:rPr>
          <w:lang w:val="da-DK"/>
        </w:rPr>
        <w:t xml:space="preserve"> </w:t>
      </w:r>
    </w:p>
    <w:p w:rsidR="00594AD4" w:rsidRPr="00E775C6" w:rsidRDefault="00594AD4" w:rsidP="00E775C6">
      <w:pPr>
        <w:pStyle w:val="Listeafsnit"/>
        <w:numPr>
          <w:ilvl w:val="1"/>
          <w:numId w:val="6"/>
        </w:numPr>
        <w:suppressAutoHyphens/>
        <w:rPr>
          <w:b/>
        </w:rPr>
      </w:pPr>
      <w:r w:rsidRPr="00E775C6">
        <w:rPr>
          <w:b/>
        </w:rPr>
        <w:t>Graviditet og amning</w:t>
      </w:r>
    </w:p>
    <w:p w:rsidR="00594AD4" w:rsidRPr="00E775C6" w:rsidRDefault="00594AD4" w:rsidP="00594AD4">
      <w:pPr>
        <w:tabs>
          <w:tab w:val="left" w:pos="567"/>
          <w:tab w:val="left" w:pos="851"/>
        </w:tabs>
        <w:ind w:left="851"/>
        <w:rPr>
          <w:sz w:val="24"/>
          <w:szCs w:val="24"/>
          <w:u w:val="single"/>
        </w:rPr>
      </w:pPr>
      <w:r w:rsidRPr="00E775C6">
        <w:rPr>
          <w:sz w:val="24"/>
          <w:szCs w:val="24"/>
          <w:u w:val="single"/>
        </w:rPr>
        <w:t>Graviditet</w:t>
      </w:r>
    </w:p>
    <w:p w:rsidR="00594AD4" w:rsidRPr="00E775C6" w:rsidRDefault="00594AD4" w:rsidP="00594AD4">
      <w:pPr>
        <w:pStyle w:val="leipa"/>
        <w:spacing w:before="0" w:beforeAutospacing="0" w:after="0" w:afterAutospacing="0"/>
        <w:ind w:left="855"/>
        <w:rPr>
          <w:rFonts w:ascii="Times New Roman" w:hAnsi="Times New Roman"/>
          <w:color w:val="auto"/>
          <w:sz w:val="24"/>
          <w:szCs w:val="24"/>
          <w:lang w:val="da-DK"/>
        </w:rPr>
      </w:pPr>
      <w:r w:rsidRPr="00E775C6">
        <w:rPr>
          <w:rFonts w:ascii="Times New Roman" w:eastAsia="Times New Roman" w:hAnsi="Times New Roman" w:cs="Times New Roman"/>
          <w:snapToGrid/>
          <w:color w:val="auto"/>
          <w:sz w:val="24"/>
          <w:szCs w:val="24"/>
          <w:lang w:val="da-DK"/>
        </w:rPr>
        <w:t>Der foreligger</w:t>
      </w:r>
      <w:r w:rsidRPr="00E775C6">
        <w:rPr>
          <w:rFonts w:ascii="Times New Roman" w:hAnsi="Times New Roman"/>
          <w:color w:val="auto"/>
          <w:sz w:val="24"/>
          <w:szCs w:val="24"/>
          <w:lang w:val="da-DK"/>
        </w:rPr>
        <w:t xml:space="preserve"> data</w:t>
      </w:r>
      <w:r w:rsidRPr="00E775C6">
        <w:rPr>
          <w:rFonts w:ascii="Times New Roman" w:eastAsia="Times New Roman" w:hAnsi="Times New Roman" w:cs="Times New Roman"/>
          <w:snapToGrid/>
          <w:color w:val="auto"/>
          <w:sz w:val="24"/>
          <w:szCs w:val="24"/>
          <w:lang w:val="da-DK"/>
        </w:rPr>
        <w:t xml:space="preserve"> om brugen</w:t>
      </w:r>
      <w:r w:rsidRPr="00E775C6">
        <w:rPr>
          <w:rFonts w:ascii="Times New Roman" w:hAnsi="Times New Roman"/>
          <w:color w:val="auto"/>
          <w:sz w:val="24"/>
          <w:szCs w:val="24"/>
          <w:lang w:val="da-DK"/>
        </w:rPr>
        <w:t xml:space="preserve"> af </w:t>
      </w:r>
      <w:proofErr w:type="spellStart"/>
      <w:r w:rsidRPr="00E775C6">
        <w:rPr>
          <w:rFonts w:ascii="Times New Roman" w:hAnsi="Times New Roman"/>
          <w:color w:val="auto"/>
          <w:sz w:val="24"/>
          <w:szCs w:val="24"/>
          <w:lang w:val="da-DK"/>
        </w:rPr>
        <w:t>sumatriptan</w:t>
      </w:r>
      <w:proofErr w:type="spellEnd"/>
      <w:r w:rsidRPr="00E775C6">
        <w:rPr>
          <w:rFonts w:ascii="Times New Roman" w:hAnsi="Times New Roman"/>
          <w:color w:val="auto"/>
          <w:sz w:val="24"/>
          <w:szCs w:val="24"/>
          <w:lang w:val="da-DK"/>
        </w:rPr>
        <w:t xml:space="preserve"> i første trimester</w:t>
      </w:r>
      <w:r w:rsidRPr="00E775C6">
        <w:rPr>
          <w:rFonts w:ascii="Times New Roman" w:eastAsia="Times New Roman" w:hAnsi="Times New Roman" w:cs="Times New Roman"/>
          <w:snapToGrid/>
          <w:color w:val="auto"/>
          <w:sz w:val="24"/>
          <w:szCs w:val="24"/>
          <w:lang w:val="da-DK"/>
        </w:rPr>
        <w:t xml:space="preserve"> fra mere</w:t>
      </w:r>
      <w:r w:rsidRPr="00E775C6">
        <w:rPr>
          <w:rFonts w:ascii="Times New Roman" w:hAnsi="Times New Roman"/>
          <w:color w:val="auto"/>
          <w:sz w:val="24"/>
          <w:szCs w:val="24"/>
          <w:lang w:val="da-DK"/>
        </w:rPr>
        <w:t xml:space="preserve"> end </w:t>
      </w:r>
      <w:r w:rsidRPr="00E775C6">
        <w:rPr>
          <w:rFonts w:ascii="Times New Roman" w:eastAsia="Times New Roman" w:hAnsi="Times New Roman" w:cs="Times New Roman"/>
          <w:snapToGrid/>
          <w:color w:val="auto"/>
          <w:sz w:val="24"/>
          <w:szCs w:val="24"/>
          <w:lang w:val="da-DK"/>
        </w:rPr>
        <w:t>1.000</w:t>
      </w:r>
      <w:r w:rsidRPr="00E775C6">
        <w:rPr>
          <w:rFonts w:ascii="Times New Roman" w:hAnsi="Times New Roman"/>
          <w:color w:val="auto"/>
          <w:sz w:val="24"/>
          <w:szCs w:val="24"/>
          <w:lang w:val="da-DK"/>
        </w:rPr>
        <w:t xml:space="preserve"> kvinder</w:t>
      </w:r>
      <w:r w:rsidRPr="00E775C6">
        <w:rPr>
          <w:rFonts w:ascii="Times New Roman" w:eastAsia="Times New Roman" w:hAnsi="Times New Roman" w:cs="Times New Roman"/>
          <w:snapToGrid/>
          <w:color w:val="auto"/>
          <w:sz w:val="24"/>
          <w:szCs w:val="24"/>
          <w:lang w:val="da-DK"/>
        </w:rPr>
        <w:t xml:space="preserve"> efter markedsføringen af lægemidlet. Selv om disse data </w:t>
      </w:r>
      <w:r w:rsidRPr="00E775C6">
        <w:rPr>
          <w:rFonts w:ascii="Times New Roman" w:hAnsi="Times New Roman"/>
          <w:color w:val="auto"/>
          <w:sz w:val="24"/>
          <w:szCs w:val="24"/>
          <w:lang w:val="da-DK"/>
        </w:rPr>
        <w:t xml:space="preserve">ikke </w:t>
      </w:r>
      <w:r w:rsidRPr="00E775C6">
        <w:rPr>
          <w:rFonts w:ascii="Times New Roman" w:eastAsia="Times New Roman" w:hAnsi="Times New Roman" w:cs="Times New Roman"/>
          <w:snapToGrid/>
          <w:color w:val="auto"/>
          <w:sz w:val="24"/>
          <w:szCs w:val="24"/>
          <w:lang w:val="da-DK"/>
        </w:rPr>
        <w:t>indeholder tilstrækkelige oplysninger</w:t>
      </w:r>
      <w:r w:rsidRPr="00E775C6">
        <w:rPr>
          <w:rFonts w:ascii="Times New Roman" w:hAnsi="Times New Roman"/>
          <w:color w:val="auto"/>
          <w:sz w:val="24"/>
          <w:szCs w:val="24"/>
          <w:lang w:val="da-DK"/>
        </w:rPr>
        <w:t xml:space="preserve"> til </w:t>
      </w:r>
      <w:r w:rsidRPr="00E775C6">
        <w:rPr>
          <w:rFonts w:ascii="Times New Roman" w:eastAsia="Times New Roman" w:hAnsi="Times New Roman" w:cs="Times New Roman"/>
          <w:snapToGrid/>
          <w:color w:val="auto"/>
          <w:sz w:val="24"/>
          <w:szCs w:val="24"/>
          <w:lang w:val="da-DK"/>
        </w:rPr>
        <w:t>en endelig konklusion,</w:t>
      </w:r>
      <w:r w:rsidRPr="00E775C6">
        <w:rPr>
          <w:rFonts w:ascii="Times New Roman" w:hAnsi="Times New Roman"/>
          <w:color w:val="auto"/>
          <w:sz w:val="24"/>
          <w:szCs w:val="24"/>
          <w:lang w:val="da-DK"/>
        </w:rPr>
        <w:t xml:space="preserve"> tyder </w:t>
      </w:r>
      <w:r w:rsidRPr="00E775C6">
        <w:rPr>
          <w:rFonts w:ascii="Times New Roman" w:eastAsia="Times New Roman" w:hAnsi="Times New Roman" w:cs="Times New Roman"/>
          <w:snapToGrid/>
          <w:color w:val="auto"/>
          <w:sz w:val="24"/>
          <w:szCs w:val="24"/>
          <w:lang w:val="da-DK"/>
        </w:rPr>
        <w:t xml:space="preserve">de ikke </w:t>
      </w:r>
      <w:r w:rsidRPr="00E775C6">
        <w:rPr>
          <w:rFonts w:ascii="Times New Roman" w:hAnsi="Times New Roman"/>
          <w:color w:val="auto"/>
          <w:sz w:val="24"/>
          <w:szCs w:val="24"/>
          <w:lang w:val="da-DK"/>
        </w:rPr>
        <w:t xml:space="preserve">på en </w:t>
      </w:r>
      <w:r w:rsidRPr="00E775C6">
        <w:rPr>
          <w:rFonts w:ascii="Times New Roman" w:eastAsia="Times New Roman" w:hAnsi="Times New Roman" w:cs="Times New Roman"/>
          <w:snapToGrid/>
          <w:color w:val="auto"/>
          <w:sz w:val="24"/>
          <w:szCs w:val="24"/>
          <w:lang w:val="da-DK"/>
        </w:rPr>
        <w:t>forhøjet</w:t>
      </w:r>
      <w:r w:rsidRPr="00E775C6">
        <w:rPr>
          <w:rFonts w:ascii="Times New Roman" w:hAnsi="Times New Roman"/>
          <w:color w:val="auto"/>
          <w:sz w:val="24"/>
          <w:szCs w:val="24"/>
          <w:lang w:val="da-DK"/>
        </w:rPr>
        <w:t xml:space="preserve"> risiko for medfødte defekter. </w:t>
      </w:r>
      <w:r w:rsidRPr="00E775C6">
        <w:rPr>
          <w:rFonts w:ascii="Times New Roman" w:eastAsia="Times New Roman" w:hAnsi="Times New Roman" w:cs="Times New Roman"/>
          <w:snapToGrid/>
          <w:color w:val="auto"/>
          <w:sz w:val="24"/>
          <w:szCs w:val="24"/>
          <w:lang w:val="da-DK"/>
        </w:rPr>
        <w:t>Der foreligger begrænset erfaring med brugen</w:t>
      </w:r>
      <w:r w:rsidRPr="00E775C6">
        <w:rPr>
          <w:rFonts w:ascii="Times New Roman" w:hAnsi="Times New Roman"/>
          <w:color w:val="auto"/>
          <w:sz w:val="24"/>
          <w:szCs w:val="24"/>
          <w:lang w:val="da-DK"/>
        </w:rPr>
        <w:t xml:space="preserve"> af </w:t>
      </w:r>
      <w:proofErr w:type="spellStart"/>
      <w:r w:rsidRPr="00E775C6">
        <w:rPr>
          <w:rFonts w:ascii="Times New Roman" w:hAnsi="Times New Roman"/>
          <w:color w:val="auto"/>
          <w:sz w:val="24"/>
          <w:szCs w:val="24"/>
          <w:lang w:val="da-DK"/>
        </w:rPr>
        <w:t>sumatriptan</w:t>
      </w:r>
      <w:proofErr w:type="spellEnd"/>
      <w:r w:rsidRPr="00E775C6">
        <w:rPr>
          <w:rFonts w:ascii="Times New Roman" w:hAnsi="Times New Roman"/>
          <w:color w:val="auto"/>
          <w:sz w:val="24"/>
          <w:szCs w:val="24"/>
          <w:lang w:val="da-DK"/>
        </w:rPr>
        <w:t xml:space="preserve"> i andet og tredje trimester</w:t>
      </w:r>
      <w:r w:rsidRPr="00E775C6">
        <w:rPr>
          <w:rFonts w:ascii="Times New Roman" w:eastAsia="Times New Roman" w:hAnsi="Times New Roman" w:cs="Times New Roman"/>
          <w:snapToGrid/>
          <w:color w:val="auto"/>
          <w:sz w:val="24"/>
          <w:szCs w:val="24"/>
          <w:lang w:val="da-DK"/>
        </w:rPr>
        <w:t>.</w:t>
      </w:r>
    </w:p>
    <w:p w:rsidR="00594AD4" w:rsidRPr="00E775C6" w:rsidRDefault="00594AD4" w:rsidP="00594AD4">
      <w:pPr>
        <w:pStyle w:val="leipa"/>
        <w:spacing w:before="0" w:beforeAutospacing="0" w:after="0" w:afterAutospacing="0"/>
        <w:ind w:left="855"/>
        <w:rPr>
          <w:rFonts w:ascii="Times New Roman" w:hAnsi="Times New Roman"/>
          <w:color w:val="auto"/>
          <w:sz w:val="24"/>
          <w:szCs w:val="24"/>
          <w:lang w:val="da-DK"/>
        </w:rPr>
      </w:pPr>
    </w:p>
    <w:p w:rsidR="00594AD4" w:rsidRPr="00E775C6" w:rsidRDefault="00594AD4" w:rsidP="00594AD4">
      <w:pPr>
        <w:pStyle w:val="leipa"/>
        <w:spacing w:before="0" w:beforeAutospacing="0" w:after="0" w:afterAutospacing="0"/>
        <w:ind w:left="855"/>
        <w:rPr>
          <w:rFonts w:ascii="Times New Roman" w:hAnsi="Times New Roman"/>
          <w:color w:val="auto"/>
          <w:sz w:val="24"/>
          <w:szCs w:val="24"/>
          <w:lang w:val="da-DK"/>
        </w:rPr>
      </w:pPr>
      <w:r w:rsidRPr="00E775C6">
        <w:rPr>
          <w:rFonts w:ascii="Times New Roman" w:eastAsia="Times New Roman" w:hAnsi="Times New Roman" w:cs="Times New Roman"/>
          <w:snapToGrid/>
          <w:color w:val="auto"/>
          <w:sz w:val="24"/>
          <w:szCs w:val="24"/>
          <w:lang w:val="da-DK"/>
        </w:rPr>
        <w:t>Evaluering af dyreforsøg</w:t>
      </w:r>
      <w:r w:rsidRPr="00E775C6">
        <w:rPr>
          <w:rFonts w:ascii="Times New Roman" w:hAnsi="Times New Roman"/>
          <w:color w:val="auto"/>
          <w:sz w:val="24"/>
          <w:szCs w:val="24"/>
          <w:lang w:val="da-DK"/>
        </w:rPr>
        <w:t xml:space="preserve"> tyder ikke på direkte </w:t>
      </w:r>
      <w:proofErr w:type="spellStart"/>
      <w:r w:rsidRPr="00E775C6">
        <w:rPr>
          <w:rFonts w:ascii="Times New Roman" w:eastAsia="Times New Roman" w:hAnsi="Times New Roman" w:cs="Times New Roman"/>
          <w:snapToGrid/>
          <w:color w:val="auto"/>
          <w:sz w:val="24"/>
          <w:szCs w:val="24"/>
          <w:lang w:val="da-DK"/>
        </w:rPr>
        <w:t>teratogenicitet</w:t>
      </w:r>
      <w:proofErr w:type="spellEnd"/>
      <w:r w:rsidRPr="00E775C6">
        <w:rPr>
          <w:rFonts w:ascii="Times New Roman" w:hAnsi="Times New Roman"/>
          <w:color w:val="auto"/>
          <w:sz w:val="24"/>
          <w:szCs w:val="24"/>
          <w:lang w:val="da-DK"/>
        </w:rPr>
        <w:t xml:space="preserve"> eller skadelige påvirkninger </w:t>
      </w:r>
      <w:r w:rsidRPr="00E775C6">
        <w:rPr>
          <w:rFonts w:ascii="Times New Roman" w:eastAsia="Times New Roman" w:hAnsi="Times New Roman" w:cs="Times New Roman"/>
          <w:snapToGrid/>
          <w:color w:val="auto"/>
          <w:sz w:val="24"/>
          <w:szCs w:val="24"/>
          <w:lang w:val="da-DK"/>
        </w:rPr>
        <w:t>af den</w:t>
      </w:r>
      <w:r w:rsidRPr="00E775C6">
        <w:rPr>
          <w:rFonts w:ascii="Times New Roman" w:hAnsi="Times New Roman"/>
          <w:color w:val="auto"/>
          <w:sz w:val="24"/>
          <w:szCs w:val="24"/>
          <w:lang w:val="da-DK"/>
        </w:rPr>
        <w:t xml:space="preserve"> peri- og </w:t>
      </w:r>
      <w:proofErr w:type="spellStart"/>
      <w:r w:rsidRPr="00E775C6">
        <w:rPr>
          <w:rFonts w:ascii="Times New Roman" w:eastAsia="Times New Roman" w:hAnsi="Times New Roman" w:cs="Times New Roman"/>
          <w:snapToGrid/>
          <w:color w:val="auto"/>
          <w:sz w:val="24"/>
          <w:szCs w:val="24"/>
          <w:lang w:val="da-DK"/>
        </w:rPr>
        <w:t>postnatale</w:t>
      </w:r>
      <w:proofErr w:type="spellEnd"/>
      <w:r w:rsidRPr="00E775C6">
        <w:rPr>
          <w:rFonts w:ascii="Times New Roman" w:hAnsi="Times New Roman"/>
          <w:color w:val="auto"/>
          <w:sz w:val="24"/>
          <w:szCs w:val="24"/>
          <w:lang w:val="da-DK"/>
        </w:rPr>
        <w:t xml:space="preserve"> udvikling. </w:t>
      </w:r>
      <w:proofErr w:type="spellStart"/>
      <w:r w:rsidRPr="00E775C6">
        <w:rPr>
          <w:rFonts w:ascii="Times New Roman" w:eastAsia="Times New Roman" w:hAnsi="Times New Roman" w:cs="Times New Roman"/>
          <w:snapToGrid/>
          <w:color w:val="auto"/>
          <w:sz w:val="24"/>
          <w:szCs w:val="24"/>
          <w:lang w:val="da-DK"/>
        </w:rPr>
        <w:t>Embryoføtal</w:t>
      </w:r>
      <w:proofErr w:type="spellEnd"/>
      <w:r w:rsidRPr="00E775C6">
        <w:rPr>
          <w:rFonts w:ascii="Times New Roman" w:hAnsi="Times New Roman"/>
          <w:color w:val="auto"/>
          <w:sz w:val="24"/>
          <w:szCs w:val="24"/>
          <w:lang w:val="da-DK"/>
        </w:rPr>
        <w:t xml:space="preserve"> levedygtighed </w:t>
      </w:r>
      <w:r w:rsidRPr="00E775C6">
        <w:rPr>
          <w:rFonts w:ascii="Times New Roman" w:eastAsia="Times New Roman" w:hAnsi="Times New Roman" w:cs="Times New Roman"/>
          <w:snapToGrid/>
          <w:color w:val="auto"/>
          <w:sz w:val="24"/>
          <w:szCs w:val="24"/>
          <w:lang w:val="da-DK"/>
        </w:rPr>
        <w:t xml:space="preserve">kan dog </w:t>
      </w:r>
      <w:r w:rsidRPr="00E775C6">
        <w:rPr>
          <w:rFonts w:ascii="Times New Roman" w:hAnsi="Times New Roman"/>
          <w:color w:val="auto"/>
          <w:sz w:val="24"/>
          <w:szCs w:val="24"/>
          <w:lang w:val="da-DK"/>
        </w:rPr>
        <w:t xml:space="preserve">være påvirket hos kaniner (se </w:t>
      </w:r>
      <w:r w:rsidRPr="00E775C6">
        <w:rPr>
          <w:rFonts w:ascii="Times New Roman" w:eastAsia="Times New Roman" w:hAnsi="Times New Roman" w:cs="Times New Roman"/>
          <w:snapToGrid/>
          <w:color w:val="auto"/>
          <w:sz w:val="24"/>
          <w:szCs w:val="24"/>
          <w:lang w:val="da-DK"/>
        </w:rPr>
        <w:t>pkt.</w:t>
      </w:r>
      <w:r w:rsidRPr="00E775C6">
        <w:rPr>
          <w:rFonts w:ascii="Times New Roman" w:hAnsi="Times New Roman"/>
          <w:color w:val="auto"/>
          <w:sz w:val="24"/>
          <w:szCs w:val="24"/>
          <w:lang w:val="da-DK"/>
        </w:rPr>
        <w:t xml:space="preserve"> 5.3). </w:t>
      </w:r>
      <w:r w:rsidRPr="00E775C6">
        <w:rPr>
          <w:rFonts w:ascii="Times New Roman" w:eastAsia="Times New Roman" w:hAnsi="Times New Roman" w:cs="Times New Roman"/>
          <w:snapToGrid/>
          <w:color w:val="auto"/>
          <w:sz w:val="24"/>
          <w:szCs w:val="24"/>
          <w:lang w:val="da-DK"/>
        </w:rPr>
        <w:t>Indgivelse</w:t>
      </w:r>
      <w:r w:rsidRPr="00E775C6">
        <w:rPr>
          <w:rFonts w:ascii="Times New Roman" w:hAnsi="Times New Roman"/>
          <w:color w:val="auto"/>
          <w:sz w:val="24"/>
          <w:szCs w:val="24"/>
          <w:lang w:val="da-DK"/>
        </w:rPr>
        <w:t xml:space="preserve"> af </w:t>
      </w:r>
      <w:proofErr w:type="spellStart"/>
      <w:r w:rsidRPr="00E775C6">
        <w:rPr>
          <w:rFonts w:ascii="Times New Roman" w:hAnsi="Times New Roman"/>
          <w:color w:val="auto"/>
          <w:sz w:val="24"/>
          <w:szCs w:val="24"/>
          <w:lang w:val="da-DK"/>
        </w:rPr>
        <w:t>sumatriptan</w:t>
      </w:r>
      <w:proofErr w:type="spellEnd"/>
      <w:r w:rsidRPr="00E775C6">
        <w:rPr>
          <w:rFonts w:ascii="Times New Roman" w:hAnsi="Times New Roman"/>
          <w:color w:val="auto"/>
          <w:sz w:val="24"/>
          <w:szCs w:val="24"/>
          <w:lang w:val="da-DK"/>
        </w:rPr>
        <w:t xml:space="preserve"> bør kun overvejes, hvis den forventede fordel for moderen </w:t>
      </w:r>
      <w:r w:rsidRPr="00E775C6">
        <w:rPr>
          <w:rFonts w:ascii="Times New Roman" w:eastAsia="Times New Roman" w:hAnsi="Times New Roman" w:cs="Times New Roman"/>
          <w:snapToGrid/>
          <w:color w:val="auto"/>
          <w:sz w:val="24"/>
          <w:szCs w:val="24"/>
          <w:lang w:val="da-DK"/>
        </w:rPr>
        <w:t>opvejer</w:t>
      </w:r>
      <w:r w:rsidRPr="00E775C6">
        <w:rPr>
          <w:rFonts w:ascii="Times New Roman" w:hAnsi="Times New Roman"/>
          <w:color w:val="auto"/>
          <w:sz w:val="24"/>
          <w:szCs w:val="24"/>
          <w:lang w:val="da-DK"/>
        </w:rPr>
        <w:t xml:space="preserve"> enhver mulig risiko for fosteret.</w:t>
      </w:r>
    </w:p>
    <w:p w:rsidR="00594AD4" w:rsidRPr="00E775C6" w:rsidRDefault="00594AD4" w:rsidP="00594AD4">
      <w:pPr>
        <w:pStyle w:val="Default"/>
        <w:ind w:left="851"/>
        <w:rPr>
          <w:lang w:val="da-DK"/>
        </w:rPr>
      </w:pPr>
    </w:p>
    <w:p w:rsidR="00594AD4" w:rsidRPr="00E775C6" w:rsidRDefault="00594AD4" w:rsidP="00E775C6">
      <w:pPr>
        <w:pStyle w:val="Default"/>
        <w:keepNext/>
        <w:ind w:left="851"/>
        <w:rPr>
          <w:color w:val="auto"/>
          <w:u w:val="single"/>
          <w:lang w:val="da-DK"/>
        </w:rPr>
      </w:pPr>
      <w:r w:rsidRPr="00E775C6">
        <w:rPr>
          <w:u w:val="single"/>
          <w:lang w:val="da-DK"/>
        </w:rPr>
        <w:lastRenderedPageBreak/>
        <w:t>Amning</w:t>
      </w:r>
    </w:p>
    <w:p w:rsidR="00594AD4" w:rsidRPr="00E775C6" w:rsidRDefault="00594AD4" w:rsidP="00594AD4">
      <w:pPr>
        <w:pStyle w:val="leipa"/>
        <w:spacing w:before="0" w:beforeAutospacing="0" w:after="0" w:afterAutospacing="0"/>
        <w:ind w:left="855"/>
        <w:rPr>
          <w:rFonts w:ascii="Times New Roman" w:hAnsi="Times New Roman"/>
          <w:color w:val="auto"/>
          <w:sz w:val="24"/>
          <w:szCs w:val="24"/>
          <w:lang w:val="da-DK"/>
        </w:rPr>
      </w:pPr>
      <w:r w:rsidRPr="00E775C6">
        <w:rPr>
          <w:rFonts w:ascii="Times New Roman" w:hAnsi="Times New Roman"/>
          <w:color w:val="auto"/>
          <w:sz w:val="24"/>
          <w:szCs w:val="24"/>
          <w:lang w:val="da-DK"/>
        </w:rPr>
        <w:t xml:space="preserve">Det er påvist, at </w:t>
      </w:r>
      <w:proofErr w:type="spellStart"/>
      <w:r w:rsidRPr="00E775C6">
        <w:rPr>
          <w:rFonts w:ascii="Times New Roman" w:hAnsi="Times New Roman"/>
          <w:color w:val="auto"/>
          <w:sz w:val="24"/>
          <w:szCs w:val="24"/>
          <w:lang w:val="da-DK"/>
        </w:rPr>
        <w:t>sumatriptan</w:t>
      </w:r>
      <w:proofErr w:type="spellEnd"/>
      <w:r w:rsidRPr="00E775C6">
        <w:rPr>
          <w:rFonts w:ascii="Times New Roman" w:hAnsi="Times New Roman"/>
          <w:color w:val="auto"/>
          <w:sz w:val="24"/>
          <w:szCs w:val="24"/>
          <w:lang w:val="da-DK"/>
        </w:rPr>
        <w:t xml:space="preserve"> udskilles i modermælk efter subkutan </w:t>
      </w:r>
      <w:r w:rsidRPr="00E775C6">
        <w:rPr>
          <w:rFonts w:ascii="Times New Roman" w:hAnsi="Times New Roman" w:cs="Times New Roman"/>
          <w:color w:val="auto"/>
          <w:sz w:val="24"/>
          <w:szCs w:val="24"/>
          <w:lang w:val="da-DK"/>
        </w:rPr>
        <w:t>indgivelse</w:t>
      </w:r>
      <w:r w:rsidRPr="00E775C6">
        <w:rPr>
          <w:rFonts w:ascii="Times New Roman" w:hAnsi="Times New Roman"/>
          <w:color w:val="auto"/>
          <w:sz w:val="24"/>
          <w:szCs w:val="24"/>
          <w:lang w:val="da-DK"/>
        </w:rPr>
        <w:t>. Indvirkningen på spædbarnet kan minimeres, hvis amning undgås i 12 timer efter behandlingen</w:t>
      </w:r>
      <w:r w:rsidRPr="00E775C6">
        <w:rPr>
          <w:rFonts w:ascii="Times New Roman" w:hAnsi="Times New Roman" w:cs="Times New Roman"/>
          <w:color w:val="auto"/>
          <w:sz w:val="24"/>
          <w:szCs w:val="24"/>
          <w:lang w:val="da-DK"/>
        </w:rPr>
        <w:t>. I</w:t>
      </w:r>
      <w:r w:rsidRPr="00E775C6">
        <w:rPr>
          <w:rFonts w:ascii="Times New Roman" w:hAnsi="Times New Roman"/>
          <w:color w:val="auto"/>
          <w:sz w:val="24"/>
          <w:szCs w:val="24"/>
          <w:lang w:val="da-DK"/>
        </w:rPr>
        <w:t xml:space="preserve"> denne periode </w:t>
      </w:r>
      <w:r w:rsidRPr="00E775C6">
        <w:rPr>
          <w:rFonts w:ascii="Times New Roman" w:hAnsi="Times New Roman" w:cs="Times New Roman"/>
          <w:color w:val="auto"/>
          <w:sz w:val="24"/>
          <w:szCs w:val="24"/>
          <w:lang w:val="da-DK"/>
        </w:rPr>
        <w:t>skal al modermælk, der malkes ud, kasseres.</w:t>
      </w:r>
    </w:p>
    <w:p w:rsidR="00594AD4" w:rsidRPr="009C0828" w:rsidRDefault="00594AD4" w:rsidP="00594AD4">
      <w:pPr>
        <w:pStyle w:val="Default"/>
        <w:ind w:left="851"/>
        <w:rPr>
          <w:color w:val="auto"/>
          <w:lang w:val="da-DK"/>
        </w:rPr>
      </w:pPr>
    </w:p>
    <w:p w:rsidR="00E775C6" w:rsidRPr="00E775C6" w:rsidRDefault="00594AD4" w:rsidP="00E775C6">
      <w:pPr>
        <w:pStyle w:val="Listeafsnit"/>
        <w:numPr>
          <w:ilvl w:val="1"/>
          <w:numId w:val="6"/>
        </w:numPr>
        <w:suppressAutoHyphens/>
        <w:rPr>
          <w:b/>
        </w:rPr>
      </w:pPr>
      <w:r w:rsidRPr="00E775C6">
        <w:rPr>
          <w:b/>
        </w:rPr>
        <w:t>Virkninger på evnen til at føre motorkøretøj eller betjene maskiner</w:t>
      </w:r>
    </w:p>
    <w:p w:rsidR="00B435D5" w:rsidRPr="00E775C6" w:rsidRDefault="00B435D5" w:rsidP="00E775C6">
      <w:pPr>
        <w:pStyle w:val="Listeafsnit"/>
        <w:suppressAutoHyphens/>
        <w:ind w:left="855"/>
      </w:pPr>
      <w:r w:rsidRPr="00E775C6">
        <w:t xml:space="preserve">Der er ikke udført studier af evnen til at føre motorkøretøj eller betjene maskiner. </w:t>
      </w:r>
    </w:p>
    <w:p w:rsidR="00B435D5" w:rsidRPr="00E775C6" w:rsidRDefault="00B435D5" w:rsidP="00B435D5">
      <w:pPr>
        <w:ind w:left="851"/>
        <w:rPr>
          <w:sz w:val="24"/>
          <w:szCs w:val="24"/>
        </w:rPr>
      </w:pPr>
      <w:r w:rsidRPr="00E775C6">
        <w:rPr>
          <w:sz w:val="24"/>
          <w:szCs w:val="24"/>
        </w:rPr>
        <w:t xml:space="preserve">Døsighed kan ses som følge af migrænen eller dens behandling med </w:t>
      </w:r>
      <w:proofErr w:type="spellStart"/>
      <w:r w:rsidRPr="00E775C6">
        <w:rPr>
          <w:sz w:val="24"/>
          <w:szCs w:val="24"/>
        </w:rPr>
        <w:t>sumatriptan</w:t>
      </w:r>
      <w:proofErr w:type="spellEnd"/>
      <w:r w:rsidRPr="00E775C6">
        <w:rPr>
          <w:sz w:val="24"/>
          <w:szCs w:val="24"/>
        </w:rPr>
        <w:t>. Dette kan påvirke evnen til at føre bil eller betjene maskiner.</w:t>
      </w:r>
    </w:p>
    <w:p w:rsidR="00594AD4" w:rsidRDefault="00594AD4" w:rsidP="00B435D5">
      <w:pPr>
        <w:suppressAutoHyphens/>
        <w:ind w:left="851" w:hanging="851"/>
      </w:pPr>
    </w:p>
    <w:p w:rsidR="00594AD4" w:rsidRPr="00E775C6" w:rsidRDefault="00594AD4" w:rsidP="00B435D5">
      <w:pPr>
        <w:pStyle w:val="Listeafsnit"/>
        <w:numPr>
          <w:ilvl w:val="1"/>
          <w:numId w:val="11"/>
        </w:numPr>
        <w:suppressAutoHyphens/>
        <w:ind w:left="851" w:hanging="851"/>
        <w:rPr>
          <w:b/>
        </w:rPr>
      </w:pPr>
      <w:r w:rsidRPr="00E775C6">
        <w:rPr>
          <w:b/>
        </w:rPr>
        <w:t>Bivirkninger</w:t>
      </w:r>
    </w:p>
    <w:p w:rsidR="00594AD4" w:rsidRPr="00E775C6" w:rsidRDefault="00594AD4" w:rsidP="00594AD4">
      <w:pPr>
        <w:suppressAutoHyphens/>
        <w:ind w:left="851"/>
        <w:rPr>
          <w:sz w:val="24"/>
          <w:szCs w:val="24"/>
        </w:rPr>
      </w:pPr>
      <w:r w:rsidRPr="00E775C6">
        <w:rPr>
          <w:sz w:val="24"/>
          <w:szCs w:val="24"/>
        </w:rPr>
        <w:t>Bivirkningerne er inddelt i henhold til organklasser og efter hyppighed. Frekvenserne er defineret som: Meget almindelig (≥1/10), almindelig (≥1/100 til &lt; 1/10), ikke almindelig (≥1/1000 til &lt;1/100), sjælden (≥1/10.000 til &lt;1/1000), meget sjælden (&lt;1/10.000), ikke kendt (kan ikke estimeres ud fra forhåndenværende data). Nogle af de symptomer, der rapporteres som bivirkninger, kan være migrænerelaterede symptomer.</w:t>
      </w:r>
    </w:p>
    <w:p w:rsidR="00594AD4" w:rsidRPr="00E775C6" w:rsidRDefault="00594AD4" w:rsidP="00594AD4">
      <w:pPr>
        <w:pStyle w:val="Listeafsnit"/>
        <w:keepNext/>
        <w:spacing w:before="240"/>
        <w:ind w:left="851"/>
        <w:rPr>
          <w:bCs/>
          <w:u w:val="single"/>
        </w:rPr>
      </w:pPr>
      <w:r w:rsidRPr="00E775C6">
        <w:rPr>
          <w:bCs/>
          <w:u w:val="single"/>
        </w:rPr>
        <w:t>Immunsystemet</w:t>
      </w:r>
    </w:p>
    <w:p w:rsidR="00594AD4" w:rsidRPr="00E775C6" w:rsidRDefault="00594AD4" w:rsidP="00594AD4">
      <w:pPr>
        <w:pStyle w:val="Listeafsnit"/>
        <w:ind w:left="2694" w:hanging="1843"/>
      </w:pPr>
      <w:r w:rsidRPr="00E775C6">
        <w:t>Ikke kendt:</w:t>
      </w:r>
      <w:r w:rsidRPr="00E775C6">
        <w:tab/>
        <w:t xml:space="preserve">Overfølsomhedsreaktioner fra hudreaktioner (f.eks. </w:t>
      </w:r>
      <w:proofErr w:type="spellStart"/>
      <w:r w:rsidRPr="00E775C6">
        <w:t>urticaria</w:t>
      </w:r>
      <w:proofErr w:type="spellEnd"/>
      <w:r w:rsidRPr="00E775C6">
        <w:t>) til anafylaksi.</w:t>
      </w:r>
    </w:p>
    <w:p w:rsidR="00594AD4" w:rsidRPr="00E775C6" w:rsidRDefault="00594AD4" w:rsidP="00594AD4">
      <w:pPr>
        <w:pStyle w:val="Listeafsnit"/>
        <w:ind w:left="851"/>
        <w:rPr>
          <w:b/>
          <w:bCs/>
          <w:i/>
        </w:rPr>
      </w:pPr>
    </w:p>
    <w:p w:rsidR="00594AD4" w:rsidRPr="00E775C6" w:rsidRDefault="00594AD4" w:rsidP="00594AD4">
      <w:pPr>
        <w:pStyle w:val="Listeafsnit"/>
        <w:keepNext/>
        <w:spacing w:before="240"/>
        <w:ind w:left="851"/>
        <w:rPr>
          <w:bCs/>
          <w:u w:val="single"/>
        </w:rPr>
      </w:pPr>
      <w:r w:rsidRPr="00E775C6">
        <w:rPr>
          <w:bCs/>
          <w:u w:val="single"/>
        </w:rPr>
        <w:t>Psykiske forstyrrelser</w:t>
      </w:r>
    </w:p>
    <w:p w:rsidR="00594AD4" w:rsidRPr="00E775C6" w:rsidRDefault="00594AD4" w:rsidP="00594AD4">
      <w:pPr>
        <w:pStyle w:val="Listeafsnit"/>
        <w:ind w:left="2694" w:hanging="1843"/>
      </w:pPr>
      <w:r w:rsidRPr="00E775C6">
        <w:t>Ikke kendt:</w:t>
      </w:r>
      <w:r w:rsidRPr="00E775C6">
        <w:tab/>
        <w:t>Angst.</w:t>
      </w:r>
    </w:p>
    <w:p w:rsidR="00594AD4" w:rsidRPr="00E775C6" w:rsidRDefault="00594AD4" w:rsidP="00594AD4">
      <w:pPr>
        <w:pStyle w:val="Listeafsnit"/>
        <w:autoSpaceDE w:val="0"/>
        <w:autoSpaceDN w:val="0"/>
        <w:adjustRightInd w:val="0"/>
        <w:ind w:left="851"/>
      </w:pPr>
    </w:p>
    <w:p w:rsidR="00594AD4" w:rsidRPr="00E775C6" w:rsidRDefault="00594AD4" w:rsidP="00594AD4">
      <w:pPr>
        <w:pStyle w:val="Listeafsnit"/>
        <w:spacing w:before="240"/>
        <w:ind w:left="851"/>
        <w:rPr>
          <w:bCs/>
          <w:u w:val="single"/>
        </w:rPr>
      </w:pPr>
      <w:r w:rsidRPr="00E775C6">
        <w:rPr>
          <w:bCs/>
          <w:u w:val="single"/>
        </w:rPr>
        <w:t>Nervesystemet</w:t>
      </w:r>
    </w:p>
    <w:p w:rsidR="00594AD4" w:rsidRPr="00E775C6" w:rsidRDefault="00594AD4" w:rsidP="00594AD4">
      <w:pPr>
        <w:pStyle w:val="Listeafsnit"/>
        <w:ind w:left="2694" w:hanging="1843"/>
      </w:pPr>
      <w:r w:rsidRPr="00E775C6">
        <w:t>Almindelig:</w:t>
      </w:r>
      <w:r w:rsidRPr="00E775C6">
        <w:tab/>
        <w:t xml:space="preserve">Svimmelhed, sløvhed, føleforstyrrelser inklusive </w:t>
      </w:r>
      <w:proofErr w:type="spellStart"/>
      <w:r w:rsidRPr="00E775C6">
        <w:t>paræstesi</w:t>
      </w:r>
      <w:proofErr w:type="spellEnd"/>
      <w:r w:rsidRPr="00E775C6">
        <w:t xml:space="preserve"> samt </w:t>
      </w:r>
      <w:proofErr w:type="spellStart"/>
      <w:r w:rsidRPr="00E775C6">
        <w:t>hypoæstesi</w:t>
      </w:r>
      <w:proofErr w:type="spellEnd"/>
      <w:r w:rsidRPr="00E775C6">
        <w:t>.</w:t>
      </w:r>
    </w:p>
    <w:p w:rsidR="00594AD4" w:rsidRPr="00E775C6" w:rsidRDefault="00594AD4" w:rsidP="00594AD4">
      <w:pPr>
        <w:pStyle w:val="Listeafsnit"/>
        <w:ind w:left="2694" w:hanging="1843"/>
      </w:pPr>
      <w:r w:rsidRPr="00E775C6">
        <w:t>Ikke kendt:</w:t>
      </w:r>
      <w:r w:rsidRPr="00E775C6">
        <w:tab/>
        <w:t xml:space="preserve">Krampeanfald, selv om nogle af disse er forekommet hos patienter, som enten har haft krampeanfald i anamnesen eller samtidige lidelser, som disponerer for krampeanfald. Der foreligger også rapporter om kramper hos patienter uden tydelige disponerende faktorer. </w:t>
      </w:r>
      <w:proofErr w:type="spellStart"/>
      <w:r w:rsidRPr="00E775C6">
        <w:t>Tremor</w:t>
      </w:r>
      <w:proofErr w:type="spellEnd"/>
      <w:r w:rsidRPr="00E775C6">
        <w:t xml:space="preserve">, </w:t>
      </w:r>
      <w:proofErr w:type="spellStart"/>
      <w:r w:rsidRPr="00E775C6">
        <w:t>dystoni</w:t>
      </w:r>
      <w:proofErr w:type="spellEnd"/>
      <w:r w:rsidRPr="00E775C6">
        <w:t xml:space="preserve">, nystagmus, </w:t>
      </w:r>
      <w:proofErr w:type="spellStart"/>
      <w:r w:rsidRPr="00E775C6">
        <w:t>skotom</w:t>
      </w:r>
      <w:proofErr w:type="spellEnd"/>
      <w:r w:rsidRPr="00E775C6">
        <w:t>.</w:t>
      </w:r>
    </w:p>
    <w:p w:rsidR="00594AD4" w:rsidRPr="00E775C6" w:rsidRDefault="00594AD4" w:rsidP="00594AD4">
      <w:pPr>
        <w:pStyle w:val="Listeafsnit"/>
        <w:ind w:left="851"/>
        <w:rPr>
          <w:b/>
          <w:bCs/>
        </w:rPr>
      </w:pPr>
    </w:p>
    <w:p w:rsidR="00594AD4" w:rsidRPr="00E775C6" w:rsidRDefault="00594AD4" w:rsidP="00594AD4">
      <w:pPr>
        <w:pStyle w:val="Listeafsnit"/>
        <w:keepNext/>
        <w:spacing w:before="240"/>
        <w:ind w:left="851"/>
        <w:rPr>
          <w:bCs/>
          <w:u w:val="single"/>
        </w:rPr>
      </w:pPr>
      <w:r w:rsidRPr="00E775C6">
        <w:rPr>
          <w:bCs/>
          <w:u w:val="single"/>
        </w:rPr>
        <w:t>Øjne</w:t>
      </w:r>
    </w:p>
    <w:p w:rsidR="00594AD4" w:rsidRPr="00E775C6" w:rsidRDefault="00594AD4" w:rsidP="00594AD4">
      <w:pPr>
        <w:pStyle w:val="Listeafsnit"/>
        <w:keepNext/>
        <w:ind w:left="2694" w:hanging="1843"/>
      </w:pPr>
      <w:r w:rsidRPr="00E775C6">
        <w:t>Ikke kendt:</w:t>
      </w:r>
      <w:r w:rsidRPr="00E775C6">
        <w:tab/>
        <w:t xml:space="preserve">Flimren for øjnene, </w:t>
      </w:r>
      <w:proofErr w:type="spellStart"/>
      <w:r w:rsidRPr="00E775C6">
        <w:t>diplopi</w:t>
      </w:r>
      <w:proofErr w:type="spellEnd"/>
      <w:r w:rsidRPr="00E775C6">
        <w:t>, nedsat syn</w:t>
      </w:r>
      <w:r w:rsidR="00B435D5" w:rsidRPr="00E775C6">
        <w:t>, s</w:t>
      </w:r>
      <w:r w:rsidRPr="00E775C6">
        <w:t>ynstab, herunder rapporter om permanente skader. Der kan imidlertid også opstå synsforstyrrelser under selve migræneanfaldet.</w:t>
      </w:r>
    </w:p>
    <w:p w:rsidR="00594AD4" w:rsidRPr="00E775C6" w:rsidRDefault="00594AD4" w:rsidP="00594AD4">
      <w:pPr>
        <w:pStyle w:val="Listeafsnit"/>
        <w:spacing w:before="240"/>
        <w:ind w:left="851"/>
        <w:rPr>
          <w:b/>
          <w:bCs/>
        </w:rPr>
      </w:pPr>
    </w:p>
    <w:p w:rsidR="00594AD4" w:rsidRPr="00E775C6" w:rsidRDefault="00594AD4" w:rsidP="00594AD4">
      <w:pPr>
        <w:pStyle w:val="Listeafsnit"/>
        <w:spacing w:before="240"/>
        <w:ind w:left="851"/>
        <w:rPr>
          <w:bCs/>
          <w:u w:val="single"/>
        </w:rPr>
      </w:pPr>
      <w:r w:rsidRPr="00E775C6">
        <w:rPr>
          <w:bCs/>
          <w:u w:val="single"/>
        </w:rPr>
        <w:t>Hjerte</w:t>
      </w:r>
    </w:p>
    <w:p w:rsidR="00594AD4" w:rsidRPr="00E775C6" w:rsidRDefault="00594AD4" w:rsidP="00594AD4">
      <w:pPr>
        <w:pStyle w:val="Listeafsnit"/>
        <w:ind w:left="2694" w:hanging="1843"/>
      </w:pPr>
      <w:r w:rsidRPr="00E775C6">
        <w:t>Ikke kendt:</w:t>
      </w:r>
      <w:r w:rsidRPr="00E775C6">
        <w:tab/>
        <w:t xml:space="preserve">Bradykardi, </w:t>
      </w:r>
      <w:proofErr w:type="spellStart"/>
      <w:r w:rsidRPr="00E775C6">
        <w:t>takykardi</w:t>
      </w:r>
      <w:proofErr w:type="spellEnd"/>
      <w:r w:rsidRPr="00E775C6">
        <w:t xml:space="preserve">, </w:t>
      </w:r>
      <w:proofErr w:type="spellStart"/>
      <w:r w:rsidRPr="00E775C6">
        <w:t>palpitationer</w:t>
      </w:r>
      <w:proofErr w:type="spellEnd"/>
      <w:r w:rsidRPr="00E775C6">
        <w:t xml:space="preserve">, </w:t>
      </w:r>
      <w:proofErr w:type="spellStart"/>
      <w:r w:rsidRPr="00E775C6">
        <w:t>hjertearytmier</w:t>
      </w:r>
      <w:proofErr w:type="spellEnd"/>
      <w:r w:rsidRPr="00E775C6">
        <w:t xml:space="preserve">, forbigående iskæmiske EKG-forandringer, </w:t>
      </w:r>
      <w:proofErr w:type="spellStart"/>
      <w:r w:rsidRPr="00E775C6">
        <w:t>koronar</w:t>
      </w:r>
      <w:proofErr w:type="spellEnd"/>
      <w:r w:rsidRPr="00E775C6">
        <w:t xml:space="preserve"> </w:t>
      </w:r>
      <w:proofErr w:type="spellStart"/>
      <w:r w:rsidRPr="00E775C6">
        <w:t>vasospasme</w:t>
      </w:r>
      <w:proofErr w:type="spellEnd"/>
      <w:r w:rsidRPr="00E775C6">
        <w:t>, angina, myokardieinfarkt (se pkt. 4.3 og 4.4).</w:t>
      </w:r>
    </w:p>
    <w:p w:rsidR="00594AD4" w:rsidRPr="00E775C6" w:rsidRDefault="00594AD4" w:rsidP="00594AD4">
      <w:pPr>
        <w:pStyle w:val="Listeafsnit"/>
        <w:keepNext/>
        <w:spacing w:before="240"/>
        <w:ind w:left="851"/>
        <w:rPr>
          <w:b/>
          <w:bCs/>
        </w:rPr>
      </w:pPr>
    </w:p>
    <w:p w:rsidR="00594AD4" w:rsidRPr="00E775C6" w:rsidRDefault="00594AD4" w:rsidP="00594AD4">
      <w:pPr>
        <w:pStyle w:val="Listeafsnit"/>
        <w:keepNext/>
        <w:spacing w:before="240"/>
        <w:ind w:left="851"/>
        <w:rPr>
          <w:bCs/>
          <w:u w:val="single"/>
        </w:rPr>
      </w:pPr>
      <w:proofErr w:type="spellStart"/>
      <w:r w:rsidRPr="00E775C6">
        <w:rPr>
          <w:bCs/>
          <w:u w:val="single"/>
        </w:rPr>
        <w:t>Vaskulære</w:t>
      </w:r>
      <w:proofErr w:type="spellEnd"/>
      <w:r w:rsidRPr="00E775C6">
        <w:rPr>
          <w:bCs/>
          <w:u w:val="single"/>
        </w:rPr>
        <w:t xml:space="preserve"> sygdomme</w:t>
      </w:r>
    </w:p>
    <w:p w:rsidR="00594AD4" w:rsidRPr="00E775C6" w:rsidRDefault="00594AD4" w:rsidP="00594AD4">
      <w:pPr>
        <w:pStyle w:val="Listeafsnit"/>
        <w:ind w:left="2694" w:right="-199" w:hanging="1843"/>
      </w:pPr>
      <w:r w:rsidRPr="00E775C6">
        <w:t>Almindelig:</w:t>
      </w:r>
      <w:r w:rsidRPr="00E775C6">
        <w:tab/>
        <w:t>Forbigående blodtryksstigning kort tid efter behandling</w:t>
      </w:r>
      <w:r w:rsidR="00B435D5" w:rsidRPr="00E775C6">
        <w:t>, r</w:t>
      </w:r>
      <w:r w:rsidRPr="00E775C6">
        <w:t>ødmen.</w:t>
      </w:r>
    </w:p>
    <w:p w:rsidR="00594AD4" w:rsidRPr="00E775C6" w:rsidRDefault="00594AD4" w:rsidP="00594AD4">
      <w:pPr>
        <w:pStyle w:val="Listeafsnit"/>
        <w:ind w:left="2694" w:right="-199" w:hanging="1843"/>
      </w:pPr>
      <w:r w:rsidRPr="00E775C6">
        <w:t>Ikke kendt:</w:t>
      </w:r>
      <w:r w:rsidRPr="00E775C6">
        <w:tab/>
        <w:t xml:space="preserve">Hypotension, </w:t>
      </w:r>
      <w:proofErr w:type="spellStart"/>
      <w:r w:rsidRPr="00E775C6">
        <w:t>Raynauds</w:t>
      </w:r>
      <w:proofErr w:type="spellEnd"/>
      <w:r w:rsidRPr="00E775C6">
        <w:t xml:space="preserve"> syndrom.</w:t>
      </w:r>
    </w:p>
    <w:p w:rsidR="00594AD4" w:rsidRPr="00E775C6" w:rsidRDefault="00594AD4" w:rsidP="00594AD4">
      <w:pPr>
        <w:pStyle w:val="Listeafsnit"/>
        <w:keepNext/>
        <w:spacing w:before="240"/>
        <w:ind w:left="851"/>
        <w:rPr>
          <w:b/>
          <w:bCs/>
        </w:rPr>
      </w:pPr>
    </w:p>
    <w:p w:rsidR="00594AD4" w:rsidRPr="00E775C6" w:rsidRDefault="00594AD4" w:rsidP="00594AD4">
      <w:pPr>
        <w:pStyle w:val="Listeafsnit"/>
        <w:keepNext/>
        <w:spacing w:before="240"/>
        <w:ind w:left="851"/>
        <w:rPr>
          <w:bCs/>
          <w:u w:val="single"/>
        </w:rPr>
      </w:pPr>
      <w:r w:rsidRPr="00E775C6">
        <w:rPr>
          <w:bCs/>
          <w:u w:val="single"/>
        </w:rPr>
        <w:t xml:space="preserve">Luftveje, thorax og </w:t>
      </w:r>
      <w:proofErr w:type="spellStart"/>
      <w:r w:rsidRPr="00E775C6">
        <w:rPr>
          <w:bCs/>
          <w:u w:val="single"/>
        </w:rPr>
        <w:t>mediastinum</w:t>
      </w:r>
      <w:proofErr w:type="spellEnd"/>
    </w:p>
    <w:p w:rsidR="00594AD4" w:rsidRPr="00E775C6" w:rsidRDefault="00594AD4" w:rsidP="00594AD4">
      <w:pPr>
        <w:pStyle w:val="Listeafsnit"/>
        <w:ind w:left="2694" w:right="-199" w:hanging="1843"/>
      </w:pPr>
      <w:r w:rsidRPr="00E775C6">
        <w:t>Almindelig:</w:t>
      </w:r>
      <w:r w:rsidRPr="00E775C6">
        <w:tab/>
        <w:t>Dyspnø.</w:t>
      </w:r>
    </w:p>
    <w:p w:rsidR="00594AD4" w:rsidRPr="00E775C6" w:rsidRDefault="00594AD4" w:rsidP="00594AD4">
      <w:pPr>
        <w:pStyle w:val="Listeafsnit"/>
        <w:keepNext/>
        <w:spacing w:before="240"/>
        <w:ind w:left="851"/>
        <w:rPr>
          <w:b/>
          <w:bCs/>
        </w:rPr>
      </w:pPr>
    </w:p>
    <w:p w:rsidR="00594AD4" w:rsidRPr="00E775C6" w:rsidRDefault="00594AD4" w:rsidP="00594AD4">
      <w:pPr>
        <w:pStyle w:val="Listeafsnit"/>
        <w:keepNext/>
        <w:spacing w:before="240"/>
        <w:ind w:left="851"/>
        <w:rPr>
          <w:bCs/>
          <w:u w:val="single"/>
        </w:rPr>
      </w:pPr>
      <w:proofErr w:type="spellStart"/>
      <w:r w:rsidRPr="00E775C6">
        <w:rPr>
          <w:bCs/>
          <w:u w:val="single"/>
        </w:rPr>
        <w:t>Mave-tarmkanalen</w:t>
      </w:r>
      <w:proofErr w:type="spellEnd"/>
    </w:p>
    <w:p w:rsidR="00594AD4" w:rsidRPr="00E775C6" w:rsidRDefault="00594AD4" w:rsidP="00594AD4">
      <w:pPr>
        <w:pStyle w:val="Listeafsnit"/>
        <w:ind w:left="2694" w:right="-199" w:hanging="1843"/>
      </w:pPr>
      <w:r w:rsidRPr="00E775C6">
        <w:t>Almindelig:</w:t>
      </w:r>
      <w:r w:rsidRPr="00E775C6">
        <w:tab/>
        <w:t xml:space="preserve">Nogle patienter fik kvalme og kastede op, men det er uklart, om dette skyldtes </w:t>
      </w:r>
      <w:proofErr w:type="spellStart"/>
      <w:r w:rsidRPr="00E775C6">
        <w:t>sumatriptan</w:t>
      </w:r>
      <w:proofErr w:type="spellEnd"/>
      <w:r w:rsidRPr="00E775C6">
        <w:t xml:space="preserve"> eller den underliggende sygdom.</w:t>
      </w:r>
    </w:p>
    <w:p w:rsidR="00594AD4" w:rsidRPr="00E775C6" w:rsidRDefault="00594AD4" w:rsidP="00594AD4">
      <w:pPr>
        <w:pStyle w:val="Listeafsnit"/>
        <w:ind w:left="2694" w:right="-199" w:hanging="1843"/>
      </w:pPr>
      <w:r w:rsidRPr="00E775C6">
        <w:t>Ikke kendt:</w:t>
      </w:r>
      <w:r w:rsidRPr="00E775C6">
        <w:tab/>
        <w:t>Iskæmisk colitis</w:t>
      </w:r>
      <w:r w:rsidR="00B435D5" w:rsidRPr="00E775C6">
        <w:t>, diarré</w:t>
      </w:r>
      <w:r w:rsidR="00386C75">
        <w:t xml:space="preserve">, </w:t>
      </w:r>
      <w:proofErr w:type="spellStart"/>
      <w:r w:rsidR="00386C75">
        <w:t>dysfagi</w:t>
      </w:r>
      <w:proofErr w:type="spellEnd"/>
      <w:r w:rsidR="00386C75">
        <w:t>.</w:t>
      </w:r>
    </w:p>
    <w:p w:rsidR="00594AD4" w:rsidRPr="00E775C6" w:rsidRDefault="00594AD4" w:rsidP="00594AD4">
      <w:pPr>
        <w:pStyle w:val="Listeafsnit"/>
        <w:spacing w:before="240"/>
        <w:ind w:left="851"/>
        <w:rPr>
          <w:b/>
          <w:bCs/>
        </w:rPr>
      </w:pPr>
    </w:p>
    <w:p w:rsidR="00594AD4" w:rsidRPr="00E775C6" w:rsidRDefault="00594AD4" w:rsidP="00594AD4">
      <w:pPr>
        <w:pStyle w:val="Listeafsnit"/>
        <w:keepNext/>
        <w:spacing w:before="240"/>
        <w:ind w:left="851"/>
        <w:rPr>
          <w:bCs/>
          <w:u w:val="single"/>
        </w:rPr>
      </w:pPr>
      <w:r w:rsidRPr="00E775C6">
        <w:rPr>
          <w:bCs/>
          <w:u w:val="single"/>
        </w:rPr>
        <w:t>Hud og subkutane væv</w:t>
      </w:r>
    </w:p>
    <w:p w:rsidR="00594AD4" w:rsidRPr="00E775C6" w:rsidRDefault="00594AD4" w:rsidP="00594AD4">
      <w:pPr>
        <w:pStyle w:val="Listeafsnit"/>
        <w:ind w:left="2694" w:right="-199" w:hanging="1843"/>
      </w:pPr>
      <w:r w:rsidRPr="00E775C6">
        <w:t>Ikke kendt:</w:t>
      </w:r>
      <w:r w:rsidRPr="00E775C6">
        <w:rPr>
          <w:b/>
          <w:bCs/>
        </w:rPr>
        <w:tab/>
      </w:r>
      <w:proofErr w:type="spellStart"/>
      <w:r w:rsidRPr="00E775C6">
        <w:t>Hyperhidrose</w:t>
      </w:r>
      <w:proofErr w:type="spellEnd"/>
      <w:r w:rsidRPr="00E775C6">
        <w:t>.</w:t>
      </w:r>
    </w:p>
    <w:p w:rsidR="00594AD4" w:rsidRPr="00E775C6" w:rsidRDefault="00594AD4" w:rsidP="00594AD4">
      <w:pPr>
        <w:pStyle w:val="Listeafsnit"/>
        <w:spacing w:before="240"/>
        <w:ind w:left="851"/>
        <w:rPr>
          <w:b/>
          <w:bCs/>
        </w:rPr>
      </w:pPr>
    </w:p>
    <w:p w:rsidR="00594AD4" w:rsidRPr="00E775C6" w:rsidRDefault="00594AD4" w:rsidP="00594AD4">
      <w:pPr>
        <w:pStyle w:val="Listeafsnit"/>
        <w:keepNext/>
        <w:spacing w:before="240"/>
        <w:ind w:left="851"/>
        <w:rPr>
          <w:bCs/>
          <w:u w:val="single"/>
        </w:rPr>
      </w:pPr>
      <w:r w:rsidRPr="00E775C6">
        <w:rPr>
          <w:bCs/>
          <w:u w:val="single"/>
        </w:rPr>
        <w:t>Knogler, led, muskler og bindevæv</w:t>
      </w:r>
    </w:p>
    <w:p w:rsidR="00594AD4" w:rsidRPr="00E775C6" w:rsidRDefault="00594AD4" w:rsidP="00594AD4">
      <w:pPr>
        <w:pStyle w:val="Listeafsnit"/>
        <w:ind w:left="2694" w:hanging="1843"/>
      </w:pPr>
      <w:r w:rsidRPr="00E775C6">
        <w:t>Almindelig:</w:t>
      </w:r>
      <w:r w:rsidRPr="00E775C6">
        <w:tab/>
        <w:t>Tyngdefornemmelse (normalt forbigående, men kan være intens og påvirke alle dele af kroppen, herunder bryst og hals)</w:t>
      </w:r>
      <w:r w:rsidR="00B435D5" w:rsidRPr="00E775C6">
        <w:t>, m</w:t>
      </w:r>
      <w:r w:rsidRPr="00E775C6">
        <w:t>yalgi.</w:t>
      </w:r>
    </w:p>
    <w:p w:rsidR="00594AD4" w:rsidRPr="00E775C6" w:rsidRDefault="00594AD4" w:rsidP="00594AD4">
      <w:pPr>
        <w:pStyle w:val="Listeafsnit"/>
        <w:ind w:left="2694" w:hanging="1843"/>
      </w:pPr>
      <w:r w:rsidRPr="00E775C6">
        <w:t>Ikke kendt:</w:t>
      </w:r>
      <w:r w:rsidRPr="00E775C6">
        <w:rPr>
          <w:snapToGrid w:val="0"/>
        </w:rPr>
        <w:tab/>
      </w:r>
      <w:r w:rsidRPr="00E775C6">
        <w:t>Nakkestivhed</w:t>
      </w:r>
      <w:r w:rsidR="00B435D5" w:rsidRPr="00E775C6">
        <w:t xml:space="preserve">, </w:t>
      </w:r>
      <w:proofErr w:type="spellStart"/>
      <w:r w:rsidR="00B435D5" w:rsidRPr="00E775C6">
        <w:t>a</w:t>
      </w:r>
      <w:r w:rsidR="00E71656">
        <w:t>r</w:t>
      </w:r>
      <w:r w:rsidR="00B435D5" w:rsidRPr="00E775C6">
        <w:t>tralgi</w:t>
      </w:r>
      <w:proofErr w:type="spellEnd"/>
      <w:r w:rsidR="00386C75">
        <w:t>.</w:t>
      </w:r>
    </w:p>
    <w:p w:rsidR="00594AD4" w:rsidRPr="00E775C6" w:rsidRDefault="00594AD4" w:rsidP="00594AD4">
      <w:pPr>
        <w:pStyle w:val="Listeafsnit"/>
        <w:ind w:left="851"/>
      </w:pPr>
    </w:p>
    <w:p w:rsidR="00594AD4" w:rsidRPr="00E775C6" w:rsidRDefault="00594AD4" w:rsidP="00594AD4">
      <w:pPr>
        <w:pStyle w:val="Listeafsnit"/>
        <w:keepNext/>
        <w:spacing w:before="240"/>
        <w:ind w:left="851"/>
        <w:rPr>
          <w:bCs/>
          <w:u w:val="single"/>
        </w:rPr>
      </w:pPr>
      <w:r w:rsidRPr="00E775C6">
        <w:rPr>
          <w:bCs/>
          <w:u w:val="single"/>
        </w:rPr>
        <w:t>Almene symptomer og reaktioner på administrationsstedet</w:t>
      </w:r>
    </w:p>
    <w:p w:rsidR="00594AD4" w:rsidRDefault="00594AD4" w:rsidP="00594AD4">
      <w:pPr>
        <w:pStyle w:val="Listeafsnit"/>
        <w:ind w:left="2694" w:right="-199" w:hanging="1843"/>
      </w:pPr>
      <w:r w:rsidRPr="00E775C6">
        <w:t>Almindelig:</w:t>
      </w:r>
      <w:r w:rsidRPr="00E775C6">
        <w:tab/>
        <w:t>Smerte, fornemmelse af varme eller kulde, tryk eller sammensnøring (disse bivirkninger er normalt forbigående, men kan være intense og påvirke alle dele af kroppen, herunder bryst og hals). Følelse af svaghed, træthed (begge bivirkninger er overvejende lette til moderate i intensitet og forbigående).</w:t>
      </w:r>
    </w:p>
    <w:p w:rsidR="00386C75" w:rsidRDefault="00386C75" w:rsidP="00386C75">
      <w:pPr>
        <w:pStyle w:val="Listeafsnit"/>
        <w:ind w:left="2694" w:right="-199" w:hanging="1843"/>
      </w:pPr>
      <w:r>
        <w:t xml:space="preserve">Ikke kendt: </w:t>
      </w:r>
      <w:r>
        <w:tab/>
        <w:t>Aktiveret smertetraume, aktiveret inflammationssmerte</w:t>
      </w:r>
      <w:r>
        <w:t>.</w:t>
      </w:r>
    </w:p>
    <w:p w:rsidR="00386C75" w:rsidRPr="00E775C6" w:rsidRDefault="00386C75" w:rsidP="00594AD4">
      <w:pPr>
        <w:pStyle w:val="Listeafsnit"/>
        <w:ind w:left="2694" w:right="-199" w:hanging="1843"/>
      </w:pPr>
    </w:p>
    <w:p w:rsidR="00594AD4" w:rsidRPr="00E775C6" w:rsidRDefault="00594AD4" w:rsidP="00594AD4">
      <w:pPr>
        <w:pStyle w:val="Listeafsnit"/>
        <w:keepNext/>
        <w:spacing w:before="240"/>
        <w:ind w:left="851"/>
        <w:rPr>
          <w:b/>
          <w:bCs/>
          <w:i/>
        </w:rPr>
      </w:pPr>
      <w:r w:rsidRPr="00E775C6">
        <w:rPr>
          <w:bCs/>
          <w:u w:val="single"/>
        </w:rPr>
        <w:t>Undersøgelser</w:t>
      </w:r>
    </w:p>
    <w:p w:rsidR="00594AD4" w:rsidRPr="00E775C6" w:rsidRDefault="00594AD4" w:rsidP="00594AD4">
      <w:pPr>
        <w:pStyle w:val="Listeafsnit"/>
        <w:ind w:left="2694" w:hanging="1843"/>
      </w:pPr>
      <w:r w:rsidRPr="00E775C6">
        <w:t>Meget sjælden:</w:t>
      </w:r>
      <w:r w:rsidRPr="00E775C6">
        <w:tab/>
        <w:t>Der er i enkelte tilfælde observeret mindre afvigelser i leverfunktionsprøver.</w:t>
      </w:r>
    </w:p>
    <w:p w:rsidR="00594AD4" w:rsidRPr="00E775C6" w:rsidRDefault="00594AD4" w:rsidP="00594AD4">
      <w:pPr>
        <w:pStyle w:val="Listeafsnit"/>
        <w:ind w:left="851" w:right="-199"/>
        <w:rPr>
          <w:b/>
          <w:bCs/>
          <w:i/>
        </w:rPr>
      </w:pPr>
    </w:p>
    <w:p w:rsidR="00594AD4" w:rsidRPr="00E775C6" w:rsidRDefault="00594AD4" w:rsidP="00594AD4">
      <w:pPr>
        <w:pStyle w:val="Listeafsnit"/>
        <w:ind w:left="851"/>
        <w:rPr>
          <w:u w:val="single"/>
        </w:rPr>
      </w:pPr>
      <w:r w:rsidRPr="00E775C6">
        <w:rPr>
          <w:u w:val="single"/>
        </w:rPr>
        <w:t>Indberetning af formodede bivirkninger</w:t>
      </w:r>
    </w:p>
    <w:p w:rsidR="00594AD4" w:rsidRPr="00E775C6" w:rsidRDefault="00594AD4" w:rsidP="00594AD4">
      <w:pPr>
        <w:pStyle w:val="Listeafsnit"/>
        <w:ind w:left="851"/>
      </w:pPr>
      <w:r w:rsidRPr="00E775C6">
        <w:t>Når lægemidlet er godkendt, er indberetning af formodede bivirkninger vigtig. Det muliggør løbende overvågning af benefit/</w:t>
      </w:r>
      <w:proofErr w:type="spellStart"/>
      <w:r w:rsidRPr="00E775C6">
        <w:t>risk</w:t>
      </w:r>
      <w:proofErr w:type="spellEnd"/>
      <w:r w:rsidRPr="00E775C6">
        <w:t xml:space="preserve">-forholdet for lægemidlet. </w:t>
      </w:r>
      <w:r w:rsidR="00386C75">
        <w:t>S</w:t>
      </w:r>
      <w:r w:rsidRPr="00E775C6">
        <w:t>undhedspersone</w:t>
      </w:r>
      <w:r w:rsidR="00386C75">
        <w:t>r</w:t>
      </w:r>
      <w:r w:rsidRPr="00E775C6">
        <w:t xml:space="preserve"> anmodes om at indberette alle formodede bivirkninger via: </w:t>
      </w:r>
    </w:p>
    <w:p w:rsidR="00594AD4" w:rsidRPr="00E775C6" w:rsidRDefault="00594AD4" w:rsidP="00594AD4">
      <w:pPr>
        <w:pStyle w:val="Listeafsnit"/>
        <w:ind w:left="851"/>
      </w:pPr>
    </w:p>
    <w:p w:rsidR="00594AD4" w:rsidRPr="00E775C6" w:rsidRDefault="00594AD4" w:rsidP="00594AD4">
      <w:pPr>
        <w:pStyle w:val="Listeafsnit"/>
        <w:ind w:left="851"/>
      </w:pPr>
      <w:r w:rsidRPr="00E775C6">
        <w:t>Lægemiddelstyrelsen</w:t>
      </w:r>
    </w:p>
    <w:p w:rsidR="00594AD4" w:rsidRPr="00E775C6" w:rsidRDefault="00594AD4" w:rsidP="00594AD4">
      <w:pPr>
        <w:pStyle w:val="Listeafsnit"/>
        <w:ind w:left="851"/>
      </w:pPr>
      <w:r w:rsidRPr="00E775C6">
        <w:t>Axel Heides Gade 1</w:t>
      </w:r>
    </w:p>
    <w:p w:rsidR="00594AD4" w:rsidRPr="00E775C6" w:rsidRDefault="00594AD4" w:rsidP="00594AD4">
      <w:pPr>
        <w:pStyle w:val="Listeafsnit"/>
        <w:ind w:left="851"/>
      </w:pPr>
      <w:r w:rsidRPr="00E775C6">
        <w:t>DK-2300 København</w:t>
      </w:r>
    </w:p>
    <w:p w:rsidR="00594AD4" w:rsidRPr="00E775C6" w:rsidRDefault="00594AD4" w:rsidP="00B435D5">
      <w:pPr>
        <w:pStyle w:val="Listeafsnit"/>
        <w:ind w:left="851"/>
      </w:pPr>
      <w:r w:rsidRPr="00E775C6">
        <w:t xml:space="preserve">Websted: </w:t>
      </w:r>
      <w:hyperlink r:id="rId8" w:history="1">
        <w:r w:rsidRPr="00E775C6">
          <w:rPr>
            <w:rStyle w:val="Hyperlink"/>
          </w:rPr>
          <w:t>www.meldenbivirkning.dk</w:t>
        </w:r>
      </w:hyperlink>
      <w:r w:rsidRPr="00E775C6">
        <w:t xml:space="preserve"> </w:t>
      </w:r>
    </w:p>
    <w:p w:rsidR="00594AD4" w:rsidRPr="00E775C6" w:rsidRDefault="00594AD4" w:rsidP="00594AD4">
      <w:pPr>
        <w:pStyle w:val="Listeafsnit"/>
        <w:ind w:left="855"/>
      </w:pPr>
    </w:p>
    <w:p w:rsidR="002A44A0" w:rsidRPr="00E775C6" w:rsidRDefault="00594AD4" w:rsidP="00E775C6">
      <w:pPr>
        <w:pStyle w:val="Listeafsnit"/>
        <w:numPr>
          <w:ilvl w:val="1"/>
          <w:numId w:val="11"/>
        </w:numPr>
        <w:suppressAutoHyphens/>
        <w:ind w:left="851" w:hanging="851"/>
        <w:rPr>
          <w:b/>
        </w:rPr>
      </w:pPr>
      <w:r w:rsidRPr="00E775C6">
        <w:rPr>
          <w:b/>
        </w:rPr>
        <w:t>Overdosering</w:t>
      </w:r>
    </w:p>
    <w:p w:rsidR="00594AD4" w:rsidRPr="00E775C6" w:rsidRDefault="00594AD4" w:rsidP="00594AD4">
      <w:pPr>
        <w:pStyle w:val="Listeafsnit"/>
        <w:suppressAutoHyphens/>
        <w:ind w:left="855"/>
        <w:jc w:val="both"/>
        <w:rPr>
          <w:u w:val="single"/>
        </w:rPr>
      </w:pPr>
      <w:r w:rsidRPr="00E775C6">
        <w:rPr>
          <w:u w:val="single"/>
        </w:rPr>
        <w:t>Tegn og symptomer</w:t>
      </w:r>
    </w:p>
    <w:p w:rsidR="00594AD4" w:rsidRPr="00E775C6" w:rsidRDefault="00594AD4" w:rsidP="00594AD4">
      <w:pPr>
        <w:pStyle w:val="Listeafsnit"/>
        <w:ind w:left="855"/>
      </w:pPr>
      <w:r w:rsidRPr="00E775C6">
        <w:t xml:space="preserve">Doser på over 400 mg peroralt og 16 mg subkutant er ikke blevet knyttet til andre </w:t>
      </w:r>
      <w:r w:rsidRPr="00E775C6">
        <w:rPr>
          <w:lang w:val="it-IT"/>
        </w:rPr>
        <w:t xml:space="preserve">bivirkninger end de nævnte. </w:t>
      </w:r>
      <w:r w:rsidRPr="00E775C6">
        <w:t xml:space="preserve">Patienter har modtaget op til 12 mg </w:t>
      </w:r>
      <w:proofErr w:type="spellStart"/>
      <w:r w:rsidRPr="00E775C6">
        <w:t>sumatriptan</w:t>
      </w:r>
      <w:proofErr w:type="spellEnd"/>
      <w:r w:rsidRPr="00E775C6">
        <w:t xml:space="preserve"> som en enkelt subkutan injektion uden signifikante bivirkninger.</w:t>
      </w:r>
    </w:p>
    <w:p w:rsidR="00594AD4" w:rsidRPr="00E775C6" w:rsidRDefault="00594AD4" w:rsidP="00594AD4">
      <w:pPr>
        <w:pStyle w:val="leipa"/>
        <w:spacing w:before="0" w:beforeAutospacing="0" w:after="0" w:afterAutospacing="0"/>
        <w:ind w:left="855"/>
        <w:rPr>
          <w:rFonts w:ascii="Times New Roman" w:hAnsi="Times New Roman" w:cs="Times New Roman"/>
          <w:color w:val="auto"/>
          <w:sz w:val="24"/>
          <w:szCs w:val="24"/>
          <w:lang w:val="da-DK"/>
        </w:rPr>
      </w:pPr>
    </w:p>
    <w:p w:rsidR="00594AD4" w:rsidRPr="00E775C6" w:rsidRDefault="00594AD4" w:rsidP="00594AD4">
      <w:pPr>
        <w:pStyle w:val="leipa"/>
        <w:keepNext/>
        <w:spacing w:before="0" w:beforeAutospacing="0" w:after="0" w:afterAutospacing="0"/>
        <w:ind w:left="856"/>
        <w:rPr>
          <w:rFonts w:ascii="Times New Roman" w:hAnsi="Times New Roman" w:cs="Times New Roman"/>
          <w:color w:val="auto"/>
          <w:sz w:val="24"/>
          <w:szCs w:val="24"/>
          <w:u w:val="single"/>
          <w:lang w:val="da-DK"/>
        </w:rPr>
      </w:pPr>
      <w:r w:rsidRPr="00E775C6">
        <w:rPr>
          <w:rFonts w:ascii="Times New Roman" w:hAnsi="Times New Roman" w:cs="Times New Roman"/>
          <w:color w:val="auto"/>
          <w:sz w:val="24"/>
          <w:szCs w:val="24"/>
          <w:u w:val="single"/>
          <w:lang w:val="da-DK"/>
        </w:rPr>
        <w:t>Behandling</w:t>
      </w:r>
    </w:p>
    <w:p w:rsidR="00594AD4" w:rsidRPr="00E775C6" w:rsidRDefault="00594AD4" w:rsidP="00594AD4">
      <w:pPr>
        <w:pStyle w:val="leipa"/>
        <w:spacing w:before="0" w:beforeAutospacing="0" w:after="0" w:afterAutospacing="0"/>
        <w:ind w:left="855"/>
        <w:rPr>
          <w:rFonts w:ascii="Times New Roman" w:hAnsi="Times New Roman" w:cs="Times New Roman"/>
          <w:color w:val="auto"/>
          <w:sz w:val="24"/>
          <w:szCs w:val="24"/>
          <w:lang w:val="da-DK"/>
        </w:rPr>
      </w:pPr>
      <w:r w:rsidRPr="00E775C6">
        <w:rPr>
          <w:rFonts w:ascii="Times New Roman" w:hAnsi="Times New Roman" w:cs="Times New Roman"/>
          <w:color w:val="auto"/>
          <w:sz w:val="24"/>
          <w:szCs w:val="24"/>
          <w:lang w:val="da-DK"/>
        </w:rPr>
        <w:t xml:space="preserve">Hvis der </w:t>
      </w:r>
      <w:r w:rsidRPr="00E775C6">
        <w:rPr>
          <w:rFonts w:ascii="Times New Roman" w:eastAsia="Times New Roman" w:hAnsi="Times New Roman" w:cs="Times New Roman"/>
          <w:color w:val="auto"/>
          <w:sz w:val="24"/>
          <w:szCs w:val="24"/>
          <w:lang w:val="da-DK"/>
        </w:rPr>
        <w:t>forekommer</w:t>
      </w:r>
      <w:r w:rsidRPr="00E775C6">
        <w:rPr>
          <w:rFonts w:ascii="Times New Roman" w:hAnsi="Times New Roman" w:cs="Times New Roman"/>
          <w:color w:val="auto"/>
          <w:sz w:val="24"/>
          <w:szCs w:val="24"/>
          <w:lang w:val="da-DK"/>
        </w:rPr>
        <w:t xml:space="preserve"> overdosering, skal patienten overvåges i mindst 10 timer</w:t>
      </w:r>
      <w:r w:rsidRPr="00E775C6">
        <w:rPr>
          <w:rFonts w:ascii="Times New Roman" w:eastAsia="Times New Roman" w:hAnsi="Times New Roman" w:cs="Times New Roman"/>
          <w:color w:val="auto"/>
          <w:sz w:val="24"/>
          <w:szCs w:val="24"/>
          <w:lang w:val="da-DK"/>
        </w:rPr>
        <w:t>,</w:t>
      </w:r>
      <w:r w:rsidRPr="00E775C6">
        <w:rPr>
          <w:rFonts w:ascii="Times New Roman" w:hAnsi="Times New Roman" w:cs="Times New Roman"/>
          <w:color w:val="auto"/>
          <w:sz w:val="24"/>
          <w:szCs w:val="24"/>
          <w:lang w:val="da-DK"/>
        </w:rPr>
        <w:t xml:space="preserve"> og </w:t>
      </w:r>
      <w:r w:rsidRPr="00E775C6">
        <w:rPr>
          <w:rFonts w:ascii="Times New Roman" w:eastAsia="Times New Roman" w:hAnsi="Times New Roman" w:cs="Times New Roman"/>
          <w:color w:val="auto"/>
          <w:sz w:val="24"/>
          <w:szCs w:val="24"/>
          <w:lang w:val="da-DK"/>
        </w:rPr>
        <w:t>der skal</w:t>
      </w:r>
      <w:r w:rsidRPr="00E775C6">
        <w:rPr>
          <w:rFonts w:ascii="Times New Roman" w:hAnsi="Times New Roman" w:cs="Times New Roman"/>
          <w:color w:val="auto"/>
          <w:sz w:val="24"/>
          <w:szCs w:val="24"/>
          <w:lang w:val="da-DK"/>
        </w:rPr>
        <w:t xml:space="preserve"> iværksættes </w:t>
      </w:r>
      <w:r w:rsidRPr="00E775C6">
        <w:rPr>
          <w:rFonts w:ascii="Times New Roman" w:eastAsia="Times New Roman" w:hAnsi="Times New Roman" w:cs="Times New Roman"/>
          <w:color w:val="auto"/>
          <w:sz w:val="24"/>
          <w:szCs w:val="24"/>
          <w:lang w:val="da-DK"/>
        </w:rPr>
        <w:t>almindelig støttende</w:t>
      </w:r>
      <w:r w:rsidRPr="00E775C6">
        <w:rPr>
          <w:rFonts w:ascii="Times New Roman" w:hAnsi="Times New Roman" w:cs="Times New Roman"/>
          <w:color w:val="auto"/>
          <w:sz w:val="24"/>
          <w:szCs w:val="24"/>
          <w:lang w:val="da-DK"/>
        </w:rPr>
        <w:t xml:space="preserve"> behandling</w:t>
      </w:r>
      <w:r w:rsidRPr="00E775C6">
        <w:rPr>
          <w:rFonts w:ascii="Times New Roman" w:eastAsia="Times New Roman" w:hAnsi="Times New Roman" w:cs="Times New Roman"/>
          <w:color w:val="auto"/>
          <w:sz w:val="24"/>
          <w:szCs w:val="24"/>
          <w:lang w:val="da-DK"/>
        </w:rPr>
        <w:t xml:space="preserve"> efter behov</w:t>
      </w:r>
      <w:r w:rsidRPr="00E775C6">
        <w:rPr>
          <w:rFonts w:ascii="Times New Roman" w:hAnsi="Times New Roman" w:cs="Times New Roman"/>
          <w:color w:val="auto"/>
          <w:sz w:val="24"/>
          <w:szCs w:val="24"/>
          <w:lang w:val="da-DK"/>
        </w:rPr>
        <w:t xml:space="preserve">. Det vides ikke, hvilken effekt hæmodialyse eller </w:t>
      </w:r>
      <w:proofErr w:type="spellStart"/>
      <w:r w:rsidRPr="00E775C6">
        <w:rPr>
          <w:rFonts w:ascii="Times New Roman" w:eastAsia="Times New Roman" w:hAnsi="Times New Roman" w:cs="Times New Roman"/>
          <w:color w:val="auto"/>
          <w:sz w:val="24"/>
          <w:szCs w:val="24"/>
          <w:lang w:val="da-DK"/>
        </w:rPr>
        <w:t>peritonealdialyse</w:t>
      </w:r>
      <w:proofErr w:type="spellEnd"/>
      <w:r w:rsidRPr="00E775C6">
        <w:rPr>
          <w:rFonts w:ascii="Times New Roman" w:hAnsi="Times New Roman" w:cs="Times New Roman"/>
          <w:color w:val="auto"/>
          <w:sz w:val="24"/>
          <w:szCs w:val="24"/>
          <w:lang w:val="da-DK"/>
        </w:rPr>
        <w:t xml:space="preserve"> har på plasmakoncentrationen af </w:t>
      </w:r>
      <w:proofErr w:type="spellStart"/>
      <w:r w:rsidRPr="00E775C6">
        <w:rPr>
          <w:rFonts w:ascii="Times New Roman" w:hAnsi="Times New Roman" w:cs="Times New Roman"/>
          <w:color w:val="auto"/>
          <w:sz w:val="24"/>
          <w:szCs w:val="24"/>
          <w:lang w:val="da-DK"/>
        </w:rPr>
        <w:t>sumatriptan</w:t>
      </w:r>
      <w:proofErr w:type="spellEnd"/>
      <w:r w:rsidRPr="00E775C6">
        <w:rPr>
          <w:rFonts w:ascii="Times New Roman" w:hAnsi="Times New Roman" w:cs="Times New Roman"/>
          <w:color w:val="auto"/>
          <w:sz w:val="24"/>
          <w:szCs w:val="24"/>
          <w:lang w:val="da-DK"/>
        </w:rPr>
        <w:t>.</w:t>
      </w:r>
    </w:p>
    <w:p w:rsidR="00594AD4" w:rsidRPr="00E775C6" w:rsidRDefault="00594AD4" w:rsidP="00594AD4">
      <w:pPr>
        <w:rPr>
          <w:sz w:val="24"/>
          <w:szCs w:val="24"/>
        </w:rPr>
      </w:pPr>
    </w:p>
    <w:p w:rsidR="00594AD4" w:rsidRPr="00E775C6" w:rsidRDefault="00594AD4" w:rsidP="00E775C6">
      <w:pPr>
        <w:pStyle w:val="Listeafsnit"/>
        <w:numPr>
          <w:ilvl w:val="1"/>
          <w:numId w:val="11"/>
        </w:numPr>
        <w:tabs>
          <w:tab w:val="left" w:pos="851"/>
        </w:tabs>
        <w:ind w:left="851" w:hanging="851"/>
        <w:rPr>
          <w:b/>
        </w:rPr>
      </w:pPr>
      <w:r w:rsidRPr="00E775C6">
        <w:rPr>
          <w:b/>
        </w:rPr>
        <w:t>Udlevering</w:t>
      </w:r>
    </w:p>
    <w:p w:rsidR="00594AD4" w:rsidRPr="00E775C6" w:rsidRDefault="00594AD4" w:rsidP="00594AD4">
      <w:pPr>
        <w:tabs>
          <w:tab w:val="left" w:pos="851"/>
        </w:tabs>
        <w:rPr>
          <w:sz w:val="24"/>
          <w:szCs w:val="24"/>
        </w:rPr>
      </w:pPr>
      <w:r w:rsidRPr="00E775C6">
        <w:rPr>
          <w:sz w:val="24"/>
          <w:szCs w:val="24"/>
        </w:rPr>
        <w:tab/>
        <w:t>B</w:t>
      </w:r>
    </w:p>
    <w:p w:rsidR="00594AD4" w:rsidRDefault="00594AD4" w:rsidP="00594AD4">
      <w:pPr>
        <w:suppressAutoHyphens/>
        <w:ind w:left="851" w:hanging="851"/>
        <w:rPr>
          <w:b/>
        </w:rPr>
      </w:pPr>
    </w:p>
    <w:p w:rsidR="00594AD4" w:rsidRDefault="00594AD4" w:rsidP="00594AD4">
      <w:pPr>
        <w:suppressAutoHyphens/>
        <w:ind w:left="851" w:hanging="851"/>
        <w:rPr>
          <w:b/>
        </w:rPr>
      </w:pPr>
    </w:p>
    <w:p w:rsidR="00E775C6" w:rsidRPr="00E775C6" w:rsidRDefault="00594AD4" w:rsidP="00E775C6">
      <w:pPr>
        <w:pStyle w:val="Listeafsnit"/>
        <w:keepNext/>
        <w:numPr>
          <w:ilvl w:val="0"/>
          <w:numId w:val="6"/>
        </w:numPr>
        <w:suppressAutoHyphens/>
        <w:rPr>
          <w:b/>
        </w:rPr>
      </w:pPr>
      <w:r w:rsidRPr="00E775C6">
        <w:rPr>
          <w:b/>
        </w:rPr>
        <w:lastRenderedPageBreak/>
        <w:t>FARMAKOLOGISKE EGENSKABER</w:t>
      </w:r>
    </w:p>
    <w:p w:rsidR="00594AD4" w:rsidRDefault="00594AD4" w:rsidP="00E775C6">
      <w:pPr>
        <w:keepNext/>
      </w:pPr>
    </w:p>
    <w:p w:rsidR="002A44A0" w:rsidRPr="00E775C6" w:rsidRDefault="00594AD4" w:rsidP="00E775C6">
      <w:pPr>
        <w:suppressAutoHyphens/>
        <w:ind w:left="851" w:hanging="851"/>
        <w:rPr>
          <w:b/>
          <w:sz w:val="24"/>
        </w:rPr>
      </w:pPr>
      <w:r w:rsidRPr="002A44A0">
        <w:rPr>
          <w:b/>
          <w:sz w:val="24"/>
        </w:rPr>
        <w:t>5.0</w:t>
      </w:r>
      <w:r w:rsidRPr="002A44A0">
        <w:rPr>
          <w:b/>
          <w:sz w:val="24"/>
        </w:rPr>
        <w:tab/>
        <w:t>Terapeutisk klassifikation</w:t>
      </w:r>
      <w:r>
        <w:br/>
      </w:r>
      <w:r w:rsidR="002A44A0" w:rsidRPr="002A44A0">
        <w:rPr>
          <w:sz w:val="24"/>
        </w:rPr>
        <w:t xml:space="preserve">ATC-kode: N02 CC01, </w:t>
      </w:r>
      <w:proofErr w:type="spellStart"/>
      <w:r w:rsidR="002A44A0" w:rsidRPr="002A44A0">
        <w:rPr>
          <w:sz w:val="24"/>
        </w:rPr>
        <w:t>farmakoterapeutisk</w:t>
      </w:r>
      <w:proofErr w:type="spellEnd"/>
      <w:r w:rsidR="002A44A0" w:rsidRPr="002A44A0">
        <w:rPr>
          <w:sz w:val="24"/>
        </w:rPr>
        <w:t xml:space="preserve"> klassifikation: </w:t>
      </w:r>
      <w:proofErr w:type="spellStart"/>
      <w:r w:rsidR="002A44A0" w:rsidRPr="002A44A0">
        <w:rPr>
          <w:sz w:val="24"/>
        </w:rPr>
        <w:t>analgetika</w:t>
      </w:r>
      <w:proofErr w:type="spellEnd"/>
      <w:r w:rsidR="002A44A0" w:rsidRPr="002A44A0">
        <w:rPr>
          <w:sz w:val="24"/>
        </w:rPr>
        <w:t>: selektive serotonin (5HT</w:t>
      </w:r>
      <w:proofErr w:type="gramStart"/>
      <w:r w:rsidR="002A44A0" w:rsidRPr="002A44A0">
        <w:rPr>
          <w:sz w:val="24"/>
          <w:vertAlign w:val="subscript"/>
        </w:rPr>
        <w:t>1</w:t>
      </w:r>
      <w:r w:rsidR="002A44A0" w:rsidRPr="002A44A0">
        <w:rPr>
          <w:sz w:val="24"/>
        </w:rPr>
        <w:t>)-</w:t>
      </w:r>
      <w:proofErr w:type="gramEnd"/>
      <w:r w:rsidR="002A44A0" w:rsidRPr="002A44A0">
        <w:rPr>
          <w:sz w:val="24"/>
        </w:rPr>
        <w:t>receptoragonister.</w:t>
      </w:r>
    </w:p>
    <w:p w:rsidR="00594AD4" w:rsidRDefault="00594AD4" w:rsidP="002A44A0">
      <w:pPr>
        <w:suppressAutoHyphens/>
      </w:pPr>
    </w:p>
    <w:p w:rsidR="00594AD4" w:rsidRPr="00E775C6" w:rsidRDefault="00594AD4" w:rsidP="00E775C6">
      <w:pPr>
        <w:pStyle w:val="Listeafsnit"/>
        <w:numPr>
          <w:ilvl w:val="1"/>
          <w:numId w:val="6"/>
        </w:numPr>
        <w:suppressAutoHyphens/>
        <w:rPr>
          <w:b/>
        </w:rPr>
      </w:pPr>
      <w:proofErr w:type="spellStart"/>
      <w:r w:rsidRPr="00E775C6">
        <w:rPr>
          <w:b/>
        </w:rPr>
        <w:t>Farmakodynamiske</w:t>
      </w:r>
      <w:proofErr w:type="spellEnd"/>
      <w:r w:rsidRPr="00E775C6">
        <w:rPr>
          <w:b/>
        </w:rPr>
        <w:t xml:space="preserve"> egenskaber</w:t>
      </w:r>
    </w:p>
    <w:p w:rsidR="002A44A0" w:rsidRPr="002A44A0" w:rsidRDefault="002A44A0" w:rsidP="002A44A0">
      <w:pPr>
        <w:pStyle w:val="leipa"/>
        <w:spacing w:before="0" w:beforeAutospacing="0" w:after="0" w:afterAutospacing="0"/>
        <w:ind w:left="855"/>
        <w:rPr>
          <w:rFonts w:ascii="Times New Roman" w:hAnsi="Times New Roman"/>
          <w:color w:val="auto"/>
          <w:sz w:val="24"/>
          <w:szCs w:val="24"/>
          <w:u w:val="single"/>
          <w:lang w:val="da-DK"/>
        </w:rPr>
      </w:pPr>
      <w:r w:rsidRPr="002A44A0">
        <w:rPr>
          <w:rFonts w:ascii="Times New Roman" w:hAnsi="Times New Roman"/>
          <w:color w:val="auto"/>
          <w:sz w:val="24"/>
          <w:szCs w:val="24"/>
          <w:u w:val="single"/>
          <w:lang w:val="da-DK"/>
        </w:rPr>
        <w:t>Virkningsmekanisme</w:t>
      </w:r>
    </w:p>
    <w:p w:rsidR="002A44A0" w:rsidRPr="002A44A0" w:rsidRDefault="002A44A0" w:rsidP="002A44A0">
      <w:pPr>
        <w:ind w:left="851"/>
        <w:rPr>
          <w:sz w:val="24"/>
          <w:szCs w:val="24"/>
        </w:rPr>
      </w:pPr>
      <w:proofErr w:type="spellStart"/>
      <w:r w:rsidRPr="002A44A0">
        <w:rPr>
          <w:sz w:val="24"/>
          <w:szCs w:val="24"/>
        </w:rPr>
        <w:t>Sumatriptan</w:t>
      </w:r>
      <w:proofErr w:type="spellEnd"/>
      <w:r w:rsidRPr="002A44A0">
        <w:rPr>
          <w:sz w:val="24"/>
          <w:szCs w:val="24"/>
        </w:rPr>
        <w:t xml:space="preserve"> er en specifik og selektiv </w:t>
      </w:r>
      <w:proofErr w:type="spellStart"/>
      <w:r w:rsidRPr="002A44A0">
        <w:rPr>
          <w:sz w:val="24"/>
          <w:szCs w:val="24"/>
        </w:rPr>
        <w:t>vaskulær</w:t>
      </w:r>
      <w:proofErr w:type="spellEnd"/>
      <w:r w:rsidRPr="002A44A0">
        <w:rPr>
          <w:sz w:val="24"/>
          <w:szCs w:val="24"/>
        </w:rPr>
        <w:t xml:space="preserve"> 5-hydroxytryptamin</w:t>
      </w:r>
      <w:r w:rsidRPr="002A44A0">
        <w:rPr>
          <w:sz w:val="24"/>
          <w:szCs w:val="24"/>
          <w:vertAlign w:val="subscript"/>
        </w:rPr>
        <w:t>1</w:t>
      </w:r>
      <w:r w:rsidRPr="002A44A0">
        <w:rPr>
          <w:sz w:val="24"/>
          <w:szCs w:val="24"/>
        </w:rPr>
        <w:t xml:space="preserve">-receptoragonist uden effekt på andre 5HT-receptorundertyper. Disse typer af receptorer findes hovedsagelig i </w:t>
      </w:r>
      <w:proofErr w:type="spellStart"/>
      <w:r w:rsidRPr="002A44A0">
        <w:rPr>
          <w:sz w:val="24"/>
          <w:szCs w:val="24"/>
        </w:rPr>
        <w:t>kranielle</w:t>
      </w:r>
      <w:proofErr w:type="spellEnd"/>
      <w:r w:rsidRPr="002A44A0">
        <w:rPr>
          <w:sz w:val="24"/>
          <w:szCs w:val="24"/>
        </w:rPr>
        <w:t xml:space="preserve"> blodkar og forårsager </w:t>
      </w:r>
      <w:proofErr w:type="spellStart"/>
      <w:r w:rsidRPr="002A44A0">
        <w:rPr>
          <w:sz w:val="24"/>
          <w:szCs w:val="24"/>
        </w:rPr>
        <w:t>vasokonstriktion</w:t>
      </w:r>
      <w:proofErr w:type="spellEnd"/>
      <w:r w:rsidRPr="002A44A0">
        <w:rPr>
          <w:sz w:val="24"/>
          <w:szCs w:val="24"/>
        </w:rPr>
        <w:t xml:space="preserve">. </w:t>
      </w:r>
    </w:p>
    <w:p w:rsidR="002A44A0" w:rsidRPr="002A44A0" w:rsidRDefault="002A44A0" w:rsidP="002A44A0">
      <w:pPr>
        <w:ind w:left="851"/>
        <w:rPr>
          <w:sz w:val="24"/>
          <w:szCs w:val="24"/>
        </w:rPr>
      </w:pPr>
    </w:p>
    <w:p w:rsidR="002A44A0" w:rsidRPr="002A44A0" w:rsidRDefault="002A44A0" w:rsidP="002A44A0">
      <w:pPr>
        <w:pStyle w:val="leipa"/>
        <w:spacing w:before="0" w:beforeAutospacing="0" w:after="0" w:afterAutospacing="0"/>
        <w:ind w:left="855"/>
        <w:rPr>
          <w:sz w:val="24"/>
          <w:szCs w:val="24"/>
          <w:lang w:val="da-DK"/>
        </w:rPr>
      </w:pPr>
      <w:proofErr w:type="spellStart"/>
      <w:r w:rsidRPr="002A44A0">
        <w:rPr>
          <w:rFonts w:ascii="Times New Roman" w:hAnsi="Times New Roman"/>
          <w:color w:val="auto"/>
          <w:sz w:val="24"/>
          <w:szCs w:val="24"/>
          <w:u w:val="single"/>
          <w:lang w:val="da-DK"/>
        </w:rPr>
        <w:t>Farmakodynamisk</w:t>
      </w:r>
      <w:proofErr w:type="spellEnd"/>
      <w:r w:rsidRPr="002A44A0">
        <w:rPr>
          <w:rFonts w:ascii="Times New Roman" w:hAnsi="Times New Roman"/>
          <w:color w:val="auto"/>
          <w:sz w:val="24"/>
          <w:szCs w:val="24"/>
          <w:u w:val="single"/>
          <w:lang w:val="da-DK"/>
        </w:rPr>
        <w:t xml:space="preserve"> virkning</w:t>
      </w:r>
    </w:p>
    <w:p w:rsidR="002A44A0" w:rsidRPr="002A44A0" w:rsidRDefault="002A44A0" w:rsidP="002A44A0">
      <w:pPr>
        <w:ind w:left="851"/>
        <w:rPr>
          <w:sz w:val="24"/>
          <w:szCs w:val="24"/>
        </w:rPr>
      </w:pPr>
      <w:r w:rsidRPr="002A44A0">
        <w:rPr>
          <w:sz w:val="24"/>
          <w:szCs w:val="24"/>
        </w:rPr>
        <w:t xml:space="preserve">Hos dyr forårsager </w:t>
      </w:r>
      <w:proofErr w:type="spellStart"/>
      <w:r w:rsidRPr="002A44A0">
        <w:rPr>
          <w:sz w:val="24"/>
          <w:szCs w:val="24"/>
        </w:rPr>
        <w:t>sumatriptan</w:t>
      </w:r>
      <w:proofErr w:type="spellEnd"/>
      <w:r w:rsidRPr="002A44A0">
        <w:rPr>
          <w:sz w:val="24"/>
          <w:szCs w:val="24"/>
        </w:rPr>
        <w:t xml:space="preserve"> selektiv </w:t>
      </w:r>
      <w:proofErr w:type="spellStart"/>
      <w:r w:rsidRPr="002A44A0">
        <w:rPr>
          <w:sz w:val="24"/>
          <w:szCs w:val="24"/>
        </w:rPr>
        <w:t>vasokonstriktion</w:t>
      </w:r>
      <w:proofErr w:type="spellEnd"/>
      <w:r w:rsidRPr="002A44A0">
        <w:rPr>
          <w:sz w:val="24"/>
          <w:szCs w:val="24"/>
        </w:rPr>
        <w:t xml:space="preserve"> af den </w:t>
      </w:r>
      <w:proofErr w:type="spellStart"/>
      <w:r w:rsidRPr="002A44A0">
        <w:rPr>
          <w:sz w:val="24"/>
          <w:szCs w:val="24"/>
        </w:rPr>
        <w:t>carotide</w:t>
      </w:r>
      <w:proofErr w:type="spellEnd"/>
      <w:r w:rsidRPr="002A44A0">
        <w:rPr>
          <w:sz w:val="24"/>
          <w:szCs w:val="24"/>
        </w:rPr>
        <w:t xml:space="preserve"> arterielle cirkulation, som fører blod til </w:t>
      </w:r>
      <w:proofErr w:type="spellStart"/>
      <w:r w:rsidRPr="002A44A0">
        <w:rPr>
          <w:sz w:val="24"/>
          <w:szCs w:val="24"/>
        </w:rPr>
        <w:t>ekstrakranielle</w:t>
      </w:r>
      <w:proofErr w:type="spellEnd"/>
      <w:r w:rsidRPr="002A44A0">
        <w:rPr>
          <w:sz w:val="24"/>
          <w:szCs w:val="24"/>
        </w:rPr>
        <w:t xml:space="preserve"> og </w:t>
      </w:r>
      <w:proofErr w:type="spellStart"/>
      <w:r w:rsidRPr="002A44A0">
        <w:rPr>
          <w:sz w:val="24"/>
          <w:szCs w:val="24"/>
        </w:rPr>
        <w:t>intrakranielle</w:t>
      </w:r>
      <w:proofErr w:type="spellEnd"/>
      <w:r w:rsidRPr="002A44A0">
        <w:rPr>
          <w:sz w:val="24"/>
          <w:szCs w:val="24"/>
        </w:rPr>
        <w:t xml:space="preserve"> væv såsom </w:t>
      </w:r>
      <w:proofErr w:type="spellStart"/>
      <w:r w:rsidRPr="002A44A0">
        <w:rPr>
          <w:sz w:val="24"/>
          <w:szCs w:val="24"/>
        </w:rPr>
        <w:t>meninges</w:t>
      </w:r>
      <w:proofErr w:type="spellEnd"/>
      <w:r w:rsidRPr="002A44A0">
        <w:rPr>
          <w:sz w:val="24"/>
          <w:szCs w:val="24"/>
        </w:rPr>
        <w:t xml:space="preserve">. Dilatation af disse kar menes at være den underliggende mekanisme ved migræne hos mennesker. Resultater fra dyrestudier viser, at </w:t>
      </w:r>
      <w:proofErr w:type="spellStart"/>
      <w:r w:rsidRPr="002A44A0">
        <w:rPr>
          <w:sz w:val="24"/>
          <w:szCs w:val="24"/>
        </w:rPr>
        <w:t>sumatriptan</w:t>
      </w:r>
      <w:proofErr w:type="spellEnd"/>
      <w:r w:rsidRPr="002A44A0">
        <w:rPr>
          <w:sz w:val="24"/>
          <w:szCs w:val="24"/>
        </w:rPr>
        <w:t xml:space="preserve"> også hæmmer aktiviteten af </w:t>
      </w:r>
      <w:proofErr w:type="spellStart"/>
      <w:r w:rsidRPr="002A44A0">
        <w:rPr>
          <w:sz w:val="24"/>
          <w:szCs w:val="24"/>
        </w:rPr>
        <w:t>trigeminusnerven</w:t>
      </w:r>
      <w:proofErr w:type="spellEnd"/>
      <w:r w:rsidRPr="002A44A0">
        <w:rPr>
          <w:sz w:val="24"/>
          <w:szCs w:val="24"/>
        </w:rPr>
        <w:t>. Begge mekanismer (</w:t>
      </w:r>
      <w:proofErr w:type="spellStart"/>
      <w:r w:rsidRPr="002A44A0">
        <w:rPr>
          <w:sz w:val="24"/>
          <w:szCs w:val="24"/>
        </w:rPr>
        <w:t>kraniel</w:t>
      </w:r>
      <w:proofErr w:type="spellEnd"/>
      <w:r w:rsidRPr="002A44A0">
        <w:rPr>
          <w:sz w:val="24"/>
          <w:szCs w:val="24"/>
        </w:rPr>
        <w:t xml:space="preserve"> </w:t>
      </w:r>
      <w:proofErr w:type="spellStart"/>
      <w:r w:rsidRPr="002A44A0">
        <w:rPr>
          <w:sz w:val="24"/>
          <w:szCs w:val="24"/>
        </w:rPr>
        <w:t>vasokonstriktion</w:t>
      </w:r>
      <w:proofErr w:type="spellEnd"/>
      <w:r w:rsidRPr="002A44A0">
        <w:rPr>
          <w:sz w:val="24"/>
          <w:szCs w:val="24"/>
        </w:rPr>
        <w:t xml:space="preserve"> og hæmning af </w:t>
      </w:r>
      <w:proofErr w:type="spellStart"/>
      <w:r w:rsidRPr="002A44A0">
        <w:rPr>
          <w:sz w:val="24"/>
          <w:szCs w:val="24"/>
        </w:rPr>
        <w:t>trigeminusnervens</w:t>
      </w:r>
      <w:proofErr w:type="spellEnd"/>
      <w:r w:rsidRPr="002A44A0">
        <w:rPr>
          <w:sz w:val="24"/>
          <w:szCs w:val="24"/>
        </w:rPr>
        <w:t xml:space="preserve"> aktivitet) kan muligvis forklare </w:t>
      </w:r>
      <w:proofErr w:type="spellStart"/>
      <w:r w:rsidRPr="002A44A0">
        <w:rPr>
          <w:sz w:val="24"/>
          <w:szCs w:val="24"/>
        </w:rPr>
        <w:t>sumatriptans</w:t>
      </w:r>
      <w:proofErr w:type="spellEnd"/>
      <w:r w:rsidRPr="002A44A0">
        <w:rPr>
          <w:sz w:val="24"/>
          <w:szCs w:val="24"/>
        </w:rPr>
        <w:t xml:space="preserve"> hæmmende effekt på migræne hos mennesker. </w:t>
      </w:r>
    </w:p>
    <w:p w:rsidR="002A44A0" w:rsidRPr="002A44A0" w:rsidRDefault="002A44A0" w:rsidP="002A44A0">
      <w:pPr>
        <w:ind w:left="851"/>
        <w:rPr>
          <w:bCs/>
          <w:sz w:val="24"/>
          <w:szCs w:val="24"/>
        </w:rPr>
      </w:pPr>
    </w:p>
    <w:p w:rsidR="002A44A0" w:rsidRPr="002A44A0" w:rsidRDefault="002A44A0" w:rsidP="002A44A0">
      <w:pPr>
        <w:pStyle w:val="leipa"/>
        <w:spacing w:before="0" w:beforeAutospacing="0" w:after="0" w:afterAutospacing="0"/>
        <w:ind w:left="855"/>
        <w:rPr>
          <w:rFonts w:ascii="Times New Roman" w:hAnsi="Times New Roman"/>
          <w:color w:val="auto"/>
          <w:sz w:val="24"/>
          <w:szCs w:val="24"/>
          <w:u w:val="single"/>
          <w:lang w:val="da-DK"/>
        </w:rPr>
      </w:pPr>
      <w:r w:rsidRPr="002A44A0">
        <w:rPr>
          <w:rFonts w:ascii="Times New Roman" w:hAnsi="Times New Roman"/>
          <w:color w:val="auto"/>
          <w:sz w:val="24"/>
          <w:szCs w:val="24"/>
          <w:u w:val="single"/>
          <w:lang w:val="da-DK"/>
        </w:rPr>
        <w:t>Klinisk virkning og sikkerhed</w:t>
      </w:r>
    </w:p>
    <w:p w:rsidR="002A44A0" w:rsidRPr="002A44A0" w:rsidRDefault="002A44A0" w:rsidP="002A44A0">
      <w:pPr>
        <w:ind w:left="851"/>
        <w:rPr>
          <w:sz w:val="24"/>
          <w:szCs w:val="24"/>
        </w:rPr>
      </w:pPr>
      <w:r w:rsidRPr="002A44A0">
        <w:rPr>
          <w:sz w:val="24"/>
          <w:szCs w:val="24"/>
        </w:rPr>
        <w:t>Klinisk respons ses ca. 30 minutter efter peroral indgift af en dosis på 100 mg.</w:t>
      </w:r>
    </w:p>
    <w:p w:rsidR="002A44A0" w:rsidRPr="002A44A0" w:rsidRDefault="002A44A0" w:rsidP="002A44A0">
      <w:pPr>
        <w:ind w:left="851"/>
        <w:rPr>
          <w:sz w:val="24"/>
          <w:szCs w:val="24"/>
        </w:rPr>
      </w:pPr>
    </w:p>
    <w:p w:rsidR="002A44A0" w:rsidRPr="002A44A0" w:rsidRDefault="002A44A0" w:rsidP="002A44A0">
      <w:pPr>
        <w:ind w:left="851"/>
        <w:rPr>
          <w:sz w:val="24"/>
          <w:szCs w:val="24"/>
        </w:rPr>
      </w:pPr>
      <w:r w:rsidRPr="002A44A0">
        <w:rPr>
          <w:sz w:val="24"/>
          <w:szCs w:val="24"/>
        </w:rPr>
        <w:t xml:space="preserve">Skønt den anbefalede orale dosis af </w:t>
      </w:r>
      <w:proofErr w:type="spellStart"/>
      <w:r w:rsidRPr="002A44A0">
        <w:rPr>
          <w:sz w:val="24"/>
          <w:szCs w:val="24"/>
        </w:rPr>
        <w:t>sumatriptan</w:t>
      </w:r>
      <w:proofErr w:type="spellEnd"/>
      <w:r w:rsidRPr="002A44A0">
        <w:rPr>
          <w:sz w:val="24"/>
          <w:szCs w:val="24"/>
        </w:rPr>
        <w:t xml:space="preserve"> er 50 mg, varierer migræneanfald i sværhedsgrad, både hos den enkelte patient og patienter imellem. I kliniske studier har doser fra 25-100 mg vist større effekt end placebo, men 25 mg er statistisk signifikant mindre effektivt end 50 mg og 100 mg.</w:t>
      </w:r>
    </w:p>
    <w:p w:rsidR="002A44A0" w:rsidRPr="002A44A0" w:rsidRDefault="002A44A0" w:rsidP="002A44A0">
      <w:pPr>
        <w:ind w:left="851"/>
        <w:rPr>
          <w:sz w:val="24"/>
          <w:szCs w:val="24"/>
        </w:rPr>
      </w:pPr>
    </w:p>
    <w:p w:rsidR="002A44A0" w:rsidRPr="002A44A0" w:rsidRDefault="002A44A0" w:rsidP="002A44A0">
      <w:pPr>
        <w:ind w:left="851"/>
        <w:rPr>
          <w:sz w:val="24"/>
          <w:szCs w:val="24"/>
        </w:rPr>
      </w:pPr>
      <w:proofErr w:type="spellStart"/>
      <w:r w:rsidRPr="002A44A0">
        <w:rPr>
          <w:sz w:val="24"/>
          <w:szCs w:val="24"/>
        </w:rPr>
        <w:t>Sumatriptan</w:t>
      </w:r>
      <w:proofErr w:type="spellEnd"/>
      <w:r w:rsidRPr="002A44A0">
        <w:rPr>
          <w:sz w:val="24"/>
          <w:szCs w:val="24"/>
        </w:rPr>
        <w:t xml:space="preserve"> er effektivt mod menstruationsmigræne, dvs. migræne uden aura, som indtræder fra 3 dage før og op til 5 dage efter første menstruationsdag.</w:t>
      </w:r>
    </w:p>
    <w:p w:rsidR="002A44A0" w:rsidRPr="002A44A0" w:rsidRDefault="002A44A0" w:rsidP="002A44A0">
      <w:pPr>
        <w:ind w:left="851"/>
        <w:rPr>
          <w:sz w:val="24"/>
          <w:szCs w:val="24"/>
        </w:rPr>
      </w:pPr>
    </w:p>
    <w:p w:rsidR="002A44A0" w:rsidRPr="002A44A0" w:rsidRDefault="002A44A0" w:rsidP="002A44A0">
      <w:pPr>
        <w:pStyle w:val="leipa"/>
        <w:spacing w:before="0" w:beforeAutospacing="0" w:after="0" w:afterAutospacing="0"/>
        <w:ind w:left="855"/>
        <w:rPr>
          <w:rFonts w:ascii="Times New Roman" w:hAnsi="Times New Roman"/>
          <w:color w:val="auto"/>
          <w:sz w:val="24"/>
          <w:szCs w:val="24"/>
          <w:u w:val="single"/>
          <w:lang w:val="da-DK"/>
        </w:rPr>
      </w:pPr>
      <w:r w:rsidRPr="002A44A0">
        <w:rPr>
          <w:rFonts w:ascii="Times New Roman" w:hAnsi="Times New Roman"/>
          <w:color w:val="auto"/>
          <w:sz w:val="24"/>
          <w:szCs w:val="24"/>
          <w:u w:val="single"/>
          <w:lang w:val="da-DK"/>
        </w:rPr>
        <w:t>Pædiatrisk population</w:t>
      </w:r>
    </w:p>
    <w:p w:rsidR="002A44A0" w:rsidRPr="002A44A0" w:rsidRDefault="002A44A0" w:rsidP="002A44A0">
      <w:pPr>
        <w:ind w:left="851"/>
        <w:rPr>
          <w:sz w:val="24"/>
          <w:szCs w:val="24"/>
        </w:rPr>
      </w:pPr>
      <w:r w:rsidRPr="002A44A0">
        <w:rPr>
          <w:sz w:val="24"/>
          <w:szCs w:val="24"/>
        </w:rPr>
        <w:t xml:space="preserve">Der er udført en række placebokontrollerede kliniske forsøg vedrørende sikkerheden og effekten af oral </w:t>
      </w:r>
      <w:proofErr w:type="spellStart"/>
      <w:r w:rsidRPr="002A44A0">
        <w:rPr>
          <w:sz w:val="24"/>
          <w:szCs w:val="24"/>
        </w:rPr>
        <w:t>sumatriptan</w:t>
      </w:r>
      <w:proofErr w:type="spellEnd"/>
      <w:r w:rsidRPr="002A44A0">
        <w:rPr>
          <w:sz w:val="24"/>
          <w:szCs w:val="24"/>
        </w:rPr>
        <w:t xml:space="preserve"> hos ca. 800 børn og unge personer i alderen 10-17 år med migræne. I disse forsøg blev der ikke påvist nogen relevant forskel mellem effekten af hhv. placebo og </w:t>
      </w:r>
      <w:proofErr w:type="spellStart"/>
      <w:r w:rsidRPr="002A44A0">
        <w:rPr>
          <w:sz w:val="24"/>
          <w:szCs w:val="24"/>
        </w:rPr>
        <w:t>sumatriptan</w:t>
      </w:r>
      <w:proofErr w:type="spellEnd"/>
      <w:r w:rsidRPr="002A44A0">
        <w:rPr>
          <w:sz w:val="24"/>
          <w:szCs w:val="24"/>
        </w:rPr>
        <w:t xml:space="preserve"> (uanset dosis), hvad angik hovedpinelindring 2 timer efter administration. Bivirkningsprofilen af oral </w:t>
      </w:r>
      <w:proofErr w:type="spellStart"/>
      <w:r w:rsidRPr="002A44A0">
        <w:rPr>
          <w:sz w:val="24"/>
          <w:szCs w:val="24"/>
        </w:rPr>
        <w:t>sumatriptan</w:t>
      </w:r>
      <w:proofErr w:type="spellEnd"/>
      <w:r w:rsidRPr="002A44A0">
        <w:rPr>
          <w:sz w:val="24"/>
          <w:szCs w:val="24"/>
        </w:rPr>
        <w:t xml:space="preserve"> hos unge i alderen 10-17 år var sammenlignelig med den bivirkningsprofil, der blev set i forsøg med voksne patienter.</w:t>
      </w:r>
    </w:p>
    <w:p w:rsidR="00594AD4" w:rsidRDefault="00594AD4" w:rsidP="00594AD4">
      <w:pPr>
        <w:ind w:left="851"/>
      </w:pPr>
    </w:p>
    <w:p w:rsidR="00594AD4" w:rsidRPr="00E775C6" w:rsidRDefault="00594AD4" w:rsidP="00E775C6">
      <w:pPr>
        <w:pStyle w:val="Listeafsnit"/>
        <w:numPr>
          <w:ilvl w:val="1"/>
          <w:numId w:val="6"/>
        </w:numPr>
        <w:suppressAutoHyphens/>
        <w:rPr>
          <w:b/>
        </w:rPr>
      </w:pPr>
      <w:proofErr w:type="spellStart"/>
      <w:r w:rsidRPr="00E775C6">
        <w:rPr>
          <w:b/>
        </w:rPr>
        <w:t>Farmakokinetiske</w:t>
      </w:r>
      <w:proofErr w:type="spellEnd"/>
      <w:r w:rsidRPr="00E775C6">
        <w:rPr>
          <w:b/>
        </w:rPr>
        <w:t xml:space="preserve"> egenskaber</w:t>
      </w:r>
    </w:p>
    <w:p w:rsidR="002A44A0" w:rsidRPr="002A44A0" w:rsidRDefault="002A44A0" w:rsidP="002A44A0">
      <w:pPr>
        <w:pStyle w:val="leipa"/>
        <w:spacing w:before="0" w:beforeAutospacing="0"/>
        <w:ind w:left="855"/>
        <w:rPr>
          <w:rFonts w:ascii="Times New Roman" w:hAnsi="Times New Roman"/>
          <w:color w:val="auto"/>
          <w:sz w:val="24"/>
          <w:szCs w:val="24"/>
          <w:u w:val="single"/>
          <w:lang w:val="da-DK"/>
        </w:rPr>
      </w:pPr>
      <w:r w:rsidRPr="002A44A0">
        <w:rPr>
          <w:rFonts w:ascii="Times New Roman" w:eastAsia="Times New Roman" w:hAnsi="Times New Roman" w:cs="Times New Roman"/>
          <w:color w:val="auto"/>
          <w:sz w:val="24"/>
          <w:szCs w:val="24"/>
          <w:lang w:val="da-DK"/>
        </w:rPr>
        <w:t xml:space="preserve">Farmakokinetikken af oralt administreret </w:t>
      </w:r>
      <w:proofErr w:type="spellStart"/>
      <w:r w:rsidRPr="002A44A0">
        <w:rPr>
          <w:rFonts w:ascii="Times New Roman" w:eastAsia="Times New Roman" w:hAnsi="Times New Roman" w:cs="Times New Roman"/>
          <w:color w:val="auto"/>
          <w:sz w:val="24"/>
          <w:szCs w:val="24"/>
          <w:lang w:val="da-DK"/>
        </w:rPr>
        <w:t>sumatriptan</w:t>
      </w:r>
      <w:proofErr w:type="spellEnd"/>
      <w:r w:rsidRPr="002A44A0">
        <w:rPr>
          <w:rFonts w:ascii="Times New Roman" w:eastAsia="Times New Roman" w:hAnsi="Times New Roman" w:cs="Times New Roman"/>
          <w:color w:val="auto"/>
          <w:sz w:val="24"/>
          <w:szCs w:val="24"/>
          <w:lang w:val="da-DK"/>
        </w:rPr>
        <w:t xml:space="preserve"> synes ikke at blive væsentligt påvirket af migræneanfald.</w:t>
      </w:r>
    </w:p>
    <w:p w:rsidR="002A44A0" w:rsidRPr="002A44A0" w:rsidRDefault="002A44A0" w:rsidP="002A44A0">
      <w:pPr>
        <w:pStyle w:val="leipa"/>
        <w:spacing w:after="0" w:afterAutospacing="0"/>
        <w:ind w:left="855"/>
        <w:rPr>
          <w:sz w:val="24"/>
          <w:szCs w:val="24"/>
          <w:u w:val="single"/>
          <w:lang w:val="da-DK"/>
        </w:rPr>
      </w:pPr>
      <w:r w:rsidRPr="002A44A0">
        <w:rPr>
          <w:rFonts w:ascii="Times New Roman" w:hAnsi="Times New Roman"/>
          <w:color w:val="auto"/>
          <w:sz w:val="24"/>
          <w:szCs w:val="24"/>
          <w:u w:val="single"/>
          <w:lang w:val="da-DK"/>
        </w:rPr>
        <w:t>Absorption</w:t>
      </w:r>
    </w:p>
    <w:p w:rsidR="002A44A0" w:rsidRPr="002A44A0" w:rsidRDefault="002A44A0" w:rsidP="002A44A0">
      <w:pPr>
        <w:pStyle w:val="Brdtekstindrykning2"/>
        <w:ind w:left="851"/>
        <w:rPr>
          <w:szCs w:val="24"/>
        </w:rPr>
      </w:pPr>
      <w:r w:rsidRPr="002A44A0">
        <w:rPr>
          <w:szCs w:val="24"/>
        </w:rPr>
        <w:t xml:space="preserve">Efter peroral indgift absorberes </w:t>
      </w:r>
      <w:proofErr w:type="spellStart"/>
      <w:r w:rsidRPr="002A44A0">
        <w:rPr>
          <w:szCs w:val="24"/>
        </w:rPr>
        <w:t>sumatriptan</w:t>
      </w:r>
      <w:proofErr w:type="spellEnd"/>
      <w:r w:rsidRPr="002A44A0">
        <w:rPr>
          <w:szCs w:val="24"/>
        </w:rPr>
        <w:t xml:space="preserve"> hurtigt, og maksimumkoncentrationen nås efter cirka 45 minutter. Den gennemsnitlige maksimumkoncentration i plasma efter en dosis på 100 mg er 54 </w:t>
      </w:r>
      <w:proofErr w:type="spellStart"/>
      <w:r w:rsidRPr="002A44A0">
        <w:rPr>
          <w:szCs w:val="24"/>
        </w:rPr>
        <w:t>ng</w:t>
      </w:r>
      <w:proofErr w:type="spellEnd"/>
      <w:r w:rsidRPr="002A44A0">
        <w:rPr>
          <w:szCs w:val="24"/>
        </w:rPr>
        <w:t xml:space="preserve">/ml. Den gennemsnitlige absolutte biotilgængelighed efter peroral indgift er 14 %, dels på grund af præsystemisk metabolisme og dels på grund af ufuldstændig absorption. </w:t>
      </w:r>
    </w:p>
    <w:p w:rsidR="002A44A0" w:rsidRPr="002A44A0" w:rsidRDefault="002A44A0" w:rsidP="002A44A0">
      <w:pPr>
        <w:pStyle w:val="Brdtekstindrykning2"/>
        <w:ind w:left="851"/>
        <w:rPr>
          <w:szCs w:val="24"/>
        </w:rPr>
      </w:pPr>
    </w:p>
    <w:p w:rsidR="002A44A0" w:rsidRPr="002A44A0" w:rsidRDefault="002A44A0" w:rsidP="002A44A0">
      <w:pPr>
        <w:pStyle w:val="leipa"/>
        <w:spacing w:before="0" w:beforeAutospacing="0" w:after="0" w:afterAutospacing="0"/>
        <w:ind w:left="855"/>
        <w:rPr>
          <w:rFonts w:ascii="Times New Roman" w:hAnsi="Times New Roman"/>
          <w:color w:val="auto"/>
          <w:sz w:val="24"/>
          <w:szCs w:val="24"/>
          <w:u w:val="single"/>
          <w:lang w:val="da-DK"/>
        </w:rPr>
      </w:pPr>
      <w:r w:rsidRPr="002A44A0">
        <w:rPr>
          <w:rFonts w:ascii="Times New Roman" w:hAnsi="Times New Roman"/>
          <w:color w:val="auto"/>
          <w:sz w:val="24"/>
          <w:szCs w:val="24"/>
          <w:u w:val="single"/>
          <w:lang w:val="da-DK"/>
        </w:rPr>
        <w:lastRenderedPageBreak/>
        <w:t>Fordeling</w:t>
      </w:r>
    </w:p>
    <w:p w:rsidR="002A44A0" w:rsidRPr="002A44A0" w:rsidRDefault="002A44A0" w:rsidP="002A44A0">
      <w:pPr>
        <w:suppressAutoHyphens/>
        <w:ind w:left="851"/>
        <w:rPr>
          <w:sz w:val="24"/>
          <w:szCs w:val="24"/>
        </w:rPr>
      </w:pPr>
      <w:r w:rsidRPr="002A44A0">
        <w:rPr>
          <w:sz w:val="24"/>
          <w:szCs w:val="24"/>
        </w:rPr>
        <w:t xml:space="preserve">Binding til plasmaproteiner er lav (14-21 %) og det gennemsnitlige fordelingsvolumen er 170 l. </w:t>
      </w:r>
    </w:p>
    <w:p w:rsidR="002A44A0" w:rsidRPr="002A44A0" w:rsidRDefault="002A44A0" w:rsidP="002A44A0">
      <w:pPr>
        <w:suppressAutoHyphens/>
        <w:ind w:left="851"/>
        <w:rPr>
          <w:sz w:val="24"/>
          <w:szCs w:val="24"/>
        </w:rPr>
      </w:pPr>
    </w:p>
    <w:p w:rsidR="002A44A0" w:rsidRPr="002A44A0" w:rsidRDefault="002A44A0" w:rsidP="002A44A0">
      <w:pPr>
        <w:pStyle w:val="leipa"/>
        <w:spacing w:before="0" w:beforeAutospacing="0" w:after="0" w:afterAutospacing="0"/>
        <w:ind w:left="855"/>
        <w:rPr>
          <w:sz w:val="24"/>
          <w:szCs w:val="24"/>
          <w:lang w:val="da-DK"/>
        </w:rPr>
      </w:pPr>
      <w:r w:rsidRPr="002A44A0">
        <w:rPr>
          <w:rFonts w:ascii="Times New Roman" w:hAnsi="Times New Roman"/>
          <w:color w:val="auto"/>
          <w:sz w:val="24"/>
          <w:szCs w:val="24"/>
          <w:u w:val="single"/>
          <w:lang w:val="da-DK"/>
        </w:rPr>
        <w:t>Biotransformation og elimination</w:t>
      </w:r>
    </w:p>
    <w:p w:rsidR="002A44A0" w:rsidRPr="002A44A0" w:rsidRDefault="002A44A0" w:rsidP="002A44A0">
      <w:pPr>
        <w:suppressAutoHyphens/>
        <w:ind w:left="851"/>
        <w:rPr>
          <w:sz w:val="24"/>
          <w:szCs w:val="24"/>
        </w:rPr>
      </w:pPr>
      <w:r w:rsidRPr="002A44A0">
        <w:rPr>
          <w:sz w:val="24"/>
          <w:szCs w:val="24"/>
        </w:rPr>
        <w:t>Den ikke-</w:t>
      </w:r>
      <w:proofErr w:type="spellStart"/>
      <w:r w:rsidRPr="002A44A0">
        <w:rPr>
          <w:sz w:val="24"/>
          <w:szCs w:val="24"/>
        </w:rPr>
        <w:t>renale</w:t>
      </w:r>
      <w:proofErr w:type="spellEnd"/>
      <w:r w:rsidRPr="002A44A0">
        <w:rPr>
          <w:sz w:val="24"/>
          <w:szCs w:val="24"/>
        </w:rPr>
        <w:t xml:space="preserve"> </w:t>
      </w:r>
      <w:proofErr w:type="spellStart"/>
      <w:r w:rsidRPr="002A44A0">
        <w:rPr>
          <w:sz w:val="24"/>
          <w:szCs w:val="24"/>
        </w:rPr>
        <w:t>clearance</w:t>
      </w:r>
      <w:proofErr w:type="spellEnd"/>
      <w:r w:rsidRPr="002A44A0">
        <w:rPr>
          <w:sz w:val="24"/>
          <w:szCs w:val="24"/>
        </w:rPr>
        <w:t xml:space="preserve"> udgør ca. 80 % af den totale </w:t>
      </w:r>
      <w:proofErr w:type="spellStart"/>
      <w:r w:rsidRPr="002A44A0">
        <w:rPr>
          <w:sz w:val="24"/>
          <w:szCs w:val="24"/>
        </w:rPr>
        <w:t>clearance</w:t>
      </w:r>
      <w:proofErr w:type="spellEnd"/>
      <w:r w:rsidRPr="002A44A0">
        <w:rPr>
          <w:sz w:val="24"/>
          <w:szCs w:val="24"/>
        </w:rPr>
        <w:t xml:space="preserve">. </w:t>
      </w:r>
      <w:proofErr w:type="spellStart"/>
      <w:r w:rsidRPr="002A44A0">
        <w:rPr>
          <w:sz w:val="24"/>
          <w:szCs w:val="24"/>
        </w:rPr>
        <w:t>Sumatriptan</w:t>
      </w:r>
      <w:proofErr w:type="spellEnd"/>
      <w:r w:rsidRPr="002A44A0">
        <w:rPr>
          <w:sz w:val="24"/>
          <w:szCs w:val="24"/>
        </w:rPr>
        <w:t xml:space="preserve"> elimineres hovedsageligt ved </w:t>
      </w:r>
      <w:proofErr w:type="spellStart"/>
      <w:r w:rsidRPr="002A44A0">
        <w:rPr>
          <w:sz w:val="24"/>
          <w:szCs w:val="24"/>
        </w:rPr>
        <w:t>oxidativ</w:t>
      </w:r>
      <w:proofErr w:type="spellEnd"/>
      <w:r w:rsidRPr="002A44A0">
        <w:rPr>
          <w:sz w:val="24"/>
          <w:szCs w:val="24"/>
        </w:rPr>
        <w:t xml:space="preserve"> metabolisme, forårsaget af </w:t>
      </w:r>
      <w:proofErr w:type="spellStart"/>
      <w:r w:rsidRPr="002A44A0">
        <w:rPr>
          <w:sz w:val="24"/>
          <w:szCs w:val="24"/>
        </w:rPr>
        <w:t>monoaminooxidase</w:t>
      </w:r>
      <w:proofErr w:type="spellEnd"/>
      <w:r w:rsidRPr="002A44A0">
        <w:rPr>
          <w:sz w:val="24"/>
          <w:szCs w:val="24"/>
        </w:rPr>
        <w:t xml:space="preserve"> A. Hovedmetabolitten, </w:t>
      </w:r>
      <w:proofErr w:type="spellStart"/>
      <w:r w:rsidRPr="002A44A0">
        <w:rPr>
          <w:sz w:val="24"/>
          <w:szCs w:val="24"/>
        </w:rPr>
        <w:t>indoleddikesyre-analogen</w:t>
      </w:r>
      <w:proofErr w:type="spellEnd"/>
      <w:r w:rsidRPr="002A44A0">
        <w:rPr>
          <w:sz w:val="24"/>
          <w:szCs w:val="24"/>
        </w:rPr>
        <w:t xml:space="preserve"> af </w:t>
      </w:r>
      <w:proofErr w:type="spellStart"/>
      <w:r w:rsidRPr="002A44A0">
        <w:rPr>
          <w:sz w:val="24"/>
          <w:szCs w:val="24"/>
        </w:rPr>
        <w:t>sumatriptan</w:t>
      </w:r>
      <w:proofErr w:type="spellEnd"/>
      <w:r w:rsidRPr="002A44A0">
        <w:rPr>
          <w:sz w:val="24"/>
          <w:szCs w:val="24"/>
        </w:rPr>
        <w:t xml:space="preserve">, udskilles hovedsagelig i urinen, hvor den findes som fri syre og </w:t>
      </w:r>
      <w:proofErr w:type="spellStart"/>
      <w:r w:rsidRPr="002A44A0">
        <w:rPr>
          <w:sz w:val="24"/>
          <w:szCs w:val="24"/>
        </w:rPr>
        <w:t>glucuronidkonjugat</w:t>
      </w:r>
      <w:proofErr w:type="spellEnd"/>
      <w:r w:rsidRPr="002A44A0">
        <w:rPr>
          <w:sz w:val="24"/>
          <w:szCs w:val="24"/>
        </w:rPr>
        <w:t>. Det har ingen kendt 5HT</w:t>
      </w:r>
      <w:r w:rsidRPr="002A44A0">
        <w:rPr>
          <w:sz w:val="24"/>
          <w:szCs w:val="24"/>
          <w:vertAlign w:val="subscript"/>
        </w:rPr>
        <w:t xml:space="preserve">1 </w:t>
      </w:r>
      <w:r w:rsidRPr="002A44A0">
        <w:rPr>
          <w:sz w:val="24"/>
          <w:szCs w:val="24"/>
        </w:rPr>
        <w:t>- eller 5HT</w:t>
      </w:r>
      <w:r w:rsidRPr="002A44A0">
        <w:rPr>
          <w:sz w:val="24"/>
          <w:szCs w:val="24"/>
          <w:vertAlign w:val="subscript"/>
        </w:rPr>
        <w:t>2</w:t>
      </w:r>
      <w:r w:rsidRPr="002A44A0">
        <w:rPr>
          <w:sz w:val="24"/>
          <w:szCs w:val="24"/>
        </w:rPr>
        <w:t xml:space="preserve">-aktivitet. Mindre betydende metabolitter er ikke fundet. </w:t>
      </w:r>
    </w:p>
    <w:p w:rsidR="002A44A0" w:rsidRPr="002A44A0" w:rsidRDefault="002A44A0" w:rsidP="002A44A0">
      <w:pPr>
        <w:suppressAutoHyphens/>
        <w:ind w:left="851"/>
        <w:rPr>
          <w:sz w:val="24"/>
          <w:szCs w:val="24"/>
        </w:rPr>
      </w:pPr>
    </w:p>
    <w:p w:rsidR="002A44A0" w:rsidRPr="002A44A0" w:rsidRDefault="002A44A0" w:rsidP="002A44A0">
      <w:pPr>
        <w:suppressAutoHyphens/>
        <w:ind w:left="851"/>
        <w:rPr>
          <w:sz w:val="24"/>
          <w:szCs w:val="24"/>
        </w:rPr>
      </w:pPr>
      <w:r w:rsidRPr="002A44A0">
        <w:rPr>
          <w:sz w:val="24"/>
          <w:szCs w:val="24"/>
        </w:rPr>
        <w:t xml:space="preserve">Den gennemsnitlige totale </w:t>
      </w:r>
      <w:proofErr w:type="spellStart"/>
      <w:r w:rsidRPr="002A44A0">
        <w:rPr>
          <w:sz w:val="24"/>
          <w:szCs w:val="24"/>
        </w:rPr>
        <w:t>clearance</w:t>
      </w:r>
      <w:proofErr w:type="spellEnd"/>
      <w:r w:rsidRPr="002A44A0">
        <w:rPr>
          <w:sz w:val="24"/>
          <w:szCs w:val="24"/>
        </w:rPr>
        <w:t xml:space="preserve"> er ca. 1160 ml/min, og den gennemsnitlige </w:t>
      </w:r>
      <w:proofErr w:type="spellStart"/>
      <w:r w:rsidRPr="002A44A0">
        <w:rPr>
          <w:sz w:val="24"/>
          <w:szCs w:val="24"/>
        </w:rPr>
        <w:t>renale</w:t>
      </w:r>
      <w:proofErr w:type="spellEnd"/>
      <w:r w:rsidRPr="002A44A0">
        <w:rPr>
          <w:sz w:val="24"/>
          <w:szCs w:val="24"/>
        </w:rPr>
        <w:t xml:space="preserve"> </w:t>
      </w:r>
      <w:proofErr w:type="spellStart"/>
      <w:r w:rsidRPr="002A44A0">
        <w:rPr>
          <w:sz w:val="24"/>
          <w:szCs w:val="24"/>
        </w:rPr>
        <w:t>clearance</w:t>
      </w:r>
      <w:proofErr w:type="spellEnd"/>
      <w:r w:rsidRPr="002A44A0">
        <w:rPr>
          <w:sz w:val="24"/>
          <w:szCs w:val="24"/>
        </w:rPr>
        <w:t xml:space="preserve"> er ca. 260 ml/min.</w:t>
      </w:r>
    </w:p>
    <w:p w:rsidR="002A44A0" w:rsidRPr="002A44A0" w:rsidRDefault="002A44A0" w:rsidP="002A44A0">
      <w:pPr>
        <w:suppressAutoHyphens/>
        <w:ind w:left="851"/>
        <w:rPr>
          <w:sz w:val="24"/>
          <w:szCs w:val="24"/>
        </w:rPr>
      </w:pPr>
    </w:p>
    <w:p w:rsidR="002A44A0" w:rsidRPr="002A44A0" w:rsidRDefault="002A44A0" w:rsidP="002A44A0">
      <w:pPr>
        <w:suppressAutoHyphens/>
        <w:ind w:left="851"/>
        <w:rPr>
          <w:sz w:val="24"/>
          <w:szCs w:val="24"/>
        </w:rPr>
      </w:pPr>
      <w:r w:rsidRPr="002A44A0">
        <w:rPr>
          <w:sz w:val="24"/>
          <w:szCs w:val="24"/>
        </w:rPr>
        <w:t>Eliminationshalveringstiden er ca. 2 timer.</w:t>
      </w:r>
    </w:p>
    <w:p w:rsidR="002A44A0" w:rsidRPr="002A44A0" w:rsidRDefault="002A44A0" w:rsidP="002A44A0">
      <w:pPr>
        <w:suppressAutoHyphens/>
        <w:ind w:left="851"/>
        <w:rPr>
          <w:sz w:val="24"/>
          <w:szCs w:val="24"/>
        </w:rPr>
      </w:pPr>
    </w:p>
    <w:p w:rsidR="002A44A0" w:rsidRPr="002A44A0" w:rsidRDefault="002A44A0" w:rsidP="002A44A0">
      <w:pPr>
        <w:suppressAutoHyphens/>
        <w:ind w:left="851"/>
        <w:rPr>
          <w:sz w:val="24"/>
          <w:szCs w:val="24"/>
          <w:u w:val="single"/>
        </w:rPr>
      </w:pPr>
      <w:r w:rsidRPr="002A44A0">
        <w:rPr>
          <w:sz w:val="24"/>
          <w:szCs w:val="24"/>
          <w:u w:val="single"/>
        </w:rPr>
        <w:t>Særlige populationer</w:t>
      </w:r>
    </w:p>
    <w:p w:rsidR="002A44A0" w:rsidRPr="002A44A0" w:rsidRDefault="002A44A0" w:rsidP="002A44A0">
      <w:pPr>
        <w:suppressAutoHyphens/>
        <w:ind w:left="851"/>
        <w:rPr>
          <w:i/>
          <w:iCs/>
          <w:sz w:val="24"/>
          <w:szCs w:val="24"/>
        </w:rPr>
      </w:pPr>
      <w:r w:rsidRPr="002A44A0">
        <w:rPr>
          <w:i/>
          <w:iCs/>
          <w:sz w:val="24"/>
          <w:szCs w:val="24"/>
        </w:rPr>
        <w:t>Ældre (over 65 år)</w:t>
      </w:r>
    </w:p>
    <w:p w:rsidR="002A44A0" w:rsidRPr="002A44A0" w:rsidRDefault="002A44A0" w:rsidP="002A44A0">
      <w:pPr>
        <w:suppressAutoHyphens/>
        <w:ind w:left="851"/>
        <w:rPr>
          <w:sz w:val="24"/>
          <w:szCs w:val="24"/>
        </w:rPr>
      </w:pPr>
      <w:r w:rsidRPr="002A44A0">
        <w:rPr>
          <w:sz w:val="24"/>
          <w:szCs w:val="24"/>
        </w:rPr>
        <w:t>Kinetikken hos ældre er ikke blevet undersøgt tilstrækkeligt til, at der kan gives oplysninger om potentielle forskelle i kinetikken mellem ældre og yngre frivillige.</w:t>
      </w:r>
    </w:p>
    <w:p w:rsidR="002A44A0" w:rsidRPr="002A44A0" w:rsidRDefault="002A44A0" w:rsidP="002A44A0">
      <w:pPr>
        <w:suppressAutoHyphens/>
        <w:ind w:left="851"/>
        <w:rPr>
          <w:sz w:val="24"/>
          <w:szCs w:val="24"/>
        </w:rPr>
      </w:pPr>
    </w:p>
    <w:p w:rsidR="002A44A0" w:rsidRPr="002A44A0" w:rsidRDefault="002A44A0" w:rsidP="002A44A0">
      <w:pPr>
        <w:suppressAutoHyphens/>
        <w:ind w:left="851"/>
        <w:rPr>
          <w:i/>
          <w:iCs/>
          <w:sz w:val="24"/>
          <w:szCs w:val="24"/>
        </w:rPr>
      </w:pPr>
      <w:r w:rsidRPr="002A44A0">
        <w:rPr>
          <w:i/>
          <w:iCs/>
          <w:sz w:val="24"/>
          <w:szCs w:val="24"/>
        </w:rPr>
        <w:t>Nedsat leverfunktion</w:t>
      </w:r>
    </w:p>
    <w:p w:rsidR="002A44A0" w:rsidRPr="002A44A0" w:rsidRDefault="002A44A0" w:rsidP="002A44A0">
      <w:pPr>
        <w:suppressAutoHyphens/>
        <w:ind w:left="851"/>
        <w:rPr>
          <w:sz w:val="24"/>
          <w:szCs w:val="24"/>
        </w:rPr>
      </w:pPr>
      <w:r w:rsidRPr="002A44A0">
        <w:rPr>
          <w:sz w:val="24"/>
          <w:szCs w:val="24"/>
        </w:rPr>
        <w:t xml:space="preserve">Farmakokinetikken af </w:t>
      </w:r>
      <w:proofErr w:type="spellStart"/>
      <w:r w:rsidRPr="002A44A0">
        <w:rPr>
          <w:sz w:val="24"/>
          <w:szCs w:val="24"/>
        </w:rPr>
        <w:t>sumatriptan</w:t>
      </w:r>
      <w:proofErr w:type="spellEnd"/>
      <w:r w:rsidRPr="002A44A0">
        <w:rPr>
          <w:sz w:val="24"/>
          <w:szCs w:val="24"/>
        </w:rPr>
        <w:t xml:space="preserve"> efter en oral dosis (50 mg) og en subkutan dosis (6 mg) er blevet undersøgt hos 8 patienter med mildt til moderat nedsat leverfunktion over for 8 raske frivillige forsøgsdeltagere med tilsvarende køn, alder og vægt. Efter den orale dosis </w:t>
      </w:r>
      <w:proofErr w:type="spellStart"/>
      <w:r w:rsidRPr="002A44A0">
        <w:rPr>
          <w:sz w:val="24"/>
          <w:szCs w:val="24"/>
        </w:rPr>
        <w:t>sumatriptan</w:t>
      </w:r>
      <w:proofErr w:type="spellEnd"/>
      <w:r w:rsidRPr="002A44A0">
        <w:rPr>
          <w:sz w:val="24"/>
          <w:szCs w:val="24"/>
        </w:rPr>
        <w:t xml:space="preserve"> var plasmaeksponeringen (AUC og </w:t>
      </w:r>
      <w:proofErr w:type="spellStart"/>
      <w:r w:rsidRPr="002A44A0">
        <w:rPr>
          <w:sz w:val="24"/>
          <w:szCs w:val="24"/>
        </w:rPr>
        <w:t>C</w:t>
      </w:r>
      <w:r w:rsidRPr="002A44A0">
        <w:rPr>
          <w:sz w:val="24"/>
          <w:szCs w:val="24"/>
          <w:vertAlign w:val="subscript"/>
        </w:rPr>
        <w:t>max</w:t>
      </w:r>
      <w:proofErr w:type="spellEnd"/>
      <w:r w:rsidRPr="002A44A0">
        <w:rPr>
          <w:sz w:val="24"/>
          <w:szCs w:val="24"/>
        </w:rPr>
        <w:t xml:space="preserve">) næsten to gange højere (cirka 80 % højere) hos patienterne med mildt til moderat nedsat leverfunktion end hos kontrolpersonerne med normal leverfunktion. Der var ingen forskel mellem patienterne med nedsat leverfunktion og kontrolpersonerne efter den subkutane dosis. Dette tyder på, at mild til moderat nedsat leverfunktion reducerer den præsystemiske </w:t>
      </w:r>
      <w:proofErr w:type="spellStart"/>
      <w:r w:rsidRPr="002A44A0">
        <w:rPr>
          <w:sz w:val="24"/>
          <w:szCs w:val="24"/>
        </w:rPr>
        <w:t>clearance</w:t>
      </w:r>
      <w:proofErr w:type="spellEnd"/>
      <w:r w:rsidRPr="002A44A0">
        <w:rPr>
          <w:sz w:val="24"/>
          <w:szCs w:val="24"/>
        </w:rPr>
        <w:t xml:space="preserve"> og øger biotilgængeligheden og eksponeringen for </w:t>
      </w:r>
      <w:proofErr w:type="spellStart"/>
      <w:r w:rsidRPr="002A44A0">
        <w:rPr>
          <w:sz w:val="24"/>
          <w:szCs w:val="24"/>
        </w:rPr>
        <w:t>sumatriptan</w:t>
      </w:r>
      <w:proofErr w:type="spellEnd"/>
      <w:r w:rsidRPr="002A44A0">
        <w:rPr>
          <w:sz w:val="24"/>
          <w:szCs w:val="24"/>
        </w:rPr>
        <w:t xml:space="preserve"> ved sammenligning med raske forsøgsdeltagere.</w:t>
      </w:r>
    </w:p>
    <w:p w:rsidR="002A44A0" w:rsidRPr="002A44A0" w:rsidRDefault="002A44A0" w:rsidP="002A44A0">
      <w:pPr>
        <w:suppressAutoHyphens/>
        <w:ind w:left="851"/>
        <w:rPr>
          <w:sz w:val="24"/>
          <w:szCs w:val="24"/>
        </w:rPr>
      </w:pPr>
      <w:r w:rsidRPr="002A44A0">
        <w:rPr>
          <w:sz w:val="24"/>
          <w:szCs w:val="24"/>
        </w:rPr>
        <w:t xml:space="preserve">Efter oral administration er den præsystemiske </w:t>
      </w:r>
      <w:proofErr w:type="spellStart"/>
      <w:r w:rsidRPr="002A44A0">
        <w:rPr>
          <w:sz w:val="24"/>
          <w:szCs w:val="24"/>
        </w:rPr>
        <w:t>clearance</w:t>
      </w:r>
      <w:proofErr w:type="spellEnd"/>
      <w:r w:rsidRPr="002A44A0">
        <w:rPr>
          <w:sz w:val="24"/>
          <w:szCs w:val="24"/>
        </w:rPr>
        <w:t xml:space="preserve"> altså reduceret hos patienter med mildt til moderat nedsat leverfunktion, og den systemiske eksponering er næsten fordoblet.</w:t>
      </w:r>
    </w:p>
    <w:p w:rsidR="002A44A0" w:rsidRPr="002A44A0" w:rsidRDefault="002A44A0" w:rsidP="002A44A0">
      <w:pPr>
        <w:suppressAutoHyphens/>
        <w:ind w:left="851"/>
        <w:rPr>
          <w:sz w:val="24"/>
          <w:szCs w:val="24"/>
        </w:rPr>
      </w:pPr>
    </w:p>
    <w:p w:rsidR="002A44A0" w:rsidRPr="002A44A0" w:rsidRDefault="002A44A0" w:rsidP="002A44A0">
      <w:pPr>
        <w:suppressAutoHyphens/>
        <w:ind w:left="851"/>
        <w:rPr>
          <w:sz w:val="24"/>
          <w:szCs w:val="24"/>
        </w:rPr>
      </w:pPr>
      <w:r w:rsidRPr="002A44A0">
        <w:rPr>
          <w:sz w:val="24"/>
          <w:szCs w:val="24"/>
        </w:rPr>
        <w:t>Farmakokinetikken hos patienter med svært nedsat leverfunktion er ikke blevet undersøgt (se pkt. 4.3 og 4.4).</w:t>
      </w:r>
    </w:p>
    <w:p w:rsidR="00594AD4" w:rsidRDefault="00594AD4" w:rsidP="00594AD4">
      <w:pPr>
        <w:suppressAutoHyphens/>
        <w:ind w:left="851" w:hanging="851"/>
        <w:rPr>
          <w:b/>
        </w:rPr>
      </w:pPr>
    </w:p>
    <w:p w:rsidR="00594AD4" w:rsidRPr="00E775C6" w:rsidRDefault="00594AD4" w:rsidP="00E775C6">
      <w:pPr>
        <w:pStyle w:val="Listeafsnit"/>
        <w:numPr>
          <w:ilvl w:val="1"/>
          <w:numId w:val="6"/>
        </w:numPr>
        <w:suppressAutoHyphens/>
        <w:rPr>
          <w:b/>
        </w:rPr>
      </w:pPr>
      <w:r w:rsidRPr="00E775C6">
        <w:rPr>
          <w:b/>
        </w:rPr>
        <w:t>Prækliniske sikkerhedsdata</w:t>
      </w:r>
    </w:p>
    <w:p w:rsidR="00594AD4" w:rsidRPr="00E775C6" w:rsidRDefault="00594AD4" w:rsidP="00594AD4">
      <w:pPr>
        <w:pStyle w:val="Brdtekstindrykning2"/>
        <w:tabs>
          <w:tab w:val="left" w:pos="0"/>
          <w:tab w:val="left" w:pos="851"/>
        </w:tabs>
        <w:ind w:left="851"/>
        <w:rPr>
          <w:szCs w:val="24"/>
        </w:rPr>
      </w:pPr>
      <w:r w:rsidRPr="00E775C6">
        <w:rPr>
          <w:szCs w:val="24"/>
        </w:rPr>
        <w:t xml:space="preserve">I en fertilitetsundersøgelse hos rotter sås nedsat succes af insemination ved koncentrationer langt over den maksimale koncentration hos mennesker. Hos kaniner sås fosterdød uden udprægede </w:t>
      </w:r>
      <w:proofErr w:type="spellStart"/>
      <w:r w:rsidRPr="00E775C6">
        <w:rPr>
          <w:szCs w:val="24"/>
        </w:rPr>
        <w:t>teratogene</w:t>
      </w:r>
      <w:proofErr w:type="spellEnd"/>
      <w:r w:rsidRPr="00E775C6">
        <w:rPr>
          <w:szCs w:val="24"/>
        </w:rPr>
        <w:t xml:space="preserve"> effekter. Det er uvist, om disse fund har relevans for mennesker.</w:t>
      </w:r>
    </w:p>
    <w:p w:rsidR="00594AD4" w:rsidRPr="00E775C6" w:rsidRDefault="00594AD4" w:rsidP="00594AD4">
      <w:pPr>
        <w:tabs>
          <w:tab w:val="left" w:pos="0"/>
        </w:tabs>
        <w:ind w:left="851"/>
        <w:rPr>
          <w:sz w:val="24"/>
          <w:szCs w:val="24"/>
        </w:rPr>
      </w:pPr>
      <w:proofErr w:type="spellStart"/>
      <w:r w:rsidRPr="00E775C6">
        <w:rPr>
          <w:sz w:val="24"/>
          <w:szCs w:val="24"/>
        </w:rPr>
        <w:t>Sumatriptan</w:t>
      </w:r>
      <w:proofErr w:type="spellEnd"/>
      <w:r w:rsidRPr="00E775C6">
        <w:rPr>
          <w:sz w:val="24"/>
          <w:szCs w:val="24"/>
        </w:rPr>
        <w:t xml:space="preserve"> har ingen genotoksisk eller karcinogen effekt i studier in </w:t>
      </w:r>
      <w:proofErr w:type="spellStart"/>
      <w:r w:rsidRPr="00E775C6">
        <w:rPr>
          <w:sz w:val="24"/>
          <w:szCs w:val="24"/>
        </w:rPr>
        <w:t>vitro</w:t>
      </w:r>
      <w:proofErr w:type="spellEnd"/>
      <w:r w:rsidRPr="00E775C6">
        <w:rPr>
          <w:sz w:val="24"/>
          <w:szCs w:val="24"/>
        </w:rPr>
        <w:t xml:space="preserve"> eller dyrestudier.</w:t>
      </w:r>
    </w:p>
    <w:p w:rsidR="00594AD4" w:rsidRDefault="00594AD4" w:rsidP="00594AD4">
      <w:pPr>
        <w:tabs>
          <w:tab w:val="left" w:pos="851"/>
        </w:tabs>
        <w:jc w:val="both"/>
      </w:pPr>
    </w:p>
    <w:p w:rsidR="00594AD4" w:rsidRDefault="00594AD4" w:rsidP="00594AD4"/>
    <w:p w:rsidR="00594AD4" w:rsidRPr="00E775C6" w:rsidRDefault="00594AD4" w:rsidP="00A22EBB">
      <w:pPr>
        <w:pStyle w:val="Listeafsnit"/>
        <w:keepNext/>
        <w:numPr>
          <w:ilvl w:val="0"/>
          <w:numId w:val="6"/>
        </w:numPr>
        <w:suppressAutoHyphens/>
        <w:rPr>
          <w:b/>
        </w:rPr>
      </w:pPr>
      <w:r w:rsidRPr="00E775C6">
        <w:rPr>
          <w:b/>
        </w:rPr>
        <w:lastRenderedPageBreak/>
        <w:t>FARMACEUTISKE OPLYSNINGER</w:t>
      </w:r>
    </w:p>
    <w:p w:rsidR="00594AD4" w:rsidRDefault="00594AD4" w:rsidP="00A22EBB">
      <w:pPr>
        <w:keepNext/>
      </w:pPr>
    </w:p>
    <w:p w:rsidR="00594AD4" w:rsidRPr="00E775C6" w:rsidRDefault="00594AD4" w:rsidP="00A22EBB">
      <w:pPr>
        <w:pStyle w:val="Listeafsnit"/>
        <w:keepNext/>
        <w:numPr>
          <w:ilvl w:val="1"/>
          <w:numId w:val="6"/>
        </w:numPr>
        <w:suppressAutoHyphens/>
        <w:rPr>
          <w:b/>
        </w:rPr>
      </w:pPr>
      <w:r w:rsidRPr="00E775C6">
        <w:rPr>
          <w:b/>
        </w:rPr>
        <w:t>Hjælpestoffer</w:t>
      </w:r>
    </w:p>
    <w:p w:rsidR="00594AD4" w:rsidRPr="00E775C6" w:rsidRDefault="002A44A0" w:rsidP="00A22EBB">
      <w:pPr>
        <w:keepNext/>
        <w:ind w:left="851"/>
        <w:rPr>
          <w:sz w:val="28"/>
          <w:lang w:eastAsia="da-DK"/>
        </w:rPr>
      </w:pPr>
      <w:r w:rsidRPr="00E775C6">
        <w:rPr>
          <w:i/>
          <w:sz w:val="24"/>
        </w:rPr>
        <w:t>50 mg filmovertrukne tabletter:</w:t>
      </w:r>
    </w:p>
    <w:p w:rsidR="00594AD4" w:rsidRPr="00E775C6" w:rsidRDefault="00594AD4" w:rsidP="00A22EBB">
      <w:pPr>
        <w:keepNext/>
        <w:ind w:left="851"/>
        <w:rPr>
          <w:b/>
          <w:i/>
          <w:sz w:val="24"/>
          <w:lang w:val="en-GB"/>
        </w:rPr>
      </w:pPr>
      <w:proofErr w:type="spellStart"/>
      <w:r w:rsidRPr="00E775C6">
        <w:rPr>
          <w:sz w:val="24"/>
          <w:lang w:val="en-GB"/>
        </w:rPr>
        <w:t>Kerne</w:t>
      </w:r>
      <w:proofErr w:type="spellEnd"/>
      <w:r w:rsidRPr="00E775C6">
        <w:rPr>
          <w:b/>
          <w:sz w:val="24"/>
          <w:lang w:val="en-GB"/>
        </w:rPr>
        <w:t>:</w:t>
      </w:r>
      <w:r w:rsidRPr="00E775C6">
        <w:rPr>
          <w:b/>
          <w:i/>
          <w:sz w:val="24"/>
          <w:lang w:val="en-GB"/>
        </w:rPr>
        <w:t xml:space="preserve"> </w:t>
      </w:r>
    </w:p>
    <w:p w:rsidR="00594AD4" w:rsidRPr="00E775C6" w:rsidRDefault="00594AD4" w:rsidP="00594AD4">
      <w:pPr>
        <w:ind w:left="851"/>
        <w:rPr>
          <w:sz w:val="24"/>
          <w:lang w:val="en-GB"/>
        </w:rPr>
      </w:pPr>
      <w:proofErr w:type="spellStart"/>
      <w:r w:rsidRPr="00E775C6">
        <w:rPr>
          <w:sz w:val="24"/>
          <w:lang w:val="en-GB"/>
        </w:rPr>
        <w:t>Lactosemonohydrat</w:t>
      </w:r>
      <w:proofErr w:type="spellEnd"/>
      <w:r w:rsidRPr="00E775C6">
        <w:rPr>
          <w:sz w:val="24"/>
          <w:lang w:val="en-GB"/>
        </w:rPr>
        <w:t xml:space="preserve"> </w:t>
      </w:r>
    </w:p>
    <w:p w:rsidR="00594AD4" w:rsidRPr="00E775C6" w:rsidRDefault="00594AD4" w:rsidP="00594AD4">
      <w:pPr>
        <w:ind w:left="851"/>
        <w:rPr>
          <w:sz w:val="24"/>
          <w:lang w:val="en-GB"/>
        </w:rPr>
      </w:pPr>
      <w:proofErr w:type="spellStart"/>
      <w:r w:rsidRPr="00E775C6">
        <w:rPr>
          <w:sz w:val="24"/>
          <w:lang w:val="en-GB"/>
        </w:rPr>
        <w:t>Mikrokrystallinsk</w:t>
      </w:r>
      <w:proofErr w:type="spellEnd"/>
      <w:r w:rsidRPr="00E775C6">
        <w:rPr>
          <w:sz w:val="24"/>
          <w:lang w:val="en-GB"/>
        </w:rPr>
        <w:t xml:space="preserve"> cellulose</w:t>
      </w:r>
    </w:p>
    <w:p w:rsidR="00594AD4" w:rsidRPr="00E775C6" w:rsidRDefault="00594AD4" w:rsidP="00594AD4">
      <w:pPr>
        <w:ind w:left="851"/>
        <w:rPr>
          <w:sz w:val="24"/>
          <w:lang w:val="en-GB"/>
        </w:rPr>
      </w:pPr>
      <w:proofErr w:type="spellStart"/>
      <w:r w:rsidRPr="00E775C6">
        <w:rPr>
          <w:sz w:val="24"/>
          <w:lang w:val="en-GB"/>
        </w:rPr>
        <w:t>Croscarmellosenatrium</w:t>
      </w:r>
      <w:proofErr w:type="spellEnd"/>
      <w:r w:rsidRPr="00E775C6">
        <w:rPr>
          <w:sz w:val="24"/>
          <w:lang w:val="en-GB"/>
        </w:rPr>
        <w:t xml:space="preserve"> </w:t>
      </w:r>
    </w:p>
    <w:p w:rsidR="00594AD4" w:rsidRPr="00E775C6" w:rsidRDefault="00594AD4" w:rsidP="00594AD4">
      <w:pPr>
        <w:ind w:left="851"/>
        <w:rPr>
          <w:sz w:val="24"/>
          <w:lang w:val="en-GB"/>
        </w:rPr>
      </w:pPr>
      <w:proofErr w:type="spellStart"/>
      <w:r w:rsidRPr="00E775C6">
        <w:rPr>
          <w:sz w:val="24"/>
          <w:lang w:val="en-GB"/>
        </w:rPr>
        <w:t>Magnesiumstearat</w:t>
      </w:r>
      <w:proofErr w:type="spellEnd"/>
      <w:r w:rsidRPr="00E775C6">
        <w:rPr>
          <w:sz w:val="24"/>
          <w:lang w:val="en-GB"/>
        </w:rPr>
        <w:t xml:space="preserve"> </w:t>
      </w:r>
    </w:p>
    <w:p w:rsidR="00594AD4" w:rsidRPr="00E775C6" w:rsidRDefault="00594AD4" w:rsidP="00594AD4">
      <w:pPr>
        <w:ind w:left="851"/>
        <w:rPr>
          <w:b/>
          <w:i/>
          <w:sz w:val="24"/>
          <w:lang w:val="en-GB"/>
        </w:rPr>
      </w:pPr>
    </w:p>
    <w:p w:rsidR="00594AD4" w:rsidRPr="00E775C6" w:rsidRDefault="00594AD4" w:rsidP="00594AD4">
      <w:pPr>
        <w:ind w:left="851"/>
        <w:rPr>
          <w:b/>
          <w:i/>
          <w:sz w:val="24"/>
        </w:rPr>
      </w:pPr>
      <w:r w:rsidRPr="00E775C6">
        <w:rPr>
          <w:sz w:val="24"/>
        </w:rPr>
        <w:t>Filmovertræk</w:t>
      </w:r>
      <w:r w:rsidRPr="00E775C6">
        <w:rPr>
          <w:b/>
          <w:i/>
          <w:sz w:val="24"/>
        </w:rPr>
        <w:t>:</w:t>
      </w:r>
    </w:p>
    <w:p w:rsidR="00594AD4" w:rsidRPr="00E775C6" w:rsidRDefault="00594AD4" w:rsidP="00594AD4">
      <w:pPr>
        <w:ind w:left="851"/>
        <w:rPr>
          <w:sz w:val="24"/>
        </w:rPr>
      </w:pPr>
      <w:proofErr w:type="spellStart"/>
      <w:r w:rsidRPr="00E775C6">
        <w:rPr>
          <w:sz w:val="24"/>
        </w:rPr>
        <w:t>Lactosemonohydrat</w:t>
      </w:r>
      <w:proofErr w:type="spellEnd"/>
    </w:p>
    <w:p w:rsidR="00594AD4" w:rsidRPr="00E775C6" w:rsidRDefault="00594AD4" w:rsidP="00594AD4">
      <w:pPr>
        <w:ind w:left="851"/>
        <w:rPr>
          <w:sz w:val="24"/>
        </w:rPr>
      </w:pPr>
      <w:r w:rsidRPr="00E775C6">
        <w:rPr>
          <w:sz w:val="24"/>
        </w:rPr>
        <w:t xml:space="preserve">Majsstivelse </w:t>
      </w:r>
    </w:p>
    <w:p w:rsidR="00594AD4" w:rsidRPr="00E775C6" w:rsidRDefault="00594AD4" w:rsidP="00594AD4">
      <w:pPr>
        <w:ind w:left="851"/>
        <w:rPr>
          <w:sz w:val="24"/>
        </w:rPr>
      </w:pPr>
      <w:r w:rsidRPr="00E775C6">
        <w:rPr>
          <w:sz w:val="24"/>
        </w:rPr>
        <w:t>Opløselig stivelse</w:t>
      </w:r>
    </w:p>
    <w:p w:rsidR="00594AD4" w:rsidRPr="00E775C6" w:rsidRDefault="00594AD4" w:rsidP="00594AD4">
      <w:pPr>
        <w:ind w:left="851"/>
        <w:rPr>
          <w:sz w:val="24"/>
        </w:rPr>
      </w:pPr>
      <w:proofErr w:type="spellStart"/>
      <w:r w:rsidRPr="00E775C6">
        <w:rPr>
          <w:sz w:val="24"/>
        </w:rPr>
        <w:t>Mannitol</w:t>
      </w:r>
      <w:proofErr w:type="spellEnd"/>
      <w:r w:rsidRPr="00E775C6">
        <w:rPr>
          <w:sz w:val="24"/>
        </w:rPr>
        <w:t xml:space="preserve"> </w:t>
      </w:r>
    </w:p>
    <w:p w:rsidR="00594AD4" w:rsidRPr="00E775C6" w:rsidRDefault="00594AD4" w:rsidP="00594AD4">
      <w:pPr>
        <w:ind w:left="851"/>
        <w:rPr>
          <w:sz w:val="24"/>
        </w:rPr>
      </w:pPr>
      <w:proofErr w:type="spellStart"/>
      <w:r w:rsidRPr="00E775C6">
        <w:rPr>
          <w:sz w:val="24"/>
        </w:rPr>
        <w:t>Aspartam</w:t>
      </w:r>
      <w:proofErr w:type="spellEnd"/>
      <w:r w:rsidRPr="00E775C6">
        <w:rPr>
          <w:sz w:val="24"/>
        </w:rPr>
        <w:t xml:space="preserve"> </w:t>
      </w:r>
    </w:p>
    <w:p w:rsidR="00594AD4" w:rsidRPr="00E775C6" w:rsidRDefault="00594AD4" w:rsidP="00594AD4">
      <w:pPr>
        <w:ind w:left="851"/>
        <w:rPr>
          <w:sz w:val="24"/>
        </w:rPr>
      </w:pPr>
      <w:proofErr w:type="spellStart"/>
      <w:r w:rsidRPr="00E775C6">
        <w:rPr>
          <w:sz w:val="24"/>
        </w:rPr>
        <w:t>Polysorbat</w:t>
      </w:r>
      <w:proofErr w:type="spellEnd"/>
      <w:r w:rsidRPr="00E775C6">
        <w:rPr>
          <w:sz w:val="24"/>
        </w:rPr>
        <w:t xml:space="preserve"> 80 </w:t>
      </w:r>
    </w:p>
    <w:p w:rsidR="00594AD4" w:rsidRPr="00E775C6" w:rsidRDefault="00594AD4" w:rsidP="00594AD4">
      <w:pPr>
        <w:ind w:left="851"/>
        <w:rPr>
          <w:sz w:val="24"/>
        </w:rPr>
      </w:pPr>
      <w:r w:rsidRPr="00E775C6">
        <w:rPr>
          <w:sz w:val="24"/>
        </w:rPr>
        <w:t>Titandioxid (</w:t>
      </w:r>
      <w:r w:rsidR="002A44A0" w:rsidRPr="00E775C6">
        <w:rPr>
          <w:sz w:val="24"/>
        </w:rPr>
        <w:t>E 171</w:t>
      </w:r>
      <w:r w:rsidRPr="00E775C6">
        <w:rPr>
          <w:sz w:val="24"/>
        </w:rPr>
        <w:t xml:space="preserve">)  </w:t>
      </w:r>
    </w:p>
    <w:p w:rsidR="00594AD4" w:rsidRPr="00E775C6" w:rsidRDefault="00594AD4" w:rsidP="00594AD4">
      <w:pPr>
        <w:ind w:left="851"/>
        <w:rPr>
          <w:sz w:val="24"/>
        </w:rPr>
      </w:pPr>
      <w:r w:rsidRPr="00E775C6">
        <w:rPr>
          <w:sz w:val="24"/>
        </w:rPr>
        <w:t>Rød jernoxid (E</w:t>
      </w:r>
      <w:r w:rsidR="002A44A0" w:rsidRPr="00E775C6">
        <w:rPr>
          <w:sz w:val="24"/>
        </w:rPr>
        <w:t xml:space="preserve"> </w:t>
      </w:r>
      <w:r w:rsidRPr="00E775C6">
        <w:rPr>
          <w:sz w:val="24"/>
        </w:rPr>
        <w:t xml:space="preserve">172) </w:t>
      </w:r>
    </w:p>
    <w:p w:rsidR="00594AD4" w:rsidRPr="00E775C6" w:rsidRDefault="00594AD4" w:rsidP="00594AD4">
      <w:pPr>
        <w:ind w:left="851"/>
        <w:rPr>
          <w:sz w:val="24"/>
        </w:rPr>
      </w:pPr>
      <w:proofErr w:type="spellStart"/>
      <w:r w:rsidRPr="00E775C6">
        <w:rPr>
          <w:sz w:val="24"/>
        </w:rPr>
        <w:t>Talcum</w:t>
      </w:r>
      <w:proofErr w:type="spellEnd"/>
    </w:p>
    <w:p w:rsidR="00594AD4" w:rsidRDefault="00594AD4" w:rsidP="00594AD4">
      <w:pPr>
        <w:ind w:left="851"/>
      </w:pPr>
    </w:p>
    <w:p w:rsidR="00594AD4" w:rsidRPr="00E775C6" w:rsidRDefault="002A44A0" w:rsidP="00E775C6">
      <w:pPr>
        <w:ind w:firstLine="851"/>
        <w:rPr>
          <w:i/>
          <w:sz w:val="24"/>
        </w:rPr>
      </w:pPr>
      <w:r w:rsidRPr="00E775C6">
        <w:rPr>
          <w:i/>
          <w:sz w:val="24"/>
        </w:rPr>
        <w:t>100 mg filmovertrukne tabletter:</w:t>
      </w:r>
    </w:p>
    <w:p w:rsidR="00594AD4" w:rsidRPr="00E775C6" w:rsidRDefault="00594AD4" w:rsidP="00594AD4">
      <w:pPr>
        <w:ind w:left="851"/>
        <w:rPr>
          <w:i/>
          <w:sz w:val="24"/>
        </w:rPr>
      </w:pPr>
      <w:r w:rsidRPr="00E775C6">
        <w:rPr>
          <w:sz w:val="24"/>
        </w:rPr>
        <w:t>Kerne</w:t>
      </w:r>
      <w:r w:rsidRPr="00E775C6">
        <w:rPr>
          <w:b/>
          <w:i/>
          <w:sz w:val="24"/>
        </w:rPr>
        <w:t>:</w:t>
      </w:r>
    </w:p>
    <w:p w:rsidR="00594AD4" w:rsidRPr="00E775C6" w:rsidRDefault="00594AD4" w:rsidP="00594AD4">
      <w:pPr>
        <w:ind w:left="851"/>
        <w:rPr>
          <w:sz w:val="24"/>
          <w:lang w:val="en-US"/>
        </w:rPr>
      </w:pPr>
      <w:proofErr w:type="spellStart"/>
      <w:r w:rsidRPr="00E775C6">
        <w:rPr>
          <w:sz w:val="24"/>
          <w:lang w:val="en-US"/>
        </w:rPr>
        <w:t>Lactosemonohydrat</w:t>
      </w:r>
      <w:proofErr w:type="spellEnd"/>
      <w:r w:rsidRPr="00E775C6">
        <w:rPr>
          <w:sz w:val="24"/>
          <w:lang w:val="en-US"/>
        </w:rPr>
        <w:t xml:space="preserve"> </w:t>
      </w:r>
    </w:p>
    <w:p w:rsidR="00594AD4" w:rsidRPr="00E775C6" w:rsidRDefault="00594AD4" w:rsidP="00594AD4">
      <w:pPr>
        <w:ind w:left="851"/>
        <w:rPr>
          <w:sz w:val="24"/>
          <w:lang w:val="en-US"/>
        </w:rPr>
      </w:pPr>
      <w:proofErr w:type="spellStart"/>
      <w:r w:rsidRPr="00E775C6">
        <w:rPr>
          <w:sz w:val="24"/>
          <w:lang w:val="en-US"/>
        </w:rPr>
        <w:t>Mikrokrystallinsk</w:t>
      </w:r>
      <w:proofErr w:type="spellEnd"/>
      <w:r w:rsidRPr="00E775C6">
        <w:rPr>
          <w:sz w:val="24"/>
          <w:lang w:val="en-US"/>
        </w:rPr>
        <w:t xml:space="preserve"> cellulose</w:t>
      </w:r>
    </w:p>
    <w:p w:rsidR="00594AD4" w:rsidRPr="00E775C6" w:rsidRDefault="00594AD4" w:rsidP="00594AD4">
      <w:pPr>
        <w:ind w:left="851"/>
        <w:rPr>
          <w:sz w:val="24"/>
          <w:lang w:val="en-US"/>
        </w:rPr>
      </w:pPr>
      <w:proofErr w:type="spellStart"/>
      <w:r w:rsidRPr="00E775C6">
        <w:rPr>
          <w:sz w:val="24"/>
          <w:lang w:val="en-US"/>
        </w:rPr>
        <w:t>Croscarmellosenatrium</w:t>
      </w:r>
      <w:proofErr w:type="spellEnd"/>
      <w:r w:rsidRPr="00E775C6">
        <w:rPr>
          <w:sz w:val="24"/>
          <w:lang w:val="en-US"/>
        </w:rPr>
        <w:t xml:space="preserve"> </w:t>
      </w:r>
    </w:p>
    <w:p w:rsidR="00594AD4" w:rsidRPr="00E775C6" w:rsidRDefault="00594AD4" w:rsidP="00594AD4">
      <w:pPr>
        <w:ind w:left="851"/>
        <w:rPr>
          <w:sz w:val="24"/>
          <w:lang w:val="en-US"/>
        </w:rPr>
      </w:pPr>
      <w:proofErr w:type="spellStart"/>
      <w:r w:rsidRPr="00E775C6">
        <w:rPr>
          <w:sz w:val="24"/>
          <w:lang w:val="en-US"/>
        </w:rPr>
        <w:t>Magnesiumstearat</w:t>
      </w:r>
      <w:proofErr w:type="spellEnd"/>
      <w:r w:rsidRPr="00E775C6">
        <w:rPr>
          <w:sz w:val="24"/>
          <w:lang w:val="en-US"/>
        </w:rPr>
        <w:t xml:space="preserve"> </w:t>
      </w:r>
    </w:p>
    <w:p w:rsidR="00594AD4" w:rsidRPr="00E775C6" w:rsidRDefault="00594AD4" w:rsidP="00594AD4">
      <w:pPr>
        <w:ind w:left="851"/>
        <w:rPr>
          <w:sz w:val="24"/>
          <w:lang w:val="en-US"/>
        </w:rPr>
      </w:pPr>
    </w:p>
    <w:p w:rsidR="00594AD4" w:rsidRPr="00E775C6" w:rsidRDefault="00594AD4" w:rsidP="00594AD4">
      <w:pPr>
        <w:ind w:left="851"/>
        <w:rPr>
          <w:b/>
          <w:i/>
          <w:sz w:val="24"/>
          <w:lang w:val="en-US"/>
        </w:rPr>
      </w:pPr>
      <w:proofErr w:type="spellStart"/>
      <w:r w:rsidRPr="00E775C6">
        <w:rPr>
          <w:sz w:val="24"/>
          <w:lang w:val="en-US"/>
        </w:rPr>
        <w:t>Filmovertræk</w:t>
      </w:r>
      <w:proofErr w:type="spellEnd"/>
      <w:r w:rsidRPr="00E775C6">
        <w:rPr>
          <w:b/>
          <w:i/>
          <w:sz w:val="24"/>
          <w:lang w:val="en-US"/>
        </w:rPr>
        <w:t xml:space="preserve">: </w:t>
      </w:r>
    </w:p>
    <w:p w:rsidR="00594AD4" w:rsidRPr="00E775C6" w:rsidRDefault="00594AD4" w:rsidP="00594AD4">
      <w:pPr>
        <w:ind w:left="851"/>
        <w:rPr>
          <w:sz w:val="24"/>
        </w:rPr>
      </w:pPr>
      <w:proofErr w:type="spellStart"/>
      <w:r w:rsidRPr="00E775C6">
        <w:rPr>
          <w:sz w:val="24"/>
        </w:rPr>
        <w:t>Lactosemonohydrat</w:t>
      </w:r>
      <w:proofErr w:type="spellEnd"/>
    </w:p>
    <w:p w:rsidR="00594AD4" w:rsidRPr="00E775C6" w:rsidRDefault="00594AD4" w:rsidP="00594AD4">
      <w:pPr>
        <w:ind w:left="851"/>
        <w:rPr>
          <w:sz w:val="24"/>
        </w:rPr>
      </w:pPr>
      <w:r w:rsidRPr="00E775C6">
        <w:rPr>
          <w:sz w:val="24"/>
        </w:rPr>
        <w:t xml:space="preserve">Majsstivelse </w:t>
      </w:r>
    </w:p>
    <w:p w:rsidR="00594AD4" w:rsidRPr="00E775C6" w:rsidRDefault="00594AD4" w:rsidP="00594AD4">
      <w:pPr>
        <w:ind w:left="851"/>
        <w:rPr>
          <w:sz w:val="24"/>
        </w:rPr>
      </w:pPr>
      <w:r w:rsidRPr="00E775C6">
        <w:rPr>
          <w:sz w:val="24"/>
        </w:rPr>
        <w:t>Opløselig stivelse</w:t>
      </w:r>
    </w:p>
    <w:p w:rsidR="00594AD4" w:rsidRPr="00E775C6" w:rsidRDefault="00594AD4" w:rsidP="00594AD4">
      <w:pPr>
        <w:ind w:left="851"/>
        <w:rPr>
          <w:sz w:val="24"/>
        </w:rPr>
      </w:pPr>
      <w:proofErr w:type="spellStart"/>
      <w:r w:rsidRPr="00E775C6">
        <w:rPr>
          <w:sz w:val="24"/>
        </w:rPr>
        <w:t>Mannitol</w:t>
      </w:r>
      <w:proofErr w:type="spellEnd"/>
      <w:r w:rsidRPr="00E775C6">
        <w:rPr>
          <w:sz w:val="24"/>
        </w:rPr>
        <w:t xml:space="preserve"> </w:t>
      </w:r>
    </w:p>
    <w:p w:rsidR="00594AD4" w:rsidRPr="00E775C6" w:rsidRDefault="00594AD4" w:rsidP="00594AD4">
      <w:pPr>
        <w:ind w:left="851"/>
        <w:rPr>
          <w:sz w:val="24"/>
        </w:rPr>
      </w:pPr>
      <w:proofErr w:type="spellStart"/>
      <w:r w:rsidRPr="00E775C6">
        <w:rPr>
          <w:sz w:val="24"/>
        </w:rPr>
        <w:t>Aspartam</w:t>
      </w:r>
      <w:proofErr w:type="spellEnd"/>
      <w:r w:rsidRPr="00E775C6">
        <w:rPr>
          <w:sz w:val="24"/>
        </w:rPr>
        <w:t xml:space="preserve"> </w:t>
      </w:r>
    </w:p>
    <w:p w:rsidR="00594AD4" w:rsidRPr="00E775C6" w:rsidRDefault="00594AD4" w:rsidP="00594AD4">
      <w:pPr>
        <w:ind w:left="851"/>
        <w:rPr>
          <w:sz w:val="24"/>
        </w:rPr>
      </w:pPr>
      <w:proofErr w:type="spellStart"/>
      <w:r w:rsidRPr="00E775C6">
        <w:rPr>
          <w:sz w:val="24"/>
        </w:rPr>
        <w:t>Polysorbat</w:t>
      </w:r>
      <w:proofErr w:type="spellEnd"/>
      <w:r w:rsidRPr="00E775C6">
        <w:rPr>
          <w:sz w:val="24"/>
        </w:rPr>
        <w:t xml:space="preserve"> 80 </w:t>
      </w:r>
    </w:p>
    <w:p w:rsidR="00594AD4" w:rsidRPr="00E775C6" w:rsidRDefault="00594AD4" w:rsidP="00594AD4">
      <w:pPr>
        <w:ind w:left="851"/>
        <w:rPr>
          <w:sz w:val="24"/>
        </w:rPr>
      </w:pPr>
      <w:r w:rsidRPr="00E775C6">
        <w:rPr>
          <w:sz w:val="24"/>
        </w:rPr>
        <w:t>Titandioxid (E</w:t>
      </w:r>
      <w:r w:rsidR="002A44A0" w:rsidRPr="00E775C6">
        <w:rPr>
          <w:sz w:val="24"/>
        </w:rPr>
        <w:t xml:space="preserve"> </w:t>
      </w:r>
      <w:r w:rsidRPr="00E775C6">
        <w:rPr>
          <w:sz w:val="24"/>
        </w:rPr>
        <w:t xml:space="preserve">171)  </w:t>
      </w:r>
    </w:p>
    <w:p w:rsidR="00594AD4" w:rsidRPr="00E775C6" w:rsidRDefault="00594AD4" w:rsidP="00594AD4">
      <w:pPr>
        <w:ind w:left="851"/>
        <w:rPr>
          <w:sz w:val="24"/>
        </w:rPr>
      </w:pPr>
      <w:r w:rsidRPr="00E775C6">
        <w:rPr>
          <w:sz w:val="24"/>
        </w:rPr>
        <w:t>Gul jernoxid (E</w:t>
      </w:r>
      <w:r w:rsidR="002A44A0" w:rsidRPr="00E775C6">
        <w:rPr>
          <w:sz w:val="24"/>
        </w:rPr>
        <w:t xml:space="preserve"> </w:t>
      </w:r>
      <w:r w:rsidRPr="00E775C6">
        <w:rPr>
          <w:sz w:val="24"/>
        </w:rPr>
        <w:t xml:space="preserve">172) </w:t>
      </w:r>
    </w:p>
    <w:p w:rsidR="00594AD4" w:rsidRPr="00E775C6" w:rsidRDefault="00594AD4" w:rsidP="00594AD4">
      <w:pPr>
        <w:ind w:left="851"/>
        <w:rPr>
          <w:sz w:val="24"/>
        </w:rPr>
      </w:pPr>
      <w:proofErr w:type="spellStart"/>
      <w:r w:rsidRPr="00E775C6">
        <w:rPr>
          <w:sz w:val="24"/>
        </w:rPr>
        <w:t>Talcum</w:t>
      </w:r>
      <w:proofErr w:type="spellEnd"/>
    </w:p>
    <w:p w:rsidR="00594AD4" w:rsidRDefault="00594AD4" w:rsidP="00594AD4"/>
    <w:p w:rsidR="00594AD4" w:rsidRPr="00E775C6" w:rsidRDefault="00594AD4" w:rsidP="00E775C6">
      <w:pPr>
        <w:pStyle w:val="Listeafsnit"/>
        <w:numPr>
          <w:ilvl w:val="1"/>
          <w:numId w:val="6"/>
        </w:numPr>
        <w:suppressAutoHyphens/>
        <w:rPr>
          <w:b/>
        </w:rPr>
      </w:pPr>
      <w:r w:rsidRPr="00E775C6">
        <w:rPr>
          <w:b/>
        </w:rPr>
        <w:t>Uforligeligheder</w:t>
      </w:r>
    </w:p>
    <w:p w:rsidR="00594AD4" w:rsidRPr="00E775C6" w:rsidRDefault="00594AD4" w:rsidP="00594AD4">
      <w:pPr>
        <w:ind w:left="851"/>
        <w:rPr>
          <w:sz w:val="24"/>
          <w:szCs w:val="24"/>
        </w:rPr>
      </w:pPr>
      <w:r w:rsidRPr="00E775C6">
        <w:rPr>
          <w:sz w:val="24"/>
          <w:szCs w:val="24"/>
        </w:rPr>
        <w:t>Ikke relevant.</w:t>
      </w:r>
    </w:p>
    <w:p w:rsidR="00594AD4" w:rsidRPr="00E775C6" w:rsidRDefault="00594AD4" w:rsidP="00594AD4">
      <w:pPr>
        <w:rPr>
          <w:sz w:val="24"/>
          <w:szCs w:val="24"/>
        </w:rPr>
      </w:pPr>
    </w:p>
    <w:p w:rsidR="00594AD4" w:rsidRPr="00E775C6" w:rsidRDefault="00594AD4" w:rsidP="00E775C6">
      <w:pPr>
        <w:pStyle w:val="Listeafsnit"/>
        <w:numPr>
          <w:ilvl w:val="1"/>
          <w:numId w:val="6"/>
        </w:numPr>
        <w:suppressAutoHyphens/>
        <w:rPr>
          <w:b/>
        </w:rPr>
      </w:pPr>
      <w:r w:rsidRPr="00E775C6">
        <w:rPr>
          <w:b/>
        </w:rPr>
        <w:t>Opbevaringstid</w:t>
      </w:r>
    </w:p>
    <w:p w:rsidR="002A44A0" w:rsidRPr="00E775C6" w:rsidRDefault="002A44A0" w:rsidP="002A44A0">
      <w:pPr>
        <w:ind w:left="851"/>
        <w:rPr>
          <w:sz w:val="24"/>
          <w:szCs w:val="24"/>
          <w:lang w:eastAsia="da-DK"/>
        </w:rPr>
      </w:pPr>
      <w:r w:rsidRPr="00E775C6">
        <w:rPr>
          <w:sz w:val="24"/>
          <w:szCs w:val="24"/>
        </w:rPr>
        <w:t>5 år</w:t>
      </w:r>
    </w:p>
    <w:p w:rsidR="00594AD4" w:rsidRPr="00E775C6" w:rsidRDefault="00594AD4" w:rsidP="00594AD4">
      <w:pPr>
        <w:rPr>
          <w:sz w:val="24"/>
          <w:szCs w:val="24"/>
          <w:lang w:val="nb-NO"/>
        </w:rPr>
      </w:pPr>
    </w:p>
    <w:p w:rsidR="00594AD4" w:rsidRPr="00E775C6" w:rsidRDefault="00594AD4" w:rsidP="002A44A0">
      <w:pPr>
        <w:numPr>
          <w:ilvl w:val="1"/>
          <w:numId w:val="8"/>
        </w:numPr>
        <w:tabs>
          <w:tab w:val="clear" w:pos="570"/>
          <w:tab w:val="num" w:pos="851"/>
        </w:tabs>
        <w:suppressAutoHyphens/>
        <w:ind w:left="993" w:hanging="993"/>
        <w:rPr>
          <w:sz w:val="24"/>
          <w:szCs w:val="24"/>
        </w:rPr>
      </w:pPr>
      <w:r w:rsidRPr="00E775C6">
        <w:rPr>
          <w:b/>
          <w:sz w:val="24"/>
          <w:szCs w:val="24"/>
        </w:rPr>
        <w:t>Særlige opbevaringsforhold</w:t>
      </w:r>
    </w:p>
    <w:p w:rsidR="00594AD4" w:rsidRPr="00E775C6" w:rsidRDefault="00594AD4" w:rsidP="00594AD4">
      <w:pPr>
        <w:pStyle w:val="Brdtekstindrykning"/>
        <w:suppressAutoHyphens/>
        <w:rPr>
          <w:szCs w:val="24"/>
        </w:rPr>
      </w:pPr>
      <w:r w:rsidRPr="00E775C6">
        <w:rPr>
          <w:szCs w:val="24"/>
        </w:rPr>
        <w:t>Dette lægemiddel kræver ingen særlige forholdsregler vedrørende opbevaringen.</w:t>
      </w:r>
    </w:p>
    <w:p w:rsidR="00594AD4" w:rsidRPr="00E775C6" w:rsidRDefault="00594AD4" w:rsidP="00594AD4">
      <w:pPr>
        <w:rPr>
          <w:sz w:val="24"/>
          <w:szCs w:val="24"/>
        </w:rPr>
      </w:pPr>
    </w:p>
    <w:p w:rsidR="002A44A0" w:rsidRPr="00E775C6" w:rsidRDefault="00594AD4" w:rsidP="002A44A0">
      <w:pPr>
        <w:numPr>
          <w:ilvl w:val="1"/>
          <w:numId w:val="7"/>
        </w:numPr>
        <w:tabs>
          <w:tab w:val="clear" w:pos="570"/>
          <w:tab w:val="num" w:pos="851"/>
        </w:tabs>
        <w:suppressAutoHyphens/>
        <w:ind w:left="851" w:hanging="851"/>
        <w:rPr>
          <w:b/>
          <w:sz w:val="24"/>
          <w:szCs w:val="24"/>
        </w:rPr>
      </w:pPr>
      <w:r w:rsidRPr="00E775C6">
        <w:rPr>
          <w:b/>
          <w:sz w:val="24"/>
          <w:szCs w:val="24"/>
        </w:rPr>
        <w:t xml:space="preserve">Emballagetyper og pakningsstørrelser </w:t>
      </w:r>
    </w:p>
    <w:p w:rsidR="002A44A0" w:rsidRPr="00E775C6" w:rsidRDefault="002A44A0" w:rsidP="002A44A0">
      <w:pPr>
        <w:suppressAutoHyphens/>
        <w:ind w:left="851"/>
        <w:rPr>
          <w:sz w:val="24"/>
          <w:szCs w:val="24"/>
          <w:lang w:eastAsia="da-DK"/>
        </w:rPr>
      </w:pPr>
      <w:r w:rsidRPr="00E775C6">
        <w:rPr>
          <w:sz w:val="24"/>
          <w:szCs w:val="24"/>
        </w:rPr>
        <w:t>De filmovertrukne tabletter er pakket i ALU/ALU-strips eller PVC/PE/PVDC/ALU-blister, der udleveres i en æske, eller i en PP-beholder med LDPE-låg.</w:t>
      </w:r>
    </w:p>
    <w:p w:rsidR="002A44A0" w:rsidRPr="00E775C6" w:rsidRDefault="002A44A0" w:rsidP="002A44A0">
      <w:pPr>
        <w:suppressAutoHyphens/>
        <w:ind w:left="851"/>
        <w:rPr>
          <w:sz w:val="24"/>
          <w:szCs w:val="24"/>
        </w:rPr>
      </w:pPr>
    </w:p>
    <w:p w:rsidR="002A44A0" w:rsidRPr="00E775C6" w:rsidRDefault="002A44A0" w:rsidP="002A44A0">
      <w:pPr>
        <w:suppressAutoHyphens/>
        <w:ind w:left="851"/>
        <w:rPr>
          <w:i/>
          <w:iCs/>
          <w:sz w:val="24"/>
          <w:szCs w:val="24"/>
        </w:rPr>
      </w:pPr>
      <w:r w:rsidRPr="00E775C6">
        <w:rPr>
          <w:i/>
          <w:iCs/>
          <w:sz w:val="24"/>
          <w:szCs w:val="24"/>
        </w:rPr>
        <w:t xml:space="preserve">50 mg filmovertrukne tabletter: </w:t>
      </w:r>
    </w:p>
    <w:p w:rsidR="002A44A0" w:rsidRPr="00E775C6" w:rsidRDefault="002A44A0" w:rsidP="002A44A0">
      <w:pPr>
        <w:suppressAutoHyphens/>
        <w:ind w:left="851"/>
        <w:rPr>
          <w:sz w:val="24"/>
          <w:szCs w:val="24"/>
        </w:rPr>
      </w:pPr>
      <w:r w:rsidRPr="00E775C6">
        <w:rPr>
          <w:sz w:val="24"/>
          <w:szCs w:val="24"/>
        </w:rPr>
        <w:t xml:space="preserve">ALU/ALU-strip: 1, 2, 4, 6, 12 filmovertrukne tabletter. </w:t>
      </w:r>
    </w:p>
    <w:p w:rsidR="002A44A0" w:rsidRPr="00E775C6" w:rsidRDefault="002A44A0" w:rsidP="002A44A0">
      <w:pPr>
        <w:suppressAutoHyphens/>
        <w:ind w:left="851"/>
        <w:rPr>
          <w:sz w:val="24"/>
          <w:szCs w:val="24"/>
        </w:rPr>
      </w:pPr>
      <w:r w:rsidRPr="00E775C6">
        <w:rPr>
          <w:sz w:val="24"/>
          <w:szCs w:val="24"/>
        </w:rPr>
        <w:t xml:space="preserve">PVC/PE/PVDC/ALU-blister: 1, 2, 4, 6, 12, 18 filmovertrukne tabletter. </w:t>
      </w:r>
    </w:p>
    <w:p w:rsidR="002A44A0" w:rsidRPr="00E775C6" w:rsidRDefault="002A44A0" w:rsidP="002A44A0">
      <w:pPr>
        <w:ind w:left="851"/>
        <w:rPr>
          <w:sz w:val="24"/>
          <w:szCs w:val="24"/>
        </w:rPr>
      </w:pPr>
      <w:r w:rsidRPr="00E775C6">
        <w:rPr>
          <w:sz w:val="24"/>
          <w:szCs w:val="24"/>
        </w:rPr>
        <w:t xml:space="preserve">PP-beholder med LDPE-låg: 12 filmovertrukne tabletter. </w:t>
      </w:r>
    </w:p>
    <w:p w:rsidR="002A44A0" w:rsidRPr="00E775C6" w:rsidRDefault="002A44A0" w:rsidP="002A44A0">
      <w:pPr>
        <w:suppressAutoHyphens/>
        <w:ind w:left="851"/>
        <w:rPr>
          <w:i/>
          <w:sz w:val="24"/>
          <w:szCs w:val="24"/>
        </w:rPr>
      </w:pPr>
    </w:p>
    <w:p w:rsidR="002A44A0" w:rsidRPr="00E775C6" w:rsidRDefault="002A44A0" w:rsidP="002A44A0">
      <w:pPr>
        <w:suppressAutoHyphens/>
        <w:ind w:left="851"/>
        <w:rPr>
          <w:i/>
          <w:iCs/>
          <w:sz w:val="24"/>
          <w:szCs w:val="24"/>
        </w:rPr>
      </w:pPr>
      <w:r w:rsidRPr="00E775C6">
        <w:rPr>
          <w:i/>
          <w:iCs/>
          <w:sz w:val="24"/>
          <w:szCs w:val="24"/>
        </w:rPr>
        <w:t xml:space="preserve">100 mg filmovertrukne tabletter: </w:t>
      </w:r>
    </w:p>
    <w:p w:rsidR="002A44A0" w:rsidRPr="00E775C6" w:rsidRDefault="002A44A0" w:rsidP="002A44A0">
      <w:pPr>
        <w:suppressAutoHyphens/>
        <w:ind w:left="851"/>
        <w:rPr>
          <w:sz w:val="24"/>
          <w:szCs w:val="24"/>
        </w:rPr>
      </w:pPr>
      <w:r w:rsidRPr="00E775C6">
        <w:rPr>
          <w:sz w:val="24"/>
          <w:szCs w:val="24"/>
        </w:rPr>
        <w:t xml:space="preserve">ALU/ALU-strip: 1, 2, 3, 4, 6, 12, 18 filmovertrukne tabletter. </w:t>
      </w:r>
    </w:p>
    <w:p w:rsidR="002A44A0" w:rsidRPr="00E775C6" w:rsidRDefault="002A44A0" w:rsidP="002A44A0">
      <w:pPr>
        <w:suppressAutoHyphens/>
        <w:ind w:left="851"/>
        <w:rPr>
          <w:sz w:val="24"/>
          <w:szCs w:val="24"/>
        </w:rPr>
      </w:pPr>
      <w:r w:rsidRPr="00E775C6">
        <w:rPr>
          <w:sz w:val="24"/>
          <w:szCs w:val="24"/>
        </w:rPr>
        <w:t xml:space="preserve">PVC/PE/PVDC/ALU-blister: 1, 2, 3, 4, 6, 12, 18 filmovertrukne tabletter. </w:t>
      </w:r>
    </w:p>
    <w:p w:rsidR="002A44A0" w:rsidRPr="00E775C6" w:rsidRDefault="002A44A0" w:rsidP="002A44A0">
      <w:pPr>
        <w:suppressAutoHyphens/>
        <w:ind w:left="851"/>
        <w:rPr>
          <w:sz w:val="24"/>
          <w:szCs w:val="24"/>
        </w:rPr>
      </w:pPr>
      <w:r w:rsidRPr="00E775C6">
        <w:rPr>
          <w:sz w:val="24"/>
          <w:szCs w:val="24"/>
        </w:rPr>
        <w:t xml:space="preserve">PP-beholder med LDPE-låg: 12, 18 filmovertrukne tabletter. </w:t>
      </w:r>
    </w:p>
    <w:p w:rsidR="002A44A0" w:rsidRPr="00E775C6" w:rsidRDefault="002A44A0" w:rsidP="002A44A0">
      <w:pPr>
        <w:suppressAutoHyphens/>
        <w:ind w:left="851"/>
        <w:rPr>
          <w:sz w:val="24"/>
          <w:szCs w:val="24"/>
        </w:rPr>
      </w:pPr>
    </w:p>
    <w:p w:rsidR="002A44A0" w:rsidRPr="00E775C6" w:rsidRDefault="002A44A0" w:rsidP="002A44A0">
      <w:pPr>
        <w:suppressAutoHyphens/>
        <w:ind w:left="851"/>
        <w:rPr>
          <w:sz w:val="24"/>
          <w:szCs w:val="24"/>
        </w:rPr>
      </w:pPr>
      <w:r w:rsidRPr="00E775C6">
        <w:rPr>
          <w:sz w:val="24"/>
          <w:szCs w:val="24"/>
        </w:rPr>
        <w:t>Ikke alle pakningsstørrelser er nødvendigvis markedsført.</w:t>
      </w:r>
    </w:p>
    <w:p w:rsidR="002A44A0" w:rsidRPr="002A44A0" w:rsidRDefault="002A44A0" w:rsidP="002A44A0">
      <w:pPr>
        <w:suppressAutoHyphens/>
        <w:ind w:left="570"/>
        <w:rPr>
          <w:b/>
        </w:rPr>
      </w:pPr>
    </w:p>
    <w:p w:rsidR="00594AD4" w:rsidRPr="00E775C6" w:rsidRDefault="00594AD4" w:rsidP="00E775C6">
      <w:pPr>
        <w:pStyle w:val="Listeafsnit"/>
        <w:numPr>
          <w:ilvl w:val="1"/>
          <w:numId w:val="7"/>
        </w:numPr>
        <w:tabs>
          <w:tab w:val="clear" w:pos="570"/>
          <w:tab w:val="num" w:pos="851"/>
        </w:tabs>
        <w:suppressAutoHyphens/>
        <w:ind w:left="851" w:hanging="851"/>
        <w:rPr>
          <w:b/>
        </w:rPr>
      </w:pPr>
      <w:r w:rsidRPr="00E775C6">
        <w:rPr>
          <w:b/>
        </w:rPr>
        <w:t>Regler for destruktion og anden håndtering</w:t>
      </w:r>
    </w:p>
    <w:p w:rsidR="002A44A0" w:rsidRPr="00E775C6" w:rsidRDefault="002A44A0" w:rsidP="002A44A0">
      <w:pPr>
        <w:pStyle w:val="Brdtekstindrykning2"/>
        <w:ind w:left="851"/>
        <w:rPr>
          <w:szCs w:val="24"/>
        </w:rPr>
      </w:pPr>
      <w:r w:rsidRPr="00E775C6">
        <w:rPr>
          <w:szCs w:val="24"/>
        </w:rPr>
        <w:t>Ikke anvendt lægemiddel samt affald heraf skal bortskaffes i henhold til lokale retningslinjer.</w:t>
      </w:r>
    </w:p>
    <w:p w:rsidR="00594AD4" w:rsidRPr="00E775C6" w:rsidRDefault="00594AD4" w:rsidP="00594AD4">
      <w:pPr>
        <w:rPr>
          <w:sz w:val="24"/>
          <w:szCs w:val="24"/>
        </w:rPr>
      </w:pPr>
    </w:p>
    <w:p w:rsidR="00594AD4" w:rsidRPr="00E775C6" w:rsidRDefault="00594AD4" w:rsidP="00E775C6">
      <w:pPr>
        <w:pStyle w:val="Listeafsnit"/>
        <w:numPr>
          <w:ilvl w:val="0"/>
          <w:numId w:val="6"/>
        </w:numPr>
        <w:suppressAutoHyphens/>
        <w:rPr>
          <w:b/>
        </w:rPr>
      </w:pPr>
      <w:r w:rsidRPr="00E775C6">
        <w:rPr>
          <w:b/>
        </w:rPr>
        <w:t>INDEHAVER AF MARKEDSFØRINGSTILLADELSEN</w:t>
      </w:r>
    </w:p>
    <w:p w:rsidR="00594AD4" w:rsidRPr="00E775C6" w:rsidRDefault="00594AD4" w:rsidP="00594AD4">
      <w:pPr>
        <w:ind w:left="851"/>
        <w:rPr>
          <w:sz w:val="24"/>
          <w:szCs w:val="24"/>
        </w:rPr>
      </w:pPr>
      <w:r w:rsidRPr="00E775C6">
        <w:rPr>
          <w:sz w:val="24"/>
          <w:szCs w:val="24"/>
        </w:rPr>
        <w:t>Sandoz A/S</w:t>
      </w:r>
    </w:p>
    <w:p w:rsidR="00594AD4" w:rsidRPr="00E775C6" w:rsidRDefault="00594AD4" w:rsidP="00594AD4">
      <w:pPr>
        <w:ind w:left="851"/>
        <w:rPr>
          <w:sz w:val="24"/>
          <w:szCs w:val="24"/>
        </w:rPr>
      </w:pPr>
      <w:r w:rsidRPr="00E775C6">
        <w:rPr>
          <w:sz w:val="24"/>
          <w:szCs w:val="24"/>
        </w:rPr>
        <w:t>Edvard Thomsens Vej 14</w:t>
      </w:r>
    </w:p>
    <w:p w:rsidR="00594AD4" w:rsidRPr="00E775C6" w:rsidRDefault="00594AD4" w:rsidP="00594AD4">
      <w:pPr>
        <w:ind w:left="851"/>
        <w:rPr>
          <w:sz w:val="24"/>
          <w:szCs w:val="24"/>
        </w:rPr>
      </w:pPr>
      <w:r w:rsidRPr="00E775C6">
        <w:rPr>
          <w:sz w:val="24"/>
          <w:szCs w:val="24"/>
        </w:rPr>
        <w:t>2300 København S</w:t>
      </w:r>
    </w:p>
    <w:p w:rsidR="00594AD4" w:rsidRPr="00E775C6" w:rsidRDefault="00594AD4" w:rsidP="00594AD4">
      <w:pPr>
        <w:ind w:left="851"/>
        <w:rPr>
          <w:sz w:val="24"/>
          <w:szCs w:val="24"/>
        </w:rPr>
      </w:pPr>
    </w:p>
    <w:p w:rsidR="00594AD4" w:rsidRPr="00E775C6" w:rsidRDefault="00594AD4" w:rsidP="00E775C6">
      <w:pPr>
        <w:pStyle w:val="Listeafsnit"/>
        <w:keepNext/>
        <w:numPr>
          <w:ilvl w:val="0"/>
          <w:numId w:val="6"/>
        </w:numPr>
        <w:suppressAutoHyphens/>
        <w:rPr>
          <w:b/>
        </w:rPr>
      </w:pPr>
      <w:r w:rsidRPr="00E775C6">
        <w:rPr>
          <w:b/>
        </w:rPr>
        <w:t>MARKEDSFØRINGSTILLADELSESNUMMER (NUMRE)</w:t>
      </w:r>
    </w:p>
    <w:p w:rsidR="00594AD4" w:rsidRPr="00E775C6" w:rsidRDefault="00594AD4" w:rsidP="00594AD4">
      <w:pPr>
        <w:tabs>
          <w:tab w:val="left" w:pos="851"/>
        </w:tabs>
        <w:ind w:left="851"/>
        <w:rPr>
          <w:sz w:val="24"/>
          <w:szCs w:val="24"/>
        </w:rPr>
      </w:pPr>
      <w:r w:rsidRPr="00E775C6">
        <w:rPr>
          <w:sz w:val="24"/>
          <w:szCs w:val="24"/>
        </w:rPr>
        <w:t>50 mg: 36713</w:t>
      </w:r>
    </w:p>
    <w:p w:rsidR="00594AD4" w:rsidRPr="00E775C6" w:rsidRDefault="00594AD4" w:rsidP="00594AD4">
      <w:pPr>
        <w:tabs>
          <w:tab w:val="left" w:pos="851"/>
        </w:tabs>
        <w:ind w:left="851"/>
        <w:rPr>
          <w:sz w:val="24"/>
          <w:szCs w:val="24"/>
        </w:rPr>
      </w:pPr>
      <w:r w:rsidRPr="00E775C6">
        <w:rPr>
          <w:sz w:val="24"/>
          <w:szCs w:val="24"/>
        </w:rPr>
        <w:t>100 mg: 36714</w:t>
      </w:r>
    </w:p>
    <w:p w:rsidR="00594AD4" w:rsidRPr="00E775C6" w:rsidRDefault="00594AD4" w:rsidP="00594AD4">
      <w:pPr>
        <w:tabs>
          <w:tab w:val="left" w:pos="851"/>
        </w:tabs>
        <w:jc w:val="both"/>
        <w:rPr>
          <w:sz w:val="24"/>
          <w:szCs w:val="24"/>
        </w:rPr>
      </w:pPr>
    </w:p>
    <w:p w:rsidR="00594AD4" w:rsidRPr="00E775C6" w:rsidRDefault="00594AD4" w:rsidP="00E775C6">
      <w:pPr>
        <w:pStyle w:val="Listeafsnit"/>
        <w:numPr>
          <w:ilvl w:val="0"/>
          <w:numId w:val="6"/>
        </w:numPr>
        <w:tabs>
          <w:tab w:val="clear" w:pos="855"/>
          <w:tab w:val="left" w:pos="851"/>
        </w:tabs>
        <w:rPr>
          <w:b/>
        </w:rPr>
      </w:pPr>
      <w:r w:rsidRPr="00E775C6">
        <w:rPr>
          <w:b/>
        </w:rPr>
        <w:t>DATO FOR FØRSTE MARKEDSFØRINGSTILLADELSE</w:t>
      </w:r>
    </w:p>
    <w:p w:rsidR="00594AD4" w:rsidRPr="00E775C6" w:rsidRDefault="00594AD4" w:rsidP="00594AD4">
      <w:pPr>
        <w:tabs>
          <w:tab w:val="left" w:pos="851"/>
        </w:tabs>
        <w:jc w:val="both"/>
        <w:rPr>
          <w:sz w:val="24"/>
          <w:szCs w:val="24"/>
        </w:rPr>
      </w:pPr>
      <w:r w:rsidRPr="00E775C6">
        <w:rPr>
          <w:sz w:val="24"/>
          <w:szCs w:val="24"/>
        </w:rPr>
        <w:tab/>
        <w:t>12. november 2004</w:t>
      </w:r>
    </w:p>
    <w:p w:rsidR="00594AD4" w:rsidRPr="00E775C6" w:rsidRDefault="00594AD4" w:rsidP="00594AD4">
      <w:pPr>
        <w:tabs>
          <w:tab w:val="left" w:pos="851"/>
        </w:tabs>
        <w:jc w:val="both"/>
        <w:rPr>
          <w:sz w:val="24"/>
          <w:szCs w:val="24"/>
        </w:rPr>
      </w:pPr>
    </w:p>
    <w:p w:rsidR="00594AD4" w:rsidRPr="00E775C6" w:rsidRDefault="00594AD4" w:rsidP="00E775C6">
      <w:pPr>
        <w:pStyle w:val="Listeafsnit"/>
        <w:numPr>
          <w:ilvl w:val="0"/>
          <w:numId w:val="6"/>
        </w:numPr>
        <w:tabs>
          <w:tab w:val="clear" w:pos="855"/>
          <w:tab w:val="left" w:pos="851"/>
        </w:tabs>
        <w:jc w:val="both"/>
        <w:rPr>
          <w:b/>
        </w:rPr>
      </w:pPr>
      <w:r w:rsidRPr="00E775C6">
        <w:rPr>
          <w:b/>
        </w:rPr>
        <w:t>DATO FOR ÆNDRING AF TEKSTEN</w:t>
      </w:r>
    </w:p>
    <w:p w:rsidR="00594AD4" w:rsidRPr="00E775C6" w:rsidRDefault="00594AD4" w:rsidP="00594AD4">
      <w:pPr>
        <w:tabs>
          <w:tab w:val="left" w:pos="851"/>
        </w:tabs>
        <w:jc w:val="both"/>
        <w:rPr>
          <w:sz w:val="24"/>
          <w:szCs w:val="24"/>
        </w:rPr>
      </w:pPr>
      <w:r w:rsidRPr="00E775C6">
        <w:rPr>
          <w:sz w:val="24"/>
          <w:szCs w:val="24"/>
        </w:rPr>
        <w:tab/>
      </w:r>
      <w:r w:rsidR="00386C75" w:rsidRPr="00386C75">
        <w:rPr>
          <w:sz w:val="24"/>
          <w:szCs w:val="24"/>
        </w:rPr>
        <w:t>8. marts 2021</w:t>
      </w:r>
    </w:p>
    <w:p w:rsidR="00594AD4" w:rsidRDefault="00594AD4" w:rsidP="00594AD4">
      <w:pPr>
        <w:tabs>
          <w:tab w:val="left" w:pos="851"/>
        </w:tabs>
        <w:jc w:val="both"/>
      </w:pPr>
    </w:p>
    <w:p w:rsidR="00594AD4" w:rsidRPr="00770227" w:rsidRDefault="00594AD4" w:rsidP="00594AD4"/>
    <w:p w:rsidR="00594AD4" w:rsidRPr="007A52D3" w:rsidRDefault="00594AD4" w:rsidP="00594AD4"/>
    <w:p w:rsidR="009260DE" w:rsidRPr="00594AD4" w:rsidRDefault="009260DE" w:rsidP="00594AD4"/>
    <w:sectPr w:rsidR="009260DE" w:rsidRPr="00594AD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AD4" w:rsidRDefault="00594AD4">
      <w:r>
        <w:separator/>
      </w:r>
    </w:p>
  </w:endnote>
  <w:endnote w:type="continuationSeparator" w:id="0">
    <w:p w:rsidR="00594AD4" w:rsidRDefault="0059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963F7">
      <w:rPr>
        <w:i/>
        <w:noProof/>
        <w:sz w:val="18"/>
        <w:szCs w:val="18"/>
      </w:rPr>
      <w:t>Sumatriptan Sandoz, filmovertrukne tabletter 50 mg og 100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AD4" w:rsidRDefault="00594AD4">
      <w:r>
        <w:separator/>
      </w:r>
    </w:p>
  </w:footnote>
  <w:footnote w:type="continuationSeparator" w:id="0">
    <w:p w:rsidR="00594AD4" w:rsidRDefault="00594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22D9"/>
    <w:multiLevelType w:val="multilevel"/>
    <w:tmpl w:val="352096AA"/>
    <w:lvl w:ilvl="0">
      <w:start w:val="4"/>
      <w:numFmt w:val="decimal"/>
      <w:lvlText w:val="%1"/>
      <w:lvlJc w:val="left"/>
      <w:pPr>
        <w:ind w:left="360" w:hanging="360"/>
      </w:pPr>
      <w:rPr>
        <w:rFonts w:hint="default"/>
      </w:rPr>
    </w:lvl>
    <w:lvl w:ilvl="1">
      <w:start w:val="8"/>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E1F4BF6"/>
    <w:multiLevelType w:val="multilevel"/>
    <w:tmpl w:val="E17009C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4D46738"/>
    <w:multiLevelType w:val="multilevel"/>
    <w:tmpl w:val="314A3A9A"/>
    <w:lvl w:ilvl="0">
      <w:start w:val="6"/>
      <w:numFmt w:val="decimal"/>
      <w:lvlText w:val="%1"/>
      <w:lvlJc w:val="left"/>
      <w:pPr>
        <w:tabs>
          <w:tab w:val="num" w:pos="570"/>
        </w:tabs>
        <w:ind w:left="570" w:hanging="570"/>
      </w:pPr>
      <w:rPr>
        <w:rFonts w:hint="default"/>
        <w:b/>
      </w:rPr>
    </w:lvl>
    <w:lvl w:ilvl="1">
      <w:start w:val="4"/>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5740851E"/>
    <w:lvl w:ilvl="0">
      <w:numFmt w:val="decimal"/>
      <w:lvlText w:val="%1."/>
      <w:lvlJc w:val="left"/>
      <w:pPr>
        <w:tabs>
          <w:tab w:val="num" w:pos="855"/>
        </w:tabs>
        <w:ind w:left="855" w:hanging="855"/>
      </w:pPr>
      <w:rPr>
        <w:b/>
      </w:rPr>
    </w:lvl>
    <w:lvl w:ilvl="1">
      <w:start w:val="1"/>
      <w:numFmt w:val="decimal"/>
      <w:isLgl/>
      <w:lvlText w:val="%1.%2"/>
      <w:lvlJc w:val="left"/>
      <w:pPr>
        <w:tabs>
          <w:tab w:val="num" w:pos="855"/>
        </w:tabs>
        <w:ind w:left="855" w:hanging="855"/>
      </w:pPr>
      <w:rPr>
        <w:b/>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2C4628E"/>
    <w:multiLevelType w:val="multilevel"/>
    <w:tmpl w:val="4108624A"/>
    <w:lvl w:ilvl="0">
      <w:start w:val="4"/>
      <w:numFmt w:val="decimal"/>
      <w:lvlText w:val="%1"/>
      <w:lvlJc w:val="left"/>
      <w:pPr>
        <w:tabs>
          <w:tab w:val="num" w:pos="420"/>
        </w:tabs>
        <w:ind w:left="420" w:hanging="420"/>
      </w:pPr>
      <w:rPr>
        <w:rFonts w:hint="default"/>
        <w:b/>
      </w:rPr>
    </w:lvl>
    <w:lvl w:ilvl="1">
      <w:start w:val="10"/>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BC64F69"/>
    <w:multiLevelType w:val="multilevel"/>
    <w:tmpl w:val="5328BEF6"/>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num>
  <w:num w:numId="8">
    <w:abstractNumId w:val="4"/>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AD4"/>
    <w:rsid w:val="000259B9"/>
    <w:rsid w:val="00041491"/>
    <w:rsid w:val="00050D16"/>
    <w:rsid w:val="00074F2A"/>
    <w:rsid w:val="00084DC6"/>
    <w:rsid w:val="000A1CA8"/>
    <w:rsid w:val="000A466B"/>
    <w:rsid w:val="000B058C"/>
    <w:rsid w:val="000E4EE6"/>
    <w:rsid w:val="00103003"/>
    <w:rsid w:val="001454E2"/>
    <w:rsid w:val="00206CE8"/>
    <w:rsid w:val="0021526C"/>
    <w:rsid w:val="00283A2B"/>
    <w:rsid w:val="002A44A0"/>
    <w:rsid w:val="002B2FF5"/>
    <w:rsid w:val="002B30AD"/>
    <w:rsid w:val="002C2C01"/>
    <w:rsid w:val="00386C75"/>
    <w:rsid w:val="003A29AE"/>
    <w:rsid w:val="003A32D7"/>
    <w:rsid w:val="003B4074"/>
    <w:rsid w:val="003C769A"/>
    <w:rsid w:val="003F1838"/>
    <w:rsid w:val="0045746C"/>
    <w:rsid w:val="0049104B"/>
    <w:rsid w:val="004E3B12"/>
    <w:rsid w:val="00532310"/>
    <w:rsid w:val="00536FCC"/>
    <w:rsid w:val="00560ECC"/>
    <w:rsid w:val="00565F0F"/>
    <w:rsid w:val="00594A86"/>
    <w:rsid w:val="00594AD4"/>
    <w:rsid w:val="00596D86"/>
    <w:rsid w:val="005A64F8"/>
    <w:rsid w:val="006137D1"/>
    <w:rsid w:val="00637F5A"/>
    <w:rsid w:val="006560B1"/>
    <w:rsid w:val="006756DD"/>
    <w:rsid w:val="00690328"/>
    <w:rsid w:val="00737275"/>
    <w:rsid w:val="00740EEC"/>
    <w:rsid w:val="0074548C"/>
    <w:rsid w:val="0078011A"/>
    <w:rsid w:val="00782AF4"/>
    <w:rsid w:val="00790EE7"/>
    <w:rsid w:val="007B6649"/>
    <w:rsid w:val="0081546F"/>
    <w:rsid w:val="0082576E"/>
    <w:rsid w:val="00874D0F"/>
    <w:rsid w:val="008B4C63"/>
    <w:rsid w:val="00907F75"/>
    <w:rsid w:val="009260DE"/>
    <w:rsid w:val="0093258A"/>
    <w:rsid w:val="009C7BA3"/>
    <w:rsid w:val="009D1F5A"/>
    <w:rsid w:val="00A22EBB"/>
    <w:rsid w:val="00A963F7"/>
    <w:rsid w:val="00B003BF"/>
    <w:rsid w:val="00B072FB"/>
    <w:rsid w:val="00B373D7"/>
    <w:rsid w:val="00B435D5"/>
    <w:rsid w:val="00B94393"/>
    <w:rsid w:val="00BD014A"/>
    <w:rsid w:val="00C36276"/>
    <w:rsid w:val="00C42586"/>
    <w:rsid w:val="00C60CCD"/>
    <w:rsid w:val="00C84483"/>
    <w:rsid w:val="00C95551"/>
    <w:rsid w:val="00CB20D7"/>
    <w:rsid w:val="00D020B0"/>
    <w:rsid w:val="00D11748"/>
    <w:rsid w:val="00D366CF"/>
    <w:rsid w:val="00E108AA"/>
    <w:rsid w:val="00E31812"/>
    <w:rsid w:val="00E3749A"/>
    <w:rsid w:val="00E71656"/>
    <w:rsid w:val="00E7437F"/>
    <w:rsid w:val="00E775C6"/>
    <w:rsid w:val="00E865B8"/>
    <w:rsid w:val="00EC0B9B"/>
    <w:rsid w:val="00ED5E9F"/>
    <w:rsid w:val="00F02CAB"/>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57416"/>
  <w15:chartTrackingRefBased/>
  <w15:docId w15:val="{B967D35F-AFD5-445D-9A8A-C9727BBB3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
    <w:name w:val="Body Text Indent"/>
    <w:basedOn w:val="Normal"/>
    <w:link w:val="BrdtekstindrykningTegn"/>
    <w:rsid w:val="00594AD4"/>
    <w:pPr>
      <w:ind w:left="851"/>
    </w:pPr>
    <w:rPr>
      <w:sz w:val="24"/>
      <w:lang w:eastAsia="da-DK"/>
    </w:rPr>
  </w:style>
  <w:style w:type="character" w:customStyle="1" w:styleId="BrdtekstindrykningTegn">
    <w:name w:val="Brødtekstindrykning Tegn"/>
    <w:basedOn w:val="Standardskrifttypeiafsnit"/>
    <w:link w:val="Brdtekstindrykning"/>
    <w:rsid w:val="00594AD4"/>
    <w:rPr>
      <w:sz w:val="24"/>
    </w:rPr>
  </w:style>
  <w:style w:type="paragraph" w:styleId="Brdtekstindrykning2">
    <w:name w:val="Body Text Indent 2"/>
    <w:basedOn w:val="Normal"/>
    <w:link w:val="Brdtekstindrykning2Tegn"/>
    <w:rsid w:val="00594AD4"/>
    <w:pPr>
      <w:ind w:left="567"/>
    </w:pPr>
    <w:rPr>
      <w:sz w:val="24"/>
      <w:lang w:eastAsia="da-DK"/>
    </w:rPr>
  </w:style>
  <w:style w:type="character" w:customStyle="1" w:styleId="Brdtekstindrykning2Tegn">
    <w:name w:val="Brødtekstindrykning 2 Tegn"/>
    <w:basedOn w:val="Standardskrifttypeiafsnit"/>
    <w:link w:val="Brdtekstindrykning2"/>
    <w:rsid w:val="00594AD4"/>
    <w:rPr>
      <w:sz w:val="24"/>
    </w:rPr>
  </w:style>
  <w:style w:type="paragraph" w:customStyle="1" w:styleId="Default">
    <w:name w:val="Default"/>
    <w:rsid w:val="00594AD4"/>
    <w:pPr>
      <w:autoSpaceDE w:val="0"/>
      <w:autoSpaceDN w:val="0"/>
      <w:adjustRightInd w:val="0"/>
    </w:pPr>
    <w:rPr>
      <w:color w:val="000000"/>
      <w:sz w:val="24"/>
      <w:szCs w:val="24"/>
      <w:lang w:val="en-US" w:eastAsia="en-US"/>
    </w:rPr>
  </w:style>
  <w:style w:type="paragraph" w:customStyle="1" w:styleId="leipa">
    <w:name w:val="leipa"/>
    <w:basedOn w:val="Normal"/>
    <w:rsid w:val="00594AD4"/>
    <w:pPr>
      <w:spacing w:before="100" w:beforeAutospacing="1" w:after="100" w:afterAutospacing="1"/>
    </w:pPr>
    <w:rPr>
      <w:rFonts w:ascii="Arial" w:eastAsia="Arial Unicode MS" w:hAnsi="Arial" w:cs="Arial"/>
      <w:snapToGrid w:val="0"/>
      <w:color w:val="000000"/>
      <w:sz w:val="15"/>
      <w:szCs w:val="15"/>
      <w:lang w:val="nl-NL" w:eastAsia="da-DK"/>
    </w:rPr>
  </w:style>
  <w:style w:type="paragraph" w:styleId="Listeafsnit">
    <w:name w:val="List Paragraph"/>
    <w:basedOn w:val="Normal"/>
    <w:qFormat/>
    <w:rsid w:val="00594AD4"/>
    <w:pPr>
      <w:ind w:left="720"/>
      <w:contextualSpacing/>
    </w:pPr>
    <w:rPr>
      <w:sz w:val="24"/>
      <w:szCs w:val="24"/>
      <w:lang w:eastAsia="da-DK"/>
    </w:rPr>
  </w:style>
  <w:style w:type="character" w:styleId="Hyperlink">
    <w:name w:val="Hyperlink"/>
    <w:uiPriority w:val="99"/>
    <w:semiHidden/>
    <w:unhideWhenUsed/>
    <w:rsid w:val="00594A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5669">
      <w:bodyDiv w:val="1"/>
      <w:marLeft w:val="0"/>
      <w:marRight w:val="0"/>
      <w:marTop w:val="0"/>
      <w:marBottom w:val="0"/>
      <w:divBdr>
        <w:top w:val="none" w:sz="0" w:space="0" w:color="auto"/>
        <w:left w:val="none" w:sz="0" w:space="0" w:color="auto"/>
        <w:bottom w:val="none" w:sz="0" w:space="0" w:color="auto"/>
        <w:right w:val="none" w:sz="0" w:space="0" w:color="auto"/>
      </w:divBdr>
    </w:div>
    <w:div w:id="2387099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8197993">
      <w:bodyDiv w:val="1"/>
      <w:marLeft w:val="0"/>
      <w:marRight w:val="0"/>
      <w:marTop w:val="0"/>
      <w:marBottom w:val="0"/>
      <w:divBdr>
        <w:top w:val="none" w:sz="0" w:space="0" w:color="auto"/>
        <w:left w:val="none" w:sz="0" w:space="0" w:color="auto"/>
        <w:bottom w:val="none" w:sz="0" w:space="0" w:color="auto"/>
        <w:right w:val="none" w:sz="0" w:space="0" w:color="auto"/>
      </w:divBdr>
    </w:div>
    <w:div w:id="414084739">
      <w:bodyDiv w:val="1"/>
      <w:marLeft w:val="0"/>
      <w:marRight w:val="0"/>
      <w:marTop w:val="0"/>
      <w:marBottom w:val="0"/>
      <w:divBdr>
        <w:top w:val="none" w:sz="0" w:space="0" w:color="auto"/>
        <w:left w:val="none" w:sz="0" w:space="0" w:color="auto"/>
        <w:bottom w:val="none" w:sz="0" w:space="0" w:color="auto"/>
        <w:right w:val="none" w:sz="0" w:space="0" w:color="auto"/>
      </w:divBdr>
    </w:div>
    <w:div w:id="442580270">
      <w:bodyDiv w:val="1"/>
      <w:marLeft w:val="0"/>
      <w:marRight w:val="0"/>
      <w:marTop w:val="0"/>
      <w:marBottom w:val="0"/>
      <w:divBdr>
        <w:top w:val="none" w:sz="0" w:space="0" w:color="auto"/>
        <w:left w:val="none" w:sz="0" w:space="0" w:color="auto"/>
        <w:bottom w:val="none" w:sz="0" w:space="0" w:color="auto"/>
        <w:right w:val="none" w:sz="0" w:space="0" w:color="auto"/>
      </w:divBdr>
    </w:div>
    <w:div w:id="444887945">
      <w:bodyDiv w:val="1"/>
      <w:marLeft w:val="0"/>
      <w:marRight w:val="0"/>
      <w:marTop w:val="0"/>
      <w:marBottom w:val="0"/>
      <w:divBdr>
        <w:top w:val="none" w:sz="0" w:space="0" w:color="auto"/>
        <w:left w:val="none" w:sz="0" w:space="0" w:color="auto"/>
        <w:bottom w:val="none" w:sz="0" w:space="0" w:color="auto"/>
        <w:right w:val="none" w:sz="0" w:space="0" w:color="auto"/>
      </w:divBdr>
    </w:div>
    <w:div w:id="496455680">
      <w:bodyDiv w:val="1"/>
      <w:marLeft w:val="0"/>
      <w:marRight w:val="0"/>
      <w:marTop w:val="0"/>
      <w:marBottom w:val="0"/>
      <w:divBdr>
        <w:top w:val="none" w:sz="0" w:space="0" w:color="auto"/>
        <w:left w:val="none" w:sz="0" w:space="0" w:color="auto"/>
        <w:bottom w:val="none" w:sz="0" w:space="0" w:color="auto"/>
        <w:right w:val="none" w:sz="0" w:space="0" w:color="auto"/>
      </w:divBdr>
    </w:div>
    <w:div w:id="545720098">
      <w:bodyDiv w:val="1"/>
      <w:marLeft w:val="0"/>
      <w:marRight w:val="0"/>
      <w:marTop w:val="0"/>
      <w:marBottom w:val="0"/>
      <w:divBdr>
        <w:top w:val="none" w:sz="0" w:space="0" w:color="auto"/>
        <w:left w:val="none" w:sz="0" w:space="0" w:color="auto"/>
        <w:bottom w:val="none" w:sz="0" w:space="0" w:color="auto"/>
        <w:right w:val="none" w:sz="0" w:space="0" w:color="auto"/>
      </w:divBdr>
    </w:div>
    <w:div w:id="558519547">
      <w:bodyDiv w:val="1"/>
      <w:marLeft w:val="0"/>
      <w:marRight w:val="0"/>
      <w:marTop w:val="0"/>
      <w:marBottom w:val="0"/>
      <w:divBdr>
        <w:top w:val="none" w:sz="0" w:space="0" w:color="auto"/>
        <w:left w:val="none" w:sz="0" w:space="0" w:color="auto"/>
        <w:bottom w:val="none" w:sz="0" w:space="0" w:color="auto"/>
        <w:right w:val="none" w:sz="0" w:space="0" w:color="auto"/>
      </w:divBdr>
    </w:div>
    <w:div w:id="855539458">
      <w:bodyDiv w:val="1"/>
      <w:marLeft w:val="0"/>
      <w:marRight w:val="0"/>
      <w:marTop w:val="0"/>
      <w:marBottom w:val="0"/>
      <w:divBdr>
        <w:top w:val="none" w:sz="0" w:space="0" w:color="auto"/>
        <w:left w:val="none" w:sz="0" w:space="0" w:color="auto"/>
        <w:bottom w:val="none" w:sz="0" w:space="0" w:color="auto"/>
        <w:right w:val="none" w:sz="0" w:space="0" w:color="auto"/>
      </w:divBdr>
    </w:div>
    <w:div w:id="864900254">
      <w:bodyDiv w:val="1"/>
      <w:marLeft w:val="0"/>
      <w:marRight w:val="0"/>
      <w:marTop w:val="0"/>
      <w:marBottom w:val="0"/>
      <w:divBdr>
        <w:top w:val="none" w:sz="0" w:space="0" w:color="auto"/>
        <w:left w:val="none" w:sz="0" w:space="0" w:color="auto"/>
        <w:bottom w:val="none" w:sz="0" w:space="0" w:color="auto"/>
        <w:right w:val="none" w:sz="0" w:space="0" w:color="auto"/>
      </w:divBdr>
    </w:div>
    <w:div w:id="888494865">
      <w:bodyDiv w:val="1"/>
      <w:marLeft w:val="0"/>
      <w:marRight w:val="0"/>
      <w:marTop w:val="0"/>
      <w:marBottom w:val="0"/>
      <w:divBdr>
        <w:top w:val="none" w:sz="0" w:space="0" w:color="auto"/>
        <w:left w:val="none" w:sz="0" w:space="0" w:color="auto"/>
        <w:bottom w:val="none" w:sz="0" w:space="0" w:color="auto"/>
        <w:right w:val="none" w:sz="0" w:space="0" w:color="auto"/>
      </w:divBdr>
    </w:div>
    <w:div w:id="1121655911">
      <w:bodyDiv w:val="1"/>
      <w:marLeft w:val="0"/>
      <w:marRight w:val="0"/>
      <w:marTop w:val="0"/>
      <w:marBottom w:val="0"/>
      <w:divBdr>
        <w:top w:val="none" w:sz="0" w:space="0" w:color="auto"/>
        <w:left w:val="none" w:sz="0" w:space="0" w:color="auto"/>
        <w:bottom w:val="none" w:sz="0" w:space="0" w:color="auto"/>
        <w:right w:val="none" w:sz="0" w:space="0" w:color="auto"/>
      </w:divBdr>
    </w:div>
    <w:div w:id="1218280398">
      <w:bodyDiv w:val="1"/>
      <w:marLeft w:val="0"/>
      <w:marRight w:val="0"/>
      <w:marTop w:val="0"/>
      <w:marBottom w:val="0"/>
      <w:divBdr>
        <w:top w:val="none" w:sz="0" w:space="0" w:color="auto"/>
        <w:left w:val="none" w:sz="0" w:space="0" w:color="auto"/>
        <w:bottom w:val="none" w:sz="0" w:space="0" w:color="auto"/>
        <w:right w:val="none" w:sz="0" w:space="0" w:color="auto"/>
      </w:divBdr>
    </w:div>
    <w:div w:id="1256939136">
      <w:bodyDiv w:val="1"/>
      <w:marLeft w:val="0"/>
      <w:marRight w:val="0"/>
      <w:marTop w:val="0"/>
      <w:marBottom w:val="0"/>
      <w:divBdr>
        <w:top w:val="none" w:sz="0" w:space="0" w:color="auto"/>
        <w:left w:val="none" w:sz="0" w:space="0" w:color="auto"/>
        <w:bottom w:val="none" w:sz="0" w:space="0" w:color="auto"/>
        <w:right w:val="none" w:sz="0" w:space="0" w:color="auto"/>
      </w:divBdr>
    </w:div>
    <w:div w:id="1337881359">
      <w:bodyDiv w:val="1"/>
      <w:marLeft w:val="0"/>
      <w:marRight w:val="0"/>
      <w:marTop w:val="0"/>
      <w:marBottom w:val="0"/>
      <w:divBdr>
        <w:top w:val="none" w:sz="0" w:space="0" w:color="auto"/>
        <w:left w:val="none" w:sz="0" w:space="0" w:color="auto"/>
        <w:bottom w:val="none" w:sz="0" w:space="0" w:color="auto"/>
        <w:right w:val="none" w:sz="0" w:space="0" w:color="auto"/>
      </w:divBdr>
    </w:div>
    <w:div w:id="1405106884">
      <w:bodyDiv w:val="1"/>
      <w:marLeft w:val="0"/>
      <w:marRight w:val="0"/>
      <w:marTop w:val="0"/>
      <w:marBottom w:val="0"/>
      <w:divBdr>
        <w:top w:val="none" w:sz="0" w:space="0" w:color="auto"/>
        <w:left w:val="none" w:sz="0" w:space="0" w:color="auto"/>
        <w:bottom w:val="none" w:sz="0" w:space="0" w:color="auto"/>
        <w:right w:val="none" w:sz="0" w:space="0" w:color="auto"/>
      </w:divBdr>
    </w:div>
    <w:div w:id="164924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4</TotalTime>
  <Pages>11</Pages>
  <Words>3193</Words>
  <Characters>19481</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Sandoz GmbH</Company>
  <LinksUpToDate>false</LinksUpToDate>
  <CharactersWithSpaces>22629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2020092735_x000d_
SPC pkt. 4.8 (og 9)</dc:description>
  <cp:lastModifiedBy>Betty Winther Andersen</cp:lastModifiedBy>
  <cp:revision>5</cp:revision>
  <cp:lastPrinted>2020-02-14T11:17:00Z</cp:lastPrinted>
  <dcterms:created xsi:type="dcterms:W3CDTF">2021-03-04T09:58:00Z</dcterms:created>
  <dcterms:modified xsi:type="dcterms:W3CDTF">2021-03-04T10:02:00Z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