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A85" w:rsidRPr="00C84483" w:rsidRDefault="00515A85" w:rsidP="008252D8">
      <w:pPr>
        <w:rPr>
          <w:b/>
          <w:szCs w:val="24"/>
        </w:rPr>
      </w:pPr>
      <w:bookmarkStart w:id="0" w:name="_GoBack"/>
      <w:bookmarkEnd w:id="0"/>
      <w:r w:rsidRPr="009260DE">
        <w:rPr>
          <w:noProof/>
          <w:sz w:val="24"/>
          <w:szCs w:val="24"/>
          <w:lang w:eastAsia="da-DK"/>
        </w:rPr>
        <w:drawing>
          <wp:anchor distT="0" distB="0" distL="114300" distR="114300" simplePos="0" relativeHeight="251660288" behindDoc="0" locked="0" layoutInCell="1" allowOverlap="1" wp14:anchorId="5F80280F" wp14:editId="528DC075">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Pr>
          <w:sz w:val="24"/>
          <w:szCs w:val="24"/>
        </w:rPr>
        <w:br w:type="textWrapping" w:clear="all"/>
      </w:r>
    </w:p>
    <w:p w:rsidR="007C26EB" w:rsidRDefault="007C26EB" w:rsidP="00724999">
      <w:pPr>
        <w:pStyle w:val="Titel"/>
        <w:tabs>
          <w:tab w:val="right" w:pos="9356"/>
        </w:tabs>
        <w:jc w:val="left"/>
        <w:rPr>
          <w:b w:val="0"/>
          <w:szCs w:val="24"/>
          <w:lang w:eastAsia="en-US"/>
        </w:rPr>
      </w:pPr>
    </w:p>
    <w:p w:rsidR="00515A85" w:rsidRDefault="00515A85" w:rsidP="00724999">
      <w:pPr>
        <w:pStyle w:val="Titel"/>
        <w:tabs>
          <w:tab w:val="right" w:pos="9356"/>
        </w:tabs>
        <w:jc w:val="left"/>
        <w:rPr>
          <w:szCs w:val="24"/>
        </w:rPr>
      </w:pPr>
      <w:r w:rsidRPr="00C84483">
        <w:rPr>
          <w:b w:val="0"/>
          <w:szCs w:val="24"/>
          <w:lang w:eastAsia="en-US"/>
        </w:rPr>
        <w:tab/>
      </w:r>
      <w:r w:rsidR="007C26EB">
        <w:rPr>
          <w:szCs w:val="24"/>
        </w:rPr>
        <w:t>10</w:t>
      </w:r>
      <w:r w:rsidR="00724999">
        <w:rPr>
          <w:szCs w:val="24"/>
        </w:rPr>
        <w:t xml:space="preserve">. </w:t>
      </w:r>
      <w:r w:rsidR="007C26EB">
        <w:rPr>
          <w:szCs w:val="24"/>
        </w:rPr>
        <w:t>november</w:t>
      </w:r>
      <w:r w:rsidR="00724999">
        <w:rPr>
          <w:szCs w:val="24"/>
        </w:rPr>
        <w:t xml:space="preserve"> 202</w:t>
      </w:r>
      <w:r w:rsidR="007C26EB">
        <w:rPr>
          <w:szCs w:val="24"/>
        </w:rPr>
        <w:t>5</w:t>
      </w:r>
    </w:p>
    <w:p w:rsidR="007C26EB" w:rsidRDefault="007C26EB" w:rsidP="00515A85">
      <w:pPr>
        <w:pStyle w:val="Titel"/>
        <w:jc w:val="left"/>
        <w:rPr>
          <w:b w:val="0"/>
          <w:szCs w:val="24"/>
        </w:rPr>
      </w:pPr>
    </w:p>
    <w:p w:rsidR="00515A85" w:rsidRPr="00C84483" w:rsidRDefault="00515A85" w:rsidP="00515A85">
      <w:pPr>
        <w:pStyle w:val="Titel"/>
        <w:jc w:val="left"/>
        <w:rPr>
          <w:b w:val="0"/>
          <w:szCs w:val="24"/>
        </w:rPr>
      </w:pPr>
    </w:p>
    <w:p w:rsidR="00515A85" w:rsidRPr="00C84483" w:rsidRDefault="00EC4203" w:rsidP="00515A85">
      <w:pPr>
        <w:jc w:val="center"/>
        <w:rPr>
          <w:b/>
          <w:sz w:val="24"/>
          <w:szCs w:val="24"/>
        </w:rPr>
      </w:pPr>
      <w:r>
        <w:rPr>
          <w:b/>
          <w:sz w:val="24"/>
          <w:szCs w:val="24"/>
        </w:rPr>
        <w:t xml:space="preserve"> </w:t>
      </w:r>
      <w:r w:rsidR="00515A85" w:rsidRPr="00C84483">
        <w:rPr>
          <w:b/>
          <w:sz w:val="24"/>
          <w:szCs w:val="24"/>
        </w:rPr>
        <w:t>PRODUKTRESUMÉ</w:t>
      </w:r>
    </w:p>
    <w:p w:rsidR="00515A85" w:rsidRPr="00C84483" w:rsidRDefault="00515A85" w:rsidP="00515A85">
      <w:pPr>
        <w:jc w:val="center"/>
        <w:rPr>
          <w:b/>
          <w:sz w:val="24"/>
          <w:szCs w:val="24"/>
        </w:rPr>
      </w:pPr>
    </w:p>
    <w:p w:rsidR="00515A85" w:rsidRPr="00F23835" w:rsidRDefault="00515A85" w:rsidP="00515A85">
      <w:pPr>
        <w:jc w:val="center"/>
        <w:rPr>
          <w:b/>
          <w:sz w:val="24"/>
          <w:szCs w:val="24"/>
        </w:rPr>
      </w:pPr>
      <w:r w:rsidRPr="00F23835">
        <w:rPr>
          <w:b/>
          <w:sz w:val="24"/>
          <w:szCs w:val="24"/>
        </w:rPr>
        <w:t>for</w:t>
      </w:r>
    </w:p>
    <w:p w:rsidR="00515A85" w:rsidRPr="00F23835" w:rsidRDefault="00515A85" w:rsidP="00515A85">
      <w:pPr>
        <w:rPr>
          <w:b/>
          <w:sz w:val="24"/>
          <w:szCs w:val="24"/>
        </w:rPr>
      </w:pPr>
    </w:p>
    <w:p w:rsidR="00515A85" w:rsidRPr="00F23835" w:rsidRDefault="007C26EB" w:rsidP="00515A85">
      <w:pPr>
        <w:jc w:val="center"/>
        <w:rPr>
          <w:b/>
          <w:sz w:val="24"/>
          <w:szCs w:val="24"/>
        </w:rPr>
      </w:pPr>
      <w:r>
        <w:rPr>
          <w:b/>
          <w:sz w:val="24"/>
          <w:szCs w:val="24"/>
        </w:rPr>
        <w:t>Sunitinib ”Viatris”</w:t>
      </w:r>
      <w:r w:rsidR="00515A85" w:rsidRPr="00F23835">
        <w:rPr>
          <w:b/>
          <w:sz w:val="24"/>
          <w:szCs w:val="24"/>
        </w:rPr>
        <w:t>, hårde kapsler</w:t>
      </w:r>
    </w:p>
    <w:p w:rsidR="00515A85" w:rsidRPr="00F23835" w:rsidRDefault="00515A85" w:rsidP="00515A85">
      <w:pPr>
        <w:jc w:val="both"/>
        <w:rPr>
          <w:sz w:val="24"/>
          <w:szCs w:val="24"/>
        </w:rPr>
      </w:pPr>
    </w:p>
    <w:p w:rsidR="00515A85" w:rsidRPr="00F23835" w:rsidRDefault="00515A85" w:rsidP="00515A85">
      <w:pPr>
        <w:jc w:val="both"/>
        <w:rPr>
          <w:sz w:val="24"/>
          <w:szCs w:val="24"/>
        </w:rPr>
      </w:pPr>
    </w:p>
    <w:p w:rsidR="00515A85" w:rsidRPr="00F23835" w:rsidRDefault="00515A85" w:rsidP="00515A85">
      <w:pPr>
        <w:tabs>
          <w:tab w:val="left" w:pos="851"/>
        </w:tabs>
        <w:ind w:left="851" w:hanging="851"/>
        <w:rPr>
          <w:b/>
          <w:sz w:val="24"/>
          <w:szCs w:val="24"/>
        </w:rPr>
      </w:pPr>
      <w:r w:rsidRPr="00F23835">
        <w:rPr>
          <w:b/>
          <w:sz w:val="24"/>
          <w:szCs w:val="24"/>
        </w:rPr>
        <w:t>0.</w:t>
      </w:r>
      <w:r w:rsidRPr="00F23835">
        <w:rPr>
          <w:b/>
          <w:sz w:val="24"/>
          <w:szCs w:val="24"/>
        </w:rPr>
        <w:tab/>
        <w:t>D.SP.NR.</w:t>
      </w:r>
    </w:p>
    <w:p w:rsidR="00515A85" w:rsidRPr="00F23835" w:rsidRDefault="00515A85" w:rsidP="00515A85">
      <w:pPr>
        <w:tabs>
          <w:tab w:val="left" w:pos="851"/>
        </w:tabs>
        <w:ind w:left="851"/>
        <w:rPr>
          <w:sz w:val="24"/>
          <w:szCs w:val="24"/>
        </w:rPr>
      </w:pPr>
      <w:r w:rsidRPr="00F23835">
        <w:rPr>
          <w:sz w:val="24"/>
          <w:szCs w:val="24"/>
        </w:rPr>
        <w:t>31304</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hanging="851"/>
        <w:rPr>
          <w:b/>
          <w:sz w:val="24"/>
          <w:szCs w:val="24"/>
        </w:rPr>
      </w:pPr>
      <w:r w:rsidRPr="00F23835">
        <w:rPr>
          <w:b/>
          <w:sz w:val="24"/>
          <w:szCs w:val="24"/>
        </w:rPr>
        <w:t>1.</w:t>
      </w:r>
      <w:r w:rsidRPr="00F23835">
        <w:rPr>
          <w:b/>
          <w:sz w:val="24"/>
          <w:szCs w:val="24"/>
        </w:rPr>
        <w:tab/>
        <w:t>LÆGEMIDLETS NAVN</w:t>
      </w:r>
    </w:p>
    <w:p w:rsidR="00515A85" w:rsidRPr="00F23835" w:rsidRDefault="007C26EB" w:rsidP="00515A85">
      <w:pPr>
        <w:tabs>
          <w:tab w:val="left" w:pos="851"/>
        </w:tabs>
        <w:ind w:left="851"/>
        <w:rPr>
          <w:sz w:val="24"/>
          <w:szCs w:val="24"/>
        </w:rPr>
      </w:pPr>
      <w:r>
        <w:rPr>
          <w:sz w:val="24"/>
          <w:szCs w:val="24"/>
        </w:rPr>
        <w:t>Sunitinib ”Viatris”</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hanging="851"/>
        <w:rPr>
          <w:b/>
          <w:sz w:val="24"/>
          <w:szCs w:val="24"/>
        </w:rPr>
      </w:pPr>
      <w:r w:rsidRPr="00F23835">
        <w:rPr>
          <w:b/>
          <w:sz w:val="24"/>
          <w:szCs w:val="24"/>
        </w:rPr>
        <w:t>2.</w:t>
      </w:r>
      <w:r w:rsidRPr="00F23835">
        <w:rPr>
          <w:b/>
          <w:sz w:val="24"/>
          <w:szCs w:val="24"/>
        </w:rPr>
        <w:tab/>
        <w:t>KVALITATIV OG KVANTITATIV SAMMENSÆTNING</w:t>
      </w:r>
    </w:p>
    <w:p w:rsidR="00515A85" w:rsidRPr="00F23835" w:rsidRDefault="00515A85" w:rsidP="00515A85">
      <w:pPr>
        <w:tabs>
          <w:tab w:val="left" w:pos="851"/>
        </w:tabs>
        <w:ind w:left="851"/>
        <w:rPr>
          <w:sz w:val="24"/>
          <w:szCs w:val="24"/>
          <w:u w:val="single"/>
        </w:rPr>
      </w:pPr>
    </w:p>
    <w:p w:rsidR="00515A85" w:rsidRPr="00F23835" w:rsidRDefault="00515A85" w:rsidP="00515A85">
      <w:pPr>
        <w:tabs>
          <w:tab w:val="left" w:pos="851"/>
        </w:tabs>
        <w:ind w:left="851"/>
        <w:rPr>
          <w:sz w:val="24"/>
          <w:szCs w:val="24"/>
          <w:u w:val="single"/>
        </w:rPr>
      </w:pPr>
      <w:r w:rsidRPr="00F23835">
        <w:rPr>
          <w:sz w:val="24"/>
          <w:szCs w:val="24"/>
          <w:u w:val="single"/>
        </w:rPr>
        <w:t>12,5 mg</w:t>
      </w:r>
    </w:p>
    <w:p w:rsidR="00515A85" w:rsidRPr="00F23835" w:rsidRDefault="00515A85" w:rsidP="00515A85">
      <w:pPr>
        <w:tabs>
          <w:tab w:val="left" w:pos="851"/>
        </w:tabs>
        <w:ind w:left="851"/>
        <w:rPr>
          <w:sz w:val="24"/>
          <w:szCs w:val="24"/>
        </w:rPr>
      </w:pPr>
      <w:r w:rsidRPr="00F23835">
        <w:rPr>
          <w:sz w:val="24"/>
          <w:szCs w:val="24"/>
        </w:rPr>
        <w:t>Hver kapsel indeholder 12,5 mg sunitinib.</w:t>
      </w:r>
    </w:p>
    <w:p w:rsidR="00515A85" w:rsidRPr="00F23835" w:rsidRDefault="00515A85" w:rsidP="00515A85">
      <w:pPr>
        <w:tabs>
          <w:tab w:val="left" w:pos="851"/>
        </w:tabs>
        <w:ind w:left="851"/>
        <w:rPr>
          <w:sz w:val="24"/>
          <w:szCs w:val="24"/>
          <w:u w:val="single"/>
        </w:rPr>
      </w:pPr>
    </w:p>
    <w:p w:rsidR="009B6BD9" w:rsidRPr="00F23835" w:rsidRDefault="009B6BD9" w:rsidP="009B6BD9">
      <w:pPr>
        <w:tabs>
          <w:tab w:val="left" w:pos="851"/>
        </w:tabs>
        <w:ind w:left="851"/>
        <w:rPr>
          <w:sz w:val="24"/>
          <w:szCs w:val="24"/>
        </w:rPr>
      </w:pPr>
      <w:r w:rsidRPr="00F23835">
        <w:rPr>
          <w:sz w:val="24"/>
          <w:szCs w:val="24"/>
          <w:u w:val="single"/>
        </w:rPr>
        <w:t>25 mg</w:t>
      </w:r>
    </w:p>
    <w:p w:rsidR="009B6BD9" w:rsidRPr="00F23835" w:rsidRDefault="009B6BD9" w:rsidP="009B6BD9">
      <w:pPr>
        <w:tabs>
          <w:tab w:val="left" w:pos="851"/>
        </w:tabs>
        <w:ind w:left="851"/>
        <w:rPr>
          <w:sz w:val="24"/>
          <w:szCs w:val="24"/>
        </w:rPr>
      </w:pPr>
      <w:r w:rsidRPr="00F23835">
        <w:rPr>
          <w:sz w:val="24"/>
          <w:szCs w:val="24"/>
        </w:rPr>
        <w:t>Hver kapsel indeholder 25 mg sunitinib.</w:t>
      </w:r>
    </w:p>
    <w:p w:rsidR="009B6BD9" w:rsidRPr="00F23835" w:rsidRDefault="009B6BD9" w:rsidP="009B6BD9">
      <w:pPr>
        <w:tabs>
          <w:tab w:val="left" w:pos="851"/>
        </w:tabs>
        <w:ind w:left="851"/>
        <w:rPr>
          <w:sz w:val="24"/>
          <w:szCs w:val="24"/>
        </w:rPr>
      </w:pPr>
    </w:p>
    <w:p w:rsidR="009B6BD9" w:rsidRPr="00F23835" w:rsidRDefault="009B6BD9" w:rsidP="009B6BD9">
      <w:pPr>
        <w:tabs>
          <w:tab w:val="left" w:pos="851"/>
        </w:tabs>
        <w:ind w:left="851"/>
        <w:rPr>
          <w:sz w:val="24"/>
          <w:szCs w:val="24"/>
        </w:rPr>
      </w:pPr>
      <w:r w:rsidRPr="00F23835">
        <w:rPr>
          <w:sz w:val="24"/>
          <w:szCs w:val="24"/>
          <w:u w:val="single"/>
        </w:rPr>
        <w:t>37,5 mg</w:t>
      </w:r>
    </w:p>
    <w:p w:rsidR="009B6BD9" w:rsidRPr="00F23835" w:rsidRDefault="009B6BD9" w:rsidP="009B6BD9">
      <w:pPr>
        <w:tabs>
          <w:tab w:val="left" w:pos="851"/>
        </w:tabs>
        <w:ind w:left="851"/>
        <w:rPr>
          <w:sz w:val="24"/>
          <w:szCs w:val="24"/>
        </w:rPr>
      </w:pPr>
      <w:r w:rsidRPr="00F23835">
        <w:rPr>
          <w:sz w:val="24"/>
          <w:szCs w:val="24"/>
        </w:rPr>
        <w:t>Hver kapsel indeholder 37,5 mg sunitinib.</w:t>
      </w:r>
    </w:p>
    <w:p w:rsidR="009B6BD9" w:rsidRPr="00F23835" w:rsidRDefault="009B6BD9" w:rsidP="009B6BD9">
      <w:pPr>
        <w:tabs>
          <w:tab w:val="left" w:pos="851"/>
        </w:tabs>
        <w:ind w:left="851"/>
        <w:rPr>
          <w:sz w:val="24"/>
          <w:szCs w:val="24"/>
        </w:rPr>
      </w:pPr>
    </w:p>
    <w:p w:rsidR="009B6BD9" w:rsidRPr="00F23835" w:rsidRDefault="009B6BD9" w:rsidP="009B6BD9">
      <w:pPr>
        <w:tabs>
          <w:tab w:val="left" w:pos="851"/>
        </w:tabs>
        <w:ind w:left="851"/>
        <w:rPr>
          <w:sz w:val="24"/>
          <w:szCs w:val="24"/>
        </w:rPr>
      </w:pPr>
      <w:r w:rsidRPr="00F23835">
        <w:rPr>
          <w:sz w:val="24"/>
          <w:szCs w:val="24"/>
          <w:u w:val="single"/>
        </w:rPr>
        <w:t>50 mg</w:t>
      </w:r>
    </w:p>
    <w:p w:rsidR="009B6BD9" w:rsidRPr="00F23835" w:rsidRDefault="009B6BD9" w:rsidP="009B6BD9">
      <w:pPr>
        <w:tabs>
          <w:tab w:val="left" w:pos="851"/>
        </w:tabs>
        <w:ind w:left="851"/>
        <w:rPr>
          <w:sz w:val="24"/>
          <w:szCs w:val="24"/>
        </w:rPr>
      </w:pPr>
      <w:r w:rsidRPr="00F23835">
        <w:rPr>
          <w:sz w:val="24"/>
          <w:szCs w:val="24"/>
        </w:rPr>
        <w:t xml:space="preserve">Hver kapsel indeholder 50 mg sunitinib. </w:t>
      </w:r>
    </w:p>
    <w:p w:rsidR="009B6BD9" w:rsidRPr="00F23835" w:rsidRDefault="009B6BD9" w:rsidP="009B6BD9">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rPr>
        <w:t>Alle hjælpestoffer er anført under pkt. 6.1.</w:t>
      </w:r>
    </w:p>
    <w:p w:rsidR="00515A85" w:rsidRPr="00F23835" w:rsidRDefault="00515A85" w:rsidP="00515A85">
      <w:pPr>
        <w:tabs>
          <w:tab w:val="left" w:pos="851"/>
        </w:tabs>
        <w:rPr>
          <w:sz w:val="24"/>
          <w:szCs w:val="24"/>
        </w:rPr>
      </w:pPr>
    </w:p>
    <w:p w:rsidR="00515A85" w:rsidRPr="00F23835" w:rsidRDefault="00515A85" w:rsidP="00515A85">
      <w:pPr>
        <w:tabs>
          <w:tab w:val="left" w:pos="851"/>
        </w:tabs>
        <w:ind w:left="851" w:hanging="851"/>
        <w:rPr>
          <w:b/>
          <w:sz w:val="24"/>
          <w:szCs w:val="24"/>
        </w:rPr>
      </w:pPr>
      <w:r w:rsidRPr="00F23835">
        <w:rPr>
          <w:b/>
          <w:sz w:val="24"/>
          <w:szCs w:val="24"/>
        </w:rPr>
        <w:t>3.</w:t>
      </w:r>
      <w:r w:rsidRPr="00F23835">
        <w:rPr>
          <w:b/>
          <w:sz w:val="24"/>
          <w:szCs w:val="24"/>
        </w:rPr>
        <w:tab/>
        <w:t>LÆGEMIDDELFORM</w:t>
      </w:r>
    </w:p>
    <w:p w:rsidR="00515A85" w:rsidRPr="00F23835" w:rsidRDefault="00515A85" w:rsidP="00515A85">
      <w:pPr>
        <w:tabs>
          <w:tab w:val="left" w:pos="851"/>
        </w:tabs>
        <w:ind w:left="851"/>
        <w:rPr>
          <w:sz w:val="24"/>
          <w:szCs w:val="24"/>
        </w:rPr>
      </w:pPr>
      <w:r w:rsidRPr="00F23835">
        <w:rPr>
          <w:sz w:val="24"/>
          <w:szCs w:val="24"/>
        </w:rPr>
        <w:t>Hårde kapsler</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u w:val="single"/>
        </w:rPr>
        <w:t>12,5 mg</w:t>
      </w:r>
    </w:p>
    <w:p w:rsidR="00515A85" w:rsidRPr="00F23835" w:rsidRDefault="00515A85" w:rsidP="00515A85">
      <w:pPr>
        <w:tabs>
          <w:tab w:val="left" w:pos="851"/>
        </w:tabs>
        <w:ind w:left="851"/>
        <w:rPr>
          <w:color w:val="000000" w:themeColor="text1"/>
          <w:sz w:val="24"/>
          <w:szCs w:val="24"/>
        </w:rPr>
      </w:pPr>
      <w:r w:rsidRPr="00F23835">
        <w:rPr>
          <w:sz w:val="24"/>
          <w:szCs w:val="24"/>
        </w:rPr>
        <w:t xml:space="preserve">Gelatinekapsler, </w:t>
      </w:r>
      <w:r w:rsidRPr="00F23835">
        <w:rPr>
          <w:color w:val="000000" w:themeColor="text1"/>
          <w:sz w:val="24"/>
          <w:szCs w:val="24"/>
        </w:rPr>
        <w:t>af størrelse 14,4 mm ± 0,5 mm, med orange overdel og orange underdel, der med hvidt blæk er mærket “12.5 mg” på underdelen og som indeholder gule til orange granulater.</w:t>
      </w:r>
    </w:p>
    <w:p w:rsidR="00515A85" w:rsidRPr="00F23835" w:rsidRDefault="00515A85" w:rsidP="00515A85">
      <w:pPr>
        <w:tabs>
          <w:tab w:val="left" w:pos="851"/>
        </w:tabs>
        <w:ind w:left="851"/>
        <w:rPr>
          <w:color w:val="000000" w:themeColor="text1"/>
          <w:sz w:val="24"/>
          <w:szCs w:val="24"/>
        </w:rPr>
      </w:pPr>
    </w:p>
    <w:p w:rsidR="00515A85" w:rsidRPr="00F23835" w:rsidRDefault="00515A85" w:rsidP="00515A85">
      <w:pPr>
        <w:tabs>
          <w:tab w:val="left" w:pos="851"/>
        </w:tabs>
        <w:ind w:left="851"/>
        <w:rPr>
          <w:color w:val="000000" w:themeColor="text1"/>
          <w:sz w:val="24"/>
          <w:szCs w:val="24"/>
        </w:rPr>
      </w:pPr>
      <w:r w:rsidRPr="00F23835">
        <w:rPr>
          <w:color w:val="000000" w:themeColor="text1"/>
          <w:sz w:val="24"/>
          <w:szCs w:val="24"/>
          <w:u w:val="single"/>
        </w:rPr>
        <w:t>25 mg</w:t>
      </w:r>
    </w:p>
    <w:p w:rsidR="00515A85" w:rsidRPr="00F23835" w:rsidRDefault="00515A85" w:rsidP="00515A85">
      <w:pPr>
        <w:tabs>
          <w:tab w:val="left" w:pos="851"/>
        </w:tabs>
        <w:ind w:left="851"/>
        <w:rPr>
          <w:color w:val="000000" w:themeColor="text1"/>
          <w:sz w:val="24"/>
          <w:szCs w:val="24"/>
        </w:rPr>
      </w:pPr>
      <w:r w:rsidRPr="00F23835">
        <w:rPr>
          <w:color w:val="000000" w:themeColor="text1"/>
          <w:sz w:val="24"/>
          <w:szCs w:val="24"/>
        </w:rPr>
        <w:t>Gelatinekapsler, af størrelse 15,9 mm ± 0,5 mm, med karamelfarvet overdel og orange underdel, der med hvidt blæk er mærket “25 mg” på underdelen, og som indeholder gule til orange granulater.</w:t>
      </w:r>
    </w:p>
    <w:p w:rsidR="00515A85" w:rsidRPr="00F23835" w:rsidRDefault="00515A85" w:rsidP="00515A85">
      <w:pPr>
        <w:tabs>
          <w:tab w:val="left" w:pos="851"/>
        </w:tabs>
        <w:ind w:left="851"/>
        <w:rPr>
          <w:color w:val="000000" w:themeColor="text1"/>
          <w:sz w:val="24"/>
          <w:szCs w:val="24"/>
        </w:rPr>
      </w:pPr>
    </w:p>
    <w:p w:rsidR="00515A85" w:rsidRPr="00F23835" w:rsidRDefault="00515A85" w:rsidP="00515A85">
      <w:pPr>
        <w:tabs>
          <w:tab w:val="left" w:pos="851"/>
        </w:tabs>
        <w:ind w:left="851"/>
        <w:rPr>
          <w:color w:val="000000" w:themeColor="text1"/>
          <w:sz w:val="24"/>
          <w:szCs w:val="24"/>
        </w:rPr>
      </w:pPr>
      <w:r w:rsidRPr="00F23835">
        <w:rPr>
          <w:color w:val="000000" w:themeColor="text1"/>
          <w:sz w:val="24"/>
          <w:szCs w:val="24"/>
          <w:u w:val="single"/>
        </w:rPr>
        <w:lastRenderedPageBreak/>
        <w:t>37,5 mg</w:t>
      </w:r>
    </w:p>
    <w:p w:rsidR="00515A85" w:rsidRPr="00F23835" w:rsidRDefault="00515A85" w:rsidP="00515A85">
      <w:pPr>
        <w:tabs>
          <w:tab w:val="left" w:pos="851"/>
        </w:tabs>
        <w:ind w:left="851"/>
        <w:rPr>
          <w:color w:val="000000" w:themeColor="text1"/>
          <w:sz w:val="24"/>
          <w:szCs w:val="24"/>
        </w:rPr>
      </w:pPr>
      <w:r w:rsidRPr="00F23835">
        <w:rPr>
          <w:color w:val="000000" w:themeColor="text1"/>
          <w:sz w:val="24"/>
          <w:szCs w:val="24"/>
        </w:rPr>
        <w:t>Gelatinekapsler, af størrelse 17,9 mm ± 0,5 mm, med gul overdel og gul underdel, der med sort blæk er mærket “37.5 mg” på underdelen og som indeholder gule til orange granulater.</w:t>
      </w:r>
    </w:p>
    <w:p w:rsidR="00515A85" w:rsidRPr="00F23835" w:rsidRDefault="00515A85" w:rsidP="00515A85">
      <w:pPr>
        <w:tabs>
          <w:tab w:val="left" w:pos="851"/>
        </w:tabs>
        <w:ind w:left="851"/>
        <w:rPr>
          <w:color w:val="000000" w:themeColor="text1"/>
          <w:sz w:val="24"/>
          <w:szCs w:val="24"/>
        </w:rPr>
      </w:pPr>
    </w:p>
    <w:p w:rsidR="00515A85" w:rsidRPr="00F23835" w:rsidRDefault="00515A85" w:rsidP="00515A85">
      <w:pPr>
        <w:tabs>
          <w:tab w:val="left" w:pos="851"/>
        </w:tabs>
        <w:ind w:left="851"/>
        <w:rPr>
          <w:color w:val="000000" w:themeColor="text1"/>
          <w:sz w:val="24"/>
          <w:szCs w:val="24"/>
        </w:rPr>
      </w:pPr>
      <w:r w:rsidRPr="00F23835">
        <w:rPr>
          <w:color w:val="000000" w:themeColor="text1"/>
          <w:sz w:val="24"/>
          <w:szCs w:val="24"/>
          <w:u w:val="single"/>
        </w:rPr>
        <w:t>50 mg</w:t>
      </w:r>
    </w:p>
    <w:p w:rsidR="00515A85" w:rsidRPr="00F23835" w:rsidRDefault="00515A85" w:rsidP="00515A85">
      <w:pPr>
        <w:tabs>
          <w:tab w:val="left" w:pos="851"/>
        </w:tabs>
        <w:ind w:left="851"/>
        <w:rPr>
          <w:sz w:val="24"/>
          <w:szCs w:val="24"/>
        </w:rPr>
      </w:pPr>
      <w:r w:rsidRPr="00F23835">
        <w:rPr>
          <w:color w:val="000000" w:themeColor="text1"/>
          <w:sz w:val="24"/>
          <w:szCs w:val="24"/>
        </w:rPr>
        <w:t xml:space="preserve">Gelatinekapsler, af størrelse 19,3 mm ± 0,5 mm, </w:t>
      </w:r>
      <w:r w:rsidRPr="00F23835">
        <w:rPr>
          <w:sz w:val="24"/>
          <w:szCs w:val="24"/>
        </w:rPr>
        <w:t>med karamelfarvet overdel og karamelfarvet underdel, der med hvidt blæk er mærket “50 mg” på underdelen og som indeholder gule til orange granulater.</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hanging="851"/>
        <w:rPr>
          <w:b/>
          <w:sz w:val="24"/>
          <w:szCs w:val="24"/>
        </w:rPr>
      </w:pPr>
      <w:r w:rsidRPr="00F23835">
        <w:rPr>
          <w:b/>
          <w:sz w:val="24"/>
          <w:szCs w:val="24"/>
        </w:rPr>
        <w:t>4.</w:t>
      </w:r>
      <w:r w:rsidRPr="00F23835">
        <w:rPr>
          <w:b/>
          <w:sz w:val="24"/>
          <w:szCs w:val="24"/>
        </w:rPr>
        <w:tab/>
        <w:t>KLINISKE OPLYSNINGER</w:t>
      </w:r>
    </w:p>
    <w:p w:rsidR="00515A85" w:rsidRPr="00F23835" w:rsidRDefault="00515A85" w:rsidP="00515A85">
      <w:pPr>
        <w:tabs>
          <w:tab w:val="left" w:pos="851"/>
        </w:tabs>
        <w:ind w:left="851"/>
        <w:rPr>
          <w:b/>
          <w:sz w:val="24"/>
          <w:szCs w:val="24"/>
        </w:rPr>
      </w:pPr>
    </w:p>
    <w:p w:rsidR="00515A85" w:rsidRPr="00F23835" w:rsidRDefault="00515A85" w:rsidP="00515A85">
      <w:pPr>
        <w:tabs>
          <w:tab w:val="left" w:pos="851"/>
        </w:tabs>
        <w:ind w:left="851" w:hanging="851"/>
        <w:rPr>
          <w:b/>
          <w:sz w:val="24"/>
          <w:szCs w:val="24"/>
          <w:u w:val="single"/>
        </w:rPr>
      </w:pPr>
      <w:r w:rsidRPr="00F23835">
        <w:rPr>
          <w:b/>
          <w:sz w:val="24"/>
          <w:szCs w:val="24"/>
        </w:rPr>
        <w:t>4.1</w:t>
      </w:r>
      <w:r w:rsidRPr="00F23835">
        <w:rPr>
          <w:b/>
          <w:sz w:val="24"/>
          <w:szCs w:val="24"/>
        </w:rPr>
        <w:tab/>
        <w:t>Terapeutiske indikationer</w:t>
      </w:r>
    </w:p>
    <w:p w:rsidR="00515A85" w:rsidRPr="00F23835" w:rsidRDefault="00515A85" w:rsidP="00515A85">
      <w:pPr>
        <w:tabs>
          <w:tab w:val="left" w:pos="851"/>
        </w:tabs>
        <w:ind w:left="851"/>
        <w:rPr>
          <w:sz w:val="24"/>
          <w:szCs w:val="24"/>
          <w:u w:val="single"/>
        </w:rPr>
      </w:pPr>
    </w:p>
    <w:p w:rsidR="00515A85" w:rsidRPr="00F23835" w:rsidRDefault="00515A85" w:rsidP="00515A85">
      <w:pPr>
        <w:tabs>
          <w:tab w:val="left" w:pos="851"/>
        </w:tabs>
        <w:ind w:left="851"/>
        <w:rPr>
          <w:sz w:val="24"/>
          <w:szCs w:val="24"/>
        </w:rPr>
      </w:pPr>
      <w:r w:rsidRPr="00F23835">
        <w:rPr>
          <w:sz w:val="24"/>
          <w:szCs w:val="24"/>
          <w:u w:val="single"/>
        </w:rPr>
        <w:t>Gastrointestinal stromal tumor (GIST)</w:t>
      </w:r>
    </w:p>
    <w:p w:rsidR="00515A85" w:rsidRPr="00F23835" w:rsidRDefault="007C26EB" w:rsidP="00515A85">
      <w:pPr>
        <w:tabs>
          <w:tab w:val="left" w:pos="851"/>
        </w:tabs>
        <w:ind w:left="851"/>
        <w:rPr>
          <w:sz w:val="24"/>
          <w:szCs w:val="24"/>
        </w:rPr>
      </w:pPr>
      <w:r>
        <w:rPr>
          <w:sz w:val="24"/>
          <w:szCs w:val="24"/>
        </w:rPr>
        <w:t>Sunitinib ”Viatris”</w:t>
      </w:r>
      <w:r w:rsidR="00515A85" w:rsidRPr="00F23835">
        <w:rPr>
          <w:sz w:val="24"/>
          <w:szCs w:val="24"/>
        </w:rPr>
        <w:t xml:space="preserve"> er indiceret til behandling af voksne med inoperabel og/eller metastaserende malign gastrointestinal stromal tumor (GIST) efter behandlingssvigt med imatinib på grund af resistens eller intolerans.</w:t>
      </w:r>
    </w:p>
    <w:p w:rsidR="00515A85" w:rsidRPr="00F23835" w:rsidRDefault="00515A85" w:rsidP="00515A85">
      <w:pPr>
        <w:tabs>
          <w:tab w:val="left" w:pos="851"/>
        </w:tabs>
        <w:ind w:left="851"/>
        <w:rPr>
          <w:sz w:val="24"/>
          <w:szCs w:val="24"/>
          <w:u w:val="single"/>
        </w:rPr>
      </w:pPr>
    </w:p>
    <w:p w:rsidR="00515A85" w:rsidRPr="00F23835" w:rsidRDefault="00515A85" w:rsidP="00515A85">
      <w:pPr>
        <w:tabs>
          <w:tab w:val="left" w:pos="851"/>
        </w:tabs>
        <w:ind w:left="851"/>
        <w:rPr>
          <w:sz w:val="24"/>
          <w:szCs w:val="24"/>
        </w:rPr>
      </w:pPr>
      <w:r w:rsidRPr="00F23835">
        <w:rPr>
          <w:sz w:val="24"/>
          <w:szCs w:val="24"/>
          <w:u w:val="single"/>
        </w:rPr>
        <w:t>Metastaserende renalcellekarcinom (mRCC)</w:t>
      </w:r>
    </w:p>
    <w:p w:rsidR="00515A85" w:rsidRPr="00F23835" w:rsidRDefault="007C26EB" w:rsidP="00515A85">
      <w:pPr>
        <w:tabs>
          <w:tab w:val="left" w:pos="851"/>
        </w:tabs>
        <w:ind w:left="851"/>
        <w:rPr>
          <w:sz w:val="24"/>
          <w:szCs w:val="24"/>
        </w:rPr>
      </w:pPr>
      <w:r>
        <w:rPr>
          <w:sz w:val="24"/>
          <w:szCs w:val="24"/>
        </w:rPr>
        <w:t>Sunitinib ”Viatris”</w:t>
      </w:r>
      <w:r w:rsidR="00515A85" w:rsidRPr="00F23835">
        <w:rPr>
          <w:sz w:val="24"/>
          <w:szCs w:val="24"/>
        </w:rPr>
        <w:t xml:space="preserve"> er indiceret til behandling af voksne med avanceret/metastaserende renalcellekarcinom (mRCC).</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u w:val="single"/>
        </w:rPr>
        <w:t>Neuroendokrine tumorer i pancreas (pNET)</w:t>
      </w:r>
    </w:p>
    <w:p w:rsidR="00515A85" w:rsidRPr="00F23835" w:rsidRDefault="007C26EB" w:rsidP="00515A85">
      <w:pPr>
        <w:tabs>
          <w:tab w:val="left" w:pos="851"/>
        </w:tabs>
        <w:ind w:left="851"/>
        <w:rPr>
          <w:sz w:val="24"/>
          <w:szCs w:val="24"/>
        </w:rPr>
      </w:pPr>
      <w:r>
        <w:rPr>
          <w:sz w:val="24"/>
          <w:szCs w:val="24"/>
        </w:rPr>
        <w:t>Sunitinib ”Viatris”</w:t>
      </w:r>
      <w:r w:rsidR="00515A85" w:rsidRPr="00F23835">
        <w:rPr>
          <w:sz w:val="24"/>
          <w:szCs w:val="24"/>
        </w:rPr>
        <w:t xml:space="preserve"> er indiceret til behandling af voksne med inoperabel eller metastaserende, veldifferentieret pankreatisk neuroendokrin tumor (pNET) med sygdomsprogression.</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hanging="851"/>
        <w:rPr>
          <w:b/>
          <w:sz w:val="24"/>
          <w:szCs w:val="24"/>
        </w:rPr>
      </w:pPr>
      <w:r w:rsidRPr="00F23835">
        <w:rPr>
          <w:b/>
          <w:sz w:val="24"/>
          <w:szCs w:val="24"/>
        </w:rPr>
        <w:t>4.2</w:t>
      </w:r>
      <w:r w:rsidRPr="00F23835">
        <w:rPr>
          <w:b/>
          <w:sz w:val="24"/>
          <w:szCs w:val="24"/>
        </w:rPr>
        <w:tab/>
        <w:t xml:space="preserve">Dosering og </w:t>
      </w:r>
      <w:r w:rsidR="002A0948" w:rsidRPr="00F23835">
        <w:rPr>
          <w:b/>
          <w:sz w:val="24"/>
          <w:szCs w:val="24"/>
        </w:rPr>
        <w:t>administration</w:t>
      </w:r>
    </w:p>
    <w:p w:rsidR="00515A85" w:rsidRPr="00F23835" w:rsidRDefault="00515A85" w:rsidP="00515A85">
      <w:pPr>
        <w:tabs>
          <w:tab w:val="left" w:pos="851"/>
        </w:tabs>
        <w:ind w:left="851"/>
        <w:rPr>
          <w:sz w:val="24"/>
          <w:szCs w:val="24"/>
        </w:rPr>
      </w:pPr>
      <w:r w:rsidRPr="00F23835">
        <w:rPr>
          <w:sz w:val="24"/>
          <w:szCs w:val="24"/>
        </w:rPr>
        <w:t>Behandlingen med sunitinib bør initieres af en læge med erfaring i administration af lægemidler mod cancer.</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b/>
          <w:sz w:val="24"/>
          <w:szCs w:val="24"/>
        </w:rPr>
      </w:pPr>
      <w:r w:rsidRPr="00F23835">
        <w:rPr>
          <w:b/>
          <w:sz w:val="24"/>
          <w:szCs w:val="24"/>
        </w:rPr>
        <w:t>Dosering</w:t>
      </w:r>
    </w:p>
    <w:p w:rsidR="00515A85" w:rsidRPr="00F23835" w:rsidRDefault="00515A85" w:rsidP="00515A85">
      <w:pPr>
        <w:tabs>
          <w:tab w:val="left" w:pos="851"/>
        </w:tabs>
        <w:ind w:left="851"/>
        <w:rPr>
          <w:sz w:val="24"/>
          <w:szCs w:val="24"/>
        </w:rPr>
      </w:pPr>
      <w:r w:rsidRPr="00F23835">
        <w:rPr>
          <w:sz w:val="24"/>
          <w:szCs w:val="24"/>
        </w:rPr>
        <w:t xml:space="preserve">Til GIST og mRCC er den anbefalede dosis af </w:t>
      </w:r>
      <w:r w:rsidR="007C26EB">
        <w:rPr>
          <w:sz w:val="24"/>
          <w:szCs w:val="24"/>
        </w:rPr>
        <w:t>Sunitinib ”Viatris”</w:t>
      </w:r>
      <w:r w:rsidRPr="00F23835">
        <w:rPr>
          <w:sz w:val="24"/>
          <w:szCs w:val="24"/>
        </w:rPr>
        <w:t xml:space="preserve"> 50 mg 1 gang daglig indtaget oralt i 4 på hinanden følgende uger og derefter 2 ugers pause (doseringsskema 4/2). Dette udgør en behandlingscyklus på 6 uger.</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rPr>
        <w:t xml:space="preserve">Til pNET er den anbefalede dosis af </w:t>
      </w:r>
      <w:r w:rsidR="007C26EB">
        <w:rPr>
          <w:sz w:val="24"/>
          <w:szCs w:val="24"/>
        </w:rPr>
        <w:t>Sunitinib ”Viatris”</w:t>
      </w:r>
      <w:r w:rsidRPr="00F23835">
        <w:rPr>
          <w:sz w:val="24"/>
          <w:szCs w:val="24"/>
        </w:rPr>
        <w:t xml:space="preserve"> 37,5 mg 1 gang daglig indtaget oralt uden planlagte behandlingspauser.</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u w:val="single"/>
        </w:rPr>
        <w:t>Dosisjustering</w:t>
      </w:r>
    </w:p>
    <w:p w:rsidR="00515A85" w:rsidRPr="00F23835" w:rsidRDefault="00515A85" w:rsidP="00515A85">
      <w:pPr>
        <w:tabs>
          <w:tab w:val="left" w:pos="851"/>
        </w:tabs>
        <w:ind w:left="851"/>
        <w:rPr>
          <w:i/>
          <w:sz w:val="24"/>
          <w:szCs w:val="24"/>
        </w:rPr>
      </w:pPr>
    </w:p>
    <w:p w:rsidR="00515A85" w:rsidRPr="00F23835" w:rsidRDefault="00515A85" w:rsidP="00515A85">
      <w:pPr>
        <w:tabs>
          <w:tab w:val="left" w:pos="851"/>
        </w:tabs>
        <w:ind w:left="851"/>
        <w:rPr>
          <w:i/>
          <w:sz w:val="24"/>
          <w:szCs w:val="24"/>
        </w:rPr>
      </w:pPr>
      <w:r w:rsidRPr="00F23835">
        <w:rPr>
          <w:i/>
          <w:sz w:val="24"/>
          <w:szCs w:val="24"/>
        </w:rPr>
        <w:t>Sikkerhed og tolerans</w:t>
      </w:r>
    </w:p>
    <w:p w:rsidR="00515A85" w:rsidRPr="00F23835" w:rsidRDefault="00515A85" w:rsidP="00515A85">
      <w:pPr>
        <w:tabs>
          <w:tab w:val="left" w:pos="851"/>
        </w:tabs>
        <w:ind w:left="851"/>
        <w:rPr>
          <w:sz w:val="24"/>
          <w:szCs w:val="24"/>
        </w:rPr>
      </w:pPr>
      <w:r w:rsidRPr="00F23835">
        <w:rPr>
          <w:sz w:val="24"/>
          <w:szCs w:val="24"/>
        </w:rPr>
        <w:t>På baggrund af individuel sikkerhed og tolerans kan dosis justeres med en dosisøgning på 12,5 mg ad gangen ved GIST og mRCC. Den daglige dosis må hverken overskride 75 mg eller være lavere end 25 mg.</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rPr>
        <w:t>På baggrund af individuel sikkerhed og tolerans kan dosis justeres med en dosisøgning på 12,5 mg ad gangen ved pNET. Den maksimale dosis, som blev givet i et fase 3 pNET-studie, var 50 mg daglig.</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rPr>
        <w:t>På baggrund af individuel sikkerhed og tolerans kan dosisafbrydelse blive nødvendig.</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i/>
          <w:sz w:val="24"/>
          <w:szCs w:val="24"/>
        </w:rPr>
      </w:pPr>
      <w:r w:rsidRPr="00F23835">
        <w:rPr>
          <w:i/>
          <w:sz w:val="24"/>
          <w:szCs w:val="24"/>
        </w:rPr>
        <w:t>CYP3A4-hæmmere/induktorer</w:t>
      </w:r>
    </w:p>
    <w:p w:rsidR="00515A85" w:rsidRPr="00F23835" w:rsidRDefault="00515A85" w:rsidP="00515A85">
      <w:pPr>
        <w:tabs>
          <w:tab w:val="left" w:pos="851"/>
        </w:tabs>
        <w:ind w:left="851"/>
        <w:rPr>
          <w:sz w:val="24"/>
          <w:szCs w:val="24"/>
        </w:rPr>
      </w:pPr>
      <w:r w:rsidRPr="00F23835">
        <w:rPr>
          <w:sz w:val="24"/>
          <w:szCs w:val="24"/>
        </w:rPr>
        <w:t>Samtidig anvendelse af sunitinib og potente CYP3A4-induktorer, som f.eks. rifampicin bør undgås (se pkt. 4.4 og 4.5). Hvis dette ikke er muligt, kan det være nødvendigt at øge dosis af sunitinib med en dosistilvækst på 12,5 mg ad gangen (op til 87,5 mg daglig ved GIST og mRCC eller 62,5 mg daglig ved pNET) med omhyggelig monitorering af tolerans.</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rPr>
        <w:t>Samtidig anvendelse af sunitinib og potente CYP3A4-hæmmere, som f.eks. ketoconazol, bør undgås (se pkt. 4.4 og 4.5). Hvis dette ikke er muligt, kan det være nødvendigt at nedsætte dosis af sunitinib til minimum 37,5 mg daglig ved GIST og mRCC eller 25 mg daglig ved pNET med omhyggelig monitorering af tolerans.</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rPr>
        <w:t>Anvendelse af anden samtidig medicin med ingen eller minimal mulighed for at inducere eller hæmme CYP3A4 bør overvejes.</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u w:val="single"/>
        </w:rPr>
        <w:t>Særlige patientgrupper</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i/>
          <w:sz w:val="24"/>
          <w:szCs w:val="24"/>
        </w:rPr>
      </w:pPr>
      <w:r w:rsidRPr="00F23835">
        <w:rPr>
          <w:i/>
          <w:sz w:val="24"/>
          <w:szCs w:val="24"/>
        </w:rPr>
        <w:t>Pædiatrisk population</w:t>
      </w:r>
    </w:p>
    <w:p w:rsidR="00515A85" w:rsidRPr="00F23835" w:rsidRDefault="00515A85" w:rsidP="00515A85">
      <w:pPr>
        <w:tabs>
          <w:tab w:val="left" w:pos="851"/>
        </w:tabs>
        <w:ind w:left="851"/>
        <w:rPr>
          <w:sz w:val="24"/>
          <w:szCs w:val="24"/>
        </w:rPr>
      </w:pPr>
      <w:r w:rsidRPr="00F23835">
        <w:rPr>
          <w:sz w:val="24"/>
          <w:szCs w:val="24"/>
        </w:rPr>
        <w:t>Sunitinibs sikkerhed og virkning hos patienter under 18 år er ikke klarlagt.</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rPr>
        <w:t>De foreliggende, begrænsede data er beskrevet i pkt. 4.8, 5.1 og 5.2, men der kan ikke gives nogen anbefalinger vedrørende dosering.</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i/>
          <w:sz w:val="24"/>
          <w:szCs w:val="24"/>
        </w:rPr>
      </w:pPr>
      <w:r w:rsidRPr="00F23835">
        <w:rPr>
          <w:i/>
          <w:sz w:val="24"/>
          <w:szCs w:val="24"/>
        </w:rPr>
        <w:t>Ældre</w:t>
      </w:r>
    </w:p>
    <w:p w:rsidR="00515A85" w:rsidRPr="00F23835" w:rsidRDefault="00515A85" w:rsidP="00515A85">
      <w:pPr>
        <w:tabs>
          <w:tab w:val="left" w:pos="851"/>
        </w:tabs>
        <w:ind w:left="851"/>
        <w:rPr>
          <w:sz w:val="24"/>
          <w:szCs w:val="24"/>
        </w:rPr>
      </w:pPr>
      <w:r w:rsidRPr="00F23835">
        <w:rPr>
          <w:sz w:val="24"/>
          <w:szCs w:val="24"/>
        </w:rPr>
        <w:t>Ca. en tredjedel af patienterne i de kliniske studier som fik sunitinib, var 65 år eller derover. Der ses ingen signifikant forskel i sikkerhed eller virkning mellem yngre og ældre patienter.</w:t>
      </w:r>
    </w:p>
    <w:p w:rsidR="00515A85" w:rsidRPr="00F23835" w:rsidRDefault="00515A85" w:rsidP="00515A85">
      <w:pPr>
        <w:tabs>
          <w:tab w:val="left" w:pos="851"/>
        </w:tabs>
        <w:ind w:left="851"/>
        <w:rPr>
          <w:i/>
          <w:sz w:val="24"/>
          <w:szCs w:val="24"/>
          <w:u w:val="single"/>
        </w:rPr>
      </w:pPr>
    </w:p>
    <w:p w:rsidR="00515A85" w:rsidRPr="00F23835" w:rsidRDefault="00515A85" w:rsidP="00515A85">
      <w:pPr>
        <w:tabs>
          <w:tab w:val="left" w:pos="851"/>
        </w:tabs>
        <w:ind w:left="851"/>
        <w:rPr>
          <w:i/>
          <w:sz w:val="24"/>
          <w:szCs w:val="24"/>
        </w:rPr>
      </w:pPr>
      <w:r w:rsidRPr="00F23835">
        <w:rPr>
          <w:i/>
          <w:sz w:val="24"/>
          <w:szCs w:val="24"/>
        </w:rPr>
        <w:t>Nedsat leverfunktion</w:t>
      </w:r>
    </w:p>
    <w:p w:rsidR="00515A85" w:rsidRPr="00F23835" w:rsidRDefault="00515A85" w:rsidP="00515A85">
      <w:pPr>
        <w:tabs>
          <w:tab w:val="left" w:pos="851"/>
        </w:tabs>
        <w:ind w:left="851"/>
        <w:rPr>
          <w:sz w:val="24"/>
          <w:szCs w:val="24"/>
        </w:rPr>
      </w:pPr>
      <w:r w:rsidRPr="00F23835">
        <w:rPr>
          <w:sz w:val="24"/>
          <w:szCs w:val="24"/>
        </w:rPr>
        <w:t xml:space="preserve">Justering af initialdosis er ikke nødvendig, når sunitinib anvendes til patienter med </w:t>
      </w:r>
      <w:proofErr w:type="gramStart"/>
      <w:r w:rsidRPr="00F23835">
        <w:rPr>
          <w:sz w:val="24"/>
          <w:szCs w:val="24"/>
        </w:rPr>
        <w:t>mildt eller moderat nedsat leverfunktion</w:t>
      </w:r>
      <w:proofErr w:type="gramEnd"/>
      <w:r w:rsidRPr="00F23835">
        <w:rPr>
          <w:sz w:val="24"/>
          <w:szCs w:val="24"/>
        </w:rPr>
        <w:t xml:space="preserve"> (Child-Pugh klasse A og B). Sunitinib er ikke undersøgt hos patienter med svært nedsat leverfunktion (Child-Pugh klasse C) og kan derfor ikke anbefales til denne patientgruppe (se pkt. 5.2).</w:t>
      </w:r>
    </w:p>
    <w:p w:rsidR="00515A85" w:rsidRPr="00F23835" w:rsidRDefault="00515A85" w:rsidP="00515A85">
      <w:pPr>
        <w:tabs>
          <w:tab w:val="left" w:pos="851"/>
        </w:tabs>
        <w:ind w:left="851"/>
        <w:rPr>
          <w:sz w:val="24"/>
          <w:szCs w:val="24"/>
        </w:rPr>
      </w:pPr>
    </w:p>
    <w:p w:rsidR="00515A85" w:rsidRPr="00F23835" w:rsidRDefault="00515A85" w:rsidP="00515A85">
      <w:pPr>
        <w:keepNext/>
        <w:tabs>
          <w:tab w:val="left" w:pos="851"/>
        </w:tabs>
        <w:ind w:left="851"/>
        <w:rPr>
          <w:i/>
          <w:sz w:val="24"/>
          <w:szCs w:val="24"/>
        </w:rPr>
      </w:pPr>
      <w:r w:rsidRPr="00F23835">
        <w:rPr>
          <w:i/>
          <w:sz w:val="24"/>
          <w:szCs w:val="24"/>
        </w:rPr>
        <w:t>Nedsat nyrefunktion</w:t>
      </w:r>
    </w:p>
    <w:p w:rsidR="00515A85" w:rsidRPr="00F23835" w:rsidRDefault="00515A85" w:rsidP="00515A85">
      <w:pPr>
        <w:tabs>
          <w:tab w:val="left" w:pos="851"/>
        </w:tabs>
        <w:ind w:left="851"/>
        <w:rPr>
          <w:sz w:val="24"/>
          <w:szCs w:val="24"/>
        </w:rPr>
      </w:pPr>
      <w:r w:rsidRPr="00F23835">
        <w:rPr>
          <w:sz w:val="24"/>
          <w:szCs w:val="24"/>
        </w:rPr>
        <w:t>Justering af initialdosis er ikke nødvendig, når sunitinib anvendes til patienter med nedsat nyrefunktion (mild-alvorlig) eller med nyresygdom i slutstadiet i hæmodialyse. Efterfølgende dosisjusteringer baseres på individuel sikkerhed og tolerans (se pkt. 5.2).</w:t>
      </w:r>
    </w:p>
    <w:p w:rsidR="00515A85" w:rsidRPr="00F23835" w:rsidRDefault="00515A85" w:rsidP="00515A85">
      <w:pPr>
        <w:tabs>
          <w:tab w:val="left" w:pos="851"/>
        </w:tabs>
        <w:ind w:left="851"/>
        <w:rPr>
          <w:sz w:val="24"/>
          <w:szCs w:val="24"/>
        </w:rPr>
      </w:pPr>
    </w:p>
    <w:p w:rsidR="009B6BD9" w:rsidRPr="00F23835" w:rsidRDefault="009B6BD9" w:rsidP="009B6BD9">
      <w:pPr>
        <w:tabs>
          <w:tab w:val="left" w:pos="851"/>
        </w:tabs>
        <w:ind w:left="851"/>
        <w:rPr>
          <w:bCs/>
          <w:sz w:val="24"/>
          <w:szCs w:val="24"/>
          <w:u w:val="single"/>
        </w:rPr>
      </w:pPr>
      <w:r w:rsidRPr="00F23835">
        <w:rPr>
          <w:bCs/>
          <w:sz w:val="24"/>
          <w:szCs w:val="24"/>
          <w:u w:val="single"/>
        </w:rPr>
        <w:t>Administration</w:t>
      </w:r>
    </w:p>
    <w:p w:rsidR="00515A85" w:rsidRPr="00F23835" w:rsidRDefault="007C26EB" w:rsidP="00515A85">
      <w:pPr>
        <w:tabs>
          <w:tab w:val="left" w:pos="851"/>
        </w:tabs>
        <w:ind w:left="851"/>
        <w:rPr>
          <w:sz w:val="24"/>
          <w:szCs w:val="24"/>
        </w:rPr>
      </w:pPr>
      <w:r>
        <w:rPr>
          <w:sz w:val="24"/>
          <w:szCs w:val="24"/>
        </w:rPr>
        <w:t>Sunitinib ”Viatris”</w:t>
      </w:r>
      <w:r w:rsidR="00515A85" w:rsidRPr="00F23835">
        <w:rPr>
          <w:sz w:val="24"/>
          <w:szCs w:val="24"/>
        </w:rPr>
        <w:t xml:space="preserve"> er til oral brug, og kan tages med eller uden mad.</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rPr>
        <w:t>Hvis en dosis glemmes, bør patienten ikke tage en supplerende dosis. Patienten bør tage den sædvanlige, ordinerede dosis den følgende dag.</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hanging="851"/>
        <w:rPr>
          <w:b/>
          <w:sz w:val="24"/>
          <w:szCs w:val="24"/>
        </w:rPr>
      </w:pPr>
      <w:r w:rsidRPr="00F23835">
        <w:rPr>
          <w:b/>
          <w:sz w:val="24"/>
          <w:szCs w:val="24"/>
        </w:rPr>
        <w:t>4.3</w:t>
      </w:r>
      <w:r w:rsidRPr="00F23835">
        <w:rPr>
          <w:b/>
          <w:sz w:val="24"/>
          <w:szCs w:val="24"/>
        </w:rPr>
        <w:tab/>
        <w:t>Kontraindikationer</w:t>
      </w:r>
    </w:p>
    <w:p w:rsidR="00515A85" w:rsidRPr="00F23835" w:rsidRDefault="00515A85" w:rsidP="00515A85">
      <w:pPr>
        <w:tabs>
          <w:tab w:val="left" w:pos="851"/>
        </w:tabs>
        <w:ind w:left="851"/>
        <w:rPr>
          <w:sz w:val="24"/>
          <w:szCs w:val="24"/>
        </w:rPr>
      </w:pPr>
      <w:r w:rsidRPr="00F23835">
        <w:rPr>
          <w:sz w:val="24"/>
          <w:szCs w:val="24"/>
        </w:rPr>
        <w:t>Overfølsomhed over for det aktive stof eller over for et eller flere af hjælpestofferne, som er angivet i pkt. 6.1.</w:t>
      </w:r>
    </w:p>
    <w:p w:rsidR="00515A85" w:rsidRDefault="00515A85" w:rsidP="00515A85">
      <w:pPr>
        <w:tabs>
          <w:tab w:val="left" w:pos="851"/>
        </w:tabs>
        <w:ind w:left="851"/>
        <w:rPr>
          <w:sz w:val="24"/>
          <w:szCs w:val="24"/>
        </w:rPr>
      </w:pPr>
    </w:p>
    <w:p w:rsidR="007C26EB" w:rsidRDefault="007C26EB" w:rsidP="00515A85">
      <w:pPr>
        <w:tabs>
          <w:tab w:val="left" w:pos="851"/>
        </w:tabs>
        <w:ind w:left="851"/>
        <w:rPr>
          <w:sz w:val="24"/>
          <w:szCs w:val="24"/>
        </w:rPr>
      </w:pPr>
    </w:p>
    <w:p w:rsidR="007C26EB" w:rsidRPr="00F23835" w:rsidRDefault="007C26EB" w:rsidP="00515A85">
      <w:pPr>
        <w:tabs>
          <w:tab w:val="left" w:pos="851"/>
        </w:tabs>
        <w:ind w:left="851"/>
        <w:rPr>
          <w:sz w:val="24"/>
          <w:szCs w:val="24"/>
        </w:rPr>
      </w:pPr>
    </w:p>
    <w:p w:rsidR="00515A85" w:rsidRPr="00F23835" w:rsidRDefault="00515A85" w:rsidP="00515A85">
      <w:pPr>
        <w:tabs>
          <w:tab w:val="left" w:pos="851"/>
        </w:tabs>
        <w:ind w:left="851" w:hanging="851"/>
        <w:rPr>
          <w:b/>
          <w:sz w:val="24"/>
          <w:szCs w:val="24"/>
        </w:rPr>
      </w:pPr>
      <w:r w:rsidRPr="00F23835">
        <w:rPr>
          <w:b/>
          <w:sz w:val="24"/>
          <w:szCs w:val="24"/>
        </w:rPr>
        <w:lastRenderedPageBreak/>
        <w:t>4.4</w:t>
      </w:r>
      <w:r w:rsidRPr="00F23835">
        <w:rPr>
          <w:b/>
          <w:sz w:val="24"/>
          <w:szCs w:val="24"/>
        </w:rPr>
        <w:tab/>
        <w:t>Særlige advarsler og forsigtighedsregler vedrørende brugen</w:t>
      </w:r>
    </w:p>
    <w:p w:rsidR="00515A85" w:rsidRPr="00F23835" w:rsidRDefault="00515A85" w:rsidP="00515A85">
      <w:pPr>
        <w:tabs>
          <w:tab w:val="left" w:pos="851"/>
        </w:tabs>
        <w:ind w:left="851"/>
        <w:rPr>
          <w:sz w:val="24"/>
          <w:szCs w:val="24"/>
        </w:rPr>
      </w:pPr>
      <w:r w:rsidRPr="00F23835">
        <w:rPr>
          <w:sz w:val="24"/>
          <w:szCs w:val="24"/>
        </w:rPr>
        <w:t>Samtidig anvendelse af potente CYP3A4-induktorer bør undgås, da det kan nedsætte plasmakoncentrationen af sunitinib (se pkt. 4.2 og 4.5).</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rPr>
        <w:t>Samtidig anvendelse af potente CYP3A4-hæmmere bør undgås, da det kan øge plasmakoncentrationen af sunitinib (se pkt. 4.2 og 4.5).</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u w:val="single"/>
        </w:rPr>
        <w:t>Hud- og vævslidelser</w:t>
      </w:r>
    </w:p>
    <w:p w:rsidR="00515A85" w:rsidRPr="00F23835" w:rsidRDefault="00515A85" w:rsidP="00515A85">
      <w:pPr>
        <w:tabs>
          <w:tab w:val="left" w:pos="851"/>
        </w:tabs>
        <w:ind w:left="851"/>
        <w:rPr>
          <w:sz w:val="24"/>
          <w:szCs w:val="24"/>
        </w:rPr>
      </w:pPr>
      <w:r w:rsidRPr="00F23835">
        <w:rPr>
          <w:sz w:val="24"/>
          <w:szCs w:val="24"/>
        </w:rPr>
        <w:t>Patienter bør informeres om, at depigmentering af hår eller hud kan forekomme under behandling med sunitinib. Andre mulige dermatologiske virkninger kan omfatte tørhed og fortykkelse af hud eller revnet hud, blærer, eller lejlighedsvis udslæt på håndflader og fodsåler.</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rPr>
        <w:t>Disse reaktioner er ikke kumulative, men er typisk reversible og fører sædvanligvis ikke til seponering. Der er set tilfælde af gangrænøs pyoderma, der normalt var reversibelt efter behandlingsophør. Der er rapporteret tilfælde af alvorlige kutane bivirkninger herunder erythema multiforme (EM), tilfælde, der tyder på Stevens-Johnsons syndrom (SJS) og toksisk epidermal nekrolyse (TEN), hvoraf nogle var dødelige. Hvis der er tegn eller symptomer på SJS, TEN eller EM (f.eks. progressivt hududslæt, ofte med blister eller mukosale læsioner), bør sunitinib seponeres. Hvis diagnosen SJS eller TEN er bliver bekræftet, må behandlingen ikke reinitieres. Ved mistanke om EM kan behandlingen med sunitinib i nogle tilfælde genoptages ved en lavere dosis efter bedring af udslættet. Nogle af disse patienter blev også samtidigt behandlet med kortikosteroider eller antihistaminer (se pkt. 4.8).</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u w:val="single"/>
        </w:rPr>
        <w:t>Blødning og tumorblødning</w:t>
      </w:r>
    </w:p>
    <w:p w:rsidR="00515A85" w:rsidRPr="00F23835" w:rsidRDefault="00515A85" w:rsidP="00515A85">
      <w:pPr>
        <w:tabs>
          <w:tab w:val="left" w:pos="851"/>
        </w:tabs>
        <w:ind w:left="851"/>
        <w:rPr>
          <w:sz w:val="24"/>
          <w:szCs w:val="24"/>
        </w:rPr>
      </w:pPr>
      <w:r w:rsidRPr="00F23835">
        <w:rPr>
          <w:sz w:val="24"/>
          <w:szCs w:val="24"/>
        </w:rPr>
        <w:t>Efter markedsføring og i kliniske studier med sunitinib har der været rapporter om blødningshændelser, hvoraf nogle har været letale. Disse hændelser omfatter gastrointestinale blødninger, blødninger i luftvejene, urinvejs- og hjerneblødninger (se pkt. 4.8).</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rPr>
        <w:t>Rutinemæssig vurdering af denne blødningsbivirkning bør omfatte fuldstændig blodtælling og objektiv undersøgelse.</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rPr>
        <w:t>Epistaxis var den mest almindelige blødningsrelaterede bivirkning, og blev rapporteret hos ca. halvdelen af de patienter med solide tumorer, som oplevede blødningsepisoder. Nogle af disse epistaxistilfælde var alvorlige, men meget sjældent letale.</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rPr>
        <w:t>Tilfælde af tumorblødning, til tider forbundet med tumornekrose er rapporteret, nogle af disse blødningstilfælde var letale.</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rPr>
        <w:t xml:space="preserve">Tumorblødning kan opstå pludseligt. I tilfælde af pulmonale tumorer kan der være tale om alvorlig og livstruende hæmoptyse eller pulmonal blødning. I kliniske studier og efter markedsføring er der set tilfælde af pulmonalblødninger, som i nogle tilfælde var letale, hos patienter, der er blevet behandlet med sunitinib mod mRCC, GIST og lungecancer. </w:t>
      </w:r>
      <w:r w:rsidR="007C26EB">
        <w:rPr>
          <w:sz w:val="24"/>
          <w:szCs w:val="24"/>
        </w:rPr>
        <w:t>Sunitinib ”Viatris”</w:t>
      </w:r>
      <w:r w:rsidRPr="00F23835">
        <w:rPr>
          <w:sz w:val="24"/>
          <w:szCs w:val="24"/>
        </w:rPr>
        <w:t xml:space="preserve"> er ikke godkendt til behandling af patienter med lungecancer.</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rPr>
        <w:t>Patienter, der samtidigt behandles med antikoagulantia (f.eks. warfarin; acenocoumarol) bør regelmæssigt have foretaget fuldstændig blodtælling (trombocyttal), koagulationsfaktor (PT/INR) og fysisk undersøgelse.</w:t>
      </w:r>
    </w:p>
    <w:p w:rsidR="00515A85" w:rsidRDefault="00515A85" w:rsidP="00515A85">
      <w:pPr>
        <w:tabs>
          <w:tab w:val="left" w:pos="851"/>
        </w:tabs>
        <w:ind w:left="851"/>
        <w:rPr>
          <w:sz w:val="24"/>
          <w:szCs w:val="24"/>
        </w:rPr>
      </w:pPr>
    </w:p>
    <w:p w:rsidR="007C26EB" w:rsidRDefault="007C26EB" w:rsidP="00515A85">
      <w:pPr>
        <w:tabs>
          <w:tab w:val="left" w:pos="851"/>
        </w:tabs>
        <w:ind w:left="851"/>
        <w:rPr>
          <w:sz w:val="24"/>
          <w:szCs w:val="24"/>
        </w:rPr>
      </w:pPr>
    </w:p>
    <w:p w:rsidR="007C26EB" w:rsidRPr="00F23835" w:rsidRDefault="007C26EB"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u w:val="single"/>
        </w:rPr>
        <w:lastRenderedPageBreak/>
        <w:t>Gastrointestinale lidelser</w:t>
      </w:r>
    </w:p>
    <w:p w:rsidR="00515A85" w:rsidRPr="00F23835" w:rsidRDefault="00515A85" w:rsidP="00515A85">
      <w:pPr>
        <w:tabs>
          <w:tab w:val="left" w:pos="851"/>
        </w:tabs>
        <w:ind w:left="851"/>
        <w:rPr>
          <w:sz w:val="24"/>
          <w:szCs w:val="24"/>
        </w:rPr>
      </w:pPr>
      <w:r w:rsidRPr="00F23835">
        <w:rPr>
          <w:sz w:val="24"/>
          <w:szCs w:val="24"/>
        </w:rPr>
        <w:t>Diarré, kvalme/opkastning, mavesmerter, dyspepsi og stomatitis/orale smerter er de hyppigst rapporterede gastrointestinale bivirkninger; der er også set tilfælde af øsofagitis (se pkt. 4.8).</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rPr>
        <w:t>Disse gastrointestinale bivirkninger kan kræve understøttende behandling, som omfatter lægemidler med antiemetiske, obstiperende eller syreneutraliserende egenskaber.</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rPr>
        <w:t>Alvorlige og til tider letale gastrointestinale komplikationer, herunder gastrointestinal perforation, er set hos patienter med intraabdominal malignitet behandlet med sunitinib.</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u w:val="single"/>
        </w:rPr>
        <w:t>Hypertension</w:t>
      </w:r>
    </w:p>
    <w:p w:rsidR="00515A85" w:rsidRPr="00F23835" w:rsidRDefault="00515A85" w:rsidP="00515A85">
      <w:pPr>
        <w:tabs>
          <w:tab w:val="left" w:pos="851"/>
        </w:tabs>
        <w:ind w:left="851"/>
        <w:rPr>
          <w:sz w:val="24"/>
          <w:szCs w:val="24"/>
        </w:rPr>
      </w:pPr>
      <w:r w:rsidRPr="00F23835">
        <w:rPr>
          <w:sz w:val="24"/>
          <w:szCs w:val="24"/>
        </w:rPr>
        <w:t xml:space="preserve">Hypertension er rapporteret i forbindelse med sunitinib, herunder alvorlig hypertension (&gt;200 mmHg systolisk eller &gt; 110 mmHg diastolisk). Patienter bør undersøges for hypertension og kontrolleres efter behov. </w:t>
      </w:r>
      <w:r w:rsidRPr="00F23835">
        <w:rPr>
          <w:sz w:val="24"/>
          <w:szCs w:val="24"/>
        </w:rPr>
        <w:br/>
        <w:t>Midlertidig afbrydelse af behandlingen anbefales hos patienter med svær hypertension, som ikke er kontrolleret med medicinsk behandling. Behandlingen kan genoptages, når hypertensionen er under passende kontrol (se pkt. 4.8).</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u w:val="single"/>
        </w:rPr>
        <w:t>Hæmatologiske lidelser</w:t>
      </w:r>
    </w:p>
    <w:p w:rsidR="00515A85" w:rsidRPr="00F23835" w:rsidRDefault="00515A85" w:rsidP="00515A85">
      <w:pPr>
        <w:tabs>
          <w:tab w:val="left" w:pos="851"/>
        </w:tabs>
        <w:ind w:left="851"/>
        <w:rPr>
          <w:sz w:val="24"/>
          <w:szCs w:val="24"/>
        </w:rPr>
      </w:pPr>
      <w:r w:rsidRPr="00F23835">
        <w:rPr>
          <w:sz w:val="24"/>
          <w:szCs w:val="24"/>
        </w:rPr>
        <w:t>Nedsat absolut neutrofiltal og nedsat antal blodplader er rapporteret i forbindelse med sunitinibn (se pkt. 4.8). Disse hændelser er ikke kumulative, men er typisk reversible og fører sædvanligvis ikke til seponering af behandlingen. Ingen af disse hændelser i fase 3 studierne var letale. Ved overvågning efter markedsføring er der rapporteret om sjældne letale hæmatologiske tilfælde, inklusive blødning i forbindelse med trombocytopeni og neutropeniske infektioner.</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rPr>
        <w:t>Anæmi optræder både initialt og senere under behandlingen med sunitinib.</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rPr>
        <w:t>Fuldstændig blodtælling bør udføres i begyndelsen af hver behandlingscyklus hos patienter, der behandles med sunitinib (se pkt. 4.8).</w:t>
      </w:r>
    </w:p>
    <w:p w:rsidR="00515A85" w:rsidRPr="00F23835" w:rsidRDefault="00515A85" w:rsidP="00515A85">
      <w:pPr>
        <w:tabs>
          <w:tab w:val="left" w:pos="851"/>
        </w:tabs>
        <w:ind w:left="851"/>
        <w:rPr>
          <w:sz w:val="24"/>
          <w:szCs w:val="24"/>
        </w:rPr>
      </w:pPr>
    </w:p>
    <w:p w:rsidR="00515A85" w:rsidRPr="00F23835" w:rsidRDefault="00515A85" w:rsidP="00515A85">
      <w:pPr>
        <w:keepNext/>
        <w:tabs>
          <w:tab w:val="left" w:pos="851"/>
        </w:tabs>
        <w:ind w:left="851"/>
        <w:rPr>
          <w:sz w:val="24"/>
          <w:szCs w:val="24"/>
        </w:rPr>
      </w:pPr>
      <w:r w:rsidRPr="00F23835">
        <w:rPr>
          <w:sz w:val="24"/>
          <w:szCs w:val="24"/>
          <w:u w:val="single"/>
        </w:rPr>
        <w:t>Kardiovaskulære lidelser</w:t>
      </w:r>
    </w:p>
    <w:p w:rsidR="00515A85" w:rsidRPr="00F23835" w:rsidRDefault="00515A85" w:rsidP="00515A85">
      <w:pPr>
        <w:tabs>
          <w:tab w:val="left" w:pos="851"/>
        </w:tabs>
        <w:ind w:left="851"/>
        <w:rPr>
          <w:sz w:val="24"/>
          <w:szCs w:val="24"/>
        </w:rPr>
      </w:pPr>
      <w:r w:rsidRPr="00F23835">
        <w:rPr>
          <w:sz w:val="24"/>
          <w:szCs w:val="24"/>
        </w:rPr>
        <w:t xml:space="preserve">Hos patienter behandlet med sunitinib er der set kardiovaskulære hændelser, inklusive hjertesvigt, kardiomyopati, fald i venstre ventrikels ejektionsfraktion til under den nedre referenceværdi, </w:t>
      </w:r>
      <w:proofErr w:type="gramStart"/>
      <w:r w:rsidRPr="00F23835">
        <w:rPr>
          <w:sz w:val="24"/>
          <w:szCs w:val="24"/>
        </w:rPr>
        <w:t>myokarditis,og</w:t>
      </w:r>
      <w:proofErr w:type="gramEnd"/>
      <w:r w:rsidRPr="00F23835">
        <w:rPr>
          <w:sz w:val="24"/>
          <w:szCs w:val="24"/>
        </w:rPr>
        <w:t xml:space="preserve"> myokardieiskæmi og myokardieinfarkt; disse hændelser var i nogle tilfælde letale. Disse data tyder på, at sunitinib øger risikoen for kardiomyopati. Udover den lægemiddelspecifikke virkning er der er ikke identificeret andre specifikke risikofaktorer for sunitinib-induceret kardiomyopati hos de behandlede patienter. Sunitinib skal bruges med forsigtighed hos patienter med risiko for disse hændelser, eller med disse hændelser i anamnesen (se pkt. 4.8).</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rPr>
        <w:t xml:space="preserve">Patienter, som havde haft hjertehændelser inden for 12 måneder før sunitinib-behandling, som f.eks. myokardieinfarkt (inklusive alvorlig/ustabil angina), koronar/perifer arterie </w:t>
      </w:r>
      <w:proofErr w:type="gramStart"/>
      <w:r w:rsidRPr="00F23835">
        <w:rPr>
          <w:sz w:val="24"/>
          <w:szCs w:val="24"/>
        </w:rPr>
        <w:t>bypass operation</w:t>
      </w:r>
      <w:proofErr w:type="gramEnd"/>
      <w:r w:rsidRPr="00F23835">
        <w:rPr>
          <w:sz w:val="24"/>
          <w:szCs w:val="24"/>
        </w:rPr>
        <w:t>, symptomatisk hjerteinsufficiens (CHF), cerebrovaskulære hændelser eller transitorisk cerebral iskæmi eller lungeemboli blev ekskluderet fra alle de kliniske studier med sunitinib. Det er uvist om patienter med disse underliggende tilstande har en større risiko for at udvikle sunitinib-relateret venstre ventrikel-dysfunktion.</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rPr>
        <w:t xml:space="preserve">Lægen rådes til at opveje den kardiovaskulære bivirkningsrisiko mod den potentielle fordel ved sunitinib. Patienterne bør monitoreres omhyggeligt for kliniske tegn og symptomer på </w:t>
      </w:r>
      <w:r w:rsidRPr="00F23835">
        <w:rPr>
          <w:sz w:val="24"/>
          <w:szCs w:val="24"/>
        </w:rPr>
        <w:lastRenderedPageBreak/>
        <w:t xml:space="preserve">CHF, mens de får sunitinib, især patienter som har kardielle risikofaktorer og/eller koronararteriesygdom i anamnesen. </w:t>
      </w:r>
      <w:r w:rsidRPr="00F23835">
        <w:rPr>
          <w:i/>
          <w:sz w:val="24"/>
          <w:szCs w:val="24"/>
        </w:rPr>
        <w:t xml:space="preserve">Baseline </w:t>
      </w:r>
      <w:r w:rsidRPr="00F23835">
        <w:rPr>
          <w:sz w:val="24"/>
          <w:szCs w:val="24"/>
        </w:rPr>
        <w:t xml:space="preserve">og regelmæssige vurderinger af LVEF bør overvejes, mens patienterne behandles med sunitinib. Hos patienter uden kardielle risikofaktorer bør en vurdering af uddrivningsfraktionen ved </w:t>
      </w:r>
      <w:r w:rsidRPr="00F23835">
        <w:rPr>
          <w:i/>
          <w:sz w:val="24"/>
          <w:szCs w:val="24"/>
        </w:rPr>
        <w:t xml:space="preserve">baseline </w:t>
      </w:r>
      <w:r w:rsidRPr="00F23835">
        <w:rPr>
          <w:sz w:val="24"/>
          <w:szCs w:val="24"/>
        </w:rPr>
        <w:t>overvejes.</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rPr>
        <w:t xml:space="preserve">Ved tilstedeværelse af kliniske manifestationer på CHF anbefales seponering af sunitinib. Administration af sunitinib bør afbrydes og/eller dosis bør reduceres hos patienter unden kliniske tegn på CHF, men med en uddrivningsfraktion på &lt;50 %-&gt;20 % under </w:t>
      </w:r>
      <w:r w:rsidRPr="00F23835">
        <w:rPr>
          <w:i/>
          <w:sz w:val="24"/>
          <w:szCs w:val="24"/>
        </w:rPr>
        <w:t>baseline</w:t>
      </w:r>
      <w:r w:rsidRPr="00F23835">
        <w:rPr>
          <w:sz w:val="24"/>
          <w:szCs w:val="24"/>
        </w:rPr>
        <w:t>.</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u w:val="single"/>
        </w:rPr>
        <w:t>Forlængelse af QT-interval</w:t>
      </w:r>
    </w:p>
    <w:p w:rsidR="00515A85" w:rsidRPr="00F23835" w:rsidRDefault="00515A85" w:rsidP="00515A85">
      <w:pPr>
        <w:tabs>
          <w:tab w:val="left" w:pos="851"/>
        </w:tabs>
        <w:ind w:left="851"/>
        <w:rPr>
          <w:sz w:val="24"/>
          <w:szCs w:val="24"/>
        </w:rPr>
      </w:pPr>
      <w:r w:rsidRPr="00F23835">
        <w:rPr>
          <w:sz w:val="24"/>
          <w:szCs w:val="24"/>
        </w:rPr>
        <w:t xml:space="preserve">Forlængelse af QT-intervallet og </w:t>
      </w:r>
      <w:r w:rsidRPr="00F23835">
        <w:rPr>
          <w:i/>
          <w:sz w:val="24"/>
          <w:szCs w:val="24"/>
        </w:rPr>
        <w:t xml:space="preserve">Torsades de pointes </w:t>
      </w:r>
      <w:r w:rsidRPr="00F23835">
        <w:rPr>
          <w:sz w:val="24"/>
          <w:szCs w:val="24"/>
        </w:rPr>
        <w:t xml:space="preserve">er set hos patienter, som har fået sunitinib. Forlængelse af QT-intervallet kan føre til en øget risiko for ventrikulær arytmi herunder </w:t>
      </w:r>
      <w:r w:rsidRPr="00F23835">
        <w:rPr>
          <w:i/>
          <w:sz w:val="24"/>
          <w:szCs w:val="24"/>
        </w:rPr>
        <w:t>Torsade de pointes</w:t>
      </w:r>
      <w:r w:rsidRPr="00F23835">
        <w:rPr>
          <w:sz w:val="24"/>
          <w:szCs w:val="24"/>
        </w:rPr>
        <w:t>.</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rPr>
        <w:t>Sunitinib bør anvendes med forsigtighed hos patienter med kendt forlængelse af QT-intervallet i anamnesen, patienter der tager antiarytmika eller lægemidler der kan forlænge QT-intervallet, eller patienter med relevant præeksisterende hjertesygdom, bradykardi eller elektrolytforstyrrelser.</w:t>
      </w:r>
    </w:p>
    <w:p w:rsidR="00515A85" w:rsidRPr="00F23835" w:rsidRDefault="00515A85" w:rsidP="00515A85">
      <w:pPr>
        <w:tabs>
          <w:tab w:val="left" w:pos="851"/>
        </w:tabs>
        <w:ind w:left="851"/>
        <w:rPr>
          <w:sz w:val="24"/>
          <w:szCs w:val="24"/>
        </w:rPr>
      </w:pPr>
      <w:r w:rsidRPr="00F23835">
        <w:rPr>
          <w:sz w:val="24"/>
          <w:szCs w:val="24"/>
        </w:rPr>
        <w:t>Samtidig administration af sunitinib og potente CYP3A4-hæmmere, bør begrænses på grund af den mulige øgning af sunitinibs plasmakoncentration (se pkt. 4.2, 4.5 og 4.8).</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u w:val="single"/>
        </w:rPr>
        <w:t>Venøse tromboemboliske hændelser</w:t>
      </w:r>
    </w:p>
    <w:p w:rsidR="00515A85" w:rsidRPr="00F23835" w:rsidRDefault="00515A85" w:rsidP="00515A85">
      <w:pPr>
        <w:tabs>
          <w:tab w:val="left" w:pos="851"/>
        </w:tabs>
        <w:ind w:left="851"/>
        <w:rPr>
          <w:sz w:val="24"/>
          <w:szCs w:val="24"/>
        </w:rPr>
      </w:pPr>
      <w:r w:rsidRPr="00F23835">
        <w:rPr>
          <w:sz w:val="24"/>
          <w:szCs w:val="24"/>
        </w:rPr>
        <w:t>Behandlingsrelaterede venøse tromboemboliske hændelser er rapporteret hos patienter, som blev behandlet med sunitinib herunder dyb venetrombose og lungeemboli (se pkt. 4.8). Der er set letale tilfælde af lungeemboli efter markedsaføring.</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u w:val="single"/>
        </w:rPr>
        <w:t>Arterielle tromboemboliske hændelser</w:t>
      </w:r>
    </w:p>
    <w:p w:rsidR="00515A85" w:rsidRPr="00F23835" w:rsidRDefault="00515A85" w:rsidP="00515A85">
      <w:pPr>
        <w:tabs>
          <w:tab w:val="left" w:pos="851"/>
        </w:tabs>
        <w:ind w:left="851"/>
        <w:rPr>
          <w:sz w:val="24"/>
          <w:szCs w:val="24"/>
        </w:rPr>
      </w:pPr>
      <w:r w:rsidRPr="00F23835">
        <w:rPr>
          <w:sz w:val="24"/>
          <w:szCs w:val="24"/>
        </w:rPr>
        <w:t xml:space="preserve">Der er set tilfælde af arterielle tromboemboliske hændelser (ATE), hvoraf nogle var letale, hos patienter behandlet med sunitinib. De hyppigste hændelser omfattede cerebrovaskulær hændelse, transitorisk cerebral iskæmi og cerebralt infarkt. Risikofaktorer relateret til ATE, udover underliggende malign sygdom og alder </w:t>
      </w:r>
      <w:r w:rsidRPr="00F23835">
        <w:rPr>
          <w:sz w:val="24"/>
          <w:szCs w:val="24"/>
          <w:u w:val="single"/>
        </w:rPr>
        <w:t>&gt;</w:t>
      </w:r>
      <w:r w:rsidRPr="00F23835">
        <w:rPr>
          <w:sz w:val="24"/>
          <w:szCs w:val="24"/>
        </w:rPr>
        <w:t>65 år, omfatter hypertension, diabetes mellitus og tidligere tromboembolisk sygdom.</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color w:val="000000" w:themeColor="text1"/>
          <w:sz w:val="24"/>
          <w:szCs w:val="24"/>
          <w:u w:val="single"/>
        </w:rPr>
      </w:pPr>
      <w:r w:rsidRPr="00F23835">
        <w:rPr>
          <w:color w:val="000000" w:themeColor="text1"/>
          <w:sz w:val="24"/>
          <w:szCs w:val="24"/>
          <w:u w:val="single"/>
        </w:rPr>
        <w:t xml:space="preserve">Aneurismer og arterielle dissektioner </w:t>
      </w:r>
    </w:p>
    <w:p w:rsidR="00515A85" w:rsidRPr="00F23835" w:rsidRDefault="00515A85" w:rsidP="00515A85">
      <w:pPr>
        <w:tabs>
          <w:tab w:val="left" w:pos="851"/>
        </w:tabs>
        <w:ind w:left="851"/>
        <w:rPr>
          <w:sz w:val="24"/>
          <w:szCs w:val="24"/>
        </w:rPr>
      </w:pPr>
      <w:r w:rsidRPr="00F23835">
        <w:rPr>
          <w:color w:val="000000" w:themeColor="text1"/>
          <w:sz w:val="24"/>
          <w:szCs w:val="24"/>
        </w:rPr>
        <w:t xml:space="preserve">Brug af VEGF-hæmmere hos patienter med eller uden hypertension kan fremme dannelse af aneurismer og/eller arterielle dissektioner. Inden indledning af behandling med </w:t>
      </w:r>
      <w:r w:rsidR="007C26EB">
        <w:rPr>
          <w:color w:val="000000" w:themeColor="text1"/>
          <w:sz w:val="24"/>
          <w:szCs w:val="24"/>
        </w:rPr>
        <w:t>Sunitinib ”Viatris”</w:t>
      </w:r>
      <w:r w:rsidRPr="00F23835">
        <w:rPr>
          <w:color w:val="000000" w:themeColor="text1"/>
          <w:sz w:val="24"/>
          <w:szCs w:val="24"/>
        </w:rPr>
        <w:t xml:space="preserve">, </w:t>
      </w:r>
      <w:r w:rsidRPr="00F23835">
        <w:rPr>
          <w:sz w:val="24"/>
          <w:szCs w:val="24"/>
        </w:rPr>
        <w:t>bør denne risiko overvejes nøje hos patienter med risikofaktorer som hypertension eller med aneurismehistorie.</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u w:val="single"/>
        </w:rPr>
        <w:t>Trombotisk mikroangiopati (TMA)</w:t>
      </w:r>
    </w:p>
    <w:p w:rsidR="00515A85" w:rsidRPr="00F23835" w:rsidRDefault="00515A85" w:rsidP="00515A85">
      <w:pPr>
        <w:tabs>
          <w:tab w:val="left" w:pos="851"/>
        </w:tabs>
        <w:ind w:left="851"/>
        <w:rPr>
          <w:sz w:val="24"/>
          <w:szCs w:val="24"/>
        </w:rPr>
      </w:pPr>
      <w:r w:rsidRPr="00F23835">
        <w:rPr>
          <w:sz w:val="24"/>
          <w:szCs w:val="24"/>
        </w:rPr>
        <w:t>Diagnosen TMA, herunder trombotisk trombocytopenisk purpura (TTP) og hæmolytisk uræmisk syndrom (HUS), som indimellem har medført nyresvigt eller dødsfald, skal overvejes ved forekomst af hæmolytisk anæmi, trombocytopeni, træthed, fluktuerende neurologiske manifestationer, nedsat nyrefunktion og feber. Sunitinib bør seponeres hos patienter, der udvikler TMA, og øjeblikkelig behandling er påkrævet. Det er set, at virkningerne af TMA reverseres efter behandlingsophør (se pkt. 4.8).</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u w:val="single"/>
        </w:rPr>
        <w:t>Thyroideadysfunktion</w:t>
      </w:r>
    </w:p>
    <w:p w:rsidR="00515A85" w:rsidRPr="00F23835" w:rsidRDefault="00515A85" w:rsidP="00515A85">
      <w:pPr>
        <w:tabs>
          <w:tab w:val="left" w:pos="851"/>
        </w:tabs>
        <w:ind w:left="851"/>
        <w:rPr>
          <w:sz w:val="24"/>
          <w:szCs w:val="24"/>
        </w:rPr>
      </w:pPr>
      <w:r w:rsidRPr="00F23835">
        <w:rPr>
          <w:sz w:val="24"/>
          <w:szCs w:val="24"/>
        </w:rPr>
        <w:t xml:space="preserve">Der anbefales laboratorieundersøgelse af thyroideafunktionen ved </w:t>
      </w:r>
      <w:r w:rsidRPr="00F23835">
        <w:rPr>
          <w:i/>
          <w:sz w:val="24"/>
          <w:szCs w:val="24"/>
        </w:rPr>
        <w:t xml:space="preserve">baseline </w:t>
      </w:r>
      <w:r w:rsidRPr="00F23835">
        <w:rPr>
          <w:sz w:val="24"/>
          <w:szCs w:val="24"/>
        </w:rPr>
        <w:t xml:space="preserve">for alle patienter. Patienter med eksisterende hypotyreose eller hypertyreose bør behandles efter gældende klinisk praksis, før behandling med sunitinib initieres. Under behandling med </w:t>
      </w:r>
      <w:r w:rsidRPr="00F23835">
        <w:rPr>
          <w:sz w:val="24"/>
          <w:szCs w:val="24"/>
        </w:rPr>
        <w:lastRenderedPageBreak/>
        <w:t>sunitinib skal der udføres rutinemæssig monitorering af thyroideafunktionen hver 3. måned. Desuden bør patienter, der er i sunitinibbehandling, observeres tæt for symptomer på thyroideadysfunktion, og de patienter, som udvikler tegn og/eller symptomer herpå, bør have foretaget laboratorieundersøgelse af thyroideafunktionen. Thyroideadysfunktion skal behandles efter gældende medicinsk praksis.</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rPr>
        <w:t>Hypotyreose kan opstå både tidligt og sent i behandlingen med sunitinib (se pkt. 4.8).</w:t>
      </w:r>
    </w:p>
    <w:p w:rsidR="00515A85" w:rsidRPr="00F23835" w:rsidRDefault="00515A85" w:rsidP="00515A85">
      <w:pPr>
        <w:tabs>
          <w:tab w:val="left" w:pos="851"/>
        </w:tabs>
        <w:ind w:left="851"/>
        <w:rPr>
          <w:sz w:val="24"/>
          <w:szCs w:val="24"/>
          <w:u w:val="single"/>
        </w:rPr>
      </w:pPr>
    </w:p>
    <w:p w:rsidR="00515A85" w:rsidRPr="00F23835" w:rsidRDefault="00515A85" w:rsidP="00515A85">
      <w:pPr>
        <w:tabs>
          <w:tab w:val="left" w:pos="851"/>
        </w:tabs>
        <w:ind w:left="851"/>
        <w:rPr>
          <w:sz w:val="24"/>
          <w:szCs w:val="24"/>
        </w:rPr>
      </w:pPr>
      <w:r w:rsidRPr="00F23835">
        <w:rPr>
          <w:sz w:val="24"/>
          <w:szCs w:val="24"/>
          <w:u w:val="single"/>
        </w:rPr>
        <w:t>Pankreatitis</w:t>
      </w:r>
    </w:p>
    <w:p w:rsidR="00515A85" w:rsidRPr="00F23835" w:rsidRDefault="00515A85" w:rsidP="00515A85">
      <w:pPr>
        <w:tabs>
          <w:tab w:val="left" w:pos="851"/>
        </w:tabs>
        <w:ind w:left="851"/>
        <w:rPr>
          <w:sz w:val="24"/>
          <w:szCs w:val="24"/>
        </w:rPr>
      </w:pPr>
      <w:r w:rsidRPr="00F23835">
        <w:rPr>
          <w:sz w:val="24"/>
          <w:szCs w:val="24"/>
        </w:rPr>
        <w:t>Der er set stigninger i serumlipase- og amylaseaktivitet hos patienter med forskellige solide tumorer i behandling med sunitinib. Stigningerne i lipaseaktiviteten var forbigående og var sædvanligvis ikke ledsaget af symptomer på pankreatitis hos forsøgspersoner med forskellige solide tumorer (se pkt. 4.8).</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rPr>
        <w:t>Der er rapporteret om alvorlige tilfælde af pankreatitis, nogle letale. Ved symptomer på pankreatitis, bør behandling med sunitinib seponeres, og patienterne bør have relevant medicinsk behandling.</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u w:val="single"/>
        </w:rPr>
        <w:t>Levertoksicitet</w:t>
      </w:r>
    </w:p>
    <w:p w:rsidR="00515A85" w:rsidRPr="00F23835" w:rsidRDefault="00515A85" w:rsidP="00515A85">
      <w:pPr>
        <w:tabs>
          <w:tab w:val="left" w:pos="851"/>
        </w:tabs>
        <w:ind w:left="851"/>
        <w:rPr>
          <w:sz w:val="24"/>
          <w:szCs w:val="24"/>
        </w:rPr>
      </w:pPr>
      <w:r w:rsidRPr="00F23835">
        <w:rPr>
          <w:sz w:val="24"/>
          <w:szCs w:val="24"/>
        </w:rPr>
        <w:t>Der er set levertoksicitet hos patienter behandlet med sunitinib. Der er set tilfælde af leversvigt, nogle med letalt udfald, hos &lt;1 % af de patienter med solide tumorer, der blev behandlet med sunitinib.</w:t>
      </w:r>
    </w:p>
    <w:p w:rsidR="00515A85" w:rsidRPr="00F23835" w:rsidRDefault="00515A85" w:rsidP="00515A85">
      <w:pPr>
        <w:tabs>
          <w:tab w:val="left" w:pos="851"/>
        </w:tabs>
        <w:ind w:left="851"/>
        <w:rPr>
          <w:sz w:val="24"/>
          <w:szCs w:val="24"/>
        </w:rPr>
      </w:pPr>
      <w:r w:rsidRPr="00F23835">
        <w:rPr>
          <w:sz w:val="24"/>
          <w:szCs w:val="24"/>
        </w:rPr>
        <w:t>Udfør leverfunktionstest (alanin-aminotransferase [ALAT], aspartat-aminotransferase [ASAT], bilirubinniveau) før behandlingen påbegyndes, under hver behandlingscyklus, og hvis det er klinisk indiceret. Behandling med sunitinib bør seponeres, og relevant medicinsk behandling initieres, hvis der er symptomer på leversvigt (se pkt. 4.8).</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u w:val="single"/>
        </w:rPr>
        <w:t>Nyrefunktion</w:t>
      </w:r>
    </w:p>
    <w:p w:rsidR="00515A85" w:rsidRPr="00F23835" w:rsidRDefault="00515A85" w:rsidP="00515A85">
      <w:pPr>
        <w:tabs>
          <w:tab w:val="left" w:pos="851"/>
        </w:tabs>
        <w:ind w:left="851"/>
        <w:rPr>
          <w:sz w:val="24"/>
          <w:szCs w:val="24"/>
        </w:rPr>
      </w:pPr>
      <w:r w:rsidRPr="00F23835">
        <w:rPr>
          <w:sz w:val="24"/>
          <w:szCs w:val="24"/>
        </w:rPr>
        <w:t>Der er set tilfælde af nedsat nyrefunktion, nyresvigt og/eller akut nyresvigt, der i nogle tilfælde var letale (se pkt. 4.8).</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rPr>
        <w:t>Risikofaktorer relateret til nedsat nyrefunktion/nyresvigt hos patienter i behandling med sunitinib, udover underliggende RCC, omfatter høj alder, diabetes mellitus, underliggende nedsat nyrefunktion, hjertesvigt, hypertension, sepsis, dehydrering/hypovolæmi og rabdomyolyse.</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rPr>
        <w:t>Der er ikke foretaget systematisk sikkerhedsvurdering ved fortsat behandling med sunitinib hos patienter med moderat til alvorlig proteinuri.</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rPr>
        <w:t xml:space="preserve">Der er rapporteret om tilfælde af proteinuri og sjældne tilfælde af nefrotisk syndrom. Det anbefales at udføre urinanalyse ved </w:t>
      </w:r>
      <w:r w:rsidRPr="00F23835">
        <w:rPr>
          <w:i/>
          <w:sz w:val="24"/>
          <w:szCs w:val="24"/>
        </w:rPr>
        <w:t xml:space="preserve">baseline </w:t>
      </w:r>
      <w:r w:rsidRPr="00F23835">
        <w:rPr>
          <w:sz w:val="24"/>
          <w:szCs w:val="24"/>
        </w:rPr>
        <w:t>og kontrollere patienter for udvikling eller forværring af proteinuri. Behandling med sunitinib bør seponeres hos patienter med nefrotisk syndrom.</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u w:val="single"/>
        </w:rPr>
        <w:t>Fistler</w:t>
      </w:r>
    </w:p>
    <w:p w:rsidR="00515A85" w:rsidRPr="00F23835" w:rsidRDefault="00515A85" w:rsidP="00515A85">
      <w:pPr>
        <w:tabs>
          <w:tab w:val="left" w:pos="851"/>
        </w:tabs>
        <w:ind w:left="851"/>
        <w:rPr>
          <w:sz w:val="24"/>
          <w:szCs w:val="24"/>
        </w:rPr>
      </w:pPr>
      <w:r w:rsidRPr="00F23835">
        <w:rPr>
          <w:sz w:val="24"/>
          <w:szCs w:val="24"/>
        </w:rPr>
        <w:t>I tilfælde af fisteldannelse skal behandlingen med sunitinib afbrydes. Der er begrænset viden om fortsat sunitinibbehandling af patienter med fistler (se pkt. 4.8).</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u w:val="single"/>
        </w:rPr>
        <w:t>Dårlig sårheling</w:t>
      </w:r>
    </w:p>
    <w:p w:rsidR="00515A85" w:rsidRPr="00F23835" w:rsidRDefault="00515A85" w:rsidP="00515A85">
      <w:pPr>
        <w:tabs>
          <w:tab w:val="left" w:pos="851"/>
        </w:tabs>
        <w:ind w:left="851"/>
        <w:rPr>
          <w:sz w:val="24"/>
          <w:szCs w:val="24"/>
        </w:rPr>
      </w:pPr>
      <w:r w:rsidRPr="00F23835">
        <w:rPr>
          <w:sz w:val="24"/>
          <w:szCs w:val="24"/>
        </w:rPr>
        <w:t>Der er set tilfælde af dårlig sårheling under behandling med sunitinib.</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rPr>
        <w:lastRenderedPageBreak/>
        <w:t>Der er ikke udført egentlige studier på sunitinib-behandlingens indflydelse på sårheling. Af forsigtighedsmæssige årsager anbefales det at afbryde behandlingen med sunitinib midlertidigt hos patienter, der skal have foretaget større kirurgiske indgreb. Der er begrænset klinisk erfaring med, hvornår behandling skal genoptages efter større kirurgiske indgreb. Beslutning om genoptagelse af sunitinib-behandlingen efter et større kirurgisk indgreb bør tages på grundlag af klinisk bedømmelse af restitution efter indgrebet.</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u w:val="single"/>
        </w:rPr>
        <w:t>Osteonekrose af kæben</w:t>
      </w:r>
    </w:p>
    <w:p w:rsidR="00515A85" w:rsidRPr="00F23835" w:rsidRDefault="00515A85" w:rsidP="00515A85">
      <w:pPr>
        <w:tabs>
          <w:tab w:val="left" w:pos="851"/>
        </w:tabs>
        <w:ind w:left="851"/>
        <w:rPr>
          <w:sz w:val="24"/>
          <w:szCs w:val="24"/>
        </w:rPr>
      </w:pPr>
      <w:r w:rsidRPr="00F23835">
        <w:rPr>
          <w:sz w:val="24"/>
          <w:szCs w:val="24"/>
        </w:rPr>
        <w:t>Der er rapporteret om tilfælde af osteonekreose af kæben hos patienter, der er blevet behandlet med sunitinib. Hovedparten af disse tilfælde blev set hos patienter, som havde fået behandling med bisfosfonater intravenøst før eller samtidig med sunitinib-behandlingen. Osteonekrose af kæben er en kendt risiko ved bisfosfonater. Der bør derfor udvises forsigtighed, når sunitinib og intravenøse bisfosfonater administreres samtidig eller sekventielt.</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rPr>
        <w:t>Invasiv tandbehandling er også en kendt risikofaktor. Før behandling med sunitinib bør tandstatus vurderes og passende forebyggende tandbehandling bør overvejes. Hos patienter, som tidligere har fået eller får bisfosfonat intravenøst, bør invasiv tandbehandling undgås, hvis dette er muligt (se pkt. 4.8).</w:t>
      </w:r>
    </w:p>
    <w:p w:rsidR="00515A85" w:rsidRPr="00F23835" w:rsidRDefault="00515A85" w:rsidP="00515A85">
      <w:pPr>
        <w:tabs>
          <w:tab w:val="left" w:pos="851"/>
        </w:tabs>
        <w:ind w:left="851"/>
        <w:rPr>
          <w:sz w:val="24"/>
          <w:szCs w:val="24"/>
          <w:u w:val="single"/>
        </w:rPr>
      </w:pPr>
    </w:p>
    <w:p w:rsidR="00515A85" w:rsidRPr="00F23835" w:rsidRDefault="00515A85" w:rsidP="00515A85">
      <w:pPr>
        <w:tabs>
          <w:tab w:val="left" w:pos="851"/>
        </w:tabs>
        <w:ind w:left="851"/>
        <w:rPr>
          <w:sz w:val="24"/>
          <w:szCs w:val="24"/>
        </w:rPr>
      </w:pPr>
      <w:r w:rsidRPr="00F23835">
        <w:rPr>
          <w:sz w:val="24"/>
          <w:szCs w:val="24"/>
          <w:u w:val="single"/>
        </w:rPr>
        <w:t>Overfølsomhed/angioødem</w:t>
      </w:r>
    </w:p>
    <w:p w:rsidR="00515A85" w:rsidRPr="00F23835" w:rsidRDefault="00515A85" w:rsidP="00515A85">
      <w:pPr>
        <w:tabs>
          <w:tab w:val="left" w:pos="851"/>
        </w:tabs>
        <w:ind w:left="851"/>
        <w:rPr>
          <w:sz w:val="24"/>
          <w:szCs w:val="24"/>
        </w:rPr>
      </w:pPr>
      <w:r w:rsidRPr="00F23835">
        <w:rPr>
          <w:sz w:val="24"/>
          <w:szCs w:val="24"/>
        </w:rPr>
        <w:t>Hvis der opstår angioødem på grund af overfølsomhed, afbrydes sunitinibbehandlingen, og standardbehandling iværksættes (se pkt. 4.8).</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u w:val="single"/>
        </w:rPr>
        <w:t>Kramper</w:t>
      </w:r>
    </w:p>
    <w:p w:rsidR="00515A85" w:rsidRPr="00F23835" w:rsidRDefault="00515A85" w:rsidP="00515A85">
      <w:pPr>
        <w:tabs>
          <w:tab w:val="left" w:pos="851"/>
        </w:tabs>
        <w:ind w:left="851"/>
        <w:rPr>
          <w:sz w:val="24"/>
          <w:szCs w:val="24"/>
        </w:rPr>
      </w:pPr>
      <w:r w:rsidRPr="00F23835">
        <w:rPr>
          <w:sz w:val="24"/>
          <w:szCs w:val="24"/>
        </w:rPr>
        <w:t>I kliniske studier af sunitinib og fra overvågning efter markedsføring er der rapporteret kramper. Patienter med kramper og tegn/symptomer i overensstemmelse med reversibelt posteriort leukoencefalopatisk syndrom (RPLS), som f.eks. hypertension, hovedpine, nedsat opmærksomhed, ændret psykisk funktion og synstab, herunder kortikalblindhed bør kontrolleres med medicinsk behandling herunder kontrol af hypertension. Der anbefales midlertidig afbrydelse af sunitinib. Efter resolution kan behandlingen genoptages efter den behandlende læges skøn (se pkt. 4.8).</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u w:val="single"/>
        </w:rPr>
        <w:t>Tumorlysesyndrom (TLS)</w:t>
      </w:r>
    </w:p>
    <w:p w:rsidR="00515A85" w:rsidRPr="00F23835" w:rsidRDefault="00515A85" w:rsidP="00515A85">
      <w:pPr>
        <w:tabs>
          <w:tab w:val="left" w:pos="851"/>
        </w:tabs>
        <w:ind w:left="851"/>
        <w:rPr>
          <w:sz w:val="24"/>
          <w:szCs w:val="24"/>
        </w:rPr>
      </w:pPr>
      <w:r w:rsidRPr="00F23835">
        <w:rPr>
          <w:sz w:val="24"/>
          <w:szCs w:val="24"/>
        </w:rPr>
        <w:t>I kliniske studier er der set sjældne tilfælde af TLS, nogle var letale, og hos patienter efter markedsføring, der er blevet behandlet med sunitinib. Risikofaktorer for TLS inkluderer høj tumorbyrde, præeksisterende kronisk nyreinsufficiens, oliguri, dehydrering, hypotension og sur urin. Disse patienter bør følges nøje og behandles efter gældende praksis, og profylaktisk hydrering bør overvejes.</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u w:val="single"/>
        </w:rPr>
        <w:t>Infektioner</w:t>
      </w:r>
    </w:p>
    <w:p w:rsidR="00515A85" w:rsidRPr="00F23835" w:rsidRDefault="00515A85" w:rsidP="00515A85">
      <w:pPr>
        <w:tabs>
          <w:tab w:val="left" w:pos="851"/>
        </w:tabs>
        <w:ind w:left="851"/>
        <w:rPr>
          <w:sz w:val="24"/>
          <w:szCs w:val="24"/>
        </w:rPr>
      </w:pPr>
      <w:r w:rsidRPr="00F23835">
        <w:rPr>
          <w:sz w:val="24"/>
          <w:szCs w:val="24"/>
        </w:rPr>
        <w:t>Der er set alvorlige infektioner, med eller uden neutropeni, inklusive letale tilfælde. Der er ikke almindeligt rapporteret tilfælde af nekrotiserende fasciitis, inklusive i perineum, hvoraf nogle var letale (se pkt. 4.8).</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rPr>
        <w:t>Sunitinib skal seponeres hos patienter, som udvikler nekrotiserende fasciitis, og passende behandling skal indledes omgående.</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u w:val="single"/>
        </w:rPr>
        <w:t>Hypoglykæmi</w:t>
      </w:r>
    </w:p>
    <w:p w:rsidR="00515A85" w:rsidRPr="00F23835" w:rsidRDefault="00515A85" w:rsidP="00515A85">
      <w:pPr>
        <w:tabs>
          <w:tab w:val="left" w:pos="851"/>
        </w:tabs>
        <w:ind w:left="851"/>
        <w:rPr>
          <w:sz w:val="24"/>
          <w:szCs w:val="24"/>
        </w:rPr>
      </w:pPr>
      <w:r w:rsidRPr="00F23835">
        <w:rPr>
          <w:sz w:val="24"/>
          <w:szCs w:val="24"/>
        </w:rPr>
        <w:t>Der er rapporteret fald i blodglucose under behandling med sunitinib, i nogle tilfælde med kliniske symptomer, som krævede hospitalsindlæggelse på grund af bevidstløshed.</w:t>
      </w:r>
      <w:r w:rsidR="00BE1049">
        <w:rPr>
          <w:sz w:val="24"/>
          <w:szCs w:val="24"/>
        </w:rPr>
        <w:t xml:space="preserve"> </w:t>
      </w:r>
      <w:r w:rsidRPr="00F23835">
        <w:rPr>
          <w:sz w:val="24"/>
          <w:szCs w:val="24"/>
        </w:rPr>
        <w:t xml:space="preserve">Ved symptomatisk hypoglykæmi skal sunitinib-behandlingen afbrydes midlertidigt. </w:t>
      </w:r>
      <w:r w:rsidRPr="00F23835">
        <w:rPr>
          <w:sz w:val="24"/>
          <w:szCs w:val="24"/>
        </w:rPr>
        <w:lastRenderedPageBreak/>
        <w:t>Blodglucose skal kontrolleres jævnligt hos diabetespatienter, og om nødvendigt justeres dosis af antidiabetika for at minimere risikoen for hypoglykæmi (se pkt. 4.8).</w:t>
      </w:r>
    </w:p>
    <w:p w:rsidR="009B6BD9" w:rsidRPr="00F23835" w:rsidRDefault="009B6BD9" w:rsidP="00515A85">
      <w:pPr>
        <w:tabs>
          <w:tab w:val="left" w:pos="851"/>
        </w:tabs>
        <w:ind w:left="851"/>
        <w:rPr>
          <w:sz w:val="24"/>
          <w:szCs w:val="24"/>
        </w:rPr>
      </w:pPr>
    </w:p>
    <w:p w:rsidR="009B6BD9" w:rsidRPr="00F23835" w:rsidRDefault="009B6BD9" w:rsidP="009B6BD9">
      <w:pPr>
        <w:tabs>
          <w:tab w:val="left" w:pos="851"/>
        </w:tabs>
        <w:ind w:left="851"/>
        <w:rPr>
          <w:sz w:val="24"/>
          <w:szCs w:val="24"/>
          <w:u w:val="single"/>
        </w:rPr>
      </w:pPr>
      <w:r w:rsidRPr="00F23835">
        <w:rPr>
          <w:sz w:val="24"/>
          <w:szCs w:val="24"/>
          <w:u w:val="single"/>
        </w:rPr>
        <w:t>Hyperammonæmisk encefalopati</w:t>
      </w:r>
    </w:p>
    <w:p w:rsidR="009B6BD9" w:rsidRPr="00F23835" w:rsidRDefault="009B6BD9" w:rsidP="009B6BD9">
      <w:pPr>
        <w:tabs>
          <w:tab w:val="left" w:pos="851"/>
        </w:tabs>
        <w:ind w:left="851"/>
        <w:rPr>
          <w:sz w:val="24"/>
          <w:szCs w:val="24"/>
        </w:rPr>
      </w:pPr>
      <w:r w:rsidRPr="00F23835">
        <w:rPr>
          <w:sz w:val="24"/>
          <w:szCs w:val="24"/>
        </w:rPr>
        <w:t>Der er set hyperammonæmisk encefalopati med sunitinib (se pkt. 4.8). Hos patienter, som udvikler uforklarlig letargi eller forandringer i mental status, skal ammoniumniveauet måles, og passende klinisk behandling iværksættes.</w:t>
      </w:r>
    </w:p>
    <w:p w:rsidR="00515A85" w:rsidRPr="00F23835" w:rsidRDefault="00515A85" w:rsidP="00515A85">
      <w:pPr>
        <w:tabs>
          <w:tab w:val="left" w:pos="851"/>
        </w:tabs>
        <w:ind w:left="851"/>
        <w:rPr>
          <w:sz w:val="24"/>
          <w:szCs w:val="24"/>
        </w:rPr>
      </w:pPr>
    </w:p>
    <w:p w:rsidR="009B6BD9" w:rsidRPr="00F23835" w:rsidRDefault="009B6BD9" w:rsidP="009B6BD9">
      <w:pPr>
        <w:tabs>
          <w:tab w:val="left" w:pos="851"/>
        </w:tabs>
        <w:ind w:left="851"/>
        <w:rPr>
          <w:iCs/>
          <w:sz w:val="24"/>
          <w:szCs w:val="24"/>
          <w:u w:val="single"/>
        </w:rPr>
      </w:pPr>
      <w:r w:rsidRPr="00F23835">
        <w:rPr>
          <w:iCs/>
          <w:sz w:val="24"/>
          <w:szCs w:val="24"/>
          <w:u w:val="single"/>
        </w:rPr>
        <w:t xml:space="preserve">Natrium </w:t>
      </w:r>
    </w:p>
    <w:p w:rsidR="009B6BD9" w:rsidRPr="00F23835" w:rsidRDefault="009B6BD9" w:rsidP="009B6BD9">
      <w:pPr>
        <w:tabs>
          <w:tab w:val="left" w:pos="851"/>
        </w:tabs>
        <w:ind w:left="851"/>
        <w:rPr>
          <w:sz w:val="24"/>
          <w:szCs w:val="24"/>
        </w:rPr>
      </w:pPr>
      <w:r w:rsidRPr="00F23835">
        <w:rPr>
          <w:sz w:val="24"/>
          <w:szCs w:val="24"/>
        </w:rPr>
        <w:t>Dette lægemiddel indeholder mindre end 1 mmol (23 mg) natrium pr. dosisenhed, dvs. det er i det væsentlige natriumfrit.</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hanging="851"/>
        <w:rPr>
          <w:b/>
          <w:sz w:val="24"/>
          <w:szCs w:val="24"/>
        </w:rPr>
      </w:pPr>
      <w:r w:rsidRPr="00F23835">
        <w:rPr>
          <w:b/>
          <w:sz w:val="24"/>
          <w:szCs w:val="24"/>
        </w:rPr>
        <w:t>4.5</w:t>
      </w:r>
      <w:r w:rsidRPr="00F23835">
        <w:rPr>
          <w:b/>
          <w:sz w:val="24"/>
          <w:szCs w:val="24"/>
        </w:rPr>
        <w:tab/>
        <w:t>Interaktion med andre lægemidler og andre former for interaktion</w:t>
      </w:r>
    </w:p>
    <w:p w:rsidR="00515A85" w:rsidRPr="00F23835" w:rsidRDefault="00515A85" w:rsidP="00515A85">
      <w:pPr>
        <w:tabs>
          <w:tab w:val="left" w:pos="851"/>
        </w:tabs>
        <w:ind w:left="851"/>
        <w:rPr>
          <w:sz w:val="24"/>
          <w:szCs w:val="24"/>
        </w:rPr>
      </w:pPr>
      <w:r w:rsidRPr="00F23835">
        <w:rPr>
          <w:sz w:val="24"/>
          <w:szCs w:val="24"/>
        </w:rPr>
        <w:t xml:space="preserve">Der er kun udført interaktionsstudier hos voksne.  </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u w:val="single"/>
        </w:rPr>
        <w:t>Lægemidler, som kan øge plasmakoncentrationen af sunitinib</w:t>
      </w:r>
    </w:p>
    <w:p w:rsidR="00515A85" w:rsidRPr="00F23835" w:rsidRDefault="00515A85" w:rsidP="00515A85">
      <w:pPr>
        <w:tabs>
          <w:tab w:val="left" w:pos="851"/>
        </w:tabs>
        <w:ind w:left="851"/>
        <w:rPr>
          <w:i/>
          <w:sz w:val="24"/>
          <w:szCs w:val="24"/>
        </w:rPr>
      </w:pPr>
    </w:p>
    <w:p w:rsidR="009B6BD9" w:rsidRPr="00F23835" w:rsidRDefault="009B6BD9" w:rsidP="009B6BD9">
      <w:pPr>
        <w:tabs>
          <w:tab w:val="left" w:pos="851"/>
        </w:tabs>
        <w:ind w:left="851"/>
        <w:rPr>
          <w:i/>
          <w:sz w:val="24"/>
          <w:szCs w:val="24"/>
          <w:u w:val="single"/>
        </w:rPr>
      </w:pPr>
      <w:r w:rsidRPr="00F23835">
        <w:rPr>
          <w:i/>
          <w:sz w:val="24"/>
          <w:szCs w:val="24"/>
          <w:u w:val="single"/>
        </w:rPr>
        <w:t>Virkningen af CYP3A4-hæmmere</w:t>
      </w:r>
    </w:p>
    <w:p w:rsidR="009B6BD9" w:rsidRPr="00F23835" w:rsidRDefault="009B6BD9" w:rsidP="009B6BD9">
      <w:pPr>
        <w:tabs>
          <w:tab w:val="left" w:pos="851"/>
        </w:tabs>
        <w:ind w:left="851"/>
        <w:rPr>
          <w:sz w:val="24"/>
          <w:szCs w:val="24"/>
        </w:rPr>
      </w:pPr>
      <w:r w:rsidRPr="00F23835">
        <w:rPr>
          <w:sz w:val="24"/>
          <w:szCs w:val="24"/>
        </w:rPr>
        <w:t>Hos raske forsøgspersoner medførte samtidig administration af en enkeltdosis af sunitinib og den potente CYP3A4-hæmmer, ketoconazol, en stigning i samlet (sunitinib + primær metabolit) maksimal koncentration (C</w:t>
      </w:r>
      <w:r w:rsidRPr="00F23835">
        <w:rPr>
          <w:sz w:val="24"/>
          <w:szCs w:val="24"/>
          <w:vertAlign w:val="subscript"/>
        </w:rPr>
        <w:t>max)</w:t>
      </w:r>
      <w:r w:rsidRPr="00F23835">
        <w:rPr>
          <w:sz w:val="24"/>
          <w:szCs w:val="24"/>
        </w:rPr>
        <w:t xml:space="preserve"> og arealet under kurven (AUC0-∞) værdi på henholdsvis 49 % og 51 %.</w:t>
      </w:r>
    </w:p>
    <w:p w:rsidR="00515A85" w:rsidRPr="00F23835" w:rsidRDefault="00515A85" w:rsidP="00515A85">
      <w:pPr>
        <w:tabs>
          <w:tab w:val="left" w:pos="851"/>
        </w:tabs>
        <w:ind w:left="851"/>
        <w:rPr>
          <w:sz w:val="24"/>
          <w:szCs w:val="24"/>
        </w:rPr>
      </w:pPr>
      <w:r w:rsidRPr="00F23835">
        <w:rPr>
          <w:sz w:val="24"/>
          <w:szCs w:val="24"/>
        </w:rPr>
        <w:br/>
        <w:t>Administration af sunitinib sammen med potente CYP3A4-hæmmere (f.eks. ritonavir, itraconazol, erythromycin, clarithromycin, grapefrugtjuice) kan øge sunitinibkoncentrationen.</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rPr>
        <w:t xml:space="preserve">Kombinationen med CYP3A4-hæmmerne bør derfor undgås, eller det bør overvejes at vælge et andet lægemiddel til samtidig behandling med ingen eller </w:t>
      </w:r>
      <w:proofErr w:type="gramStart"/>
      <w:r w:rsidRPr="00F23835">
        <w:rPr>
          <w:sz w:val="24"/>
          <w:szCs w:val="24"/>
        </w:rPr>
        <w:t>minimal potentiale</w:t>
      </w:r>
      <w:proofErr w:type="gramEnd"/>
      <w:r w:rsidRPr="00F23835">
        <w:rPr>
          <w:sz w:val="24"/>
          <w:szCs w:val="24"/>
        </w:rPr>
        <w:t xml:space="preserve"> til at hæmme CYP3A4.</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rPr>
        <w:t xml:space="preserve">Hvis dette ikke er muligt, bør dosis af </w:t>
      </w:r>
      <w:r w:rsidR="007C26EB">
        <w:rPr>
          <w:sz w:val="24"/>
          <w:szCs w:val="24"/>
        </w:rPr>
        <w:t>Sunitinib ”Viatris”</w:t>
      </w:r>
      <w:r w:rsidRPr="00F23835">
        <w:rPr>
          <w:sz w:val="24"/>
          <w:szCs w:val="24"/>
        </w:rPr>
        <w:t xml:space="preserve"> nedsættes til minimum 37,5 mg daglig ved GIST og mRCC eller 25 mg daglig ved pNET med omhyggelig monitorering af tolerans (se pkt. 4.2).</w:t>
      </w:r>
    </w:p>
    <w:p w:rsidR="00515A85" w:rsidRPr="00F23835" w:rsidRDefault="00515A85" w:rsidP="00515A85">
      <w:pPr>
        <w:tabs>
          <w:tab w:val="left" w:pos="851"/>
        </w:tabs>
        <w:ind w:left="851"/>
        <w:rPr>
          <w:i/>
          <w:sz w:val="24"/>
          <w:szCs w:val="24"/>
        </w:rPr>
      </w:pPr>
    </w:p>
    <w:p w:rsidR="00966528" w:rsidRPr="00F23835" w:rsidRDefault="00966528" w:rsidP="00966528">
      <w:pPr>
        <w:tabs>
          <w:tab w:val="left" w:pos="851"/>
        </w:tabs>
        <w:ind w:left="851"/>
        <w:rPr>
          <w:i/>
          <w:sz w:val="24"/>
          <w:szCs w:val="24"/>
          <w:u w:val="single"/>
        </w:rPr>
      </w:pPr>
      <w:r w:rsidRPr="00F23835">
        <w:rPr>
          <w:i/>
          <w:sz w:val="24"/>
          <w:szCs w:val="24"/>
          <w:u w:val="single"/>
        </w:rPr>
        <w:t>Virkningen af hæmmere af brystcancer-resistensprotein (BCRP)</w:t>
      </w:r>
    </w:p>
    <w:p w:rsidR="00515A85" w:rsidRPr="00F23835" w:rsidRDefault="00515A85" w:rsidP="00515A85">
      <w:pPr>
        <w:tabs>
          <w:tab w:val="left" w:pos="851"/>
        </w:tabs>
        <w:ind w:left="851"/>
        <w:rPr>
          <w:sz w:val="24"/>
          <w:szCs w:val="24"/>
        </w:rPr>
      </w:pPr>
      <w:r w:rsidRPr="00F23835">
        <w:rPr>
          <w:sz w:val="24"/>
          <w:szCs w:val="24"/>
        </w:rPr>
        <w:t>Der foreligger kun begrænsede kliniske data om interaktionen mellem sunitinib og BCRP-hæmmere, og muligheden for interaktion mellem sunitinib og andre BCRP-hæmmere kan ikke udelukkes (se pkt. 5.2).</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u w:val="single"/>
        </w:rPr>
        <w:t>Lægemidler, som kan nedsætte plasmakoncentrationen af sunitinib:</w:t>
      </w:r>
    </w:p>
    <w:p w:rsidR="00515A85" w:rsidRPr="00F23835" w:rsidRDefault="00515A85" w:rsidP="00515A85">
      <w:pPr>
        <w:tabs>
          <w:tab w:val="left" w:pos="851"/>
        </w:tabs>
        <w:ind w:left="851"/>
        <w:rPr>
          <w:i/>
          <w:sz w:val="24"/>
          <w:szCs w:val="24"/>
        </w:rPr>
      </w:pPr>
    </w:p>
    <w:p w:rsidR="00515A85" w:rsidRPr="00F23835" w:rsidRDefault="00515A85" w:rsidP="00515A85">
      <w:pPr>
        <w:tabs>
          <w:tab w:val="left" w:pos="851"/>
        </w:tabs>
        <w:ind w:left="851"/>
        <w:rPr>
          <w:i/>
          <w:sz w:val="24"/>
          <w:szCs w:val="24"/>
          <w:u w:val="single"/>
        </w:rPr>
      </w:pPr>
      <w:r w:rsidRPr="00F23835">
        <w:rPr>
          <w:i/>
          <w:sz w:val="24"/>
          <w:szCs w:val="24"/>
          <w:u w:val="single"/>
        </w:rPr>
        <w:t>Virkningen af CYP3A4-induktorer</w:t>
      </w:r>
    </w:p>
    <w:p w:rsidR="00515A85" w:rsidRPr="00F23835" w:rsidRDefault="00515A85" w:rsidP="00515A85">
      <w:pPr>
        <w:tabs>
          <w:tab w:val="left" w:pos="851"/>
        </w:tabs>
        <w:ind w:left="851"/>
        <w:rPr>
          <w:sz w:val="24"/>
          <w:szCs w:val="24"/>
        </w:rPr>
      </w:pPr>
      <w:r w:rsidRPr="00F23835">
        <w:rPr>
          <w:sz w:val="24"/>
          <w:szCs w:val="24"/>
        </w:rPr>
        <w:t>Hos raske forsøgspersoner medførte samtidig administration af en enkeltdosis af sunitinib og den potente CYP3A4-induktor, rifampin, en reduktion i samlet [sunitinib + primær metabolit] C</w:t>
      </w:r>
      <w:r w:rsidRPr="00F23835">
        <w:rPr>
          <w:sz w:val="24"/>
          <w:szCs w:val="24"/>
          <w:vertAlign w:val="subscript"/>
        </w:rPr>
        <w:t xml:space="preserve">max </w:t>
      </w:r>
      <w:r w:rsidRPr="00F23835">
        <w:rPr>
          <w:sz w:val="24"/>
          <w:szCs w:val="24"/>
        </w:rPr>
        <w:t>og AUC0-∞ værdi på henholdsvis 23 % og 46 %.</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rPr>
        <w:t>Administration af sunitinib sammen med potente CYP3A4-induktorer (f.eks. dexamethason, phenytoin, carbamazepin, rifampin, phenobarbital eller naturlægemidler som indeholder perikon/</w:t>
      </w:r>
      <w:r w:rsidRPr="00F23835">
        <w:rPr>
          <w:i/>
          <w:sz w:val="24"/>
          <w:szCs w:val="24"/>
        </w:rPr>
        <w:t xml:space="preserve">Hypericum perforatum) </w:t>
      </w:r>
      <w:r w:rsidRPr="00F23835">
        <w:rPr>
          <w:sz w:val="24"/>
          <w:szCs w:val="24"/>
        </w:rPr>
        <w:t xml:space="preserve">kan nedsætte koncentrationen af sunitinib. Kombinationen med CYP3A4-induktorer bør derfor undgås, eller det bør overvejes at vælge et andet </w:t>
      </w:r>
      <w:r w:rsidRPr="00F23835">
        <w:rPr>
          <w:sz w:val="24"/>
          <w:szCs w:val="24"/>
        </w:rPr>
        <w:lastRenderedPageBreak/>
        <w:t xml:space="preserve">lægemiddel til samtidig til samtidig behandling med ingen eller minimalt potentiale til at inducere CYP3A4. Hvis dette ikke er muligt, bør dosis af </w:t>
      </w:r>
      <w:r w:rsidR="007C26EB">
        <w:rPr>
          <w:sz w:val="24"/>
          <w:szCs w:val="24"/>
        </w:rPr>
        <w:t>Sunitinib ”Viatris”</w:t>
      </w:r>
      <w:r w:rsidRPr="00F23835">
        <w:rPr>
          <w:sz w:val="24"/>
          <w:szCs w:val="24"/>
        </w:rPr>
        <w:t xml:space="preserve"> øges med 12,5 mg ad gangen (op til 87,5 mg daglig ved GIST og mRCC eller 62,5 mg daglig ved pNET) med omhyggelig monitorering af tolerans (se pkt. 4.2).</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hanging="851"/>
        <w:rPr>
          <w:b/>
          <w:sz w:val="24"/>
          <w:szCs w:val="24"/>
        </w:rPr>
      </w:pPr>
      <w:r w:rsidRPr="00F23835">
        <w:rPr>
          <w:b/>
          <w:sz w:val="24"/>
          <w:szCs w:val="24"/>
        </w:rPr>
        <w:t>4.6</w:t>
      </w:r>
      <w:r w:rsidRPr="00F23835">
        <w:rPr>
          <w:b/>
          <w:sz w:val="24"/>
          <w:szCs w:val="24"/>
        </w:rPr>
        <w:tab/>
      </w:r>
      <w:r w:rsidR="002A0948" w:rsidRPr="00F23835">
        <w:rPr>
          <w:b/>
          <w:sz w:val="24"/>
          <w:szCs w:val="24"/>
        </w:rPr>
        <w:t>Fertilitet, g</w:t>
      </w:r>
      <w:r w:rsidRPr="00F23835">
        <w:rPr>
          <w:b/>
          <w:sz w:val="24"/>
          <w:szCs w:val="24"/>
        </w:rPr>
        <w:t>raviditet og amning</w:t>
      </w:r>
    </w:p>
    <w:p w:rsidR="00515A85" w:rsidRPr="00F23835" w:rsidRDefault="00515A85" w:rsidP="00515A85">
      <w:pPr>
        <w:tabs>
          <w:tab w:val="left" w:pos="851"/>
        </w:tabs>
        <w:ind w:left="851"/>
        <w:rPr>
          <w:sz w:val="24"/>
          <w:szCs w:val="24"/>
          <w:u w:val="single"/>
        </w:rPr>
      </w:pPr>
    </w:p>
    <w:p w:rsidR="00515A85" w:rsidRPr="00F23835" w:rsidRDefault="00515A85" w:rsidP="00515A85">
      <w:pPr>
        <w:tabs>
          <w:tab w:val="left" w:pos="851"/>
        </w:tabs>
        <w:ind w:left="851"/>
        <w:rPr>
          <w:sz w:val="24"/>
          <w:szCs w:val="24"/>
        </w:rPr>
      </w:pPr>
      <w:r w:rsidRPr="00F23835">
        <w:rPr>
          <w:sz w:val="24"/>
          <w:szCs w:val="24"/>
          <w:u w:val="single"/>
        </w:rPr>
        <w:t>Kvinders og mænds prævention</w:t>
      </w:r>
    </w:p>
    <w:p w:rsidR="00515A85" w:rsidRPr="00F23835" w:rsidRDefault="00515A85" w:rsidP="00515A85">
      <w:pPr>
        <w:tabs>
          <w:tab w:val="left" w:pos="851"/>
        </w:tabs>
        <w:ind w:left="851"/>
        <w:rPr>
          <w:sz w:val="24"/>
          <w:szCs w:val="24"/>
        </w:rPr>
      </w:pPr>
      <w:r w:rsidRPr="00F23835">
        <w:rPr>
          <w:sz w:val="24"/>
          <w:szCs w:val="24"/>
        </w:rPr>
        <w:t>Kvinder i den fertile alder skal rådes til at anvende sikker prævention og undgå graviditet under behandlingen med sunitinib.</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u w:val="single"/>
        </w:rPr>
        <w:t>Graviditet</w:t>
      </w:r>
    </w:p>
    <w:p w:rsidR="00515A85" w:rsidRPr="00F23835" w:rsidRDefault="00515A85" w:rsidP="00515A85">
      <w:pPr>
        <w:tabs>
          <w:tab w:val="left" w:pos="851"/>
        </w:tabs>
        <w:ind w:left="851"/>
        <w:rPr>
          <w:sz w:val="24"/>
          <w:szCs w:val="24"/>
        </w:rPr>
      </w:pPr>
      <w:r w:rsidRPr="00F23835">
        <w:rPr>
          <w:sz w:val="24"/>
          <w:szCs w:val="24"/>
        </w:rPr>
        <w:t xml:space="preserve">Der foreligger ikke data vedrørende anvendelsen af sunitinib hos gravide kvinder. Dyrestudier har påvist reproduktionstoksicitet, inklusive føtale malformationer (se pkt. 5.3). </w:t>
      </w:r>
      <w:r w:rsidR="007C26EB">
        <w:rPr>
          <w:sz w:val="24"/>
          <w:szCs w:val="24"/>
        </w:rPr>
        <w:t>Sunitinib ”Viatris”</w:t>
      </w:r>
      <w:r w:rsidRPr="00F23835">
        <w:rPr>
          <w:sz w:val="24"/>
          <w:szCs w:val="24"/>
        </w:rPr>
        <w:t xml:space="preserve"> bør derfor ikke anvendes ved graviditet eller hos kvinder, der ikke anvender sikker antikonception, medmindre den potentielle fordel for kvinden opvejer den potentielle risiko for fostret. Hvis sunitinib anvendes under graviditet, eller patienten bliver gravid under behandling med sunitinib, skal patienten underrettes om den potentielle risiko for fostret.</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u w:val="single"/>
        </w:rPr>
        <w:t>Amning</w:t>
      </w:r>
    </w:p>
    <w:p w:rsidR="00515A85" w:rsidRPr="00F23835" w:rsidRDefault="00515A85" w:rsidP="00515A85">
      <w:pPr>
        <w:tabs>
          <w:tab w:val="left" w:pos="851"/>
        </w:tabs>
        <w:ind w:left="851"/>
        <w:rPr>
          <w:sz w:val="24"/>
          <w:szCs w:val="24"/>
        </w:rPr>
      </w:pPr>
      <w:r w:rsidRPr="00F23835">
        <w:rPr>
          <w:sz w:val="24"/>
          <w:szCs w:val="24"/>
        </w:rPr>
        <w:t>Sunitinib og/eller dets metabolitter udskilles i mælk hos rotter. Det vides ikke, om sunitinib eller dets aktive hovedmetabolit udskilles i modermælk hos mennesker. Da aktive stoffer almindeligvis udskilles i modermælk, og da der er risiko for alvorlige bivirkninger hos det ammede barn, bør kvinder ikke amme, mens de tager sunitinib.</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u w:val="single"/>
        </w:rPr>
        <w:t>Fertilitet</w:t>
      </w:r>
    </w:p>
    <w:p w:rsidR="00515A85" w:rsidRPr="00F23835" w:rsidRDefault="00515A85" w:rsidP="00515A85">
      <w:pPr>
        <w:tabs>
          <w:tab w:val="left" w:pos="851"/>
        </w:tabs>
        <w:ind w:left="851"/>
        <w:rPr>
          <w:sz w:val="24"/>
          <w:szCs w:val="24"/>
        </w:rPr>
      </w:pPr>
      <w:r w:rsidRPr="00F23835">
        <w:rPr>
          <w:sz w:val="24"/>
          <w:szCs w:val="24"/>
        </w:rPr>
        <w:t>På baggrund af ikke-kliniske data kan mænds og kvinders fertilitet påvirkes af behandling med sunitinib (se pkt. 5.3).</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hanging="851"/>
        <w:rPr>
          <w:b/>
          <w:sz w:val="24"/>
          <w:szCs w:val="24"/>
        </w:rPr>
      </w:pPr>
      <w:r w:rsidRPr="00F23835">
        <w:rPr>
          <w:b/>
          <w:sz w:val="24"/>
          <w:szCs w:val="24"/>
        </w:rPr>
        <w:t>4.7</w:t>
      </w:r>
      <w:r w:rsidRPr="00F23835">
        <w:rPr>
          <w:b/>
          <w:sz w:val="24"/>
          <w:szCs w:val="24"/>
        </w:rPr>
        <w:tab/>
        <w:t xml:space="preserve">Virkning på evnen til at føre motorkøretøj </w:t>
      </w:r>
      <w:r w:rsidR="002A0948" w:rsidRPr="00F23835">
        <w:rPr>
          <w:b/>
          <w:sz w:val="24"/>
          <w:szCs w:val="24"/>
        </w:rPr>
        <w:t>og</w:t>
      </w:r>
      <w:r w:rsidRPr="00F23835">
        <w:rPr>
          <w:b/>
          <w:sz w:val="24"/>
          <w:szCs w:val="24"/>
        </w:rPr>
        <w:t xml:space="preserve"> betjene maskiner</w:t>
      </w:r>
    </w:p>
    <w:p w:rsidR="00515A85" w:rsidRPr="00F23835" w:rsidRDefault="00515A85" w:rsidP="00515A85">
      <w:pPr>
        <w:tabs>
          <w:tab w:val="left" w:pos="851"/>
        </w:tabs>
        <w:ind w:left="851"/>
        <w:rPr>
          <w:sz w:val="24"/>
          <w:szCs w:val="24"/>
        </w:rPr>
      </w:pPr>
      <w:r w:rsidRPr="00F23835">
        <w:rPr>
          <w:sz w:val="24"/>
          <w:szCs w:val="24"/>
        </w:rPr>
        <w:t>Ikke mærkning.</w:t>
      </w:r>
    </w:p>
    <w:p w:rsidR="00515A85" w:rsidRPr="00F23835" w:rsidRDefault="007C26EB" w:rsidP="00515A85">
      <w:pPr>
        <w:tabs>
          <w:tab w:val="left" w:pos="851"/>
        </w:tabs>
        <w:ind w:left="851"/>
        <w:rPr>
          <w:sz w:val="24"/>
          <w:szCs w:val="24"/>
        </w:rPr>
      </w:pPr>
      <w:r>
        <w:rPr>
          <w:sz w:val="24"/>
          <w:szCs w:val="24"/>
        </w:rPr>
        <w:t>Sunitinib ”Viatris”</w:t>
      </w:r>
      <w:r w:rsidR="00515A85" w:rsidRPr="00F23835">
        <w:rPr>
          <w:sz w:val="24"/>
          <w:szCs w:val="24"/>
        </w:rPr>
        <w:t xml:space="preserve"> påvirker i mindre grad evnen til at føre motorkøretøj og betjene maskiner. Patienter bør informeres om, at de kan opleve svimmelhed under behandling med sunitinib.</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hanging="851"/>
        <w:rPr>
          <w:b/>
          <w:sz w:val="24"/>
          <w:szCs w:val="24"/>
        </w:rPr>
      </w:pPr>
      <w:r w:rsidRPr="00F23835">
        <w:rPr>
          <w:b/>
          <w:sz w:val="24"/>
          <w:szCs w:val="24"/>
        </w:rPr>
        <w:t>4.8</w:t>
      </w:r>
      <w:r w:rsidRPr="00F23835">
        <w:rPr>
          <w:b/>
          <w:sz w:val="24"/>
          <w:szCs w:val="24"/>
        </w:rPr>
        <w:tab/>
        <w:t>Bivirkninger</w:t>
      </w:r>
    </w:p>
    <w:p w:rsidR="00515A85" w:rsidRPr="00F23835" w:rsidRDefault="00515A85" w:rsidP="00515A85">
      <w:pPr>
        <w:pStyle w:val="Sidehoved"/>
        <w:tabs>
          <w:tab w:val="left" w:pos="851"/>
        </w:tabs>
        <w:ind w:left="851"/>
        <w:rPr>
          <w:b/>
          <w:szCs w:val="24"/>
        </w:rPr>
      </w:pPr>
    </w:p>
    <w:p w:rsidR="00515A85" w:rsidRPr="00F23835" w:rsidRDefault="00515A85" w:rsidP="00515A85">
      <w:pPr>
        <w:pStyle w:val="Sidehoved"/>
        <w:tabs>
          <w:tab w:val="left" w:pos="851"/>
        </w:tabs>
        <w:ind w:left="851"/>
        <w:rPr>
          <w:szCs w:val="24"/>
        </w:rPr>
      </w:pPr>
      <w:r w:rsidRPr="00F23835">
        <w:rPr>
          <w:szCs w:val="24"/>
          <w:u w:val="single"/>
        </w:rPr>
        <w:t>Sammenfatning af sikkerhedsprofil</w:t>
      </w:r>
    </w:p>
    <w:p w:rsidR="00515A85" w:rsidRPr="00F23835" w:rsidRDefault="00515A85" w:rsidP="00515A85">
      <w:pPr>
        <w:pStyle w:val="Sidehoved"/>
        <w:tabs>
          <w:tab w:val="left" w:pos="851"/>
        </w:tabs>
        <w:ind w:left="851"/>
        <w:rPr>
          <w:szCs w:val="24"/>
        </w:rPr>
      </w:pPr>
      <w:r w:rsidRPr="00F23835">
        <w:rPr>
          <w:szCs w:val="24"/>
        </w:rPr>
        <w:t>De alvorligeste bivirkninger forbundet med sunitinib (hvoraf nogle har været letale) er nyresvigt, hjertesvigt, lungeemboli, gastrointestinal perforation og blødninger (f.eks. blødninger i luftvejene, gastrointestinale blødninger, tumorblødninger, blødninger i urinvejene og hjerneblødning). De hyppigste bivirkninger af alle grader (ses hos patienter i RCC, GIST og pNET registreringsstudier) er appetitløshed, smagsforstyrrelser, hypertension, træthed, gastrointestinale forstyrrelser (dvs. diarré, kvalme, stomatitis, dyspepsi og opkastning), misfarvning af huden og palmoplantar erytrodysæstesi. Symptomerne kan aftage under behandlingen.</w:t>
      </w:r>
      <w:r w:rsidR="00BE1049">
        <w:rPr>
          <w:szCs w:val="24"/>
        </w:rPr>
        <w:t xml:space="preserve"> </w:t>
      </w:r>
      <w:r w:rsidRPr="00F23835">
        <w:rPr>
          <w:szCs w:val="24"/>
        </w:rPr>
        <w:t>Hypotyreose kan udvikles under behandlingen. Hæmatologiske forstyrrelser (f.eks. neutropeni, trombocytopeni og anæmi) er blandt de mest almindelige bivirkninger.</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tabs>
          <w:tab w:val="left" w:pos="851"/>
        </w:tabs>
        <w:ind w:left="851"/>
        <w:rPr>
          <w:szCs w:val="24"/>
        </w:rPr>
      </w:pPr>
      <w:r w:rsidRPr="00F23835">
        <w:rPr>
          <w:szCs w:val="24"/>
        </w:rPr>
        <w:t xml:space="preserve">Andre letale hændelser end dem, der er nævnt i pkt. 4.4 ovenfor eller i pkt. 4.8 nedenfor og som betragtes mulig relateret til sunitinib, omfatter multiorgansvigt, dissemineret </w:t>
      </w:r>
      <w:r w:rsidRPr="00F23835">
        <w:rPr>
          <w:szCs w:val="24"/>
        </w:rPr>
        <w:lastRenderedPageBreak/>
        <w:t>intravaskulær koagulation, peritoneal blødning, adrenal insufficiens, pneumothorax, shock og pludselig død.</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tabs>
          <w:tab w:val="left" w:pos="851"/>
        </w:tabs>
        <w:ind w:left="851"/>
        <w:rPr>
          <w:szCs w:val="24"/>
        </w:rPr>
      </w:pPr>
      <w:r w:rsidRPr="00F23835">
        <w:rPr>
          <w:szCs w:val="24"/>
          <w:u w:val="single"/>
        </w:rPr>
        <w:t>Tabel over bivirkninger</w:t>
      </w:r>
    </w:p>
    <w:p w:rsidR="00515A85" w:rsidRPr="00F23835" w:rsidRDefault="00515A85" w:rsidP="00515A85">
      <w:pPr>
        <w:pStyle w:val="Sidehoved"/>
        <w:tabs>
          <w:tab w:val="left" w:pos="851"/>
        </w:tabs>
        <w:ind w:left="851"/>
        <w:rPr>
          <w:szCs w:val="24"/>
        </w:rPr>
      </w:pPr>
      <w:r w:rsidRPr="00F23835">
        <w:rPr>
          <w:szCs w:val="24"/>
        </w:rPr>
        <w:t>Bivirkninger indberettet hos patienter med GIST, mRCC og hos pNET-patienter i et samlet datasæt på</w:t>
      </w:r>
      <w:r w:rsidR="00BE1049">
        <w:rPr>
          <w:szCs w:val="24"/>
        </w:rPr>
        <w:t xml:space="preserve"> </w:t>
      </w:r>
      <w:r w:rsidRPr="00F23835">
        <w:rPr>
          <w:szCs w:val="24"/>
        </w:rPr>
        <w:t>7.115 patienter er anført nedenfor efter organklasse, hyppighed og sværhedsgrad (NCI-CTCAE). Bivirkninger set efter markedsføring, men også indrapporteret fra kliniske studier, er inkluderet. Bivirkningerne er inden for hver hyppighed anført efter faldende alvorlighed.</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tabs>
          <w:tab w:val="left" w:pos="851"/>
        </w:tabs>
        <w:ind w:left="851"/>
        <w:rPr>
          <w:szCs w:val="24"/>
        </w:rPr>
      </w:pPr>
      <w:r w:rsidRPr="00F23835">
        <w:rPr>
          <w:szCs w:val="24"/>
        </w:rPr>
        <w:t>Hyppighederne er defineret som: Meget almindelig (≥ 1/10), almindelig (≥ 1/100 til &lt; 1/10), ikke almindelig (≥ 1/1.000 til &lt; 1/100), sjælden (≥ 1/10.000 til &lt; 1/1.000), meget sjælden (&lt;1/10.000), ikke kendt (kan ikke estimeres fra forhåndenværende data).</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tabs>
          <w:tab w:val="left" w:pos="851"/>
        </w:tabs>
        <w:ind w:left="851"/>
        <w:rPr>
          <w:b/>
          <w:szCs w:val="24"/>
        </w:rPr>
      </w:pPr>
      <w:r w:rsidRPr="00F23835">
        <w:rPr>
          <w:b/>
          <w:szCs w:val="24"/>
        </w:rPr>
        <w:t>Tabel 1 - Bivirkninger rapporteret i kliniske studier</w:t>
      </w:r>
    </w:p>
    <w:p w:rsidR="00515A85" w:rsidRPr="00F23835" w:rsidRDefault="00515A85" w:rsidP="00515A85">
      <w:pPr>
        <w:pStyle w:val="Sidehoved"/>
        <w:tabs>
          <w:tab w:val="left" w:pos="851"/>
        </w:tabs>
        <w:ind w:left="851"/>
        <w:rPr>
          <w:b/>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73"/>
        <w:gridCol w:w="1720"/>
        <w:gridCol w:w="1858"/>
        <w:gridCol w:w="1720"/>
        <w:gridCol w:w="1585"/>
        <w:gridCol w:w="1272"/>
      </w:tblGrid>
      <w:tr w:rsidR="00515A85" w:rsidRPr="00F23835" w:rsidTr="00BE1049">
        <w:trPr>
          <w:trHeight w:val="20"/>
        </w:trPr>
        <w:tc>
          <w:tcPr>
            <w:tcW w:w="785" w:type="pct"/>
            <w:tcBorders>
              <w:top w:val="single" w:sz="4" w:space="0" w:color="000000"/>
              <w:left w:val="single" w:sz="4" w:space="0" w:color="000000"/>
              <w:bottom w:val="single" w:sz="4" w:space="0" w:color="000000"/>
              <w:right w:val="single" w:sz="4" w:space="0" w:color="auto"/>
            </w:tcBorders>
            <w:hideMark/>
          </w:tcPr>
          <w:p w:rsidR="00515A85" w:rsidRPr="00BE1049" w:rsidRDefault="00515A85" w:rsidP="00BE1049">
            <w:pPr>
              <w:pStyle w:val="Sidehoved"/>
              <w:ind w:left="164" w:right="132"/>
              <w:rPr>
                <w:b/>
                <w:sz w:val="22"/>
                <w:szCs w:val="22"/>
                <w:lang w:val="en-US"/>
              </w:rPr>
            </w:pPr>
            <w:r w:rsidRPr="00BE1049">
              <w:rPr>
                <w:b/>
                <w:sz w:val="22"/>
                <w:szCs w:val="22"/>
                <w:lang w:val="en-US"/>
              </w:rPr>
              <w:t>Systemorgan- klasse</w:t>
            </w:r>
          </w:p>
        </w:tc>
        <w:tc>
          <w:tcPr>
            <w:tcW w:w="913" w:type="pct"/>
            <w:tcBorders>
              <w:top w:val="single" w:sz="4" w:space="0" w:color="auto"/>
              <w:left w:val="single" w:sz="4" w:space="0" w:color="auto"/>
              <w:bottom w:val="single" w:sz="4" w:space="0" w:color="auto"/>
              <w:right w:val="single" w:sz="4" w:space="0" w:color="auto"/>
            </w:tcBorders>
            <w:hideMark/>
          </w:tcPr>
          <w:p w:rsidR="00515A85" w:rsidRPr="00BE1049" w:rsidRDefault="00515A85" w:rsidP="00BE1049">
            <w:pPr>
              <w:pStyle w:val="Sidehoved"/>
              <w:ind w:left="164" w:right="132"/>
              <w:rPr>
                <w:b/>
                <w:sz w:val="22"/>
                <w:szCs w:val="22"/>
                <w:lang w:val="en-US"/>
              </w:rPr>
            </w:pPr>
            <w:r w:rsidRPr="00BE1049">
              <w:rPr>
                <w:b/>
                <w:sz w:val="22"/>
                <w:szCs w:val="22"/>
                <w:lang w:val="en-US"/>
              </w:rPr>
              <w:t>Meget almindelig</w:t>
            </w:r>
          </w:p>
        </w:tc>
        <w:tc>
          <w:tcPr>
            <w:tcW w:w="913" w:type="pct"/>
            <w:tcBorders>
              <w:top w:val="single" w:sz="4" w:space="0" w:color="auto"/>
              <w:left w:val="single" w:sz="4" w:space="0" w:color="auto"/>
              <w:bottom w:val="single" w:sz="4" w:space="0" w:color="auto"/>
              <w:right w:val="single" w:sz="4" w:space="0" w:color="auto"/>
            </w:tcBorders>
            <w:hideMark/>
          </w:tcPr>
          <w:p w:rsidR="00515A85" w:rsidRPr="00BE1049" w:rsidRDefault="00515A85" w:rsidP="00BE1049">
            <w:pPr>
              <w:pStyle w:val="Sidehoved"/>
              <w:ind w:left="164" w:right="132"/>
              <w:rPr>
                <w:b/>
                <w:sz w:val="22"/>
                <w:szCs w:val="22"/>
                <w:lang w:val="en-US"/>
              </w:rPr>
            </w:pPr>
            <w:r w:rsidRPr="00BE1049">
              <w:rPr>
                <w:b/>
                <w:sz w:val="22"/>
                <w:szCs w:val="22"/>
                <w:lang w:val="en-US"/>
              </w:rPr>
              <w:t>Almindelig</w:t>
            </w:r>
          </w:p>
        </w:tc>
        <w:tc>
          <w:tcPr>
            <w:tcW w:w="913" w:type="pct"/>
            <w:tcBorders>
              <w:top w:val="single" w:sz="4" w:space="0" w:color="auto"/>
              <w:left w:val="single" w:sz="4" w:space="0" w:color="auto"/>
              <w:bottom w:val="single" w:sz="4" w:space="0" w:color="auto"/>
              <w:right w:val="single" w:sz="4" w:space="0" w:color="auto"/>
            </w:tcBorders>
            <w:hideMark/>
          </w:tcPr>
          <w:p w:rsidR="00515A85" w:rsidRPr="00BE1049" w:rsidRDefault="00515A85" w:rsidP="00BE1049">
            <w:pPr>
              <w:pStyle w:val="Sidehoved"/>
              <w:ind w:left="164" w:right="132"/>
              <w:rPr>
                <w:b/>
                <w:sz w:val="22"/>
                <w:szCs w:val="22"/>
                <w:lang w:val="en-US"/>
              </w:rPr>
            </w:pPr>
            <w:r w:rsidRPr="00BE1049">
              <w:rPr>
                <w:b/>
                <w:sz w:val="22"/>
                <w:szCs w:val="22"/>
                <w:lang w:val="en-US"/>
              </w:rPr>
              <w:t>Ikke almindelig</w:t>
            </w:r>
          </w:p>
        </w:tc>
        <w:tc>
          <w:tcPr>
            <w:tcW w:w="843" w:type="pct"/>
            <w:tcBorders>
              <w:top w:val="single" w:sz="4" w:space="0" w:color="auto"/>
              <w:left w:val="single" w:sz="4" w:space="0" w:color="auto"/>
              <w:bottom w:val="single" w:sz="4" w:space="0" w:color="auto"/>
              <w:right w:val="single" w:sz="4" w:space="0" w:color="auto"/>
            </w:tcBorders>
            <w:hideMark/>
          </w:tcPr>
          <w:p w:rsidR="00515A85" w:rsidRPr="00BE1049" w:rsidRDefault="00515A85" w:rsidP="00BE1049">
            <w:pPr>
              <w:pStyle w:val="Sidehoved"/>
              <w:ind w:left="164" w:right="132"/>
              <w:rPr>
                <w:b/>
                <w:sz w:val="22"/>
                <w:szCs w:val="22"/>
                <w:lang w:val="en-US"/>
              </w:rPr>
            </w:pPr>
            <w:r w:rsidRPr="00BE1049">
              <w:rPr>
                <w:b/>
                <w:sz w:val="22"/>
                <w:szCs w:val="22"/>
                <w:lang w:val="en-US"/>
              </w:rPr>
              <w:t>Sjælden</w:t>
            </w:r>
          </w:p>
        </w:tc>
        <w:tc>
          <w:tcPr>
            <w:tcW w:w="632" w:type="pct"/>
            <w:tcBorders>
              <w:top w:val="single" w:sz="4" w:space="0" w:color="auto"/>
              <w:left w:val="single" w:sz="4" w:space="0" w:color="auto"/>
              <w:bottom w:val="single" w:sz="4" w:space="0" w:color="auto"/>
              <w:right w:val="single" w:sz="4" w:space="0" w:color="auto"/>
            </w:tcBorders>
            <w:hideMark/>
          </w:tcPr>
          <w:p w:rsidR="00515A85" w:rsidRPr="00BE1049" w:rsidRDefault="00515A85" w:rsidP="00BE1049">
            <w:pPr>
              <w:pStyle w:val="Sidehoved"/>
              <w:ind w:left="164" w:right="132"/>
              <w:rPr>
                <w:b/>
                <w:sz w:val="22"/>
                <w:szCs w:val="22"/>
                <w:lang w:val="en-US"/>
              </w:rPr>
            </w:pPr>
            <w:r w:rsidRPr="00BE1049">
              <w:rPr>
                <w:b/>
                <w:sz w:val="22"/>
                <w:szCs w:val="22"/>
                <w:lang w:val="en-US"/>
              </w:rPr>
              <w:t>Ikke kendt</w:t>
            </w:r>
          </w:p>
        </w:tc>
      </w:tr>
      <w:tr w:rsidR="00515A85" w:rsidRPr="00F23835" w:rsidTr="00BE1049">
        <w:trPr>
          <w:trHeight w:val="20"/>
        </w:trPr>
        <w:tc>
          <w:tcPr>
            <w:tcW w:w="785"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b/>
                <w:sz w:val="22"/>
                <w:szCs w:val="22"/>
                <w:lang w:val="en-US"/>
              </w:rPr>
            </w:pPr>
            <w:r w:rsidRPr="00BE1049">
              <w:rPr>
                <w:b/>
                <w:sz w:val="22"/>
                <w:szCs w:val="22"/>
                <w:lang w:val="en-US"/>
              </w:rPr>
              <w:t>Infektioner og parasitære sygdomme</w:t>
            </w:r>
          </w:p>
        </w:tc>
        <w:tc>
          <w:tcPr>
            <w:tcW w:w="913" w:type="pct"/>
            <w:tcBorders>
              <w:top w:val="single" w:sz="4" w:space="0" w:color="auto"/>
              <w:left w:val="single" w:sz="4" w:space="0" w:color="000000"/>
              <w:bottom w:val="single" w:sz="4" w:space="0" w:color="000000"/>
              <w:right w:val="single" w:sz="4" w:space="0" w:color="000000"/>
            </w:tcBorders>
          </w:tcPr>
          <w:p w:rsidR="00515A85" w:rsidRPr="00BE1049" w:rsidRDefault="00515A85" w:rsidP="00BE1049">
            <w:pPr>
              <w:pStyle w:val="Sidehoved"/>
              <w:ind w:left="164" w:right="132"/>
              <w:rPr>
                <w:sz w:val="22"/>
                <w:szCs w:val="22"/>
                <w:lang w:val="en-US"/>
              </w:rPr>
            </w:pPr>
          </w:p>
        </w:tc>
        <w:tc>
          <w:tcPr>
            <w:tcW w:w="913" w:type="pct"/>
            <w:tcBorders>
              <w:top w:val="single" w:sz="4" w:space="0" w:color="auto"/>
              <w:left w:val="single" w:sz="4" w:space="0" w:color="000000"/>
              <w:bottom w:val="single" w:sz="4" w:space="0" w:color="000000"/>
              <w:right w:val="single" w:sz="4" w:space="0" w:color="000000"/>
            </w:tcBorders>
            <w:hideMark/>
          </w:tcPr>
          <w:p w:rsidR="00BE1049" w:rsidRDefault="00515A85" w:rsidP="00BE1049">
            <w:pPr>
              <w:pStyle w:val="Sidehoved"/>
              <w:ind w:left="164" w:right="132"/>
              <w:rPr>
                <w:sz w:val="22"/>
                <w:szCs w:val="22"/>
                <w:vertAlign w:val="superscript"/>
                <w:lang w:val="sv-SE"/>
              </w:rPr>
            </w:pPr>
            <w:r w:rsidRPr="00BE1049">
              <w:rPr>
                <w:sz w:val="22"/>
                <w:szCs w:val="22"/>
                <w:lang w:val="sv-SE"/>
              </w:rPr>
              <w:t>Virusinfektioner</w:t>
            </w:r>
            <w:r w:rsidRPr="00BE1049">
              <w:rPr>
                <w:sz w:val="22"/>
                <w:szCs w:val="22"/>
                <w:vertAlign w:val="superscript"/>
                <w:lang w:val="sv-SE"/>
              </w:rPr>
              <w:t>a</w:t>
            </w:r>
            <w:r w:rsidRPr="00BE1049">
              <w:rPr>
                <w:sz w:val="22"/>
                <w:szCs w:val="22"/>
                <w:lang w:val="sv-SE"/>
              </w:rPr>
              <w:t xml:space="preserve"> </w:t>
            </w:r>
            <w:proofErr w:type="gramStart"/>
            <w:r w:rsidRPr="00BE1049">
              <w:rPr>
                <w:sz w:val="22"/>
                <w:szCs w:val="22"/>
                <w:lang w:val="sv-SE"/>
              </w:rPr>
              <w:t>Luftvejsinfektioner</w:t>
            </w:r>
            <w:r w:rsidRPr="00BE1049">
              <w:rPr>
                <w:sz w:val="22"/>
                <w:szCs w:val="22"/>
                <w:vertAlign w:val="superscript"/>
                <w:lang w:val="sv-SE"/>
              </w:rPr>
              <w:t>b,</w:t>
            </w:r>
            <w:r w:rsidRPr="00BE1049">
              <w:rPr>
                <w:sz w:val="22"/>
                <w:szCs w:val="22"/>
                <w:lang w:val="sv-SE"/>
              </w:rPr>
              <w:t>*</w:t>
            </w:r>
            <w:proofErr w:type="gramEnd"/>
            <w:r w:rsidRPr="00BE1049">
              <w:rPr>
                <w:sz w:val="22"/>
                <w:szCs w:val="22"/>
                <w:vertAlign w:val="superscript"/>
                <w:lang w:val="sv-SE"/>
              </w:rPr>
              <w:t xml:space="preserve"> </w:t>
            </w:r>
          </w:p>
          <w:p w:rsidR="00BE1049" w:rsidRDefault="00515A85" w:rsidP="00BE1049">
            <w:pPr>
              <w:pStyle w:val="Sidehoved"/>
              <w:ind w:left="164" w:right="132"/>
              <w:rPr>
                <w:sz w:val="22"/>
                <w:szCs w:val="22"/>
                <w:lang w:val="sv-SE"/>
              </w:rPr>
            </w:pPr>
            <w:proofErr w:type="gramStart"/>
            <w:r w:rsidRPr="00BE1049">
              <w:rPr>
                <w:sz w:val="22"/>
                <w:szCs w:val="22"/>
                <w:lang w:val="sv-SE"/>
              </w:rPr>
              <w:t>Abscesser</w:t>
            </w:r>
            <w:r w:rsidRPr="00BE1049">
              <w:rPr>
                <w:sz w:val="22"/>
                <w:szCs w:val="22"/>
                <w:vertAlign w:val="superscript"/>
                <w:lang w:val="sv-SE"/>
              </w:rPr>
              <w:t>c,</w:t>
            </w:r>
            <w:r w:rsidRPr="00BE1049">
              <w:rPr>
                <w:sz w:val="22"/>
                <w:szCs w:val="22"/>
                <w:lang w:val="sv-SE"/>
              </w:rPr>
              <w:t>*</w:t>
            </w:r>
            <w:proofErr w:type="gramEnd"/>
            <w:r w:rsidRPr="00BE1049">
              <w:rPr>
                <w:sz w:val="22"/>
                <w:szCs w:val="22"/>
                <w:lang w:val="sv-SE"/>
              </w:rPr>
              <w:t xml:space="preserve"> Svampeinfektioner</w:t>
            </w:r>
            <w:r w:rsidRPr="00BE1049">
              <w:rPr>
                <w:sz w:val="22"/>
                <w:szCs w:val="22"/>
                <w:vertAlign w:val="superscript"/>
                <w:lang w:val="sv-SE"/>
              </w:rPr>
              <w:t>d</w:t>
            </w:r>
            <w:r w:rsidRPr="00BE1049">
              <w:rPr>
                <w:sz w:val="22"/>
                <w:szCs w:val="22"/>
                <w:lang w:val="sv-SE"/>
              </w:rPr>
              <w:t xml:space="preserve"> </w:t>
            </w:r>
          </w:p>
          <w:p w:rsidR="00BE1049" w:rsidRDefault="00515A85" w:rsidP="00BE1049">
            <w:pPr>
              <w:pStyle w:val="Sidehoved"/>
              <w:ind w:left="164" w:right="132"/>
              <w:rPr>
                <w:sz w:val="22"/>
                <w:szCs w:val="22"/>
                <w:lang w:val="sv-SE"/>
              </w:rPr>
            </w:pPr>
            <w:r w:rsidRPr="00BE1049">
              <w:rPr>
                <w:sz w:val="22"/>
                <w:szCs w:val="22"/>
                <w:lang w:val="sv-SE"/>
              </w:rPr>
              <w:t xml:space="preserve">Urinvejsinfektioner </w:t>
            </w:r>
          </w:p>
          <w:p w:rsidR="00515A85" w:rsidRPr="00BE1049" w:rsidRDefault="00515A85" w:rsidP="00BE1049">
            <w:pPr>
              <w:pStyle w:val="Sidehoved"/>
              <w:ind w:left="164" w:right="132"/>
              <w:rPr>
                <w:sz w:val="22"/>
                <w:szCs w:val="22"/>
                <w:lang w:val="sv-SE"/>
              </w:rPr>
            </w:pPr>
            <w:r w:rsidRPr="00BE1049">
              <w:rPr>
                <w:sz w:val="22"/>
                <w:szCs w:val="22"/>
                <w:lang w:val="sv-SE"/>
              </w:rPr>
              <w:t>Hudinfektioner</w:t>
            </w:r>
            <w:r w:rsidRPr="00BE1049">
              <w:rPr>
                <w:sz w:val="22"/>
                <w:szCs w:val="22"/>
                <w:vertAlign w:val="superscript"/>
                <w:lang w:val="sv-SE"/>
              </w:rPr>
              <w:t>e</w:t>
            </w:r>
            <w:r w:rsidRPr="00BE1049">
              <w:rPr>
                <w:sz w:val="22"/>
                <w:szCs w:val="22"/>
                <w:lang w:val="sv-SE"/>
              </w:rPr>
              <w:t xml:space="preserve"> </w:t>
            </w:r>
          </w:p>
          <w:p w:rsidR="00515A85" w:rsidRPr="00BE1049" w:rsidRDefault="00515A85" w:rsidP="00BE1049">
            <w:pPr>
              <w:pStyle w:val="Sidehoved"/>
              <w:ind w:left="164" w:right="132"/>
              <w:rPr>
                <w:sz w:val="22"/>
                <w:szCs w:val="22"/>
              </w:rPr>
            </w:pPr>
            <w:proofErr w:type="gramStart"/>
            <w:r w:rsidRPr="00BE1049">
              <w:rPr>
                <w:sz w:val="22"/>
                <w:szCs w:val="22"/>
              </w:rPr>
              <w:t>Sepsis</w:t>
            </w:r>
            <w:r w:rsidRPr="00BE1049">
              <w:rPr>
                <w:sz w:val="22"/>
                <w:szCs w:val="22"/>
                <w:vertAlign w:val="superscript"/>
              </w:rPr>
              <w:t>f ,</w:t>
            </w:r>
            <w:proofErr w:type="gramEnd"/>
            <w:r w:rsidRPr="00BE1049">
              <w:rPr>
                <w:sz w:val="22"/>
                <w:szCs w:val="22"/>
              </w:rPr>
              <w:t>*</w:t>
            </w:r>
          </w:p>
        </w:tc>
        <w:tc>
          <w:tcPr>
            <w:tcW w:w="913" w:type="pct"/>
            <w:tcBorders>
              <w:top w:val="single" w:sz="4" w:space="0" w:color="auto"/>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lang w:val="en-US"/>
              </w:rPr>
            </w:pPr>
            <w:r w:rsidRPr="00BE1049">
              <w:rPr>
                <w:sz w:val="22"/>
                <w:szCs w:val="22"/>
                <w:lang w:val="en-US"/>
              </w:rPr>
              <w:t>Nekrotiserende fasciitis* Bakterieinfektioner</w:t>
            </w:r>
            <w:r w:rsidRPr="00BE1049">
              <w:rPr>
                <w:sz w:val="22"/>
                <w:szCs w:val="22"/>
                <w:vertAlign w:val="superscript"/>
                <w:lang w:val="en-US"/>
              </w:rPr>
              <w:t>g</w:t>
            </w:r>
          </w:p>
        </w:tc>
        <w:tc>
          <w:tcPr>
            <w:tcW w:w="843" w:type="pct"/>
            <w:tcBorders>
              <w:top w:val="single" w:sz="4" w:space="0" w:color="auto"/>
              <w:left w:val="single" w:sz="4" w:space="0" w:color="000000"/>
              <w:bottom w:val="single" w:sz="4" w:space="0" w:color="000000"/>
              <w:right w:val="single" w:sz="4" w:space="0" w:color="000000"/>
            </w:tcBorders>
          </w:tcPr>
          <w:p w:rsidR="00515A85" w:rsidRPr="00BE1049" w:rsidRDefault="00515A85" w:rsidP="00BE1049">
            <w:pPr>
              <w:pStyle w:val="Sidehoved"/>
              <w:ind w:left="164" w:right="132"/>
              <w:rPr>
                <w:sz w:val="22"/>
                <w:szCs w:val="22"/>
                <w:lang w:val="en-US"/>
              </w:rPr>
            </w:pPr>
          </w:p>
        </w:tc>
        <w:tc>
          <w:tcPr>
            <w:tcW w:w="632" w:type="pct"/>
            <w:tcBorders>
              <w:top w:val="single" w:sz="4" w:space="0" w:color="auto"/>
              <w:left w:val="single" w:sz="4" w:space="0" w:color="000000"/>
              <w:bottom w:val="single" w:sz="4" w:space="0" w:color="000000"/>
              <w:right w:val="single" w:sz="4" w:space="0" w:color="000000"/>
            </w:tcBorders>
          </w:tcPr>
          <w:p w:rsidR="00515A85" w:rsidRPr="00BE1049" w:rsidRDefault="00515A85" w:rsidP="00BE1049">
            <w:pPr>
              <w:pStyle w:val="Sidehoved"/>
              <w:ind w:left="164" w:right="132"/>
              <w:rPr>
                <w:sz w:val="22"/>
                <w:szCs w:val="22"/>
                <w:lang w:val="en-US"/>
              </w:rPr>
            </w:pPr>
          </w:p>
        </w:tc>
      </w:tr>
      <w:tr w:rsidR="00515A85" w:rsidRPr="00F23835" w:rsidTr="00BE1049">
        <w:trPr>
          <w:trHeight w:val="20"/>
        </w:trPr>
        <w:tc>
          <w:tcPr>
            <w:tcW w:w="785"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b/>
                <w:sz w:val="22"/>
                <w:szCs w:val="22"/>
                <w:lang w:val="en-US"/>
              </w:rPr>
            </w:pPr>
            <w:r w:rsidRPr="00BE1049">
              <w:rPr>
                <w:b/>
                <w:sz w:val="22"/>
                <w:szCs w:val="22"/>
                <w:lang w:val="en-US"/>
              </w:rPr>
              <w:t>Blod og lymfesyste</w:t>
            </w:r>
            <w:r w:rsidR="00BE1049">
              <w:rPr>
                <w:b/>
                <w:sz w:val="22"/>
                <w:szCs w:val="22"/>
                <w:lang w:val="en-US"/>
              </w:rPr>
              <w:t>m</w:t>
            </w:r>
          </w:p>
        </w:tc>
        <w:tc>
          <w:tcPr>
            <w:tcW w:w="913" w:type="pct"/>
            <w:tcBorders>
              <w:top w:val="single" w:sz="4" w:space="0" w:color="000000"/>
              <w:left w:val="single" w:sz="4" w:space="0" w:color="000000"/>
              <w:bottom w:val="single" w:sz="4" w:space="0" w:color="000000"/>
              <w:right w:val="single" w:sz="4" w:space="0" w:color="000000"/>
            </w:tcBorders>
            <w:hideMark/>
          </w:tcPr>
          <w:p w:rsidR="00BE1049" w:rsidRDefault="00515A85" w:rsidP="00BE1049">
            <w:pPr>
              <w:pStyle w:val="Sidehoved"/>
              <w:ind w:left="164" w:right="132"/>
              <w:rPr>
                <w:sz w:val="22"/>
                <w:szCs w:val="22"/>
                <w:lang w:val="en-US"/>
              </w:rPr>
            </w:pPr>
            <w:r w:rsidRPr="00BE1049">
              <w:rPr>
                <w:sz w:val="22"/>
                <w:szCs w:val="22"/>
                <w:lang w:val="en-US"/>
              </w:rPr>
              <w:t>Neutropeni Trombocytop</w:t>
            </w:r>
            <w:r w:rsidR="00BE1049">
              <w:rPr>
                <w:sz w:val="22"/>
                <w:szCs w:val="22"/>
                <w:lang w:val="en-US"/>
              </w:rPr>
              <w:t>e</w:t>
            </w:r>
            <w:r w:rsidRPr="00BE1049">
              <w:rPr>
                <w:sz w:val="22"/>
                <w:szCs w:val="22"/>
                <w:lang w:val="en-US"/>
              </w:rPr>
              <w:t xml:space="preserve">ni </w:t>
            </w:r>
          </w:p>
          <w:p w:rsidR="00515A85" w:rsidRPr="00BE1049" w:rsidRDefault="00515A85" w:rsidP="00BE1049">
            <w:pPr>
              <w:pStyle w:val="Sidehoved"/>
              <w:ind w:left="164" w:right="132"/>
              <w:rPr>
                <w:sz w:val="22"/>
                <w:szCs w:val="22"/>
                <w:lang w:val="en-US"/>
              </w:rPr>
            </w:pPr>
            <w:r w:rsidRPr="00BE1049">
              <w:rPr>
                <w:sz w:val="22"/>
                <w:szCs w:val="22"/>
                <w:lang w:val="en-US"/>
              </w:rPr>
              <w:t>Anæmi</w:t>
            </w:r>
          </w:p>
          <w:p w:rsidR="00515A85" w:rsidRPr="00BE1049" w:rsidRDefault="00515A85" w:rsidP="00BE1049">
            <w:pPr>
              <w:pStyle w:val="Sidehoved"/>
              <w:ind w:left="164" w:right="132"/>
              <w:rPr>
                <w:sz w:val="22"/>
                <w:szCs w:val="22"/>
                <w:lang w:val="en-US"/>
              </w:rPr>
            </w:pPr>
            <w:r w:rsidRPr="00BE1049">
              <w:rPr>
                <w:sz w:val="22"/>
                <w:szCs w:val="22"/>
                <w:lang w:val="en-US"/>
              </w:rPr>
              <w:t>Leukopeni</w:t>
            </w:r>
          </w:p>
        </w:tc>
        <w:tc>
          <w:tcPr>
            <w:tcW w:w="91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lang w:val="en-US"/>
              </w:rPr>
            </w:pPr>
            <w:r w:rsidRPr="00BE1049">
              <w:rPr>
                <w:sz w:val="22"/>
                <w:szCs w:val="22"/>
                <w:lang w:val="en-US"/>
              </w:rPr>
              <w:t>Lymfocytopeni</w:t>
            </w:r>
          </w:p>
        </w:tc>
        <w:tc>
          <w:tcPr>
            <w:tcW w:w="91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lang w:val="en-US"/>
              </w:rPr>
            </w:pPr>
            <w:r w:rsidRPr="00BE1049">
              <w:rPr>
                <w:sz w:val="22"/>
                <w:szCs w:val="22"/>
                <w:lang w:val="en-US"/>
              </w:rPr>
              <w:t>Pancytopeni</w:t>
            </w:r>
          </w:p>
        </w:tc>
        <w:tc>
          <w:tcPr>
            <w:tcW w:w="84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lang w:val="en-US"/>
              </w:rPr>
            </w:pPr>
            <w:r w:rsidRPr="00BE1049">
              <w:rPr>
                <w:sz w:val="22"/>
                <w:szCs w:val="22"/>
                <w:lang w:val="en-US"/>
              </w:rPr>
              <w:t xml:space="preserve">Trombotisk </w:t>
            </w:r>
            <w:proofErr w:type="gramStart"/>
            <w:r w:rsidRPr="00BE1049">
              <w:rPr>
                <w:sz w:val="22"/>
                <w:szCs w:val="22"/>
                <w:lang w:val="en-US"/>
              </w:rPr>
              <w:t>mikroangiopa</w:t>
            </w:r>
            <w:r w:rsidR="00BE1049">
              <w:rPr>
                <w:sz w:val="22"/>
                <w:szCs w:val="22"/>
                <w:lang w:val="en-US"/>
              </w:rPr>
              <w:t>t</w:t>
            </w:r>
            <w:r w:rsidRPr="00BE1049">
              <w:rPr>
                <w:sz w:val="22"/>
                <w:szCs w:val="22"/>
                <w:lang w:val="en-US"/>
              </w:rPr>
              <w:t>i</w:t>
            </w:r>
            <w:r w:rsidRPr="00BE1049">
              <w:rPr>
                <w:sz w:val="22"/>
                <w:szCs w:val="22"/>
                <w:vertAlign w:val="superscript"/>
                <w:lang w:val="en-US"/>
              </w:rPr>
              <w:t>h,</w:t>
            </w:r>
            <w:r w:rsidRPr="00BE1049">
              <w:rPr>
                <w:sz w:val="22"/>
                <w:szCs w:val="22"/>
                <w:lang w:val="en-US"/>
              </w:rPr>
              <w:t>*</w:t>
            </w:r>
            <w:proofErr w:type="gramEnd"/>
          </w:p>
        </w:tc>
        <w:tc>
          <w:tcPr>
            <w:tcW w:w="632" w:type="pct"/>
            <w:tcBorders>
              <w:top w:val="single" w:sz="4" w:space="0" w:color="000000"/>
              <w:left w:val="single" w:sz="4" w:space="0" w:color="000000"/>
              <w:bottom w:val="single" w:sz="4" w:space="0" w:color="000000"/>
              <w:right w:val="single" w:sz="4" w:space="0" w:color="000000"/>
            </w:tcBorders>
          </w:tcPr>
          <w:p w:rsidR="00515A85" w:rsidRPr="00BE1049" w:rsidRDefault="00515A85" w:rsidP="00BE1049">
            <w:pPr>
              <w:pStyle w:val="Sidehoved"/>
              <w:ind w:left="164" w:right="132"/>
              <w:rPr>
                <w:sz w:val="22"/>
                <w:szCs w:val="22"/>
                <w:lang w:val="en-US"/>
              </w:rPr>
            </w:pPr>
          </w:p>
        </w:tc>
      </w:tr>
      <w:tr w:rsidR="00515A85" w:rsidRPr="00F23835" w:rsidTr="00BE1049">
        <w:trPr>
          <w:trHeight w:val="20"/>
        </w:trPr>
        <w:tc>
          <w:tcPr>
            <w:tcW w:w="785"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b/>
                <w:sz w:val="22"/>
                <w:szCs w:val="22"/>
                <w:lang w:val="en-US"/>
              </w:rPr>
            </w:pPr>
            <w:r w:rsidRPr="00BE1049">
              <w:rPr>
                <w:b/>
                <w:sz w:val="22"/>
                <w:szCs w:val="22"/>
                <w:lang w:val="en-US"/>
              </w:rPr>
              <w:t>Immun-systemet</w:t>
            </w:r>
          </w:p>
        </w:tc>
        <w:tc>
          <w:tcPr>
            <w:tcW w:w="913" w:type="pct"/>
            <w:tcBorders>
              <w:top w:val="single" w:sz="4" w:space="0" w:color="000000"/>
              <w:left w:val="single" w:sz="4" w:space="0" w:color="000000"/>
              <w:bottom w:val="single" w:sz="4" w:space="0" w:color="000000"/>
              <w:right w:val="single" w:sz="4" w:space="0" w:color="000000"/>
            </w:tcBorders>
          </w:tcPr>
          <w:p w:rsidR="00515A85" w:rsidRPr="00BE1049" w:rsidRDefault="00515A85" w:rsidP="00BE1049">
            <w:pPr>
              <w:pStyle w:val="Sidehoved"/>
              <w:ind w:left="164" w:right="132"/>
              <w:rPr>
                <w:sz w:val="22"/>
                <w:szCs w:val="22"/>
                <w:lang w:val="en-US"/>
              </w:rPr>
            </w:pPr>
          </w:p>
        </w:tc>
        <w:tc>
          <w:tcPr>
            <w:tcW w:w="913" w:type="pct"/>
            <w:tcBorders>
              <w:top w:val="single" w:sz="4" w:space="0" w:color="000000"/>
              <w:left w:val="single" w:sz="4" w:space="0" w:color="000000"/>
              <w:bottom w:val="single" w:sz="4" w:space="0" w:color="000000"/>
              <w:right w:val="single" w:sz="4" w:space="0" w:color="000000"/>
            </w:tcBorders>
          </w:tcPr>
          <w:p w:rsidR="00515A85" w:rsidRPr="00BE1049" w:rsidRDefault="00515A85" w:rsidP="00BE1049">
            <w:pPr>
              <w:pStyle w:val="Sidehoved"/>
              <w:ind w:left="164" w:right="132"/>
              <w:rPr>
                <w:sz w:val="22"/>
                <w:szCs w:val="22"/>
                <w:lang w:val="en-US"/>
              </w:rPr>
            </w:pPr>
          </w:p>
        </w:tc>
        <w:tc>
          <w:tcPr>
            <w:tcW w:w="91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lang w:val="en-US"/>
              </w:rPr>
            </w:pPr>
            <w:r w:rsidRPr="00BE1049">
              <w:rPr>
                <w:sz w:val="22"/>
                <w:szCs w:val="22"/>
                <w:lang w:val="en-US"/>
              </w:rPr>
              <w:t>Overfølsomhed</w:t>
            </w:r>
          </w:p>
        </w:tc>
        <w:tc>
          <w:tcPr>
            <w:tcW w:w="84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lang w:val="en-US"/>
              </w:rPr>
            </w:pPr>
            <w:r w:rsidRPr="00BE1049">
              <w:rPr>
                <w:sz w:val="22"/>
                <w:szCs w:val="22"/>
                <w:lang w:val="en-US"/>
              </w:rPr>
              <w:t>Angioødem</w:t>
            </w:r>
          </w:p>
        </w:tc>
        <w:tc>
          <w:tcPr>
            <w:tcW w:w="632" w:type="pct"/>
            <w:tcBorders>
              <w:top w:val="single" w:sz="4" w:space="0" w:color="000000"/>
              <w:left w:val="single" w:sz="4" w:space="0" w:color="000000"/>
              <w:bottom w:val="single" w:sz="4" w:space="0" w:color="000000"/>
              <w:right w:val="single" w:sz="4" w:space="0" w:color="000000"/>
            </w:tcBorders>
          </w:tcPr>
          <w:p w:rsidR="00515A85" w:rsidRPr="00BE1049" w:rsidRDefault="00515A85" w:rsidP="00BE1049">
            <w:pPr>
              <w:pStyle w:val="Sidehoved"/>
              <w:ind w:left="164" w:right="132"/>
              <w:rPr>
                <w:sz w:val="22"/>
                <w:szCs w:val="22"/>
                <w:lang w:val="en-US"/>
              </w:rPr>
            </w:pPr>
          </w:p>
        </w:tc>
      </w:tr>
      <w:tr w:rsidR="00515A85" w:rsidRPr="00F23835" w:rsidTr="00BE1049">
        <w:trPr>
          <w:trHeight w:val="20"/>
        </w:trPr>
        <w:tc>
          <w:tcPr>
            <w:tcW w:w="785"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b/>
                <w:sz w:val="22"/>
                <w:szCs w:val="22"/>
                <w:lang w:val="en-US"/>
              </w:rPr>
            </w:pPr>
            <w:r w:rsidRPr="00BE1049">
              <w:rPr>
                <w:b/>
                <w:sz w:val="22"/>
                <w:szCs w:val="22"/>
                <w:lang w:val="en-US"/>
              </w:rPr>
              <w:t>Det endokrine system</w:t>
            </w:r>
          </w:p>
        </w:tc>
        <w:tc>
          <w:tcPr>
            <w:tcW w:w="91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lang w:val="en-US"/>
              </w:rPr>
            </w:pPr>
            <w:r w:rsidRPr="00BE1049">
              <w:rPr>
                <w:sz w:val="22"/>
                <w:szCs w:val="22"/>
                <w:lang w:val="en-US"/>
              </w:rPr>
              <w:t>Hypotyreose</w:t>
            </w:r>
          </w:p>
        </w:tc>
        <w:tc>
          <w:tcPr>
            <w:tcW w:w="913" w:type="pct"/>
            <w:tcBorders>
              <w:top w:val="single" w:sz="4" w:space="0" w:color="000000"/>
              <w:left w:val="single" w:sz="4" w:space="0" w:color="000000"/>
              <w:bottom w:val="single" w:sz="4" w:space="0" w:color="000000"/>
              <w:right w:val="single" w:sz="4" w:space="0" w:color="000000"/>
            </w:tcBorders>
          </w:tcPr>
          <w:p w:rsidR="00515A85" w:rsidRPr="00BE1049" w:rsidRDefault="00515A85" w:rsidP="00BE1049">
            <w:pPr>
              <w:pStyle w:val="Sidehoved"/>
              <w:ind w:left="164" w:right="132"/>
              <w:rPr>
                <w:sz w:val="22"/>
                <w:szCs w:val="22"/>
                <w:lang w:val="en-US"/>
              </w:rPr>
            </w:pPr>
          </w:p>
        </w:tc>
        <w:tc>
          <w:tcPr>
            <w:tcW w:w="91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lang w:val="en-US"/>
              </w:rPr>
            </w:pPr>
            <w:r w:rsidRPr="00BE1049">
              <w:rPr>
                <w:sz w:val="22"/>
                <w:szCs w:val="22"/>
                <w:lang w:val="en-US"/>
              </w:rPr>
              <w:t>Hypertyreose</w:t>
            </w:r>
          </w:p>
        </w:tc>
        <w:tc>
          <w:tcPr>
            <w:tcW w:w="84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lang w:val="en-US"/>
              </w:rPr>
            </w:pPr>
            <w:r w:rsidRPr="00BE1049">
              <w:rPr>
                <w:sz w:val="22"/>
                <w:szCs w:val="22"/>
                <w:lang w:val="en-US"/>
              </w:rPr>
              <w:t>Tyroiditis</w:t>
            </w:r>
          </w:p>
        </w:tc>
        <w:tc>
          <w:tcPr>
            <w:tcW w:w="632" w:type="pct"/>
            <w:tcBorders>
              <w:top w:val="single" w:sz="4" w:space="0" w:color="000000"/>
              <w:left w:val="single" w:sz="4" w:space="0" w:color="000000"/>
              <w:bottom w:val="single" w:sz="4" w:space="0" w:color="000000"/>
              <w:right w:val="single" w:sz="4" w:space="0" w:color="000000"/>
            </w:tcBorders>
          </w:tcPr>
          <w:p w:rsidR="00515A85" w:rsidRPr="00BE1049" w:rsidRDefault="00515A85" w:rsidP="00BE1049">
            <w:pPr>
              <w:pStyle w:val="Sidehoved"/>
              <w:ind w:left="164" w:right="132"/>
              <w:rPr>
                <w:sz w:val="22"/>
                <w:szCs w:val="22"/>
                <w:lang w:val="en-US"/>
              </w:rPr>
            </w:pPr>
          </w:p>
        </w:tc>
      </w:tr>
      <w:tr w:rsidR="00515A85" w:rsidRPr="00F23835" w:rsidTr="00BE1049">
        <w:trPr>
          <w:trHeight w:val="20"/>
        </w:trPr>
        <w:tc>
          <w:tcPr>
            <w:tcW w:w="785"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b/>
                <w:sz w:val="22"/>
                <w:szCs w:val="22"/>
                <w:lang w:val="en-US"/>
              </w:rPr>
            </w:pPr>
            <w:r w:rsidRPr="00BE1049">
              <w:rPr>
                <w:b/>
                <w:sz w:val="22"/>
                <w:szCs w:val="22"/>
                <w:lang w:val="en-US"/>
              </w:rPr>
              <w:t>Metabolisme og ernæring</w:t>
            </w:r>
          </w:p>
        </w:tc>
        <w:tc>
          <w:tcPr>
            <w:tcW w:w="91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lang w:val="en-US"/>
              </w:rPr>
            </w:pPr>
            <w:r w:rsidRPr="00BE1049">
              <w:rPr>
                <w:sz w:val="22"/>
                <w:szCs w:val="22"/>
                <w:lang w:val="en-US"/>
              </w:rPr>
              <w:t>Nedsat appetit</w:t>
            </w:r>
            <w:r w:rsidRPr="00BE1049">
              <w:rPr>
                <w:sz w:val="22"/>
                <w:szCs w:val="22"/>
                <w:vertAlign w:val="superscript"/>
                <w:lang w:val="en-US"/>
              </w:rPr>
              <w:t>i</w:t>
            </w:r>
          </w:p>
        </w:tc>
        <w:tc>
          <w:tcPr>
            <w:tcW w:w="91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lang w:val="en-US"/>
              </w:rPr>
            </w:pPr>
            <w:r w:rsidRPr="00BE1049">
              <w:rPr>
                <w:sz w:val="22"/>
                <w:szCs w:val="22"/>
                <w:lang w:val="en-US"/>
              </w:rPr>
              <w:t>Dehydrering Hypoglykæmi</w:t>
            </w:r>
          </w:p>
        </w:tc>
        <w:tc>
          <w:tcPr>
            <w:tcW w:w="913" w:type="pct"/>
            <w:tcBorders>
              <w:top w:val="single" w:sz="4" w:space="0" w:color="000000"/>
              <w:left w:val="single" w:sz="4" w:space="0" w:color="000000"/>
              <w:bottom w:val="single" w:sz="4" w:space="0" w:color="000000"/>
              <w:right w:val="single" w:sz="4" w:space="0" w:color="000000"/>
            </w:tcBorders>
          </w:tcPr>
          <w:p w:rsidR="00515A85" w:rsidRPr="00BE1049" w:rsidRDefault="00515A85" w:rsidP="00BE1049">
            <w:pPr>
              <w:pStyle w:val="Sidehoved"/>
              <w:ind w:left="164" w:right="132"/>
              <w:rPr>
                <w:sz w:val="22"/>
                <w:szCs w:val="22"/>
                <w:lang w:val="en-US"/>
              </w:rPr>
            </w:pPr>
          </w:p>
        </w:tc>
        <w:tc>
          <w:tcPr>
            <w:tcW w:w="84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lang w:val="en-US"/>
              </w:rPr>
            </w:pPr>
            <w:r w:rsidRPr="00BE1049">
              <w:rPr>
                <w:sz w:val="22"/>
                <w:szCs w:val="22"/>
                <w:lang w:val="en-US"/>
              </w:rPr>
              <w:t>Tumorlyse-syndrom*</w:t>
            </w:r>
          </w:p>
        </w:tc>
        <w:tc>
          <w:tcPr>
            <w:tcW w:w="632" w:type="pct"/>
            <w:tcBorders>
              <w:top w:val="single" w:sz="4" w:space="0" w:color="000000"/>
              <w:left w:val="single" w:sz="4" w:space="0" w:color="000000"/>
              <w:bottom w:val="single" w:sz="4" w:space="0" w:color="000000"/>
              <w:right w:val="single" w:sz="4" w:space="0" w:color="000000"/>
            </w:tcBorders>
          </w:tcPr>
          <w:p w:rsidR="00515A85" w:rsidRPr="00BE1049" w:rsidRDefault="00515A85" w:rsidP="00BE1049">
            <w:pPr>
              <w:pStyle w:val="Sidehoved"/>
              <w:ind w:left="164" w:right="132"/>
              <w:rPr>
                <w:sz w:val="22"/>
                <w:szCs w:val="22"/>
                <w:lang w:val="en-US"/>
              </w:rPr>
            </w:pPr>
          </w:p>
        </w:tc>
      </w:tr>
      <w:tr w:rsidR="00515A85" w:rsidRPr="00F23835" w:rsidTr="00BE1049">
        <w:trPr>
          <w:trHeight w:val="20"/>
        </w:trPr>
        <w:tc>
          <w:tcPr>
            <w:tcW w:w="785"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b/>
                <w:sz w:val="22"/>
                <w:szCs w:val="22"/>
                <w:lang w:val="en-US"/>
              </w:rPr>
            </w:pPr>
            <w:r w:rsidRPr="00BE1049">
              <w:rPr>
                <w:b/>
                <w:sz w:val="22"/>
                <w:szCs w:val="22"/>
                <w:lang w:val="en-US"/>
              </w:rPr>
              <w:t>Psykiske forstyrrelser</w:t>
            </w:r>
          </w:p>
        </w:tc>
        <w:tc>
          <w:tcPr>
            <w:tcW w:w="91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lang w:val="en-US"/>
              </w:rPr>
            </w:pPr>
            <w:r w:rsidRPr="00BE1049">
              <w:rPr>
                <w:sz w:val="22"/>
                <w:szCs w:val="22"/>
                <w:lang w:val="en-US"/>
              </w:rPr>
              <w:t>Insomni</w:t>
            </w:r>
          </w:p>
        </w:tc>
        <w:tc>
          <w:tcPr>
            <w:tcW w:w="91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lang w:val="en-US"/>
              </w:rPr>
            </w:pPr>
            <w:r w:rsidRPr="00BE1049">
              <w:rPr>
                <w:sz w:val="22"/>
                <w:szCs w:val="22"/>
                <w:lang w:val="en-US"/>
              </w:rPr>
              <w:t>Depression</w:t>
            </w:r>
          </w:p>
        </w:tc>
        <w:tc>
          <w:tcPr>
            <w:tcW w:w="913" w:type="pct"/>
            <w:tcBorders>
              <w:top w:val="single" w:sz="4" w:space="0" w:color="000000"/>
              <w:left w:val="single" w:sz="4" w:space="0" w:color="000000"/>
              <w:bottom w:val="single" w:sz="4" w:space="0" w:color="000000"/>
              <w:right w:val="single" w:sz="4" w:space="0" w:color="000000"/>
            </w:tcBorders>
          </w:tcPr>
          <w:p w:rsidR="00515A85" w:rsidRPr="00BE1049" w:rsidRDefault="00515A85" w:rsidP="00BE1049">
            <w:pPr>
              <w:pStyle w:val="Sidehoved"/>
              <w:ind w:left="164" w:right="132"/>
              <w:rPr>
                <w:sz w:val="22"/>
                <w:szCs w:val="22"/>
                <w:lang w:val="en-US"/>
              </w:rPr>
            </w:pPr>
          </w:p>
        </w:tc>
        <w:tc>
          <w:tcPr>
            <w:tcW w:w="843" w:type="pct"/>
            <w:tcBorders>
              <w:top w:val="single" w:sz="4" w:space="0" w:color="000000"/>
              <w:left w:val="single" w:sz="4" w:space="0" w:color="000000"/>
              <w:bottom w:val="single" w:sz="4" w:space="0" w:color="000000"/>
              <w:right w:val="single" w:sz="4" w:space="0" w:color="000000"/>
            </w:tcBorders>
          </w:tcPr>
          <w:p w:rsidR="00515A85" w:rsidRPr="00BE1049" w:rsidRDefault="00515A85" w:rsidP="00BE1049">
            <w:pPr>
              <w:pStyle w:val="Sidehoved"/>
              <w:ind w:left="164" w:right="132"/>
              <w:rPr>
                <w:sz w:val="22"/>
                <w:szCs w:val="22"/>
                <w:lang w:val="en-US"/>
              </w:rPr>
            </w:pPr>
          </w:p>
        </w:tc>
        <w:tc>
          <w:tcPr>
            <w:tcW w:w="632" w:type="pct"/>
            <w:tcBorders>
              <w:top w:val="single" w:sz="4" w:space="0" w:color="000000"/>
              <w:left w:val="single" w:sz="4" w:space="0" w:color="000000"/>
              <w:bottom w:val="single" w:sz="4" w:space="0" w:color="000000"/>
              <w:right w:val="single" w:sz="4" w:space="0" w:color="000000"/>
            </w:tcBorders>
          </w:tcPr>
          <w:p w:rsidR="00515A85" w:rsidRPr="00BE1049" w:rsidRDefault="00515A85" w:rsidP="00BE1049">
            <w:pPr>
              <w:pStyle w:val="Sidehoved"/>
              <w:ind w:left="164" w:right="132"/>
              <w:rPr>
                <w:sz w:val="22"/>
                <w:szCs w:val="22"/>
                <w:lang w:val="en-US"/>
              </w:rPr>
            </w:pPr>
          </w:p>
        </w:tc>
      </w:tr>
      <w:tr w:rsidR="00515A85" w:rsidRPr="00F23835" w:rsidTr="00BE1049">
        <w:trPr>
          <w:trHeight w:val="20"/>
        </w:trPr>
        <w:tc>
          <w:tcPr>
            <w:tcW w:w="785"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b/>
                <w:sz w:val="22"/>
                <w:szCs w:val="22"/>
                <w:lang w:val="en-US"/>
              </w:rPr>
            </w:pPr>
            <w:r w:rsidRPr="00BE1049">
              <w:rPr>
                <w:b/>
                <w:sz w:val="22"/>
                <w:szCs w:val="22"/>
                <w:lang w:val="en-US"/>
              </w:rPr>
              <w:t>Nervesystemet</w:t>
            </w:r>
          </w:p>
        </w:tc>
        <w:tc>
          <w:tcPr>
            <w:tcW w:w="91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lang w:val="en-US"/>
              </w:rPr>
            </w:pPr>
            <w:r w:rsidRPr="00BE1049">
              <w:rPr>
                <w:sz w:val="22"/>
                <w:szCs w:val="22"/>
                <w:lang w:val="en-US"/>
              </w:rPr>
              <w:t>Svimmelhed Hovedpine Smagsforstyrrelser</w:t>
            </w:r>
            <w:r w:rsidRPr="00BE1049">
              <w:rPr>
                <w:sz w:val="22"/>
                <w:szCs w:val="22"/>
                <w:vertAlign w:val="superscript"/>
                <w:lang w:val="en-US"/>
              </w:rPr>
              <w:t>j</w:t>
            </w:r>
          </w:p>
        </w:tc>
        <w:tc>
          <w:tcPr>
            <w:tcW w:w="91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lang w:val="fi-FI"/>
              </w:rPr>
            </w:pPr>
            <w:r w:rsidRPr="00BE1049">
              <w:rPr>
                <w:sz w:val="22"/>
                <w:szCs w:val="22"/>
                <w:lang w:val="fi-FI"/>
              </w:rPr>
              <w:t xml:space="preserve">Perifer neuropati </w:t>
            </w:r>
          </w:p>
          <w:p w:rsidR="00515A85" w:rsidRPr="00BE1049" w:rsidRDefault="00515A85" w:rsidP="00BE1049">
            <w:pPr>
              <w:pStyle w:val="Sidehoved"/>
              <w:ind w:left="164" w:right="132"/>
              <w:rPr>
                <w:sz w:val="22"/>
                <w:szCs w:val="22"/>
                <w:lang w:val="fi-FI"/>
              </w:rPr>
            </w:pPr>
            <w:r w:rsidRPr="00BE1049">
              <w:rPr>
                <w:sz w:val="22"/>
                <w:szCs w:val="22"/>
                <w:lang w:val="fi-FI"/>
              </w:rPr>
              <w:t>Paræstesi</w:t>
            </w:r>
          </w:p>
          <w:p w:rsidR="00515A85" w:rsidRPr="00BE1049" w:rsidRDefault="00515A85" w:rsidP="00BE1049">
            <w:pPr>
              <w:pStyle w:val="Sidehoved"/>
              <w:ind w:left="164" w:right="132"/>
              <w:rPr>
                <w:sz w:val="22"/>
                <w:szCs w:val="22"/>
                <w:lang w:val="fi-FI"/>
              </w:rPr>
            </w:pPr>
            <w:r w:rsidRPr="00BE1049">
              <w:rPr>
                <w:sz w:val="22"/>
                <w:szCs w:val="22"/>
                <w:lang w:val="fi-FI"/>
              </w:rPr>
              <w:t>Hypæstesi</w:t>
            </w:r>
          </w:p>
          <w:p w:rsidR="00515A85" w:rsidRPr="00BE1049" w:rsidRDefault="00515A85" w:rsidP="00BE1049">
            <w:pPr>
              <w:pStyle w:val="Sidehoved"/>
              <w:ind w:left="164" w:right="132"/>
              <w:rPr>
                <w:sz w:val="22"/>
                <w:szCs w:val="22"/>
                <w:lang w:val="fi-FI"/>
              </w:rPr>
            </w:pPr>
            <w:r w:rsidRPr="00BE1049">
              <w:rPr>
                <w:sz w:val="22"/>
                <w:szCs w:val="22"/>
                <w:lang w:val="fi-FI"/>
              </w:rPr>
              <w:t>Hyperæstesi</w:t>
            </w:r>
          </w:p>
        </w:tc>
        <w:tc>
          <w:tcPr>
            <w:tcW w:w="913" w:type="pct"/>
            <w:tcBorders>
              <w:top w:val="single" w:sz="4" w:space="0" w:color="000000"/>
              <w:left w:val="single" w:sz="4" w:space="0" w:color="000000"/>
              <w:bottom w:val="single" w:sz="4" w:space="0" w:color="000000"/>
              <w:right w:val="single" w:sz="4" w:space="0" w:color="000000"/>
            </w:tcBorders>
            <w:hideMark/>
          </w:tcPr>
          <w:p w:rsidR="00BE1049" w:rsidRDefault="00515A85" w:rsidP="00BE1049">
            <w:pPr>
              <w:pStyle w:val="Sidehoved"/>
              <w:ind w:left="164" w:right="132"/>
              <w:rPr>
                <w:sz w:val="22"/>
                <w:szCs w:val="22"/>
              </w:rPr>
            </w:pPr>
            <w:r w:rsidRPr="00BE1049">
              <w:rPr>
                <w:sz w:val="22"/>
                <w:szCs w:val="22"/>
              </w:rPr>
              <w:t xml:space="preserve">Cerebral blødning* </w:t>
            </w:r>
          </w:p>
          <w:p w:rsidR="00515A85" w:rsidRPr="00BE1049" w:rsidRDefault="00515A85" w:rsidP="00BE1049">
            <w:pPr>
              <w:pStyle w:val="Sidehoved"/>
              <w:ind w:left="164" w:right="132"/>
              <w:rPr>
                <w:sz w:val="22"/>
                <w:szCs w:val="22"/>
              </w:rPr>
            </w:pPr>
            <w:r w:rsidRPr="00BE1049">
              <w:rPr>
                <w:sz w:val="22"/>
                <w:szCs w:val="22"/>
              </w:rPr>
              <w:t>Cerebrovaskulær hændelse* Transitorisk cerebral iskæmi</w:t>
            </w:r>
          </w:p>
        </w:tc>
        <w:tc>
          <w:tcPr>
            <w:tcW w:w="84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lang w:val="en-US"/>
              </w:rPr>
            </w:pPr>
            <w:r w:rsidRPr="00BE1049">
              <w:rPr>
                <w:sz w:val="22"/>
                <w:szCs w:val="22"/>
                <w:lang w:val="en-US"/>
              </w:rPr>
              <w:t>Posteriort reversibelt encefalopati-syndrom*</w:t>
            </w:r>
          </w:p>
        </w:tc>
        <w:tc>
          <w:tcPr>
            <w:tcW w:w="632" w:type="pct"/>
            <w:tcBorders>
              <w:top w:val="single" w:sz="4" w:space="0" w:color="000000"/>
              <w:left w:val="single" w:sz="4" w:space="0" w:color="000000"/>
              <w:bottom w:val="single" w:sz="4" w:space="0" w:color="000000"/>
              <w:right w:val="single" w:sz="4" w:space="0" w:color="000000"/>
            </w:tcBorders>
          </w:tcPr>
          <w:p w:rsidR="00515A85" w:rsidRPr="00BE1049" w:rsidRDefault="00966528" w:rsidP="00BE1049">
            <w:pPr>
              <w:pStyle w:val="Sidehoved"/>
              <w:ind w:left="164" w:right="132"/>
              <w:rPr>
                <w:sz w:val="22"/>
                <w:szCs w:val="22"/>
                <w:lang w:val="en-US"/>
              </w:rPr>
            </w:pPr>
            <w:r w:rsidRPr="00BE1049">
              <w:rPr>
                <w:sz w:val="22"/>
                <w:szCs w:val="22"/>
                <w:lang w:val="en-US"/>
              </w:rPr>
              <w:t>Hyper-ammonæmisk</w:t>
            </w:r>
            <w:r w:rsidR="00BE1049">
              <w:rPr>
                <w:sz w:val="22"/>
                <w:szCs w:val="22"/>
                <w:lang w:val="en-US"/>
              </w:rPr>
              <w:t xml:space="preserve"> </w:t>
            </w:r>
            <w:r w:rsidRPr="00BE1049">
              <w:rPr>
                <w:sz w:val="22"/>
                <w:szCs w:val="22"/>
                <w:lang w:val="en-US"/>
              </w:rPr>
              <w:t>encefalopati</w:t>
            </w:r>
          </w:p>
        </w:tc>
      </w:tr>
      <w:tr w:rsidR="00515A85" w:rsidRPr="00F23835" w:rsidTr="00BE1049">
        <w:trPr>
          <w:trHeight w:val="20"/>
        </w:trPr>
        <w:tc>
          <w:tcPr>
            <w:tcW w:w="785"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b/>
                <w:sz w:val="22"/>
                <w:szCs w:val="22"/>
                <w:lang w:val="en-US"/>
              </w:rPr>
            </w:pPr>
            <w:r w:rsidRPr="00BE1049">
              <w:rPr>
                <w:b/>
                <w:sz w:val="22"/>
                <w:szCs w:val="22"/>
                <w:lang w:val="en-US"/>
              </w:rPr>
              <w:t>Øjne</w:t>
            </w:r>
          </w:p>
        </w:tc>
        <w:tc>
          <w:tcPr>
            <w:tcW w:w="913" w:type="pct"/>
            <w:tcBorders>
              <w:top w:val="single" w:sz="4" w:space="0" w:color="000000"/>
              <w:left w:val="single" w:sz="4" w:space="0" w:color="000000"/>
              <w:bottom w:val="single" w:sz="4" w:space="0" w:color="000000"/>
              <w:right w:val="single" w:sz="4" w:space="0" w:color="000000"/>
            </w:tcBorders>
          </w:tcPr>
          <w:p w:rsidR="00515A85" w:rsidRPr="00BE1049" w:rsidRDefault="00515A85" w:rsidP="00BE1049">
            <w:pPr>
              <w:pStyle w:val="Sidehoved"/>
              <w:ind w:left="164" w:right="132"/>
              <w:rPr>
                <w:sz w:val="22"/>
                <w:szCs w:val="22"/>
                <w:lang w:val="en-US"/>
              </w:rPr>
            </w:pPr>
          </w:p>
        </w:tc>
        <w:tc>
          <w:tcPr>
            <w:tcW w:w="91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rPr>
            </w:pPr>
            <w:r w:rsidRPr="00BE1049">
              <w:rPr>
                <w:sz w:val="22"/>
                <w:szCs w:val="22"/>
              </w:rPr>
              <w:t>Periorbitalt ødem Øjenlågsødem</w:t>
            </w:r>
          </w:p>
          <w:p w:rsidR="00515A85" w:rsidRPr="00BE1049" w:rsidRDefault="00515A85" w:rsidP="00BE1049">
            <w:pPr>
              <w:pStyle w:val="Sidehoved"/>
              <w:ind w:left="164" w:right="132"/>
              <w:rPr>
                <w:sz w:val="22"/>
                <w:szCs w:val="22"/>
              </w:rPr>
            </w:pPr>
            <w:r w:rsidRPr="00BE1049">
              <w:rPr>
                <w:sz w:val="22"/>
                <w:szCs w:val="22"/>
              </w:rPr>
              <w:t>Øget tåresekretion</w:t>
            </w:r>
          </w:p>
        </w:tc>
        <w:tc>
          <w:tcPr>
            <w:tcW w:w="913" w:type="pct"/>
            <w:tcBorders>
              <w:top w:val="single" w:sz="4" w:space="0" w:color="000000"/>
              <w:left w:val="single" w:sz="4" w:space="0" w:color="000000"/>
              <w:bottom w:val="single" w:sz="4" w:space="0" w:color="000000"/>
              <w:right w:val="single" w:sz="4" w:space="0" w:color="000000"/>
            </w:tcBorders>
          </w:tcPr>
          <w:p w:rsidR="00515A85" w:rsidRPr="00BE1049" w:rsidRDefault="00515A85" w:rsidP="00BE1049">
            <w:pPr>
              <w:pStyle w:val="Sidehoved"/>
              <w:ind w:left="164" w:right="132"/>
              <w:rPr>
                <w:sz w:val="22"/>
                <w:szCs w:val="22"/>
              </w:rPr>
            </w:pPr>
          </w:p>
        </w:tc>
        <w:tc>
          <w:tcPr>
            <w:tcW w:w="843" w:type="pct"/>
            <w:tcBorders>
              <w:top w:val="single" w:sz="4" w:space="0" w:color="000000"/>
              <w:left w:val="single" w:sz="4" w:space="0" w:color="000000"/>
              <w:bottom w:val="single" w:sz="4" w:space="0" w:color="000000"/>
              <w:right w:val="single" w:sz="4" w:space="0" w:color="000000"/>
            </w:tcBorders>
          </w:tcPr>
          <w:p w:rsidR="00515A85" w:rsidRPr="00BE1049" w:rsidRDefault="00515A85" w:rsidP="00BE1049">
            <w:pPr>
              <w:pStyle w:val="Sidehoved"/>
              <w:ind w:left="164" w:right="132"/>
              <w:rPr>
                <w:sz w:val="22"/>
                <w:szCs w:val="22"/>
              </w:rPr>
            </w:pPr>
          </w:p>
        </w:tc>
        <w:tc>
          <w:tcPr>
            <w:tcW w:w="632" w:type="pct"/>
            <w:tcBorders>
              <w:top w:val="single" w:sz="4" w:space="0" w:color="000000"/>
              <w:left w:val="single" w:sz="4" w:space="0" w:color="000000"/>
              <w:bottom w:val="single" w:sz="4" w:space="0" w:color="000000"/>
              <w:right w:val="single" w:sz="4" w:space="0" w:color="000000"/>
            </w:tcBorders>
          </w:tcPr>
          <w:p w:rsidR="00515A85" w:rsidRPr="00BE1049" w:rsidRDefault="00515A85" w:rsidP="00BE1049">
            <w:pPr>
              <w:pStyle w:val="Sidehoved"/>
              <w:ind w:left="164" w:right="132"/>
              <w:rPr>
                <w:sz w:val="22"/>
                <w:szCs w:val="22"/>
              </w:rPr>
            </w:pPr>
          </w:p>
        </w:tc>
      </w:tr>
      <w:tr w:rsidR="00515A85" w:rsidRPr="00F23835" w:rsidTr="00BE1049">
        <w:trPr>
          <w:trHeight w:val="20"/>
        </w:trPr>
        <w:tc>
          <w:tcPr>
            <w:tcW w:w="785"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b/>
                <w:sz w:val="22"/>
                <w:szCs w:val="22"/>
                <w:lang w:val="en-US"/>
              </w:rPr>
            </w:pPr>
            <w:r w:rsidRPr="00BE1049">
              <w:rPr>
                <w:b/>
                <w:sz w:val="22"/>
                <w:szCs w:val="22"/>
                <w:lang w:val="en-US"/>
              </w:rPr>
              <w:lastRenderedPageBreak/>
              <w:t>Hjerte</w:t>
            </w:r>
          </w:p>
        </w:tc>
        <w:tc>
          <w:tcPr>
            <w:tcW w:w="913" w:type="pct"/>
            <w:tcBorders>
              <w:top w:val="single" w:sz="4" w:space="0" w:color="000000"/>
              <w:left w:val="single" w:sz="4" w:space="0" w:color="000000"/>
              <w:bottom w:val="single" w:sz="4" w:space="0" w:color="000000"/>
              <w:right w:val="single" w:sz="4" w:space="0" w:color="000000"/>
            </w:tcBorders>
          </w:tcPr>
          <w:p w:rsidR="00515A85" w:rsidRPr="00BE1049" w:rsidRDefault="00515A85" w:rsidP="00BE1049">
            <w:pPr>
              <w:pStyle w:val="Sidehoved"/>
              <w:ind w:left="164" w:right="132"/>
              <w:rPr>
                <w:sz w:val="22"/>
                <w:szCs w:val="22"/>
                <w:lang w:val="en-US"/>
              </w:rPr>
            </w:pPr>
          </w:p>
        </w:tc>
        <w:tc>
          <w:tcPr>
            <w:tcW w:w="91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lang w:val="en-US"/>
              </w:rPr>
            </w:pPr>
            <w:proofErr w:type="gramStart"/>
            <w:r w:rsidRPr="00BE1049">
              <w:rPr>
                <w:sz w:val="22"/>
                <w:szCs w:val="22"/>
                <w:lang w:val="en-US"/>
              </w:rPr>
              <w:t>Myokardieiskæmi</w:t>
            </w:r>
            <w:r w:rsidRPr="00BE1049">
              <w:rPr>
                <w:sz w:val="22"/>
                <w:szCs w:val="22"/>
                <w:vertAlign w:val="superscript"/>
                <w:lang w:val="en-US"/>
              </w:rPr>
              <w:t>k,</w:t>
            </w:r>
            <w:r w:rsidRPr="00BE1049">
              <w:rPr>
                <w:sz w:val="22"/>
                <w:szCs w:val="22"/>
                <w:lang w:val="en-US"/>
              </w:rPr>
              <w:t>*</w:t>
            </w:r>
            <w:proofErr w:type="gramEnd"/>
          </w:p>
          <w:p w:rsidR="00515A85" w:rsidRPr="00BE1049" w:rsidRDefault="00515A85" w:rsidP="00BE1049">
            <w:pPr>
              <w:pStyle w:val="Sidehoved"/>
              <w:ind w:left="164" w:right="132"/>
              <w:rPr>
                <w:sz w:val="22"/>
                <w:szCs w:val="22"/>
                <w:lang w:val="en-US"/>
              </w:rPr>
            </w:pPr>
            <w:r w:rsidRPr="00BE1049">
              <w:rPr>
                <w:sz w:val="22"/>
                <w:szCs w:val="22"/>
                <w:lang w:val="en-US"/>
              </w:rPr>
              <w:t>Nedsat uddrivningsfraktion</w:t>
            </w:r>
            <w:r w:rsidRPr="00BE1049">
              <w:rPr>
                <w:sz w:val="22"/>
                <w:szCs w:val="22"/>
                <w:vertAlign w:val="superscript"/>
                <w:lang w:val="en-US"/>
              </w:rPr>
              <w:t>l</w:t>
            </w:r>
          </w:p>
        </w:tc>
        <w:tc>
          <w:tcPr>
            <w:tcW w:w="913" w:type="pct"/>
            <w:tcBorders>
              <w:top w:val="single" w:sz="4" w:space="0" w:color="000000"/>
              <w:left w:val="single" w:sz="4" w:space="0" w:color="000000"/>
              <w:bottom w:val="single" w:sz="4" w:space="0" w:color="000000"/>
              <w:right w:val="single" w:sz="4" w:space="0" w:color="000000"/>
            </w:tcBorders>
            <w:hideMark/>
          </w:tcPr>
          <w:p w:rsidR="00BE1049" w:rsidRDefault="00515A85" w:rsidP="00BE1049">
            <w:pPr>
              <w:pStyle w:val="Sidehoved"/>
              <w:ind w:left="164" w:right="132"/>
              <w:rPr>
                <w:sz w:val="22"/>
                <w:szCs w:val="22"/>
              </w:rPr>
            </w:pPr>
            <w:r w:rsidRPr="00BE1049">
              <w:rPr>
                <w:sz w:val="22"/>
                <w:szCs w:val="22"/>
              </w:rPr>
              <w:t xml:space="preserve">Congestiv hjerteinsufficiens </w:t>
            </w:r>
            <w:proofErr w:type="gramStart"/>
            <w:r w:rsidRPr="00BE1049">
              <w:rPr>
                <w:sz w:val="22"/>
                <w:szCs w:val="22"/>
              </w:rPr>
              <w:t>Myokardieinfarkt</w:t>
            </w:r>
            <w:r w:rsidRPr="00BE1049">
              <w:rPr>
                <w:sz w:val="22"/>
                <w:szCs w:val="22"/>
                <w:vertAlign w:val="superscript"/>
              </w:rPr>
              <w:t>m,</w:t>
            </w:r>
            <w:r w:rsidRPr="00BE1049">
              <w:rPr>
                <w:sz w:val="22"/>
                <w:szCs w:val="22"/>
              </w:rPr>
              <w:t>*</w:t>
            </w:r>
            <w:proofErr w:type="gramEnd"/>
            <w:r w:rsidRPr="00BE1049">
              <w:rPr>
                <w:sz w:val="22"/>
                <w:szCs w:val="22"/>
              </w:rPr>
              <w:t xml:space="preserve"> </w:t>
            </w:r>
          </w:p>
          <w:p w:rsidR="00BE1049" w:rsidRDefault="00515A85" w:rsidP="00BE1049">
            <w:pPr>
              <w:pStyle w:val="Sidehoved"/>
              <w:ind w:left="164" w:right="132"/>
              <w:rPr>
                <w:sz w:val="22"/>
                <w:szCs w:val="22"/>
              </w:rPr>
            </w:pPr>
            <w:r w:rsidRPr="00BE1049">
              <w:rPr>
                <w:sz w:val="22"/>
                <w:szCs w:val="22"/>
              </w:rPr>
              <w:t xml:space="preserve">Hjertesvigt* Kardiomyopati* Perikardieeffusion </w:t>
            </w:r>
          </w:p>
          <w:p w:rsidR="00515A85" w:rsidRPr="00BE1049" w:rsidRDefault="00515A85" w:rsidP="00BE1049">
            <w:pPr>
              <w:pStyle w:val="Sidehoved"/>
              <w:ind w:left="164" w:right="132"/>
              <w:rPr>
                <w:sz w:val="22"/>
                <w:szCs w:val="22"/>
              </w:rPr>
            </w:pPr>
            <w:r w:rsidRPr="00BE1049">
              <w:rPr>
                <w:sz w:val="22"/>
                <w:szCs w:val="22"/>
              </w:rPr>
              <w:t>Forlænget QT-interval i EKG</w:t>
            </w:r>
          </w:p>
        </w:tc>
        <w:tc>
          <w:tcPr>
            <w:tcW w:w="84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rPr>
            </w:pPr>
            <w:r w:rsidRPr="00BE1049">
              <w:rPr>
                <w:sz w:val="22"/>
                <w:szCs w:val="22"/>
              </w:rPr>
              <w:t>Venstre ventrikelsvigt* Torsades de pointes</w:t>
            </w:r>
          </w:p>
        </w:tc>
        <w:tc>
          <w:tcPr>
            <w:tcW w:w="632" w:type="pct"/>
            <w:tcBorders>
              <w:top w:val="single" w:sz="4" w:space="0" w:color="000000"/>
              <w:left w:val="single" w:sz="4" w:space="0" w:color="000000"/>
              <w:bottom w:val="single" w:sz="4" w:space="0" w:color="000000"/>
              <w:right w:val="single" w:sz="4" w:space="0" w:color="000000"/>
            </w:tcBorders>
          </w:tcPr>
          <w:p w:rsidR="00515A85" w:rsidRPr="00BE1049" w:rsidRDefault="00515A85" w:rsidP="00BE1049">
            <w:pPr>
              <w:pStyle w:val="Sidehoved"/>
              <w:ind w:left="164" w:right="132"/>
              <w:rPr>
                <w:sz w:val="22"/>
                <w:szCs w:val="22"/>
              </w:rPr>
            </w:pPr>
          </w:p>
        </w:tc>
      </w:tr>
      <w:tr w:rsidR="00515A85" w:rsidRPr="00F23835" w:rsidTr="00BE1049">
        <w:trPr>
          <w:trHeight w:val="20"/>
        </w:trPr>
        <w:tc>
          <w:tcPr>
            <w:tcW w:w="785"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b/>
                <w:sz w:val="22"/>
                <w:szCs w:val="22"/>
                <w:lang w:val="en-US"/>
              </w:rPr>
            </w:pPr>
            <w:r w:rsidRPr="00BE1049">
              <w:rPr>
                <w:b/>
                <w:sz w:val="22"/>
                <w:szCs w:val="22"/>
                <w:lang w:val="en-US"/>
              </w:rPr>
              <w:t>Vaskulære sygdomme</w:t>
            </w:r>
          </w:p>
        </w:tc>
        <w:tc>
          <w:tcPr>
            <w:tcW w:w="91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lang w:val="en-US"/>
              </w:rPr>
            </w:pPr>
            <w:r w:rsidRPr="00BE1049">
              <w:rPr>
                <w:sz w:val="22"/>
                <w:szCs w:val="22"/>
                <w:lang w:val="en-US"/>
              </w:rPr>
              <w:t>Hypertension</w:t>
            </w:r>
          </w:p>
        </w:tc>
        <w:tc>
          <w:tcPr>
            <w:tcW w:w="913" w:type="pct"/>
            <w:tcBorders>
              <w:top w:val="single" w:sz="4" w:space="0" w:color="000000"/>
              <w:left w:val="single" w:sz="4" w:space="0" w:color="000000"/>
              <w:bottom w:val="single" w:sz="4" w:space="0" w:color="000000"/>
              <w:right w:val="single" w:sz="4" w:space="0" w:color="000000"/>
            </w:tcBorders>
            <w:hideMark/>
          </w:tcPr>
          <w:p w:rsidR="00BE1049" w:rsidRDefault="00515A85" w:rsidP="00BE1049">
            <w:pPr>
              <w:pStyle w:val="Sidehoved"/>
              <w:ind w:left="164" w:right="132"/>
              <w:rPr>
                <w:sz w:val="22"/>
                <w:szCs w:val="22"/>
                <w:lang w:val="en-US"/>
              </w:rPr>
            </w:pPr>
            <w:r w:rsidRPr="00BE1049">
              <w:rPr>
                <w:sz w:val="22"/>
                <w:szCs w:val="22"/>
                <w:lang w:val="en-US"/>
              </w:rPr>
              <w:t xml:space="preserve">Dyb venetrombose </w:t>
            </w:r>
          </w:p>
          <w:p w:rsidR="00BE1049" w:rsidRDefault="00515A85" w:rsidP="00BE1049">
            <w:pPr>
              <w:pStyle w:val="Sidehoved"/>
              <w:ind w:left="164" w:right="132"/>
              <w:rPr>
                <w:sz w:val="22"/>
                <w:szCs w:val="22"/>
                <w:lang w:val="en-US"/>
              </w:rPr>
            </w:pPr>
            <w:r w:rsidRPr="00BE1049">
              <w:rPr>
                <w:sz w:val="22"/>
                <w:szCs w:val="22"/>
                <w:lang w:val="en-US"/>
              </w:rPr>
              <w:t xml:space="preserve">Hedeture </w:t>
            </w:r>
          </w:p>
          <w:p w:rsidR="00515A85" w:rsidRPr="00BE1049" w:rsidRDefault="00515A85" w:rsidP="00BE1049">
            <w:pPr>
              <w:pStyle w:val="Sidehoved"/>
              <w:ind w:left="164" w:right="132"/>
              <w:rPr>
                <w:sz w:val="22"/>
                <w:szCs w:val="22"/>
                <w:lang w:val="en-US"/>
              </w:rPr>
            </w:pPr>
            <w:r w:rsidRPr="00BE1049">
              <w:rPr>
                <w:sz w:val="22"/>
                <w:szCs w:val="22"/>
                <w:lang w:val="en-US"/>
              </w:rPr>
              <w:t>Ansigtsrødme</w:t>
            </w:r>
          </w:p>
        </w:tc>
        <w:tc>
          <w:tcPr>
            <w:tcW w:w="91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lang w:val="en-US"/>
              </w:rPr>
            </w:pPr>
            <w:r w:rsidRPr="00BE1049">
              <w:rPr>
                <w:sz w:val="22"/>
                <w:szCs w:val="22"/>
                <w:lang w:val="en-US"/>
              </w:rPr>
              <w:t>Tumorblødning*</w:t>
            </w:r>
          </w:p>
        </w:tc>
        <w:tc>
          <w:tcPr>
            <w:tcW w:w="843" w:type="pct"/>
            <w:tcBorders>
              <w:top w:val="single" w:sz="4" w:space="0" w:color="000000"/>
              <w:left w:val="single" w:sz="4" w:space="0" w:color="000000"/>
              <w:bottom w:val="single" w:sz="4" w:space="0" w:color="000000"/>
              <w:right w:val="single" w:sz="4" w:space="0" w:color="000000"/>
            </w:tcBorders>
          </w:tcPr>
          <w:p w:rsidR="00515A85" w:rsidRPr="00BE1049" w:rsidRDefault="00515A85" w:rsidP="00BE1049">
            <w:pPr>
              <w:pStyle w:val="Sidehoved"/>
              <w:ind w:left="164" w:right="132"/>
              <w:rPr>
                <w:sz w:val="22"/>
                <w:szCs w:val="22"/>
                <w:lang w:val="en-US"/>
              </w:rPr>
            </w:pPr>
          </w:p>
        </w:tc>
        <w:tc>
          <w:tcPr>
            <w:tcW w:w="632"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lang w:val="en-US"/>
              </w:rPr>
            </w:pPr>
            <w:r w:rsidRPr="00BE1049">
              <w:rPr>
                <w:color w:val="000000" w:themeColor="text1"/>
                <w:sz w:val="22"/>
                <w:szCs w:val="22"/>
                <w:lang w:val="en-US"/>
              </w:rPr>
              <w:t>Aneurismer og arterielle dissektioner*</w:t>
            </w:r>
          </w:p>
        </w:tc>
      </w:tr>
      <w:tr w:rsidR="00515A85" w:rsidRPr="00F23835" w:rsidTr="00BE1049">
        <w:trPr>
          <w:trHeight w:val="20"/>
        </w:trPr>
        <w:tc>
          <w:tcPr>
            <w:tcW w:w="785"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b/>
                <w:sz w:val="22"/>
                <w:szCs w:val="22"/>
                <w:lang w:val="en-US"/>
              </w:rPr>
            </w:pPr>
            <w:r w:rsidRPr="00BE1049">
              <w:rPr>
                <w:b/>
                <w:sz w:val="22"/>
                <w:szCs w:val="22"/>
                <w:lang w:val="en-US"/>
              </w:rPr>
              <w:t>Luftveje, thorax og mediastinum</w:t>
            </w:r>
          </w:p>
        </w:tc>
        <w:tc>
          <w:tcPr>
            <w:tcW w:w="91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lang w:val="en-US"/>
              </w:rPr>
            </w:pPr>
            <w:r w:rsidRPr="00BE1049">
              <w:rPr>
                <w:sz w:val="22"/>
                <w:szCs w:val="22"/>
                <w:lang w:val="en-US"/>
              </w:rPr>
              <w:t>Dyspnø</w:t>
            </w:r>
          </w:p>
          <w:p w:rsidR="00515A85" w:rsidRPr="00BE1049" w:rsidRDefault="00515A85" w:rsidP="00BE1049">
            <w:pPr>
              <w:pStyle w:val="Sidehoved"/>
              <w:ind w:left="164" w:right="132"/>
              <w:rPr>
                <w:sz w:val="22"/>
                <w:szCs w:val="22"/>
                <w:lang w:val="en-US"/>
              </w:rPr>
            </w:pPr>
            <w:r w:rsidRPr="00BE1049">
              <w:rPr>
                <w:sz w:val="22"/>
                <w:szCs w:val="22"/>
                <w:lang w:val="en-US"/>
              </w:rPr>
              <w:t>Epistaxis</w:t>
            </w:r>
          </w:p>
          <w:p w:rsidR="00515A85" w:rsidRPr="00BE1049" w:rsidRDefault="00515A85" w:rsidP="00BE1049">
            <w:pPr>
              <w:pStyle w:val="Sidehoved"/>
              <w:ind w:left="164" w:right="132"/>
              <w:rPr>
                <w:sz w:val="22"/>
                <w:szCs w:val="22"/>
                <w:lang w:val="en-US"/>
              </w:rPr>
            </w:pPr>
            <w:r w:rsidRPr="00BE1049">
              <w:rPr>
                <w:sz w:val="22"/>
                <w:szCs w:val="22"/>
                <w:lang w:val="en-US"/>
              </w:rPr>
              <w:t>Hoste</w:t>
            </w:r>
          </w:p>
        </w:tc>
        <w:tc>
          <w:tcPr>
            <w:tcW w:w="91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rPr>
            </w:pPr>
            <w:r w:rsidRPr="00BE1049">
              <w:rPr>
                <w:sz w:val="22"/>
                <w:szCs w:val="22"/>
              </w:rPr>
              <w:t>Lungeemboli*</w:t>
            </w:r>
          </w:p>
          <w:p w:rsidR="00515A85" w:rsidRPr="00BE1049" w:rsidRDefault="00515A85" w:rsidP="00BE1049">
            <w:pPr>
              <w:pStyle w:val="Sidehoved"/>
              <w:ind w:left="164" w:right="132"/>
              <w:rPr>
                <w:sz w:val="22"/>
                <w:szCs w:val="22"/>
              </w:rPr>
            </w:pPr>
            <w:r w:rsidRPr="00BE1049">
              <w:rPr>
                <w:sz w:val="22"/>
                <w:szCs w:val="22"/>
              </w:rPr>
              <w:t xml:space="preserve">Pleuraeffusion* Hæmoptyse </w:t>
            </w:r>
          </w:p>
          <w:p w:rsidR="00515A85" w:rsidRPr="00BE1049" w:rsidRDefault="00515A85" w:rsidP="00BE1049">
            <w:pPr>
              <w:pStyle w:val="Sidehoved"/>
              <w:ind w:left="164" w:right="132"/>
              <w:rPr>
                <w:sz w:val="22"/>
                <w:szCs w:val="22"/>
              </w:rPr>
            </w:pPr>
            <w:r w:rsidRPr="00BE1049">
              <w:rPr>
                <w:sz w:val="22"/>
                <w:szCs w:val="22"/>
              </w:rPr>
              <w:t>Dyspnø ved anstrengelse</w:t>
            </w:r>
          </w:p>
          <w:p w:rsidR="00515A85" w:rsidRPr="00BE1049" w:rsidRDefault="00515A85" w:rsidP="00BE1049">
            <w:pPr>
              <w:pStyle w:val="Sidehoved"/>
              <w:ind w:left="164" w:right="132"/>
              <w:rPr>
                <w:sz w:val="22"/>
                <w:szCs w:val="22"/>
              </w:rPr>
            </w:pPr>
            <w:r w:rsidRPr="00BE1049">
              <w:rPr>
                <w:sz w:val="22"/>
                <w:szCs w:val="22"/>
              </w:rPr>
              <w:t>Orofaryngeal smerte</w:t>
            </w:r>
            <w:r w:rsidRPr="00BE1049">
              <w:rPr>
                <w:sz w:val="22"/>
                <w:szCs w:val="22"/>
                <w:vertAlign w:val="superscript"/>
              </w:rPr>
              <w:t>n</w:t>
            </w:r>
          </w:p>
          <w:p w:rsidR="00515A85" w:rsidRPr="00BE1049" w:rsidRDefault="00515A85" w:rsidP="00BE1049">
            <w:pPr>
              <w:pStyle w:val="Sidehoved"/>
              <w:ind w:left="164" w:right="132"/>
              <w:rPr>
                <w:sz w:val="22"/>
                <w:szCs w:val="22"/>
              </w:rPr>
            </w:pPr>
            <w:r w:rsidRPr="00BE1049">
              <w:rPr>
                <w:sz w:val="22"/>
                <w:szCs w:val="22"/>
              </w:rPr>
              <w:t xml:space="preserve">Tilstoppet næse </w:t>
            </w:r>
          </w:p>
          <w:p w:rsidR="00515A85" w:rsidRPr="00BE1049" w:rsidRDefault="00515A85" w:rsidP="00BE1049">
            <w:pPr>
              <w:pStyle w:val="Sidehoved"/>
              <w:ind w:left="164" w:right="132"/>
              <w:rPr>
                <w:sz w:val="22"/>
                <w:szCs w:val="22"/>
              </w:rPr>
            </w:pPr>
            <w:r w:rsidRPr="00BE1049">
              <w:rPr>
                <w:sz w:val="22"/>
                <w:szCs w:val="22"/>
              </w:rPr>
              <w:t>Tørhed i næsen</w:t>
            </w:r>
          </w:p>
        </w:tc>
        <w:tc>
          <w:tcPr>
            <w:tcW w:w="913" w:type="pct"/>
            <w:tcBorders>
              <w:top w:val="single" w:sz="4" w:space="0" w:color="000000"/>
              <w:left w:val="single" w:sz="4" w:space="0" w:color="000000"/>
              <w:bottom w:val="single" w:sz="4" w:space="0" w:color="000000"/>
              <w:right w:val="single" w:sz="4" w:space="0" w:color="000000"/>
            </w:tcBorders>
            <w:hideMark/>
          </w:tcPr>
          <w:p w:rsidR="00BE1049" w:rsidRDefault="00515A85" w:rsidP="00BE1049">
            <w:pPr>
              <w:pStyle w:val="Sidehoved"/>
              <w:ind w:left="164" w:right="132"/>
              <w:rPr>
                <w:sz w:val="22"/>
                <w:szCs w:val="22"/>
                <w:lang w:val="en-US"/>
              </w:rPr>
            </w:pPr>
            <w:r w:rsidRPr="00BE1049">
              <w:rPr>
                <w:sz w:val="22"/>
                <w:szCs w:val="22"/>
                <w:lang w:val="en-US"/>
              </w:rPr>
              <w:t xml:space="preserve">Pulmonal blødning* </w:t>
            </w:r>
          </w:p>
          <w:p w:rsidR="00515A85" w:rsidRPr="00BE1049" w:rsidRDefault="00515A85" w:rsidP="00BE1049">
            <w:pPr>
              <w:pStyle w:val="Sidehoved"/>
              <w:ind w:left="164" w:right="132"/>
              <w:rPr>
                <w:sz w:val="22"/>
                <w:szCs w:val="22"/>
                <w:lang w:val="en-US"/>
              </w:rPr>
            </w:pPr>
            <w:r w:rsidRPr="00BE1049">
              <w:rPr>
                <w:sz w:val="22"/>
                <w:szCs w:val="22"/>
                <w:lang w:val="en-US"/>
              </w:rPr>
              <w:t>Respirationssvigt*</w:t>
            </w:r>
          </w:p>
        </w:tc>
        <w:tc>
          <w:tcPr>
            <w:tcW w:w="843" w:type="pct"/>
            <w:tcBorders>
              <w:top w:val="single" w:sz="4" w:space="0" w:color="000000"/>
              <w:left w:val="single" w:sz="4" w:space="0" w:color="000000"/>
              <w:bottom w:val="single" w:sz="4" w:space="0" w:color="000000"/>
              <w:right w:val="single" w:sz="4" w:space="0" w:color="000000"/>
            </w:tcBorders>
          </w:tcPr>
          <w:p w:rsidR="00515A85" w:rsidRPr="00BE1049" w:rsidRDefault="00515A85" w:rsidP="00BE1049">
            <w:pPr>
              <w:pStyle w:val="Sidehoved"/>
              <w:ind w:left="164" w:right="132"/>
              <w:rPr>
                <w:sz w:val="22"/>
                <w:szCs w:val="22"/>
                <w:lang w:val="en-US"/>
              </w:rPr>
            </w:pPr>
          </w:p>
        </w:tc>
        <w:tc>
          <w:tcPr>
            <w:tcW w:w="632" w:type="pct"/>
            <w:tcBorders>
              <w:top w:val="single" w:sz="4" w:space="0" w:color="000000"/>
              <w:left w:val="single" w:sz="4" w:space="0" w:color="000000"/>
              <w:bottom w:val="single" w:sz="4" w:space="0" w:color="000000"/>
              <w:right w:val="single" w:sz="4" w:space="0" w:color="000000"/>
            </w:tcBorders>
          </w:tcPr>
          <w:p w:rsidR="00515A85" w:rsidRPr="00BE1049" w:rsidRDefault="00515A85" w:rsidP="00BE1049">
            <w:pPr>
              <w:pStyle w:val="Sidehoved"/>
              <w:ind w:left="164" w:right="132"/>
              <w:rPr>
                <w:sz w:val="22"/>
                <w:szCs w:val="22"/>
                <w:lang w:val="en-US"/>
              </w:rPr>
            </w:pPr>
          </w:p>
        </w:tc>
      </w:tr>
      <w:tr w:rsidR="00515A85" w:rsidRPr="00F23835" w:rsidTr="00BE1049">
        <w:trPr>
          <w:trHeight w:val="20"/>
        </w:trPr>
        <w:tc>
          <w:tcPr>
            <w:tcW w:w="785"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b/>
                <w:sz w:val="22"/>
                <w:szCs w:val="22"/>
                <w:lang w:val="en-US"/>
              </w:rPr>
            </w:pPr>
            <w:r w:rsidRPr="00BE1049">
              <w:rPr>
                <w:b/>
                <w:sz w:val="22"/>
                <w:szCs w:val="22"/>
                <w:lang w:val="en-US"/>
              </w:rPr>
              <w:t>Mave-tarm- kanalen</w:t>
            </w:r>
          </w:p>
        </w:tc>
        <w:tc>
          <w:tcPr>
            <w:tcW w:w="91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rPr>
            </w:pPr>
            <w:r w:rsidRPr="00BE1049">
              <w:rPr>
                <w:sz w:val="22"/>
                <w:szCs w:val="22"/>
              </w:rPr>
              <w:t>Stomatitis</w:t>
            </w:r>
            <w:r w:rsidRPr="00BE1049">
              <w:rPr>
                <w:sz w:val="22"/>
                <w:szCs w:val="22"/>
                <w:vertAlign w:val="superscript"/>
              </w:rPr>
              <w:t>o</w:t>
            </w:r>
            <w:r w:rsidRPr="00BE1049">
              <w:rPr>
                <w:sz w:val="22"/>
                <w:szCs w:val="22"/>
              </w:rPr>
              <w:t xml:space="preserve"> Abdominal-smerter</w:t>
            </w:r>
            <w:r w:rsidRPr="00BE1049">
              <w:rPr>
                <w:sz w:val="22"/>
                <w:szCs w:val="22"/>
                <w:vertAlign w:val="superscript"/>
              </w:rPr>
              <w:t>p</w:t>
            </w:r>
          </w:p>
          <w:p w:rsidR="00515A85" w:rsidRPr="00BE1049" w:rsidRDefault="00515A85" w:rsidP="00BE1049">
            <w:pPr>
              <w:pStyle w:val="Sidehoved"/>
              <w:ind w:left="164" w:right="132"/>
              <w:rPr>
                <w:sz w:val="22"/>
                <w:szCs w:val="22"/>
              </w:rPr>
            </w:pPr>
            <w:r w:rsidRPr="00BE1049">
              <w:rPr>
                <w:sz w:val="22"/>
                <w:szCs w:val="22"/>
              </w:rPr>
              <w:t>Opkastning</w:t>
            </w:r>
          </w:p>
          <w:p w:rsidR="00515A85" w:rsidRPr="00BE1049" w:rsidRDefault="00515A85" w:rsidP="00BE1049">
            <w:pPr>
              <w:pStyle w:val="Sidehoved"/>
              <w:ind w:left="164" w:right="132"/>
              <w:rPr>
                <w:sz w:val="22"/>
                <w:szCs w:val="22"/>
              </w:rPr>
            </w:pPr>
            <w:r w:rsidRPr="00BE1049">
              <w:rPr>
                <w:sz w:val="22"/>
                <w:szCs w:val="22"/>
              </w:rPr>
              <w:t>Diarré</w:t>
            </w:r>
          </w:p>
          <w:p w:rsidR="00515A85" w:rsidRPr="00BE1049" w:rsidRDefault="00515A85" w:rsidP="00BE1049">
            <w:pPr>
              <w:pStyle w:val="Sidehoved"/>
              <w:ind w:left="164" w:right="132"/>
              <w:rPr>
                <w:sz w:val="22"/>
                <w:szCs w:val="22"/>
              </w:rPr>
            </w:pPr>
            <w:r w:rsidRPr="00BE1049">
              <w:rPr>
                <w:sz w:val="22"/>
                <w:szCs w:val="22"/>
              </w:rPr>
              <w:t>Dyspepsi</w:t>
            </w:r>
          </w:p>
          <w:p w:rsidR="00515A85" w:rsidRPr="00BE1049" w:rsidRDefault="00515A85" w:rsidP="00BE1049">
            <w:pPr>
              <w:pStyle w:val="Sidehoved"/>
              <w:ind w:left="164" w:right="132"/>
              <w:rPr>
                <w:sz w:val="22"/>
                <w:szCs w:val="22"/>
                <w:lang w:val="en-US"/>
              </w:rPr>
            </w:pPr>
            <w:r w:rsidRPr="00BE1049">
              <w:rPr>
                <w:sz w:val="22"/>
                <w:szCs w:val="22"/>
                <w:lang w:val="en-US"/>
              </w:rPr>
              <w:t>Kvalme</w:t>
            </w:r>
          </w:p>
          <w:p w:rsidR="00515A85" w:rsidRPr="00BE1049" w:rsidRDefault="00515A85" w:rsidP="00BE1049">
            <w:pPr>
              <w:pStyle w:val="Sidehoved"/>
              <w:ind w:left="164" w:right="132"/>
              <w:rPr>
                <w:sz w:val="22"/>
                <w:szCs w:val="22"/>
                <w:lang w:val="en-US"/>
              </w:rPr>
            </w:pPr>
            <w:r w:rsidRPr="00BE1049">
              <w:rPr>
                <w:sz w:val="22"/>
                <w:szCs w:val="22"/>
                <w:lang w:val="en-US"/>
              </w:rPr>
              <w:t>Obstipation</w:t>
            </w:r>
          </w:p>
        </w:tc>
        <w:tc>
          <w:tcPr>
            <w:tcW w:w="91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rPr>
            </w:pPr>
            <w:r w:rsidRPr="00BE1049">
              <w:rPr>
                <w:sz w:val="22"/>
                <w:szCs w:val="22"/>
              </w:rPr>
              <w:t xml:space="preserve">Gastro-øsofageal refluks </w:t>
            </w:r>
          </w:p>
          <w:p w:rsidR="00515A85" w:rsidRPr="00BE1049" w:rsidRDefault="00515A85" w:rsidP="00BE1049">
            <w:pPr>
              <w:pStyle w:val="Sidehoved"/>
              <w:ind w:left="164" w:right="132"/>
              <w:rPr>
                <w:sz w:val="22"/>
                <w:szCs w:val="22"/>
              </w:rPr>
            </w:pPr>
            <w:r w:rsidRPr="00BE1049">
              <w:rPr>
                <w:sz w:val="22"/>
                <w:szCs w:val="22"/>
              </w:rPr>
              <w:t>Dysfagi</w:t>
            </w:r>
          </w:p>
          <w:p w:rsidR="00515A85" w:rsidRPr="00BE1049" w:rsidRDefault="00515A85" w:rsidP="00BE1049">
            <w:pPr>
              <w:pStyle w:val="Sidehoved"/>
              <w:ind w:left="164" w:right="132"/>
              <w:rPr>
                <w:sz w:val="22"/>
                <w:szCs w:val="22"/>
              </w:rPr>
            </w:pPr>
            <w:r w:rsidRPr="00BE1049">
              <w:rPr>
                <w:sz w:val="22"/>
                <w:szCs w:val="22"/>
              </w:rPr>
              <w:t xml:space="preserve">Gastrointestinal blødning* </w:t>
            </w:r>
          </w:p>
          <w:p w:rsidR="00515A85" w:rsidRPr="00BE1049" w:rsidRDefault="00515A85" w:rsidP="00BE1049">
            <w:pPr>
              <w:pStyle w:val="Sidehoved"/>
              <w:ind w:left="164" w:right="132"/>
              <w:rPr>
                <w:sz w:val="22"/>
                <w:szCs w:val="22"/>
              </w:rPr>
            </w:pPr>
            <w:r w:rsidRPr="00BE1049">
              <w:rPr>
                <w:sz w:val="22"/>
                <w:szCs w:val="22"/>
              </w:rPr>
              <w:t>Øsofagitis*</w:t>
            </w:r>
          </w:p>
          <w:p w:rsidR="00515A85" w:rsidRPr="00BE1049" w:rsidRDefault="00515A85" w:rsidP="00BE1049">
            <w:pPr>
              <w:pStyle w:val="Sidehoved"/>
              <w:ind w:left="164" w:right="132"/>
              <w:rPr>
                <w:sz w:val="22"/>
                <w:szCs w:val="22"/>
              </w:rPr>
            </w:pPr>
            <w:r w:rsidRPr="00BE1049">
              <w:rPr>
                <w:sz w:val="22"/>
                <w:szCs w:val="22"/>
              </w:rPr>
              <w:t>Abdominal distension</w:t>
            </w:r>
          </w:p>
          <w:p w:rsidR="00515A85" w:rsidRPr="00BE1049" w:rsidRDefault="00515A85" w:rsidP="00BE1049">
            <w:pPr>
              <w:pStyle w:val="Sidehoved"/>
              <w:ind w:left="164" w:right="132"/>
              <w:rPr>
                <w:sz w:val="22"/>
                <w:szCs w:val="22"/>
              </w:rPr>
            </w:pPr>
            <w:r w:rsidRPr="00BE1049">
              <w:rPr>
                <w:sz w:val="22"/>
                <w:szCs w:val="22"/>
              </w:rPr>
              <w:t>Abdominalt ubehag</w:t>
            </w:r>
          </w:p>
          <w:p w:rsidR="00515A85" w:rsidRPr="00BE1049" w:rsidRDefault="00515A85" w:rsidP="00BE1049">
            <w:pPr>
              <w:pStyle w:val="Sidehoved"/>
              <w:ind w:left="164" w:right="132"/>
              <w:rPr>
                <w:sz w:val="22"/>
                <w:szCs w:val="22"/>
              </w:rPr>
            </w:pPr>
            <w:r w:rsidRPr="00BE1049">
              <w:rPr>
                <w:sz w:val="22"/>
                <w:szCs w:val="22"/>
              </w:rPr>
              <w:t>Rektal blødning</w:t>
            </w:r>
          </w:p>
          <w:p w:rsidR="00515A85" w:rsidRPr="00BE1049" w:rsidRDefault="00515A85" w:rsidP="00BE1049">
            <w:pPr>
              <w:pStyle w:val="Sidehoved"/>
              <w:ind w:left="164" w:right="132"/>
              <w:rPr>
                <w:sz w:val="22"/>
                <w:szCs w:val="22"/>
              </w:rPr>
            </w:pPr>
            <w:r w:rsidRPr="00BE1049">
              <w:rPr>
                <w:sz w:val="22"/>
                <w:szCs w:val="22"/>
              </w:rPr>
              <w:t>Gingival blødning</w:t>
            </w:r>
          </w:p>
          <w:p w:rsidR="00515A85" w:rsidRPr="00BE1049" w:rsidRDefault="00515A85" w:rsidP="00BE1049">
            <w:pPr>
              <w:pStyle w:val="Sidehoved"/>
              <w:ind w:left="164" w:right="132"/>
              <w:rPr>
                <w:sz w:val="22"/>
                <w:szCs w:val="22"/>
              </w:rPr>
            </w:pPr>
            <w:r w:rsidRPr="00BE1049">
              <w:rPr>
                <w:sz w:val="22"/>
                <w:szCs w:val="22"/>
              </w:rPr>
              <w:t>Sår i munden</w:t>
            </w:r>
          </w:p>
          <w:p w:rsidR="00515A85" w:rsidRPr="00BE1049" w:rsidRDefault="00515A85" w:rsidP="00BE1049">
            <w:pPr>
              <w:pStyle w:val="Sidehoved"/>
              <w:ind w:left="164" w:right="132"/>
              <w:rPr>
                <w:sz w:val="22"/>
                <w:szCs w:val="22"/>
              </w:rPr>
            </w:pPr>
            <w:r w:rsidRPr="00BE1049">
              <w:rPr>
                <w:sz w:val="22"/>
                <w:szCs w:val="22"/>
              </w:rPr>
              <w:t>Proktalgi</w:t>
            </w:r>
          </w:p>
          <w:p w:rsidR="00515A85" w:rsidRPr="00BE1049" w:rsidRDefault="00515A85" w:rsidP="00BE1049">
            <w:pPr>
              <w:pStyle w:val="Sidehoved"/>
              <w:ind w:left="164" w:right="132"/>
              <w:rPr>
                <w:sz w:val="22"/>
                <w:szCs w:val="22"/>
              </w:rPr>
            </w:pPr>
            <w:r w:rsidRPr="00BE1049">
              <w:rPr>
                <w:sz w:val="22"/>
                <w:szCs w:val="22"/>
              </w:rPr>
              <w:t>Cheilitis</w:t>
            </w:r>
          </w:p>
          <w:p w:rsidR="00515A85" w:rsidRPr="00BE1049" w:rsidRDefault="00515A85" w:rsidP="00BE1049">
            <w:pPr>
              <w:pStyle w:val="Sidehoved"/>
              <w:ind w:left="164" w:right="132"/>
              <w:rPr>
                <w:sz w:val="22"/>
                <w:szCs w:val="22"/>
              </w:rPr>
            </w:pPr>
            <w:r w:rsidRPr="00BE1049">
              <w:rPr>
                <w:sz w:val="22"/>
                <w:szCs w:val="22"/>
              </w:rPr>
              <w:t>Hæmorroider</w:t>
            </w:r>
          </w:p>
          <w:p w:rsidR="00515A85" w:rsidRPr="00BE1049" w:rsidRDefault="00515A85" w:rsidP="00BE1049">
            <w:pPr>
              <w:pStyle w:val="Sidehoved"/>
              <w:ind w:left="164" w:right="132"/>
              <w:rPr>
                <w:sz w:val="22"/>
                <w:szCs w:val="22"/>
              </w:rPr>
            </w:pPr>
            <w:r w:rsidRPr="00BE1049">
              <w:rPr>
                <w:sz w:val="22"/>
                <w:szCs w:val="22"/>
              </w:rPr>
              <w:t>Glossodyni</w:t>
            </w:r>
          </w:p>
          <w:p w:rsidR="00515A85" w:rsidRPr="00BE1049" w:rsidRDefault="00515A85" w:rsidP="00BE1049">
            <w:pPr>
              <w:pStyle w:val="Sidehoved"/>
              <w:ind w:left="164" w:right="132"/>
              <w:rPr>
                <w:sz w:val="22"/>
                <w:szCs w:val="22"/>
              </w:rPr>
            </w:pPr>
            <w:r w:rsidRPr="00BE1049">
              <w:rPr>
                <w:sz w:val="22"/>
                <w:szCs w:val="22"/>
              </w:rPr>
              <w:t>Oral smerte</w:t>
            </w:r>
          </w:p>
          <w:p w:rsidR="00515A85" w:rsidRPr="00BE1049" w:rsidRDefault="00515A85" w:rsidP="00BE1049">
            <w:pPr>
              <w:pStyle w:val="Sidehoved"/>
              <w:ind w:left="164" w:right="132"/>
              <w:rPr>
                <w:sz w:val="22"/>
                <w:szCs w:val="22"/>
              </w:rPr>
            </w:pPr>
            <w:r w:rsidRPr="00BE1049">
              <w:rPr>
                <w:sz w:val="22"/>
                <w:szCs w:val="22"/>
              </w:rPr>
              <w:t>Mundtørhed</w:t>
            </w:r>
          </w:p>
          <w:p w:rsidR="00515A85" w:rsidRPr="00BE1049" w:rsidRDefault="00515A85" w:rsidP="00BE1049">
            <w:pPr>
              <w:pStyle w:val="Sidehoved"/>
              <w:ind w:left="164" w:right="132"/>
              <w:rPr>
                <w:sz w:val="22"/>
                <w:szCs w:val="22"/>
                <w:lang w:val="en-US"/>
              </w:rPr>
            </w:pPr>
            <w:r w:rsidRPr="00BE1049">
              <w:rPr>
                <w:sz w:val="22"/>
                <w:szCs w:val="22"/>
                <w:lang w:val="en-US"/>
              </w:rPr>
              <w:t>Flatulens</w:t>
            </w:r>
          </w:p>
          <w:p w:rsidR="00515A85" w:rsidRPr="00BE1049" w:rsidRDefault="00515A85" w:rsidP="00BE1049">
            <w:pPr>
              <w:pStyle w:val="Sidehoved"/>
              <w:ind w:left="164" w:right="132"/>
              <w:rPr>
                <w:sz w:val="22"/>
                <w:szCs w:val="22"/>
                <w:lang w:val="en-US"/>
              </w:rPr>
            </w:pPr>
            <w:r w:rsidRPr="00BE1049">
              <w:rPr>
                <w:sz w:val="22"/>
                <w:szCs w:val="22"/>
                <w:lang w:val="en-US"/>
              </w:rPr>
              <w:t>Oralt ubehag</w:t>
            </w:r>
          </w:p>
          <w:p w:rsidR="00515A85" w:rsidRPr="00BE1049" w:rsidRDefault="00515A85" w:rsidP="00BE1049">
            <w:pPr>
              <w:pStyle w:val="Sidehoved"/>
              <w:ind w:left="164" w:right="132"/>
              <w:rPr>
                <w:sz w:val="22"/>
                <w:szCs w:val="22"/>
                <w:lang w:val="en-US"/>
              </w:rPr>
            </w:pPr>
            <w:r w:rsidRPr="00BE1049">
              <w:rPr>
                <w:sz w:val="22"/>
                <w:szCs w:val="22"/>
                <w:lang w:val="en-US"/>
              </w:rPr>
              <w:t>Eruktation</w:t>
            </w:r>
          </w:p>
        </w:tc>
        <w:tc>
          <w:tcPr>
            <w:tcW w:w="91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lang w:val="en-US"/>
              </w:rPr>
            </w:pPr>
            <w:r w:rsidRPr="00BE1049">
              <w:rPr>
                <w:sz w:val="22"/>
                <w:szCs w:val="22"/>
                <w:lang w:val="en-US"/>
              </w:rPr>
              <w:t xml:space="preserve">Gastrointestinal </w:t>
            </w:r>
            <w:proofErr w:type="gramStart"/>
            <w:r w:rsidRPr="00BE1049">
              <w:rPr>
                <w:sz w:val="22"/>
                <w:szCs w:val="22"/>
                <w:lang w:val="en-US"/>
              </w:rPr>
              <w:t>perforation</w:t>
            </w:r>
            <w:r w:rsidRPr="00BE1049">
              <w:rPr>
                <w:sz w:val="22"/>
                <w:szCs w:val="22"/>
                <w:vertAlign w:val="superscript"/>
                <w:lang w:val="en-US"/>
              </w:rPr>
              <w:t>q,</w:t>
            </w:r>
            <w:r w:rsidRPr="00BE1049">
              <w:rPr>
                <w:sz w:val="22"/>
                <w:szCs w:val="22"/>
                <w:lang w:val="en-US"/>
              </w:rPr>
              <w:t>*</w:t>
            </w:r>
            <w:proofErr w:type="gramEnd"/>
          </w:p>
          <w:p w:rsidR="00515A85" w:rsidRPr="00BE1049" w:rsidRDefault="00515A85" w:rsidP="00BE1049">
            <w:pPr>
              <w:pStyle w:val="Sidehoved"/>
              <w:ind w:left="164" w:right="132"/>
              <w:rPr>
                <w:sz w:val="22"/>
                <w:szCs w:val="22"/>
                <w:lang w:val="en-US"/>
              </w:rPr>
            </w:pPr>
            <w:r w:rsidRPr="00BE1049">
              <w:rPr>
                <w:sz w:val="22"/>
                <w:szCs w:val="22"/>
                <w:lang w:val="en-US"/>
              </w:rPr>
              <w:t>Pankreatitis Analfistler</w:t>
            </w:r>
          </w:p>
          <w:p w:rsidR="00515A85" w:rsidRPr="00BE1049" w:rsidRDefault="00515A85" w:rsidP="00BE1049">
            <w:pPr>
              <w:pStyle w:val="Sidehoved"/>
              <w:ind w:left="164" w:right="132"/>
              <w:rPr>
                <w:sz w:val="22"/>
                <w:szCs w:val="22"/>
                <w:lang w:val="en-US"/>
              </w:rPr>
            </w:pPr>
            <w:r w:rsidRPr="00BE1049">
              <w:rPr>
                <w:sz w:val="22"/>
                <w:szCs w:val="22"/>
                <w:lang w:val="en-US"/>
              </w:rPr>
              <w:t>Colitis</w:t>
            </w:r>
            <w:r w:rsidRPr="00BE1049">
              <w:rPr>
                <w:sz w:val="22"/>
                <w:szCs w:val="22"/>
                <w:vertAlign w:val="superscript"/>
                <w:lang w:val="en-US"/>
              </w:rPr>
              <w:t>r</w:t>
            </w:r>
          </w:p>
        </w:tc>
        <w:tc>
          <w:tcPr>
            <w:tcW w:w="843" w:type="pct"/>
            <w:tcBorders>
              <w:top w:val="single" w:sz="4" w:space="0" w:color="000000"/>
              <w:left w:val="single" w:sz="4" w:space="0" w:color="000000"/>
              <w:bottom w:val="single" w:sz="4" w:space="0" w:color="000000"/>
              <w:right w:val="single" w:sz="4" w:space="0" w:color="000000"/>
            </w:tcBorders>
          </w:tcPr>
          <w:p w:rsidR="00515A85" w:rsidRPr="00BE1049" w:rsidRDefault="00515A85" w:rsidP="00BE1049">
            <w:pPr>
              <w:pStyle w:val="Sidehoved"/>
              <w:ind w:left="164" w:right="132"/>
              <w:rPr>
                <w:sz w:val="22"/>
                <w:szCs w:val="22"/>
                <w:lang w:val="en-US"/>
              </w:rPr>
            </w:pPr>
          </w:p>
        </w:tc>
        <w:tc>
          <w:tcPr>
            <w:tcW w:w="632" w:type="pct"/>
            <w:tcBorders>
              <w:top w:val="single" w:sz="4" w:space="0" w:color="000000"/>
              <w:left w:val="single" w:sz="4" w:space="0" w:color="000000"/>
              <w:bottom w:val="single" w:sz="4" w:space="0" w:color="000000"/>
              <w:right w:val="single" w:sz="4" w:space="0" w:color="000000"/>
            </w:tcBorders>
          </w:tcPr>
          <w:p w:rsidR="00515A85" w:rsidRPr="00BE1049" w:rsidRDefault="00515A85" w:rsidP="00BE1049">
            <w:pPr>
              <w:pStyle w:val="Sidehoved"/>
              <w:ind w:left="164" w:right="132"/>
              <w:rPr>
                <w:sz w:val="22"/>
                <w:szCs w:val="22"/>
                <w:lang w:val="en-US"/>
              </w:rPr>
            </w:pPr>
          </w:p>
        </w:tc>
      </w:tr>
      <w:tr w:rsidR="00515A85" w:rsidRPr="00F23835" w:rsidTr="00BE1049">
        <w:trPr>
          <w:trHeight w:val="20"/>
        </w:trPr>
        <w:tc>
          <w:tcPr>
            <w:tcW w:w="785"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b/>
                <w:sz w:val="22"/>
                <w:szCs w:val="22"/>
                <w:lang w:val="en-US"/>
              </w:rPr>
            </w:pPr>
            <w:r w:rsidRPr="00BE1049">
              <w:rPr>
                <w:b/>
                <w:sz w:val="22"/>
                <w:szCs w:val="22"/>
                <w:lang w:val="en-US"/>
              </w:rPr>
              <w:t>Lever og galdeveje</w:t>
            </w:r>
          </w:p>
        </w:tc>
        <w:tc>
          <w:tcPr>
            <w:tcW w:w="913" w:type="pct"/>
            <w:tcBorders>
              <w:top w:val="single" w:sz="4" w:space="0" w:color="000000"/>
              <w:left w:val="single" w:sz="4" w:space="0" w:color="000000"/>
              <w:bottom w:val="single" w:sz="4" w:space="0" w:color="000000"/>
              <w:right w:val="single" w:sz="4" w:space="0" w:color="000000"/>
            </w:tcBorders>
          </w:tcPr>
          <w:p w:rsidR="00515A85" w:rsidRPr="00BE1049" w:rsidRDefault="00515A85" w:rsidP="00BE1049">
            <w:pPr>
              <w:pStyle w:val="Sidehoved"/>
              <w:ind w:left="164" w:right="132"/>
              <w:rPr>
                <w:sz w:val="22"/>
                <w:szCs w:val="22"/>
                <w:lang w:val="en-US"/>
              </w:rPr>
            </w:pPr>
          </w:p>
        </w:tc>
        <w:tc>
          <w:tcPr>
            <w:tcW w:w="913" w:type="pct"/>
            <w:tcBorders>
              <w:top w:val="single" w:sz="4" w:space="0" w:color="000000"/>
              <w:left w:val="single" w:sz="4" w:space="0" w:color="000000"/>
              <w:bottom w:val="single" w:sz="4" w:space="0" w:color="000000"/>
              <w:right w:val="single" w:sz="4" w:space="0" w:color="000000"/>
            </w:tcBorders>
          </w:tcPr>
          <w:p w:rsidR="00515A85" w:rsidRPr="00BE1049" w:rsidRDefault="00515A85" w:rsidP="00BE1049">
            <w:pPr>
              <w:pStyle w:val="Sidehoved"/>
              <w:ind w:left="164" w:right="132"/>
              <w:rPr>
                <w:sz w:val="22"/>
                <w:szCs w:val="22"/>
                <w:lang w:val="en-US"/>
              </w:rPr>
            </w:pPr>
          </w:p>
        </w:tc>
        <w:tc>
          <w:tcPr>
            <w:tcW w:w="91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lang w:val="en-US"/>
              </w:rPr>
            </w:pPr>
            <w:r w:rsidRPr="00BE1049">
              <w:rPr>
                <w:sz w:val="22"/>
                <w:szCs w:val="22"/>
                <w:lang w:val="en-US"/>
              </w:rPr>
              <w:t xml:space="preserve">Leversvigt* </w:t>
            </w:r>
            <w:proofErr w:type="gramStart"/>
            <w:r w:rsidRPr="00BE1049">
              <w:rPr>
                <w:sz w:val="22"/>
                <w:szCs w:val="22"/>
                <w:lang w:val="en-US"/>
              </w:rPr>
              <w:t>Cholecystitis</w:t>
            </w:r>
            <w:r w:rsidRPr="00BE1049">
              <w:rPr>
                <w:sz w:val="22"/>
                <w:szCs w:val="22"/>
                <w:vertAlign w:val="superscript"/>
                <w:lang w:val="en-US"/>
              </w:rPr>
              <w:t>s,</w:t>
            </w:r>
            <w:r w:rsidRPr="00BE1049">
              <w:rPr>
                <w:sz w:val="22"/>
                <w:szCs w:val="22"/>
                <w:lang w:val="en-US"/>
              </w:rPr>
              <w:t>*</w:t>
            </w:r>
            <w:proofErr w:type="gramEnd"/>
          </w:p>
          <w:p w:rsidR="00515A85" w:rsidRPr="00BE1049" w:rsidRDefault="00515A85" w:rsidP="00BE1049">
            <w:pPr>
              <w:pStyle w:val="Sidehoved"/>
              <w:ind w:left="164" w:right="132"/>
              <w:rPr>
                <w:sz w:val="22"/>
                <w:szCs w:val="22"/>
                <w:lang w:val="en-US"/>
              </w:rPr>
            </w:pPr>
            <w:r w:rsidRPr="00BE1049">
              <w:rPr>
                <w:sz w:val="22"/>
                <w:szCs w:val="22"/>
                <w:lang w:val="en-US"/>
              </w:rPr>
              <w:t>Unormal</w:t>
            </w:r>
          </w:p>
          <w:p w:rsidR="00515A85" w:rsidRPr="00BE1049" w:rsidRDefault="00515A85" w:rsidP="00BE1049">
            <w:pPr>
              <w:pStyle w:val="Sidehoved"/>
              <w:ind w:left="164" w:right="132"/>
              <w:rPr>
                <w:sz w:val="22"/>
                <w:szCs w:val="22"/>
                <w:lang w:val="en-US"/>
              </w:rPr>
            </w:pPr>
            <w:r w:rsidRPr="00BE1049">
              <w:rPr>
                <w:sz w:val="22"/>
                <w:szCs w:val="22"/>
                <w:lang w:val="en-US"/>
              </w:rPr>
              <w:t>leverfunktion</w:t>
            </w:r>
          </w:p>
        </w:tc>
        <w:tc>
          <w:tcPr>
            <w:tcW w:w="84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lang w:val="en-US"/>
              </w:rPr>
            </w:pPr>
            <w:r w:rsidRPr="00BE1049">
              <w:rPr>
                <w:sz w:val="22"/>
                <w:szCs w:val="22"/>
                <w:lang w:val="en-US"/>
              </w:rPr>
              <w:t>Hepatitis</w:t>
            </w:r>
          </w:p>
        </w:tc>
        <w:tc>
          <w:tcPr>
            <w:tcW w:w="632" w:type="pct"/>
            <w:tcBorders>
              <w:top w:val="single" w:sz="4" w:space="0" w:color="000000"/>
              <w:left w:val="single" w:sz="4" w:space="0" w:color="000000"/>
              <w:bottom w:val="single" w:sz="4" w:space="0" w:color="000000"/>
              <w:right w:val="single" w:sz="4" w:space="0" w:color="000000"/>
            </w:tcBorders>
          </w:tcPr>
          <w:p w:rsidR="00515A85" w:rsidRPr="00BE1049" w:rsidRDefault="00515A85" w:rsidP="00BE1049">
            <w:pPr>
              <w:pStyle w:val="Sidehoved"/>
              <w:ind w:left="164" w:right="132"/>
              <w:rPr>
                <w:sz w:val="22"/>
                <w:szCs w:val="22"/>
                <w:lang w:val="en-US"/>
              </w:rPr>
            </w:pPr>
          </w:p>
        </w:tc>
      </w:tr>
      <w:tr w:rsidR="00515A85" w:rsidRPr="00F23835" w:rsidTr="00BE1049">
        <w:trPr>
          <w:trHeight w:val="20"/>
        </w:trPr>
        <w:tc>
          <w:tcPr>
            <w:tcW w:w="785"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b/>
                <w:sz w:val="22"/>
                <w:szCs w:val="22"/>
                <w:lang w:val="en-US"/>
              </w:rPr>
            </w:pPr>
            <w:r w:rsidRPr="00BE1049">
              <w:rPr>
                <w:b/>
                <w:sz w:val="22"/>
                <w:szCs w:val="22"/>
                <w:lang w:val="en-US"/>
              </w:rPr>
              <w:t>Hud og subkutane væv</w:t>
            </w:r>
          </w:p>
        </w:tc>
        <w:tc>
          <w:tcPr>
            <w:tcW w:w="91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rPr>
            </w:pPr>
            <w:r w:rsidRPr="00BE1049">
              <w:rPr>
                <w:sz w:val="22"/>
                <w:szCs w:val="22"/>
              </w:rPr>
              <w:t>Misfarvning af huden</w:t>
            </w:r>
            <w:r w:rsidRPr="00BE1049">
              <w:rPr>
                <w:sz w:val="22"/>
                <w:szCs w:val="22"/>
                <w:vertAlign w:val="superscript"/>
              </w:rPr>
              <w:t>t</w:t>
            </w:r>
          </w:p>
          <w:p w:rsidR="00515A85" w:rsidRPr="00BE1049" w:rsidRDefault="00515A85" w:rsidP="00BE1049">
            <w:pPr>
              <w:pStyle w:val="Sidehoved"/>
              <w:ind w:left="164" w:right="132"/>
              <w:rPr>
                <w:sz w:val="22"/>
                <w:szCs w:val="22"/>
              </w:rPr>
            </w:pPr>
            <w:r w:rsidRPr="00BE1049">
              <w:rPr>
                <w:sz w:val="22"/>
                <w:szCs w:val="22"/>
              </w:rPr>
              <w:t>Palmoplantar erytrodysæstesi-</w:t>
            </w:r>
          </w:p>
          <w:p w:rsidR="00515A85" w:rsidRPr="00BE1049" w:rsidRDefault="00515A85" w:rsidP="00BE1049">
            <w:pPr>
              <w:pStyle w:val="Sidehoved"/>
              <w:ind w:left="164" w:right="132"/>
              <w:rPr>
                <w:sz w:val="22"/>
                <w:szCs w:val="22"/>
              </w:rPr>
            </w:pPr>
            <w:r w:rsidRPr="00BE1049">
              <w:rPr>
                <w:sz w:val="22"/>
                <w:szCs w:val="22"/>
              </w:rPr>
              <w:lastRenderedPageBreak/>
              <w:t xml:space="preserve">syndrom </w:t>
            </w:r>
          </w:p>
          <w:p w:rsidR="00515A85" w:rsidRPr="00BE1049" w:rsidRDefault="00515A85" w:rsidP="00BE1049">
            <w:pPr>
              <w:pStyle w:val="Sidehoved"/>
              <w:ind w:left="164" w:right="132"/>
              <w:rPr>
                <w:sz w:val="22"/>
                <w:szCs w:val="22"/>
              </w:rPr>
            </w:pPr>
            <w:r w:rsidRPr="00BE1049">
              <w:rPr>
                <w:sz w:val="22"/>
                <w:szCs w:val="22"/>
              </w:rPr>
              <w:t>Udslæt</w:t>
            </w:r>
            <w:r w:rsidRPr="00BE1049">
              <w:rPr>
                <w:sz w:val="22"/>
                <w:szCs w:val="22"/>
                <w:vertAlign w:val="superscript"/>
              </w:rPr>
              <w:t>u</w:t>
            </w:r>
          </w:p>
          <w:p w:rsidR="00515A85" w:rsidRPr="00BE1049" w:rsidRDefault="00515A85" w:rsidP="00BE1049">
            <w:pPr>
              <w:pStyle w:val="Sidehoved"/>
              <w:ind w:left="164" w:right="132"/>
              <w:rPr>
                <w:sz w:val="22"/>
                <w:szCs w:val="22"/>
              </w:rPr>
            </w:pPr>
            <w:r w:rsidRPr="00BE1049">
              <w:rPr>
                <w:sz w:val="22"/>
                <w:szCs w:val="22"/>
              </w:rPr>
              <w:t xml:space="preserve">Ændring i hårfarve </w:t>
            </w:r>
          </w:p>
          <w:p w:rsidR="00515A85" w:rsidRPr="00BE1049" w:rsidRDefault="00515A85" w:rsidP="00BE1049">
            <w:pPr>
              <w:pStyle w:val="Sidehoved"/>
              <w:ind w:left="164" w:right="132"/>
              <w:rPr>
                <w:sz w:val="22"/>
                <w:szCs w:val="22"/>
              </w:rPr>
            </w:pPr>
            <w:r w:rsidRPr="00BE1049">
              <w:rPr>
                <w:sz w:val="22"/>
                <w:szCs w:val="22"/>
              </w:rPr>
              <w:t>Tør hud</w:t>
            </w:r>
          </w:p>
        </w:tc>
        <w:tc>
          <w:tcPr>
            <w:tcW w:w="91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rPr>
            </w:pPr>
            <w:r w:rsidRPr="00BE1049">
              <w:rPr>
                <w:sz w:val="22"/>
                <w:szCs w:val="22"/>
              </w:rPr>
              <w:lastRenderedPageBreak/>
              <w:t>Hudafskalning Hudreaktioner</w:t>
            </w:r>
            <w:r w:rsidRPr="00BE1049">
              <w:rPr>
                <w:sz w:val="22"/>
                <w:szCs w:val="22"/>
                <w:vertAlign w:val="superscript"/>
              </w:rPr>
              <w:t>v</w:t>
            </w:r>
          </w:p>
          <w:p w:rsidR="00515A85" w:rsidRPr="00BE1049" w:rsidRDefault="00515A85" w:rsidP="00BE1049">
            <w:pPr>
              <w:pStyle w:val="Sidehoved"/>
              <w:ind w:left="164" w:right="132"/>
              <w:rPr>
                <w:sz w:val="22"/>
                <w:szCs w:val="22"/>
              </w:rPr>
            </w:pPr>
            <w:r w:rsidRPr="00BE1049">
              <w:rPr>
                <w:sz w:val="22"/>
                <w:szCs w:val="22"/>
              </w:rPr>
              <w:t xml:space="preserve">Eksem </w:t>
            </w:r>
          </w:p>
          <w:p w:rsidR="00515A85" w:rsidRPr="00BE1049" w:rsidRDefault="00515A85" w:rsidP="00BE1049">
            <w:pPr>
              <w:pStyle w:val="Sidehoved"/>
              <w:ind w:left="164" w:right="132"/>
              <w:rPr>
                <w:sz w:val="22"/>
                <w:szCs w:val="22"/>
              </w:rPr>
            </w:pPr>
            <w:r w:rsidRPr="00BE1049">
              <w:rPr>
                <w:sz w:val="22"/>
                <w:szCs w:val="22"/>
              </w:rPr>
              <w:t>Blister</w:t>
            </w:r>
          </w:p>
          <w:p w:rsidR="00515A85" w:rsidRPr="00BE1049" w:rsidRDefault="00515A85" w:rsidP="00BE1049">
            <w:pPr>
              <w:pStyle w:val="Sidehoved"/>
              <w:ind w:left="164" w:right="132"/>
              <w:rPr>
                <w:sz w:val="22"/>
                <w:szCs w:val="22"/>
              </w:rPr>
            </w:pPr>
            <w:r w:rsidRPr="00BE1049">
              <w:rPr>
                <w:sz w:val="22"/>
                <w:szCs w:val="22"/>
              </w:rPr>
              <w:t xml:space="preserve">Erytem </w:t>
            </w:r>
          </w:p>
          <w:p w:rsidR="00515A85" w:rsidRPr="00BE1049" w:rsidRDefault="00515A85" w:rsidP="00BE1049">
            <w:pPr>
              <w:pStyle w:val="Sidehoved"/>
              <w:ind w:left="164" w:right="132"/>
              <w:rPr>
                <w:sz w:val="22"/>
                <w:szCs w:val="22"/>
              </w:rPr>
            </w:pPr>
            <w:r w:rsidRPr="00BE1049">
              <w:rPr>
                <w:sz w:val="22"/>
                <w:szCs w:val="22"/>
              </w:rPr>
              <w:lastRenderedPageBreak/>
              <w:t>Alopeci</w:t>
            </w:r>
          </w:p>
          <w:p w:rsidR="00515A85" w:rsidRPr="00BE1049" w:rsidRDefault="00515A85" w:rsidP="00BE1049">
            <w:pPr>
              <w:pStyle w:val="Sidehoved"/>
              <w:ind w:left="164" w:right="132"/>
              <w:rPr>
                <w:sz w:val="22"/>
                <w:szCs w:val="22"/>
              </w:rPr>
            </w:pPr>
            <w:r w:rsidRPr="00BE1049">
              <w:rPr>
                <w:sz w:val="22"/>
                <w:szCs w:val="22"/>
              </w:rPr>
              <w:t xml:space="preserve">Acne </w:t>
            </w:r>
          </w:p>
          <w:p w:rsidR="00515A85" w:rsidRPr="00BE1049" w:rsidRDefault="00515A85" w:rsidP="00BE1049">
            <w:pPr>
              <w:pStyle w:val="Sidehoved"/>
              <w:ind w:left="164" w:right="132"/>
              <w:rPr>
                <w:sz w:val="22"/>
                <w:szCs w:val="22"/>
              </w:rPr>
            </w:pPr>
            <w:r w:rsidRPr="00BE1049">
              <w:rPr>
                <w:sz w:val="22"/>
                <w:szCs w:val="22"/>
              </w:rPr>
              <w:t>Pruritus</w:t>
            </w:r>
          </w:p>
          <w:p w:rsidR="00515A85" w:rsidRPr="00BE1049" w:rsidRDefault="00515A85" w:rsidP="00BE1049">
            <w:pPr>
              <w:pStyle w:val="Sidehoved"/>
              <w:ind w:left="164" w:right="132"/>
              <w:rPr>
                <w:sz w:val="22"/>
                <w:szCs w:val="22"/>
              </w:rPr>
            </w:pPr>
            <w:r w:rsidRPr="00BE1049">
              <w:rPr>
                <w:sz w:val="22"/>
                <w:szCs w:val="22"/>
              </w:rPr>
              <w:t>Hyperpigmentering i huden</w:t>
            </w:r>
          </w:p>
          <w:p w:rsidR="00515A85" w:rsidRPr="00BE1049" w:rsidRDefault="00515A85" w:rsidP="00BE1049">
            <w:pPr>
              <w:pStyle w:val="Sidehoved"/>
              <w:ind w:left="164" w:right="132"/>
              <w:rPr>
                <w:sz w:val="22"/>
                <w:szCs w:val="22"/>
              </w:rPr>
            </w:pPr>
            <w:r w:rsidRPr="00BE1049">
              <w:rPr>
                <w:sz w:val="22"/>
                <w:szCs w:val="22"/>
              </w:rPr>
              <w:t>Hudlæsioner</w:t>
            </w:r>
          </w:p>
          <w:p w:rsidR="00515A85" w:rsidRPr="00BE1049" w:rsidRDefault="00515A85" w:rsidP="00BE1049">
            <w:pPr>
              <w:pStyle w:val="Sidehoved"/>
              <w:ind w:left="164" w:right="132"/>
              <w:rPr>
                <w:sz w:val="22"/>
                <w:szCs w:val="22"/>
                <w:lang w:val="en-US"/>
              </w:rPr>
            </w:pPr>
            <w:r w:rsidRPr="00BE1049">
              <w:rPr>
                <w:sz w:val="22"/>
                <w:szCs w:val="22"/>
                <w:lang w:val="en-US"/>
              </w:rPr>
              <w:t>Hyperkeratose</w:t>
            </w:r>
          </w:p>
          <w:p w:rsidR="00515A85" w:rsidRPr="00BE1049" w:rsidRDefault="00515A85" w:rsidP="00BE1049">
            <w:pPr>
              <w:pStyle w:val="Sidehoved"/>
              <w:ind w:left="164" w:right="132"/>
              <w:rPr>
                <w:sz w:val="22"/>
                <w:szCs w:val="22"/>
                <w:lang w:val="en-US"/>
              </w:rPr>
            </w:pPr>
            <w:r w:rsidRPr="00BE1049">
              <w:rPr>
                <w:sz w:val="22"/>
                <w:szCs w:val="22"/>
                <w:lang w:val="en-US"/>
              </w:rPr>
              <w:t>Dermatitis</w:t>
            </w:r>
          </w:p>
          <w:p w:rsidR="00515A85" w:rsidRPr="00BE1049" w:rsidRDefault="00515A85" w:rsidP="00BE1049">
            <w:pPr>
              <w:pStyle w:val="Sidehoved"/>
              <w:ind w:left="164" w:right="132"/>
              <w:rPr>
                <w:sz w:val="22"/>
                <w:szCs w:val="22"/>
                <w:lang w:val="en-US"/>
              </w:rPr>
            </w:pPr>
            <w:r w:rsidRPr="00BE1049">
              <w:rPr>
                <w:sz w:val="22"/>
                <w:szCs w:val="22"/>
                <w:lang w:val="en-US"/>
              </w:rPr>
              <w:t>Neglesygdomme</w:t>
            </w:r>
            <w:r w:rsidRPr="00BE1049">
              <w:rPr>
                <w:sz w:val="22"/>
                <w:szCs w:val="22"/>
                <w:vertAlign w:val="superscript"/>
                <w:lang w:val="en-US"/>
              </w:rPr>
              <w:t>w</w:t>
            </w:r>
          </w:p>
        </w:tc>
        <w:tc>
          <w:tcPr>
            <w:tcW w:w="913" w:type="pct"/>
            <w:tcBorders>
              <w:top w:val="single" w:sz="4" w:space="0" w:color="000000"/>
              <w:left w:val="single" w:sz="4" w:space="0" w:color="000000"/>
              <w:bottom w:val="single" w:sz="4" w:space="0" w:color="000000"/>
              <w:right w:val="single" w:sz="4" w:space="0" w:color="000000"/>
            </w:tcBorders>
          </w:tcPr>
          <w:p w:rsidR="00515A85" w:rsidRPr="00BE1049" w:rsidRDefault="00515A85" w:rsidP="00BE1049">
            <w:pPr>
              <w:pStyle w:val="Sidehoved"/>
              <w:ind w:left="164" w:right="132"/>
              <w:rPr>
                <w:sz w:val="22"/>
                <w:szCs w:val="22"/>
                <w:lang w:val="en-US"/>
              </w:rPr>
            </w:pPr>
          </w:p>
        </w:tc>
        <w:tc>
          <w:tcPr>
            <w:tcW w:w="84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lang w:val="en-US"/>
              </w:rPr>
            </w:pPr>
            <w:r w:rsidRPr="00BE1049">
              <w:rPr>
                <w:sz w:val="22"/>
                <w:szCs w:val="22"/>
                <w:lang w:val="en-US"/>
              </w:rPr>
              <w:t>Erythema multiforme*</w:t>
            </w:r>
          </w:p>
          <w:p w:rsidR="00515A85" w:rsidRPr="00BE1049" w:rsidRDefault="00515A85" w:rsidP="00BE1049">
            <w:pPr>
              <w:pStyle w:val="Sidehoved"/>
              <w:ind w:left="164" w:right="132"/>
              <w:rPr>
                <w:sz w:val="22"/>
                <w:szCs w:val="22"/>
                <w:lang w:val="en-US"/>
              </w:rPr>
            </w:pPr>
            <w:r w:rsidRPr="00BE1049">
              <w:rPr>
                <w:sz w:val="22"/>
                <w:szCs w:val="22"/>
                <w:lang w:val="en-US"/>
              </w:rPr>
              <w:t>Stevens-Johnsons syndrom*</w:t>
            </w:r>
          </w:p>
          <w:p w:rsidR="00515A85" w:rsidRPr="00BE1049" w:rsidRDefault="00515A85" w:rsidP="00BE1049">
            <w:pPr>
              <w:pStyle w:val="Sidehoved"/>
              <w:ind w:left="164" w:right="132"/>
              <w:rPr>
                <w:sz w:val="22"/>
                <w:szCs w:val="22"/>
              </w:rPr>
            </w:pPr>
            <w:r w:rsidRPr="00BE1049">
              <w:rPr>
                <w:sz w:val="22"/>
                <w:szCs w:val="22"/>
              </w:rPr>
              <w:lastRenderedPageBreak/>
              <w:t>Gangrænøs pyoderma</w:t>
            </w:r>
          </w:p>
          <w:p w:rsidR="00515A85" w:rsidRPr="00BE1049" w:rsidRDefault="00515A85" w:rsidP="00BE1049">
            <w:pPr>
              <w:pStyle w:val="Sidehoved"/>
              <w:ind w:left="164" w:right="132"/>
              <w:rPr>
                <w:sz w:val="22"/>
                <w:szCs w:val="22"/>
              </w:rPr>
            </w:pPr>
            <w:r w:rsidRPr="00BE1049">
              <w:rPr>
                <w:sz w:val="22"/>
                <w:szCs w:val="22"/>
              </w:rPr>
              <w:t>Toksisk epidermal nekrolyse*</w:t>
            </w:r>
          </w:p>
        </w:tc>
        <w:tc>
          <w:tcPr>
            <w:tcW w:w="632" w:type="pct"/>
            <w:tcBorders>
              <w:top w:val="single" w:sz="4" w:space="0" w:color="000000"/>
              <w:left w:val="single" w:sz="4" w:space="0" w:color="000000"/>
              <w:bottom w:val="single" w:sz="4" w:space="0" w:color="000000"/>
              <w:right w:val="single" w:sz="4" w:space="0" w:color="000000"/>
            </w:tcBorders>
          </w:tcPr>
          <w:p w:rsidR="00515A85" w:rsidRPr="00BE1049" w:rsidRDefault="00515A85" w:rsidP="00BE1049">
            <w:pPr>
              <w:pStyle w:val="Sidehoved"/>
              <w:ind w:left="164" w:right="132"/>
              <w:rPr>
                <w:sz w:val="22"/>
                <w:szCs w:val="22"/>
              </w:rPr>
            </w:pPr>
          </w:p>
        </w:tc>
      </w:tr>
      <w:tr w:rsidR="00515A85" w:rsidRPr="00F23835" w:rsidTr="00BE1049">
        <w:trPr>
          <w:trHeight w:val="20"/>
        </w:trPr>
        <w:tc>
          <w:tcPr>
            <w:tcW w:w="785"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b/>
                <w:sz w:val="22"/>
                <w:szCs w:val="22"/>
              </w:rPr>
            </w:pPr>
            <w:r w:rsidRPr="00BE1049">
              <w:rPr>
                <w:b/>
                <w:sz w:val="22"/>
                <w:szCs w:val="22"/>
              </w:rPr>
              <w:t>Knogler, led,</w:t>
            </w:r>
          </w:p>
          <w:p w:rsidR="00515A85" w:rsidRPr="00BE1049" w:rsidRDefault="00515A85" w:rsidP="00BE1049">
            <w:pPr>
              <w:pStyle w:val="Sidehoved"/>
              <w:ind w:left="164" w:right="132"/>
              <w:rPr>
                <w:b/>
                <w:sz w:val="22"/>
                <w:szCs w:val="22"/>
              </w:rPr>
            </w:pPr>
            <w:r w:rsidRPr="00BE1049">
              <w:rPr>
                <w:b/>
                <w:sz w:val="22"/>
                <w:szCs w:val="22"/>
              </w:rPr>
              <w:t>muskler og bindevæv</w:t>
            </w:r>
          </w:p>
        </w:tc>
        <w:tc>
          <w:tcPr>
            <w:tcW w:w="91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lang w:val="en-US"/>
              </w:rPr>
            </w:pPr>
            <w:r w:rsidRPr="00BE1049">
              <w:rPr>
                <w:sz w:val="22"/>
                <w:szCs w:val="22"/>
                <w:lang w:val="en-US"/>
              </w:rPr>
              <w:t>Ekstremitets-smerter</w:t>
            </w:r>
          </w:p>
          <w:p w:rsidR="00515A85" w:rsidRPr="00BE1049" w:rsidRDefault="00515A85" w:rsidP="00BE1049">
            <w:pPr>
              <w:pStyle w:val="Sidehoved"/>
              <w:ind w:left="164" w:right="132"/>
              <w:rPr>
                <w:sz w:val="22"/>
                <w:szCs w:val="22"/>
                <w:lang w:val="en-US"/>
              </w:rPr>
            </w:pPr>
            <w:r w:rsidRPr="00BE1049">
              <w:rPr>
                <w:sz w:val="22"/>
                <w:szCs w:val="22"/>
                <w:lang w:val="en-US"/>
              </w:rPr>
              <w:t xml:space="preserve">Artralgi </w:t>
            </w:r>
          </w:p>
          <w:p w:rsidR="00515A85" w:rsidRPr="00BE1049" w:rsidRDefault="00515A85" w:rsidP="00BE1049">
            <w:pPr>
              <w:pStyle w:val="Sidehoved"/>
              <w:ind w:left="164" w:right="132"/>
              <w:rPr>
                <w:sz w:val="22"/>
                <w:szCs w:val="22"/>
                <w:lang w:val="en-US"/>
              </w:rPr>
            </w:pPr>
            <w:r w:rsidRPr="00BE1049">
              <w:rPr>
                <w:sz w:val="22"/>
                <w:szCs w:val="22"/>
                <w:lang w:val="en-US"/>
              </w:rPr>
              <w:t>Rygsmerter</w:t>
            </w:r>
          </w:p>
        </w:tc>
        <w:tc>
          <w:tcPr>
            <w:tcW w:w="91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lang w:val="fi-FI"/>
              </w:rPr>
            </w:pPr>
            <w:r w:rsidRPr="00BE1049">
              <w:rPr>
                <w:sz w:val="22"/>
                <w:szCs w:val="22"/>
                <w:lang w:val="fi-FI"/>
              </w:rPr>
              <w:t>Muskuloskeletale smerter</w:t>
            </w:r>
          </w:p>
          <w:p w:rsidR="00515A85" w:rsidRPr="00BE1049" w:rsidRDefault="00515A85" w:rsidP="00BE1049">
            <w:pPr>
              <w:pStyle w:val="Sidehoved"/>
              <w:ind w:left="164" w:right="132"/>
              <w:rPr>
                <w:sz w:val="22"/>
                <w:szCs w:val="22"/>
                <w:lang w:val="fi-FI"/>
              </w:rPr>
            </w:pPr>
            <w:r w:rsidRPr="00BE1049">
              <w:rPr>
                <w:sz w:val="22"/>
                <w:szCs w:val="22"/>
                <w:lang w:val="fi-FI"/>
              </w:rPr>
              <w:t xml:space="preserve">Muskelspasmer </w:t>
            </w:r>
          </w:p>
          <w:p w:rsidR="00515A85" w:rsidRPr="00BE1049" w:rsidRDefault="00515A85" w:rsidP="00BE1049">
            <w:pPr>
              <w:pStyle w:val="Sidehoved"/>
              <w:ind w:left="164" w:right="132"/>
              <w:rPr>
                <w:sz w:val="22"/>
                <w:szCs w:val="22"/>
                <w:lang w:val="fi-FI"/>
              </w:rPr>
            </w:pPr>
            <w:r w:rsidRPr="00BE1049">
              <w:rPr>
                <w:sz w:val="22"/>
                <w:szCs w:val="22"/>
                <w:lang w:val="fi-FI"/>
              </w:rPr>
              <w:t>Myalgi</w:t>
            </w:r>
          </w:p>
          <w:p w:rsidR="00515A85" w:rsidRPr="00BE1049" w:rsidRDefault="00515A85" w:rsidP="00BE1049">
            <w:pPr>
              <w:pStyle w:val="Sidehoved"/>
              <w:ind w:left="164" w:right="132"/>
              <w:rPr>
                <w:sz w:val="22"/>
                <w:szCs w:val="22"/>
                <w:lang w:val="fi-FI"/>
              </w:rPr>
            </w:pPr>
            <w:r w:rsidRPr="00BE1049">
              <w:rPr>
                <w:sz w:val="22"/>
                <w:szCs w:val="22"/>
                <w:lang w:val="fi-FI"/>
              </w:rPr>
              <w:t>Muskelsvaghed</w:t>
            </w:r>
          </w:p>
        </w:tc>
        <w:tc>
          <w:tcPr>
            <w:tcW w:w="91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lang w:val="en-US"/>
              </w:rPr>
            </w:pPr>
            <w:r w:rsidRPr="00BE1049">
              <w:rPr>
                <w:sz w:val="22"/>
                <w:szCs w:val="22"/>
                <w:lang w:val="en-US"/>
              </w:rPr>
              <w:t>Osteonekrose af</w:t>
            </w:r>
            <w:r w:rsidR="00BE1049">
              <w:rPr>
                <w:sz w:val="22"/>
                <w:szCs w:val="22"/>
                <w:lang w:val="en-US"/>
              </w:rPr>
              <w:t xml:space="preserve"> </w:t>
            </w:r>
            <w:r w:rsidRPr="00BE1049">
              <w:rPr>
                <w:sz w:val="22"/>
                <w:szCs w:val="22"/>
                <w:lang w:val="en-US"/>
              </w:rPr>
              <w:t xml:space="preserve">kæben </w:t>
            </w:r>
          </w:p>
          <w:p w:rsidR="00515A85" w:rsidRPr="00BE1049" w:rsidRDefault="00515A85" w:rsidP="00BE1049">
            <w:pPr>
              <w:pStyle w:val="Sidehoved"/>
              <w:ind w:left="164" w:right="132"/>
              <w:rPr>
                <w:sz w:val="22"/>
                <w:szCs w:val="22"/>
                <w:lang w:val="en-US"/>
              </w:rPr>
            </w:pPr>
            <w:r w:rsidRPr="00BE1049">
              <w:rPr>
                <w:sz w:val="22"/>
                <w:szCs w:val="22"/>
                <w:lang w:val="en-US"/>
              </w:rPr>
              <w:t>Fistler*</w:t>
            </w:r>
          </w:p>
        </w:tc>
        <w:tc>
          <w:tcPr>
            <w:tcW w:w="84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lang w:val="en-US"/>
              </w:rPr>
            </w:pPr>
            <w:r w:rsidRPr="00BE1049">
              <w:rPr>
                <w:sz w:val="22"/>
                <w:szCs w:val="22"/>
                <w:lang w:val="en-US"/>
              </w:rPr>
              <w:t>Rabdomyoly</w:t>
            </w:r>
            <w:r w:rsidR="00BE1049">
              <w:rPr>
                <w:sz w:val="22"/>
                <w:szCs w:val="22"/>
                <w:lang w:val="en-US"/>
              </w:rPr>
              <w:t>s</w:t>
            </w:r>
            <w:r w:rsidRPr="00BE1049">
              <w:rPr>
                <w:sz w:val="22"/>
                <w:szCs w:val="22"/>
                <w:lang w:val="en-US"/>
              </w:rPr>
              <w:t>e*</w:t>
            </w:r>
          </w:p>
          <w:p w:rsidR="00515A85" w:rsidRPr="00BE1049" w:rsidRDefault="00515A85" w:rsidP="00BE1049">
            <w:pPr>
              <w:pStyle w:val="Sidehoved"/>
              <w:ind w:left="164" w:right="132"/>
              <w:rPr>
                <w:sz w:val="22"/>
                <w:szCs w:val="22"/>
                <w:lang w:val="en-US"/>
              </w:rPr>
            </w:pPr>
            <w:r w:rsidRPr="00BE1049">
              <w:rPr>
                <w:sz w:val="22"/>
                <w:szCs w:val="22"/>
                <w:lang w:val="en-US"/>
              </w:rPr>
              <w:t>Myopati</w:t>
            </w:r>
          </w:p>
        </w:tc>
        <w:tc>
          <w:tcPr>
            <w:tcW w:w="632" w:type="pct"/>
            <w:tcBorders>
              <w:top w:val="single" w:sz="4" w:space="0" w:color="000000"/>
              <w:left w:val="single" w:sz="4" w:space="0" w:color="000000"/>
              <w:bottom w:val="single" w:sz="4" w:space="0" w:color="000000"/>
              <w:right w:val="single" w:sz="4" w:space="0" w:color="000000"/>
            </w:tcBorders>
          </w:tcPr>
          <w:p w:rsidR="00515A85" w:rsidRPr="00BE1049" w:rsidRDefault="00515A85" w:rsidP="00BE1049">
            <w:pPr>
              <w:pStyle w:val="Sidehoved"/>
              <w:ind w:left="164" w:right="132"/>
              <w:rPr>
                <w:sz w:val="22"/>
                <w:szCs w:val="22"/>
                <w:lang w:val="en-US"/>
              </w:rPr>
            </w:pPr>
          </w:p>
        </w:tc>
      </w:tr>
      <w:tr w:rsidR="00515A85" w:rsidRPr="00F23835" w:rsidTr="00BE1049">
        <w:trPr>
          <w:trHeight w:val="20"/>
        </w:trPr>
        <w:tc>
          <w:tcPr>
            <w:tcW w:w="785"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b/>
                <w:sz w:val="22"/>
                <w:szCs w:val="22"/>
                <w:lang w:val="en-US"/>
              </w:rPr>
            </w:pPr>
            <w:r w:rsidRPr="00BE1049">
              <w:rPr>
                <w:b/>
                <w:sz w:val="22"/>
                <w:szCs w:val="22"/>
                <w:lang w:val="en-US"/>
              </w:rPr>
              <w:t>Nyrer og urinveje</w:t>
            </w:r>
          </w:p>
        </w:tc>
        <w:tc>
          <w:tcPr>
            <w:tcW w:w="913" w:type="pct"/>
            <w:tcBorders>
              <w:top w:val="single" w:sz="4" w:space="0" w:color="000000"/>
              <w:left w:val="single" w:sz="4" w:space="0" w:color="000000"/>
              <w:bottom w:val="single" w:sz="4" w:space="0" w:color="000000"/>
              <w:right w:val="single" w:sz="4" w:space="0" w:color="000000"/>
            </w:tcBorders>
          </w:tcPr>
          <w:p w:rsidR="00515A85" w:rsidRPr="00BE1049" w:rsidRDefault="00515A85" w:rsidP="00BE1049">
            <w:pPr>
              <w:pStyle w:val="Sidehoved"/>
              <w:ind w:left="164" w:right="132"/>
              <w:rPr>
                <w:sz w:val="22"/>
                <w:szCs w:val="22"/>
                <w:lang w:val="en-US"/>
              </w:rPr>
            </w:pPr>
          </w:p>
        </w:tc>
        <w:tc>
          <w:tcPr>
            <w:tcW w:w="91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lang w:val="fi-FI"/>
              </w:rPr>
            </w:pPr>
            <w:r w:rsidRPr="00BE1049">
              <w:rPr>
                <w:sz w:val="22"/>
                <w:szCs w:val="22"/>
                <w:lang w:val="fi-FI"/>
              </w:rPr>
              <w:t xml:space="preserve">Nyresvigt* </w:t>
            </w:r>
          </w:p>
          <w:p w:rsidR="00515A85" w:rsidRPr="00BE1049" w:rsidRDefault="00515A85" w:rsidP="00BE1049">
            <w:pPr>
              <w:pStyle w:val="Sidehoved"/>
              <w:ind w:left="164" w:right="132"/>
              <w:rPr>
                <w:sz w:val="22"/>
                <w:szCs w:val="22"/>
                <w:lang w:val="fi-FI"/>
              </w:rPr>
            </w:pPr>
            <w:r w:rsidRPr="00BE1049">
              <w:rPr>
                <w:sz w:val="22"/>
                <w:szCs w:val="22"/>
                <w:lang w:val="fi-FI"/>
              </w:rPr>
              <w:t>Nyresvigt, akut*</w:t>
            </w:r>
          </w:p>
          <w:p w:rsidR="00515A85" w:rsidRPr="00BE1049" w:rsidRDefault="00515A85" w:rsidP="00BE1049">
            <w:pPr>
              <w:pStyle w:val="Sidehoved"/>
              <w:ind w:left="164" w:right="132"/>
              <w:rPr>
                <w:sz w:val="22"/>
                <w:szCs w:val="22"/>
                <w:lang w:val="fi-FI"/>
              </w:rPr>
            </w:pPr>
            <w:r w:rsidRPr="00BE1049">
              <w:rPr>
                <w:sz w:val="22"/>
                <w:szCs w:val="22"/>
                <w:lang w:val="fi-FI"/>
              </w:rPr>
              <w:t>Kromaturi</w:t>
            </w:r>
          </w:p>
          <w:p w:rsidR="00515A85" w:rsidRPr="00BE1049" w:rsidRDefault="00515A85" w:rsidP="00BE1049">
            <w:pPr>
              <w:pStyle w:val="Sidehoved"/>
              <w:ind w:left="164" w:right="132"/>
              <w:rPr>
                <w:sz w:val="22"/>
                <w:szCs w:val="22"/>
                <w:lang w:val="fi-FI"/>
              </w:rPr>
            </w:pPr>
            <w:r w:rsidRPr="00BE1049">
              <w:rPr>
                <w:sz w:val="22"/>
                <w:szCs w:val="22"/>
                <w:lang w:val="fi-FI"/>
              </w:rPr>
              <w:t>Proteinuri</w:t>
            </w:r>
          </w:p>
        </w:tc>
        <w:tc>
          <w:tcPr>
            <w:tcW w:w="91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lang w:val="en-US"/>
              </w:rPr>
            </w:pPr>
            <w:r w:rsidRPr="00BE1049">
              <w:rPr>
                <w:sz w:val="22"/>
                <w:szCs w:val="22"/>
                <w:lang w:val="en-US"/>
              </w:rPr>
              <w:t>Urinvejsblød</w:t>
            </w:r>
            <w:r w:rsidR="00BE1049">
              <w:rPr>
                <w:sz w:val="22"/>
                <w:szCs w:val="22"/>
                <w:lang w:val="en-US"/>
              </w:rPr>
              <w:softHyphen/>
            </w:r>
            <w:r w:rsidRPr="00BE1049">
              <w:rPr>
                <w:sz w:val="22"/>
                <w:szCs w:val="22"/>
                <w:lang w:val="en-US"/>
              </w:rPr>
              <w:t>nin</w:t>
            </w:r>
            <w:r w:rsidR="00BE1049">
              <w:rPr>
                <w:sz w:val="22"/>
                <w:szCs w:val="22"/>
                <w:lang w:val="en-US"/>
              </w:rPr>
              <w:t>g</w:t>
            </w:r>
          </w:p>
        </w:tc>
        <w:tc>
          <w:tcPr>
            <w:tcW w:w="84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lang w:val="en-US"/>
              </w:rPr>
            </w:pPr>
            <w:r w:rsidRPr="00BE1049">
              <w:rPr>
                <w:sz w:val="22"/>
                <w:szCs w:val="22"/>
                <w:lang w:val="en-US"/>
              </w:rPr>
              <w:t>Nefrotisk syndrom</w:t>
            </w:r>
          </w:p>
        </w:tc>
        <w:tc>
          <w:tcPr>
            <w:tcW w:w="632" w:type="pct"/>
            <w:tcBorders>
              <w:top w:val="single" w:sz="4" w:space="0" w:color="000000"/>
              <w:left w:val="single" w:sz="4" w:space="0" w:color="000000"/>
              <w:bottom w:val="single" w:sz="4" w:space="0" w:color="000000"/>
              <w:right w:val="single" w:sz="4" w:space="0" w:color="000000"/>
            </w:tcBorders>
          </w:tcPr>
          <w:p w:rsidR="00515A85" w:rsidRPr="00BE1049" w:rsidRDefault="00515A85" w:rsidP="00BE1049">
            <w:pPr>
              <w:pStyle w:val="Sidehoved"/>
              <w:ind w:left="164" w:right="132"/>
              <w:rPr>
                <w:sz w:val="22"/>
                <w:szCs w:val="22"/>
                <w:lang w:val="en-US"/>
              </w:rPr>
            </w:pPr>
          </w:p>
        </w:tc>
      </w:tr>
      <w:tr w:rsidR="00515A85" w:rsidRPr="00F23835" w:rsidTr="00BE1049">
        <w:trPr>
          <w:trHeight w:val="20"/>
        </w:trPr>
        <w:tc>
          <w:tcPr>
            <w:tcW w:w="785"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b/>
                <w:sz w:val="22"/>
                <w:szCs w:val="22"/>
              </w:rPr>
            </w:pPr>
            <w:r w:rsidRPr="00BE1049">
              <w:rPr>
                <w:b/>
                <w:sz w:val="22"/>
                <w:szCs w:val="22"/>
              </w:rPr>
              <w:t>Almene symptomer og reaktioner på administra-</w:t>
            </w:r>
          </w:p>
          <w:p w:rsidR="00515A85" w:rsidRPr="00BE1049" w:rsidRDefault="00515A85" w:rsidP="00BE1049">
            <w:pPr>
              <w:pStyle w:val="Sidehoved"/>
              <w:ind w:left="164" w:right="132"/>
              <w:rPr>
                <w:b/>
                <w:sz w:val="22"/>
                <w:szCs w:val="22"/>
                <w:lang w:val="en-US"/>
              </w:rPr>
            </w:pPr>
            <w:r w:rsidRPr="00BE1049">
              <w:rPr>
                <w:b/>
                <w:sz w:val="22"/>
                <w:szCs w:val="22"/>
                <w:lang w:val="en-US"/>
              </w:rPr>
              <w:t>tionsstedet</w:t>
            </w:r>
          </w:p>
        </w:tc>
        <w:tc>
          <w:tcPr>
            <w:tcW w:w="91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lang w:val="fi-FI"/>
              </w:rPr>
            </w:pPr>
            <w:r w:rsidRPr="00BE1049">
              <w:rPr>
                <w:sz w:val="22"/>
                <w:szCs w:val="22"/>
                <w:lang w:val="fi-FI"/>
              </w:rPr>
              <w:t>Mucosa-</w:t>
            </w:r>
          </w:p>
          <w:p w:rsidR="00515A85" w:rsidRPr="00BE1049" w:rsidRDefault="00515A85" w:rsidP="00BE1049">
            <w:pPr>
              <w:pStyle w:val="Sidehoved"/>
              <w:ind w:left="164" w:right="132"/>
              <w:rPr>
                <w:sz w:val="22"/>
                <w:szCs w:val="22"/>
                <w:lang w:val="fi-FI"/>
              </w:rPr>
            </w:pPr>
            <w:r w:rsidRPr="00BE1049">
              <w:rPr>
                <w:sz w:val="22"/>
                <w:szCs w:val="22"/>
                <w:lang w:val="fi-FI"/>
              </w:rPr>
              <w:t xml:space="preserve">inflammation </w:t>
            </w:r>
          </w:p>
          <w:p w:rsidR="00515A85" w:rsidRPr="00BE1049" w:rsidRDefault="00515A85" w:rsidP="00BE1049">
            <w:pPr>
              <w:pStyle w:val="Sidehoved"/>
              <w:ind w:left="164" w:right="132"/>
              <w:rPr>
                <w:sz w:val="22"/>
                <w:szCs w:val="22"/>
                <w:lang w:val="fi-FI"/>
              </w:rPr>
            </w:pPr>
            <w:r w:rsidRPr="00BE1049">
              <w:rPr>
                <w:sz w:val="22"/>
                <w:szCs w:val="22"/>
                <w:lang w:val="fi-FI"/>
              </w:rPr>
              <w:t>Træthed</w:t>
            </w:r>
            <w:r w:rsidRPr="00BE1049">
              <w:rPr>
                <w:sz w:val="22"/>
                <w:szCs w:val="22"/>
                <w:vertAlign w:val="superscript"/>
                <w:lang w:val="fi-FI"/>
              </w:rPr>
              <w:t>x</w:t>
            </w:r>
            <w:r w:rsidRPr="00BE1049">
              <w:rPr>
                <w:sz w:val="22"/>
                <w:szCs w:val="22"/>
                <w:lang w:val="fi-FI"/>
              </w:rPr>
              <w:t xml:space="preserve"> </w:t>
            </w:r>
          </w:p>
          <w:p w:rsidR="00515A85" w:rsidRPr="00BE1049" w:rsidRDefault="00515A85" w:rsidP="00BE1049">
            <w:pPr>
              <w:pStyle w:val="Sidehoved"/>
              <w:ind w:left="164" w:right="132"/>
              <w:rPr>
                <w:sz w:val="22"/>
                <w:szCs w:val="22"/>
                <w:lang w:val="fi-FI"/>
              </w:rPr>
            </w:pPr>
            <w:r w:rsidRPr="00BE1049">
              <w:rPr>
                <w:sz w:val="22"/>
                <w:szCs w:val="22"/>
                <w:lang w:val="fi-FI"/>
              </w:rPr>
              <w:t>Ødem</w:t>
            </w:r>
            <w:r w:rsidRPr="00BE1049">
              <w:rPr>
                <w:sz w:val="22"/>
                <w:szCs w:val="22"/>
                <w:vertAlign w:val="superscript"/>
                <w:lang w:val="fi-FI"/>
              </w:rPr>
              <w:t>y</w:t>
            </w:r>
          </w:p>
          <w:p w:rsidR="00515A85" w:rsidRPr="00BE1049" w:rsidRDefault="00515A85" w:rsidP="00BE1049">
            <w:pPr>
              <w:pStyle w:val="Sidehoved"/>
              <w:ind w:left="164" w:right="132"/>
              <w:rPr>
                <w:sz w:val="22"/>
                <w:szCs w:val="22"/>
                <w:lang w:val="fi-FI"/>
              </w:rPr>
            </w:pPr>
            <w:r w:rsidRPr="00BE1049">
              <w:rPr>
                <w:sz w:val="22"/>
                <w:szCs w:val="22"/>
                <w:lang w:val="fi-FI"/>
              </w:rPr>
              <w:t>Pyreksi</w:t>
            </w:r>
          </w:p>
        </w:tc>
        <w:tc>
          <w:tcPr>
            <w:tcW w:w="91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rPr>
            </w:pPr>
            <w:r w:rsidRPr="00BE1049">
              <w:rPr>
                <w:sz w:val="22"/>
                <w:szCs w:val="22"/>
              </w:rPr>
              <w:t>Brystsmerter</w:t>
            </w:r>
          </w:p>
          <w:p w:rsidR="00515A85" w:rsidRPr="00BE1049" w:rsidRDefault="00515A85" w:rsidP="00BE1049">
            <w:pPr>
              <w:pStyle w:val="Sidehoved"/>
              <w:ind w:left="164" w:right="132"/>
              <w:rPr>
                <w:sz w:val="22"/>
                <w:szCs w:val="22"/>
              </w:rPr>
            </w:pPr>
            <w:r w:rsidRPr="00BE1049">
              <w:rPr>
                <w:sz w:val="22"/>
                <w:szCs w:val="22"/>
              </w:rPr>
              <w:t xml:space="preserve">Smerter </w:t>
            </w:r>
          </w:p>
          <w:p w:rsidR="00515A85" w:rsidRPr="00BE1049" w:rsidRDefault="00515A85" w:rsidP="00BE1049">
            <w:pPr>
              <w:pStyle w:val="Sidehoved"/>
              <w:ind w:left="164" w:right="132"/>
              <w:rPr>
                <w:sz w:val="22"/>
                <w:szCs w:val="22"/>
              </w:rPr>
            </w:pPr>
            <w:r w:rsidRPr="00BE1049">
              <w:rPr>
                <w:sz w:val="22"/>
                <w:szCs w:val="22"/>
              </w:rPr>
              <w:t>Influenzalignende symptomer</w:t>
            </w:r>
          </w:p>
          <w:p w:rsidR="00515A85" w:rsidRPr="00BE1049" w:rsidRDefault="00515A85" w:rsidP="00BE1049">
            <w:pPr>
              <w:pStyle w:val="Sidehoved"/>
              <w:ind w:left="164" w:right="132"/>
              <w:rPr>
                <w:sz w:val="22"/>
                <w:szCs w:val="22"/>
              </w:rPr>
            </w:pPr>
            <w:r w:rsidRPr="00BE1049">
              <w:rPr>
                <w:sz w:val="22"/>
                <w:szCs w:val="22"/>
              </w:rPr>
              <w:t>Kulderystelser</w:t>
            </w:r>
          </w:p>
        </w:tc>
        <w:tc>
          <w:tcPr>
            <w:tcW w:w="91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lang w:val="en-US"/>
              </w:rPr>
            </w:pPr>
            <w:r w:rsidRPr="00BE1049">
              <w:rPr>
                <w:sz w:val="22"/>
                <w:szCs w:val="22"/>
                <w:lang w:val="en-US"/>
              </w:rPr>
              <w:t>Nedsat sårheling</w:t>
            </w:r>
          </w:p>
        </w:tc>
        <w:tc>
          <w:tcPr>
            <w:tcW w:w="843" w:type="pct"/>
            <w:tcBorders>
              <w:top w:val="single" w:sz="4" w:space="0" w:color="000000"/>
              <w:left w:val="single" w:sz="4" w:space="0" w:color="000000"/>
              <w:bottom w:val="single" w:sz="4" w:space="0" w:color="000000"/>
              <w:right w:val="single" w:sz="4" w:space="0" w:color="000000"/>
            </w:tcBorders>
          </w:tcPr>
          <w:p w:rsidR="00515A85" w:rsidRPr="00BE1049" w:rsidRDefault="00515A85" w:rsidP="00BE1049">
            <w:pPr>
              <w:pStyle w:val="Sidehoved"/>
              <w:ind w:left="164" w:right="132"/>
              <w:rPr>
                <w:sz w:val="22"/>
                <w:szCs w:val="22"/>
                <w:lang w:val="en-US"/>
              </w:rPr>
            </w:pPr>
          </w:p>
        </w:tc>
        <w:tc>
          <w:tcPr>
            <w:tcW w:w="632" w:type="pct"/>
            <w:tcBorders>
              <w:top w:val="single" w:sz="4" w:space="0" w:color="000000"/>
              <w:left w:val="single" w:sz="4" w:space="0" w:color="000000"/>
              <w:bottom w:val="single" w:sz="4" w:space="0" w:color="000000"/>
              <w:right w:val="single" w:sz="4" w:space="0" w:color="000000"/>
            </w:tcBorders>
          </w:tcPr>
          <w:p w:rsidR="00515A85" w:rsidRPr="00BE1049" w:rsidRDefault="00515A85" w:rsidP="00BE1049">
            <w:pPr>
              <w:pStyle w:val="Sidehoved"/>
              <w:ind w:left="164" w:right="132"/>
              <w:rPr>
                <w:sz w:val="22"/>
                <w:szCs w:val="22"/>
                <w:lang w:val="en-US"/>
              </w:rPr>
            </w:pPr>
          </w:p>
        </w:tc>
      </w:tr>
      <w:tr w:rsidR="00515A85" w:rsidRPr="00F23835" w:rsidTr="00BE1049">
        <w:trPr>
          <w:trHeight w:val="20"/>
        </w:trPr>
        <w:tc>
          <w:tcPr>
            <w:tcW w:w="785"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b/>
                <w:sz w:val="22"/>
                <w:szCs w:val="22"/>
                <w:lang w:val="en-US"/>
              </w:rPr>
            </w:pPr>
            <w:r w:rsidRPr="00BE1049">
              <w:rPr>
                <w:b/>
                <w:sz w:val="22"/>
                <w:szCs w:val="22"/>
                <w:lang w:val="en-US"/>
              </w:rPr>
              <w:t>Under-søgelser</w:t>
            </w:r>
          </w:p>
        </w:tc>
        <w:tc>
          <w:tcPr>
            <w:tcW w:w="913" w:type="pct"/>
            <w:tcBorders>
              <w:top w:val="single" w:sz="4" w:space="0" w:color="000000"/>
              <w:left w:val="single" w:sz="4" w:space="0" w:color="000000"/>
              <w:bottom w:val="single" w:sz="4" w:space="0" w:color="000000"/>
              <w:right w:val="single" w:sz="4" w:space="0" w:color="000000"/>
            </w:tcBorders>
          </w:tcPr>
          <w:p w:rsidR="00515A85" w:rsidRPr="00BE1049" w:rsidRDefault="00515A85" w:rsidP="00BE1049">
            <w:pPr>
              <w:pStyle w:val="Sidehoved"/>
              <w:ind w:left="164" w:right="132"/>
              <w:rPr>
                <w:sz w:val="22"/>
                <w:szCs w:val="22"/>
                <w:lang w:val="en-US"/>
              </w:rPr>
            </w:pPr>
          </w:p>
        </w:tc>
        <w:tc>
          <w:tcPr>
            <w:tcW w:w="91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rPr>
            </w:pPr>
            <w:r w:rsidRPr="00BE1049">
              <w:rPr>
                <w:sz w:val="22"/>
                <w:szCs w:val="22"/>
              </w:rPr>
              <w:t>Vægttab</w:t>
            </w:r>
          </w:p>
          <w:p w:rsidR="00515A85" w:rsidRPr="00BE1049" w:rsidRDefault="00515A85" w:rsidP="00BE1049">
            <w:pPr>
              <w:pStyle w:val="Sidehoved"/>
              <w:ind w:left="164" w:right="132"/>
              <w:rPr>
                <w:sz w:val="22"/>
                <w:szCs w:val="22"/>
              </w:rPr>
            </w:pPr>
            <w:r w:rsidRPr="00BE1049">
              <w:rPr>
                <w:sz w:val="22"/>
                <w:szCs w:val="22"/>
              </w:rPr>
              <w:t>Nedsat antal hvide blodlegemer</w:t>
            </w:r>
          </w:p>
          <w:p w:rsidR="00515A85" w:rsidRPr="00BE1049" w:rsidRDefault="00515A85" w:rsidP="00BE1049">
            <w:pPr>
              <w:pStyle w:val="Sidehoved"/>
              <w:ind w:left="164" w:right="132"/>
              <w:rPr>
                <w:sz w:val="22"/>
                <w:szCs w:val="22"/>
              </w:rPr>
            </w:pPr>
            <w:r w:rsidRPr="00BE1049">
              <w:rPr>
                <w:sz w:val="22"/>
                <w:szCs w:val="22"/>
              </w:rPr>
              <w:t>Forhøjet lipase</w:t>
            </w:r>
          </w:p>
          <w:p w:rsidR="00515A85" w:rsidRPr="00BE1049" w:rsidRDefault="00515A85" w:rsidP="00BE1049">
            <w:pPr>
              <w:pStyle w:val="Sidehoved"/>
              <w:ind w:left="164" w:right="132"/>
              <w:rPr>
                <w:sz w:val="22"/>
                <w:szCs w:val="22"/>
              </w:rPr>
            </w:pPr>
            <w:r w:rsidRPr="00BE1049">
              <w:rPr>
                <w:sz w:val="22"/>
                <w:szCs w:val="22"/>
              </w:rPr>
              <w:t>Nedsat antal trombocytter</w:t>
            </w:r>
          </w:p>
          <w:p w:rsidR="00515A85" w:rsidRPr="00BE1049" w:rsidRDefault="00515A85" w:rsidP="00BE1049">
            <w:pPr>
              <w:pStyle w:val="Sidehoved"/>
              <w:ind w:left="164" w:right="132"/>
              <w:rPr>
                <w:sz w:val="22"/>
                <w:szCs w:val="22"/>
              </w:rPr>
            </w:pPr>
            <w:r w:rsidRPr="00BE1049">
              <w:rPr>
                <w:sz w:val="22"/>
                <w:szCs w:val="22"/>
              </w:rPr>
              <w:t>Nedsat hæmoglobin</w:t>
            </w:r>
          </w:p>
          <w:p w:rsidR="00515A85" w:rsidRPr="00BE1049" w:rsidRDefault="00515A85" w:rsidP="00BE1049">
            <w:pPr>
              <w:pStyle w:val="Sidehoved"/>
              <w:ind w:left="164" w:right="132"/>
              <w:rPr>
                <w:sz w:val="22"/>
                <w:szCs w:val="22"/>
              </w:rPr>
            </w:pPr>
            <w:r w:rsidRPr="00BE1049">
              <w:rPr>
                <w:sz w:val="22"/>
                <w:szCs w:val="22"/>
              </w:rPr>
              <w:t>Forhøjet amylase</w:t>
            </w:r>
            <w:r w:rsidRPr="00BE1049">
              <w:rPr>
                <w:sz w:val="22"/>
                <w:szCs w:val="22"/>
                <w:vertAlign w:val="superscript"/>
              </w:rPr>
              <w:t>z</w:t>
            </w:r>
            <w:r w:rsidRPr="00BE1049">
              <w:rPr>
                <w:sz w:val="22"/>
                <w:szCs w:val="22"/>
              </w:rPr>
              <w:t xml:space="preserve"> </w:t>
            </w:r>
          </w:p>
          <w:p w:rsidR="00515A85" w:rsidRPr="00BE1049" w:rsidRDefault="00515A85" w:rsidP="00BE1049">
            <w:pPr>
              <w:pStyle w:val="Sidehoved"/>
              <w:ind w:left="164" w:right="132"/>
              <w:rPr>
                <w:sz w:val="22"/>
                <w:szCs w:val="22"/>
              </w:rPr>
            </w:pPr>
            <w:r w:rsidRPr="00BE1049">
              <w:rPr>
                <w:sz w:val="22"/>
                <w:szCs w:val="22"/>
              </w:rPr>
              <w:t>Forhøjet aspartat-</w:t>
            </w:r>
          </w:p>
          <w:p w:rsidR="00515A85" w:rsidRPr="00BE1049" w:rsidRDefault="00515A85" w:rsidP="00BE1049">
            <w:pPr>
              <w:pStyle w:val="Sidehoved"/>
              <w:ind w:left="164" w:right="132"/>
              <w:rPr>
                <w:sz w:val="22"/>
                <w:szCs w:val="22"/>
              </w:rPr>
            </w:pPr>
            <w:r w:rsidRPr="00BE1049">
              <w:rPr>
                <w:sz w:val="22"/>
                <w:szCs w:val="22"/>
              </w:rPr>
              <w:t>aminotransferase</w:t>
            </w:r>
          </w:p>
          <w:p w:rsidR="00515A85" w:rsidRPr="00BE1049" w:rsidRDefault="00515A85" w:rsidP="00BE1049">
            <w:pPr>
              <w:pStyle w:val="Sidehoved"/>
              <w:ind w:left="164" w:right="132"/>
              <w:rPr>
                <w:sz w:val="22"/>
                <w:szCs w:val="22"/>
              </w:rPr>
            </w:pPr>
            <w:r w:rsidRPr="00BE1049">
              <w:rPr>
                <w:sz w:val="22"/>
                <w:szCs w:val="22"/>
              </w:rPr>
              <w:t>Forhøjet alanin-</w:t>
            </w:r>
          </w:p>
          <w:p w:rsidR="00515A85" w:rsidRPr="00BE1049" w:rsidRDefault="00515A85" w:rsidP="00BE1049">
            <w:pPr>
              <w:pStyle w:val="Sidehoved"/>
              <w:ind w:left="164" w:right="132"/>
              <w:rPr>
                <w:sz w:val="22"/>
                <w:szCs w:val="22"/>
              </w:rPr>
            </w:pPr>
            <w:r w:rsidRPr="00BE1049">
              <w:rPr>
                <w:sz w:val="22"/>
                <w:szCs w:val="22"/>
              </w:rPr>
              <w:t>aminotransferase</w:t>
            </w:r>
          </w:p>
          <w:p w:rsidR="00515A85" w:rsidRPr="00BE1049" w:rsidRDefault="00515A85" w:rsidP="00BE1049">
            <w:pPr>
              <w:pStyle w:val="Sidehoved"/>
              <w:ind w:left="164" w:right="132"/>
              <w:rPr>
                <w:sz w:val="22"/>
                <w:szCs w:val="22"/>
              </w:rPr>
            </w:pPr>
            <w:r w:rsidRPr="00BE1049">
              <w:rPr>
                <w:sz w:val="22"/>
                <w:szCs w:val="22"/>
              </w:rPr>
              <w:t>Forhøjet blodkreatinin</w:t>
            </w:r>
          </w:p>
          <w:p w:rsidR="00515A85" w:rsidRPr="00BE1049" w:rsidRDefault="00515A85" w:rsidP="00BE1049">
            <w:pPr>
              <w:pStyle w:val="Sidehoved"/>
              <w:ind w:left="164" w:right="132"/>
              <w:rPr>
                <w:sz w:val="22"/>
                <w:szCs w:val="22"/>
              </w:rPr>
            </w:pPr>
            <w:r w:rsidRPr="00BE1049">
              <w:rPr>
                <w:sz w:val="22"/>
                <w:szCs w:val="22"/>
              </w:rPr>
              <w:t>Blodtryksstigning</w:t>
            </w:r>
          </w:p>
          <w:p w:rsidR="00515A85" w:rsidRPr="00BE1049" w:rsidRDefault="00515A85" w:rsidP="00BE1049">
            <w:pPr>
              <w:pStyle w:val="Sidehoved"/>
              <w:ind w:left="164" w:right="132"/>
              <w:rPr>
                <w:sz w:val="22"/>
                <w:szCs w:val="22"/>
              </w:rPr>
            </w:pPr>
            <w:r w:rsidRPr="00BE1049">
              <w:rPr>
                <w:sz w:val="22"/>
                <w:szCs w:val="22"/>
              </w:rPr>
              <w:t>Forhøjet urinsyre i blodet</w:t>
            </w:r>
          </w:p>
        </w:tc>
        <w:tc>
          <w:tcPr>
            <w:tcW w:w="913" w:type="pct"/>
            <w:tcBorders>
              <w:top w:val="single" w:sz="4" w:space="0" w:color="000000"/>
              <w:left w:val="single" w:sz="4" w:space="0" w:color="000000"/>
              <w:bottom w:val="single" w:sz="4" w:space="0" w:color="000000"/>
              <w:right w:val="single" w:sz="4" w:space="0" w:color="000000"/>
            </w:tcBorders>
            <w:hideMark/>
          </w:tcPr>
          <w:p w:rsidR="00515A85" w:rsidRPr="00BE1049" w:rsidRDefault="00515A85" w:rsidP="00BE1049">
            <w:pPr>
              <w:pStyle w:val="Sidehoved"/>
              <w:ind w:left="164" w:right="132"/>
              <w:rPr>
                <w:sz w:val="22"/>
                <w:szCs w:val="22"/>
              </w:rPr>
            </w:pPr>
            <w:r w:rsidRPr="00BE1049">
              <w:rPr>
                <w:sz w:val="22"/>
                <w:szCs w:val="22"/>
              </w:rPr>
              <w:t>Forhøjet blod-</w:t>
            </w:r>
          </w:p>
          <w:p w:rsidR="00515A85" w:rsidRPr="00BE1049" w:rsidRDefault="00515A85" w:rsidP="00BE1049">
            <w:pPr>
              <w:pStyle w:val="Sidehoved"/>
              <w:ind w:left="164" w:right="132"/>
              <w:rPr>
                <w:sz w:val="22"/>
                <w:szCs w:val="22"/>
              </w:rPr>
            </w:pPr>
            <w:r w:rsidRPr="00BE1049">
              <w:rPr>
                <w:sz w:val="22"/>
                <w:szCs w:val="22"/>
              </w:rPr>
              <w:t>kreatinkinase</w:t>
            </w:r>
          </w:p>
          <w:p w:rsidR="00515A85" w:rsidRPr="00BE1049" w:rsidRDefault="00515A85" w:rsidP="00BE1049">
            <w:pPr>
              <w:pStyle w:val="Sidehoved"/>
              <w:ind w:left="164" w:right="132"/>
              <w:rPr>
                <w:sz w:val="22"/>
                <w:szCs w:val="22"/>
              </w:rPr>
            </w:pPr>
            <w:r w:rsidRPr="00BE1049">
              <w:rPr>
                <w:sz w:val="22"/>
                <w:szCs w:val="22"/>
              </w:rPr>
              <w:t>Forhøjet</w:t>
            </w:r>
          </w:p>
          <w:p w:rsidR="00515A85" w:rsidRPr="00BE1049" w:rsidRDefault="00515A85" w:rsidP="00BE1049">
            <w:pPr>
              <w:pStyle w:val="Sidehoved"/>
              <w:ind w:left="164" w:right="132"/>
              <w:rPr>
                <w:sz w:val="22"/>
                <w:szCs w:val="22"/>
              </w:rPr>
            </w:pPr>
            <w:r w:rsidRPr="00BE1049">
              <w:rPr>
                <w:sz w:val="22"/>
                <w:szCs w:val="22"/>
              </w:rPr>
              <w:t>Thyroideastim</w:t>
            </w:r>
            <w:r w:rsidR="00BE1049">
              <w:rPr>
                <w:sz w:val="22"/>
                <w:szCs w:val="22"/>
              </w:rPr>
              <w:t>u</w:t>
            </w:r>
            <w:r w:rsidRPr="00BE1049">
              <w:rPr>
                <w:sz w:val="22"/>
                <w:szCs w:val="22"/>
              </w:rPr>
              <w:t>-</w:t>
            </w:r>
          </w:p>
          <w:p w:rsidR="00515A85" w:rsidRPr="00BE1049" w:rsidRDefault="00515A85" w:rsidP="00BE1049">
            <w:pPr>
              <w:pStyle w:val="Sidehoved"/>
              <w:ind w:left="164" w:right="132"/>
              <w:rPr>
                <w:sz w:val="22"/>
                <w:szCs w:val="22"/>
                <w:lang w:val="en-US"/>
              </w:rPr>
            </w:pPr>
            <w:r w:rsidRPr="00BE1049">
              <w:rPr>
                <w:sz w:val="22"/>
                <w:szCs w:val="22"/>
                <w:lang w:val="en-US"/>
              </w:rPr>
              <w:t>lerende hormon</w:t>
            </w:r>
          </w:p>
          <w:p w:rsidR="00515A85" w:rsidRPr="00BE1049" w:rsidRDefault="00515A85" w:rsidP="00BE1049">
            <w:pPr>
              <w:pStyle w:val="Sidehoved"/>
              <w:ind w:left="164" w:right="132"/>
              <w:rPr>
                <w:sz w:val="22"/>
                <w:szCs w:val="22"/>
                <w:lang w:val="en-US"/>
              </w:rPr>
            </w:pPr>
            <w:r w:rsidRPr="00BE1049">
              <w:rPr>
                <w:sz w:val="22"/>
                <w:szCs w:val="22"/>
                <w:lang w:val="en-US"/>
              </w:rPr>
              <w:t>(TSH)</w:t>
            </w:r>
          </w:p>
        </w:tc>
        <w:tc>
          <w:tcPr>
            <w:tcW w:w="843" w:type="pct"/>
            <w:tcBorders>
              <w:top w:val="single" w:sz="4" w:space="0" w:color="000000"/>
              <w:left w:val="single" w:sz="4" w:space="0" w:color="000000"/>
              <w:bottom w:val="single" w:sz="4" w:space="0" w:color="000000"/>
              <w:right w:val="single" w:sz="4" w:space="0" w:color="000000"/>
            </w:tcBorders>
          </w:tcPr>
          <w:p w:rsidR="00515A85" w:rsidRPr="00BE1049" w:rsidRDefault="00515A85" w:rsidP="00BE1049">
            <w:pPr>
              <w:pStyle w:val="Sidehoved"/>
              <w:ind w:left="164" w:right="132"/>
              <w:rPr>
                <w:sz w:val="22"/>
                <w:szCs w:val="22"/>
                <w:lang w:val="en-US"/>
              </w:rPr>
            </w:pPr>
          </w:p>
        </w:tc>
        <w:tc>
          <w:tcPr>
            <w:tcW w:w="632" w:type="pct"/>
            <w:tcBorders>
              <w:top w:val="single" w:sz="4" w:space="0" w:color="000000"/>
              <w:left w:val="single" w:sz="4" w:space="0" w:color="000000"/>
              <w:bottom w:val="single" w:sz="4" w:space="0" w:color="000000"/>
              <w:right w:val="single" w:sz="4" w:space="0" w:color="000000"/>
            </w:tcBorders>
          </w:tcPr>
          <w:p w:rsidR="00515A85" w:rsidRPr="00BE1049" w:rsidRDefault="00515A85" w:rsidP="00BE1049">
            <w:pPr>
              <w:pStyle w:val="Sidehoved"/>
              <w:ind w:left="164" w:right="132"/>
              <w:rPr>
                <w:sz w:val="22"/>
                <w:szCs w:val="22"/>
                <w:lang w:val="en-US"/>
              </w:rPr>
            </w:pPr>
          </w:p>
        </w:tc>
      </w:tr>
    </w:tbl>
    <w:p w:rsidR="00515A85" w:rsidRPr="00F23835" w:rsidRDefault="00515A85" w:rsidP="00515A85">
      <w:pPr>
        <w:pStyle w:val="Sidehoved"/>
        <w:tabs>
          <w:tab w:val="left" w:pos="1134"/>
        </w:tabs>
        <w:ind w:left="1134" w:hanging="283"/>
        <w:rPr>
          <w:szCs w:val="24"/>
          <w:lang w:val="en-US"/>
        </w:rPr>
      </w:pPr>
      <w:r w:rsidRPr="00F23835">
        <w:rPr>
          <w:szCs w:val="24"/>
          <w:lang w:val="en-US"/>
        </w:rPr>
        <w:t>*</w:t>
      </w:r>
      <w:r w:rsidRPr="00F23835">
        <w:rPr>
          <w:szCs w:val="24"/>
          <w:lang w:val="en-US"/>
        </w:rPr>
        <w:tab/>
        <w:t>Herunder dødelige tilfælde</w:t>
      </w:r>
    </w:p>
    <w:p w:rsidR="00515A85" w:rsidRPr="00F23835" w:rsidRDefault="00515A85" w:rsidP="00515A85">
      <w:pPr>
        <w:pStyle w:val="Sidehoved"/>
        <w:tabs>
          <w:tab w:val="left" w:pos="1134"/>
        </w:tabs>
        <w:ind w:left="1134" w:hanging="283"/>
        <w:rPr>
          <w:szCs w:val="24"/>
          <w:lang w:val="en-US"/>
        </w:rPr>
      </w:pPr>
    </w:p>
    <w:p w:rsidR="00515A85" w:rsidRPr="00F23835" w:rsidRDefault="00515A85" w:rsidP="00515A85">
      <w:pPr>
        <w:pStyle w:val="Sidehoved"/>
        <w:tabs>
          <w:tab w:val="left" w:pos="1134"/>
        </w:tabs>
        <w:ind w:left="1134" w:hanging="283"/>
        <w:rPr>
          <w:szCs w:val="24"/>
          <w:lang w:val="en-US"/>
        </w:rPr>
      </w:pPr>
      <w:r w:rsidRPr="00F23835">
        <w:rPr>
          <w:szCs w:val="24"/>
          <w:lang w:val="en-US"/>
        </w:rPr>
        <w:t>Følgende betegnelser er kombineret:</w:t>
      </w:r>
    </w:p>
    <w:p w:rsidR="00515A85" w:rsidRPr="00F23835" w:rsidRDefault="00515A85" w:rsidP="00515A85">
      <w:pPr>
        <w:pStyle w:val="Sidehoved"/>
        <w:tabs>
          <w:tab w:val="left" w:pos="1134"/>
        </w:tabs>
        <w:ind w:left="1134" w:hanging="283"/>
        <w:rPr>
          <w:szCs w:val="24"/>
        </w:rPr>
      </w:pPr>
      <w:r w:rsidRPr="00F23835">
        <w:rPr>
          <w:szCs w:val="24"/>
          <w:vertAlign w:val="superscript"/>
        </w:rPr>
        <w:t>a</w:t>
      </w:r>
      <w:r w:rsidRPr="00F23835">
        <w:rPr>
          <w:szCs w:val="24"/>
        </w:rPr>
        <w:tab/>
        <w:t>Nasofaryngitis og forkølelsessår</w:t>
      </w:r>
    </w:p>
    <w:p w:rsidR="00515A85" w:rsidRPr="00F23835" w:rsidRDefault="00515A85" w:rsidP="00515A85">
      <w:pPr>
        <w:pStyle w:val="Sidehoved"/>
        <w:tabs>
          <w:tab w:val="left" w:pos="1134"/>
        </w:tabs>
        <w:ind w:left="1134" w:hanging="283"/>
        <w:rPr>
          <w:szCs w:val="24"/>
        </w:rPr>
      </w:pPr>
      <w:r w:rsidRPr="00F23835">
        <w:rPr>
          <w:szCs w:val="24"/>
          <w:vertAlign w:val="superscript"/>
        </w:rPr>
        <w:t>b</w:t>
      </w:r>
      <w:r w:rsidRPr="00F23835">
        <w:rPr>
          <w:szCs w:val="24"/>
        </w:rPr>
        <w:tab/>
        <w:t>Bronkitis, nedre luftvejsinfektioner, pneumonitis og luftvejsinfektion</w:t>
      </w:r>
    </w:p>
    <w:p w:rsidR="00515A85" w:rsidRPr="00F23835" w:rsidRDefault="00515A85" w:rsidP="00515A85">
      <w:pPr>
        <w:pStyle w:val="Sidehoved"/>
        <w:tabs>
          <w:tab w:val="left" w:pos="1134"/>
        </w:tabs>
        <w:ind w:left="1134" w:hanging="283"/>
        <w:rPr>
          <w:szCs w:val="24"/>
        </w:rPr>
      </w:pPr>
      <w:r w:rsidRPr="00F23835">
        <w:rPr>
          <w:szCs w:val="24"/>
          <w:vertAlign w:val="superscript"/>
        </w:rPr>
        <w:t>c</w:t>
      </w:r>
      <w:r w:rsidRPr="00F23835">
        <w:rPr>
          <w:szCs w:val="24"/>
        </w:rPr>
        <w:tab/>
        <w:t>Absces, abscesser i ekstremiteter, analabsces, tandkødsabsces, leverabsces, pancreas-absces, perineal absces, perirektal absces, rektal absces, subkutan absces og tandrodsabsces</w:t>
      </w:r>
    </w:p>
    <w:p w:rsidR="00515A85" w:rsidRPr="00F23835" w:rsidRDefault="00515A85" w:rsidP="00515A85">
      <w:pPr>
        <w:pStyle w:val="Sidehoved"/>
        <w:tabs>
          <w:tab w:val="left" w:pos="1134"/>
        </w:tabs>
        <w:ind w:left="1134" w:hanging="283"/>
        <w:rPr>
          <w:szCs w:val="24"/>
        </w:rPr>
      </w:pPr>
      <w:r w:rsidRPr="00F23835">
        <w:rPr>
          <w:szCs w:val="24"/>
          <w:vertAlign w:val="superscript"/>
        </w:rPr>
        <w:lastRenderedPageBreak/>
        <w:t>d</w:t>
      </w:r>
      <w:r w:rsidRPr="00F23835">
        <w:rPr>
          <w:szCs w:val="24"/>
        </w:rPr>
        <w:tab/>
        <w:t>Øsofageal candidiasis og oral candidiasis</w:t>
      </w:r>
    </w:p>
    <w:p w:rsidR="00515A85" w:rsidRPr="00F23835" w:rsidRDefault="00515A85" w:rsidP="00515A85">
      <w:pPr>
        <w:pStyle w:val="Sidehoved"/>
        <w:tabs>
          <w:tab w:val="left" w:pos="1134"/>
        </w:tabs>
        <w:ind w:left="1134" w:hanging="283"/>
        <w:rPr>
          <w:szCs w:val="24"/>
        </w:rPr>
      </w:pPr>
      <w:r w:rsidRPr="00F23835">
        <w:rPr>
          <w:szCs w:val="24"/>
          <w:vertAlign w:val="superscript"/>
        </w:rPr>
        <w:t>e</w:t>
      </w:r>
      <w:r w:rsidRPr="00F23835">
        <w:rPr>
          <w:szCs w:val="24"/>
        </w:rPr>
        <w:tab/>
        <w:t>Cellulitis og hudinfektion</w:t>
      </w:r>
    </w:p>
    <w:p w:rsidR="00515A85" w:rsidRPr="00F23835" w:rsidRDefault="00515A85" w:rsidP="00515A85">
      <w:pPr>
        <w:pStyle w:val="Sidehoved"/>
        <w:tabs>
          <w:tab w:val="left" w:pos="1134"/>
        </w:tabs>
        <w:ind w:left="1134" w:hanging="283"/>
        <w:rPr>
          <w:szCs w:val="24"/>
        </w:rPr>
      </w:pPr>
      <w:r w:rsidRPr="00F23835">
        <w:rPr>
          <w:szCs w:val="24"/>
          <w:vertAlign w:val="superscript"/>
        </w:rPr>
        <w:t>f</w:t>
      </w:r>
      <w:r w:rsidRPr="00F23835">
        <w:rPr>
          <w:szCs w:val="24"/>
        </w:rPr>
        <w:tab/>
        <w:t>Sepsis og septisk shock</w:t>
      </w:r>
    </w:p>
    <w:p w:rsidR="00515A85" w:rsidRPr="00F23835" w:rsidRDefault="00515A85" w:rsidP="00515A85">
      <w:pPr>
        <w:pStyle w:val="Sidehoved"/>
        <w:tabs>
          <w:tab w:val="left" w:pos="1134"/>
        </w:tabs>
        <w:ind w:left="1134" w:hanging="283"/>
        <w:rPr>
          <w:szCs w:val="24"/>
        </w:rPr>
      </w:pPr>
      <w:r w:rsidRPr="00F23835">
        <w:rPr>
          <w:szCs w:val="24"/>
          <w:vertAlign w:val="superscript"/>
        </w:rPr>
        <w:t>g</w:t>
      </w:r>
      <w:r w:rsidRPr="00F23835">
        <w:rPr>
          <w:szCs w:val="24"/>
        </w:rPr>
        <w:tab/>
        <w:t>Abdominal absces, abdominal sepsis, divertikulitis og osteomyelitis</w:t>
      </w:r>
    </w:p>
    <w:p w:rsidR="00515A85" w:rsidRPr="00F23835" w:rsidRDefault="00515A85" w:rsidP="00515A85">
      <w:pPr>
        <w:pStyle w:val="Sidehoved"/>
        <w:tabs>
          <w:tab w:val="left" w:pos="1134"/>
        </w:tabs>
        <w:ind w:left="1134" w:hanging="283"/>
        <w:rPr>
          <w:szCs w:val="24"/>
        </w:rPr>
      </w:pPr>
      <w:r w:rsidRPr="00F23835">
        <w:rPr>
          <w:szCs w:val="24"/>
          <w:vertAlign w:val="superscript"/>
        </w:rPr>
        <w:t>h</w:t>
      </w:r>
      <w:r w:rsidRPr="00F23835">
        <w:rPr>
          <w:szCs w:val="24"/>
        </w:rPr>
        <w:tab/>
        <w:t>Trombotisk mikroangiopati, trombotisk trombocytopenisk purpura og hæmolytisk uræmisk syndrom</w:t>
      </w:r>
    </w:p>
    <w:p w:rsidR="00515A85" w:rsidRPr="00F23835" w:rsidRDefault="00515A85" w:rsidP="00515A85">
      <w:pPr>
        <w:pStyle w:val="Sidehoved"/>
        <w:tabs>
          <w:tab w:val="left" w:pos="1134"/>
        </w:tabs>
        <w:ind w:left="1134" w:hanging="283"/>
        <w:rPr>
          <w:szCs w:val="24"/>
        </w:rPr>
      </w:pPr>
      <w:r w:rsidRPr="00F23835">
        <w:rPr>
          <w:szCs w:val="24"/>
          <w:vertAlign w:val="superscript"/>
        </w:rPr>
        <w:t>i</w:t>
      </w:r>
      <w:r w:rsidRPr="00F23835">
        <w:rPr>
          <w:szCs w:val="24"/>
        </w:rPr>
        <w:tab/>
        <w:t>Nedsat appetit og appetitløshed</w:t>
      </w:r>
    </w:p>
    <w:p w:rsidR="00515A85" w:rsidRPr="00F23835" w:rsidRDefault="00515A85" w:rsidP="00515A85">
      <w:pPr>
        <w:pStyle w:val="Sidehoved"/>
        <w:tabs>
          <w:tab w:val="left" w:pos="1134"/>
        </w:tabs>
        <w:ind w:left="1134" w:hanging="283"/>
        <w:rPr>
          <w:szCs w:val="24"/>
        </w:rPr>
      </w:pPr>
      <w:r w:rsidRPr="00F23835">
        <w:rPr>
          <w:szCs w:val="24"/>
          <w:vertAlign w:val="superscript"/>
        </w:rPr>
        <w:t>j</w:t>
      </w:r>
      <w:r w:rsidRPr="00F23835">
        <w:rPr>
          <w:szCs w:val="24"/>
        </w:rPr>
        <w:tab/>
        <w:t>Dysgeusi, ageusi og smagsforstyrrelser</w:t>
      </w:r>
    </w:p>
    <w:p w:rsidR="00515A85" w:rsidRPr="00F23835" w:rsidRDefault="00515A85" w:rsidP="00515A85">
      <w:pPr>
        <w:pStyle w:val="Sidehoved"/>
        <w:tabs>
          <w:tab w:val="left" w:pos="1134"/>
        </w:tabs>
        <w:ind w:left="1134" w:hanging="283"/>
        <w:rPr>
          <w:szCs w:val="24"/>
          <w:lang w:val="sv-SE"/>
        </w:rPr>
      </w:pPr>
      <w:r w:rsidRPr="00F23835">
        <w:rPr>
          <w:szCs w:val="24"/>
          <w:vertAlign w:val="superscript"/>
          <w:lang w:val="sv-SE"/>
        </w:rPr>
        <w:t>k</w:t>
      </w:r>
      <w:r w:rsidRPr="00F23835">
        <w:rPr>
          <w:szCs w:val="24"/>
          <w:lang w:val="sv-SE"/>
        </w:rPr>
        <w:tab/>
        <w:t>Akut koronarsyndrom, angina pectoris, ustabil angina pectoris, koronararterieokklusion og myokardieiskæmi</w:t>
      </w:r>
    </w:p>
    <w:p w:rsidR="00515A85" w:rsidRPr="00F23835" w:rsidRDefault="00515A85" w:rsidP="00515A85">
      <w:pPr>
        <w:pStyle w:val="Sidehoved"/>
        <w:tabs>
          <w:tab w:val="left" w:pos="1134"/>
        </w:tabs>
        <w:ind w:left="1134" w:hanging="283"/>
        <w:rPr>
          <w:szCs w:val="24"/>
          <w:lang w:val="sv-SE"/>
        </w:rPr>
      </w:pPr>
      <w:r w:rsidRPr="00F23835">
        <w:rPr>
          <w:szCs w:val="24"/>
          <w:vertAlign w:val="superscript"/>
          <w:lang w:val="sv-SE"/>
        </w:rPr>
        <w:t>l</w:t>
      </w:r>
      <w:r w:rsidRPr="00F23835">
        <w:rPr>
          <w:szCs w:val="24"/>
          <w:lang w:val="sv-SE"/>
        </w:rPr>
        <w:tab/>
        <w:t>Nedsat/unormal uddrivningsfraktion</w:t>
      </w:r>
    </w:p>
    <w:p w:rsidR="00515A85" w:rsidRPr="00F23835" w:rsidRDefault="00515A85" w:rsidP="00515A85">
      <w:pPr>
        <w:pStyle w:val="Sidehoved"/>
        <w:tabs>
          <w:tab w:val="left" w:pos="1134"/>
        </w:tabs>
        <w:ind w:left="1134" w:hanging="283"/>
        <w:rPr>
          <w:szCs w:val="24"/>
          <w:lang w:val="sv-SE"/>
        </w:rPr>
      </w:pPr>
      <w:r w:rsidRPr="00F23835">
        <w:rPr>
          <w:szCs w:val="24"/>
          <w:vertAlign w:val="superscript"/>
          <w:lang w:val="sv-SE"/>
        </w:rPr>
        <w:t>m</w:t>
      </w:r>
      <w:r w:rsidRPr="00F23835">
        <w:rPr>
          <w:szCs w:val="24"/>
          <w:lang w:val="sv-SE"/>
        </w:rPr>
        <w:tab/>
        <w:t>Akut myokardieinfarkt, myokardieinfarkt og tavst myokardieinfarkt</w:t>
      </w:r>
    </w:p>
    <w:p w:rsidR="00515A85" w:rsidRPr="00F23835" w:rsidRDefault="00515A85" w:rsidP="00515A85">
      <w:pPr>
        <w:pStyle w:val="Sidehoved"/>
        <w:tabs>
          <w:tab w:val="left" w:pos="1134"/>
        </w:tabs>
        <w:ind w:left="1134" w:hanging="283"/>
        <w:rPr>
          <w:szCs w:val="24"/>
          <w:lang w:val="sv-SE"/>
        </w:rPr>
      </w:pPr>
      <w:r w:rsidRPr="00F23835">
        <w:rPr>
          <w:szCs w:val="24"/>
          <w:vertAlign w:val="superscript"/>
          <w:lang w:val="sv-SE"/>
        </w:rPr>
        <w:t>n</w:t>
      </w:r>
      <w:r w:rsidRPr="00F23835">
        <w:rPr>
          <w:szCs w:val="24"/>
          <w:lang w:val="sv-SE"/>
        </w:rPr>
        <w:tab/>
        <w:t>Orofaryngeale og faryngolaryngeale smerter</w:t>
      </w:r>
    </w:p>
    <w:p w:rsidR="00515A85" w:rsidRPr="00F23835" w:rsidRDefault="00515A85" w:rsidP="00515A85">
      <w:pPr>
        <w:pStyle w:val="Sidehoved"/>
        <w:tabs>
          <w:tab w:val="left" w:pos="1134"/>
        </w:tabs>
        <w:ind w:left="1134" w:hanging="283"/>
        <w:rPr>
          <w:szCs w:val="24"/>
        </w:rPr>
      </w:pPr>
      <w:r w:rsidRPr="00F23835">
        <w:rPr>
          <w:szCs w:val="24"/>
          <w:vertAlign w:val="superscript"/>
        </w:rPr>
        <w:t>o</w:t>
      </w:r>
      <w:r w:rsidRPr="00F23835">
        <w:rPr>
          <w:szCs w:val="24"/>
        </w:rPr>
        <w:tab/>
        <w:t>Stomatitis og aftøs stomatitis</w:t>
      </w:r>
    </w:p>
    <w:p w:rsidR="00515A85" w:rsidRPr="00F23835" w:rsidRDefault="00515A85" w:rsidP="00515A85">
      <w:pPr>
        <w:pStyle w:val="Sidehoved"/>
        <w:tabs>
          <w:tab w:val="left" w:pos="1134"/>
        </w:tabs>
        <w:ind w:left="1134" w:hanging="283"/>
        <w:rPr>
          <w:szCs w:val="24"/>
        </w:rPr>
      </w:pPr>
      <w:r w:rsidRPr="00F23835">
        <w:rPr>
          <w:szCs w:val="24"/>
          <w:vertAlign w:val="superscript"/>
        </w:rPr>
        <w:t>p</w:t>
      </w:r>
      <w:r w:rsidRPr="00F23835">
        <w:rPr>
          <w:szCs w:val="24"/>
        </w:rPr>
        <w:tab/>
        <w:t>Abdominale smerter, nedre abdominalsmerter, øvre abdominalsmerter</w:t>
      </w:r>
    </w:p>
    <w:p w:rsidR="00515A85" w:rsidRPr="00F23835" w:rsidRDefault="00515A85" w:rsidP="00515A85">
      <w:pPr>
        <w:pStyle w:val="Sidehoved"/>
        <w:tabs>
          <w:tab w:val="left" w:pos="1134"/>
        </w:tabs>
        <w:ind w:left="1134" w:hanging="283"/>
        <w:rPr>
          <w:szCs w:val="24"/>
        </w:rPr>
      </w:pPr>
      <w:r w:rsidRPr="00F23835">
        <w:rPr>
          <w:szCs w:val="24"/>
          <w:vertAlign w:val="superscript"/>
        </w:rPr>
        <w:t>q</w:t>
      </w:r>
      <w:r w:rsidRPr="00F23835">
        <w:rPr>
          <w:szCs w:val="24"/>
        </w:rPr>
        <w:tab/>
        <w:t>Gastrointestinal perforation og intestinal perforation</w:t>
      </w:r>
    </w:p>
    <w:p w:rsidR="00515A85" w:rsidRPr="00F23835" w:rsidRDefault="00515A85" w:rsidP="00515A85">
      <w:pPr>
        <w:pStyle w:val="Sidehoved"/>
        <w:tabs>
          <w:tab w:val="left" w:pos="1134"/>
        </w:tabs>
        <w:ind w:left="1134" w:hanging="283"/>
        <w:rPr>
          <w:szCs w:val="24"/>
        </w:rPr>
      </w:pPr>
      <w:r w:rsidRPr="00F23835">
        <w:rPr>
          <w:szCs w:val="24"/>
          <w:vertAlign w:val="superscript"/>
        </w:rPr>
        <w:t>r</w:t>
      </w:r>
      <w:r w:rsidRPr="00F23835">
        <w:rPr>
          <w:szCs w:val="24"/>
          <w:vertAlign w:val="superscript"/>
        </w:rPr>
        <w:tab/>
      </w:r>
      <w:r w:rsidRPr="00F23835">
        <w:rPr>
          <w:szCs w:val="24"/>
        </w:rPr>
        <w:t>Colitis og iskæmisk colitis</w:t>
      </w:r>
    </w:p>
    <w:p w:rsidR="00515A85" w:rsidRPr="00F23835" w:rsidRDefault="00515A85" w:rsidP="00515A85">
      <w:pPr>
        <w:pStyle w:val="Sidehoved"/>
        <w:tabs>
          <w:tab w:val="left" w:pos="1134"/>
        </w:tabs>
        <w:ind w:left="1134" w:hanging="283"/>
        <w:rPr>
          <w:szCs w:val="24"/>
        </w:rPr>
      </w:pPr>
      <w:r w:rsidRPr="00F23835">
        <w:rPr>
          <w:szCs w:val="24"/>
          <w:vertAlign w:val="superscript"/>
        </w:rPr>
        <w:t>s</w:t>
      </w:r>
      <w:r w:rsidRPr="00F23835">
        <w:rPr>
          <w:szCs w:val="24"/>
        </w:rPr>
        <w:tab/>
        <w:t>Cholecystitis og akalkuløs cholecystitis</w:t>
      </w:r>
    </w:p>
    <w:p w:rsidR="00515A85" w:rsidRPr="00F23835" w:rsidRDefault="00515A85" w:rsidP="00515A85">
      <w:pPr>
        <w:pStyle w:val="Sidehoved"/>
        <w:tabs>
          <w:tab w:val="left" w:pos="1134"/>
        </w:tabs>
        <w:ind w:left="1134" w:hanging="283"/>
        <w:rPr>
          <w:szCs w:val="24"/>
        </w:rPr>
      </w:pPr>
      <w:r w:rsidRPr="00F23835">
        <w:rPr>
          <w:szCs w:val="24"/>
          <w:vertAlign w:val="superscript"/>
        </w:rPr>
        <w:t>t</w:t>
      </w:r>
      <w:r w:rsidRPr="00F23835">
        <w:rPr>
          <w:szCs w:val="24"/>
        </w:rPr>
        <w:tab/>
        <w:t>Gulfarvet hud, misfarvet hud og unormal pigmentering</w:t>
      </w:r>
    </w:p>
    <w:p w:rsidR="00515A85" w:rsidRPr="00F23835" w:rsidRDefault="00515A85" w:rsidP="00515A85">
      <w:pPr>
        <w:pStyle w:val="Sidehoved"/>
        <w:tabs>
          <w:tab w:val="left" w:pos="1134"/>
        </w:tabs>
        <w:ind w:left="1134" w:hanging="283"/>
        <w:rPr>
          <w:szCs w:val="24"/>
        </w:rPr>
      </w:pPr>
      <w:r w:rsidRPr="00F23835">
        <w:rPr>
          <w:szCs w:val="24"/>
          <w:vertAlign w:val="superscript"/>
        </w:rPr>
        <w:t>u</w:t>
      </w:r>
      <w:r w:rsidRPr="00F23835">
        <w:rPr>
          <w:szCs w:val="24"/>
        </w:rPr>
        <w:tab/>
        <w:t>Dermatitis psoriasiformis, eksfoliativt udslæt, udslæt, erytematøst udslæt, follikulært udslæt, generaliseret udslæt, makuløst udslæt, makulopapuløst udslæt, papuløst udslæt og kløende udslæt</w:t>
      </w:r>
    </w:p>
    <w:p w:rsidR="00515A85" w:rsidRPr="00F23835" w:rsidRDefault="00515A85" w:rsidP="00515A85">
      <w:pPr>
        <w:pStyle w:val="Sidehoved"/>
        <w:tabs>
          <w:tab w:val="left" w:pos="1134"/>
        </w:tabs>
        <w:ind w:left="1134" w:hanging="283"/>
        <w:rPr>
          <w:szCs w:val="24"/>
        </w:rPr>
      </w:pPr>
      <w:r w:rsidRPr="00F23835">
        <w:rPr>
          <w:szCs w:val="24"/>
          <w:vertAlign w:val="superscript"/>
        </w:rPr>
        <w:t>v</w:t>
      </w:r>
      <w:r w:rsidRPr="00F23835">
        <w:rPr>
          <w:szCs w:val="24"/>
        </w:rPr>
        <w:tab/>
        <w:t>Hudreaktion og hudsygdomme</w:t>
      </w:r>
    </w:p>
    <w:p w:rsidR="00515A85" w:rsidRPr="00F23835" w:rsidRDefault="00515A85" w:rsidP="00515A85">
      <w:pPr>
        <w:pStyle w:val="Sidehoved"/>
        <w:tabs>
          <w:tab w:val="left" w:pos="1134"/>
        </w:tabs>
        <w:ind w:left="1134" w:hanging="283"/>
        <w:rPr>
          <w:szCs w:val="24"/>
        </w:rPr>
      </w:pPr>
      <w:r w:rsidRPr="00F23835">
        <w:rPr>
          <w:szCs w:val="24"/>
          <w:vertAlign w:val="superscript"/>
        </w:rPr>
        <w:t>w</w:t>
      </w:r>
      <w:r w:rsidRPr="00F23835">
        <w:rPr>
          <w:szCs w:val="24"/>
        </w:rPr>
        <w:tab/>
        <w:t>Neglesygdomme og misfarvning af negle</w:t>
      </w:r>
    </w:p>
    <w:p w:rsidR="00515A85" w:rsidRPr="00F23835" w:rsidRDefault="00515A85" w:rsidP="00515A85">
      <w:pPr>
        <w:pStyle w:val="Sidehoved"/>
        <w:tabs>
          <w:tab w:val="left" w:pos="1134"/>
        </w:tabs>
        <w:ind w:left="1134" w:hanging="283"/>
        <w:rPr>
          <w:szCs w:val="24"/>
        </w:rPr>
      </w:pPr>
      <w:r w:rsidRPr="00F23835">
        <w:rPr>
          <w:szCs w:val="24"/>
          <w:vertAlign w:val="superscript"/>
        </w:rPr>
        <w:t>x</w:t>
      </w:r>
      <w:r w:rsidRPr="00F23835">
        <w:rPr>
          <w:szCs w:val="24"/>
        </w:rPr>
        <w:tab/>
        <w:t>Træthed og asteni</w:t>
      </w:r>
    </w:p>
    <w:p w:rsidR="00515A85" w:rsidRPr="00F23835" w:rsidRDefault="00515A85" w:rsidP="00515A85">
      <w:pPr>
        <w:pStyle w:val="Sidehoved"/>
        <w:tabs>
          <w:tab w:val="left" w:pos="1134"/>
        </w:tabs>
        <w:ind w:left="1134" w:hanging="283"/>
        <w:rPr>
          <w:szCs w:val="24"/>
        </w:rPr>
      </w:pPr>
      <w:r w:rsidRPr="00F23835">
        <w:rPr>
          <w:szCs w:val="24"/>
          <w:vertAlign w:val="superscript"/>
        </w:rPr>
        <w:t>y</w:t>
      </w:r>
      <w:r w:rsidRPr="00F23835">
        <w:rPr>
          <w:szCs w:val="24"/>
        </w:rPr>
        <w:tab/>
        <w:t>Ansigtsødem, ødem og perifert ødem</w:t>
      </w:r>
    </w:p>
    <w:p w:rsidR="00515A85" w:rsidRPr="00F23835" w:rsidRDefault="00515A85" w:rsidP="00515A85">
      <w:pPr>
        <w:pStyle w:val="Sidehoved"/>
        <w:tabs>
          <w:tab w:val="left" w:pos="1134"/>
        </w:tabs>
        <w:ind w:left="1134" w:hanging="283"/>
        <w:rPr>
          <w:szCs w:val="24"/>
        </w:rPr>
      </w:pPr>
      <w:r w:rsidRPr="00F23835">
        <w:rPr>
          <w:szCs w:val="24"/>
          <w:vertAlign w:val="superscript"/>
        </w:rPr>
        <w:t>z</w:t>
      </w:r>
      <w:r w:rsidRPr="00F23835">
        <w:rPr>
          <w:szCs w:val="24"/>
        </w:rPr>
        <w:tab/>
        <w:t>Amylase og forhøjet amylase</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tabs>
          <w:tab w:val="left" w:pos="851"/>
        </w:tabs>
        <w:ind w:left="851"/>
        <w:rPr>
          <w:szCs w:val="24"/>
        </w:rPr>
      </w:pPr>
      <w:r w:rsidRPr="00F23835">
        <w:rPr>
          <w:szCs w:val="24"/>
          <w:u w:val="single"/>
        </w:rPr>
        <w:t>Beskrivelse af udvalgte bivirkninger</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tabs>
          <w:tab w:val="left" w:pos="851"/>
        </w:tabs>
        <w:ind w:left="851"/>
        <w:rPr>
          <w:i/>
          <w:szCs w:val="24"/>
        </w:rPr>
      </w:pPr>
      <w:r w:rsidRPr="00F23835">
        <w:rPr>
          <w:i/>
          <w:szCs w:val="24"/>
        </w:rPr>
        <w:t>Infektioner og parasitære sygdomme</w:t>
      </w:r>
    </w:p>
    <w:p w:rsidR="00515A85" w:rsidRPr="00F23835" w:rsidRDefault="00515A85" w:rsidP="00515A85">
      <w:pPr>
        <w:pStyle w:val="Sidehoved"/>
        <w:tabs>
          <w:tab w:val="left" w:pos="851"/>
        </w:tabs>
        <w:ind w:left="851"/>
        <w:rPr>
          <w:szCs w:val="24"/>
        </w:rPr>
      </w:pPr>
      <w:r w:rsidRPr="00F23835">
        <w:rPr>
          <w:szCs w:val="24"/>
        </w:rPr>
        <w:t>Der er rapporteret tilfælde af alvorlig infektion (med eller uden neutropeni) herunder letale tilfælde. Der er set tilfælde af nekrotiserende fasciitis, inklusive perineum, hvoraf nogle var letale (se også pkt. 4.4).</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tabs>
          <w:tab w:val="left" w:pos="851"/>
        </w:tabs>
        <w:ind w:left="851"/>
        <w:rPr>
          <w:i/>
          <w:szCs w:val="24"/>
        </w:rPr>
      </w:pPr>
      <w:r w:rsidRPr="00F23835">
        <w:rPr>
          <w:i/>
          <w:szCs w:val="24"/>
        </w:rPr>
        <w:t>Blod- og lymfesystem</w:t>
      </w:r>
    </w:p>
    <w:p w:rsidR="00515A85" w:rsidRPr="00F23835" w:rsidRDefault="00515A85" w:rsidP="00515A85">
      <w:pPr>
        <w:pStyle w:val="Sidehoved"/>
        <w:tabs>
          <w:tab w:val="left" w:pos="851"/>
        </w:tabs>
        <w:ind w:left="851"/>
        <w:rPr>
          <w:szCs w:val="24"/>
        </w:rPr>
      </w:pPr>
      <w:r w:rsidRPr="00F23835">
        <w:rPr>
          <w:szCs w:val="24"/>
        </w:rPr>
        <w:t>Nedsat absolut neutrofiltal henholdsvis af sværhedsgrad 3 og 4 er rapporteret hos 10 % og 1,7 % af patienterne i fase 3 GIST-studiet, hos 16 % og 1,6 % af patienterne i fase 3 mRCC-studiet og hos 13 % og 2,4 % af patienterne i fase 3 pNET-studiet. Nedsat trombocyttal af henholdsvis sværhedsgrad 3 og 4 er rapporteret hos 3,7 % og 0,4 % af patienterne i fase 3-GIST-studiet, hos 8,2 % og 1,1 % af patienterne i fase 3 mRCC-studiet og hos 3,7 % og 1,2 % af patienterne i fase 3 pNET-studiet (se pkt. 4.4).</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tabs>
          <w:tab w:val="left" w:pos="851"/>
        </w:tabs>
        <w:ind w:left="851"/>
        <w:rPr>
          <w:szCs w:val="24"/>
        </w:rPr>
      </w:pPr>
      <w:r w:rsidRPr="00F23835">
        <w:rPr>
          <w:szCs w:val="24"/>
        </w:rPr>
        <w:t>I et fase 3 GIST-studie forekom blødningshændelser hos 18 % af patienterne, der fik sunitinib, sammenlignet med 17 % af patienterne, der fik placebo. 39 % af de patienter, der fik sunitinib for tidligere ubehandlet mRCC, fik blødningsepisoder sammenlignet med 11</w:t>
      </w:r>
      <w:r w:rsidR="00382879">
        <w:rPr>
          <w:szCs w:val="24"/>
        </w:rPr>
        <w:t> </w:t>
      </w:r>
      <w:r w:rsidRPr="00F23835">
        <w:rPr>
          <w:szCs w:val="24"/>
        </w:rPr>
        <w:t>% af de patienter, der fik interferon-</w:t>
      </w:r>
      <w:r w:rsidRPr="00F23835">
        <w:rPr>
          <w:szCs w:val="24"/>
          <w:lang w:val="en-US"/>
        </w:rPr>
        <w:t>α</w:t>
      </w:r>
      <w:r w:rsidRPr="00F23835">
        <w:rPr>
          <w:szCs w:val="24"/>
        </w:rPr>
        <w:t xml:space="preserve"> (IFN-</w:t>
      </w:r>
      <w:r w:rsidRPr="00F23835">
        <w:rPr>
          <w:szCs w:val="24"/>
          <w:lang w:val="en-US"/>
        </w:rPr>
        <w:t>α</w:t>
      </w:r>
      <w:r w:rsidRPr="00F23835">
        <w:rPr>
          <w:szCs w:val="24"/>
        </w:rPr>
        <w:t>). Hos 17 patienter (4,5 %), der fik sunitinib, forekom blødning i grad 3 eller højere sammenlignet med 5 (1,7 %) patienter, der fik IFN-</w:t>
      </w:r>
      <w:r w:rsidRPr="00F23835">
        <w:rPr>
          <w:szCs w:val="24"/>
          <w:lang w:val="en-US"/>
        </w:rPr>
        <w:t>α</w:t>
      </w:r>
      <w:r w:rsidRPr="00F23835">
        <w:rPr>
          <w:szCs w:val="24"/>
        </w:rPr>
        <w:t xml:space="preserve">. 26 % af de patienter, der fik sunitinib til behandling af cytokin-refraktær mRCC, oplevede blødning. Blødning (eksklusive epistaxis) sås hos 21,7 % af de patienter, som fik sunitinib </w:t>
      </w:r>
      <w:r w:rsidRPr="00F23835">
        <w:rPr>
          <w:szCs w:val="24"/>
        </w:rPr>
        <w:lastRenderedPageBreak/>
        <w:t>i fase 3 pNET-studiet, sammenlignet med 9,85 % af de patienter, som fik placebo. (se pkt. 4.4).</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tabs>
          <w:tab w:val="left" w:pos="851"/>
        </w:tabs>
        <w:ind w:left="851"/>
        <w:rPr>
          <w:szCs w:val="24"/>
        </w:rPr>
      </w:pPr>
      <w:r w:rsidRPr="00F23835">
        <w:rPr>
          <w:szCs w:val="24"/>
        </w:rPr>
        <w:t>I kliniske studier forekom tumorblødning hos ca. 2 % af patienterne med GIST.</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tabs>
          <w:tab w:val="left" w:pos="851"/>
        </w:tabs>
        <w:ind w:left="851"/>
        <w:rPr>
          <w:i/>
          <w:szCs w:val="24"/>
        </w:rPr>
      </w:pPr>
      <w:r w:rsidRPr="00F23835">
        <w:rPr>
          <w:i/>
          <w:szCs w:val="24"/>
        </w:rPr>
        <w:t>Immunsystemet</w:t>
      </w:r>
    </w:p>
    <w:p w:rsidR="00515A85" w:rsidRPr="00F23835" w:rsidRDefault="00515A85" w:rsidP="00515A85">
      <w:pPr>
        <w:pStyle w:val="Sidehoved"/>
        <w:tabs>
          <w:tab w:val="left" w:pos="851"/>
        </w:tabs>
        <w:ind w:left="851"/>
        <w:rPr>
          <w:szCs w:val="24"/>
        </w:rPr>
      </w:pPr>
      <w:r w:rsidRPr="00F23835">
        <w:rPr>
          <w:szCs w:val="24"/>
        </w:rPr>
        <w:t>Der er rapporteret tilfælde af overfølsomhedsreaktioner herunder angioødem (se pkt. 4.4).</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tabs>
          <w:tab w:val="left" w:pos="851"/>
        </w:tabs>
        <w:ind w:left="851"/>
        <w:rPr>
          <w:i/>
          <w:szCs w:val="24"/>
        </w:rPr>
      </w:pPr>
      <w:r w:rsidRPr="00F23835">
        <w:rPr>
          <w:i/>
          <w:szCs w:val="24"/>
        </w:rPr>
        <w:t>Det endokrine system</w:t>
      </w:r>
    </w:p>
    <w:p w:rsidR="00515A85" w:rsidRPr="00F23835" w:rsidRDefault="00515A85" w:rsidP="00515A85">
      <w:pPr>
        <w:pStyle w:val="Sidehoved"/>
        <w:tabs>
          <w:tab w:val="left" w:pos="851"/>
        </w:tabs>
        <w:ind w:left="851"/>
        <w:rPr>
          <w:szCs w:val="24"/>
        </w:rPr>
      </w:pPr>
      <w:r w:rsidRPr="00F23835">
        <w:rPr>
          <w:szCs w:val="24"/>
        </w:rPr>
        <w:t>Hypotyreose er indberettet som en bivirkning hos 7 patienter (4 %), som fik sunitinib i de 2 cytokin- refraktære mRCC-studier; hos 61 patienter (16 %) på sunitinib og hos 3 patienter (&lt;1 %) i IFN-</w:t>
      </w:r>
      <w:r w:rsidRPr="00F23835">
        <w:rPr>
          <w:szCs w:val="24"/>
          <w:lang w:val="en-US"/>
        </w:rPr>
        <w:t>α</w:t>
      </w:r>
      <w:r w:rsidRPr="00F23835">
        <w:rPr>
          <w:szCs w:val="24"/>
        </w:rPr>
        <w:t>-armen i det behandlingsnaive mRCC-studie.</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tabs>
          <w:tab w:val="left" w:pos="851"/>
        </w:tabs>
        <w:ind w:left="851"/>
        <w:rPr>
          <w:szCs w:val="24"/>
        </w:rPr>
      </w:pPr>
      <w:r w:rsidRPr="00F23835">
        <w:rPr>
          <w:szCs w:val="24"/>
        </w:rPr>
        <w:t xml:space="preserve">Derudover er der rapporteret stigninger i thyroideastimulerende hormon (TSH) hos 4 cytokin- refraktære mRCC-patienter (2 %). Samlet havde 7 % af mRCC-populationen enten kliniske eller laboratoriemæssige tegn på behandlingsinduceret hypotyreose. Erhvervet hypotyreose er set hos 6,2 % af GIST-patienterne på sunitinib </w:t>
      </w:r>
      <w:r w:rsidRPr="00F23835">
        <w:rPr>
          <w:i/>
          <w:szCs w:val="24"/>
        </w:rPr>
        <w:t xml:space="preserve">versus </w:t>
      </w:r>
      <w:r w:rsidRPr="00F23835">
        <w:rPr>
          <w:szCs w:val="24"/>
        </w:rPr>
        <w:t>1 % på placebo. I fase 3 pNET-studiet er der rapporteret om hypotyreose hos 6 patienter (7,2 %), som fik sunitinib, og hos 1 patient (1,2 %), som fik placebo.</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tabs>
          <w:tab w:val="left" w:pos="851"/>
        </w:tabs>
        <w:ind w:left="851"/>
        <w:rPr>
          <w:szCs w:val="24"/>
        </w:rPr>
      </w:pPr>
      <w:r w:rsidRPr="00F23835">
        <w:rPr>
          <w:szCs w:val="24"/>
        </w:rPr>
        <w:t>Thyroideafunktionen blev monitoreret prospektivt i 2 studier hos patienter med brystkræft; Sunitinib er ikke godkendt til behandling af brystkræft. I det ene studie sås hypotyreose hos 15 (13,6 %) af patienterne i behandling med sunitinib og hos 3 (2,9 %) af patienterne i standardbehandling. Der sås forhøjet TSH i blodet hos 1 (0,9 %) patient på sunitinib, men ikke hos patienter i standardbehandling. Der sås ikke hypertyreose hos patienter i behandling med sunitinib, men 1 (1,0 %) patient i standardbehandling fik hypertyreose. I det andet studie sås hypotyreose hos i alt 31 (13 %) af patienterne på sunitinib og hos 2 (0,8 %) af patienterne på capecitabin. Der sås forhøjet TSH i blodet hos 12 (5,0 %) patienter på sunitinib, men ikke hos patienter på capecitabin. Der sås hypertyreose hos 4 (1,7 %) patienter i behandling med sunitinib, men ikke hos patienter i behandling med capecitabin. Der sås nedsat TSH i blodet hos 3 (1,3 %) patienter i behandling med sunitinib, men ikke hos patienter i behandling med capecitabin. Der sås forhøjet T4 hos 2 (0,8 %) patienter på sunitinib og hos 1 (0,4 %) patient på i behandling med capecitabin. Der sås forhøjet T3 hos 1 (0,8 %) patient på sunitinib, men ikke hos patienter i behandling med capecitabin. Alle thyroidea-relaterede hændelser var grad 1-2 (se pkt. 4.4).</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tabs>
          <w:tab w:val="left" w:pos="851"/>
        </w:tabs>
        <w:ind w:left="851"/>
        <w:rPr>
          <w:i/>
          <w:szCs w:val="24"/>
        </w:rPr>
      </w:pPr>
      <w:r w:rsidRPr="00F23835">
        <w:rPr>
          <w:i/>
          <w:szCs w:val="24"/>
        </w:rPr>
        <w:t>Metabolisme og ernæring</w:t>
      </w:r>
    </w:p>
    <w:p w:rsidR="00515A85" w:rsidRPr="00F23835" w:rsidRDefault="00515A85" w:rsidP="00515A85">
      <w:pPr>
        <w:pStyle w:val="Sidehoved"/>
        <w:tabs>
          <w:tab w:val="left" w:pos="851"/>
        </w:tabs>
        <w:ind w:left="851"/>
        <w:rPr>
          <w:szCs w:val="24"/>
        </w:rPr>
      </w:pPr>
      <w:r w:rsidRPr="00F23835">
        <w:rPr>
          <w:szCs w:val="24"/>
        </w:rPr>
        <w:t>Der er rapporteret højere hyppighed af hypoglykæmiske episoder hos patienter med pNET sammenlignet med patienter med mRCC eller GIST. Størstedelen af disse bivirkninger observeret i kliniske studier, kunne dog ikke relateres til behandlingen i de kliniske studier (se pkt. 4.4).</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keepNext/>
        <w:tabs>
          <w:tab w:val="left" w:pos="851"/>
        </w:tabs>
        <w:ind w:left="851"/>
        <w:rPr>
          <w:i/>
          <w:szCs w:val="24"/>
        </w:rPr>
      </w:pPr>
      <w:r w:rsidRPr="00F23835">
        <w:rPr>
          <w:i/>
          <w:szCs w:val="24"/>
        </w:rPr>
        <w:t>Nervesystemet</w:t>
      </w:r>
    </w:p>
    <w:p w:rsidR="00515A85" w:rsidRPr="00F23835" w:rsidRDefault="00515A85" w:rsidP="00515A85">
      <w:pPr>
        <w:pStyle w:val="Sidehoved"/>
        <w:tabs>
          <w:tab w:val="left" w:pos="851"/>
        </w:tabs>
        <w:ind w:left="851"/>
        <w:rPr>
          <w:szCs w:val="24"/>
        </w:rPr>
      </w:pPr>
      <w:r w:rsidRPr="00F23835">
        <w:rPr>
          <w:szCs w:val="24"/>
        </w:rPr>
        <w:t xml:space="preserve">Der har været enkelte rapporter </w:t>
      </w:r>
      <w:r w:rsidR="00966528" w:rsidRPr="00F23835">
        <w:rPr>
          <w:szCs w:val="24"/>
        </w:rPr>
        <w:t xml:space="preserve">(&lt; 1 %) </w:t>
      </w:r>
      <w:r w:rsidRPr="00F23835">
        <w:rPr>
          <w:szCs w:val="24"/>
        </w:rPr>
        <w:t>fra kliniske studier og fra overvågning efter markedsføring om personer med kramper og radiologiske tegn på reversibelt posteriort leukoencefalopatisk syndrom (RPLS), heraf nogle med letalt udfald. Kramper er set hos patienter med eller uden radiologiske tegn på hjernemetastaser (se pkt. 4.4).</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tabs>
          <w:tab w:val="left" w:pos="851"/>
        </w:tabs>
        <w:ind w:left="851"/>
        <w:rPr>
          <w:i/>
          <w:szCs w:val="24"/>
        </w:rPr>
      </w:pPr>
      <w:r w:rsidRPr="00F23835">
        <w:rPr>
          <w:i/>
          <w:szCs w:val="24"/>
        </w:rPr>
        <w:t>Hjertet</w:t>
      </w:r>
    </w:p>
    <w:p w:rsidR="00515A85" w:rsidRPr="00F23835" w:rsidRDefault="00515A85" w:rsidP="00515A85">
      <w:pPr>
        <w:pStyle w:val="Sidehoved"/>
        <w:tabs>
          <w:tab w:val="left" w:pos="851"/>
        </w:tabs>
        <w:ind w:left="851"/>
        <w:rPr>
          <w:szCs w:val="24"/>
        </w:rPr>
      </w:pPr>
      <w:r w:rsidRPr="00F23835">
        <w:rPr>
          <w:szCs w:val="24"/>
        </w:rPr>
        <w:t xml:space="preserve">I kliniske studier forekom fald i venstre ventrikels ejektionsfraktion (LVEF) på ≥ 20 % og under den nedre referenceværdi hos ca. 2 % af sunitinib-behandlede GIST-patienter, hos 4 </w:t>
      </w:r>
      <w:r w:rsidRPr="00F23835">
        <w:rPr>
          <w:szCs w:val="24"/>
        </w:rPr>
        <w:lastRenderedPageBreak/>
        <w:t>% af cytokin- refraktære mRCC-patienter og hos 2 % af placebobehandlede GIST-patienter. Disse fald i LVEF synes ikke at have været progressive og forbedredes ofte ved fortsat behandling. I det behandlingsnaive mRCC-studie havde 27 % af patienterne på sunitinib og 15 % af patienterne på IFN-</w:t>
      </w:r>
      <w:r w:rsidRPr="00F23835">
        <w:rPr>
          <w:szCs w:val="24"/>
          <w:lang w:val="en-US"/>
        </w:rPr>
        <w:t>α</w:t>
      </w:r>
      <w:r w:rsidRPr="00F23835">
        <w:rPr>
          <w:szCs w:val="24"/>
        </w:rPr>
        <w:t xml:space="preserve"> en LVEF-værdi, der var under den nedre referenceværdi. To patienter (&lt;1 %), som fik sunitinib, blev diagnosticeret med kronisk hjerteinsufficiens (CHF).</w:t>
      </w:r>
    </w:p>
    <w:p w:rsidR="00515A85" w:rsidRPr="00F23835" w:rsidRDefault="00515A85" w:rsidP="00515A85">
      <w:pPr>
        <w:pStyle w:val="Sidehoved"/>
        <w:tabs>
          <w:tab w:val="left" w:pos="851"/>
        </w:tabs>
        <w:ind w:left="851"/>
        <w:rPr>
          <w:szCs w:val="24"/>
        </w:rPr>
      </w:pPr>
      <w:r w:rsidRPr="00F23835">
        <w:rPr>
          <w:szCs w:val="24"/>
        </w:rPr>
        <w:t xml:space="preserve">”Hjertesvigt”, ”kronisk venstresidig hjerteinsufficiens” eller ”venstre ventrikelsvigt” blev rapporteret hos 1,2 % af GIST-patienterne, der blev behandlet med sunitinib, og hos 1 % af patienterne, der blev behandlet med placebo. I </w:t>
      </w:r>
      <w:proofErr w:type="gramStart"/>
      <w:r w:rsidRPr="00F23835">
        <w:rPr>
          <w:szCs w:val="24"/>
        </w:rPr>
        <w:t>det pivotale</w:t>
      </w:r>
      <w:proofErr w:type="gramEnd"/>
      <w:r w:rsidRPr="00F23835">
        <w:rPr>
          <w:szCs w:val="24"/>
        </w:rPr>
        <w:t xml:space="preserve"> fase 3 GIST-studie (n = 312) forekom behandlingsrelaterede letale hjertebivirkninger hos 1 % af patienterne i hver behandlingsgruppe i studiet (dvs. sunitinib og placebogruppen). I et fase 2-studie hos cytokinfraktære mRCC-patienter oplevede 0,9 % af patienterne behandlingsrelateret </w:t>
      </w:r>
      <w:proofErr w:type="gramStart"/>
      <w:r w:rsidRPr="00F23835">
        <w:rPr>
          <w:szCs w:val="24"/>
        </w:rPr>
        <w:t>letal myokardieinfarkt</w:t>
      </w:r>
      <w:proofErr w:type="gramEnd"/>
      <w:r w:rsidRPr="00F23835">
        <w:rPr>
          <w:szCs w:val="24"/>
        </w:rPr>
        <w:t>. I fase 3-studiet hos behandlingsnaive mRCC-patienter oplevede 0,6 % af patienterne i IFN-</w:t>
      </w:r>
      <w:r w:rsidRPr="00F23835">
        <w:rPr>
          <w:szCs w:val="24"/>
          <w:lang w:val="en-US"/>
        </w:rPr>
        <w:t>α</w:t>
      </w:r>
      <w:r w:rsidRPr="00F23835">
        <w:rPr>
          <w:szCs w:val="24"/>
        </w:rPr>
        <w:t>-armen og 0 % af patienterne i sunitinib-armen letale hjertehændelser.</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tabs>
          <w:tab w:val="left" w:pos="851"/>
        </w:tabs>
        <w:ind w:left="851"/>
        <w:rPr>
          <w:i/>
          <w:szCs w:val="24"/>
        </w:rPr>
      </w:pPr>
      <w:r w:rsidRPr="00F23835">
        <w:rPr>
          <w:i/>
          <w:szCs w:val="24"/>
        </w:rPr>
        <w:t>Vaskulære sygdomme</w:t>
      </w:r>
    </w:p>
    <w:p w:rsidR="00515A85" w:rsidRPr="00F23835" w:rsidRDefault="00515A85" w:rsidP="00515A85">
      <w:pPr>
        <w:pStyle w:val="Sidehoved"/>
        <w:tabs>
          <w:tab w:val="left" w:pos="851"/>
        </w:tabs>
        <w:ind w:left="851"/>
        <w:rPr>
          <w:szCs w:val="24"/>
          <w:u w:val="single"/>
        </w:rPr>
      </w:pPr>
    </w:p>
    <w:p w:rsidR="00515A85" w:rsidRPr="00F23835" w:rsidRDefault="00515A85" w:rsidP="00515A85">
      <w:pPr>
        <w:pStyle w:val="Sidehoved"/>
        <w:tabs>
          <w:tab w:val="left" w:pos="851"/>
        </w:tabs>
        <w:ind w:left="851"/>
        <w:rPr>
          <w:szCs w:val="24"/>
        </w:rPr>
      </w:pPr>
      <w:r w:rsidRPr="00F23835">
        <w:rPr>
          <w:szCs w:val="24"/>
          <w:u w:val="single"/>
        </w:rPr>
        <w:t>Hypertension</w:t>
      </w:r>
    </w:p>
    <w:p w:rsidR="00515A85" w:rsidRPr="00F23835" w:rsidRDefault="00515A85" w:rsidP="00515A85">
      <w:pPr>
        <w:pStyle w:val="Sidehoved"/>
        <w:tabs>
          <w:tab w:val="left" w:pos="851"/>
        </w:tabs>
        <w:ind w:left="851"/>
        <w:rPr>
          <w:szCs w:val="24"/>
          <w:u w:val="single"/>
        </w:rPr>
      </w:pPr>
      <w:r w:rsidRPr="00F23835">
        <w:rPr>
          <w:szCs w:val="24"/>
        </w:rPr>
        <w:t>Hypertension var rapporteret som en meget almindelig bivirkning, i kliniske studier. Dosis af sunitinib blev reduceret, eller administration af sunitinib blev midlertidtigt indstillet hos ca. 2,7 % af patienterne, som fik hypertension. Ingen af disse patienter fik seponeret behandlingen med sunitinib permanent. Svær hypertension (&gt;200 mmHg systolisk eller 110 mmHg diastolisk) sås hos 4,7 % af patienterne med solide tumorer. Hypertension sås hos ca. 33,9 % af de behandlingsnaive mRCC-patienter, der fik sunitinib sammenlignet med 3,6 % af patienterne, der fik IFN-</w:t>
      </w:r>
      <w:r w:rsidRPr="00F23835">
        <w:rPr>
          <w:szCs w:val="24"/>
          <w:lang w:val="en-US"/>
        </w:rPr>
        <w:t>α</w:t>
      </w:r>
      <w:r w:rsidRPr="00F23835">
        <w:rPr>
          <w:szCs w:val="24"/>
        </w:rPr>
        <w:t>. Svær hypertension forekom hos 12 % af de behandlingsnaive patienter på sunitinib og &lt;1 % af patienterne på IFN-</w:t>
      </w:r>
      <w:r w:rsidRPr="00F23835">
        <w:rPr>
          <w:szCs w:val="24"/>
          <w:lang w:val="en-US"/>
        </w:rPr>
        <w:t>α</w:t>
      </w:r>
      <w:r w:rsidRPr="00F23835">
        <w:rPr>
          <w:szCs w:val="24"/>
        </w:rPr>
        <w:t>. Hypertension blev rapporteret hos 26,5 % af de patienter, som fik sunitinib i et fase 3 pNET-studie, og hos 4,9 % af de patienter, der fik placebo. Alvorlig hypertension blev rapporteret hos 10 % af de pNET-patienter, der fik sunitinib, og hos 3 % af de patienter, der fik placebo.</w:t>
      </w:r>
    </w:p>
    <w:p w:rsidR="00966528" w:rsidRPr="00F23835" w:rsidRDefault="00966528" w:rsidP="00515A85">
      <w:pPr>
        <w:pStyle w:val="Sidehoved"/>
        <w:tabs>
          <w:tab w:val="left" w:pos="851"/>
        </w:tabs>
        <w:ind w:left="851"/>
        <w:rPr>
          <w:szCs w:val="24"/>
          <w:u w:val="single"/>
        </w:rPr>
      </w:pPr>
    </w:p>
    <w:p w:rsidR="00515A85" w:rsidRPr="00F23835" w:rsidRDefault="00515A85" w:rsidP="00515A85">
      <w:pPr>
        <w:pStyle w:val="Sidehoved"/>
        <w:tabs>
          <w:tab w:val="left" w:pos="851"/>
        </w:tabs>
        <w:ind w:left="851"/>
        <w:rPr>
          <w:szCs w:val="24"/>
        </w:rPr>
      </w:pPr>
      <w:r w:rsidRPr="00F23835">
        <w:rPr>
          <w:szCs w:val="24"/>
          <w:u w:val="single"/>
        </w:rPr>
        <w:t>Venøse tromboemboliske hændelser</w:t>
      </w:r>
    </w:p>
    <w:p w:rsidR="00515A85" w:rsidRPr="00F23835" w:rsidRDefault="00515A85" w:rsidP="00515A85">
      <w:pPr>
        <w:pStyle w:val="Sidehoved"/>
        <w:tabs>
          <w:tab w:val="left" w:pos="851"/>
        </w:tabs>
        <w:ind w:left="851"/>
        <w:rPr>
          <w:szCs w:val="24"/>
        </w:rPr>
      </w:pPr>
      <w:r w:rsidRPr="00F23835">
        <w:rPr>
          <w:szCs w:val="24"/>
        </w:rPr>
        <w:t>Behandlingsrelaterede, venøse tromboemboliske hændelser er rapporteret hos ca. 1,0 % af patienterne med solide tumorer, som blev behandlet med sunitinib i kliniske studier, herunder GIST og RCC.</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tabs>
          <w:tab w:val="left" w:pos="851"/>
        </w:tabs>
        <w:ind w:left="851"/>
        <w:rPr>
          <w:szCs w:val="24"/>
        </w:rPr>
      </w:pPr>
      <w:r w:rsidRPr="00F23835">
        <w:rPr>
          <w:szCs w:val="24"/>
        </w:rPr>
        <w:t>I et fase 3 GIST-studie fik 7 patienter (3 %) på sunitinib og ingen på placebo venøse tromboemboliske hændelser. 5 ud af de 7 var grad 3 dyb venetrombose (DVT), og 2 var grad 1 eller 2. Hos 4 ud af disse 7 GIST-patienter blev behandlingen seponeret efter første observation af DVT.</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tabs>
          <w:tab w:val="left" w:pos="851"/>
        </w:tabs>
        <w:ind w:left="851"/>
        <w:rPr>
          <w:szCs w:val="24"/>
        </w:rPr>
      </w:pPr>
      <w:r w:rsidRPr="00F23835">
        <w:rPr>
          <w:szCs w:val="24"/>
        </w:rPr>
        <w:t>Venøse tromboemboliske hændelser blev rapporteret hos 13 af patienterne (3 %), der fik sunitinib i det behandlingsnaive fase 3 mRCC-studie og hos 4 af patienterne (2 %) i de 2 cytokin-refraktære mRCC- studier. 9 af disse patienter havde lungeemboli; 1 var grad 2 og 8 var grad 4. 8 af disse patienter havde DVT; 1 var grad 1, 2 var grad 2, 4 var grad 3 og 1 var grad 4. 1 patient med lungeemboli i studiet med cytokin-refraktære mRCC-patienter fik afbrudt behandlingen.</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tabs>
          <w:tab w:val="left" w:pos="851"/>
        </w:tabs>
        <w:ind w:left="851"/>
        <w:rPr>
          <w:szCs w:val="24"/>
        </w:rPr>
      </w:pPr>
      <w:r w:rsidRPr="00F23835">
        <w:rPr>
          <w:szCs w:val="24"/>
        </w:rPr>
        <w:t>Hos de behandlingsnaive mRCC-patienter, der fik IFN-</w:t>
      </w:r>
      <w:r w:rsidRPr="00F23835">
        <w:rPr>
          <w:szCs w:val="24"/>
          <w:lang w:val="en-US"/>
        </w:rPr>
        <w:t>α</w:t>
      </w:r>
      <w:r w:rsidRPr="00F23835">
        <w:rPr>
          <w:szCs w:val="24"/>
        </w:rPr>
        <w:t>, forekom 6 (2 %) tromboemboliske hændelser; 1 patient (&lt;1 %) oplevede en grad 3 DVT, og 5 patienter (1</w:t>
      </w:r>
      <w:r w:rsidR="00355123">
        <w:rPr>
          <w:szCs w:val="24"/>
        </w:rPr>
        <w:t> </w:t>
      </w:r>
      <w:r w:rsidRPr="00F23835">
        <w:rPr>
          <w:szCs w:val="24"/>
        </w:rPr>
        <w:t>%) fik lungeemboli, alle grad 4.</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tabs>
          <w:tab w:val="left" w:pos="851"/>
        </w:tabs>
        <w:ind w:left="851"/>
        <w:rPr>
          <w:szCs w:val="24"/>
        </w:rPr>
      </w:pPr>
      <w:r w:rsidRPr="00F23835">
        <w:rPr>
          <w:szCs w:val="24"/>
        </w:rPr>
        <w:lastRenderedPageBreak/>
        <w:t>Venøse tromboemboliske hændelser blev rapporteret hos 1 (1,2 %) patient i sunitinib-armen og hos 5 (6,1 %) af patienterne i placeboarmen i pNET fase 3-studiet. 2 af disse patienter i placebogruppen havde DVT, 1 var grad 2 og 1 var grad 3.</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tabs>
          <w:tab w:val="left" w:pos="851"/>
        </w:tabs>
        <w:ind w:left="851"/>
        <w:rPr>
          <w:szCs w:val="24"/>
        </w:rPr>
      </w:pPr>
      <w:r w:rsidRPr="00F23835">
        <w:rPr>
          <w:szCs w:val="24"/>
        </w:rPr>
        <w:t>Der er ikke rapporteret letale tilfælde i GIST-, mRCC og pNET-registreringsstudier. I overvågningen efter markedsføring er der rapporteret tilfælde af dødelig lungeemboli.</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tabs>
          <w:tab w:val="left" w:pos="851"/>
        </w:tabs>
        <w:ind w:left="851"/>
        <w:rPr>
          <w:szCs w:val="24"/>
        </w:rPr>
      </w:pPr>
      <w:r w:rsidRPr="00F23835">
        <w:rPr>
          <w:szCs w:val="24"/>
        </w:rPr>
        <w:t>Der blev observeret tilfælde af lungeemboli hos ca. 3,1 % af patienterne med GIST og hos ca. 1,2 % af patienterne med mRCC i behandling med sunitinib i fase 3 studierne. Der er ikke rapporteret lungeemboli hos pNET-patienter, som fik sunitinib, i fase 3 studiet. Sjældne letale tilfælde er rapporteret i overvågning efter markedsføring.</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tabs>
          <w:tab w:val="left" w:pos="851"/>
        </w:tabs>
        <w:ind w:left="851"/>
        <w:rPr>
          <w:szCs w:val="24"/>
        </w:rPr>
      </w:pPr>
      <w:r w:rsidRPr="00F23835">
        <w:rPr>
          <w:szCs w:val="24"/>
        </w:rPr>
        <w:t>Patienter, som havde haft lungeemboli indenfor de seneste 12 måneder, blev ekskluderet fra de kliniske studier med sunitinib.</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tabs>
          <w:tab w:val="left" w:pos="851"/>
        </w:tabs>
        <w:ind w:left="851"/>
        <w:rPr>
          <w:szCs w:val="24"/>
        </w:rPr>
      </w:pPr>
      <w:r w:rsidRPr="00F23835">
        <w:rPr>
          <w:szCs w:val="24"/>
        </w:rPr>
        <w:t>Hos patienter, der fik sunitinib i fase 3-registreringsstudier, blev lungehændelser (dvs. dyspnø, pleural effusion, lungeemboli eller lungeødem) rapporteret hos ca. 17,8 % af patierne med GIST, hos ca.</w:t>
      </w:r>
      <w:r w:rsidR="00355123">
        <w:rPr>
          <w:szCs w:val="24"/>
        </w:rPr>
        <w:t xml:space="preserve"> </w:t>
      </w:r>
      <w:r w:rsidRPr="00F23835">
        <w:rPr>
          <w:szCs w:val="24"/>
        </w:rPr>
        <w:t>26,7 % af patienterne med mRCC og hos 12 % af patienterne med pNET.</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tabs>
          <w:tab w:val="left" w:pos="851"/>
        </w:tabs>
        <w:ind w:left="851"/>
        <w:rPr>
          <w:szCs w:val="24"/>
        </w:rPr>
      </w:pPr>
      <w:r w:rsidRPr="00F23835">
        <w:rPr>
          <w:szCs w:val="24"/>
        </w:rPr>
        <w:t>Der forekom lungehændelser hos ca. 22,2 % af patienterne med solide tumorer, herunder GIST og mRCC, som blev behandlet med sunitinib i kliniske studier.</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tabs>
          <w:tab w:val="left" w:pos="851"/>
        </w:tabs>
        <w:ind w:left="851"/>
        <w:rPr>
          <w:i/>
          <w:szCs w:val="24"/>
        </w:rPr>
      </w:pPr>
      <w:r w:rsidRPr="00F23835">
        <w:rPr>
          <w:i/>
          <w:szCs w:val="24"/>
        </w:rPr>
        <w:t>Mave-tarm-kanalen</w:t>
      </w:r>
    </w:p>
    <w:p w:rsidR="00515A85" w:rsidRPr="00F23835" w:rsidRDefault="00515A85" w:rsidP="00515A85">
      <w:pPr>
        <w:pStyle w:val="Sidehoved"/>
        <w:tabs>
          <w:tab w:val="left" w:pos="851"/>
        </w:tabs>
        <w:ind w:left="851"/>
        <w:rPr>
          <w:szCs w:val="24"/>
        </w:rPr>
      </w:pPr>
      <w:r w:rsidRPr="00F23835">
        <w:rPr>
          <w:szCs w:val="24"/>
        </w:rPr>
        <w:t>Pankreatitis er set med hyppigheden ikke-almindelig (&lt;1 %) hos patienter, der fik sunitinib for GIST eller mRCC. Der er ikke rapporteret om behandlingsrelateret pankreatitis i fase 3 pNET-studiet (se pkt. 4.4).</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tabs>
          <w:tab w:val="left" w:pos="851"/>
        </w:tabs>
        <w:ind w:left="851"/>
        <w:rPr>
          <w:szCs w:val="24"/>
        </w:rPr>
      </w:pPr>
      <w:r w:rsidRPr="00F23835">
        <w:rPr>
          <w:szCs w:val="24"/>
        </w:rPr>
        <w:t>Letal gastrointestinal blødning blev rapporteret hos 0,98 % af patienterne, der fik placebo i fase 3 GIST-studiet.</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tabs>
          <w:tab w:val="left" w:pos="851"/>
        </w:tabs>
        <w:ind w:left="851"/>
        <w:rPr>
          <w:i/>
          <w:szCs w:val="24"/>
        </w:rPr>
      </w:pPr>
      <w:r w:rsidRPr="00F23835">
        <w:rPr>
          <w:i/>
          <w:szCs w:val="24"/>
        </w:rPr>
        <w:t>Lever og galdeveje</w:t>
      </w:r>
    </w:p>
    <w:p w:rsidR="00515A85" w:rsidRPr="00F23835" w:rsidRDefault="00515A85" w:rsidP="00515A85">
      <w:pPr>
        <w:pStyle w:val="Sidehoved"/>
        <w:tabs>
          <w:tab w:val="left" w:pos="851"/>
        </w:tabs>
        <w:ind w:left="851"/>
        <w:rPr>
          <w:szCs w:val="24"/>
        </w:rPr>
      </w:pPr>
      <w:r w:rsidRPr="00F23835">
        <w:rPr>
          <w:szCs w:val="24"/>
        </w:rPr>
        <w:t>Der er rapporteret tilfælde af leverdysfunktion. Disse kan omfatte unormale leverfunktionstest, hepatitis eller leversvigt (se pkt. 4.4).</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tabs>
          <w:tab w:val="left" w:pos="851"/>
        </w:tabs>
        <w:ind w:left="851"/>
        <w:rPr>
          <w:i/>
          <w:szCs w:val="24"/>
        </w:rPr>
      </w:pPr>
      <w:r w:rsidRPr="00F23835">
        <w:rPr>
          <w:i/>
          <w:szCs w:val="24"/>
        </w:rPr>
        <w:t>Hud og subkutane væv</w:t>
      </w:r>
    </w:p>
    <w:p w:rsidR="00515A85" w:rsidRPr="00F23835" w:rsidRDefault="00515A85" w:rsidP="00515A85">
      <w:pPr>
        <w:pStyle w:val="Sidehoved"/>
        <w:tabs>
          <w:tab w:val="left" w:pos="851"/>
        </w:tabs>
        <w:ind w:left="851"/>
        <w:rPr>
          <w:i/>
          <w:szCs w:val="24"/>
        </w:rPr>
      </w:pPr>
      <w:r w:rsidRPr="00F23835">
        <w:rPr>
          <w:szCs w:val="24"/>
        </w:rPr>
        <w:t xml:space="preserve">Der er rapporteret tilfælde af gangrænøs </w:t>
      </w:r>
      <w:proofErr w:type="gramStart"/>
      <w:r w:rsidRPr="00F23835">
        <w:rPr>
          <w:szCs w:val="24"/>
        </w:rPr>
        <w:t>pyoderma ,</w:t>
      </w:r>
      <w:proofErr w:type="gramEnd"/>
      <w:r w:rsidRPr="00F23835">
        <w:rPr>
          <w:szCs w:val="24"/>
        </w:rPr>
        <w:t xml:space="preserve"> der generelt var reversibel efter seponering af behandlingen (se også pkt. 4.4).</w:t>
      </w:r>
      <w:r w:rsidRPr="00F23835">
        <w:rPr>
          <w:i/>
          <w:szCs w:val="24"/>
        </w:rPr>
        <w:t>Knogler, led, muskler og bindevæv</w:t>
      </w:r>
    </w:p>
    <w:p w:rsidR="00966528" w:rsidRPr="00F23835" w:rsidRDefault="00966528" w:rsidP="00515A85">
      <w:pPr>
        <w:pStyle w:val="Sidehoved"/>
        <w:tabs>
          <w:tab w:val="left" w:pos="851"/>
        </w:tabs>
        <w:ind w:left="851"/>
        <w:rPr>
          <w:szCs w:val="24"/>
        </w:rPr>
      </w:pPr>
    </w:p>
    <w:p w:rsidR="00966528" w:rsidRPr="00F23835" w:rsidRDefault="00966528" w:rsidP="00966528">
      <w:pPr>
        <w:pStyle w:val="Sidehoved"/>
        <w:tabs>
          <w:tab w:val="left" w:pos="851"/>
        </w:tabs>
        <w:ind w:left="851"/>
        <w:rPr>
          <w:i/>
          <w:szCs w:val="24"/>
        </w:rPr>
      </w:pPr>
      <w:r w:rsidRPr="00F23835">
        <w:rPr>
          <w:i/>
          <w:szCs w:val="24"/>
        </w:rPr>
        <w:t>Knogler, led, muskler og bindevæv</w:t>
      </w:r>
    </w:p>
    <w:p w:rsidR="00515A85" w:rsidRPr="00F23835" w:rsidRDefault="00515A85" w:rsidP="00515A85">
      <w:pPr>
        <w:pStyle w:val="Sidehoved"/>
        <w:tabs>
          <w:tab w:val="left" w:pos="851"/>
        </w:tabs>
        <w:ind w:left="851"/>
        <w:rPr>
          <w:szCs w:val="24"/>
        </w:rPr>
      </w:pPr>
      <w:r w:rsidRPr="00F23835">
        <w:rPr>
          <w:szCs w:val="24"/>
        </w:rPr>
        <w:t>Der er rapporteret tilfælde af myopati og/eller rabdomyolyse, nogle med akut nyresvigt. Patienter med tegn eller symptomer på muskeltoksicitet skal behandles i henhold til gældende medicinsk praksis (se pkt. 4.4).</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tabs>
          <w:tab w:val="left" w:pos="851"/>
        </w:tabs>
        <w:ind w:left="851"/>
        <w:rPr>
          <w:szCs w:val="24"/>
        </w:rPr>
      </w:pPr>
      <w:r w:rsidRPr="00F23835">
        <w:rPr>
          <w:szCs w:val="24"/>
        </w:rPr>
        <w:t>Der er rapporteret om tilfælde af fisteldannelse, i nogle tilfælde ledsaget af tumornekrose og regression, i nogle tilfælde med letal udgang (se pkt. 4.4).</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tabs>
          <w:tab w:val="left" w:pos="851"/>
        </w:tabs>
        <w:ind w:left="851"/>
        <w:rPr>
          <w:szCs w:val="24"/>
        </w:rPr>
      </w:pPr>
      <w:r w:rsidRPr="00F23835">
        <w:rPr>
          <w:szCs w:val="24"/>
        </w:rPr>
        <w:t>Der er rapporteret om tilfælde af osteonekrose af kæben hos patienter, der er blevet behandlet med sunitinib. Hovedparten af disse tilfælde blev set hos patienter med kendte risikofaktorer for osteonekrose af kæben, især behandling med intravenøst bisfosfonat og/eller anamnese med tandproblemer, som krævede invasiv tandbehandling (se også pkt. 4.4).</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tabs>
          <w:tab w:val="left" w:pos="851"/>
        </w:tabs>
        <w:ind w:left="851"/>
        <w:rPr>
          <w:i/>
          <w:szCs w:val="24"/>
        </w:rPr>
      </w:pPr>
      <w:r w:rsidRPr="00F23835">
        <w:rPr>
          <w:i/>
          <w:szCs w:val="24"/>
        </w:rPr>
        <w:t>Undersøgelser</w:t>
      </w:r>
    </w:p>
    <w:p w:rsidR="00515A85" w:rsidRPr="00F23835" w:rsidRDefault="00515A85" w:rsidP="00515A85">
      <w:pPr>
        <w:pStyle w:val="Sidehoved"/>
        <w:tabs>
          <w:tab w:val="left" w:pos="851"/>
        </w:tabs>
        <w:ind w:left="851"/>
        <w:rPr>
          <w:szCs w:val="24"/>
        </w:rPr>
      </w:pPr>
      <w:r w:rsidRPr="00F23835">
        <w:rPr>
          <w:szCs w:val="24"/>
        </w:rPr>
        <w:t>Data fra non-kliniske studier (</w:t>
      </w:r>
      <w:r w:rsidRPr="00F23835">
        <w:rPr>
          <w:i/>
          <w:szCs w:val="24"/>
        </w:rPr>
        <w:t xml:space="preserve">in vivo </w:t>
      </w:r>
      <w:r w:rsidRPr="00F23835">
        <w:rPr>
          <w:szCs w:val="24"/>
        </w:rPr>
        <w:t xml:space="preserve">og </w:t>
      </w:r>
      <w:r w:rsidRPr="00F23835">
        <w:rPr>
          <w:i/>
          <w:szCs w:val="24"/>
        </w:rPr>
        <w:t>in vitro</w:t>
      </w:r>
      <w:r w:rsidRPr="00F23835">
        <w:rPr>
          <w:szCs w:val="24"/>
        </w:rPr>
        <w:t>) med doser, der var højere end de anbefalede humane doser, tyder på, at sunitinib potentielt kan hæmme hjertets repolarisering (f.eks forlængelse af QT-intervallet).</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tabs>
          <w:tab w:val="left" w:pos="851"/>
        </w:tabs>
        <w:ind w:left="851"/>
        <w:rPr>
          <w:szCs w:val="24"/>
        </w:rPr>
      </w:pPr>
      <w:r w:rsidRPr="00F23835">
        <w:rPr>
          <w:szCs w:val="24"/>
        </w:rPr>
        <w:t xml:space="preserve">Forlænget QTc-interval til over 500 msek sås hos 0,5 %, og ændringer med mere end 60 msek fra </w:t>
      </w:r>
      <w:r w:rsidRPr="00F23835">
        <w:rPr>
          <w:i/>
          <w:szCs w:val="24"/>
        </w:rPr>
        <w:t xml:space="preserve">baseline </w:t>
      </w:r>
      <w:r w:rsidRPr="00F23835">
        <w:rPr>
          <w:szCs w:val="24"/>
        </w:rPr>
        <w:t>sås hos 1,1 % af de 450 patienter med solide tumorer. Begge disse parametre er erkendte potentielle signifikante ændringer. Sunitinib har vist forlængelse af QTcF-interval (Fridericias korrektion) ved ca. dobbelt terapeutisk koncentration.</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tabs>
          <w:tab w:val="left" w:pos="851"/>
        </w:tabs>
        <w:ind w:left="851"/>
        <w:rPr>
          <w:szCs w:val="24"/>
        </w:rPr>
      </w:pPr>
      <w:r w:rsidRPr="00F23835">
        <w:rPr>
          <w:szCs w:val="24"/>
        </w:rPr>
        <w:t xml:space="preserve">I et studie hos 24 patienter, i alderen 20-87 år med avanceret malign sygdom, er forlængelse af QTc- intervallet undersøgt. Resultaterne af dette studie viste, at sunitinib havde en effekt på QTc-intervallet (defineret som middel placebo-justeret ændring på &gt;10 msek med en 90 % CI øvre grænse &gt;15 msek) ved terapeutisk koncentration (dag 3) ved brug af ”within-day” </w:t>
      </w:r>
      <w:r w:rsidRPr="00F23835">
        <w:rPr>
          <w:i/>
          <w:szCs w:val="24"/>
        </w:rPr>
        <w:t>baseline</w:t>
      </w:r>
      <w:r w:rsidRPr="00F23835">
        <w:rPr>
          <w:szCs w:val="24"/>
        </w:rPr>
        <w:t xml:space="preserve">-korrektionsmetoden og ved højere end terapeutisk koncentration (dag 9) ved begge </w:t>
      </w:r>
      <w:r w:rsidRPr="00F23835">
        <w:rPr>
          <w:i/>
          <w:szCs w:val="24"/>
        </w:rPr>
        <w:t>baseline</w:t>
      </w:r>
      <w:r w:rsidRPr="00F23835">
        <w:rPr>
          <w:szCs w:val="24"/>
        </w:rPr>
        <w:t xml:space="preserve">-korrektionsmetoder. Ingen patienter havde et QTc-interval &gt;500 msek. Selvom der sås en effekt på QTcF-intervallet 24 timer efter indtagelse af dosis på dag 3 (dvs. ved den forventede terapeutiske plasmakoncentration efter den anbefalede startdosis på 50 mg) ved brug af ”within-day” </w:t>
      </w:r>
      <w:r w:rsidRPr="00F23835">
        <w:rPr>
          <w:i/>
          <w:szCs w:val="24"/>
        </w:rPr>
        <w:t>baseline</w:t>
      </w:r>
      <w:r w:rsidRPr="00F23835">
        <w:rPr>
          <w:szCs w:val="24"/>
        </w:rPr>
        <w:t>-korrektionsmetoden, er den kliniske betydning af dette fund uklart.</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tabs>
          <w:tab w:val="left" w:pos="851"/>
        </w:tabs>
        <w:ind w:left="851"/>
        <w:rPr>
          <w:szCs w:val="24"/>
        </w:rPr>
      </w:pPr>
      <w:r w:rsidRPr="00F23835">
        <w:rPr>
          <w:szCs w:val="24"/>
        </w:rPr>
        <w:t xml:space="preserve">Ved brug af omfattende gentagne EKG-målinger på tidspunkter svarende til enten terapeutisk eksponering eller højere end terapeutisk ekponering sås ikke udvikling af alvorlig forlængelse af QTc- intervallet (dvs. lig med eller større end grad 3 ifølge </w:t>
      </w:r>
      <w:proofErr w:type="gramStart"/>
      <w:r w:rsidRPr="00F23835">
        <w:rPr>
          <w:szCs w:val="24"/>
        </w:rPr>
        <w:t>CTCAE version</w:t>
      </w:r>
      <w:proofErr w:type="gramEnd"/>
      <w:r w:rsidRPr="00F23835">
        <w:rPr>
          <w:szCs w:val="24"/>
        </w:rPr>
        <w:t xml:space="preserve"> 3,0) hos nogen af patienterne i den evaluerbare population eller i ITT-populationen.</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tabs>
          <w:tab w:val="left" w:pos="851"/>
        </w:tabs>
        <w:ind w:left="851"/>
        <w:rPr>
          <w:szCs w:val="24"/>
        </w:rPr>
      </w:pPr>
      <w:r w:rsidRPr="00F23835">
        <w:rPr>
          <w:szCs w:val="24"/>
        </w:rPr>
        <w:t xml:space="preserve">Ved terapeutisk plasmakoncentration var den maksimale middelændring af QTcF-intervallet (Fridericias korrektion) fra </w:t>
      </w:r>
      <w:r w:rsidRPr="00F23835">
        <w:rPr>
          <w:i/>
          <w:szCs w:val="24"/>
        </w:rPr>
        <w:t xml:space="preserve">baseline </w:t>
      </w:r>
      <w:r w:rsidRPr="00F23835">
        <w:rPr>
          <w:szCs w:val="24"/>
        </w:rPr>
        <w:t xml:space="preserve">9 msek (90 % CI: 15,1 msek). Ved ca. den dobbelte terapeutiske koncentration var den maksimale ændring af QTcF-intervallet fra </w:t>
      </w:r>
      <w:r w:rsidRPr="00F23835">
        <w:rPr>
          <w:i/>
          <w:szCs w:val="24"/>
        </w:rPr>
        <w:t xml:space="preserve">baseline </w:t>
      </w:r>
      <w:r w:rsidRPr="00F23835">
        <w:rPr>
          <w:szCs w:val="24"/>
        </w:rPr>
        <w:t xml:space="preserve">15,4 msek (90 % CI: 22,4 msek). Moxifloxacin (400 mg), der blev brugt som positiv kontrol, viste en maksimal middelændring af QTcF-intervallet på 5,6 msek fra </w:t>
      </w:r>
      <w:r w:rsidRPr="00F23835">
        <w:rPr>
          <w:i/>
          <w:szCs w:val="24"/>
        </w:rPr>
        <w:t>baseline</w:t>
      </w:r>
      <w:r w:rsidRPr="00F23835">
        <w:rPr>
          <w:szCs w:val="24"/>
        </w:rPr>
        <w:t>. Ingen patienter oplevede en effekt på QTc-intervallet større end grad 2 (CTCAE-version 3,0) (se pkt. 4.4.).</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tabs>
          <w:tab w:val="left" w:pos="851"/>
        </w:tabs>
        <w:ind w:left="851"/>
        <w:rPr>
          <w:szCs w:val="24"/>
        </w:rPr>
      </w:pPr>
      <w:r w:rsidRPr="00F23835">
        <w:rPr>
          <w:szCs w:val="24"/>
          <w:u w:val="single"/>
        </w:rPr>
        <w:t>Langtidssikkerhed ved mRCC</w:t>
      </w:r>
    </w:p>
    <w:p w:rsidR="00515A85" w:rsidRPr="00F23835" w:rsidRDefault="00515A85" w:rsidP="00515A85">
      <w:pPr>
        <w:pStyle w:val="Sidehoved"/>
        <w:tabs>
          <w:tab w:val="left" w:pos="851"/>
        </w:tabs>
        <w:ind w:left="851"/>
        <w:rPr>
          <w:szCs w:val="24"/>
        </w:rPr>
      </w:pPr>
      <w:r w:rsidRPr="00F23835">
        <w:rPr>
          <w:szCs w:val="24"/>
        </w:rPr>
        <w:t>Sunitinibs langtidssikkerhed hos patienter med mRCC er analyseret på tværs af 9 afsluttede kliniske studier udført i 1. linie, bevacizumab-refraktære og cytokin-refraktære behandlingsforløb. Analysen omfattede 5.739 patienter, hvoraf 807 (14 %) blev behandlet i 2 år til 6 år. Hos de 807 patienter, som fik langvarig behandling med sunitinib, forekom de fleste behandlingsrelaterede bivirkninger initialt i de første 6 måneder til 1 år og var derefter stabile eller faldt i hyppighed over tid. Hypothyroidisme udgjorde dog en undtagelse, idet denne bivirkning gradvist steg over tid med nye tilfælde i løbet af de 6 år. Langvarig behandling med sunitinib så ikke ud til at være forbundet med nye typer eller øget sværhedsgrad af behandlingsrelaterede bivirkninger.</w:t>
      </w:r>
    </w:p>
    <w:p w:rsidR="00515A85" w:rsidRPr="00F23835" w:rsidRDefault="00515A85" w:rsidP="00515A85">
      <w:pPr>
        <w:rPr>
          <w:sz w:val="24"/>
          <w:szCs w:val="24"/>
          <w:u w:val="single"/>
        </w:rPr>
      </w:pPr>
    </w:p>
    <w:p w:rsidR="00515A85" w:rsidRPr="00F23835" w:rsidRDefault="00515A85" w:rsidP="00515A85">
      <w:pPr>
        <w:ind w:left="851"/>
        <w:rPr>
          <w:sz w:val="24"/>
          <w:szCs w:val="24"/>
        </w:rPr>
      </w:pPr>
      <w:r w:rsidRPr="00F23835">
        <w:rPr>
          <w:sz w:val="24"/>
          <w:szCs w:val="24"/>
          <w:u w:val="single"/>
        </w:rPr>
        <w:t>Pædiatrisk population</w:t>
      </w:r>
    </w:p>
    <w:p w:rsidR="00515A85" w:rsidRPr="00F23835" w:rsidRDefault="00515A85" w:rsidP="00515A85">
      <w:pPr>
        <w:pStyle w:val="Sidehoved"/>
        <w:tabs>
          <w:tab w:val="left" w:pos="851"/>
        </w:tabs>
        <w:ind w:left="851"/>
        <w:rPr>
          <w:szCs w:val="24"/>
        </w:rPr>
      </w:pPr>
      <w:r w:rsidRPr="00F23835">
        <w:rPr>
          <w:szCs w:val="24"/>
        </w:rPr>
        <w:t xml:space="preserve">Sunitinibs sikkerhedsprofil er blevet undersøgt i et fase 1-dosiseskaleringsstudie, et ublindet fase 2-studie, et fase 1/2-enkeltarmsstudie og i publikationerne, som beskrevet herunder. </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tabs>
          <w:tab w:val="left" w:pos="851"/>
        </w:tabs>
        <w:ind w:left="851"/>
        <w:rPr>
          <w:szCs w:val="24"/>
        </w:rPr>
      </w:pPr>
      <w:r w:rsidRPr="00F23835">
        <w:rPr>
          <w:szCs w:val="24"/>
        </w:rPr>
        <w:lastRenderedPageBreak/>
        <w:t>Et fase 1-dosiseskaleringsstudie med oral sunitinib blev udført hos 35 patienter, herunder 30 pædiatriske patienter (i alderen 3-17 år) og 5 unge voksne patienter (i alderen 18-21 år) med refraktære, solide tumorer, hvoraf de fleste havde en hjernetumor som primær diagnose. Alle studiedeltagere oplevede bivirkninger; de fleste bivirkninger var alvorlige (toksicitetsgrad ≥3) og inkluderede kardiel toksicitet. De hyppigste bivirkninger var gastrointestinal toksicitet, neutropeni, træthed og forhøjet niveau af ALAT. Risikoen for kardielle bivirkninger forekom at være højere hos pædiatriske patienter med tidligere eksponering for stråling af hjertet eller antracyklin, sammenlignet med pædiatriske patienter uden tidligere eksponering. Hos disse pædiatriske patienter uden tidligere eksponering for antracykliner eller stråling af hjertet er den maksimalt tolererede dosis blevet fastslået (se pkt. 5.1).</w:t>
      </w:r>
    </w:p>
    <w:p w:rsidR="00515A85" w:rsidRPr="00F23835" w:rsidRDefault="00515A85" w:rsidP="00515A85">
      <w:pPr>
        <w:pStyle w:val="Sidehoved"/>
        <w:tabs>
          <w:tab w:val="left" w:pos="851"/>
        </w:tabs>
        <w:ind w:left="851"/>
        <w:rPr>
          <w:szCs w:val="24"/>
        </w:rPr>
      </w:pPr>
    </w:p>
    <w:p w:rsidR="00966528" w:rsidRPr="00F23835" w:rsidRDefault="00966528" w:rsidP="00966528">
      <w:pPr>
        <w:pStyle w:val="Sidehoved"/>
        <w:tabs>
          <w:tab w:val="left" w:pos="851"/>
        </w:tabs>
        <w:ind w:left="851"/>
        <w:rPr>
          <w:szCs w:val="24"/>
        </w:rPr>
      </w:pPr>
      <w:r w:rsidRPr="00F23835">
        <w:rPr>
          <w:szCs w:val="24"/>
        </w:rPr>
        <w:t>Et ublindet fase 2-studie blev udført hos 29 patienter, herunder 27 pædiatriske patienter (i alderen 3-16 år) og 2 unge voksne patienter (i alderen 18-19 år) med recidiverende/progressiv/refraktær højgrads gliom eller ependymom. Der var ingen grad 5 bivirkninger i nogen af grupperne. De hyppigste bivirkninger (≥ 10 %) var nedsat neutrofiltal (6 (20,7 %) patienter) og intrakraniel blødning (3 (10,3 %) patienter).</w:t>
      </w:r>
    </w:p>
    <w:p w:rsidR="00515A85" w:rsidRPr="00F23835" w:rsidRDefault="00515A85" w:rsidP="00515A85">
      <w:pPr>
        <w:pStyle w:val="Sidehoved"/>
        <w:tabs>
          <w:tab w:val="left" w:pos="851"/>
        </w:tabs>
        <w:ind w:left="851"/>
        <w:rPr>
          <w:szCs w:val="24"/>
        </w:rPr>
      </w:pPr>
    </w:p>
    <w:p w:rsidR="00515A85" w:rsidRPr="00F23835" w:rsidRDefault="00515A85" w:rsidP="00515A85">
      <w:pPr>
        <w:pStyle w:val="Sidehoved"/>
        <w:tabs>
          <w:tab w:val="left" w:pos="851"/>
        </w:tabs>
        <w:ind w:left="851"/>
        <w:rPr>
          <w:szCs w:val="24"/>
        </w:rPr>
      </w:pPr>
      <w:r w:rsidRPr="00F23835">
        <w:rPr>
          <w:szCs w:val="24"/>
        </w:rPr>
        <w:t>Et fase 1/2-enkeltarmsstudie blev udført hos 6 pædiatriske patienter (i alderen 13-16 år) med fremskreden inoperabel GIST. De hyppigste behandlingsrelaterede bivirkninger var diarré, kvalme, nedsat leukocyttal, neutropeni og hovedpine hos 3 (50,0 %) af patienterne primært af alvorlighedsgrad 1 eller 2. Fire ud af 6 patienter (66,7 %) oplevede bivirkninger af grad 3-4. De rapporterede bivirkninger af grad 3 var hypofosfatæmi, neutropeni og trombocytopeni hos 1 patient hver og en grad 4 bivirkning af neutropeni hos 1 patient. Der blev ikke rapporteret om alvorlige eller grad 5 bivirkninger i studiet. I både det kliniske studie og i publikationerne var sikkerhedsprofilen i overensstemmelse med den kendte sikkerhedsprofil hos voksne.</w:t>
      </w:r>
    </w:p>
    <w:p w:rsidR="00515A85" w:rsidRPr="00F23835" w:rsidRDefault="00515A85" w:rsidP="00515A85">
      <w:pPr>
        <w:pStyle w:val="Sidehoved"/>
        <w:tabs>
          <w:tab w:val="left" w:pos="851"/>
        </w:tabs>
        <w:ind w:left="851"/>
        <w:rPr>
          <w:szCs w:val="24"/>
          <w:u w:val="single"/>
        </w:rPr>
      </w:pPr>
    </w:p>
    <w:p w:rsidR="00515A85" w:rsidRPr="00F23835" w:rsidRDefault="00515A85" w:rsidP="00515A85">
      <w:pPr>
        <w:autoSpaceDE w:val="0"/>
        <w:autoSpaceDN w:val="0"/>
        <w:ind w:left="851"/>
        <w:rPr>
          <w:sz w:val="24"/>
          <w:szCs w:val="24"/>
          <w:u w:val="single"/>
          <w:lang w:eastAsia="da-DK"/>
        </w:rPr>
      </w:pPr>
      <w:r w:rsidRPr="00F23835">
        <w:rPr>
          <w:sz w:val="24"/>
          <w:szCs w:val="24"/>
          <w:u w:val="single"/>
          <w:lang w:eastAsia="da-DK"/>
        </w:rPr>
        <w:t>Indberetning af formodede bivirkninger</w:t>
      </w:r>
    </w:p>
    <w:p w:rsidR="00515A85" w:rsidRPr="00F23835" w:rsidRDefault="00515A85" w:rsidP="00515A85">
      <w:pPr>
        <w:ind w:left="851"/>
        <w:rPr>
          <w:sz w:val="24"/>
          <w:szCs w:val="24"/>
          <w:lang w:eastAsia="da-DK"/>
        </w:rPr>
      </w:pPr>
      <w:r w:rsidRPr="00F23835">
        <w:rPr>
          <w:sz w:val="24"/>
          <w:szCs w:val="24"/>
          <w:lang w:eastAsia="da-DK"/>
        </w:rPr>
        <w:t xml:space="preserve">Når lægemidlet er godkendt, er indberetning af formodede bivirkninger vigtig. Det muliggør løbende overvågning af benefit/risk-forholdet for lægemidlet. </w:t>
      </w:r>
      <w:r w:rsidR="007C26EB">
        <w:rPr>
          <w:sz w:val="24"/>
          <w:szCs w:val="24"/>
          <w:lang w:eastAsia="da-DK"/>
        </w:rPr>
        <w:t>S</w:t>
      </w:r>
      <w:r w:rsidRPr="00F23835">
        <w:rPr>
          <w:sz w:val="24"/>
          <w:szCs w:val="24"/>
          <w:lang w:eastAsia="da-DK"/>
        </w:rPr>
        <w:t>undhedsperson</w:t>
      </w:r>
      <w:r w:rsidR="007C26EB">
        <w:rPr>
          <w:sz w:val="24"/>
          <w:szCs w:val="24"/>
          <w:lang w:eastAsia="da-DK"/>
        </w:rPr>
        <w:t>er</w:t>
      </w:r>
      <w:r w:rsidRPr="00F23835">
        <w:rPr>
          <w:sz w:val="24"/>
          <w:szCs w:val="24"/>
          <w:lang w:eastAsia="da-DK"/>
        </w:rPr>
        <w:t xml:space="preserve"> anmodes om at indberette alle formodede bivirkninger via:</w:t>
      </w:r>
    </w:p>
    <w:p w:rsidR="00515A85" w:rsidRPr="00F23835" w:rsidRDefault="00515A85" w:rsidP="00515A85">
      <w:pPr>
        <w:ind w:left="851"/>
        <w:rPr>
          <w:sz w:val="24"/>
          <w:szCs w:val="24"/>
          <w:lang w:eastAsia="da-DK"/>
        </w:rPr>
      </w:pPr>
    </w:p>
    <w:p w:rsidR="00515A85" w:rsidRPr="00F23835" w:rsidRDefault="00515A85" w:rsidP="00515A85">
      <w:pPr>
        <w:ind w:left="851"/>
        <w:rPr>
          <w:sz w:val="24"/>
          <w:szCs w:val="24"/>
          <w:lang w:eastAsia="da-DK"/>
        </w:rPr>
      </w:pPr>
      <w:r w:rsidRPr="00F23835">
        <w:rPr>
          <w:sz w:val="24"/>
          <w:szCs w:val="24"/>
          <w:lang w:eastAsia="da-DK"/>
        </w:rPr>
        <w:t>Lægemiddelstyrelsen</w:t>
      </w:r>
    </w:p>
    <w:p w:rsidR="00515A85" w:rsidRPr="00F23835" w:rsidRDefault="00515A85" w:rsidP="00515A85">
      <w:pPr>
        <w:ind w:left="851"/>
        <w:rPr>
          <w:sz w:val="24"/>
          <w:szCs w:val="24"/>
          <w:lang w:eastAsia="da-DK"/>
        </w:rPr>
      </w:pPr>
      <w:r w:rsidRPr="00F23835">
        <w:rPr>
          <w:sz w:val="24"/>
          <w:szCs w:val="24"/>
          <w:lang w:eastAsia="da-DK"/>
        </w:rPr>
        <w:t>Axel Heides Gade 1</w:t>
      </w:r>
    </w:p>
    <w:p w:rsidR="00515A85" w:rsidRPr="00F23835" w:rsidRDefault="00515A85" w:rsidP="00515A85">
      <w:pPr>
        <w:ind w:left="851"/>
        <w:rPr>
          <w:sz w:val="24"/>
          <w:szCs w:val="24"/>
          <w:lang w:eastAsia="da-DK"/>
        </w:rPr>
      </w:pPr>
      <w:r w:rsidRPr="00F23835">
        <w:rPr>
          <w:sz w:val="24"/>
          <w:szCs w:val="24"/>
          <w:lang w:eastAsia="da-DK"/>
        </w:rPr>
        <w:t>DK-2300 København S</w:t>
      </w:r>
    </w:p>
    <w:p w:rsidR="00515A85" w:rsidRPr="00F23835" w:rsidRDefault="00515A85" w:rsidP="00515A85">
      <w:pPr>
        <w:ind w:left="851"/>
        <w:rPr>
          <w:sz w:val="24"/>
          <w:szCs w:val="24"/>
          <w:lang w:eastAsia="da-DK"/>
        </w:rPr>
      </w:pPr>
      <w:r w:rsidRPr="00F23835">
        <w:rPr>
          <w:sz w:val="24"/>
          <w:szCs w:val="24"/>
          <w:lang w:eastAsia="da-DK"/>
        </w:rPr>
        <w:t xml:space="preserve">Websted: </w:t>
      </w:r>
      <w:hyperlink r:id="rId8" w:history="1">
        <w:r w:rsidRPr="00F23835">
          <w:rPr>
            <w:rStyle w:val="Hyperlink"/>
            <w:sz w:val="24"/>
            <w:szCs w:val="24"/>
            <w:lang w:eastAsia="da-DK"/>
          </w:rPr>
          <w:t>www.meldenbivirkning.dk</w:t>
        </w:r>
      </w:hyperlink>
      <w:r w:rsidRPr="00F23835">
        <w:rPr>
          <w:sz w:val="24"/>
          <w:szCs w:val="24"/>
          <w:lang w:eastAsia="da-DK"/>
        </w:rPr>
        <w:t xml:space="preserve"> </w:t>
      </w:r>
    </w:p>
    <w:p w:rsidR="00515A85" w:rsidRPr="00F23835" w:rsidRDefault="00515A85" w:rsidP="00515A85">
      <w:pPr>
        <w:pStyle w:val="Sidehoved"/>
        <w:tabs>
          <w:tab w:val="left" w:pos="851"/>
        </w:tabs>
        <w:ind w:left="851"/>
        <w:rPr>
          <w:szCs w:val="24"/>
        </w:rPr>
      </w:pPr>
    </w:p>
    <w:p w:rsidR="00515A85" w:rsidRPr="00F23835" w:rsidRDefault="00515A85" w:rsidP="00515A85">
      <w:pPr>
        <w:tabs>
          <w:tab w:val="left" w:pos="851"/>
        </w:tabs>
        <w:ind w:left="851" w:hanging="851"/>
        <w:rPr>
          <w:b/>
          <w:sz w:val="24"/>
          <w:szCs w:val="24"/>
        </w:rPr>
      </w:pPr>
      <w:r w:rsidRPr="00F23835">
        <w:rPr>
          <w:b/>
          <w:sz w:val="24"/>
          <w:szCs w:val="24"/>
        </w:rPr>
        <w:t>4.9</w:t>
      </w:r>
      <w:r w:rsidRPr="00F23835">
        <w:rPr>
          <w:b/>
          <w:sz w:val="24"/>
          <w:szCs w:val="24"/>
        </w:rPr>
        <w:tab/>
        <w:t>Overdosering</w:t>
      </w:r>
    </w:p>
    <w:p w:rsidR="00515A85" w:rsidRPr="00F23835" w:rsidRDefault="00515A85" w:rsidP="00515A85">
      <w:pPr>
        <w:tabs>
          <w:tab w:val="left" w:pos="851"/>
        </w:tabs>
        <w:ind w:left="851"/>
        <w:rPr>
          <w:sz w:val="24"/>
          <w:szCs w:val="24"/>
        </w:rPr>
      </w:pPr>
      <w:r w:rsidRPr="00F23835">
        <w:rPr>
          <w:sz w:val="24"/>
          <w:szCs w:val="24"/>
        </w:rPr>
        <w:t xml:space="preserve">Der er ingen specifik antidot for overdosering med </w:t>
      </w:r>
      <w:r w:rsidR="007C26EB">
        <w:rPr>
          <w:sz w:val="24"/>
          <w:szCs w:val="24"/>
        </w:rPr>
        <w:t>Sunitinib ”Viatris”</w:t>
      </w:r>
      <w:r w:rsidRPr="00F23835">
        <w:rPr>
          <w:sz w:val="24"/>
          <w:szCs w:val="24"/>
        </w:rPr>
        <w:t>, og behandling af overdosis er generelt understøttende. Hvis indiceret, kan elimination af ikke absorberet aktivt stof ske ved opkastning eller maveskylning. Der er rapporteret om tilfælde af overdosering. I nogle tilfælde var bivirkningerne i overens</w:t>
      </w:r>
      <w:r w:rsidR="00355123">
        <w:rPr>
          <w:sz w:val="24"/>
          <w:szCs w:val="24"/>
        </w:rPr>
        <w:t>s</w:t>
      </w:r>
      <w:r w:rsidRPr="00F23835">
        <w:rPr>
          <w:sz w:val="24"/>
          <w:szCs w:val="24"/>
        </w:rPr>
        <w:t>temmelse med sunitinibs kendte sikkerhedsprofil.</w:t>
      </w:r>
    </w:p>
    <w:p w:rsidR="00355123" w:rsidRDefault="00355123">
      <w:pPr>
        <w:rPr>
          <w:sz w:val="24"/>
          <w:szCs w:val="24"/>
        </w:rPr>
      </w:pPr>
      <w:r>
        <w:rPr>
          <w:sz w:val="24"/>
          <w:szCs w:val="24"/>
        </w:rPr>
        <w:br w:type="page"/>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hanging="851"/>
        <w:rPr>
          <w:b/>
          <w:sz w:val="24"/>
          <w:szCs w:val="24"/>
        </w:rPr>
      </w:pPr>
      <w:r w:rsidRPr="00F23835">
        <w:rPr>
          <w:b/>
          <w:sz w:val="24"/>
          <w:szCs w:val="24"/>
        </w:rPr>
        <w:t>4.10</w:t>
      </w:r>
      <w:r w:rsidRPr="00F23835">
        <w:rPr>
          <w:b/>
          <w:sz w:val="24"/>
          <w:szCs w:val="24"/>
        </w:rPr>
        <w:tab/>
        <w:t>Udlevering</w:t>
      </w:r>
    </w:p>
    <w:p w:rsidR="00515A85" w:rsidRPr="00F23835" w:rsidRDefault="00515A85" w:rsidP="00515A85">
      <w:pPr>
        <w:tabs>
          <w:tab w:val="left" w:pos="851"/>
        </w:tabs>
        <w:ind w:left="851"/>
        <w:rPr>
          <w:sz w:val="24"/>
          <w:szCs w:val="24"/>
        </w:rPr>
      </w:pPr>
      <w:r w:rsidRPr="00F23835">
        <w:rPr>
          <w:sz w:val="24"/>
          <w:szCs w:val="24"/>
        </w:rPr>
        <w:t>BEGR (kun til sygehuse)</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hanging="851"/>
        <w:rPr>
          <w:b/>
          <w:sz w:val="24"/>
          <w:szCs w:val="24"/>
        </w:rPr>
      </w:pPr>
      <w:r w:rsidRPr="00F23835">
        <w:rPr>
          <w:b/>
          <w:sz w:val="24"/>
          <w:szCs w:val="24"/>
        </w:rPr>
        <w:t>5.</w:t>
      </w:r>
      <w:r w:rsidRPr="00F23835">
        <w:rPr>
          <w:b/>
          <w:sz w:val="24"/>
          <w:szCs w:val="24"/>
        </w:rPr>
        <w:tab/>
        <w:t>FARMAKOLOGISKE EGENSKABER</w:t>
      </w:r>
    </w:p>
    <w:p w:rsidR="00515A85" w:rsidRPr="00F23835" w:rsidRDefault="00515A85" w:rsidP="00515A85">
      <w:pPr>
        <w:tabs>
          <w:tab w:val="left" w:pos="851"/>
        </w:tabs>
        <w:ind w:left="851"/>
        <w:rPr>
          <w:sz w:val="24"/>
          <w:szCs w:val="24"/>
        </w:rPr>
      </w:pPr>
    </w:p>
    <w:p w:rsidR="00515A85" w:rsidRPr="00F23835" w:rsidRDefault="00515A85" w:rsidP="00515A85">
      <w:pPr>
        <w:tabs>
          <w:tab w:val="num" w:pos="851"/>
        </w:tabs>
        <w:ind w:left="851" w:hanging="851"/>
        <w:rPr>
          <w:b/>
          <w:sz w:val="24"/>
          <w:szCs w:val="24"/>
        </w:rPr>
      </w:pPr>
      <w:r w:rsidRPr="00F23835">
        <w:rPr>
          <w:b/>
          <w:sz w:val="24"/>
          <w:szCs w:val="24"/>
        </w:rPr>
        <w:t>5.1</w:t>
      </w:r>
      <w:r w:rsidRPr="00F23835">
        <w:rPr>
          <w:b/>
          <w:sz w:val="24"/>
          <w:szCs w:val="24"/>
        </w:rPr>
        <w:tab/>
        <w:t>Farmakodynamiske egenskaber</w:t>
      </w:r>
    </w:p>
    <w:p w:rsidR="00966528" w:rsidRPr="00F23835" w:rsidRDefault="00966528" w:rsidP="00966528">
      <w:pPr>
        <w:pStyle w:val="Brdtekst"/>
        <w:ind w:left="851"/>
        <w:rPr>
          <w:sz w:val="24"/>
          <w:szCs w:val="24"/>
          <w:lang w:val="da-DK"/>
        </w:rPr>
      </w:pPr>
      <w:r w:rsidRPr="00F23835">
        <w:rPr>
          <w:sz w:val="24"/>
          <w:szCs w:val="24"/>
          <w:lang w:val="da-DK"/>
        </w:rPr>
        <w:t>Farmakoterapeutisk klassifikation: Antineoplastiske stoffer, proteinkinase-hæmmere.</w:t>
      </w:r>
    </w:p>
    <w:p w:rsidR="00966528" w:rsidRPr="00F23835" w:rsidRDefault="00966528" w:rsidP="00966528">
      <w:pPr>
        <w:pStyle w:val="Brdtekst"/>
        <w:ind w:left="851"/>
        <w:rPr>
          <w:sz w:val="24"/>
          <w:szCs w:val="24"/>
          <w:lang w:val="da-DK"/>
        </w:rPr>
      </w:pPr>
      <w:r w:rsidRPr="00F23835">
        <w:rPr>
          <w:sz w:val="24"/>
          <w:szCs w:val="24"/>
          <w:lang w:val="da-DK"/>
        </w:rPr>
        <w:t>ATC-kode: L01EX01.</w:t>
      </w:r>
    </w:p>
    <w:p w:rsidR="002A0948" w:rsidRPr="00F23835" w:rsidRDefault="002A0948" w:rsidP="00515A85">
      <w:pPr>
        <w:pStyle w:val="Brdtekst"/>
        <w:ind w:left="851"/>
        <w:rPr>
          <w:sz w:val="24"/>
          <w:szCs w:val="24"/>
          <w:lang w:val="da-DK"/>
        </w:rPr>
      </w:pPr>
    </w:p>
    <w:p w:rsidR="00515A85" w:rsidRPr="00F23835" w:rsidRDefault="00515A85" w:rsidP="00515A85">
      <w:pPr>
        <w:pStyle w:val="Brdtekst"/>
        <w:ind w:left="851"/>
        <w:rPr>
          <w:sz w:val="24"/>
          <w:szCs w:val="24"/>
          <w:lang w:val="da-DK"/>
        </w:rPr>
      </w:pPr>
      <w:r w:rsidRPr="00F23835">
        <w:rPr>
          <w:sz w:val="24"/>
          <w:szCs w:val="24"/>
          <w:u w:val="single"/>
          <w:lang w:val="da-DK"/>
        </w:rPr>
        <w:t>Virkningsmekanisme</w:t>
      </w:r>
    </w:p>
    <w:p w:rsidR="00515A85" w:rsidRPr="00F23835" w:rsidRDefault="00515A85" w:rsidP="00515A85">
      <w:pPr>
        <w:pStyle w:val="Brdtekst"/>
        <w:ind w:left="851"/>
        <w:rPr>
          <w:sz w:val="24"/>
          <w:szCs w:val="24"/>
          <w:lang w:val="da-DK"/>
        </w:rPr>
      </w:pPr>
      <w:r w:rsidRPr="00F23835">
        <w:rPr>
          <w:sz w:val="24"/>
          <w:szCs w:val="24"/>
          <w:lang w:val="da-DK"/>
        </w:rPr>
        <w:t>Sunitinib hæmmer gentagne RTK’er, som indgår i tumorvækst, neoangiogenese og metastaserende progression af cancer. Sunitinib er identificeret som en hæmmer af receptorerne for trombocytafledte vækstfaktorer (PDGFR</w:t>
      </w:r>
      <w:r w:rsidRPr="00F23835">
        <w:rPr>
          <w:sz w:val="24"/>
          <w:szCs w:val="24"/>
        </w:rPr>
        <w:t>α</w:t>
      </w:r>
      <w:r w:rsidRPr="00F23835">
        <w:rPr>
          <w:sz w:val="24"/>
          <w:szCs w:val="24"/>
          <w:lang w:val="da-DK"/>
        </w:rPr>
        <w:t xml:space="preserve"> og PDGF</w:t>
      </w:r>
      <w:r w:rsidRPr="00F23835">
        <w:rPr>
          <w:sz w:val="24"/>
          <w:szCs w:val="24"/>
        </w:rPr>
        <w:t>β</w:t>
      </w:r>
      <w:r w:rsidRPr="00F23835">
        <w:rPr>
          <w:sz w:val="24"/>
          <w:szCs w:val="24"/>
          <w:lang w:val="da-DK"/>
        </w:rPr>
        <w:t>), vaskulære endotel-vækstfaktorer (VEGFR1, VEGFR2 og VEGF3), stamcellefaktor (KIT), Fms-lignende tyrosinkinase-3 (FLT3), kolonistimulerende faktor (CSF-1R) og gliacelleafledt neurotrof faktor (RET). Hovedmetabolitten udviser samme styrke sammenlignet med sunitinib i biokemiske analyser og celleanalyser.</w:t>
      </w:r>
    </w:p>
    <w:p w:rsidR="00515A85" w:rsidRPr="00F23835" w:rsidRDefault="00515A85" w:rsidP="00515A85">
      <w:pPr>
        <w:pStyle w:val="Brdtekst"/>
        <w:ind w:left="851"/>
        <w:rPr>
          <w:sz w:val="24"/>
          <w:szCs w:val="24"/>
          <w:lang w:val="da-DK"/>
        </w:rPr>
      </w:pPr>
    </w:p>
    <w:p w:rsidR="00515A85" w:rsidRPr="00F23835" w:rsidRDefault="00515A85" w:rsidP="00515A85">
      <w:pPr>
        <w:pStyle w:val="Brdtekst"/>
        <w:ind w:left="851"/>
        <w:rPr>
          <w:sz w:val="24"/>
          <w:szCs w:val="24"/>
          <w:lang w:val="da-DK"/>
        </w:rPr>
      </w:pPr>
      <w:r w:rsidRPr="00F23835">
        <w:rPr>
          <w:sz w:val="24"/>
          <w:szCs w:val="24"/>
          <w:u w:val="single"/>
          <w:lang w:val="da-DK"/>
        </w:rPr>
        <w:t>Klinisk virkning og sikkerhed</w:t>
      </w:r>
    </w:p>
    <w:p w:rsidR="00515A85" w:rsidRPr="00F23835" w:rsidRDefault="00515A85" w:rsidP="00515A85">
      <w:pPr>
        <w:pStyle w:val="Brdtekst"/>
        <w:ind w:left="851"/>
        <w:rPr>
          <w:sz w:val="24"/>
          <w:szCs w:val="24"/>
          <w:lang w:val="da-DK"/>
        </w:rPr>
      </w:pPr>
      <w:r w:rsidRPr="00F23835">
        <w:rPr>
          <w:sz w:val="24"/>
          <w:szCs w:val="24"/>
          <w:lang w:val="da-DK"/>
        </w:rPr>
        <w:t>Den kliniske sikkerhed og effekt af sunitinib er undersøgt hos patienter med GIST. Det vil sige, de patienter, som var resistente over for imatinib, (dvs. dem som udviklede sygdomsprogression under eller efter behandling med imatinib) eller som udviste intolerans over for imatinib (dvs. dem, som udviklede signifikant toksicitet under behandling med imatinib, og hvor yderligere behandling var udelukket). Ligeledes er den kliniske sikkerhed og effekt af sunitinib undersøgt for behandling af patienter med mRCC og behandling af patienter med inoperabel pNET.</w:t>
      </w:r>
    </w:p>
    <w:p w:rsidR="00515A85" w:rsidRPr="00F23835" w:rsidRDefault="00515A85" w:rsidP="00515A85">
      <w:pPr>
        <w:pStyle w:val="Brdtekst"/>
        <w:ind w:left="851"/>
        <w:rPr>
          <w:sz w:val="24"/>
          <w:szCs w:val="24"/>
          <w:lang w:val="da-DK"/>
        </w:rPr>
      </w:pPr>
      <w:r w:rsidRPr="00F23835">
        <w:rPr>
          <w:sz w:val="24"/>
          <w:szCs w:val="24"/>
          <w:lang w:val="da-DK"/>
        </w:rPr>
        <w:t>Effekten er baseret på tidspunktet for tumorprogression (TTP) og stigning i overlevelse med GIST på henholdsvis progressions-fri overlevelse (PFS) og objektiv responsrate (ORR) for behandlingsnaiv og cytokin-refraktær mRCC og PFS ved pNET.</w:t>
      </w:r>
    </w:p>
    <w:p w:rsidR="00515A85" w:rsidRPr="00F23835" w:rsidRDefault="00515A85" w:rsidP="00515A85">
      <w:pPr>
        <w:pStyle w:val="Brdtekst"/>
        <w:ind w:left="851"/>
        <w:rPr>
          <w:sz w:val="24"/>
          <w:szCs w:val="24"/>
          <w:lang w:val="da-DK"/>
        </w:rPr>
      </w:pPr>
    </w:p>
    <w:p w:rsidR="00515A85" w:rsidRPr="00F23835" w:rsidRDefault="00515A85" w:rsidP="00515A85">
      <w:pPr>
        <w:pStyle w:val="Brdtekst"/>
        <w:ind w:left="851"/>
        <w:rPr>
          <w:i/>
          <w:sz w:val="24"/>
          <w:szCs w:val="24"/>
          <w:lang w:val="da-DK"/>
        </w:rPr>
      </w:pPr>
      <w:r w:rsidRPr="00F23835">
        <w:rPr>
          <w:i/>
          <w:sz w:val="24"/>
          <w:szCs w:val="24"/>
          <w:lang w:val="da-DK"/>
        </w:rPr>
        <w:t>Gastrointestinale stromale tumorer</w:t>
      </w:r>
    </w:p>
    <w:p w:rsidR="00515A85" w:rsidRPr="00F23835" w:rsidRDefault="00515A85" w:rsidP="00515A85">
      <w:pPr>
        <w:pStyle w:val="Brdtekst"/>
        <w:ind w:left="851"/>
        <w:rPr>
          <w:sz w:val="24"/>
          <w:szCs w:val="24"/>
          <w:lang w:val="da-DK"/>
        </w:rPr>
      </w:pPr>
      <w:r w:rsidRPr="00F23835">
        <w:rPr>
          <w:sz w:val="24"/>
          <w:szCs w:val="24"/>
          <w:lang w:val="da-DK"/>
        </w:rPr>
        <w:t>Det første åbne, dosis-eskaleringsstudie blev udført hos patienter med GIST efter behandlingssvigt med imatinib (median maksimal daglig dosis på 800 mg) på grund af resistens eller intolerans. 97 patienter blev inkluderet med forskellige doser og cyklusser. 55 patienter fik 50 mg sunitinib og den anbefalede behandlingscyklus på 4 på hinanden følgende uger og 2 uger uden behandling (doseringsskema 4/2).</w:t>
      </w:r>
    </w:p>
    <w:p w:rsidR="00515A85" w:rsidRPr="00F23835" w:rsidRDefault="00515A85" w:rsidP="00515A85">
      <w:pPr>
        <w:pStyle w:val="Brdtekst"/>
        <w:ind w:left="851"/>
        <w:rPr>
          <w:sz w:val="24"/>
          <w:szCs w:val="24"/>
          <w:lang w:val="da-DK"/>
        </w:rPr>
      </w:pPr>
    </w:p>
    <w:p w:rsidR="00515A85" w:rsidRPr="00F23835" w:rsidRDefault="00515A85" w:rsidP="00515A85">
      <w:pPr>
        <w:pStyle w:val="Brdtekst"/>
        <w:ind w:left="851"/>
        <w:rPr>
          <w:sz w:val="24"/>
          <w:szCs w:val="24"/>
          <w:lang w:val="da-DK"/>
        </w:rPr>
      </w:pPr>
      <w:r w:rsidRPr="00F23835">
        <w:rPr>
          <w:sz w:val="24"/>
          <w:szCs w:val="24"/>
          <w:lang w:val="da-DK"/>
        </w:rPr>
        <w:t>I dette studie var median TTP 34,0 uger (95 % CI = 22,0-46,0).</w:t>
      </w:r>
    </w:p>
    <w:p w:rsidR="00515A85" w:rsidRPr="00F23835" w:rsidRDefault="00515A85" w:rsidP="00515A85">
      <w:pPr>
        <w:pStyle w:val="Brdtekst"/>
        <w:ind w:left="851"/>
        <w:rPr>
          <w:sz w:val="24"/>
          <w:szCs w:val="24"/>
          <w:lang w:val="da-DK"/>
        </w:rPr>
      </w:pPr>
    </w:p>
    <w:p w:rsidR="00515A85" w:rsidRPr="00F23835" w:rsidRDefault="00515A85" w:rsidP="00515A85">
      <w:pPr>
        <w:pStyle w:val="Brdtekst"/>
        <w:ind w:left="851"/>
        <w:rPr>
          <w:sz w:val="24"/>
          <w:szCs w:val="24"/>
          <w:lang w:val="da-DK"/>
        </w:rPr>
      </w:pPr>
      <w:r w:rsidRPr="00F23835">
        <w:rPr>
          <w:sz w:val="24"/>
          <w:szCs w:val="24"/>
          <w:lang w:val="da-DK"/>
        </w:rPr>
        <w:t xml:space="preserve">Et fase 3, randomiseret, dobbelt-blind, placebokontrolleret studie med sunitinib blev udført hos patienter med GIST, som udviste intolerans over for, eller havde udviklet sygdomsprogression under eller efter behandling med imatinib (median maksimal daglig dosis på 800 mg). I dette studie blev 312 patienter randomiseret (2:1) til enten 50 mg sunitinib eller placebo, oralt 1 gang daglig med doseringsskema 4/2 indtil sygdomsprogression, eller til de udgik af studiet af anden årsag (207 patienter fik sunitinib, og 105 patienter fik placebo). Studiets primære effektendepunkt var TTP, defineret som tiden fra randomisering til første dokumenterede objektive tumorprogression. På tidspunktet for den forud specificerede interimanalyse var median-TTP for sunitinib 28,9 uger (95 %CI= 21,3 - 34,1) baseret på investigators vurderinger og 27,3 uger (95 % CI = 16,0 - 32,1) baseret på </w:t>
      </w:r>
      <w:r w:rsidRPr="00F23835">
        <w:rPr>
          <w:i/>
          <w:sz w:val="24"/>
          <w:szCs w:val="24"/>
          <w:lang w:val="da-DK"/>
        </w:rPr>
        <w:t xml:space="preserve">Independent </w:t>
      </w:r>
      <w:r w:rsidRPr="00F23835">
        <w:rPr>
          <w:i/>
          <w:sz w:val="24"/>
          <w:szCs w:val="24"/>
          <w:lang w:val="da-DK"/>
        </w:rPr>
        <w:lastRenderedPageBreak/>
        <w:t xml:space="preserve">Review Board, </w:t>
      </w:r>
      <w:r w:rsidRPr="00F23835">
        <w:rPr>
          <w:sz w:val="24"/>
          <w:szCs w:val="24"/>
          <w:lang w:val="da-DK"/>
        </w:rPr>
        <w:t>og den var statistisk signifikant længere end TTP for placebo på 5,1 uger (95 % CI = 4,4 - 10,1 uger; p&lt;0,001) baseret på investigators vurderinger og 6,4 uger (95</w:t>
      </w:r>
      <w:r w:rsidR="00355123">
        <w:rPr>
          <w:sz w:val="24"/>
          <w:szCs w:val="24"/>
          <w:lang w:val="da-DK"/>
        </w:rPr>
        <w:t> </w:t>
      </w:r>
      <w:r w:rsidRPr="00F23835">
        <w:rPr>
          <w:sz w:val="24"/>
          <w:szCs w:val="24"/>
          <w:lang w:val="da-DK"/>
        </w:rPr>
        <w:t xml:space="preserve">% CI = 4,4 - 10,0) baseret på </w:t>
      </w:r>
      <w:r w:rsidRPr="00F23835">
        <w:rPr>
          <w:i/>
          <w:sz w:val="24"/>
          <w:szCs w:val="24"/>
          <w:lang w:val="da-DK"/>
        </w:rPr>
        <w:t>Independent Review Board</w:t>
      </w:r>
      <w:r w:rsidRPr="00F23835">
        <w:rPr>
          <w:sz w:val="24"/>
          <w:szCs w:val="24"/>
          <w:lang w:val="da-DK"/>
        </w:rPr>
        <w:t>. Forskellen i den samlede overlevelse (OS) var statistisk til fordel for sunitinib (hazard ratio (HR): 0,491: 95 % (CI: 0,290 - 0,831)). Risiko for død var dobbelt så høj hos patienter i placebogruppen som i sunitinib-gruppen.</w:t>
      </w:r>
    </w:p>
    <w:p w:rsidR="00515A85" w:rsidRPr="00F23835" w:rsidRDefault="00515A85" w:rsidP="00515A85">
      <w:pPr>
        <w:pStyle w:val="Brdtekst"/>
        <w:ind w:left="851"/>
        <w:rPr>
          <w:sz w:val="24"/>
          <w:szCs w:val="24"/>
          <w:lang w:val="da-DK"/>
        </w:rPr>
      </w:pPr>
    </w:p>
    <w:p w:rsidR="00515A85" w:rsidRPr="00F23835" w:rsidRDefault="00515A85" w:rsidP="00515A85">
      <w:pPr>
        <w:pStyle w:val="Brdtekst"/>
        <w:ind w:left="851"/>
        <w:rPr>
          <w:sz w:val="24"/>
          <w:szCs w:val="24"/>
          <w:lang w:val="da-DK"/>
        </w:rPr>
      </w:pPr>
      <w:r w:rsidRPr="00F23835">
        <w:rPr>
          <w:sz w:val="24"/>
          <w:szCs w:val="24"/>
          <w:lang w:val="da-DK"/>
        </w:rPr>
        <w:t xml:space="preserve">Efter interimanalysen af virkning og sikkerhed blev studiet afblindet på anbefaling af det uafhængige </w:t>
      </w:r>
      <w:r w:rsidRPr="00F23835">
        <w:rPr>
          <w:i/>
          <w:sz w:val="24"/>
          <w:szCs w:val="24"/>
          <w:lang w:val="da-DK"/>
        </w:rPr>
        <w:t>Data Safety Monitoring Board</w:t>
      </w:r>
      <w:r w:rsidRPr="00F23835">
        <w:rPr>
          <w:sz w:val="24"/>
          <w:szCs w:val="24"/>
          <w:lang w:val="da-DK"/>
        </w:rPr>
        <w:t>, og patienterne i placebo-armen fik tilbudt åben-label sunitinib - behandling.</w:t>
      </w:r>
    </w:p>
    <w:p w:rsidR="00515A85" w:rsidRPr="00F23835" w:rsidRDefault="00515A85" w:rsidP="00515A85">
      <w:pPr>
        <w:pStyle w:val="Brdtekst"/>
        <w:ind w:left="851"/>
        <w:rPr>
          <w:sz w:val="24"/>
          <w:szCs w:val="24"/>
          <w:lang w:val="da-DK"/>
        </w:rPr>
      </w:pPr>
    </w:p>
    <w:p w:rsidR="00515A85" w:rsidRPr="00F23835" w:rsidRDefault="00515A85" w:rsidP="00515A85">
      <w:pPr>
        <w:pStyle w:val="Brdtekst"/>
        <w:ind w:left="851"/>
        <w:rPr>
          <w:sz w:val="24"/>
          <w:szCs w:val="24"/>
          <w:lang w:val="da-DK"/>
        </w:rPr>
      </w:pPr>
      <w:r w:rsidRPr="00F23835">
        <w:rPr>
          <w:sz w:val="24"/>
          <w:szCs w:val="24"/>
          <w:lang w:val="da-DK"/>
        </w:rPr>
        <w:t>I alt fik 255 patienter sunitinib i studiets åben-label fase, inklusive de 99 patienter der blev behandlet med placebo i starten.</w:t>
      </w:r>
    </w:p>
    <w:p w:rsidR="00515A85" w:rsidRPr="00F23835" w:rsidRDefault="00515A85" w:rsidP="00515A85">
      <w:pPr>
        <w:pStyle w:val="Brdtekst"/>
        <w:ind w:left="851"/>
        <w:rPr>
          <w:sz w:val="24"/>
          <w:szCs w:val="24"/>
          <w:lang w:val="da-DK"/>
        </w:rPr>
      </w:pPr>
    </w:p>
    <w:p w:rsidR="00515A85" w:rsidRPr="00F23835" w:rsidRDefault="00515A85" w:rsidP="00515A85">
      <w:pPr>
        <w:pStyle w:val="Brdtekst"/>
        <w:ind w:left="851"/>
        <w:rPr>
          <w:sz w:val="24"/>
          <w:szCs w:val="24"/>
          <w:lang w:val="da-DK"/>
        </w:rPr>
      </w:pPr>
      <w:r w:rsidRPr="00F23835">
        <w:rPr>
          <w:sz w:val="24"/>
          <w:szCs w:val="24"/>
          <w:lang w:val="da-DK"/>
        </w:rPr>
        <w:t>Analysen af primære og sekundære endepunkter i studiets åben-label fase bekræftede resultaterne fra interimanalysen, som vist i tabel 2:</w:t>
      </w:r>
    </w:p>
    <w:p w:rsidR="00515A85" w:rsidRPr="00F23835" w:rsidRDefault="00515A85" w:rsidP="00515A85">
      <w:pPr>
        <w:pStyle w:val="Brdtekst"/>
        <w:ind w:left="851"/>
        <w:rPr>
          <w:sz w:val="24"/>
          <w:szCs w:val="24"/>
          <w:lang w:val="da-DK"/>
        </w:rPr>
      </w:pPr>
    </w:p>
    <w:p w:rsidR="00966528" w:rsidRPr="00F23835" w:rsidRDefault="00966528" w:rsidP="00966528">
      <w:pPr>
        <w:tabs>
          <w:tab w:val="left" w:pos="851"/>
        </w:tabs>
        <w:ind w:left="851" w:hanging="851"/>
        <w:rPr>
          <w:rFonts w:eastAsia="TimesNewRoman,Bold"/>
          <w:b/>
          <w:bCs/>
          <w:sz w:val="24"/>
          <w:szCs w:val="24"/>
        </w:rPr>
      </w:pPr>
      <w:r w:rsidRPr="00F23835">
        <w:rPr>
          <w:rFonts w:eastAsia="TimesNewRoman,Bold"/>
          <w:b/>
          <w:bCs/>
          <w:sz w:val="24"/>
          <w:szCs w:val="24"/>
        </w:rPr>
        <w:t>Tabel 2 - Sammenfatning af effekt-endepunkter for GIST (ITT-populationen)</w:t>
      </w:r>
    </w:p>
    <w:p w:rsidR="00515A85" w:rsidRPr="00F23835" w:rsidRDefault="00515A85" w:rsidP="00515A85">
      <w:pPr>
        <w:tabs>
          <w:tab w:val="left" w:pos="851"/>
        </w:tabs>
        <w:ind w:left="851"/>
        <w:rPr>
          <w:rFonts w:eastAsia="TimesNewRoman,Bold"/>
          <w:b/>
          <w:bCs/>
          <w:sz w:val="24"/>
          <w:szCs w:val="24"/>
        </w:rPr>
      </w:pPr>
    </w:p>
    <w:tbl>
      <w:tblPr>
        <w:tblW w:w="9681" w:type="dxa"/>
        <w:tblInd w:w="-5" w:type="dxa"/>
        <w:tblLook w:val="04A0" w:firstRow="1" w:lastRow="0" w:firstColumn="1" w:lastColumn="0" w:noHBand="0" w:noVBand="1"/>
      </w:tblPr>
      <w:tblGrid>
        <w:gridCol w:w="2127"/>
        <w:gridCol w:w="1858"/>
        <w:gridCol w:w="1701"/>
        <w:gridCol w:w="1701"/>
        <w:gridCol w:w="892"/>
        <w:gridCol w:w="1402"/>
      </w:tblGrid>
      <w:tr w:rsidR="00515A85" w:rsidRPr="00F23835" w:rsidTr="009B6BD9">
        <w:trPr>
          <w:trHeight w:val="300"/>
        </w:trPr>
        <w:tc>
          <w:tcPr>
            <w:tcW w:w="2127" w:type="dxa"/>
            <w:vMerge w:val="restart"/>
            <w:tcBorders>
              <w:top w:val="single" w:sz="4" w:space="0" w:color="auto"/>
              <w:left w:val="single" w:sz="4" w:space="0" w:color="auto"/>
              <w:bottom w:val="single" w:sz="4" w:space="0" w:color="auto"/>
              <w:right w:val="single" w:sz="4" w:space="0" w:color="auto"/>
            </w:tcBorders>
            <w:noWrap/>
            <w:vAlign w:val="bottom"/>
            <w:hideMark/>
          </w:tcPr>
          <w:p w:rsidR="00515A85" w:rsidRPr="00F23835" w:rsidRDefault="00515A85" w:rsidP="009B6BD9">
            <w:pPr>
              <w:spacing w:line="256" w:lineRule="auto"/>
              <w:rPr>
                <w:b/>
                <w:bCs/>
                <w:color w:val="000000"/>
                <w:sz w:val="24"/>
                <w:szCs w:val="24"/>
                <w:lang w:eastAsia="en-GB"/>
              </w:rPr>
            </w:pPr>
            <w:r w:rsidRPr="00F23835">
              <w:rPr>
                <w:b/>
                <w:bCs/>
                <w:color w:val="000000"/>
                <w:sz w:val="24"/>
                <w:szCs w:val="24"/>
                <w:lang w:eastAsia="en-GB"/>
              </w:rPr>
              <w:t> </w:t>
            </w:r>
          </w:p>
        </w:tc>
        <w:tc>
          <w:tcPr>
            <w:tcW w:w="7554" w:type="dxa"/>
            <w:gridSpan w:val="5"/>
            <w:tcBorders>
              <w:top w:val="single" w:sz="4" w:space="0" w:color="auto"/>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b/>
                <w:bCs/>
                <w:color w:val="000000"/>
                <w:sz w:val="24"/>
                <w:szCs w:val="24"/>
                <w:lang w:val="en-US" w:eastAsia="en-GB"/>
              </w:rPr>
            </w:pPr>
            <w:r w:rsidRPr="00F23835">
              <w:rPr>
                <w:b/>
                <w:bCs/>
                <w:color w:val="000000"/>
                <w:sz w:val="24"/>
                <w:szCs w:val="24"/>
                <w:lang w:eastAsia="en-GB"/>
              </w:rPr>
              <w:t>Dobbeltblind behandling</w:t>
            </w:r>
            <w:r w:rsidRPr="00F23835">
              <w:rPr>
                <w:b/>
                <w:bCs/>
                <w:color w:val="000000"/>
                <w:sz w:val="24"/>
                <w:szCs w:val="24"/>
                <w:vertAlign w:val="superscript"/>
                <w:lang w:eastAsia="en-GB"/>
              </w:rPr>
              <w:t>a</w:t>
            </w:r>
          </w:p>
        </w:tc>
      </w:tr>
      <w:tr w:rsidR="00515A85" w:rsidRPr="00F23835" w:rsidTr="009B6BD9">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5A85" w:rsidRPr="00F23835" w:rsidRDefault="00515A85" w:rsidP="009B6BD9">
            <w:pPr>
              <w:spacing w:line="256" w:lineRule="auto"/>
              <w:rPr>
                <w:b/>
                <w:bCs/>
                <w:color w:val="000000"/>
                <w:sz w:val="24"/>
                <w:szCs w:val="24"/>
                <w:lang w:eastAsia="en-GB"/>
              </w:rPr>
            </w:pPr>
          </w:p>
        </w:tc>
        <w:tc>
          <w:tcPr>
            <w:tcW w:w="3559" w:type="dxa"/>
            <w:gridSpan w:val="2"/>
            <w:tcBorders>
              <w:top w:val="single" w:sz="4" w:space="0" w:color="auto"/>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b/>
                <w:bCs/>
                <w:color w:val="000000"/>
                <w:sz w:val="24"/>
                <w:szCs w:val="24"/>
                <w:lang w:eastAsia="en-GB"/>
              </w:rPr>
            </w:pPr>
            <w:r w:rsidRPr="00F23835">
              <w:rPr>
                <w:b/>
                <w:bCs/>
                <w:color w:val="000000"/>
                <w:sz w:val="24"/>
                <w:szCs w:val="24"/>
                <w:lang w:eastAsia="en-GB"/>
              </w:rPr>
              <w:t>Median (95 % CI)</w:t>
            </w:r>
          </w:p>
        </w:tc>
        <w:tc>
          <w:tcPr>
            <w:tcW w:w="2593" w:type="dxa"/>
            <w:gridSpan w:val="2"/>
            <w:tcBorders>
              <w:top w:val="single" w:sz="4" w:space="0" w:color="auto"/>
              <w:left w:val="nil"/>
              <w:bottom w:val="single" w:sz="4" w:space="0" w:color="auto"/>
              <w:right w:val="single" w:sz="4" w:space="0" w:color="auto"/>
            </w:tcBorders>
            <w:noWrap/>
            <w:vAlign w:val="bottom"/>
            <w:hideMark/>
          </w:tcPr>
          <w:p w:rsidR="00515A85" w:rsidRPr="00F23835" w:rsidRDefault="00515A85" w:rsidP="009B6BD9">
            <w:pPr>
              <w:spacing w:line="256" w:lineRule="auto"/>
              <w:rPr>
                <w:b/>
                <w:bCs/>
                <w:color w:val="000000"/>
                <w:sz w:val="24"/>
                <w:szCs w:val="24"/>
                <w:lang w:eastAsia="en-GB"/>
              </w:rPr>
            </w:pPr>
            <w:r w:rsidRPr="00F23835">
              <w:rPr>
                <w:b/>
                <w:bCs/>
                <w:color w:val="000000"/>
                <w:sz w:val="24"/>
                <w:szCs w:val="24"/>
                <w:lang w:eastAsia="en-GB"/>
              </w:rPr>
              <w:t>Hazard ratio</w:t>
            </w:r>
          </w:p>
        </w:tc>
        <w:tc>
          <w:tcPr>
            <w:tcW w:w="1402" w:type="dxa"/>
            <w:vMerge w:val="restart"/>
            <w:tcBorders>
              <w:top w:val="nil"/>
              <w:left w:val="nil"/>
              <w:bottom w:val="single" w:sz="4" w:space="0" w:color="auto"/>
              <w:right w:val="single" w:sz="4" w:space="0" w:color="auto"/>
            </w:tcBorders>
            <w:vAlign w:val="bottom"/>
            <w:hideMark/>
          </w:tcPr>
          <w:p w:rsidR="00515A85" w:rsidRPr="00F23835" w:rsidRDefault="00515A85" w:rsidP="009B6BD9">
            <w:pPr>
              <w:spacing w:line="256" w:lineRule="auto"/>
              <w:jc w:val="center"/>
              <w:rPr>
                <w:b/>
                <w:bCs/>
                <w:color w:val="000000"/>
                <w:sz w:val="24"/>
                <w:szCs w:val="24"/>
                <w:lang w:eastAsia="en-GB"/>
              </w:rPr>
            </w:pPr>
            <w:r w:rsidRPr="00F23835">
              <w:rPr>
                <w:b/>
                <w:bCs/>
                <w:color w:val="000000"/>
                <w:sz w:val="24"/>
                <w:szCs w:val="24"/>
                <w:lang w:eastAsia="en-GB"/>
              </w:rPr>
              <w:t xml:space="preserve">Placebo cross-over gruppe-behandling </w:t>
            </w:r>
            <w:r w:rsidRPr="00F23835">
              <w:rPr>
                <w:b/>
                <w:bCs/>
                <w:color w:val="000000"/>
                <w:sz w:val="24"/>
                <w:szCs w:val="24"/>
                <w:vertAlign w:val="superscript"/>
                <w:lang w:eastAsia="en-GB"/>
              </w:rPr>
              <w:t>b</w:t>
            </w:r>
          </w:p>
        </w:tc>
      </w:tr>
      <w:tr w:rsidR="00515A85" w:rsidRPr="00F23835" w:rsidTr="009B6BD9">
        <w:trPr>
          <w:trHeight w:val="300"/>
        </w:trPr>
        <w:tc>
          <w:tcPr>
            <w:tcW w:w="2127" w:type="dxa"/>
            <w:tcBorders>
              <w:top w:val="nil"/>
              <w:left w:val="single" w:sz="4" w:space="0" w:color="auto"/>
              <w:bottom w:val="single" w:sz="4" w:space="0" w:color="auto"/>
              <w:right w:val="single" w:sz="4" w:space="0" w:color="auto"/>
            </w:tcBorders>
            <w:noWrap/>
            <w:vAlign w:val="bottom"/>
            <w:hideMark/>
          </w:tcPr>
          <w:p w:rsidR="00515A85" w:rsidRPr="00F23835" w:rsidRDefault="00515A85" w:rsidP="009B6BD9">
            <w:pPr>
              <w:spacing w:line="256" w:lineRule="auto"/>
              <w:rPr>
                <w:b/>
                <w:bCs/>
                <w:color w:val="000000"/>
                <w:sz w:val="24"/>
                <w:szCs w:val="24"/>
                <w:lang w:val="en-US" w:eastAsia="en-GB"/>
              </w:rPr>
            </w:pPr>
            <w:r w:rsidRPr="00F23835">
              <w:rPr>
                <w:b/>
                <w:bCs/>
                <w:color w:val="000000"/>
                <w:sz w:val="24"/>
                <w:szCs w:val="24"/>
                <w:lang w:eastAsia="en-GB"/>
              </w:rPr>
              <w:t>Endepunkt</w:t>
            </w:r>
          </w:p>
        </w:tc>
        <w:tc>
          <w:tcPr>
            <w:tcW w:w="1858"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b/>
                <w:bCs/>
                <w:color w:val="000000"/>
                <w:sz w:val="24"/>
                <w:szCs w:val="24"/>
                <w:lang w:eastAsia="en-GB"/>
              </w:rPr>
            </w:pPr>
            <w:r w:rsidRPr="00F23835">
              <w:rPr>
                <w:b/>
                <w:bCs/>
                <w:color w:val="000000"/>
                <w:sz w:val="24"/>
                <w:szCs w:val="24"/>
                <w:lang w:eastAsia="en-GB"/>
              </w:rPr>
              <w:t>Sunitinib</w:t>
            </w:r>
          </w:p>
        </w:tc>
        <w:tc>
          <w:tcPr>
            <w:tcW w:w="1701"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b/>
                <w:bCs/>
                <w:color w:val="000000"/>
                <w:sz w:val="24"/>
                <w:szCs w:val="24"/>
                <w:lang w:eastAsia="en-GB"/>
              </w:rPr>
            </w:pPr>
            <w:r w:rsidRPr="00F23835">
              <w:rPr>
                <w:b/>
                <w:bCs/>
                <w:color w:val="000000"/>
                <w:sz w:val="24"/>
                <w:szCs w:val="24"/>
                <w:lang w:eastAsia="en-GB"/>
              </w:rPr>
              <w:t>Placebo</w:t>
            </w:r>
          </w:p>
        </w:tc>
        <w:tc>
          <w:tcPr>
            <w:tcW w:w="1701"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b/>
                <w:bCs/>
                <w:color w:val="000000"/>
                <w:sz w:val="24"/>
                <w:szCs w:val="24"/>
                <w:lang w:eastAsia="en-GB"/>
              </w:rPr>
            </w:pPr>
            <w:r w:rsidRPr="00F23835">
              <w:rPr>
                <w:b/>
                <w:bCs/>
                <w:color w:val="000000"/>
                <w:sz w:val="24"/>
                <w:szCs w:val="24"/>
                <w:lang w:eastAsia="en-GB"/>
              </w:rPr>
              <w:t>(95 % CI)</w:t>
            </w:r>
          </w:p>
        </w:tc>
        <w:tc>
          <w:tcPr>
            <w:tcW w:w="892"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b/>
                <w:bCs/>
                <w:color w:val="000000"/>
                <w:sz w:val="24"/>
                <w:szCs w:val="24"/>
                <w:lang w:eastAsia="en-GB"/>
              </w:rPr>
            </w:pPr>
            <w:r w:rsidRPr="00F23835">
              <w:rPr>
                <w:b/>
                <w:bCs/>
                <w:color w:val="000000"/>
                <w:sz w:val="24"/>
                <w:szCs w:val="24"/>
                <w:lang w:eastAsia="en-GB"/>
              </w:rPr>
              <w:t>p</w:t>
            </w:r>
          </w:p>
        </w:tc>
        <w:tc>
          <w:tcPr>
            <w:tcW w:w="0" w:type="auto"/>
            <w:vMerge/>
            <w:tcBorders>
              <w:top w:val="nil"/>
              <w:left w:val="nil"/>
              <w:bottom w:val="single" w:sz="4" w:space="0" w:color="auto"/>
              <w:right w:val="single" w:sz="4" w:space="0" w:color="auto"/>
            </w:tcBorders>
            <w:vAlign w:val="center"/>
            <w:hideMark/>
          </w:tcPr>
          <w:p w:rsidR="00515A85" w:rsidRPr="00F23835" w:rsidRDefault="00515A85" w:rsidP="009B6BD9">
            <w:pPr>
              <w:spacing w:line="256" w:lineRule="auto"/>
              <w:rPr>
                <w:b/>
                <w:bCs/>
                <w:color w:val="000000"/>
                <w:sz w:val="24"/>
                <w:szCs w:val="24"/>
                <w:lang w:eastAsia="en-GB"/>
              </w:rPr>
            </w:pPr>
          </w:p>
        </w:tc>
      </w:tr>
      <w:tr w:rsidR="00515A85" w:rsidRPr="00F23835" w:rsidTr="009B6BD9">
        <w:trPr>
          <w:trHeight w:val="465"/>
        </w:trPr>
        <w:tc>
          <w:tcPr>
            <w:tcW w:w="2127" w:type="dxa"/>
            <w:tcBorders>
              <w:top w:val="nil"/>
              <w:left w:val="single" w:sz="4" w:space="0" w:color="auto"/>
              <w:bottom w:val="single" w:sz="4" w:space="0" w:color="auto"/>
              <w:right w:val="single" w:sz="4" w:space="0" w:color="auto"/>
            </w:tcBorders>
            <w:vAlign w:val="bottom"/>
            <w:hideMark/>
          </w:tcPr>
          <w:p w:rsidR="00515A85" w:rsidRPr="00F23835" w:rsidRDefault="00515A85" w:rsidP="009B6BD9">
            <w:pPr>
              <w:spacing w:line="256" w:lineRule="auto"/>
              <w:rPr>
                <w:b/>
                <w:bCs/>
                <w:color w:val="000000"/>
                <w:sz w:val="24"/>
                <w:szCs w:val="24"/>
                <w:lang w:eastAsia="en-GB"/>
              </w:rPr>
            </w:pPr>
            <w:r w:rsidRPr="00F23835">
              <w:rPr>
                <w:b/>
                <w:bCs/>
                <w:color w:val="000000"/>
                <w:sz w:val="24"/>
                <w:szCs w:val="24"/>
                <w:lang w:eastAsia="en-GB"/>
              </w:rPr>
              <w:t>Primært TTP (uger)</w:t>
            </w:r>
          </w:p>
        </w:tc>
        <w:tc>
          <w:tcPr>
            <w:tcW w:w="1858" w:type="dxa"/>
            <w:tcBorders>
              <w:top w:val="nil"/>
              <w:left w:val="nil"/>
              <w:bottom w:val="single" w:sz="4" w:space="0" w:color="auto"/>
              <w:right w:val="single" w:sz="4" w:space="0" w:color="auto"/>
            </w:tcBorders>
            <w:noWrap/>
            <w:vAlign w:val="bottom"/>
          </w:tcPr>
          <w:p w:rsidR="00515A85" w:rsidRPr="00F23835" w:rsidRDefault="00515A85" w:rsidP="009B6BD9">
            <w:pPr>
              <w:spacing w:line="256" w:lineRule="auto"/>
              <w:jc w:val="center"/>
              <w:rPr>
                <w:color w:val="000000"/>
                <w:sz w:val="24"/>
                <w:szCs w:val="24"/>
                <w:lang w:eastAsia="en-GB"/>
              </w:rPr>
            </w:pPr>
          </w:p>
        </w:tc>
        <w:tc>
          <w:tcPr>
            <w:tcW w:w="1701" w:type="dxa"/>
            <w:tcBorders>
              <w:top w:val="nil"/>
              <w:left w:val="nil"/>
              <w:bottom w:val="single" w:sz="4" w:space="0" w:color="auto"/>
              <w:right w:val="single" w:sz="4" w:space="0" w:color="auto"/>
            </w:tcBorders>
            <w:noWrap/>
            <w:vAlign w:val="bottom"/>
          </w:tcPr>
          <w:p w:rsidR="00515A85" w:rsidRPr="00F23835" w:rsidRDefault="00515A85" w:rsidP="009B6BD9">
            <w:pPr>
              <w:spacing w:line="256" w:lineRule="auto"/>
              <w:jc w:val="center"/>
              <w:rPr>
                <w:color w:val="000000"/>
                <w:sz w:val="24"/>
                <w:szCs w:val="24"/>
                <w:lang w:eastAsia="en-GB"/>
              </w:rPr>
            </w:pPr>
          </w:p>
        </w:tc>
        <w:tc>
          <w:tcPr>
            <w:tcW w:w="1701" w:type="dxa"/>
            <w:tcBorders>
              <w:top w:val="nil"/>
              <w:left w:val="nil"/>
              <w:bottom w:val="single" w:sz="4" w:space="0" w:color="auto"/>
              <w:right w:val="single" w:sz="4" w:space="0" w:color="auto"/>
            </w:tcBorders>
            <w:noWrap/>
            <w:vAlign w:val="bottom"/>
          </w:tcPr>
          <w:p w:rsidR="00515A85" w:rsidRPr="00F23835" w:rsidRDefault="00515A85" w:rsidP="009B6BD9">
            <w:pPr>
              <w:spacing w:line="256" w:lineRule="auto"/>
              <w:jc w:val="center"/>
              <w:rPr>
                <w:color w:val="000000"/>
                <w:sz w:val="24"/>
                <w:szCs w:val="24"/>
                <w:lang w:eastAsia="en-GB"/>
              </w:rPr>
            </w:pPr>
          </w:p>
        </w:tc>
        <w:tc>
          <w:tcPr>
            <w:tcW w:w="892" w:type="dxa"/>
            <w:tcBorders>
              <w:top w:val="nil"/>
              <w:left w:val="nil"/>
              <w:bottom w:val="single" w:sz="4" w:space="0" w:color="auto"/>
              <w:right w:val="single" w:sz="4" w:space="0" w:color="auto"/>
            </w:tcBorders>
            <w:noWrap/>
            <w:vAlign w:val="bottom"/>
          </w:tcPr>
          <w:p w:rsidR="00515A85" w:rsidRPr="00F23835" w:rsidRDefault="00515A85" w:rsidP="009B6BD9">
            <w:pPr>
              <w:spacing w:line="256" w:lineRule="auto"/>
              <w:jc w:val="center"/>
              <w:rPr>
                <w:color w:val="000000"/>
                <w:sz w:val="24"/>
                <w:szCs w:val="24"/>
                <w:lang w:eastAsia="en-GB"/>
              </w:rPr>
            </w:pPr>
          </w:p>
        </w:tc>
        <w:tc>
          <w:tcPr>
            <w:tcW w:w="1402" w:type="dxa"/>
            <w:tcBorders>
              <w:top w:val="nil"/>
              <w:left w:val="nil"/>
              <w:bottom w:val="single" w:sz="4" w:space="0" w:color="auto"/>
              <w:right w:val="single" w:sz="4" w:space="0" w:color="auto"/>
            </w:tcBorders>
            <w:noWrap/>
            <w:vAlign w:val="bottom"/>
          </w:tcPr>
          <w:p w:rsidR="00515A85" w:rsidRPr="00F23835" w:rsidRDefault="00515A85" w:rsidP="009B6BD9">
            <w:pPr>
              <w:spacing w:line="256" w:lineRule="auto"/>
              <w:jc w:val="center"/>
              <w:rPr>
                <w:color w:val="000000"/>
                <w:sz w:val="24"/>
                <w:szCs w:val="24"/>
                <w:lang w:eastAsia="en-GB"/>
              </w:rPr>
            </w:pPr>
          </w:p>
        </w:tc>
      </w:tr>
      <w:tr w:rsidR="00515A85" w:rsidRPr="00F23835" w:rsidTr="009B6BD9">
        <w:trPr>
          <w:trHeight w:val="300"/>
        </w:trPr>
        <w:tc>
          <w:tcPr>
            <w:tcW w:w="2127" w:type="dxa"/>
            <w:tcBorders>
              <w:top w:val="nil"/>
              <w:left w:val="single" w:sz="4" w:space="0" w:color="auto"/>
              <w:bottom w:val="single" w:sz="4" w:space="0" w:color="auto"/>
              <w:right w:val="single" w:sz="4" w:space="0" w:color="auto"/>
            </w:tcBorders>
            <w:noWrap/>
            <w:vAlign w:val="bottom"/>
            <w:hideMark/>
          </w:tcPr>
          <w:p w:rsidR="00515A85" w:rsidRPr="00F23835" w:rsidRDefault="00515A85" w:rsidP="009B6BD9">
            <w:pPr>
              <w:spacing w:line="256" w:lineRule="auto"/>
              <w:rPr>
                <w:bCs/>
                <w:i/>
                <w:color w:val="000000"/>
                <w:sz w:val="24"/>
                <w:szCs w:val="24"/>
                <w:lang w:eastAsia="en-GB"/>
              </w:rPr>
            </w:pPr>
            <w:r w:rsidRPr="00F23835">
              <w:rPr>
                <w:bCs/>
                <w:i/>
                <w:color w:val="000000"/>
                <w:sz w:val="24"/>
                <w:szCs w:val="24"/>
                <w:lang w:eastAsia="en-GB"/>
              </w:rPr>
              <w:t xml:space="preserve">Interim </w:t>
            </w:r>
          </w:p>
        </w:tc>
        <w:tc>
          <w:tcPr>
            <w:tcW w:w="1858"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color w:val="000000"/>
                <w:sz w:val="24"/>
                <w:szCs w:val="24"/>
                <w:lang w:eastAsia="en-GB"/>
              </w:rPr>
            </w:pPr>
            <w:r w:rsidRPr="00F23835">
              <w:rPr>
                <w:color w:val="000000"/>
                <w:spacing w:val="-1"/>
                <w:sz w:val="24"/>
                <w:szCs w:val="24"/>
                <w:lang w:eastAsia="en-GB"/>
              </w:rPr>
              <w:t>27,3 (16,0-32,1)</w:t>
            </w:r>
          </w:p>
        </w:tc>
        <w:tc>
          <w:tcPr>
            <w:tcW w:w="1701"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ind w:left="-108"/>
              <w:jc w:val="center"/>
              <w:rPr>
                <w:color w:val="000000"/>
                <w:sz w:val="24"/>
                <w:szCs w:val="24"/>
                <w:lang w:eastAsia="en-GB"/>
              </w:rPr>
            </w:pPr>
            <w:r w:rsidRPr="00F23835">
              <w:rPr>
                <w:color w:val="000000"/>
                <w:sz w:val="24"/>
                <w:szCs w:val="24"/>
                <w:lang w:eastAsia="en-GB"/>
              </w:rPr>
              <w:t>6,4 (4,4-10,0)</w:t>
            </w:r>
          </w:p>
        </w:tc>
        <w:tc>
          <w:tcPr>
            <w:tcW w:w="1701"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0,329 (0,233-0,466)</w:t>
            </w:r>
          </w:p>
        </w:tc>
        <w:tc>
          <w:tcPr>
            <w:tcW w:w="892"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&lt;0,001</w:t>
            </w:r>
          </w:p>
        </w:tc>
        <w:tc>
          <w:tcPr>
            <w:tcW w:w="1402"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w:t>
            </w:r>
          </w:p>
        </w:tc>
      </w:tr>
      <w:tr w:rsidR="00515A85" w:rsidRPr="00F23835" w:rsidTr="009B6BD9">
        <w:trPr>
          <w:trHeight w:val="300"/>
        </w:trPr>
        <w:tc>
          <w:tcPr>
            <w:tcW w:w="2127" w:type="dxa"/>
            <w:tcBorders>
              <w:top w:val="nil"/>
              <w:left w:val="single" w:sz="4" w:space="0" w:color="auto"/>
              <w:bottom w:val="single" w:sz="4" w:space="0" w:color="auto"/>
              <w:right w:val="single" w:sz="4" w:space="0" w:color="auto"/>
            </w:tcBorders>
            <w:noWrap/>
            <w:vAlign w:val="bottom"/>
            <w:hideMark/>
          </w:tcPr>
          <w:p w:rsidR="00515A85" w:rsidRPr="00F23835" w:rsidRDefault="00515A85" w:rsidP="009B6BD9">
            <w:pPr>
              <w:spacing w:line="256" w:lineRule="auto"/>
              <w:rPr>
                <w:bCs/>
                <w:i/>
                <w:color w:val="000000"/>
                <w:sz w:val="24"/>
                <w:szCs w:val="24"/>
                <w:lang w:eastAsia="en-GB"/>
              </w:rPr>
            </w:pPr>
            <w:r w:rsidRPr="00F23835">
              <w:rPr>
                <w:bCs/>
                <w:i/>
                <w:color w:val="000000"/>
                <w:spacing w:val="-1"/>
                <w:sz w:val="24"/>
                <w:szCs w:val="24"/>
                <w:lang w:eastAsia="en-GB"/>
              </w:rPr>
              <w:t xml:space="preserve">Slut </w:t>
            </w:r>
          </w:p>
        </w:tc>
        <w:tc>
          <w:tcPr>
            <w:tcW w:w="1858"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color w:val="000000"/>
                <w:sz w:val="24"/>
                <w:szCs w:val="24"/>
                <w:lang w:eastAsia="en-GB"/>
              </w:rPr>
            </w:pPr>
            <w:r w:rsidRPr="00F23835">
              <w:rPr>
                <w:color w:val="000000"/>
                <w:spacing w:val="-1"/>
                <w:sz w:val="24"/>
                <w:szCs w:val="24"/>
                <w:lang w:eastAsia="en-GB"/>
              </w:rPr>
              <w:t>26,6 (16,0-32,1)</w:t>
            </w:r>
          </w:p>
        </w:tc>
        <w:tc>
          <w:tcPr>
            <w:tcW w:w="1701"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ind w:hanging="108"/>
              <w:jc w:val="center"/>
              <w:rPr>
                <w:color w:val="000000"/>
                <w:sz w:val="24"/>
                <w:szCs w:val="24"/>
                <w:lang w:eastAsia="en-GB"/>
              </w:rPr>
            </w:pPr>
            <w:r w:rsidRPr="00F23835">
              <w:rPr>
                <w:color w:val="000000"/>
                <w:sz w:val="24"/>
                <w:szCs w:val="24"/>
                <w:lang w:eastAsia="en-GB"/>
              </w:rPr>
              <w:t>6,4 (4,4-10,</w:t>
            </w:r>
            <w:proofErr w:type="gramStart"/>
            <w:r w:rsidRPr="00F23835">
              <w:rPr>
                <w:color w:val="000000"/>
                <w:sz w:val="24"/>
                <w:szCs w:val="24"/>
                <w:lang w:eastAsia="en-GB"/>
              </w:rPr>
              <w:t>0 )</w:t>
            </w:r>
            <w:proofErr w:type="gramEnd"/>
          </w:p>
        </w:tc>
        <w:tc>
          <w:tcPr>
            <w:tcW w:w="1701"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0,339 (0,244-0,472)</w:t>
            </w:r>
          </w:p>
        </w:tc>
        <w:tc>
          <w:tcPr>
            <w:tcW w:w="892"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&lt;0,001</w:t>
            </w:r>
          </w:p>
        </w:tc>
        <w:tc>
          <w:tcPr>
            <w:tcW w:w="1402"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10,4 (4,3-22,0)</w:t>
            </w:r>
          </w:p>
        </w:tc>
      </w:tr>
      <w:tr w:rsidR="00515A85" w:rsidRPr="00F23835" w:rsidTr="009B6BD9">
        <w:trPr>
          <w:trHeight w:val="300"/>
        </w:trPr>
        <w:tc>
          <w:tcPr>
            <w:tcW w:w="2127" w:type="dxa"/>
            <w:tcBorders>
              <w:top w:val="nil"/>
              <w:left w:val="single" w:sz="4" w:space="0" w:color="auto"/>
              <w:bottom w:val="single" w:sz="4" w:space="0" w:color="auto"/>
              <w:right w:val="single" w:sz="4" w:space="0" w:color="auto"/>
            </w:tcBorders>
            <w:noWrap/>
            <w:vAlign w:val="bottom"/>
            <w:hideMark/>
          </w:tcPr>
          <w:p w:rsidR="00515A85" w:rsidRPr="00F23835" w:rsidRDefault="00515A85" w:rsidP="009B6BD9">
            <w:pPr>
              <w:spacing w:line="256" w:lineRule="auto"/>
              <w:rPr>
                <w:b/>
                <w:bCs/>
                <w:color w:val="000000"/>
                <w:sz w:val="24"/>
                <w:szCs w:val="24"/>
                <w:lang w:eastAsia="en-GB"/>
              </w:rPr>
            </w:pPr>
            <w:r w:rsidRPr="00F23835">
              <w:rPr>
                <w:b/>
                <w:bCs/>
                <w:color w:val="000000"/>
                <w:sz w:val="24"/>
                <w:szCs w:val="24"/>
                <w:lang w:eastAsia="en-GB"/>
              </w:rPr>
              <w:t>Sekundært</w:t>
            </w:r>
          </w:p>
        </w:tc>
        <w:tc>
          <w:tcPr>
            <w:tcW w:w="1858" w:type="dxa"/>
            <w:tcBorders>
              <w:top w:val="nil"/>
              <w:left w:val="nil"/>
              <w:bottom w:val="single" w:sz="4" w:space="0" w:color="auto"/>
              <w:right w:val="single" w:sz="4" w:space="0" w:color="auto"/>
            </w:tcBorders>
            <w:noWrap/>
            <w:vAlign w:val="bottom"/>
          </w:tcPr>
          <w:p w:rsidR="00515A85" w:rsidRPr="00F23835" w:rsidRDefault="00515A85" w:rsidP="009B6BD9">
            <w:pPr>
              <w:spacing w:line="256" w:lineRule="auto"/>
              <w:jc w:val="center"/>
              <w:rPr>
                <w:color w:val="000000"/>
                <w:sz w:val="24"/>
                <w:szCs w:val="24"/>
                <w:lang w:eastAsia="en-GB"/>
              </w:rPr>
            </w:pPr>
          </w:p>
        </w:tc>
        <w:tc>
          <w:tcPr>
            <w:tcW w:w="1701" w:type="dxa"/>
            <w:tcBorders>
              <w:top w:val="nil"/>
              <w:left w:val="nil"/>
              <w:bottom w:val="single" w:sz="4" w:space="0" w:color="auto"/>
              <w:right w:val="single" w:sz="4" w:space="0" w:color="auto"/>
            </w:tcBorders>
            <w:noWrap/>
            <w:vAlign w:val="bottom"/>
          </w:tcPr>
          <w:p w:rsidR="00515A85" w:rsidRPr="00F23835" w:rsidRDefault="00515A85" w:rsidP="009B6BD9">
            <w:pPr>
              <w:spacing w:line="256" w:lineRule="auto"/>
              <w:jc w:val="center"/>
              <w:rPr>
                <w:color w:val="000000"/>
                <w:sz w:val="24"/>
                <w:szCs w:val="24"/>
                <w:lang w:eastAsia="en-GB"/>
              </w:rPr>
            </w:pPr>
          </w:p>
        </w:tc>
        <w:tc>
          <w:tcPr>
            <w:tcW w:w="1701" w:type="dxa"/>
            <w:tcBorders>
              <w:top w:val="nil"/>
              <w:left w:val="nil"/>
              <w:bottom w:val="single" w:sz="4" w:space="0" w:color="auto"/>
              <w:right w:val="single" w:sz="4" w:space="0" w:color="auto"/>
            </w:tcBorders>
            <w:noWrap/>
            <w:vAlign w:val="bottom"/>
          </w:tcPr>
          <w:p w:rsidR="00515A85" w:rsidRPr="00F23835" w:rsidRDefault="00515A85" w:rsidP="009B6BD9">
            <w:pPr>
              <w:spacing w:line="256" w:lineRule="auto"/>
              <w:jc w:val="center"/>
              <w:rPr>
                <w:color w:val="000000"/>
                <w:sz w:val="24"/>
                <w:szCs w:val="24"/>
                <w:lang w:eastAsia="en-GB"/>
              </w:rPr>
            </w:pPr>
          </w:p>
        </w:tc>
        <w:tc>
          <w:tcPr>
            <w:tcW w:w="892" w:type="dxa"/>
            <w:tcBorders>
              <w:top w:val="nil"/>
              <w:left w:val="nil"/>
              <w:bottom w:val="single" w:sz="4" w:space="0" w:color="auto"/>
              <w:right w:val="single" w:sz="4" w:space="0" w:color="auto"/>
            </w:tcBorders>
            <w:noWrap/>
            <w:vAlign w:val="bottom"/>
          </w:tcPr>
          <w:p w:rsidR="00515A85" w:rsidRPr="00F23835" w:rsidRDefault="00515A85" w:rsidP="009B6BD9">
            <w:pPr>
              <w:spacing w:line="256" w:lineRule="auto"/>
              <w:jc w:val="center"/>
              <w:rPr>
                <w:color w:val="000000"/>
                <w:sz w:val="24"/>
                <w:szCs w:val="24"/>
                <w:lang w:eastAsia="en-GB"/>
              </w:rPr>
            </w:pPr>
          </w:p>
        </w:tc>
        <w:tc>
          <w:tcPr>
            <w:tcW w:w="1402" w:type="dxa"/>
            <w:tcBorders>
              <w:top w:val="nil"/>
              <w:left w:val="nil"/>
              <w:bottom w:val="single" w:sz="4" w:space="0" w:color="auto"/>
              <w:right w:val="single" w:sz="4" w:space="0" w:color="auto"/>
            </w:tcBorders>
            <w:noWrap/>
            <w:vAlign w:val="bottom"/>
          </w:tcPr>
          <w:p w:rsidR="00515A85" w:rsidRPr="00F23835" w:rsidRDefault="00515A85" w:rsidP="009B6BD9">
            <w:pPr>
              <w:spacing w:line="256" w:lineRule="auto"/>
              <w:jc w:val="center"/>
              <w:rPr>
                <w:color w:val="000000"/>
                <w:sz w:val="24"/>
                <w:szCs w:val="24"/>
                <w:lang w:eastAsia="en-GB"/>
              </w:rPr>
            </w:pPr>
          </w:p>
        </w:tc>
      </w:tr>
      <w:tr w:rsidR="00515A85" w:rsidRPr="00F23835" w:rsidTr="009B6BD9">
        <w:trPr>
          <w:trHeight w:val="300"/>
        </w:trPr>
        <w:tc>
          <w:tcPr>
            <w:tcW w:w="2127" w:type="dxa"/>
            <w:tcBorders>
              <w:top w:val="nil"/>
              <w:left w:val="single" w:sz="4" w:space="0" w:color="auto"/>
              <w:bottom w:val="single" w:sz="4" w:space="0" w:color="auto"/>
              <w:right w:val="single" w:sz="4" w:space="0" w:color="auto"/>
            </w:tcBorders>
            <w:noWrap/>
            <w:vAlign w:val="bottom"/>
            <w:hideMark/>
          </w:tcPr>
          <w:p w:rsidR="00515A85" w:rsidRPr="00F23835" w:rsidRDefault="00515A85" w:rsidP="009B6BD9">
            <w:pPr>
              <w:spacing w:line="256" w:lineRule="auto"/>
              <w:rPr>
                <w:bCs/>
                <w:color w:val="000000"/>
                <w:sz w:val="24"/>
                <w:szCs w:val="24"/>
                <w:lang w:eastAsia="en-GB"/>
              </w:rPr>
            </w:pPr>
            <w:r w:rsidRPr="00F23835">
              <w:rPr>
                <w:bCs/>
                <w:color w:val="000000"/>
                <w:sz w:val="24"/>
                <w:szCs w:val="24"/>
                <w:lang w:eastAsia="en-GB"/>
              </w:rPr>
              <w:t>PFS (uger)</w:t>
            </w:r>
            <w:r w:rsidRPr="00F23835">
              <w:rPr>
                <w:bCs/>
                <w:color w:val="000000"/>
                <w:sz w:val="24"/>
                <w:szCs w:val="24"/>
                <w:vertAlign w:val="superscript"/>
                <w:lang w:eastAsia="en-GB"/>
              </w:rPr>
              <w:t>c</w:t>
            </w:r>
          </w:p>
        </w:tc>
        <w:tc>
          <w:tcPr>
            <w:tcW w:w="1858" w:type="dxa"/>
            <w:tcBorders>
              <w:top w:val="nil"/>
              <w:left w:val="nil"/>
              <w:bottom w:val="single" w:sz="4" w:space="0" w:color="auto"/>
              <w:right w:val="single" w:sz="4" w:space="0" w:color="auto"/>
            </w:tcBorders>
            <w:noWrap/>
            <w:vAlign w:val="bottom"/>
          </w:tcPr>
          <w:p w:rsidR="00515A85" w:rsidRPr="00F23835" w:rsidRDefault="00515A85" w:rsidP="009B6BD9">
            <w:pPr>
              <w:spacing w:line="256" w:lineRule="auto"/>
              <w:jc w:val="center"/>
              <w:rPr>
                <w:color w:val="000000"/>
                <w:sz w:val="24"/>
                <w:szCs w:val="24"/>
                <w:lang w:eastAsia="en-GB"/>
              </w:rPr>
            </w:pPr>
          </w:p>
        </w:tc>
        <w:tc>
          <w:tcPr>
            <w:tcW w:w="1701" w:type="dxa"/>
            <w:tcBorders>
              <w:top w:val="nil"/>
              <w:left w:val="nil"/>
              <w:bottom w:val="single" w:sz="4" w:space="0" w:color="auto"/>
              <w:right w:val="single" w:sz="4" w:space="0" w:color="auto"/>
            </w:tcBorders>
            <w:noWrap/>
            <w:vAlign w:val="bottom"/>
          </w:tcPr>
          <w:p w:rsidR="00515A85" w:rsidRPr="00F23835" w:rsidRDefault="00515A85" w:rsidP="009B6BD9">
            <w:pPr>
              <w:spacing w:line="256" w:lineRule="auto"/>
              <w:jc w:val="center"/>
              <w:rPr>
                <w:color w:val="000000"/>
                <w:sz w:val="24"/>
                <w:szCs w:val="24"/>
                <w:lang w:eastAsia="en-GB"/>
              </w:rPr>
            </w:pPr>
          </w:p>
        </w:tc>
        <w:tc>
          <w:tcPr>
            <w:tcW w:w="1701" w:type="dxa"/>
            <w:tcBorders>
              <w:top w:val="nil"/>
              <w:left w:val="nil"/>
              <w:bottom w:val="single" w:sz="4" w:space="0" w:color="auto"/>
              <w:right w:val="single" w:sz="4" w:space="0" w:color="auto"/>
            </w:tcBorders>
            <w:noWrap/>
            <w:vAlign w:val="bottom"/>
          </w:tcPr>
          <w:p w:rsidR="00515A85" w:rsidRPr="00F23835" w:rsidRDefault="00515A85" w:rsidP="009B6BD9">
            <w:pPr>
              <w:spacing w:line="256" w:lineRule="auto"/>
              <w:jc w:val="center"/>
              <w:rPr>
                <w:color w:val="000000"/>
                <w:sz w:val="24"/>
                <w:szCs w:val="24"/>
                <w:lang w:eastAsia="en-GB"/>
              </w:rPr>
            </w:pPr>
          </w:p>
        </w:tc>
        <w:tc>
          <w:tcPr>
            <w:tcW w:w="892" w:type="dxa"/>
            <w:tcBorders>
              <w:top w:val="nil"/>
              <w:left w:val="nil"/>
              <w:bottom w:val="single" w:sz="4" w:space="0" w:color="auto"/>
              <w:right w:val="single" w:sz="4" w:space="0" w:color="auto"/>
            </w:tcBorders>
            <w:noWrap/>
            <w:vAlign w:val="bottom"/>
          </w:tcPr>
          <w:p w:rsidR="00515A85" w:rsidRPr="00F23835" w:rsidRDefault="00515A85" w:rsidP="009B6BD9">
            <w:pPr>
              <w:spacing w:line="256" w:lineRule="auto"/>
              <w:jc w:val="center"/>
              <w:rPr>
                <w:color w:val="000000"/>
                <w:sz w:val="24"/>
                <w:szCs w:val="24"/>
                <w:lang w:eastAsia="en-GB"/>
              </w:rPr>
            </w:pPr>
          </w:p>
        </w:tc>
        <w:tc>
          <w:tcPr>
            <w:tcW w:w="1402" w:type="dxa"/>
            <w:tcBorders>
              <w:top w:val="nil"/>
              <w:left w:val="nil"/>
              <w:bottom w:val="single" w:sz="4" w:space="0" w:color="auto"/>
              <w:right w:val="single" w:sz="4" w:space="0" w:color="auto"/>
            </w:tcBorders>
            <w:noWrap/>
            <w:vAlign w:val="bottom"/>
          </w:tcPr>
          <w:p w:rsidR="00515A85" w:rsidRPr="00F23835" w:rsidRDefault="00515A85" w:rsidP="009B6BD9">
            <w:pPr>
              <w:spacing w:line="256" w:lineRule="auto"/>
              <w:jc w:val="center"/>
              <w:rPr>
                <w:color w:val="000000"/>
                <w:sz w:val="24"/>
                <w:szCs w:val="24"/>
                <w:lang w:eastAsia="en-GB"/>
              </w:rPr>
            </w:pPr>
          </w:p>
        </w:tc>
      </w:tr>
      <w:tr w:rsidR="00515A85" w:rsidRPr="00F23835" w:rsidTr="009B6BD9">
        <w:trPr>
          <w:trHeight w:val="300"/>
        </w:trPr>
        <w:tc>
          <w:tcPr>
            <w:tcW w:w="2127" w:type="dxa"/>
            <w:tcBorders>
              <w:top w:val="nil"/>
              <w:left w:val="single" w:sz="4" w:space="0" w:color="auto"/>
              <w:bottom w:val="single" w:sz="4" w:space="0" w:color="auto"/>
              <w:right w:val="single" w:sz="4" w:space="0" w:color="auto"/>
            </w:tcBorders>
            <w:noWrap/>
            <w:vAlign w:val="bottom"/>
            <w:hideMark/>
          </w:tcPr>
          <w:p w:rsidR="00515A85" w:rsidRPr="00F23835" w:rsidRDefault="00515A85" w:rsidP="009B6BD9">
            <w:pPr>
              <w:spacing w:line="256" w:lineRule="auto"/>
              <w:rPr>
                <w:bCs/>
                <w:i/>
                <w:color w:val="000000"/>
                <w:sz w:val="24"/>
                <w:szCs w:val="24"/>
                <w:lang w:eastAsia="en-GB"/>
              </w:rPr>
            </w:pPr>
            <w:r w:rsidRPr="00F23835">
              <w:rPr>
                <w:bCs/>
                <w:i/>
                <w:color w:val="000000"/>
                <w:sz w:val="24"/>
                <w:szCs w:val="24"/>
                <w:lang w:eastAsia="en-GB"/>
              </w:rPr>
              <w:t xml:space="preserve">Interim </w:t>
            </w:r>
          </w:p>
        </w:tc>
        <w:tc>
          <w:tcPr>
            <w:tcW w:w="1858"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24,1 (11,1-28,3)</w:t>
            </w:r>
          </w:p>
        </w:tc>
        <w:tc>
          <w:tcPr>
            <w:tcW w:w="1701"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6,0 (4,4-9,9)</w:t>
            </w:r>
          </w:p>
        </w:tc>
        <w:tc>
          <w:tcPr>
            <w:tcW w:w="1701"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0,333 (0,238-0,467)</w:t>
            </w:r>
          </w:p>
        </w:tc>
        <w:tc>
          <w:tcPr>
            <w:tcW w:w="892"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&lt;0,001</w:t>
            </w:r>
          </w:p>
        </w:tc>
        <w:tc>
          <w:tcPr>
            <w:tcW w:w="1402"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w:t>
            </w:r>
          </w:p>
        </w:tc>
      </w:tr>
      <w:tr w:rsidR="00515A85" w:rsidRPr="00F23835" w:rsidTr="009B6BD9">
        <w:trPr>
          <w:trHeight w:val="300"/>
        </w:trPr>
        <w:tc>
          <w:tcPr>
            <w:tcW w:w="2127" w:type="dxa"/>
            <w:tcBorders>
              <w:top w:val="nil"/>
              <w:left w:val="single" w:sz="4" w:space="0" w:color="auto"/>
              <w:bottom w:val="single" w:sz="4" w:space="0" w:color="auto"/>
              <w:right w:val="single" w:sz="4" w:space="0" w:color="auto"/>
            </w:tcBorders>
            <w:noWrap/>
            <w:vAlign w:val="bottom"/>
            <w:hideMark/>
          </w:tcPr>
          <w:p w:rsidR="00515A85" w:rsidRPr="00F23835" w:rsidRDefault="00515A85" w:rsidP="009B6BD9">
            <w:pPr>
              <w:spacing w:line="256" w:lineRule="auto"/>
              <w:rPr>
                <w:bCs/>
                <w:i/>
                <w:color w:val="000000"/>
                <w:sz w:val="24"/>
                <w:szCs w:val="24"/>
                <w:lang w:eastAsia="en-GB"/>
              </w:rPr>
            </w:pPr>
            <w:r w:rsidRPr="00F23835">
              <w:rPr>
                <w:bCs/>
                <w:i/>
                <w:color w:val="000000"/>
                <w:spacing w:val="-1"/>
                <w:sz w:val="24"/>
                <w:szCs w:val="24"/>
                <w:lang w:eastAsia="en-GB"/>
              </w:rPr>
              <w:t xml:space="preserve">Slut </w:t>
            </w:r>
          </w:p>
        </w:tc>
        <w:tc>
          <w:tcPr>
            <w:tcW w:w="1858"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color w:val="000000"/>
                <w:sz w:val="24"/>
                <w:szCs w:val="24"/>
                <w:lang w:eastAsia="en-GB"/>
              </w:rPr>
            </w:pPr>
            <w:r w:rsidRPr="00F23835">
              <w:rPr>
                <w:color w:val="000000"/>
                <w:spacing w:val="-1"/>
                <w:sz w:val="24"/>
                <w:szCs w:val="24"/>
                <w:lang w:eastAsia="en-GB"/>
              </w:rPr>
              <w:t>22,9 (10,9-28,0)</w:t>
            </w:r>
          </w:p>
        </w:tc>
        <w:tc>
          <w:tcPr>
            <w:tcW w:w="1701"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6,0 (4,4-9,7)</w:t>
            </w:r>
          </w:p>
        </w:tc>
        <w:tc>
          <w:tcPr>
            <w:tcW w:w="1701"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0,347 (0,253-0,475)</w:t>
            </w:r>
          </w:p>
        </w:tc>
        <w:tc>
          <w:tcPr>
            <w:tcW w:w="892"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&lt;0,001</w:t>
            </w:r>
          </w:p>
        </w:tc>
        <w:tc>
          <w:tcPr>
            <w:tcW w:w="1402"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w:t>
            </w:r>
          </w:p>
        </w:tc>
      </w:tr>
      <w:tr w:rsidR="00515A85" w:rsidRPr="00F23835" w:rsidTr="009B6BD9">
        <w:trPr>
          <w:trHeight w:val="300"/>
        </w:trPr>
        <w:tc>
          <w:tcPr>
            <w:tcW w:w="2127" w:type="dxa"/>
            <w:tcBorders>
              <w:top w:val="nil"/>
              <w:left w:val="single" w:sz="4" w:space="0" w:color="auto"/>
              <w:bottom w:val="single" w:sz="4" w:space="0" w:color="auto"/>
              <w:right w:val="single" w:sz="4" w:space="0" w:color="auto"/>
            </w:tcBorders>
            <w:noWrap/>
            <w:vAlign w:val="bottom"/>
            <w:hideMark/>
          </w:tcPr>
          <w:p w:rsidR="00515A85" w:rsidRPr="00F23835" w:rsidRDefault="00515A85" w:rsidP="009B6BD9">
            <w:pPr>
              <w:spacing w:line="256" w:lineRule="auto"/>
              <w:rPr>
                <w:bCs/>
                <w:color w:val="000000"/>
                <w:sz w:val="24"/>
                <w:szCs w:val="24"/>
                <w:lang w:eastAsia="en-GB"/>
              </w:rPr>
            </w:pPr>
            <w:r w:rsidRPr="00F23835">
              <w:rPr>
                <w:bCs/>
                <w:color w:val="000000"/>
                <w:sz w:val="24"/>
                <w:szCs w:val="24"/>
                <w:lang w:eastAsia="en-GB"/>
              </w:rPr>
              <w:t>ORR (</w:t>
            </w:r>
            <w:proofErr w:type="gramStart"/>
            <w:r w:rsidRPr="00F23835">
              <w:rPr>
                <w:bCs/>
                <w:color w:val="000000"/>
                <w:sz w:val="24"/>
                <w:szCs w:val="24"/>
                <w:lang w:eastAsia="en-GB"/>
              </w:rPr>
              <w:t>%)</w:t>
            </w:r>
            <w:r w:rsidRPr="00F23835">
              <w:rPr>
                <w:bCs/>
                <w:color w:val="000000"/>
                <w:sz w:val="24"/>
                <w:szCs w:val="24"/>
                <w:vertAlign w:val="superscript"/>
                <w:lang w:eastAsia="en-GB"/>
              </w:rPr>
              <w:t>d</w:t>
            </w:r>
            <w:proofErr w:type="gramEnd"/>
          </w:p>
        </w:tc>
        <w:tc>
          <w:tcPr>
            <w:tcW w:w="1858" w:type="dxa"/>
            <w:tcBorders>
              <w:top w:val="nil"/>
              <w:left w:val="nil"/>
              <w:bottom w:val="single" w:sz="4" w:space="0" w:color="auto"/>
              <w:right w:val="single" w:sz="4" w:space="0" w:color="auto"/>
            </w:tcBorders>
            <w:noWrap/>
            <w:vAlign w:val="bottom"/>
          </w:tcPr>
          <w:p w:rsidR="00515A85" w:rsidRPr="00F23835" w:rsidRDefault="00515A85" w:rsidP="009B6BD9">
            <w:pPr>
              <w:spacing w:line="256" w:lineRule="auto"/>
              <w:jc w:val="center"/>
              <w:rPr>
                <w:color w:val="000000"/>
                <w:sz w:val="24"/>
                <w:szCs w:val="24"/>
                <w:lang w:eastAsia="en-GB"/>
              </w:rPr>
            </w:pPr>
          </w:p>
        </w:tc>
        <w:tc>
          <w:tcPr>
            <w:tcW w:w="1701" w:type="dxa"/>
            <w:tcBorders>
              <w:top w:val="nil"/>
              <w:left w:val="nil"/>
              <w:bottom w:val="single" w:sz="4" w:space="0" w:color="auto"/>
              <w:right w:val="single" w:sz="4" w:space="0" w:color="auto"/>
            </w:tcBorders>
            <w:noWrap/>
            <w:vAlign w:val="bottom"/>
          </w:tcPr>
          <w:p w:rsidR="00515A85" w:rsidRPr="00F23835" w:rsidRDefault="00515A85" w:rsidP="009B6BD9">
            <w:pPr>
              <w:spacing w:line="256" w:lineRule="auto"/>
              <w:jc w:val="center"/>
              <w:rPr>
                <w:color w:val="000000"/>
                <w:sz w:val="24"/>
                <w:szCs w:val="24"/>
                <w:lang w:eastAsia="en-GB"/>
              </w:rPr>
            </w:pPr>
          </w:p>
        </w:tc>
        <w:tc>
          <w:tcPr>
            <w:tcW w:w="1701" w:type="dxa"/>
            <w:tcBorders>
              <w:top w:val="nil"/>
              <w:left w:val="nil"/>
              <w:bottom w:val="single" w:sz="4" w:space="0" w:color="auto"/>
              <w:right w:val="single" w:sz="4" w:space="0" w:color="auto"/>
            </w:tcBorders>
            <w:noWrap/>
            <w:vAlign w:val="bottom"/>
          </w:tcPr>
          <w:p w:rsidR="00515A85" w:rsidRPr="00F23835" w:rsidRDefault="00515A85" w:rsidP="009B6BD9">
            <w:pPr>
              <w:spacing w:line="256" w:lineRule="auto"/>
              <w:jc w:val="center"/>
              <w:rPr>
                <w:color w:val="000000"/>
                <w:sz w:val="24"/>
                <w:szCs w:val="24"/>
                <w:lang w:eastAsia="en-GB"/>
              </w:rPr>
            </w:pPr>
          </w:p>
        </w:tc>
        <w:tc>
          <w:tcPr>
            <w:tcW w:w="892" w:type="dxa"/>
            <w:tcBorders>
              <w:top w:val="nil"/>
              <w:left w:val="nil"/>
              <w:bottom w:val="single" w:sz="4" w:space="0" w:color="auto"/>
              <w:right w:val="single" w:sz="4" w:space="0" w:color="auto"/>
            </w:tcBorders>
            <w:noWrap/>
            <w:vAlign w:val="bottom"/>
          </w:tcPr>
          <w:p w:rsidR="00515A85" w:rsidRPr="00F23835" w:rsidRDefault="00515A85" w:rsidP="009B6BD9">
            <w:pPr>
              <w:spacing w:line="256" w:lineRule="auto"/>
              <w:jc w:val="center"/>
              <w:rPr>
                <w:color w:val="000000"/>
                <w:sz w:val="24"/>
                <w:szCs w:val="24"/>
                <w:lang w:eastAsia="en-GB"/>
              </w:rPr>
            </w:pPr>
          </w:p>
        </w:tc>
        <w:tc>
          <w:tcPr>
            <w:tcW w:w="1402" w:type="dxa"/>
            <w:tcBorders>
              <w:top w:val="nil"/>
              <w:left w:val="nil"/>
              <w:bottom w:val="single" w:sz="4" w:space="0" w:color="auto"/>
              <w:right w:val="single" w:sz="4" w:space="0" w:color="auto"/>
            </w:tcBorders>
            <w:noWrap/>
            <w:vAlign w:val="bottom"/>
          </w:tcPr>
          <w:p w:rsidR="00515A85" w:rsidRPr="00F23835" w:rsidRDefault="00515A85" w:rsidP="009B6BD9">
            <w:pPr>
              <w:spacing w:line="256" w:lineRule="auto"/>
              <w:jc w:val="center"/>
              <w:rPr>
                <w:color w:val="000000"/>
                <w:sz w:val="24"/>
                <w:szCs w:val="24"/>
                <w:lang w:eastAsia="en-GB"/>
              </w:rPr>
            </w:pPr>
          </w:p>
        </w:tc>
      </w:tr>
      <w:tr w:rsidR="00515A85" w:rsidRPr="00F23835" w:rsidTr="009B6BD9">
        <w:trPr>
          <w:trHeight w:val="300"/>
        </w:trPr>
        <w:tc>
          <w:tcPr>
            <w:tcW w:w="2127" w:type="dxa"/>
            <w:tcBorders>
              <w:top w:val="nil"/>
              <w:left w:val="single" w:sz="4" w:space="0" w:color="auto"/>
              <w:bottom w:val="single" w:sz="4" w:space="0" w:color="auto"/>
              <w:right w:val="single" w:sz="4" w:space="0" w:color="auto"/>
            </w:tcBorders>
            <w:noWrap/>
            <w:vAlign w:val="bottom"/>
            <w:hideMark/>
          </w:tcPr>
          <w:p w:rsidR="00515A85" w:rsidRPr="00F23835" w:rsidRDefault="00515A85" w:rsidP="009B6BD9">
            <w:pPr>
              <w:spacing w:line="256" w:lineRule="auto"/>
              <w:rPr>
                <w:bCs/>
                <w:i/>
                <w:color w:val="000000"/>
                <w:sz w:val="24"/>
                <w:szCs w:val="24"/>
                <w:lang w:eastAsia="en-GB"/>
              </w:rPr>
            </w:pPr>
            <w:r w:rsidRPr="00F23835">
              <w:rPr>
                <w:bCs/>
                <w:i/>
                <w:color w:val="000000"/>
                <w:w w:val="103"/>
                <w:sz w:val="24"/>
                <w:szCs w:val="24"/>
                <w:lang w:eastAsia="en-GB"/>
              </w:rPr>
              <w:t xml:space="preserve">Interim </w:t>
            </w:r>
          </w:p>
        </w:tc>
        <w:tc>
          <w:tcPr>
            <w:tcW w:w="1858"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6,8 (3,7-11,1)</w:t>
            </w:r>
          </w:p>
        </w:tc>
        <w:tc>
          <w:tcPr>
            <w:tcW w:w="1701"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0 (-)</w:t>
            </w:r>
          </w:p>
        </w:tc>
        <w:tc>
          <w:tcPr>
            <w:tcW w:w="1701"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NA</w:t>
            </w:r>
          </w:p>
        </w:tc>
        <w:tc>
          <w:tcPr>
            <w:tcW w:w="892"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0,006</w:t>
            </w:r>
          </w:p>
        </w:tc>
        <w:tc>
          <w:tcPr>
            <w:tcW w:w="1402"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w:t>
            </w:r>
          </w:p>
        </w:tc>
      </w:tr>
      <w:tr w:rsidR="00515A85" w:rsidRPr="00F23835" w:rsidTr="009B6BD9">
        <w:trPr>
          <w:trHeight w:val="300"/>
        </w:trPr>
        <w:tc>
          <w:tcPr>
            <w:tcW w:w="2127" w:type="dxa"/>
            <w:tcBorders>
              <w:top w:val="nil"/>
              <w:left w:val="single" w:sz="4" w:space="0" w:color="auto"/>
              <w:bottom w:val="single" w:sz="4" w:space="0" w:color="auto"/>
              <w:right w:val="single" w:sz="4" w:space="0" w:color="auto"/>
            </w:tcBorders>
            <w:noWrap/>
            <w:vAlign w:val="bottom"/>
            <w:hideMark/>
          </w:tcPr>
          <w:p w:rsidR="00515A85" w:rsidRPr="00F23835" w:rsidRDefault="00515A85" w:rsidP="009B6BD9">
            <w:pPr>
              <w:spacing w:line="256" w:lineRule="auto"/>
              <w:rPr>
                <w:bCs/>
                <w:i/>
                <w:color w:val="000000"/>
                <w:sz w:val="24"/>
                <w:szCs w:val="24"/>
                <w:lang w:eastAsia="en-GB"/>
              </w:rPr>
            </w:pPr>
            <w:r w:rsidRPr="00F23835">
              <w:rPr>
                <w:bCs/>
                <w:i/>
                <w:color w:val="000000"/>
                <w:sz w:val="24"/>
                <w:szCs w:val="24"/>
                <w:lang w:eastAsia="en-GB"/>
              </w:rPr>
              <w:t xml:space="preserve">Slut </w:t>
            </w:r>
          </w:p>
        </w:tc>
        <w:tc>
          <w:tcPr>
            <w:tcW w:w="1858"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6,6 (3,8-10,5)</w:t>
            </w:r>
          </w:p>
        </w:tc>
        <w:tc>
          <w:tcPr>
            <w:tcW w:w="1701"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0 (-)</w:t>
            </w:r>
          </w:p>
        </w:tc>
        <w:tc>
          <w:tcPr>
            <w:tcW w:w="1701"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NA</w:t>
            </w:r>
          </w:p>
        </w:tc>
        <w:tc>
          <w:tcPr>
            <w:tcW w:w="892"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0,004</w:t>
            </w:r>
          </w:p>
        </w:tc>
        <w:tc>
          <w:tcPr>
            <w:tcW w:w="1402"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10,1 (5,0-17,8)</w:t>
            </w:r>
          </w:p>
        </w:tc>
      </w:tr>
      <w:tr w:rsidR="00515A85" w:rsidRPr="00F23835" w:rsidTr="009B6BD9">
        <w:trPr>
          <w:trHeight w:val="300"/>
        </w:trPr>
        <w:tc>
          <w:tcPr>
            <w:tcW w:w="2127" w:type="dxa"/>
            <w:tcBorders>
              <w:top w:val="nil"/>
              <w:left w:val="single" w:sz="4" w:space="0" w:color="auto"/>
              <w:bottom w:val="single" w:sz="4" w:space="0" w:color="auto"/>
              <w:right w:val="single" w:sz="4" w:space="0" w:color="auto"/>
            </w:tcBorders>
            <w:noWrap/>
            <w:vAlign w:val="bottom"/>
            <w:hideMark/>
          </w:tcPr>
          <w:p w:rsidR="00515A85" w:rsidRPr="00F23835" w:rsidRDefault="00515A85" w:rsidP="009B6BD9">
            <w:pPr>
              <w:spacing w:line="256" w:lineRule="auto"/>
              <w:rPr>
                <w:bCs/>
                <w:color w:val="000000"/>
                <w:sz w:val="24"/>
                <w:szCs w:val="24"/>
                <w:lang w:eastAsia="en-GB"/>
              </w:rPr>
            </w:pPr>
            <w:r w:rsidRPr="00F23835">
              <w:rPr>
                <w:bCs/>
                <w:color w:val="000000"/>
                <w:sz w:val="24"/>
                <w:szCs w:val="24"/>
                <w:lang w:eastAsia="en-GB"/>
              </w:rPr>
              <w:t>OS (uger)</w:t>
            </w:r>
            <w:r w:rsidRPr="00F23835">
              <w:rPr>
                <w:bCs/>
                <w:color w:val="000000"/>
                <w:sz w:val="24"/>
                <w:szCs w:val="24"/>
                <w:vertAlign w:val="superscript"/>
                <w:lang w:eastAsia="en-GB"/>
              </w:rPr>
              <w:t>e</w:t>
            </w:r>
          </w:p>
        </w:tc>
        <w:tc>
          <w:tcPr>
            <w:tcW w:w="1858" w:type="dxa"/>
            <w:tcBorders>
              <w:top w:val="nil"/>
              <w:left w:val="nil"/>
              <w:bottom w:val="single" w:sz="4" w:space="0" w:color="auto"/>
              <w:right w:val="single" w:sz="4" w:space="0" w:color="auto"/>
            </w:tcBorders>
            <w:noWrap/>
            <w:vAlign w:val="bottom"/>
          </w:tcPr>
          <w:p w:rsidR="00515A85" w:rsidRPr="00F23835" w:rsidRDefault="00515A85" w:rsidP="009B6BD9">
            <w:pPr>
              <w:spacing w:line="256" w:lineRule="auto"/>
              <w:jc w:val="center"/>
              <w:rPr>
                <w:color w:val="000000"/>
                <w:sz w:val="24"/>
                <w:szCs w:val="24"/>
                <w:lang w:eastAsia="en-GB"/>
              </w:rPr>
            </w:pPr>
          </w:p>
        </w:tc>
        <w:tc>
          <w:tcPr>
            <w:tcW w:w="1701" w:type="dxa"/>
            <w:tcBorders>
              <w:top w:val="nil"/>
              <w:left w:val="nil"/>
              <w:bottom w:val="single" w:sz="4" w:space="0" w:color="auto"/>
              <w:right w:val="single" w:sz="4" w:space="0" w:color="auto"/>
            </w:tcBorders>
            <w:noWrap/>
            <w:vAlign w:val="bottom"/>
          </w:tcPr>
          <w:p w:rsidR="00515A85" w:rsidRPr="00F23835" w:rsidRDefault="00515A85" w:rsidP="009B6BD9">
            <w:pPr>
              <w:spacing w:line="256" w:lineRule="auto"/>
              <w:jc w:val="center"/>
              <w:rPr>
                <w:color w:val="000000"/>
                <w:sz w:val="24"/>
                <w:szCs w:val="24"/>
                <w:lang w:eastAsia="en-GB"/>
              </w:rPr>
            </w:pPr>
          </w:p>
        </w:tc>
        <w:tc>
          <w:tcPr>
            <w:tcW w:w="1701" w:type="dxa"/>
            <w:tcBorders>
              <w:top w:val="nil"/>
              <w:left w:val="nil"/>
              <w:bottom w:val="single" w:sz="4" w:space="0" w:color="auto"/>
              <w:right w:val="single" w:sz="4" w:space="0" w:color="auto"/>
            </w:tcBorders>
            <w:noWrap/>
            <w:vAlign w:val="bottom"/>
          </w:tcPr>
          <w:p w:rsidR="00515A85" w:rsidRPr="00F23835" w:rsidRDefault="00515A85" w:rsidP="009B6BD9">
            <w:pPr>
              <w:spacing w:line="256" w:lineRule="auto"/>
              <w:jc w:val="center"/>
              <w:rPr>
                <w:color w:val="000000"/>
                <w:sz w:val="24"/>
                <w:szCs w:val="24"/>
                <w:lang w:eastAsia="en-GB"/>
              </w:rPr>
            </w:pPr>
          </w:p>
        </w:tc>
        <w:tc>
          <w:tcPr>
            <w:tcW w:w="892" w:type="dxa"/>
            <w:tcBorders>
              <w:top w:val="nil"/>
              <w:left w:val="nil"/>
              <w:bottom w:val="single" w:sz="4" w:space="0" w:color="auto"/>
              <w:right w:val="single" w:sz="4" w:space="0" w:color="auto"/>
            </w:tcBorders>
            <w:noWrap/>
            <w:vAlign w:val="bottom"/>
          </w:tcPr>
          <w:p w:rsidR="00515A85" w:rsidRPr="00F23835" w:rsidRDefault="00515A85" w:rsidP="009B6BD9">
            <w:pPr>
              <w:spacing w:line="256" w:lineRule="auto"/>
              <w:jc w:val="center"/>
              <w:rPr>
                <w:color w:val="000000"/>
                <w:sz w:val="24"/>
                <w:szCs w:val="24"/>
                <w:lang w:eastAsia="en-GB"/>
              </w:rPr>
            </w:pPr>
          </w:p>
        </w:tc>
        <w:tc>
          <w:tcPr>
            <w:tcW w:w="1402" w:type="dxa"/>
            <w:tcBorders>
              <w:top w:val="nil"/>
              <w:left w:val="nil"/>
              <w:bottom w:val="single" w:sz="4" w:space="0" w:color="auto"/>
              <w:right w:val="single" w:sz="4" w:space="0" w:color="auto"/>
            </w:tcBorders>
            <w:noWrap/>
            <w:vAlign w:val="bottom"/>
          </w:tcPr>
          <w:p w:rsidR="00515A85" w:rsidRPr="00F23835" w:rsidRDefault="00515A85" w:rsidP="009B6BD9">
            <w:pPr>
              <w:spacing w:line="256" w:lineRule="auto"/>
              <w:jc w:val="center"/>
              <w:rPr>
                <w:color w:val="000000"/>
                <w:sz w:val="24"/>
                <w:szCs w:val="24"/>
                <w:lang w:eastAsia="en-GB"/>
              </w:rPr>
            </w:pPr>
          </w:p>
        </w:tc>
      </w:tr>
      <w:tr w:rsidR="00515A85" w:rsidRPr="00F23835" w:rsidTr="009B6BD9">
        <w:trPr>
          <w:trHeight w:val="300"/>
        </w:trPr>
        <w:tc>
          <w:tcPr>
            <w:tcW w:w="2127" w:type="dxa"/>
            <w:tcBorders>
              <w:top w:val="nil"/>
              <w:left w:val="single" w:sz="4" w:space="0" w:color="auto"/>
              <w:bottom w:val="single" w:sz="4" w:space="0" w:color="auto"/>
              <w:right w:val="single" w:sz="4" w:space="0" w:color="auto"/>
            </w:tcBorders>
            <w:noWrap/>
            <w:vAlign w:val="bottom"/>
            <w:hideMark/>
          </w:tcPr>
          <w:p w:rsidR="00515A85" w:rsidRPr="00F23835" w:rsidRDefault="00515A85" w:rsidP="009B6BD9">
            <w:pPr>
              <w:spacing w:line="256" w:lineRule="auto"/>
              <w:rPr>
                <w:bCs/>
                <w:i/>
                <w:color w:val="000000"/>
                <w:sz w:val="24"/>
                <w:szCs w:val="24"/>
                <w:lang w:eastAsia="en-GB"/>
              </w:rPr>
            </w:pPr>
            <w:r w:rsidRPr="00F23835">
              <w:rPr>
                <w:bCs/>
                <w:i/>
                <w:color w:val="000000"/>
                <w:sz w:val="24"/>
                <w:szCs w:val="24"/>
                <w:lang w:eastAsia="en-GB"/>
              </w:rPr>
              <w:t xml:space="preserve">Interim </w:t>
            </w:r>
          </w:p>
        </w:tc>
        <w:tc>
          <w:tcPr>
            <w:tcW w:w="1858"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w:t>
            </w:r>
          </w:p>
        </w:tc>
        <w:tc>
          <w:tcPr>
            <w:tcW w:w="1701"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w:t>
            </w:r>
          </w:p>
        </w:tc>
        <w:tc>
          <w:tcPr>
            <w:tcW w:w="1701"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0,491 (0,290-0,831)</w:t>
            </w:r>
          </w:p>
        </w:tc>
        <w:tc>
          <w:tcPr>
            <w:tcW w:w="892"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0,007</w:t>
            </w:r>
          </w:p>
        </w:tc>
        <w:tc>
          <w:tcPr>
            <w:tcW w:w="1402"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w:t>
            </w:r>
          </w:p>
        </w:tc>
      </w:tr>
      <w:tr w:rsidR="00515A85" w:rsidRPr="00F23835" w:rsidTr="009B6BD9">
        <w:trPr>
          <w:trHeight w:val="300"/>
        </w:trPr>
        <w:tc>
          <w:tcPr>
            <w:tcW w:w="2127" w:type="dxa"/>
            <w:tcBorders>
              <w:top w:val="nil"/>
              <w:left w:val="single" w:sz="4" w:space="0" w:color="auto"/>
              <w:bottom w:val="single" w:sz="4" w:space="0" w:color="auto"/>
              <w:right w:val="single" w:sz="4" w:space="0" w:color="auto"/>
            </w:tcBorders>
            <w:noWrap/>
            <w:vAlign w:val="bottom"/>
            <w:hideMark/>
          </w:tcPr>
          <w:p w:rsidR="00515A85" w:rsidRPr="00F23835" w:rsidRDefault="00515A85" w:rsidP="009B6BD9">
            <w:pPr>
              <w:spacing w:line="256" w:lineRule="auto"/>
              <w:rPr>
                <w:bCs/>
                <w:i/>
                <w:color w:val="000000"/>
                <w:sz w:val="24"/>
                <w:szCs w:val="24"/>
                <w:lang w:eastAsia="en-GB"/>
              </w:rPr>
            </w:pPr>
            <w:r w:rsidRPr="00F23835">
              <w:rPr>
                <w:bCs/>
                <w:i/>
                <w:color w:val="000000"/>
                <w:sz w:val="24"/>
                <w:szCs w:val="24"/>
                <w:lang w:eastAsia="en-GB"/>
              </w:rPr>
              <w:t xml:space="preserve">Slut </w:t>
            </w:r>
          </w:p>
        </w:tc>
        <w:tc>
          <w:tcPr>
            <w:tcW w:w="1858"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72,7 (61,3-83,0)</w:t>
            </w:r>
          </w:p>
        </w:tc>
        <w:tc>
          <w:tcPr>
            <w:tcW w:w="1701"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64,9 (45,7-96,0)</w:t>
            </w:r>
          </w:p>
        </w:tc>
        <w:tc>
          <w:tcPr>
            <w:tcW w:w="1701"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0,876 (0,679-1,129)</w:t>
            </w:r>
          </w:p>
        </w:tc>
        <w:tc>
          <w:tcPr>
            <w:tcW w:w="892"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0,306</w:t>
            </w:r>
          </w:p>
        </w:tc>
        <w:tc>
          <w:tcPr>
            <w:tcW w:w="1402" w:type="dxa"/>
            <w:tcBorders>
              <w:top w:val="nil"/>
              <w:left w:val="nil"/>
              <w:bottom w:val="single" w:sz="4" w:space="0" w:color="auto"/>
              <w:right w:val="single" w:sz="4" w:space="0" w:color="auto"/>
            </w:tcBorders>
            <w:noWrap/>
            <w:vAlign w:val="bottom"/>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w:t>
            </w:r>
          </w:p>
        </w:tc>
      </w:tr>
      <w:tr w:rsidR="00515A85" w:rsidRPr="00F23835" w:rsidTr="009B6BD9">
        <w:trPr>
          <w:trHeight w:val="2640"/>
        </w:trPr>
        <w:tc>
          <w:tcPr>
            <w:tcW w:w="9681" w:type="dxa"/>
            <w:gridSpan w:val="6"/>
            <w:tcBorders>
              <w:top w:val="single" w:sz="4" w:space="0" w:color="auto"/>
              <w:left w:val="single" w:sz="4" w:space="0" w:color="auto"/>
              <w:bottom w:val="single" w:sz="4" w:space="0" w:color="auto"/>
              <w:right w:val="single" w:sz="4" w:space="0" w:color="auto"/>
            </w:tcBorders>
            <w:vAlign w:val="center"/>
            <w:hideMark/>
          </w:tcPr>
          <w:p w:rsidR="00515A85" w:rsidRPr="00F23835" w:rsidRDefault="00515A85" w:rsidP="009B6BD9">
            <w:pPr>
              <w:tabs>
                <w:tab w:val="left" w:pos="176"/>
              </w:tabs>
              <w:adjustRightInd w:val="0"/>
              <w:spacing w:line="256" w:lineRule="auto"/>
              <w:ind w:left="176" w:hanging="142"/>
              <w:rPr>
                <w:rFonts w:eastAsia="TimesNewRoman"/>
                <w:sz w:val="24"/>
                <w:szCs w:val="24"/>
                <w:lang w:eastAsia="da-DK"/>
              </w:rPr>
            </w:pPr>
            <w:r w:rsidRPr="00F23835">
              <w:rPr>
                <w:rFonts w:eastAsia="TimesNewRoman"/>
                <w:sz w:val="24"/>
                <w:szCs w:val="24"/>
                <w:vertAlign w:val="superscript"/>
                <w:lang w:eastAsia="da-DK"/>
              </w:rPr>
              <w:lastRenderedPageBreak/>
              <w:t xml:space="preserve">a </w:t>
            </w:r>
            <w:r w:rsidRPr="00F23835">
              <w:rPr>
                <w:rFonts w:eastAsia="TimesNewRoman"/>
                <w:sz w:val="24"/>
                <w:szCs w:val="24"/>
                <w:lang w:eastAsia="da-DK"/>
              </w:rPr>
              <w:t>Resultaterne af dobbeltblind behandling er fra ITT-populationen ved brug af radiologiske målinger, efter behov.</w:t>
            </w:r>
          </w:p>
          <w:p w:rsidR="00515A85" w:rsidRPr="00F23835" w:rsidRDefault="00515A85" w:rsidP="009B6BD9">
            <w:pPr>
              <w:tabs>
                <w:tab w:val="left" w:pos="176"/>
              </w:tabs>
              <w:adjustRightInd w:val="0"/>
              <w:spacing w:line="256" w:lineRule="auto"/>
              <w:ind w:left="176" w:hanging="142"/>
              <w:rPr>
                <w:color w:val="000000"/>
                <w:sz w:val="24"/>
                <w:szCs w:val="24"/>
                <w:lang w:eastAsia="en-GB"/>
              </w:rPr>
            </w:pPr>
            <w:r w:rsidRPr="00F23835">
              <w:rPr>
                <w:rFonts w:eastAsia="TimesNewRoman"/>
                <w:sz w:val="24"/>
                <w:szCs w:val="24"/>
                <w:vertAlign w:val="superscript"/>
                <w:lang w:eastAsia="da-DK"/>
              </w:rPr>
              <w:t xml:space="preserve">b </w:t>
            </w:r>
            <w:r w:rsidRPr="00F23835">
              <w:rPr>
                <w:rFonts w:eastAsia="TimesNewRoman"/>
                <w:sz w:val="24"/>
                <w:szCs w:val="24"/>
                <w:lang w:eastAsia="da-DK"/>
              </w:rPr>
              <w:t xml:space="preserve">Effektresultater for de 99 patienter, som krydsede over fra placebo til </w:t>
            </w:r>
            <w:r w:rsidR="007C26EB">
              <w:rPr>
                <w:rFonts w:eastAsia="TimesNewRoman"/>
                <w:sz w:val="24"/>
                <w:szCs w:val="24"/>
                <w:lang w:eastAsia="da-DK"/>
              </w:rPr>
              <w:t>Sunitinib ”Viatris”</w:t>
            </w:r>
            <w:r w:rsidRPr="00F23835">
              <w:rPr>
                <w:rFonts w:eastAsia="TimesNewRoman"/>
                <w:sz w:val="24"/>
                <w:szCs w:val="24"/>
                <w:lang w:eastAsia="da-DK"/>
              </w:rPr>
              <w:t xml:space="preserve"> efter afblinding. </w:t>
            </w:r>
            <w:r w:rsidRPr="00F23835">
              <w:rPr>
                <w:rFonts w:eastAsia="TimesNewRoman"/>
                <w:i/>
                <w:iCs/>
                <w:sz w:val="24"/>
                <w:szCs w:val="24"/>
                <w:lang w:eastAsia="da-DK"/>
              </w:rPr>
              <w:t xml:space="preserve">Baseline </w:t>
            </w:r>
            <w:r w:rsidRPr="00F23835">
              <w:rPr>
                <w:rFonts w:eastAsia="TimesNewRoman"/>
                <w:sz w:val="24"/>
                <w:szCs w:val="24"/>
                <w:lang w:eastAsia="da-DK"/>
              </w:rPr>
              <w:t>blev nulstillet ved cross-over, og effektanalyser blev baseret på investigators vurdering.</w:t>
            </w:r>
          </w:p>
          <w:p w:rsidR="00515A85" w:rsidRPr="00F23835" w:rsidRDefault="00515A85" w:rsidP="009B6BD9">
            <w:pPr>
              <w:tabs>
                <w:tab w:val="left" w:pos="176"/>
              </w:tabs>
              <w:adjustRightInd w:val="0"/>
              <w:spacing w:line="256" w:lineRule="auto"/>
              <w:ind w:left="176" w:hanging="142"/>
              <w:rPr>
                <w:rFonts w:eastAsia="TimesNewRoman"/>
                <w:sz w:val="24"/>
                <w:szCs w:val="24"/>
                <w:lang w:eastAsia="da-DK"/>
              </w:rPr>
            </w:pPr>
            <w:r w:rsidRPr="00F23835">
              <w:rPr>
                <w:rFonts w:eastAsia="TimesNewRoman"/>
                <w:sz w:val="24"/>
                <w:szCs w:val="24"/>
                <w:vertAlign w:val="superscript"/>
                <w:lang w:eastAsia="da-DK"/>
              </w:rPr>
              <w:t>c</w:t>
            </w:r>
            <w:r w:rsidRPr="00F23835">
              <w:rPr>
                <w:rFonts w:eastAsia="TimesNewRoman"/>
                <w:sz w:val="24"/>
                <w:szCs w:val="24"/>
                <w:lang w:eastAsia="da-DK"/>
              </w:rPr>
              <w:t xml:space="preserve"> Interim PFS (progressionsfri </w:t>
            </w:r>
            <w:proofErr w:type="gramStart"/>
            <w:r w:rsidRPr="00F23835">
              <w:rPr>
                <w:rFonts w:eastAsia="TimesNewRoman"/>
                <w:sz w:val="24"/>
                <w:szCs w:val="24"/>
                <w:lang w:eastAsia="da-DK"/>
              </w:rPr>
              <w:t>overlevelse)-</w:t>
            </w:r>
            <w:proofErr w:type="gramEnd"/>
            <w:r w:rsidRPr="00F23835">
              <w:rPr>
                <w:rFonts w:eastAsia="TimesNewRoman"/>
                <w:sz w:val="24"/>
                <w:szCs w:val="24"/>
                <w:lang w:eastAsia="da-DK"/>
              </w:rPr>
              <w:t>tallene er blevet opdateret baseret på rekalkulering af de originale data.</w:t>
            </w:r>
          </w:p>
          <w:p w:rsidR="00515A85" w:rsidRPr="00F23835" w:rsidRDefault="00515A85" w:rsidP="009B6BD9">
            <w:pPr>
              <w:tabs>
                <w:tab w:val="left" w:pos="176"/>
              </w:tabs>
              <w:adjustRightInd w:val="0"/>
              <w:spacing w:line="256" w:lineRule="auto"/>
              <w:ind w:left="176" w:hanging="142"/>
              <w:rPr>
                <w:color w:val="000000"/>
                <w:sz w:val="24"/>
                <w:szCs w:val="24"/>
                <w:lang w:eastAsia="en-GB"/>
              </w:rPr>
            </w:pPr>
            <w:r w:rsidRPr="00F23835">
              <w:rPr>
                <w:rFonts w:eastAsia="TimesNewRoman"/>
                <w:sz w:val="24"/>
                <w:szCs w:val="24"/>
                <w:vertAlign w:val="superscript"/>
                <w:lang w:eastAsia="da-DK"/>
              </w:rPr>
              <w:t>d</w:t>
            </w:r>
            <w:r w:rsidRPr="00F23835">
              <w:rPr>
                <w:rFonts w:eastAsia="TimesNewRoman"/>
                <w:sz w:val="24"/>
                <w:szCs w:val="24"/>
                <w:lang w:eastAsia="da-DK"/>
              </w:rPr>
              <w:t xml:space="preserve"> Resultater for ORR (objektive responsrate) er angivet som procent patienter med bekræftet respons med 95 % CI.</w:t>
            </w:r>
          </w:p>
          <w:p w:rsidR="00515A85" w:rsidRPr="00F23835" w:rsidRDefault="00515A85" w:rsidP="009B6BD9">
            <w:pPr>
              <w:tabs>
                <w:tab w:val="left" w:pos="176"/>
              </w:tabs>
              <w:adjustRightInd w:val="0"/>
              <w:spacing w:line="256" w:lineRule="auto"/>
              <w:ind w:left="176" w:hanging="142"/>
              <w:rPr>
                <w:color w:val="000000"/>
                <w:sz w:val="24"/>
                <w:szCs w:val="24"/>
                <w:lang w:eastAsia="en-GB"/>
              </w:rPr>
            </w:pPr>
            <w:r w:rsidRPr="00F23835">
              <w:rPr>
                <w:rFonts w:eastAsia="TimesNewRoman"/>
                <w:sz w:val="24"/>
                <w:szCs w:val="24"/>
                <w:vertAlign w:val="superscript"/>
                <w:lang w:eastAsia="da-DK"/>
              </w:rPr>
              <w:t>e</w:t>
            </w:r>
            <w:r w:rsidRPr="00F23835">
              <w:rPr>
                <w:rFonts w:eastAsia="TimesNewRoman"/>
                <w:sz w:val="24"/>
                <w:szCs w:val="24"/>
                <w:lang w:eastAsia="da-DK"/>
              </w:rPr>
              <w:t xml:space="preserve"> Median er ikke opnået endnu, da data endnu ikke er fuldstændige. (OS = samlet overlevelse)</w:t>
            </w:r>
          </w:p>
        </w:tc>
      </w:tr>
    </w:tbl>
    <w:p w:rsidR="00515A85" w:rsidRPr="00F23835" w:rsidRDefault="00515A85" w:rsidP="00515A85">
      <w:pPr>
        <w:pStyle w:val="Brdtekst"/>
        <w:rPr>
          <w:sz w:val="24"/>
          <w:szCs w:val="24"/>
          <w:lang w:val="da-DK"/>
        </w:rPr>
      </w:pPr>
    </w:p>
    <w:p w:rsidR="00515A85" w:rsidRPr="00F23835" w:rsidRDefault="00515A85" w:rsidP="00515A85">
      <w:pPr>
        <w:pStyle w:val="Brdtekst"/>
        <w:ind w:left="851"/>
        <w:rPr>
          <w:sz w:val="24"/>
          <w:szCs w:val="24"/>
          <w:lang w:val="da-DK"/>
        </w:rPr>
      </w:pPr>
      <w:r w:rsidRPr="00F23835">
        <w:rPr>
          <w:sz w:val="24"/>
          <w:szCs w:val="24"/>
          <w:lang w:val="da-DK"/>
        </w:rPr>
        <w:t>Median OS i ITT-populationen var 72,7 uger og 64,9 uger (HR: 0,876; 95 % CI: 0,679-1,129;</w:t>
      </w:r>
      <w:r w:rsidR="00355123">
        <w:rPr>
          <w:sz w:val="24"/>
          <w:szCs w:val="24"/>
          <w:lang w:val="da-DK"/>
        </w:rPr>
        <w:t xml:space="preserve"> </w:t>
      </w:r>
      <w:r w:rsidRPr="00F23835">
        <w:rPr>
          <w:sz w:val="24"/>
          <w:szCs w:val="24"/>
          <w:lang w:val="da-DK"/>
        </w:rPr>
        <w:t>p = 0,306) i henholdsvis sunitinib-armen og placebo-armen. I denne analyse indeholder placebo-armen de patienter, som var randomiseret til placebo, men senere fik åben-label sunitinib-behandling.</w:t>
      </w:r>
    </w:p>
    <w:p w:rsidR="00515A85" w:rsidRPr="00F23835" w:rsidRDefault="00515A85" w:rsidP="00515A85">
      <w:pPr>
        <w:pStyle w:val="Brdtekst"/>
        <w:ind w:left="851"/>
        <w:rPr>
          <w:sz w:val="24"/>
          <w:szCs w:val="24"/>
          <w:lang w:val="da-DK"/>
        </w:rPr>
      </w:pPr>
    </w:p>
    <w:p w:rsidR="00515A85" w:rsidRPr="00F23835" w:rsidRDefault="00515A85" w:rsidP="00515A85">
      <w:pPr>
        <w:pStyle w:val="Brdtekst"/>
        <w:ind w:left="851"/>
        <w:rPr>
          <w:i/>
          <w:sz w:val="24"/>
          <w:szCs w:val="24"/>
          <w:lang w:val="da-DK"/>
        </w:rPr>
      </w:pPr>
      <w:r w:rsidRPr="00F23835">
        <w:rPr>
          <w:i/>
          <w:sz w:val="24"/>
          <w:szCs w:val="24"/>
          <w:lang w:val="da-DK"/>
        </w:rPr>
        <w:t>Behandlingsnaiv metastaserende renalcellekarcinom</w:t>
      </w:r>
    </w:p>
    <w:p w:rsidR="00515A85" w:rsidRPr="00F23835" w:rsidRDefault="00515A85" w:rsidP="00515A85">
      <w:pPr>
        <w:pStyle w:val="Brdtekst"/>
        <w:ind w:left="851"/>
        <w:rPr>
          <w:sz w:val="24"/>
          <w:szCs w:val="24"/>
          <w:lang w:val="da-DK"/>
        </w:rPr>
      </w:pPr>
      <w:r w:rsidRPr="00F23835">
        <w:rPr>
          <w:sz w:val="24"/>
          <w:szCs w:val="24"/>
          <w:lang w:val="da-DK"/>
        </w:rPr>
        <w:t>Der er udført et fase 3 randomiseret, multicenter, international studie, der evaluerede effekt og sikkerhed af sunitinib sammenlignet med interferon IFN-</w:t>
      </w:r>
      <w:r w:rsidRPr="00F23835">
        <w:rPr>
          <w:sz w:val="24"/>
          <w:szCs w:val="24"/>
        </w:rPr>
        <w:t>α</w:t>
      </w:r>
      <w:r w:rsidRPr="00F23835">
        <w:rPr>
          <w:sz w:val="24"/>
          <w:szCs w:val="24"/>
          <w:lang w:val="da-DK"/>
        </w:rPr>
        <w:t xml:space="preserve"> på behandlingsnaive mRCC-patienter. 750 patienter blev randomiseret 1:1 til behandlingsarmene. De fik behandling med enten sunitinib i en gentagen cyklus på 6 uger, bestående af 4 uger på 50 mg daglig oral administration, efterfulgt af 2 ugers pause (doseringsskema 4/2) eller IFN-</w:t>
      </w:r>
      <w:r w:rsidRPr="00F23835">
        <w:rPr>
          <w:sz w:val="24"/>
          <w:szCs w:val="24"/>
        </w:rPr>
        <w:t>α</w:t>
      </w:r>
      <w:r w:rsidRPr="00F23835">
        <w:rPr>
          <w:sz w:val="24"/>
          <w:szCs w:val="24"/>
          <w:lang w:val="da-DK"/>
        </w:rPr>
        <w:t>, administreret som en subkutan injektion 3 på hinanden ikke-følgende dage hver uge: 3 millioner enheder (MIE) den første uge, 6 MIE den anden uge og 9 MIE den tredje uge og herefter.</w:t>
      </w:r>
    </w:p>
    <w:p w:rsidR="00515A85" w:rsidRPr="00F23835" w:rsidRDefault="00515A85" w:rsidP="00515A85">
      <w:pPr>
        <w:pStyle w:val="Brdtekst"/>
        <w:ind w:left="851"/>
        <w:rPr>
          <w:sz w:val="24"/>
          <w:szCs w:val="24"/>
          <w:lang w:val="da-DK"/>
        </w:rPr>
      </w:pPr>
    </w:p>
    <w:p w:rsidR="00515A85" w:rsidRPr="00F23835" w:rsidRDefault="00515A85" w:rsidP="00515A85">
      <w:pPr>
        <w:pStyle w:val="Brdtekst"/>
        <w:ind w:left="851"/>
        <w:rPr>
          <w:sz w:val="24"/>
          <w:szCs w:val="24"/>
          <w:lang w:val="da-DK"/>
        </w:rPr>
      </w:pPr>
      <w:r w:rsidRPr="00F23835">
        <w:rPr>
          <w:sz w:val="24"/>
          <w:szCs w:val="24"/>
          <w:lang w:val="da-DK"/>
        </w:rPr>
        <w:t>Middelvarighed af behandlingen var 11,1 måned (interval: 0,4-46,1) for sunitinib-behandling og 4,1 måned (interval: 0,1-45,6) for IFN-</w:t>
      </w:r>
      <w:r w:rsidRPr="00F23835">
        <w:rPr>
          <w:sz w:val="24"/>
          <w:szCs w:val="24"/>
        </w:rPr>
        <w:t>α</w:t>
      </w:r>
      <w:r w:rsidRPr="00F23835">
        <w:rPr>
          <w:sz w:val="24"/>
          <w:szCs w:val="24"/>
          <w:lang w:val="da-DK"/>
        </w:rPr>
        <w:t>-behandling. Behandlingsrelaterede alvorlige bivirkninger blev set hos 23,7 % af de patienter, som fik sunitinib, og hos 6,9 % af de patienter, som fik IFN-</w:t>
      </w:r>
      <w:r w:rsidRPr="00F23835">
        <w:rPr>
          <w:sz w:val="24"/>
          <w:szCs w:val="24"/>
        </w:rPr>
        <w:t>α</w:t>
      </w:r>
      <w:r w:rsidRPr="00F23835">
        <w:rPr>
          <w:sz w:val="24"/>
          <w:szCs w:val="24"/>
          <w:lang w:val="da-DK"/>
        </w:rPr>
        <w:t>- behandling. Alligevel var seponeringsraten på grund af bivirkninger 20 % for sunitinib og 23 % for IFN-</w:t>
      </w:r>
      <w:r w:rsidRPr="00F23835">
        <w:rPr>
          <w:sz w:val="24"/>
          <w:szCs w:val="24"/>
        </w:rPr>
        <w:t>α</w:t>
      </w:r>
      <w:r w:rsidRPr="00F23835">
        <w:rPr>
          <w:sz w:val="24"/>
          <w:szCs w:val="24"/>
          <w:lang w:val="da-DK"/>
        </w:rPr>
        <w:t>. Behandlingen blev afbrudt hos 202 patienter (54 %) i sunitinib-behandling og hos 141 patienter (39 %) i IFN-</w:t>
      </w:r>
      <w:r w:rsidRPr="00F23835">
        <w:rPr>
          <w:sz w:val="24"/>
          <w:szCs w:val="24"/>
        </w:rPr>
        <w:t>α</w:t>
      </w:r>
      <w:r w:rsidRPr="00F23835">
        <w:rPr>
          <w:sz w:val="24"/>
          <w:szCs w:val="24"/>
          <w:lang w:val="da-DK"/>
        </w:rPr>
        <w:t>-behandling. Dosis blev reduceret hos 194 patienter (52 %) i sunitinib-behandling og hos 98 patienter (27 %) i IFN-</w:t>
      </w:r>
      <w:r w:rsidRPr="00F23835">
        <w:rPr>
          <w:sz w:val="24"/>
          <w:szCs w:val="24"/>
        </w:rPr>
        <w:t>α</w:t>
      </w:r>
      <w:r w:rsidRPr="00F23835">
        <w:rPr>
          <w:sz w:val="24"/>
          <w:szCs w:val="24"/>
          <w:lang w:val="da-DK"/>
        </w:rPr>
        <w:t>-behandling. Patienterne blev behandlet indtil sygdomsprogression, eller til de udgik af studiet. Det primære effektendepunkt var PFS. En planlagt interimanalyse viste en statistisk signifikant fordel for sunitinib i forhold til IFN-</w:t>
      </w:r>
      <w:r w:rsidRPr="00F23835">
        <w:rPr>
          <w:sz w:val="24"/>
          <w:szCs w:val="24"/>
        </w:rPr>
        <w:t>α</w:t>
      </w:r>
      <w:r w:rsidRPr="00F23835">
        <w:rPr>
          <w:sz w:val="24"/>
          <w:szCs w:val="24"/>
          <w:lang w:val="da-DK"/>
        </w:rPr>
        <w:t>. I dette studie var median-PFS for den sunitinib-behandlede gruppe 47,3 uger sammenlignet med 22,0 uger for den IFN-</w:t>
      </w:r>
      <w:r w:rsidRPr="00F23835">
        <w:rPr>
          <w:sz w:val="24"/>
          <w:szCs w:val="24"/>
        </w:rPr>
        <w:t>α</w:t>
      </w:r>
      <w:r w:rsidRPr="00F23835">
        <w:rPr>
          <w:sz w:val="24"/>
          <w:szCs w:val="24"/>
          <w:lang w:val="da-DK"/>
        </w:rPr>
        <w:t>-behandlede gruppe. HR var 0,415 (95 % CI: 0,320 - 0,539, p-værdi &lt;0,001). Andre endepunkter omfattede ORR, OS og sikkerhed. Radiologisk undersøgelse blev afbrudt, når det primære endepunkt var nået. Ved den afsluttende analyse var ORR 46 % (95 % CI: 41 %-51 %) i sunitinib-armen og 12 % (95 % CI: 9 %- 16 %) i IFN-</w:t>
      </w:r>
      <w:r w:rsidRPr="00F23835">
        <w:rPr>
          <w:sz w:val="24"/>
          <w:szCs w:val="24"/>
        </w:rPr>
        <w:t>α</w:t>
      </w:r>
      <w:r w:rsidRPr="00F23835">
        <w:rPr>
          <w:sz w:val="24"/>
          <w:szCs w:val="24"/>
          <w:lang w:val="da-DK"/>
        </w:rPr>
        <w:t xml:space="preserve">-armen (p&lt;0,001), baseret på investigators vurderinger. </w:t>
      </w:r>
    </w:p>
    <w:p w:rsidR="00515A85" w:rsidRPr="00F23835" w:rsidRDefault="00515A85" w:rsidP="00515A85">
      <w:pPr>
        <w:pStyle w:val="Brdtekst"/>
        <w:ind w:left="851"/>
        <w:rPr>
          <w:sz w:val="24"/>
          <w:szCs w:val="24"/>
          <w:lang w:val="da-DK"/>
        </w:rPr>
      </w:pPr>
    </w:p>
    <w:p w:rsidR="00515A85" w:rsidRPr="00F23835" w:rsidRDefault="00515A85" w:rsidP="00515A85">
      <w:pPr>
        <w:pStyle w:val="Brdtekst"/>
        <w:ind w:left="851"/>
        <w:rPr>
          <w:sz w:val="24"/>
          <w:szCs w:val="24"/>
          <w:lang w:val="da-DK"/>
        </w:rPr>
      </w:pPr>
      <w:r w:rsidRPr="00F23835">
        <w:rPr>
          <w:sz w:val="24"/>
          <w:szCs w:val="24"/>
          <w:lang w:val="da-DK"/>
        </w:rPr>
        <w:t>Sunitinib-behandling var associeret med længere overlevelse sammenlignet med IFN-</w:t>
      </w:r>
      <w:r w:rsidRPr="00F23835">
        <w:rPr>
          <w:sz w:val="24"/>
          <w:szCs w:val="24"/>
        </w:rPr>
        <w:t>α</w:t>
      </w:r>
      <w:r w:rsidRPr="00F23835">
        <w:rPr>
          <w:sz w:val="24"/>
          <w:szCs w:val="24"/>
          <w:lang w:val="da-DK"/>
        </w:rPr>
        <w:t>-behandling. Median OS var 114,6 uger for sunitinib-armen (95 % CI: 100,1-142,9) og 94,9 uger for IFN-</w:t>
      </w:r>
      <w:r w:rsidRPr="00F23835">
        <w:rPr>
          <w:sz w:val="24"/>
          <w:szCs w:val="24"/>
        </w:rPr>
        <w:t>α</w:t>
      </w:r>
      <w:r w:rsidRPr="00F23835">
        <w:rPr>
          <w:sz w:val="24"/>
          <w:szCs w:val="24"/>
          <w:lang w:val="da-DK"/>
        </w:rPr>
        <w:t>-armen (95 % CI: 77,7-117,0) med hazard ratio 0,821 (95 % CI: 0,673-1,001; p = 0,0510 ved ustratificeret log-rank).</w:t>
      </w:r>
    </w:p>
    <w:p w:rsidR="00515A85" w:rsidRPr="00F23835" w:rsidRDefault="00515A85" w:rsidP="00515A85">
      <w:pPr>
        <w:pStyle w:val="Brdtekst"/>
        <w:ind w:left="851"/>
        <w:rPr>
          <w:sz w:val="24"/>
          <w:szCs w:val="24"/>
          <w:lang w:val="da-DK"/>
        </w:rPr>
      </w:pPr>
    </w:p>
    <w:p w:rsidR="00515A85" w:rsidRPr="00F23835" w:rsidRDefault="00515A85" w:rsidP="00515A85">
      <w:pPr>
        <w:pStyle w:val="Brdtekst"/>
        <w:ind w:left="851"/>
        <w:rPr>
          <w:sz w:val="24"/>
          <w:szCs w:val="24"/>
          <w:lang w:val="da-DK"/>
        </w:rPr>
      </w:pPr>
      <w:r w:rsidRPr="00F23835">
        <w:rPr>
          <w:sz w:val="24"/>
          <w:szCs w:val="24"/>
          <w:lang w:val="da-DK"/>
        </w:rPr>
        <w:t>Det primære effekt-endepunkt og overall-overlevelse, observeret i ITT- populationen, bestemt ved den radiologiske undersøgelse, er sammenfattet i tabel 3:</w:t>
      </w:r>
    </w:p>
    <w:p w:rsidR="00515A85" w:rsidRPr="00F23835" w:rsidRDefault="00515A85" w:rsidP="00515A85">
      <w:pPr>
        <w:pStyle w:val="Brdtekst"/>
        <w:rPr>
          <w:sz w:val="24"/>
          <w:szCs w:val="24"/>
          <w:lang w:val="da-DK"/>
        </w:rPr>
      </w:pPr>
    </w:p>
    <w:p w:rsidR="00515A85" w:rsidRPr="00F23835" w:rsidRDefault="00515A85" w:rsidP="00966528">
      <w:pPr>
        <w:tabs>
          <w:tab w:val="left" w:pos="851"/>
        </w:tabs>
        <w:rPr>
          <w:rFonts w:eastAsia="TimesNewRoman,Bold"/>
          <w:b/>
          <w:bCs/>
          <w:sz w:val="24"/>
          <w:szCs w:val="24"/>
        </w:rPr>
      </w:pPr>
      <w:r w:rsidRPr="00F23835">
        <w:rPr>
          <w:rFonts w:eastAsia="TimesNewRoman,Bold"/>
          <w:b/>
          <w:bCs/>
          <w:sz w:val="24"/>
          <w:szCs w:val="24"/>
        </w:rPr>
        <w:lastRenderedPageBreak/>
        <w:t xml:space="preserve">Tabel 3 – </w:t>
      </w:r>
      <w:r w:rsidR="00966528" w:rsidRPr="00F23835">
        <w:rPr>
          <w:rFonts w:eastAsia="TimesNewRoman,Bold"/>
          <w:b/>
          <w:bCs/>
          <w:sz w:val="24"/>
          <w:szCs w:val="24"/>
        </w:rPr>
        <w:t>Sammenfatning af effekt-endepunkter for behandlingsnaiv mRCC (ITT-populationen)</w:t>
      </w:r>
    </w:p>
    <w:p w:rsidR="00966528" w:rsidRPr="00F23835" w:rsidRDefault="00966528" w:rsidP="00966528">
      <w:pPr>
        <w:tabs>
          <w:tab w:val="left" w:pos="851"/>
        </w:tabs>
        <w:rPr>
          <w:rFonts w:eastAsia="TimesNewRoman,Bold"/>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3"/>
        <w:gridCol w:w="2419"/>
        <w:gridCol w:w="2406"/>
      </w:tblGrid>
      <w:tr w:rsidR="00515A85" w:rsidRPr="00F23835" w:rsidTr="009B6BD9">
        <w:tc>
          <w:tcPr>
            <w:tcW w:w="4805" w:type="dxa"/>
            <w:tcBorders>
              <w:top w:val="single" w:sz="4" w:space="0" w:color="auto"/>
              <w:left w:val="single" w:sz="4" w:space="0" w:color="auto"/>
              <w:bottom w:val="single" w:sz="4" w:space="0" w:color="auto"/>
              <w:right w:val="single" w:sz="4" w:space="0" w:color="auto"/>
            </w:tcBorders>
            <w:vAlign w:val="center"/>
            <w:hideMark/>
          </w:tcPr>
          <w:p w:rsidR="00515A85" w:rsidRPr="00F23835" w:rsidRDefault="00515A85" w:rsidP="009B6BD9">
            <w:pPr>
              <w:spacing w:line="256" w:lineRule="auto"/>
              <w:rPr>
                <w:b/>
                <w:bCs/>
                <w:color w:val="000000"/>
                <w:sz w:val="24"/>
                <w:szCs w:val="24"/>
                <w:lang w:val="en-US" w:eastAsia="en-GB"/>
              </w:rPr>
            </w:pPr>
            <w:r w:rsidRPr="00F23835">
              <w:rPr>
                <w:b/>
                <w:bCs/>
                <w:color w:val="000000"/>
                <w:sz w:val="24"/>
                <w:szCs w:val="24"/>
                <w:lang w:eastAsia="en-GB"/>
              </w:rPr>
              <w:t>Sammenfatning af progressionsfri overlevelse</w:t>
            </w:r>
          </w:p>
        </w:tc>
        <w:tc>
          <w:tcPr>
            <w:tcW w:w="2420" w:type="dxa"/>
            <w:tcBorders>
              <w:top w:val="single" w:sz="4" w:space="0" w:color="auto"/>
              <w:left w:val="single" w:sz="4" w:space="0" w:color="auto"/>
              <w:bottom w:val="single" w:sz="4" w:space="0" w:color="auto"/>
              <w:right w:val="single" w:sz="4" w:space="0" w:color="auto"/>
            </w:tcBorders>
            <w:vAlign w:val="center"/>
            <w:hideMark/>
          </w:tcPr>
          <w:p w:rsidR="00515A85" w:rsidRPr="00F23835" w:rsidRDefault="00515A85" w:rsidP="009B6BD9">
            <w:pPr>
              <w:spacing w:line="256" w:lineRule="auto"/>
              <w:jc w:val="center"/>
              <w:rPr>
                <w:b/>
                <w:bCs/>
                <w:color w:val="000000"/>
                <w:sz w:val="24"/>
                <w:szCs w:val="24"/>
                <w:lang w:eastAsia="en-GB"/>
              </w:rPr>
            </w:pPr>
            <w:r w:rsidRPr="00F23835">
              <w:rPr>
                <w:b/>
                <w:bCs/>
                <w:color w:val="000000"/>
                <w:sz w:val="24"/>
                <w:szCs w:val="24"/>
                <w:lang w:eastAsia="en-GB"/>
              </w:rPr>
              <w:t>Sunitinib (N=375)</w:t>
            </w:r>
          </w:p>
        </w:tc>
        <w:tc>
          <w:tcPr>
            <w:tcW w:w="2407" w:type="dxa"/>
            <w:tcBorders>
              <w:top w:val="single" w:sz="4" w:space="0" w:color="auto"/>
              <w:left w:val="single" w:sz="4" w:space="0" w:color="auto"/>
              <w:bottom w:val="single" w:sz="4" w:space="0" w:color="auto"/>
              <w:right w:val="single" w:sz="4" w:space="0" w:color="auto"/>
            </w:tcBorders>
            <w:vAlign w:val="center"/>
            <w:hideMark/>
          </w:tcPr>
          <w:p w:rsidR="00515A85" w:rsidRPr="00F23835" w:rsidRDefault="00515A85" w:rsidP="009B6BD9">
            <w:pPr>
              <w:spacing w:line="256" w:lineRule="auto"/>
              <w:jc w:val="center"/>
              <w:rPr>
                <w:b/>
                <w:bCs/>
                <w:color w:val="000000"/>
                <w:sz w:val="24"/>
                <w:szCs w:val="24"/>
                <w:lang w:eastAsia="en-GB"/>
              </w:rPr>
            </w:pPr>
            <w:r w:rsidRPr="00F23835">
              <w:rPr>
                <w:b/>
                <w:bCs/>
                <w:color w:val="000000"/>
                <w:sz w:val="24"/>
                <w:szCs w:val="24"/>
                <w:lang w:eastAsia="en-GB"/>
              </w:rPr>
              <w:t>IFN-α (N=375)</w:t>
            </w:r>
          </w:p>
        </w:tc>
      </w:tr>
      <w:tr w:rsidR="00515A85" w:rsidRPr="00F23835" w:rsidTr="009B6BD9">
        <w:tc>
          <w:tcPr>
            <w:tcW w:w="4805" w:type="dxa"/>
            <w:tcBorders>
              <w:top w:val="single" w:sz="4" w:space="0" w:color="auto"/>
              <w:left w:val="single" w:sz="4" w:space="0" w:color="auto"/>
              <w:bottom w:val="single" w:sz="4" w:space="0" w:color="auto"/>
              <w:right w:val="single" w:sz="4" w:space="0" w:color="auto"/>
            </w:tcBorders>
            <w:vAlign w:val="center"/>
            <w:hideMark/>
          </w:tcPr>
          <w:p w:rsidR="00515A85" w:rsidRPr="00F23835" w:rsidRDefault="00515A85" w:rsidP="009B6BD9">
            <w:pPr>
              <w:spacing w:line="256" w:lineRule="auto"/>
              <w:rPr>
                <w:color w:val="000000"/>
                <w:sz w:val="24"/>
                <w:szCs w:val="24"/>
                <w:lang w:eastAsia="en-GB"/>
              </w:rPr>
            </w:pPr>
            <w:r w:rsidRPr="00F23835">
              <w:rPr>
                <w:color w:val="000000"/>
                <w:sz w:val="24"/>
                <w:szCs w:val="24"/>
                <w:lang w:eastAsia="en-GB"/>
              </w:rPr>
              <w:t xml:space="preserve">Individet progredierede eller døde ikke [n </w:t>
            </w:r>
            <w:proofErr w:type="gramStart"/>
            <w:r w:rsidRPr="00F23835">
              <w:rPr>
                <w:color w:val="000000"/>
                <w:sz w:val="24"/>
                <w:szCs w:val="24"/>
                <w:lang w:eastAsia="en-GB"/>
              </w:rPr>
              <w:t>( %</w:t>
            </w:r>
            <w:proofErr w:type="gramEnd"/>
            <w:r w:rsidRPr="00F23835">
              <w:rPr>
                <w:color w:val="000000"/>
                <w:sz w:val="24"/>
                <w:szCs w:val="24"/>
                <w:lang w:eastAsia="en-GB"/>
              </w:rPr>
              <w:t>)]</w:t>
            </w:r>
          </w:p>
        </w:tc>
        <w:tc>
          <w:tcPr>
            <w:tcW w:w="2420" w:type="dxa"/>
            <w:tcBorders>
              <w:top w:val="single" w:sz="4" w:space="0" w:color="auto"/>
              <w:left w:val="single" w:sz="4" w:space="0" w:color="auto"/>
              <w:bottom w:val="single" w:sz="4" w:space="0" w:color="auto"/>
              <w:right w:val="single" w:sz="4" w:space="0" w:color="auto"/>
            </w:tcBorders>
            <w:vAlign w:val="center"/>
            <w:hideMark/>
          </w:tcPr>
          <w:p w:rsidR="00515A85" w:rsidRPr="00F23835" w:rsidRDefault="00515A85" w:rsidP="009B6BD9">
            <w:pPr>
              <w:spacing w:line="256" w:lineRule="auto"/>
              <w:jc w:val="center"/>
              <w:rPr>
                <w:color w:val="000000"/>
                <w:sz w:val="24"/>
                <w:szCs w:val="24"/>
                <w:lang w:val="en-US" w:eastAsia="en-GB"/>
              </w:rPr>
            </w:pPr>
            <w:r w:rsidRPr="00F23835">
              <w:rPr>
                <w:color w:val="000000"/>
                <w:sz w:val="24"/>
                <w:szCs w:val="24"/>
                <w:lang w:eastAsia="en-GB"/>
              </w:rPr>
              <w:t>161 (42,9)</w:t>
            </w:r>
          </w:p>
        </w:tc>
        <w:tc>
          <w:tcPr>
            <w:tcW w:w="2407" w:type="dxa"/>
            <w:tcBorders>
              <w:top w:val="single" w:sz="4" w:space="0" w:color="auto"/>
              <w:left w:val="single" w:sz="4" w:space="0" w:color="auto"/>
              <w:bottom w:val="single" w:sz="4" w:space="0" w:color="auto"/>
              <w:right w:val="single" w:sz="4" w:space="0" w:color="auto"/>
            </w:tcBorders>
            <w:vAlign w:val="center"/>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176 (46,9)</w:t>
            </w:r>
          </w:p>
        </w:tc>
      </w:tr>
      <w:tr w:rsidR="00515A85" w:rsidRPr="00F23835" w:rsidTr="009B6BD9">
        <w:tc>
          <w:tcPr>
            <w:tcW w:w="4805" w:type="dxa"/>
            <w:tcBorders>
              <w:top w:val="single" w:sz="4" w:space="0" w:color="auto"/>
              <w:left w:val="single" w:sz="4" w:space="0" w:color="auto"/>
              <w:bottom w:val="single" w:sz="4" w:space="0" w:color="auto"/>
              <w:right w:val="single" w:sz="4" w:space="0" w:color="auto"/>
            </w:tcBorders>
            <w:vAlign w:val="center"/>
            <w:hideMark/>
          </w:tcPr>
          <w:p w:rsidR="00515A85" w:rsidRPr="00F23835" w:rsidRDefault="00515A85" w:rsidP="009B6BD9">
            <w:pPr>
              <w:spacing w:line="256" w:lineRule="auto"/>
              <w:rPr>
                <w:color w:val="000000"/>
                <w:sz w:val="24"/>
                <w:szCs w:val="24"/>
                <w:lang w:eastAsia="en-GB"/>
              </w:rPr>
            </w:pPr>
            <w:r w:rsidRPr="00F23835">
              <w:rPr>
                <w:color w:val="000000"/>
                <w:sz w:val="24"/>
                <w:szCs w:val="24"/>
                <w:lang w:eastAsia="en-GB"/>
              </w:rPr>
              <w:t xml:space="preserve">Individet progredierede eller døde [n </w:t>
            </w:r>
            <w:proofErr w:type="gramStart"/>
            <w:r w:rsidRPr="00F23835">
              <w:rPr>
                <w:color w:val="000000"/>
                <w:sz w:val="24"/>
                <w:szCs w:val="24"/>
                <w:lang w:eastAsia="en-GB"/>
              </w:rPr>
              <w:t>( %</w:t>
            </w:r>
            <w:proofErr w:type="gramEnd"/>
            <w:r w:rsidRPr="00F23835">
              <w:rPr>
                <w:color w:val="000000"/>
                <w:sz w:val="24"/>
                <w:szCs w:val="24"/>
                <w:lang w:eastAsia="en-GB"/>
              </w:rPr>
              <w:t>)]</w:t>
            </w:r>
          </w:p>
        </w:tc>
        <w:tc>
          <w:tcPr>
            <w:tcW w:w="2420" w:type="dxa"/>
            <w:tcBorders>
              <w:top w:val="single" w:sz="4" w:space="0" w:color="auto"/>
              <w:left w:val="single" w:sz="4" w:space="0" w:color="auto"/>
              <w:bottom w:val="single" w:sz="4" w:space="0" w:color="auto"/>
              <w:right w:val="single" w:sz="4" w:space="0" w:color="auto"/>
            </w:tcBorders>
            <w:vAlign w:val="center"/>
            <w:hideMark/>
          </w:tcPr>
          <w:p w:rsidR="00515A85" w:rsidRPr="00F23835" w:rsidRDefault="00515A85" w:rsidP="009B6BD9">
            <w:pPr>
              <w:spacing w:line="256" w:lineRule="auto"/>
              <w:jc w:val="center"/>
              <w:rPr>
                <w:color w:val="000000"/>
                <w:sz w:val="24"/>
                <w:szCs w:val="24"/>
                <w:lang w:val="en-US" w:eastAsia="en-GB"/>
              </w:rPr>
            </w:pPr>
            <w:r w:rsidRPr="00F23835">
              <w:rPr>
                <w:color w:val="000000"/>
                <w:sz w:val="24"/>
                <w:szCs w:val="24"/>
                <w:lang w:eastAsia="en-GB"/>
              </w:rPr>
              <w:t>214 (57,1)</w:t>
            </w:r>
          </w:p>
        </w:tc>
        <w:tc>
          <w:tcPr>
            <w:tcW w:w="2407" w:type="dxa"/>
            <w:tcBorders>
              <w:top w:val="single" w:sz="4" w:space="0" w:color="auto"/>
              <w:left w:val="single" w:sz="4" w:space="0" w:color="auto"/>
              <w:bottom w:val="single" w:sz="4" w:space="0" w:color="auto"/>
              <w:right w:val="single" w:sz="4" w:space="0" w:color="auto"/>
            </w:tcBorders>
            <w:vAlign w:val="center"/>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199 (53,1)</w:t>
            </w:r>
          </w:p>
        </w:tc>
      </w:tr>
      <w:tr w:rsidR="00515A85" w:rsidRPr="00F23835" w:rsidTr="009B6BD9">
        <w:tc>
          <w:tcPr>
            <w:tcW w:w="4805" w:type="dxa"/>
            <w:tcBorders>
              <w:top w:val="single" w:sz="4" w:space="0" w:color="auto"/>
              <w:left w:val="single" w:sz="4" w:space="0" w:color="auto"/>
              <w:bottom w:val="single" w:sz="4" w:space="0" w:color="auto"/>
              <w:right w:val="single" w:sz="4" w:space="0" w:color="auto"/>
            </w:tcBorders>
            <w:vAlign w:val="center"/>
            <w:hideMark/>
          </w:tcPr>
          <w:p w:rsidR="00515A85" w:rsidRPr="00F23835" w:rsidRDefault="00515A85" w:rsidP="009B6BD9">
            <w:pPr>
              <w:spacing w:line="256" w:lineRule="auto"/>
              <w:rPr>
                <w:color w:val="000000"/>
                <w:sz w:val="24"/>
                <w:szCs w:val="24"/>
                <w:lang w:eastAsia="en-GB"/>
              </w:rPr>
            </w:pPr>
            <w:r w:rsidRPr="00F23835">
              <w:rPr>
                <w:color w:val="000000"/>
                <w:sz w:val="24"/>
                <w:szCs w:val="24"/>
                <w:lang w:eastAsia="en-GB"/>
              </w:rPr>
              <w:t>PFS (uger)</w:t>
            </w:r>
          </w:p>
        </w:tc>
        <w:tc>
          <w:tcPr>
            <w:tcW w:w="2420" w:type="dxa"/>
            <w:tcBorders>
              <w:top w:val="single" w:sz="4" w:space="0" w:color="auto"/>
              <w:left w:val="single" w:sz="4" w:space="0" w:color="auto"/>
              <w:bottom w:val="single" w:sz="4" w:space="0" w:color="auto"/>
              <w:right w:val="single" w:sz="4" w:space="0" w:color="auto"/>
            </w:tcBorders>
            <w:vAlign w:val="center"/>
          </w:tcPr>
          <w:p w:rsidR="00515A85" w:rsidRPr="00F23835" w:rsidRDefault="00515A85" w:rsidP="009B6BD9">
            <w:pPr>
              <w:spacing w:line="256" w:lineRule="auto"/>
              <w:jc w:val="center"/>
              <w:rPr>
                <w:color w:val="000000"/>
                <w:sz w:val="24"/>
                <w:szCs w:val="24"/>
                <w:lang w:eastAsia="en-GB"/>
              </w:rPr>
            </w:pPr>
          </w:p>
        </w:tc>
        <w:tc>
          <w:tcPr>
            <w:tcW w:w="2407" w:type="dxa"/>
            <w:tcBorders>
              <w:top w:val="single" w:sz="4" w:space="0" w:color="auto"/>
              <w:left w:val="single" w:sz="4" w:space="0" w:color="auto"/>
              <w:bottom w:val="single" w:sz="4" w:space="0" w:color="auto"/>
              <w:right w:val="single" w:sz="4" w:space="0" w:color="auto"/>
            </w:tcBorders>
            <w:vAlign w:val="center"/>
          </w:tcPr>
          <w:p w:rsidR="00515A85" w:rsidRPr="00F23835" w:rsidRDefault="00515A85" w:rsidP="009B6BD9">
            <w:pPr>
              <w:spacing w:line="256" w:lineRule="auto"/>
              <w:jc w:val="center"/>
              <w:rPr>
                <w:color w:val="000000"/>
                <w:sz w:val="24"/>
                <w:szCs w:val="24"/>
                <w:lang w:eastAsia="en-GB"/>
              </w:rPr>
            </w:pPr>
          </w:p>
        </w:tc>
      </w:tr>
      <w:tr w:rsidR="00515A85" w:rsidRPr="00F23835" w:rsidTr="009B6BD9">
        <w:tc>
          <w:tcPr>
            <w:tcW w:w="4805" w:type="dxa"/>
            <w:tcBorders>
              <w:top w:val="single" w:sz="4" w:space="0" w:color="auto"/>
              <w:left w:val="single" w:sz="4" w:space="0" w:color="auto"/>
              <w:bottom w:val="single" w:sz="4" w:space="0" w:color="auto"/>
              <w:right w:val="single" w:sz="4" w:space="0" w:color="auto"/>
            </w:tcBorders>
            <w:vAlign w:val="center"/>
            <w:hideMark/>
          </w:tcPr>
          <w:p w:rsidR="00515A85" w:rsidRPr="00F23835" w:rsidRDefault="00515A85" w:rsidP="009B6BD9">
            <w:pPr>
              <w:spacing w:line="256" w:lineRule="auto"/>
              <w:rPr>
                <w:color w:val="000000"/>
                <w:sz w:val="24"/>
                <w:szCs w:val="24"/>
                <w:lang w:eastAsia="en-GB"/>
              </w:rPr>
            </w:pPr>
            <w:r w:rsidRPr="00F23835">
              <w:rPr>
                <w:color w:val="000000"/>
                <w:sz w:val="24"/>
                <w:szCs w:val="24"/>
                <w:lang w:eastAsia="en-GB"/>
              </w:rPr>
              <w:t>Kvartil (95 % CI)</w:t>
            </w:r>
          </w:p>
        </w:tc>
        <w:tc>
          <w:tcPr>
            <w:tcW w:w="2420" w:type="dxa"/>
            <w:tcBorders>
              <w:top w:val="single" w:sz="4" w:space="0" w:color="auto"/>
              <w:left w:val="single" w:sz="4" w:space="0" w:color="auto"/>
              <w:bottom w:val="single" w:sz="4" w:space="0" w:color="auto"/>
              <w:right w:val="single" w:sz="4" w:space="0" w:color="auto"/>
            </w:tcBorders>
            <w:vAlign w:val="center"/>
          </w:tcPr>
          <w:p w:rsidR="00515A85" w:rsidRPr="00F23835" w:rsidRDefault="00515A85" w:rsidP="009B6BD9">
            <w:pPr>
              <w:spacing w:line="256" w:lineRule="auto"/>
              <w:jc w:val="center"/>
              <w:rPr>
                <w:color w:val="000000"/>
                <w:sz w:val="24"/>
                <w:szCs w:val="24"/>
                <w:lang w:eastAsia="en-GB"/>
              </w:rPr>
            </w:pPr>
          </w:p>
        </w:tc>
        <w:tc>
          <w:tcPr>
            <w:tcW w:w="2407" w:type="dxa"/>
            <w:tcBorders>
              <w:top w:val="single" w:sz="4" w:space="0" w:color="auto"/>
              <w:left w:val="single" w:sz="4" w:space="0" w:color="auto"/>
              <w:bottom w:val="single" w:sz="4" w:space="0" w:color="auto"/>
              <w:right w:val="single" w:sz="4" w:space="0" w:color="auto"/>
            </w:tcBorders>
            <w:vAlign w:val="center"/>
          </w:tcPr>
          <w:p w:rsidR="00515A85" w:rsidRPr="00F23835" w:rsidRDefault="00515A85" w:rsidP="009B6BD9">
            <w:pPr>
              <w:spacing w:line="256" w:lineRule="auto"/>
              <w:jc w:val="center"/>
              <w:rPr>
                <w:color w:val="000000"/>
                <w:sz w:val="24"/>
                <w:szCs w:val="24"/>
                <w:lang w:eastAsia="en-GB"/>
              </w:rPr>
            </w:pPr>
          </w:p>
        </w:tc>
      </w:tr>
      <w:tr w:rsidR="00515A85" w:rsidRPr="00F23835" w:rsidTr="009B6BD9">
        <w:tc>
          <w:tcPr>
            <w:tcW w:w="4805" w:type="dxa"/>
            <w:tcBorders>
              <w:top w:val="single" w:sz="4" w:space="0" w:color="auto"/>
              <w:left w:val="single" w:sz="4" w:space="0" w:color="auto"/>
              <w:bottom w:val="single" w:sz="4" w:space="0" w:color="auto"/>
              <w:right w:val="single" w:sz="4" w:space="0" w:color="auto"/>
            </w:tcBorders>
            <w:vAlign w:val="center"/>
            <w:hideMark/>
          </w:tcPr>
          <w:p w:rsidR="00515A85" w:rsidRPr="00F23835" w:rsidRDefault="00515A85" w:rsidP="009B6BD9">
            <w:pPr>
              <w:spacing w:line="256" w:lineRule="auto"/>
              <w:rPr>
                <w:color w:val="000000"/>
                <w:sz w:val="24"/>
                <w:szCs w:val="24"/>
                <w:lang w:eastAsia="en-GB"/>
              </w:rPr>
            </w:pPr>
            <w:r w:rsidRPr="00F23835">
              <w:rPr>
                <w:color w:val="000000"/>
                <w:sz w:val="24"/>
                <w:szCs w:val="24"/>
                <w:lang w:eastAsia="en-GB"/>
              </w:rPr>
              <w:t>25 %</w:t>
            </w:r>
          </w:p>
        </w:tc>
        <w:tc>
          <w:tcPr>
            <w:tcW w:w="2420" w:type="dxa"/>
            <w:tcBorders>
              <w:top w:val="single" w:sz="4" w:space="0" w:color="auto"/>
              <w:left w:val="single" w:sz="4" w:space="0" w:color="auto"/>
              <w:bottom w:val="single" w:sz="4" w:space="0" w:color="auto"/>
              <w:right w:val="single" w:sz="4" w:space="0" w:color="auto"/>
            </w:tcBorders>
            <w:vAlign w:val="center"/>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22,7 (18,0 til 34,0)</w:t>
            </w:r>
          </w:p>
        </w:tc>
        <w:tc>
          <w:tcPr>
            <w:tcW w:w="2407" w:type="dxa"/>
            <w:tcBorders>
              <w:top w:val="single" w:sz="4" w:space="0" w:color="auto"/>
              <w:left w:val="single" w:sz="4" w:space="0" w:color="auto"/>
              <w:bottom w:val="single" w:sz="4" w:space="0" w:color="auto"/>
              <w:right w:val="single" w:sz="4" w:space="0" w:color="auto"/>
            </w:tcBorders>
            <w:vAlign w:val="center"/>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10,0 (7,3 til 10,3)</w:t>
            </w:r>
          </w:p>
        </w:tc>
      </w:tr>
      <w:tr w:rsidR="00515A85" w:rsidRPr="00F23835" w:rsidTr="009B6BD9">
        <w:tc>
          <w:tcPr>
            <w:tcW w:w="4805" w:type="dxa"/>
            <w:tcBorders>
              <w:top w:val="single" w:sz="4" w:space="0" w:color="auto"/>
              <w:left w:val="single" w:sz="4" w:space="0" w:color="auto"/>
              <w:bottom w:val="single" w:sz="4" w:space="0" w:color="auto"/>
              <w:right w:val="single" w:sz="4" w:space="0" w:color="auto"/>
            </w:tcBorders>
            <w:vAlign w:val="center"/>
            <w:hideMark/>
          </w:tcPr>
          <w:p w:rsidR="00515A85" w:rsidRPr="00F23835" w:rsidRDefault="00515A85" w:rsidP="009B6BD9">
            <w:pPr>
              <w:spacing w:line="256" w:lineRule="auto"/>
              <w:rPr>
                <w:color w:val="000000"/>
                <w:sz w:val="24"/>
                <w:szCs w:val="24"/>
                <w:lang w:eastAsia="en-GB"/>
              </w:rPr>
            </w:pPr>
            <w:r w:rsidRPr="00F23835">
              <w:rPr>
                <w:color w:val="000000"/>
                <w:sz w:val="24"/>
                <w:szCs w:val="24"/>
                <w:lang w:eastAsia="en-GB"/>
              </w:rPr>
              <w:t>50 %</w:t>
            </w:r>
          </w:p>
        </w:tc>
        <w:tc>
          <w:tcPr>
            <w:tcW w:w="2420" w:type="dxa"/>
            <w:tcBorders>
              <w:top w:val="single" w:sz="4" w:space="0" w:color="auto"/>
              <w:left w:val="single" w:sz="4" w:space="0" w:color="auto"/>
              <w:bottom w:val="single" w:sz="4" w:space="0" w:color="auto"/>
              <w:right w:val="single" w:sz="4" w:space="0" w:color="auto"/>
            </w:tcBorders>
            <w:vAlign w:val="center"/>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48,3 (46,4 til 58,3)</w:t>
            </w:r>
          </w:p>
        </w:tc>
        <w:tc>
          <w:tcPr>
            <w:tcW w:w="2407" w:type="dxa"/>
            <w:tcBorders>
              <w:top w:val="single" w:sz="4" w:space="0" w:color="auto"/>
              <w:left w:val="single" w:sz="4" w:space="0" w:color="auto"/>
              <w:bottom w:val="single" w:sz="4" w:space="0" w:color="auto"/>
              <w:right w:val="single" w:sz="4" w:space="0" w:color="auto"/>
            </w:tcBorders>
            <w:vAlign w:val="center"/>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22,1 (17,1 til 24,0)</w:t>
            </w:r>
          </w:p>
        </w:tc>
      </w:tr>
      <w:tr w:rsidR="00515A85" w:rsidRPr="00F23835" w:rsidTr="009B6BD9">
        <w:tc>
          <w:tcPr>
            <w:tcW w:w="4805" w:type="dxa"/>
            <w:tcBorders>
              <w:top w:val="single" w:sz="4" w:space="0" w:color="auto"/>
              <w:left w:val="single" w:sz="4" w:space="0" w:color="auto"/>
              <w:bottom w:val="single" w:sz="4" w:space="0" w:color="auto"/>
              <w:right w:val="single" w:sz="4" w:space="0" w:color="auto"/>
            </w:tcBorders>
            <w:vAlign w:val="center"/>
            <w:hideMark/>
          </w:tcPr>
          <w:p w:rsidR="00515A85" w:rsidRPr="00F23835" w:rsidRDefault="00515A85" w:rsidP="009B6BD9">
            <w:pPr>
              <w:spacing w:line="256" w:lineRule="auto"/>
              <w:rPr>
                <w:color w:val="000000"/>
                <w:sz w:val="24"/>
                <w:szCs w:val="24"/>
                <w:lang w:eastAsia="en-GB"/>
              </w:rPr>
            </w:pPr>
            <w:r w:rsidRPr="00F23835">
              <w:rPr>
                <w:color w:val="000000"/>
                <w:sz w:val="24"/>
                <w:szCs w:val="24"/>
                <w:lang w:eastAsia="en-GB"/>
              </w:rPr>
              <w:t>75 %</w:t>
            </w:r>
          </w:p>
        </w:tc>
        <w:tc>
          <w:tcPr>
            <w:tcW w:w="2420" w:type="dxa"/>
            <w:tcBorders>
              <w:top w:val="single" w:sz="4" w:space="0" w:color="auto"/>
              <w:left w:val="single" w:sz="4" w:space="0" w:color="auto"/>
              <w:bottom w:val="single" w:sz="4" w:space="0" w:color="auto"/>
              <w:right w:val="single" w:sz="4" w:space="0" w:color="auto"/>
            </w:tcBorders>
            <w:vAlign w:val="center"/>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84,3 (72,9 til 95,1)</w:t>
            </w:r>
          </w:p>
        </w:tc>
        <w:tc>
          <w:tcPr>
            <w:tcW w:w="2407" w:type="dxa"/>
            <w:tcBorders>
              <w:top w:val="single" w:sz="4" w:space="0" w:color="auto"/>
              <w:left w:val="single" w:sz="4" w:space="0" w:color="auto"/>
              <w:bottom w:val="single" w:sz="4" w:space="0" w:color="auto"/>
              <w:right w:val="single" w:sz="4" w:space="0" w:color="auto"/>
            </w:tcBorders>
            <w:vAlign w:val="center"/>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58,1 (45,6 til 82,1)</w:t>
            </w:r>
          </w:p>
        </w:tc>
      </w:tr>
      <w:tr w:rsidR="00515A85" w:rsidRPr="00F23835" w:rsidTr="009B6BD9">
        <w:tc>
          <w:tcPr>
            <w:tcW w:w="4805" w:type="dxa"/>
            <w:tcBorders>
              <w:top w:val="single" w:sz="4" w:space="0" w:color="auto"/>
              <w:left w:val="single" w:sz="4" w:space="0" w:color="auto"/>
              <w:bottom w:val="single" w:sz="4" w:space="0" w:color="auto"/>
              <w:right w:val="single" w:sz="4" w:space="0" w:color="auto"/>
            </w:tcBorders>
            <w:vAlign w:val="center"/>
            <w:hideMark/>
          </w:tcPr>
          <w:p w:rsidR="00515A85" w:rsidRPr="00F23835" w:rsidRDefault="00515A85" w:rsidP="009B6BD9">
            <w:pPr>
              <w:spacing w:line="256" w:lineRule="auto"/>
              <w:rPr>
                <w:color w:val="000000"/>
                <w:sz w:val="24"/>
                <w:szCs w:val="24"/>
                <w:lang w:eastAsia="en-GB"/>
              </w:rPr>
            </w:pPr>
            <w:r w:rsidRPr="00F23835">
              <w:rPr>
                <w:color w:val="000000"/>
                <w:sz w:val="24"/>
                <w:szCs w:val="24"/>
                <w:lang w:eastAsia="en-GB"/>
              </w:rPr>
              <w:t>Ustratificeret analyse</w:t>
            </w:r>
          </w:p>
        </w:tc>
        <w:tc>
          <w:tcPr>
            <w:tcW w:w="4827" w:type="dxa"/>
            <w:gridSpan w:val="2"/>
            <w:tcBorders>
              <w:top w:val="single" w:sz="4" w:space="0" w:color="auto"/>
              <w:left w:val="single" w:sz="4" w:space="0" w:color="auto"/>
              <w:bottom w:val="single" w:sz="4" w:space="0" w:color="auto"/>
              <w:right w:val="single" w:sz="4" w:space="0" w:color="auto"/>
            </w:tcBorders>
            <w:vAlign w:val="center"/>
          </w:tcPr>
          <w:p w:rsidR="00515A85" w:rsidRPr="00F23835" w:rsidRDefault="00515A85" w:rsidP="009B6BD9">
            <w:pPr>
              <w:spacing w:line="256" w:lineRule="auto"/>
              <w:jc w:val="center"/>
              <w:rPr>
                <w:color w:val="000000"/>
                <w:sz w:val="24"/>
                <w:szCs w:val="24"/>
                <w:lang w:eastAsia="en-GB"/>
              </w:rPr>
            </w:pPr>
          </w:p>
        </w:tc>
      </w:tr>
      <w:tr w:rsidR="00515A85" w:rsidRPr="00F23835" w:rsidTr="009B6BD9">
        <w:tc>
          <w:tcPr>
            <w:tcW w:w="4805" w:type="dxa"/>
            <w:tcBorders>
              <w:top w:val="single" w:sz="4" w:space="0" w:color="auto"/>
              <w:left w:val="single" w:sz="4" w:space="0" w:color="auto"/>
              <w:bottom w:val="single" w:sz="4" w:space="0" w:color="auto"/>
              <w:right w:val="single" w:sz="4" w:space="0" w:color="auto"/>
            </w:tcBorders>
            <w:vAlign w:val="center"/>
            <w:hideMark/>
          </w:tcPr>
          <w:p w:rsidR="00515A85" w:rsidRPr="00F23835" w:rsidRDefault="00515A85" w:rsidP="009B6BD9">
            <w:pPr>
              <w:spacing w:line="256" w:lineRule="auto"/>
              <w:rPr>
                <w:color w:val="000000"/>
                <w:sz w:val="24"/>
                <w:szCs w:val="24"/>
                <w:lang w:val="en-US" w:eastAsia="en-GB"/>
              </w:rPr>
            </w:pPr>
            <w:r w:rsidRPr="00F23835">
              <w:rPr>
                <w:color w:val="000000"/>
                <w:sz w:val="24"/>
                <w:szCs w:val="24"/>
                <w:lang w:val="en-US" w:eastAsia="en-GB"/>
              </w:rPr>
              <w:t>Hazard ratio (sunitinib vs IFN-</w:t>
            </w:r>
            <w:r w:rsidRPr="00F23835">
              <w:rPr>
                <w:color w:val="000000"/>
                <w:sz w:val="24"/>
                <w:szCs w:val="24"/>
                <w:lang w:eastAsia="en-GB"/>
              </w:rPr>
              <w:t>α</w:t>
            </w:r>
            <w:r w:rsidRPr="00F23835">
              <w:rPr>
                <w:color w:val="000000"/>
                <w:sz w:val="24"/>
                <w:szCs w:val="24"/>
                <w:lang w:val="en-US" w:eastAsia="en-GB"/>
              </w:rPr>
              <w:t>)</w:t>
            </w:r>
          </w:p>
        </w:tc>
        <w:tc>
          <w:tcPr>
            <w:tcW w:w="4827" w:type="dxa"/>
            <w:gridSpan w:val="2"/>
            <w:tcBorders>
              <w:top w:val="single" w:sz="4" w:space="0" w:color="auto"/>
              <w:left w:val="single" w:sz="4" w:space="0" w:color="auto"/>
              <w:bottom w:val="single" w:sz="4" w:space="0" w:color="auto"/>
              <w:right w:val="single" w:sz="4" w:space="0" w:color="auto"/>
            </w:tcBorders>
            <w:vAlign w:val="center"/>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0,5268</w:t>
            </w:r>
          </w:p>
        </w:tc>
      </w:tr>
      <w:tr w:rsidR="00515A85" w:rsidRPr="00F23835" w:rsidTr="009B6BD9">
        <w:tc>
          <w:tcPr>
            <w:tcW w:w="4805" w:type="dxa"/>
            <w:tcBorders>
              <w:top w:val="single" w:sz="4" w:space="0" w:color="auto"/>
              <w:left w:val="single" w:sz="4" w:space="0" w:color="auto"/>
              <w:bottom w:val="single" w:sz="4" w:space="0" w:color="auto"/>
              <w:right w:val="single" w:sz="4" w:space="0" w:color="auto"/>
            </w:tcBorders>
            <w:vAlign w:val="center"/>
            <w:hideMark/>
          </w:tcPr>
          <w:p w:rsidR="00515A85" w:rsidRPr="00F23835" w:rsidRDefault="00515A85" w:rsidP="009B6BD9">
            <w:pPr>
              <w:spacing w:line="256" w:lineRule="auto"/>
              <w:rPr>
                <w:color w:val="000000"/>
                <w:sz w:val="24"/>
                <w:szCs w:val="24"/>
                <w:lang w:eastAsia="en-GB"/>
              </w:rPr>
            </w:pPr>
            <w:r w:rsidRPr="00F23835">
              <w:rPr>
                <w:color w:val="000000"/>
                <w:sz w:val="24"/>
                <w:szCs w:val="24"/>
                <w:lang w:eastAsia="en-GB"/>
              </w:rPr>
              <w:t>95 % Cl for hazard ratio</w:t>
            </w:r>
          </w:p>
        </w:tc>
        <w:tc>
          <w:tcPr>
            <w:tcW w:w="4827" w:type="dxa"/>
            <w:gridSpan w:val="2"/>
            <w:tcBorders>
              <w:top w:val="single" w:sz="4" w:space="0" w:color="auto"/>
              <w:left w:val="single" w:sz="4" w:space="0" w:color="auto"/>
              <w:bottom w:val="single" w:sz="4" w:space="0" w:color="auto"/>
              <w:right w:val="single" w:sz="4" w:space="0" w:color="auto"/>
            </w:tcBorders>
            <w:vAlign w:val="center"/>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(0,4316 til 0,6430)</w:t>
            </w:r>
          </w:p>
        </w:tc>
      </w:tr>
      <w:tr w:rsidR="00515A85" w:rsidRPr="00F23835" w:rsidTr="009B6BD9">
        <w:tc>
          <w:tcPr>
            <w:tcW w:w="4805" w:type="dxa"/>
            <w:tcBorders>
              <w:top w:val="single" w:sz="4" w:space="0" w:color="auto"/>
              <w:left w:val="single" w:sz="4" w:space="0" w:color="auto"/>
              <w:bottom w:val="single" w:sz="4" w:space="0" w:color="auto"/>
              <w:right w:val="single" w:sz="4" w:space="0" w:color="auto"/>
            </w:tcBorders>
            <w:vAlign w:val="center"/>
            <w:hideMark/>
          </w:tcPr>
          <w:p w:rsidR="00515A85" w:rsidRPr="00F23835" w:rsidRDefault="00515A85" w:rsidP="009B6BD9">
            <w:pPr>
              <w:spacing w:line="256" w:lineRule="auto"/>
              <w:rPr>
                <w:color w:val="000000"/>
                <w:sz w:val="24"/>
                <w:szCs w:val="24"/>
                <w:lang w:eastAsia="en-GB"/>
              </w:rPr>
            </w:pPr>
            <w:r w:rsidRPr="00F23835">
              <w:rPr>
                <w:color w:val="000000"/>
                <w:sz w:val="24"/>
                <w:szCs w:val="24"/>
                <w:lang w:eastAsia="en-GB"/>
              </w:rPr>
              <w:t>p-værdi</w:t>
            </w:r>
            <w:r w:rsidRPr="00F23835">
              <w:rPr>
                <w:color w:val="000000"/>
                <w:sz w:val="24"/>
                <w:szCs w:val="24"/>
                <w:vertAlign w:val="superscript"/>
                <w:lang w:eastAsia="en-GB"/>
              </w:rPr>
              <w:t>a</w:t>
            </w:r>
          </w:p>
        </w:tc>
        <w:tc>
          <w:tcPr>
            <w:tcW w:w="4827" w:type="dxa"/>
            <w:gridSpan w:val="2"/>
            <w:tcBorders>
              <w:top w:val="single" w:sz="4" w:space="0" w:color="auto"/>
              <w:left w:val="single" w:sz="4" w:space="0" w:color="auto"/>
              <w:bottom w:val="single" w:sz="4" w:space="0" w:color="auto"/>
              <w:right w:val="single" w:sz="4" w:space="0" w:color="auto"/>
            </w:tcBorders>
            <w:vAlign w:val="center"/>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&lt;0,0001</w:t>
            </w:r>
          </w:p>
        </w:tc>
      </w:tr>
      <w:tr w:rsidR="00515A85" w:rsidRPr="00F23835" w:rsidTr="009B6BD9">
        <w:tc>
          <w:tcPr>
            <w:tcW w:w="9632" w:type="dxa"/>
            <w:gridSpan w:val="3"/>
            <w:tcBorders>
              <w:top w:val="single" w:sz="4" w:space="0" w:color="auto"/>
              <w:left w:val="single" w:sz="4" w:space="0" w:color="auto"/>
              <w:bottom w:val="single" w:sz="4" w:space="0" w:color="auto"/>
              <w:right w:val="single" w:sz="4" w:space="0" w:color="auto"/>
            </w:tcBorders>
            <w:hideMark/>
          </w:tcPr>
          <w:p w:rsidR="00515A85" w:rsidRPr="00F23835" w:rsidRDefault="00515A85" w:rsidP="009B6BD9">
            <w:pPr>
              <w:spacing w:line="256" w:lineRule="auto"/>
              <w:rPr>
                <w:b/>
                <w:bCs/>
                <w:color w:val="000000"/>
                <w:sz w:val="24"/>
                <w:szCs w:val="24"/>
                <w:lang w:eastAsia="en-GB"/>
              </w:rPr>
            </w:pPr>
            <w:r w:rsidRPr="00F23835">
              <w:rPr>
                <w:b/>
                <w:bCs/>
                <w:color w:val="000000"/>
                <w:sz w:val="24"/>
                <w:szCs w:val="24"/>
                <w:lang w:eastAsia="en-GB"/>
              </w:rPr>
              <w:t>Sammenfatning af samlet overlevelse</w:t>
            </w:r>
          </w:p>
        </w:tc>
      </w:tr>
      <w:tr w:rsidR="00515A85" w:rsidRPr="00F23835" w:rsidTr="009B6BD9">
        <w:tc>
          <w:tcPr>
            <w:tcW w:w="4805" w:type="dxa"/>
            <w:tcBorders>
              <w:top w:val="single" w:sz="4" w:space="0" w:color="auto"/>
              <w:left w:val="single" w:sz="4" w:space="0" w:color="auto"/>
              <w:bottom w:val="single" w:sz="4" w:space="0" w:color="auto"/>
              <w:right w:val="single" w:sz="4" w:space="0" w:color="auto"/>
            </w:tcBorders>
            <w:hideMark/>
          </w:tcPr>
          <w:p w:rsidR="00515A85" w:rsidRPr="00F23835" w:rsidRDefault="00515A85" w:rsidP="009B6BD9">
            <w:pPr>
              <w:spacing w:line="256" w:lineRule="auto"/>
              <w:rPr>
                <w:color w:val="000000"/>
                <w:sz w:val="24"/>
                <w:szCs w:val="24"/>
                <w:lang w:eastAsia="en-GB"/>
              </w:rPr>
            </w:pPr>
            <w:r w:rsidRPr="00F23835">
              <w:rPr>
                <w:color w:val="000000"/>
                <w:sz w:val="24"/>
                <w:szCs w:val="24"/>
                <w:lang w:eastAsia="en-GB"/>
              </w:rPr>
              <w:t>Individet ikke erkendt død</w:t>
            </w:r>
          </w:p>
        </w:tc>
        <w:tc>
          <w:tcPr>
            <w:tcW w:w="2420" w:type="dxa"/>
            <w:tcBorders>
              <w:top w:val="single" w:sz="4" w:space="0" w:color="auto"/>
              <w:left w:val="single" w:sz="4" w:space="0" w:color="auto"/>
              <w:bottom w:val="single" w:sz="4" w:space="0" w:color="auto"/>
              <w:right w:val="single" w:sz="4" w:space="0" w:color="auto"/>
            </w:tcBorders>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185 (49,3)</w:t>
            </w:r>
          </w:p>
        </w:tc>
        <w:tc>
          <w:tcPr>
            <w:tcW w:w="2407" w:type="dxa"/>
            <w:tcBorders>
              <w:top w:val="single" w:sz="4" w:space="0" w:color="auto"/>
              <w:left w:val="single" w:sz="4" w:space="0" w:color="auto"/>
              <w:bottom w:val="single" w:sz="4" w:space="0" w:color="auto"/>
              <w:right w:val="single" w:sz="4" w:space="0" w:color="auto"/>
            </w:tcBorders>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175 (46,7)</w:t>
            </w:r>
          </w:p>
        </w:tc>
      </w:tr>
      <w:tr w:rsidR="00515A85" w:rsidRPr="00F23835" w:rsidTr="009B6BD9">
        <w:tc>
          <w:tcPr>
            <w:tcW w:w="4805" w:type="dxa"/>
            <w:tcBorders>
              <w:top w:val="single" w:sz="4" w:space="0" w:color="auto"/>
              <w:left w:val="single" w:sz="4" w:space="0" w:color="auto"/>
              <w:bottom w:val="single" w:sz="4" w:space="0" w:color="auto"/>
              <w:right w:val="single" w:sz="4" w:space="0" w:color="auto"/>
            </w:tcBorders>
            <w:hideMark/>
          </w:tcPr>
          <w:p w:rsidR="00515A85" w:rsidRPr="00F23835" w:rsidRDefault="00515A85" w:rsidP="009B6BD9">
            <w:pPr>
              <w:spacing w:line="256" w:lineRule="auto"/>
              <w:rPr>
                <w:color w:val="000000"/>
                <w:sz w:val="24"/>
                <w:szCs w:val="24"/>
                <w:lang w:eastAsia="en-GB"/>
              </w:rPr>
            </w:pPr>
            <w:r w:rsidRPr="00F23835">
              <w:rPr>
                <w:color w:val="000000"/>
                <w:sz w:val="24"/>
                <w:szCs w:val="24"/>
                <w:lang w:eastAsia="en-GB"/>
              </w:rPr>
              <w:t xml:space="preserve">Individet erkendt død [n </w:t>
            </w:r>
            <w:proofErr w:type="gramStart"/>
            <w:r w:rsidRPr="00F23835">
              <w:rPr>
                <w:color w:val="000000"/>
                <w:sz w:val="24"/>
                <w:szCs w:val="24"/>
                <w:lang w:eastAsia="en-GB"/>
              </w:rPr>
              <w:t>( %</w:t>
            </w:r>
            <w:proofErr w:type="gramEnd"/>
            <w:r w:rsidRPr="00F23835">
              <w:rPr>
                <w:color w:val="000000"/>
                <w:sz w:val="24"/>
                <w:szCs w:val="24"/>
                <w:lang w:eastAsia="en-GB"/>
              </w:rPr>
              <w:t>)]</w:t>
            </w:r>
          </w:p>
        </w:tc>
        <w:tc>
          <w:tcPr>
            <w:tcW w:w="2420" w:type="dxa"/>
            <w:tcBorders>
              <w:top w:val="single" w:sz="4" w:space="0" w:color="auto"/>
              <w:left w:val="single" w:sz="4" w:space="0" w:color="auto"/>
              <w:bottom w:val="single" w:sz="4" w:space="0" w:color="auto"/>
              <w:right w:val="single" w:sz="4" w:space="0" w:color="auto"/>
            </w:tcBorders>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190 (50,7)</w:t>
            </w:r>
          </w:p>
        </w:tc>
        <w:tc>
          <w:tcPr>
            <w:tcW w:w="2407" w:type="dxa"/>
            <w:tcBorders>
              <w:top w:val="single" w:sz="4" w:space="0" w:color="auto"/>
              <w:left w:val="single" w:sz="4" w:space="0" w:color="auto"/>
              <w:bottom w:val="single" w:sz="4" w:space="0" w:color="auto"/>
              <w:right w:val="single" w:sz="4" w:space="0" w:color="auto"/>
            </w:tcBorders>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200 (53,3)</w:t>
            </w:r>
          </w:p>
        </w:tc>
      </w:tr>
      <w:tr w:rsidR="00515A85" w:rsidRPr="00F23835" w:rsidTr="009B6BD9">
        <w:tc>
          <w:tcPr>
            <w:tcW w:w="4805" w:type="dxa"/>
            <w:tcBorders>
              <w:top w:val="single" w:sz="4" w:space="0" w:color="auto"/>
              <w:left w:val="single" w:sz="4" w:space="0" w:color="auto"/>
              <w:bottom w:val="single" w:sz="4" w:space="0" w:color="auto"/>
              <w:right w:val="single" w:sz="4" w:space="0" w:color="auto"/>
            </w:tcBorders>
            <w:hideMark/>
          </w:tcPr>
          <w:p w:rsidR="00515A85" w:rsidRPr="00F23835" w:rsidRDefault="00515A85" w:rsidP="009B6BD9">
            <w:pPr>
              <w:spacing w:line="256" w:lineRule="auto"/>
              <w:rPr>
                <w:color w:val="000000"/>
                <w:sz w:val="24"/>
                <w:szCs w:val="24"/>
                <w:lang w:eastAsia="en-GB"/>
              </w:rPr>
            </w:pPr>
            <w:r w:rsidRPr="00F23835">
              <w:rPr>
                <w:color w:val="000000"/>
                <w:sz w:val="24"/>
                <w:szCs w:val="24"/>
                <w:lang w:eastAsia="en-GB"/>
              </w:rPr>
              <w:t>OS (uger)</w:t>
            </w:r>
          </w:p>
        </w:tc>
        <w:tc>
          <w:tcPr>
            <w:tcW w:w="2420" w:type="dxa"/>
            <w:tcBorders>
              <w:top w:val="single" w:sz="4" w:space="0" w:color="auto"/>
              <w:left w:val="single" w:sz="4" w:space="0" w:color="auto"/>
              <w:bottom w:val="single" w:sz="4" w:space="0" w:color="auto"/>
              <w:right w:val="single" w:sz="4" w:space="0" w:color="auto"/>
            </w:tcBorders>
          </w:tcPr>
          <w:p w:rsidR="00515A85" w:rsidRPr="00F23835" w:rsidRDefault="00515A85" w:rsidP="009B6BD9">
            <w:pPr>
              <w:spacing w:line="256" w:lineRule="auto"/>
              <w:jc w:val="center"/>
              <w:rPr>
                <w:color w:val="000000"/>
                <w:sz w:val="24"/>
                <w:szCs w:val="24"/>
                <w:lang w:eastAsia="en-GB"/>
              </w:rPr>
            </w:pPr>
          </w:p>
        </w:tc>
        <w:tc>
          <w:tcPr>
            <w:tcW w:w="2407" w:type="dxa"/>
            <w:tcBorders>
              <w:top w:val="single" w:sz="4" w:space="0" w:color="auto"/>
              <w:left w:val="single" w:sz="4" w:space="0" w:color="auto"/>
              <w:bottom w:val="single" w:sz="4" w:space="0" w:color="auto"/>
              <w:right w:val="single" w:sz="4" w:space="0" w:color="auto"/>
            </w:tcBorders>
          </w:tcPr>
          <w:p w:rsidR="00515A85" w:rsidRPr="00F23835" w:rsidRDefault="00515A85" w:rsidP="009B6BD9">
            <w:pPr>
              <w:spacing w:line="256" w:lineRule="auto"/>
              <w:jc w:val="center"/>
              <w:rPr>
                <w:color w:val="000000"/>
                <w:sz w:val="24"/>
                <w:szCs w:val="24"/>
                <w:lang w:eastAsia="en-GB"/>
              </w:rPr>
            </w:pPr>
          </w:p>
        </w:tc>
      </w:tr>
      <w:tr w:rsidR="00515A85" w:rsidRPr="00F23835" w:rsidTr="009B6BD9">
        <w:tc>
          <w:tcPr>
            <w:tcW w:w="4805" w:type="dxa"/>
            <w:tcBorders>
              <w:top w:val="single" w:sz="4" w:space="0" w:color="auto"/>
              <w:left w:val="single" w:sz="4" w:space="0" w:color="auto"/>
              <w:bottom w:val="single" w:sz="4" w:space="0" w:color="auto"/>
              <w:right w:val="single" w:sz="4" w:space="0" w:color="auto"/>
            </w:tcBorders>
            <w:hideMark/>
          </w:tcPr>
          <w:p w:rsidR="00515A85" w:rsidRPr="00F23835" w:rsidRDefault="00515A85" w:rsidP="009B6BD9">
            <w:pPr>
              <w:spacing w:line="256" w:lineRule="auto"/>
              <w:rPr>
                <w:color w:val="000000"/>
                <w:sz w:val="24"/>
                <w:szCs w:val="24"/>
                <w:lang w:eastAsia="en-GB"/>
              </w:rPr>
            </w:pPr>
            <w:r w:rsidRPr="00F23835">
              <w:rPr>
                <w:color w:val="000000"/>
                <w:sz w:val="24"/>
                <w:szCs w:val="24"/>
                <w:lang w:eastAsia="en-GB"/>
              </w:rPr>
              <w:t>Kvartil (95 % CI)</w:t>
            </w:r>
          </w:p>
        </w:tc>
        <w:tc>
          <w:tcPr>
            <w:tcW w:w="2420" w:type="dxa"/>
            <w:tcBorders>
              <w:top w:val="single" w:sz="4" w:space="0" w:color="auto"/>
              <w:left w:val="single" w:sz="4" w:space="0" w:color="auto"/>
              <w:bottom w:val="single" w:sz="4" w:space="0" w:color="auto"/>
              <w:right w:val="single" w:sz="4" w:space="0" w:color="auto"/>
            </w:tcBorders>
          </w:tcPr>
          <w:p w:rsidR="00515A85" w:rsidRPr="00F23835" w:rsidRDefault="00515A85" w:rsidP="009B6BD9">
            <w:pPr>
              <w:spacing w:line="256" w:lineRule="auto"/>
              <w:rPr>
                <w:color w:val="000000"/>
                <w:sz w:val="24"/>
                <w:szCs w:val="24"/>
                <w:lang w:eastAsia="en-GB"/>
              </w:rPr>
            </w:pPr>
          </w:p>
        </w:tc>
        <w:tc>
          <w:tcPr>
            <w:tcW w:w="2407" w:type="dxa"/>
            <w:tcBorders>
              <w:top w:val="single" w:sz="4" w:space="0" w:color="auto"/>
              <w:left w:val="single" w:sz="4" w:space="0" w:color="auto"/>
              <w:bottom w:val="single" w:sz="4" w:space="0" w:color="auto"/>
              <w:right w:val="single" w:sz="4" w:space="0" w:color="auto"/>
            </w:tcBorders>
          </w:tcPr>
          <w:p w:rsidR="00515A85" w:rsidRPr="00F23835" w:rsidRDefault="00515A85" w:rsidP="009B6BD9">
            <w:pPr>
              <w:spacing w:line="256" w:lineRule="auto"/>
              <w:rPr>
                <w:color w:val="000000"/>
                <w:sz w:val="24"/>
                <w:szCs w:val="24"/>
                <w:lang w:eastAsia="en-GB"/>
              </w:rPr>
            </w:pPr>
          </w:p>
        </w:tc>
      </w:tr>
      <w:tr w:rsidR="00515A85" w:rsidRPr="00F23835" w:rsidTr="009B6BD9">
        <w:tc>
          <w:tcPr>
            <w:tcW w:w="4805" w:type="dxa"/>
            <w:tcBorders>
              <w:top w:val="single" w:sz="4" w:space="0" w:color="auto"/>
              <w:left w:val="single" w:sz="4" w:space="0" w:color="auto"/>
              <w:bottom w:val="single" w:sz="4" w:space="0" w:color="auto"/>
              <w:right w:val="single" w:sz="4" w:space="0" w:color="auto"/>
            </w:tcBorders>
            <w:hideMark/>
          </w:tcPr>
          <w:p w:rsidR="00515A85" w:rsidRPr="00F23835" w:rsidRDefault="00515A85" w:rsidP="009B6BD9">
            <w:pPr>
              <w:spacing w:line="256" w:lineRule="auto"/>
              <w:rPr>
                <w:color w:val="000000"/>
                <w:sz w:val="24"/>
                <w:szCs w:val="24"/>
                <w:lang w:eastAsia="en-GB"/>
              </w:rPr>
            </w:pPr>
            <w:r w:rsidRPr="00F23835">
              <w:rPr>
                <w:color w:val="000000"/>
                <w:sz w:val="24"/>
                <w:szCs w:val="24"/>
                <w:lang w:eastAsia="en-GB"/>
              </w:rPr>
              <w:t>25 %</w:t>
            </w:r>
          </w:p>
        </w:tc>
        <w:tc>
          <w:tcPr>
            <w:tcW w:w="2420" w:type="dxa"/>
            <w:tcBorders>
              <w:top w:val="single" w:sz="4" w:space="0" w:color="auto"/>
              <w:left w:val="single" w:sz="4" w:space="0" w:color="auto"/>
              <w:bottom w:val="single" w:sz="4" w:space="0" w:color="auto"/>
              <w:right w:val="single" w:sz="4" w:space="0" w:color="auto"/>
            </w:tcBorders>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56,6 (48,7 til 68,4)</w:t>
            </w:r>
          </w:p>
        </w:tc>
        <w:tc>
          <w:tcPr>
            <w:tcW w:w="2407" w:type="dxa"/>
            <w:tcBorders>
              <w:top w:val="single" w:sz="4" w:space="0" w:color="auto"/>
              <w:left w:val="single" w:sz="4" w:space="0" w:color="auto"/>
              <w:bottom w:val="single" w:sz="4" w:space="0" w:color="auto"/>
              <w:right w:val="single" w:sz="4" w:space="0" w:color="auto"/>
            </w:tcBorders>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41,7 (32,6 til 51,6)</w:t>
            </w:r>
          </w:p>
        </w:tc>
      </w:tr>
      <w:tr w:rsidR="00515A85" w:rsidRPr="00F23835" w:rsidTr="009B6BD9">
        <w:tc>
          <w:tcPr>
            <w:tcW w:w="4805" w:type="dxa"/>
            <w:tcBorders>
              <w:top w:val="single" w:sz="4" w:space="0" w:color="auto"/>
              <w:left w:val="single" w:sz="4" w:space="0" w:color="auto"/>
              <w:bottom w:val="single" w:sz="4" w:space="0" w:color="auto"/>
              <w:right w:val="single" w:sz="4" w:space="0" w:color="auto"/>
            </w:tcBorders>
            <w:hideMark/>
          </w:tcPr>
          <w:p w:rsidR="00515A85" w:rsidRPr="00F23835" w:rsidRDefault="00515A85" w:rsidP="009B6BD9">
            <w:pPr>
              <w:spacing w:line="256" w:lineRule="auto"/>
              <w:rPr>
                <w:color w:val="000000"/>
                <w:sz w:val="24"/>
                <w:szCs w:val="24"/>
                <w:lang w:eastAsia="en-GB"/>
              </w:rPr>
            </w:pPr>
            <w:r w:rsidRPr="00F23835">
              <w:rPr>
                <w:color w:val="000000"/>
                <w:sz w:val="24"/>
                <w:szCs w:val="24"/>
                <w:lang w:eastAsia="en-GB"/>
              </w:rPr>
              <w:t>50 %</w:t>
            </w:r>
          </w:p>
        </w:tc>
        <w:tc>
          <w:tcPr>
            <w:tcW w:w="2420" w:type="dxa"/>
            <w:tcBorders>
              <w:top w:val="single" w:sz="4" w:space="0" w:color="auto"/>
              <w:left w:val="single" w:sz="4" w:space="0" w:color="auto"/>
              <w:bottom w:val="single" w:sz="4" w:space="0" w:color="auto"/>
              <w:right w:val="single" w:sz="4" w:space="0" w:color="auto"/>
            </w:tcBorders>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114,6 (100,1 til 142,9)</w:t>
            </w:r>
          </w:p>
        </w:tc>
        <w:tc>
          <w:tcPr>
            <w:tcW w:w="2407" w:type="dxa"/>
            <w:tcBorders>
              <w:top w:val="single" w:sz="4" w:space="0" w:color="auto"/>
              <w:left w:val="single" w:sz="4" w:space="0" w:color="auto"/>
              <w:bottom w:val="single" w:sz="4" w:space="0" w:color="auto"/>
              <w:right w:val="single" w:sz="4" w:space="0" w:color="auto"/>
            </w:tcBorders>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94,9 (77,7 til 117,0)</w:t>
            </w:r>
          </w:p>
        </w:tc>
      </w:tr>
      <w:tr w:rsidR="00515A85" w:rsidRPr="00F23835" w:rsidTr="009B6BD9">
        <w:tc>
          <w:tcPr>
            <w:tcW w:w="4805" w:type="dxa"/>
            <w:tcBorders>
              <w:top w:val="single" w:sz="4" w:space="0" w:color="auto"/>
              <w:left w:val="single" w:sz="4" w:space="0" w:color="auto"/>
              <w:bottom w:val="single" w:sz="4" w:space="0" w:color="auto"/>
              <w:right w:val="single" w:sz="4" w:space="0" w:color="auto"/>
            </w:tcBorders>
            <w:hideMark/>
          </w:tcPr>
          <w:p w:rsidR="00515A85" w:rsidRPr="00F23835" w:rsidRDefault="00515A85" w:rsidP="009B6BD9">
            <w:pPr>
              <w:spacing w:line="256" w:lineRule="auto"/>
              <w:rPr>
                <w:color w:val="000000"/>
                <w:sz w:val="24"/>
                <w:szCs w:val="24"/>
                <w:lang w:eastAsia="en-GB"/>
              </w:rPr>
            </w:pPr>
            <w:r w:rsidRPr="00F23835">
              <w:rPr>
                <w:color w:val="000000"/>
                <w:sz w:val="24"/>
                <w:szCs w:val="24"/>
                <w:lang w:eastAsia="en-GB"/>
              </w:rPr>
              <w:t>75 %</w:t>
            </w:r>
          </w:p>
        </w:tc>
        <w:tc>
          <w:tcPr>
            <w:tcW w:w="2420" w:type="dxa"/>
            <w:tcBorders>
              <w:top w:val="single" w:sz="4" w:space="0" w:color="auto"/>
              <w:left w:val="single" w:sz="4" w:space="0" w:color="auto"/>
              <w:bottom w:val="single" w:sz="4" w:space="0" w:color="auto"/>
              <w:right w:val="single" w:sz="4" w:space="0" w:color="auto"/>
            </w:tcBorders>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NA (NA til NA)</w:t>
            </w:r>
          </w:p>
        </w:tc>
        <w:tc>
          <w:tcPr>
            <w:tcW w:w="2407" w:type="dxa"/>
            <w:tcBorders>
              <w:top w:val="single" w:sz="4" w:space="0" w:color="auto"/>
              <w:left w:val="single" w:sz="4" w:space="0" w:color="auto"/>
              <w:bottom w:val="single" w:sz="4" w:space="0" w:color="auto"/>
              <w:right w:val="single" w:sz="4" w:space="0" w:color="auto"/>
            </w:tcBorders>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NA (NA til NA)</w:t>
            </w:r>
          </w:p>
        </w:tc>
      </w:tr>
      <w:tr w:rsidR="00515A85" w:rsidRPr="00F23835" w:rsidTr="009B6BD9">
        <w:tc>
          <w:tcPr>
            <w:tcW w:w="4805" w:type="dxa"/>
            <w:tcBorders>
              <w:top w:val="single" w:sz="4" w:space="0" w:color="auto"/>
              <w:left w:val="single" w:sz="4" w:space="0" w:color="auto"/>
              <w:bottom w:val="single" w:sz="4" w:space="0" w:color="auto"/>
              <w:right w:val="single" w:sz="4" w:space="0" w:color="auto"/>
            </w:tcBorders>
            <w:hideMark/>
          </w:tcPr>
          <w:p w:rsidR="00515A85" w:rsidRPr="00F23835" w:rsidRDefault="00515A85" w:rsidP="009B6BD9">
            <w:pPr>
              <w:spacing w:line="256" w:lineRule="auto"/>
              <w:rPr>
                <w:color w:val="000000"/>
                <w:sz w:val="24"/>
                <w:szCs w:val="24"/>
                <w:lang w:eastAsia="en-GB"/>
              </w:rPr>
            </w:pPr>
            <w:r w:rsidRPr="00F23835">
              <w:rPr>
                <w:color w:val="000000"/>
                <w:sz w:val="24"/>
                <w:szCs w:val="24"/>
                <w:lang w:eastAsia="en-GB"/>
              </w:rPr>
              <w:t>Ustratificeret analyse</w:t>
            </w:r>
          </w:p>
        </w:tc>
        <w:tc>
          <w:tcPr>
            <w:tcW w:w="4827" w:type="dxa"/>
            <w:gridSpan w:val="2"/>
            <w:tcBorders>
              <w:top w:val="single" w:sz="4" w:space="0" w:color="auto"/>
              <w:left w:val="single" w:sz="4" w:space="0" w:color="auto"/>
              <w:bottom w:val="single" w:sz="4" w:space="0" w:color="auto"/>
              <w:right w:val="single" w:sz="4" w:space="0" w:color="auto"/>
            </w:tcBorders>
          </w:tcPr>
          <w:p w:rsidR="00515A85" w:rsidRPr="00F23835" w:rsidRDefault="00515A85" w:rsidP="009B6BD9">
            <w:pPr>
              <w:spacing w:line="256" w:lineRule="auto"/>
              <w:rPr>
                <w:color w:val="000000"/>
                <w:sz w:val="24"/>
                <w:szCs w:val="24"/>
                <w:lang w:eastAsia="en-GB"/>
              </w:rPr>
            </w:pPr>
          </w:p>
        </w:tc>
      </w:tr>
      <w:tr w:rsidR="00515A85" w:rsidRPr="00F23835" w:rsidTr="009B6BD9">
        <w:tc>
          <w:tcPr>
            <w:tcW w:w="4805" w:type="dxa"/>
            <w:tcBorders>
              <w:top w:val="single" w:sz="4" w:space="0" w:color="auto"/>
              <w:left w:val="single" w:sz="4" w:space="0" w:color="auto"/>
              <w:bottom w:val="single" w:sz="4" w:space="0" w:color="auto"/>
              <w:right w:val="single" w:sz="4" w:space="0" w:color="auto"/>
            </w:tcBorders>
            <w:hideMark/>
          </w:tcPr>
          <w:p w:rsidR="00515A85" w:rsidRPr="00F23835" w:rsidRDefault="00515A85" w:rsidP="009B6BD9">
            <w:pPr>
              <w:spacing w:line="256" w:lineRule="auto"/>
              <w:rPr>
                <w:color w:val="000000"/>
                <w:sz w:val="24"/>
                <w:szCs w:val="24"/>
                <w:lang w:val="en-US" w:eastAsia="en-GB"/>
              </w:rPr>
            </w:pPr>
            <w:r w:rsidRPr="00F23835">
              <w:rPr>
                <w:color w:val="000000"/>
                <w:sz w:val="24"/>
                <w:szCs w:val="24"/>
                <w:lang w:val="en-US" w:eastAsia="en-GB"/>
              </w:rPr>
              <w:t>Hazard ratio (sunitinib vs IFN-</w:t>
            </w:r>
            <w:r w:rsidRPr="00F23835">
              <w:rPr>
                <w:color w:val="000000"/>
                <w:sz w:val="24"/>
                <w:szCs w:val="24"/>
                <w:lang w:eastAsia="en-GB"/>
              </w:rPr>
              <w:t>α</w:t>
            </w:r>
            <w:r w:rsidRPr="00F23835">
              <w:rPr>
                <w:color w:val="000000"/>
                <w:sz w:val="24"/>
                <w:szCs w:val="24"/>
                <w:lang w:val="en-US" w:eastAsia="en-GB"/>
              </w:rPr>
              <w:t>)</w:t>
            </w:r>
          </w:p>
        </w:tc>
        <w:tc>
          <w:tcPr>
            <w:tcW w:w="4827" w:type="dxa"/>
            <w:gridSpan w:val="2"/>
            <w:tcBorders>
              <w:top w:val="single" w:sz="4" w:space="0" w:color="auto"/>
              <w:left w:val="single" w:sz="4" w:space="0" w:color="auto"/>
              <w:bottom w:val="single" w:sz="4" w:space="0" w:color="auto"/>
              <w:right w:val="single" w:sz="4" w:space="0" w:color="auto"/>
            </w:tcBorders>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0,8209</w:t>
            </w:r>
          </w:p>
        </w:tc>
      </w:tr>
      <w:tr w:rsidR="00515A85" w:rsidRPr="00F23835" w:rsidTr="009B6BD9">
        <w:tc>
          <w:tcPr>
            <w:tcW w:w="4805" w:type="dxa"/>
            <w:tcBorders>
              <w:top w:val="single" w:sz="4" w:space="0" w:color="auto"/>
              <w:left w:val="single" w:sz="4" w:space="0" w:color="auto"/>
              <w:bottom w:val="single" w:sz="4" w:space="0" w:color="auto"/>
              <w:right w:val="single" w:sz="4" w:space="0" w:color="auto"/>
            </w:tcBorders>
            <w:hideMark/>
          </w:tcPr>
          <w:p w:rsidR="00515A85" w:rsidRPr="00F23835" w:rsidRDefault="00515A85" w:rsidP="009B6BD9">
            <w:pPr>
              <w:spacing w:line="256" w:lineRule="auto"/>
              <w:rPr>
                <w:color w:val="000000"/>
                <w:sz w:val="24"/>
                <w:szCs w:val="24"/>
                <w:lang w:eastAsia="en-GB"/>
              </w:rPr>
            </w:pPr>
            <w:r w:rsidRPr="00F23835">
              <w:rPr>
                <w:color w:val="000000"/>
                <w:sz w:val="24"/>
                <w:szCs w:val="24"/>
                <w:lang w:eastAsia="en-GB"/>
              </w:rPr>
              <w:t>95 % Cl for hazard ratio</w:t>
            </w:r>
          </w:p>
        </w:tc>
        <w:tc>
          <w:tcPr>
            <w:tcW w:w="4827" w:type="dxa"/>
            <w:gridSpan w:val="2"/>
            <w:tcBorders>
              <w:top w:val="single" w:sz="4" w:space="0" w:color="auto"/>
              <w:left w:val="single" w:sz="4" w:space="0" w:color="auto"/>
              <w:bottom w:val="single" w:sz="4" w:space="0" w:color="auto"/>
              <w:right w:val="single" w:sz="4" w:space="0" w:color="auto"/>
            </w:tcBorders>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(0,6730 til 1,0013)</w:t>
            </w:r>
          </w:p>
        </w:tc>
      </w:tr>
      <w:tr w:rsidR="00515A85" w:rsidRPr="00F23835" w:rsidTr="009B6BD9">
        <w:tc>
          <w:tcPr>
            <w:tcW w:w="4805" w:type="dxa"/>
            <w:tcBorders>
              <w:top w:val="single" w:sz="4" w:space="0" w:color="auto"/>
              <w:left w:val="single" w:sz="4" w:space="0" w:color="auto"/>
              <w:bottom w:val="single" w:sz="4" w:space="0" w:color="auto"/>
              <w:right w:val="single" w:sz="4" w:space="0" w:color="auto"/>
            </w:tcBorders>
            <w:hideMark/>
          </w:tcPr>
          <w:p w:rsidR="00515A85" w:rsidRPr="00F23835" w:rsidRDefault="00515A85" w:rsidP="009B6BD9">
            <w:pPr>
              <w:spacing w:line="256" w:lineRule="auto"/>
              <w:rPr>
                <w:color w:val="000000"/>
                <w:sz w:val="24"/>
                <w:szCs w:val="24"/>
                <w:lang w:eastAsia="en-GB"/>
              </w:rPr>
            </w:pPr>
            <w:r w:rsidRPr="00F23835">
              <w:rPr>
                <w:color w:val="000000"/>
                <w:sz w:val="24"/>
                <w:szCs w:val="24"/>
                <w:lang w:eastAsia="en-GB"/>
              </w:rPr>
              <w:t>p-værdi</w:t>
            </w:r>
            <w:r w:rsidRPr="00F23835">
              <w:rPr>
                <w:color w:val="000000"/>
                <w:sz w:val="24"/>
                <w:szCs w:val="24"/>
                <w:vertAlign w:val="superscript"/>
                <w:lang w:eastAsia="en-GB"/>
              </w:rPr>
              <w:t>a</w:t>
            </w:r>
          </w:p>
        </w:tc>
        <w:tc>
          <w:tcPr>
            <w:tcW w:w="4827" w:type="dxa"/>
            <w:gridSpan w:val="2"/>
            <w:tcBorders>
              <w:top w:val="single" w:sz="4" w:space="0" w:color="auto"/>
              <w:left w:val="single" w:sz="4" w:space="0" w:color="auto"/>
              <w:bottom w:val="single" w:sz="4" w:space="0" w:color="auto"/>
              <w:right w:val="single" w:sz="4" w:space="0" w:color="auto"/>
            </w:tcBorders>
            <w:hideMark/>
          </w:tcPr>
          <w:p w:rsidR="00515A85" w:rsidRPr="00F23835" w:rsidRDefault="00515A85" w:rsidP="009B6BD9">
            <w:pPr>
              <w:spacing w:line="256" w:lineRule="auto"/>
              <w:jc w:val="center"/>
              <w:rPr>
                <w:color w:val="000000"/>
                <w:sz w:val="24"/>
                <w:szCs w:val="24"/>
                <w:lang w:eastAsia="en-GB"/>
              </w:rPr>
            </w:pPr>
            <w:r w:rsidRPr="00F23835">
              <w:rPr>
                <w:color w:val="000000"/>
                <w:sz w:val="24"/>
                <w:szCs w:val="24"/>
                <w:lang w:eastAsia="en-GB"/>
              </w:rPr>
              <w:t>0,0510</w:t>
            </w:r>
          </w:p>
        </w:tc>
      </w:tr>
    </w:tbl>
    <w:p w:rsidR="00515A85" w:rsidRPr="00F23835" w:rsidRDefault="00515A85" w:rsidP="00515A85">
      <w:pPr>
        <w:spacing w:before="12" w:line="268" w:lineRule="auto"/>
        <w:ind w:left="358" w:right="1564"/>
        <w:rPr>
          <w:sz w:val="24"/>
          <w:szCs w:val="24"/>
        </w:rPr>
      </w:pPr>
      <w:r w:rsidRPr="00F23835">
        <w:rPr>
          <w:sz w:val="24"/>
          <w:szCs w:val="24"/>
        </w:rPr>
        <w:t>Forkortelser: CI=konfidensinterval; IFN-α=interferon-alfa; ITT=intent-to-treat; N=antal patienter; NA= ikke relevant; OS=samlet overlevelse; PFS= progressions-fri overlevelse.</w:t>
      </w:r>
    </w:p>
    <w:p w:rsidR="00515A85" w:rsidRPr="00F23835" w:rsidRDefault="00515A85" w:rsidP="00515A85">
      <w:pPr>
        <w:spacing w:line="204" w:lineRule="exact"/>
        <w:ind w:left="358"/>
        <w:rPr>
          <w:sz w:val="24"/>
          <w:szCs w:val="24"/>
        </w:rPr>
      </w:pPr>
      <w:r w:rsidRPr="00F23835">
        <w:rPr>
          <w:position w:val="9"/>
          <w:sz w:val="24"/>
          <w:szCs w:val="24"/>
        </w:rPr>
        <w:t xml:space="preserve">a </w:t>
      </w:r>
      <w:r w:rsidRPr="00F23835">
        <w:rPr>
          <w:sz w:val="24"/>
          <w:szCs w:val="24"/>
        </w:rPr>
        <w:t>Fra en 2-sidet log-rank test.</w:t>
      </w:r>
    </w:p>
    <w:p w:rsidR="00515A85" w:rsidRPr="00F23835" w:rsidRDefault="00515A85" w:rsidP="00515A85">
      <w:pPr>
        <w:pStyle w:val="Brdtekst"/>
        <w:rPr>
          <w:sz w:val="24"/>
          <w:szCs w:val="24"/>
          <w:lang w:val="da-DK"/>
        </w:rPr>
      </w:pPr>
    </w:p>
    <w:p w:rsidR="00515A85" w:rsidRPr="00F23835" w:rsidRDefault="00515A85" w:rsidP="00515A85">
      <w:pPr>
        <w:pStyle w:val="Brdtekst"/>
        <w:ind w:left="851"/>
        <w:rPr>
          <w:i/>
          <w:sz w:val="24"/>
          <w:szCs w:val="24"/>
          <w:lang w:val="da-DK"/>
        </w:rPr>
      </w:pPr>
      <w:r w:rsidRPr="00F23835">
        <w:rPr>
          <w:i/>
          <w:sz w:val="24"/>
          <w:szCs w:val="24"/>
          <w:lang w:val="da-DK"/>
        </w:rPr>
        <w:t>Cytokin-refraktær, metastaserende renalcellekarcinom</w:t>
      </w:r>
    </w:p>
    <w:p w:rsidR="00515A85" w:rsidRPr="00F23835" w:rsidRDefault="00515A85" w:rsidP="00515A85">
      <w:pPr>
        <w:pStyle w:val="Brdtekst"/>
        <w:ind w:left="851"/>
        <w:rPr>
          <w:sz w:val="24"/>
          <w:szCs w:val="24"/>
          <w:lang w:val="da-DK"/>
        </w:rPr>
      </w:pPr>
      <w:r w:rsidRPr="00F23835">
        <w:rPr>
          <w:sz w:val="24"/>
          <w:szCs w:val="24"/>
          <w:lang w:val="da-DK"/>
        </w:rPr>
        <w:t>Et fase 2 studie af sunitinib blev udført hos patienter, som var refraktære før cytokinbehandling med interleukin-2 eller IFN-</w:t>
      </w:r>
      <w:r w:rsidRPr="00F23835">
        <w:rPr>
          <w:sz w:val="24"/>
          <w:szCs w:val="24"/>
        </w:rPr>
        <w:t>α</w:t>
      </w:r>
      <w:r w:rsidRPr="00F23835">
        <w:rPr>
          <w:sz w:val="24"/>
          <w:szCs w:val="24"/>
          <w:lang w:val="da-DK"/>
        </w:rPr>
        <w:t xml:space="preserve">. 63 patienter fik en oral initialdosis på 50 mg sunitinib 1 gang daglig i 4 på hinanden følgende uger efterfulgt af 2 ugers pause for at fuldføre en fuldstændig cyklus på 6 uger (doseringsskema 4/2). Det primære effektendepunkt var den objektive responsrate (ORR) baseret på </w:t>
      </w:r>
      <w:r w:rsidRPr="00F23835">
        <w:rPr>
          <w:i/>
          <w:sz w:val="24"/>
          <w:szCs w:val="24"/>
          <w:lang w:val="da-DK"/>
        </w:rPr>
        <w:t>Response Evaluation Criteria in Solid Tumours (</w:t>
      </w:r>
      <w:r w:rsidRPr="00F23835">
        <w:rPr>
          <w:sz w:val="24"/>
          <w:szCs w:val="24"/>
          <w:lang w:val="da-DK"/>
        </w:rPr>
        <w:t>RECIST = respons evaluering af kriterier for solide tumorer).</w:t>
      </w:r>
    </w:p>
    <w:p w:rsidR="00515A85" w:rsidRPr="00F23835" w:rsidRDefault="00515A85" w:rsidP="00515A85">
      <w:pPr>
        <w:ind w:left="851"/>
        <w:rPr>
          <w:sz w:val="24"/>
          <w:szCs w:val="24"/>
        </w:rPr>
      </w:pPr>
    </w:p>
    <w:p w:rsidR="00515A85" w:rsidRPr="00F23835" w:rsidRDefault="00515A85" w:rsidP="00515A85">
      <w:pPr>
        <w:pStyle w:val="Brdtekst"/>
        <w:ind w:left="851"/>
        <w:rPr>
          <w:sz w:val="24"/>
          <w:szCs w:val="24"/>
          <w:lang w:val="da-DK"/>
        </w:rPr>
      </w:pPr>
      <w:r w:rsidRPr="00F23835">
        <w:rPr>
          <w:sz w:val="24"/>
          <w:szCs w:val="24"/>
          <w:lang w:val="da-DK"/>
        </w:rPr>
        <w:t>I dette studie var den objektive responsrate 36,5 % (95 % CI: 24,7 %-49,6 %) og medianTTP var 37,7 uger (95 % CI: 24,0-46,4).</w:t>
      </w:r>
    </w:p>
    <w:p w:rsidR="00515A85" w:rsidRPr="00F23835" w:rsidRDefault="00515A85" w:rsidP="00515A85">
      <w:pPr>
        <w:pStyle w:val="Brdtekst"/>
        <w:ind w:left="851"/>
        <w:rPr>
          <w:sz w:val="24"/>
          <w:szCs w:val="24"/>
          <w:lang w:val="da-DK"/>
        </w:rPr>
      </w:pPr>
    </w:p>
    <w:p w:rsidR="00515A85" w:rsidRPr="00F23835" w:rsidRDefault="00515A85" w:rsidP="00515A85">
      <w:pPr>
        <w:pStyle w:val="Brdtekst"/>
        <w:ind w:left="851"/>
        <w:rPr>
          <w:sz w:val="24"/>
          <w:szCs w:val="24"/>
          <w:lang w:val="da-DK"/>
        </w:rPr>
      </w:pPr>
      <w:r w:rsidRPr="00F23835">
        <w:rPr>
          <w:sz w:val="24"/>
          <w:szCs w:val="24"/>
          <w:lang w:val="da-DK"/>
        </w:rPr>
        <w:t>Et bekræftende åben, enkelt-arm, multicenterunderstudie, der evaluerede effekt og sikkerhed af sunitinib, blev udført hos patienter med mRCC, som var rekfraktære til tidligere cytokinbehandling. 106 patienter fik mindst en 50 mg dosis af sunitinib efter doseringsskema 4/2.</w:t>
      </w:r>
    </w:p>
    <w:p w:rsidR="00515A85" w:rsidRPr="00F23835" w:rsidRDefault="00515A85" w:rsidP="00515A85">
      <w:pPr>
        <w:pStyle w:val="Brdtekst"/>
        <w:ind w:left="851"/>
        <w:rPr>
          <w:sz w:val="24"/>
          <w:szCs w:val="24"/>
          <w:lang w:val="da-DK"/>
        </w:rPr>
      </w:pPr>
    </w:p>
    <w:p w:rsidR="00515A85" w:rsidRPr="00F23835" w:rsidRDefault="00515A85" w:rsidP="00515A85">
      <w:pPr>
        <w:pStyle w:val="Brdtekst"/>
        <w:ind w:left="851"/>
        <w:rPr>
          <w:sz w:val="24"/>
          <w:szCs w:val="24"/>
          <w:lang w:val="da-DK"/>
        </w:rPr>
      </w:pPr>
      <w:r w:rsidRPr="00F23835">
        <w:rPr>
          <w:sz w:val="24"/>
          <w:szCs w:val="24"/>
          <w:lang w:val="da-DK"/>
        </w:rPr>
        <w:lastRenderedPageBreak/>
        <w:t>Det primære effektendepunkt i dette studie var ORR. Sekundære endepunkter omfattede TTP, varighed af respons (DR) og OS.</w:t>
      </w:r>
    </w:p>
    <w:p w:rsidR="00515A85" w:rsidRPr="00F23835" w:rsidRDefault="00515A85" w:rsidP="00515A85">
      <w:pPr>
        <w:pStyle w:val="Brdtekst"/>
        <w:ind w:left="851"/>
        <w:rPr>
          <w:sz w:val="24"/>
          <w:szCs w:val="24"/>
          <w:lang w:val="da-DK"/>
        </w:rPr>
      </w:pPr>
    </w:p>
    <w:p w:rsidR="00515A85" w:rsidRPr="00F23835" w:rsidRDefault="00515A85" w:rsidP="00515A85">
      <w:pPr>
        <w:pStyle w:val="Brdtekst"/>
        <w:ind w:left="851"/>
        <w:rPr>
          <w:sz w:val="24"/>
          <w:szCs w:val="24"/>
          <w:lang w:val="da-DK"/>
        </w:rPr>
      </w:pPr>
      <w:r w:rsidRPr="00F23835">
        <w:rPr>
          <w:sz w:val="24"/>
          <w:szCs w:val="24"/>
          <w:lang w:val="da-DK"/>
        </w:rPr>
        <w:t>I dette studie var ORR 35,8 % (95 % CI: 26,8 %-47,5 %). Median DR og OS er endnu ikke nået.</w:t>
      </w:r>
    </w:p>
    <w:p w:rsidR="00515A85" w:rsidRPr="00F23835" w:rsidRDefault="00515A85" w:rsidP="00515A85">
      <w:pPr>
        <w:pStyle w:val="Brdtekst"/>
        <w:ind w:left="851"/>
        <w:rPr>
          <w:sz w:val="24"/>
          <w:szCs w:val="24"/>
          <w:lang w:val="da-DK"/>
        </w:rPr>
      </w:pPr>
    </w:p>
    <w:p w:rsidR="00515A85" w:rsidRPr="00F23835" w:rsidRDefault="00515A85" w:rsidP="00515A85">
      <w:pPr>
        <w:pStyle w:val="Brdtekst"/>
        <w:ind w:left="851"/>
        <w:rPr>
          <w:i/>
          <w:sz w:val="24"/>
          <w:szCs w:val="24"/>
          <w:lang w:val="da-DK"/>
        </w:rPr>
      </w:pPr>
      <w:r w:rsidRPr="00F23835">
        <w:rPr>
          <w:i/>
          <w:sz w:val="24"/>
          <w:szCs w:val="24"/>
          <w:lang w:val="da-DK"/>
        </w:rPr>
        <w:t>Neuroendokrine tumorer i pancreas</w:t>
      </w:r>
    </w:p>
    <w:p w:rsidR="00515A85" w:rsidRPr="00F23835" w:rsidRDefault="00515A85" w:rsidP="00515A85">
      <w:pPr>
        <w:pStyle w:val="Brdtekst"/>
        <w:ind w:left="851"/>
        <w:rPr>
          <w:sz w:val="24"/>
          <w:szCs w:val="24"/>
          <w:lang w:val="da-DK"/>
        </w:rPr>
      </w:pPr>
      <w:r w:rsidRPr="00F23835">
        <w:rPr>
          <w:sz w:val="24"/>
          <w:szCs w:val="24"/>
          <w:lang w:val="da-DK"/>
        </w:rPr>
        <w:t xml:space="preserve">Et underbyggende, åbent, fase 2, multicenterstudie undersøgte effekt og sikkerhed af monoterapi med sunitinib 50 mg daglig i skema 4/2 hos patienter med inoperabel pNET. I en kohorte på 66 patienter med ø-celle tumorer var responsraten - det primære endepunkt </w:t>
      </w:r>
      <w:r w:rsidR="00355123">
        <w:rPr>
          <w:sz w:val="24"/>
          <w:szCs w:val="24"/>
          <w:lang w:val="da-DK"/>
        </w:rPr>
        <w:t>–</w:t>
      </w:r>
      <w:r w:rsidRPr="00F23835">
        <w:rPr>
          <w:sz w:val="24"/>
          <w:szCs w:val="24"/>
          <w:lang w:val="da-DK"/>
        </w:rPr>
        <w:t xml:space="preserve"> 17</w:t>
      </w:r>
      <w:r w:rsidR="00355123">
        <w:rPr>
          <w:sz w:val="24"/>
          <w:szCs w:val="24"/>
          <w:lang w:val="da-DK"/>
        </w:rPr>
        <w:t> </w:t>
      </w:r>
      <w:r w:rsidRPr="00F23835">
        <w:rPr>
          <w:sz w:val="24"/>
          <w:szCs w:val="24"/>
          <w:lang w:val="da-DK"/>
        </w:rPr>
        <w:t>%.</w:t>
      </w:r>
    </w:p>
    <w:p w:rsidR="00515A85" w:rsidRPr="00F23835" w:rsidRDefault="00515A85" w:rsidP="00515A85">
      <w:pPr>
        <w:pStyle w:val="Brdtekst"/>
        <w:ind w:left="851"/>
        <w:rPr>
          <w:sz w:val="24"/>
          <w:szCs w:val="24"/>
          <w:lang w:val="da-DK"/>
        </w:rPr>
      </w:pPr>
    </w:p>
    <w:p w:rsidR="00515A85" w:rsidRPr="00F23835" w:rsidRDefault="00515A85" w:rsidP="00515A85">
      <w:pPr>
        <w:pStyle w:val="Brdtekst"/>
        <w:ind w:left="851"/>
        <w:rPr>
          <w:sz w:val="24"/>
          <w:szCs w:val="24"/>
          <w:lang w:val="da-DK"/>
        </w:rPr>
      </w:pPr>
      <w:r w:rsidRPr="00F23835">
        <w:rPr>
          <w:sz w:val="24"/>
          <w:szCs w:val="24"/>
          <w:lang w:val="da-DK"/>
        </w:rPr>
        <w:t>Et pivotalt fase 3, multicenter, internationalt, randomiseret, dobbeltblindt, placebo-kontrolleret studie med monoterapi med sunitinib blev gennemført på patienter med inoperabel pNET.</w:t>
      </w:r>
    </w:p>
    <w:p w:rsidR="00515A85" w:rsidRPr="00F23835" w:rsidRDefault="00515A85" w:rsidP="00515A85">
      <w:pPr>
        <w:pStyle w:val="Brdtekst"/>
        <w:ind w:left="851"/>
        <w:rPr>
          <w:sz w:val="24"/>
          <w:szCs w:val="24"/>
          <w:lang w:val="da-DK"/>
        </w:rPr>
      </w:pPr>
    </w:p>
    <w:p w:rsidR="00515A85" w:rsidRPr="00F23835" w:rsidRDefault="00515A85" w:rsidP="00515A85">
      <w:pPr>
        <w:pStyle w:val="Brdtekst"/>
        <w:ind w:left="851"/>
        <w:rPr>
          <w:sz w:val="24"/>
          <w:szCs w:val="24"/>
          <w:lang w:val="da-DK"/>
        </w:rPr>
      </w:pPr>
      <w:r w:rsidRPr="00F23835">
        <w:rPr>
          <w:sz w:val="24"/>
          <w:szCs w:val="24"/>
          <w:lang w:val="da-DK"/>
        </w:rPr>
        <w:t>Patienter skulle have dokumenteret progression, baseret på RECIST inden for de sidste 12 måneder, og blev randomiseret (1:1) til at få enten 37,5 mg sunitinib 1 gang daglig uden planlagte pauser (n = 86) eller placebo (n = 85).</w:t>
      </w:r>
    </w:p>
    <w:p w:rsidR="00515A85" w:rsidRPr="00F23835" w:rsidRDefault="00515A85" w:rsidP="00515A85">
      <w:pPr>
        <w:pStyle w:val="Brdtekst"/>
        <w:ind w:left="851"/>
        <w:rPr>
          <w:sz w:val="24"/>
          <w:szCs w:val="24"/>
          <w:lang w:val="da-DK"/>
        </w:rPr>
      </w:pPr>
    </w:p>
    <w:p w:rsidR="00515A85" w:rsidRPr="00F23835" w:rsidRDefault="00515A85" w:rsidP="00515A85">
      <w:pPr>
        <w:pStyle w:val="Brdtekst"/>
        <w:ind w:left="851"/>
        <w:rPr>
          <w:sz w:val="24"/>
          <w:szCs w:val="24"/>
          <w:lang w:val="da-DK"/>
        </w:rPr>
      </w:pPr>
      <w:r w:rsidRPr="00F23835">
        <w:rPr>
          <w:sz w:val="24"/>
          <w:szCs w:val="24"/>
          <w:lang w:val="da-DK"/>
        </w:rPr>
        <w:t xml:space="preserve">Det primære mål var at sammenligne PFS hos patienter, som fik sunitinib, </w:t>
      </w:r>
      <w:r w:rsidRPr="00F23835">
        <w:rPr>
          <w:i/>
          <w:sz w:val="24"/>
          <w:szCs w:val="24"/>
          <w:lang w:val="da-DK"/>
        </w:rPr>
        <w:t xml:space="preserve">versus </w:t>
      </w:r>
      <w:r w:rsidRPr="00F23835">
        <w:rPr>
          <w:sz w:val="24"/>
          <w:szCs w:val="24"/>
          <w:lang w:val="da-DK"/>
        </w:rPr>
        <w:t>patienter, som fik placebo. Andre parametre omfattede OS, ORR, PRO og sikkerhed.</w:t>
      </w:r>
    </w:p>
    <w:p w:rsidR="00515A85" w:rsidRPr="00F23835" w:rsidRDefault="00515A85" w:rsidP="00515A85">
      <w:pPr>
        <w:pStyle w:val="Brdtekst"/>
        <w:ind w:left="851"/>
        <w:rPr>
          <w:sz w:val="24"/>
          <w:szCs w:val="24"/>
          <w:lang w:val="da-DK"/>
        </w:rPr>
      </w:pPr>
    </w:p>
    <w:p w:rsidR="00515A85" w:rsidRPr="00F23835" w:rsidRDefault="00515A85" w:rsidP="00515A85">
      <w:pPr>
        <w:pStyle w:val="Brdtekst"/>
        <w:ind w:left="851"/>
        <w:rPr>
          <w:sz w:val="24"/>
          <w:szCs w:val="24"/>
          <w:lang w:val="da-DK"/>
        </w:rPr>
      </w:pPr>
      <w:r w:rsidRPr="00F23835">
        <w:rPr>
          <w:sz w:val="24"/>
          <w:szCs w:val="24"/>
          <w:lang w:val="da-DK"/>
        </w:rPr>
        <w:t>Demografiske data var sammenlignelige mellem sunitinib- og placebogrupperne. Desuden havde 49 % af sunitinib-patienterne tumorer uden funktion versus 52 % af placebo-patienterne, og 92 % af patienterne i begge behandlingsarme havde levermetastaser.</w:t>
      </w:r>
    </w:p>
    <w:p w:rsidR="00515A85" w:rsidRPr="00F23835" w:rsidRDefault="00515A85" w:rsidP="00515A85">
      <w:pPr>
        <w:pStyle w:val="Brdtekst"/>
        <w:ind w:left="851"/>
        <w:rPr>
          <w:sz w:val="24"/>
          <w:szCs w:val="24"/>
          <w:lang w:val="da-DK"/>
        </w:rPr>
      </w:pPr>
    </w:p>
    <w:p w:rsidR="00515A85" w:rsidRPr="00F23835" w:rsidRDefault="00515A85" w:rsidP="00515A85">
      <w:pPr>
        <w:pStyle w:val="Brdtekst"/>
        <w:ind w:left="851"/>
        <w:rPr>
          <w:sz w:val="24"/>
          <w:szCs w:val="24"/>
          <w:lang w:val="da-DK"/>
        </w:rPr>
      </w:pPr>
      <w:r w:rsidRPr="00F23835">
        <w:rPr>
          <w:sz w:val="24"/>
          <w:szCs w:val="24"/>
          <w:lang w:val="da-DK"/>
        </w:rPr>
        <w:t>Brug af somatostain-analoger var tilladt i studiet.</w:t>
      </w:r>
    </w:p>
    <w:p w:rsidR="00515A85" w:rsidRPr="00F23835" w:rsidRDefault="00515A85" w:rsidP="00515A85">
      <w:pPr>
        <w:pStyle w:val="Brdtekst"/>
        <w:ind w:left="851"/>
        <w:rPr>
          <w:sz w:val="24"/>
          <w:szCs w:val="24"/>
          <w:lang w:val="da-DK"/>
        </w:rPr>
      </w:pPr>
    </w:p>
    <w:p w:rsidR="00515A85" w:rsidRPr="00F23835" w:rsidRDefault="00515A85" w:rsidP="00515A85">
      <w:pPr>
        <w:pStyle w:val="Brdtekst"/>
        <w:ind w:left="851"/>
        <w:rPr>
          <w:sz w:val="24"/>
          <w:szCs w:val="24"/>
          <w:lang w:val="da-DK"/>
        </w:rPr>
      </w:pPr>
      <w:r w:rsidRPr="00F23835">
        <w:rPr>
          <w:sz w:val="24"/>
          <w:szCs w:val="24"/>
          <w:lang w:val="da-DK"/>
        </w:rPr>
        <w:t>I alt 66 % af sunitinib-patienterne fik forudgående systemisk behandling sammenlignet med 72 % af placebo-patienterne. Derudover havde 24 % af sunitinib-patienterne fået somatostatin-analoger sammenlignet med 22 % af placebo-patienterne.</w:t>
      </w:r>
    </w:p>
    <w:p w:rsidR="00515A85" w:rsidRPr="00F23835" w:rsidRDefault="00515A85" w:rsidP="00515A85">
      <w:pPr>
        <w:pStyle w:val="Brdtekst"/>
        <w:ind w:left="851"/>
        <w:rPr>
          <w:sz w:val="24"/>
          <w:szCs w:val="24"/>
          <w:lang w:val="da-DK"/>
        </w:rPr>
      </w:pPr>
    </w:p>
    <w:p w:rsidR="00515A85" w:rsidRPr="00F23835" w:rsidRDefault="00515A85" w:rsidP="00515A85">
      <w:pPr>
        <w:pStyle w:val="Brdtekst"/>
        <w:ind w:left="851"/>
        <w:rPr>
          <w:sz w:val="24"/>
          <w:szCs w:val="24"/>
          <w:lang w:val="da-DK"/>
        </w:rPr>
      </w:pPr>
      <w:r w:rsidRPr="00F23835">
        <w:rPr>
          <w:sz w:val="24"/>
          <w:szCs w:val="24"/>
          <w:lang w:val="da-DK"/>
        </w:rPr>
        <w:t xml:space="preserve">Sunitinib viste en klinisk signifikant fordel i investigator-vurderet PFS i forhold til placebo. Den mediane PFS var 11,4 måneder for sunitinib og 5,5 måneder for placebo [hazard ratio: 0,418 (95 % CI: 0,263- 0,662), p = 0,0001]; lignende resultater blev set, når responsvurdering baseret på RECIST, sammenholdt med investigator-tumor-måling blev brugt til at bestemme sygdomsprogression, som vist i tabel 4. En hazard ratio til fordel for sunitinib blev set i alle undergrupper af evaluerede </w:t>
      </w:r>
      <w:r w:rsidRPr="00F23835">
        <w:rPr>
          <w:i/>
          <w:sz w:val="24"/>
          <w:szCs w:val="24"/>
          <w:lang w:val="da-DK"/>
        </w:rPr>
        <w:t>baseline</w:t>
      </w:r>
      <w:r w:rsidRPr="00F23835">
        <w:rPr>
          <w:sz w:val="24"/>
          <w:szCs w:val="24"/>
          <w:lang w:val="da-DK"/>
        </w:rPr>
        <w:t>- karakteristika, inklusive en analyse af antallet af forudgående systemiske behandlinger. I alt 29 sunitinib-behandlede patienter og 24 placebo-behandlede patienter havde ikke fået forudgående systemisk behandling; blandt disse patienter var hazard ratio for PFS 0,365 (95 % CI: 0,156 - 0,857), p = 0,0156. Ligeledes var hazard ratio for PFS 0,456 (95 % CI: 0,264 - 0,787), p = 0,0036 blandt 57 sunitinib-behandlede patienter (inklusive 28 med 1 forudgående systemisk behandling og 29 med 2 forudgående systemiske behandlinger) og 61 placebo-behandlede patienter (inklusive 25 med 1 forudgående systemisk behandling og 36 med 2 forudgående systemiske behandlinger).</w:t>
      </w:r>
    </w:p>
    <w:p w:rsidR="00515A85" w:rsidRPr="00F23835" w:rsidRDefault="00515A85" w:rsidP="00515A85">
      <w:pPr>
        <w:pStyle w:val="Brdtekst"/>
        <w:ind w:left="851"/>
        <w:rPr>
          <w:sz w:val="24"/>
          <w:szCs w:val="24"/>
          <w:lang w:val="da-DK"/>
        </w:rPr>
      </w:pPr>
    </w:p>
    <w:p w:rsidR="00515A85" w:rsidRPr="00F23835" w:rsidRDefault="00515A85" w:rsidP="00515A85">
      <w:pPr>
        <w:pStyle w:val="Brdtekst"/>
        <w:ind w:left="851"/>
        <w:rPr>
          <w:sz w:val="24"/>
          <w:szCs w:val="24"/>
          <w:lang w:val="da-DK"/>
        </w:rPr>
      </w:pPr>
      <w:r w:rsidRPr="00F23835">
        <w:rPr>
          <w:sz w:val="24"/>
          <w:szCs w:val="24"/>
          <w:lang w:val="da-DK"/>
        </w:rPr>
        <w:t xml:space="preserve">En følsomhedsanalyse af PFS blev udført, hvor progression var baseret på investigator-rapporterede tumormålinger, og hvor alle individer, censureret efter årsager andre end afslutning af studiet, blev opgjort som PFS-hændelser. Denne analyse gav et konservativt skøn </w:t>
      </w:r>
      <w:r w:rsidRPr="00F23835">
        <w:rPr>
          <w:sz w:val="24"/>
          <w:szCs w:val="24"/>
          <w:lang w:val="da-DK"/>
        </w:rPr>
        <w:lastRenderedPageBreak/>
        <w:t>over behandlingseffekten af sunitinib og støttede den primære analyse, som viste en hazard ratio på 0,507 (95 % CI: 0,350 - 0,733), p = 0,000193. Pivotal-studiet af NET i pancreas blev afsluttet før tid efter anbefaling fra en uafhængig lægemiddel-monitorerings-komité, og den primære parameter var baseret på investigatorvurdering, begge faktorer kan have haft indflydelse på skønnet over behandlingseffekten.</w:t>
      </w:r>
    </w:p>
    <w:p w:rsidR="00515A85" w:rsidRPr="00F23835" w:rsidRDefault="00515A85" w:rsidP="00515A85">
      <w:pPr>
        <w:pStyle w:val="Brdtekst"/>
        <w:ind w:left="851"/>
        <w:rPr>
          <w:sz w:val="24"/>
          <w:szCs w:val="24"/>
          <w:lang w:val="da-DK"/>
        </w:rPr>
      </w:pPr>
    </w:p>
    <w:p w:rsidR="00515A85" w:rsidRPr="00F23835" w:rsidRDefault="00515A85" w:rsidP="00515A85">
      <w:pPr>
        <w:pStyle w:val="Brdtekst"/>
        <w:ind w:left="851"/>
        <w:rPr>
          <w:sz w:val="24"/>
          <w:szCs w:val="24"/>
          <w:lang w:val="da-DK"/>
        </w:rPr>
      </w:pPr>
      <w:r w:rsidRPr="00F23835">
        <w:rPr>
          <w:sz w:val="24"/>
          <w:szCs w:val="24"/>
          <w:lang w:val="da-DK"/>
        </w:rPr>
        <w:t>For at udelukke bias i den investigator-baserede PFS-vurdering blev der gennemført en blindet, uafhængig, central gennemgang af scanninger; denne gennemgang understøttede investigator-vurderingen, som vist i tabel 4.</w:t>
      </w:r>
    </w:p>
    <w:p w:rsidR="00515A85" w:rsidRPr="00F23835" w:rsidRDefault="00515A85" w:rsidP="00515A85">
      <w:pPr>
        <w:pStyle w:val="Brdtekst"/>
        <w:ind w:left="851"/>
        <w:rPr>
          <w:sz w:val="24"/>
          <w:szCs w:val="24"/>
          <w:lang w:val="da-DK"/>
        </w:rPr>
      </w:pPr>
    </w:p>
    <w:p w:rsidR="00515A85" w:rsidRPr="00F23835" w:rsidRDefault="00515A85" w:rsidP="00515A85">
      <w:pPr>
        <w:tabs>
          <w:tab w:val="left" w:pos="851"/>
        </w:tabs>
        <w:rPr>
          <w:rFonts w:eastAsia="TimesNewRoman,Bold"/>
          <w:b/>
          <w:bCs/>
          <w:sz w:val="24"/>
          <w:szCs w:val="24"/>
        </w:rPr>
      </w:pPr>
      <w:r w:rsidRPr="00F23835">
        <w:rPr>
          <w:rFonts w:eastAsia="TimesNewRoman,Bold"/>
          <w:b/>
          <w:bCs/>
          <w:sz w:val="24"/>
          <w:szCs w:val="24"/>
        </w:rPr>
        <w:t>Tabel 4 – pNET-effektresultater fra fase 3-studiet</w:t>
      </w:r>
    </w:p>
    <w:p w:rsidR="00515A85" w:rsidRPr="00F23835" w:rsidRDefault="00515A85" w:rsidP="00515A85">
      <w:pPr>
        <w:pStyle w:val="Brdtekst"/>
        <w:rPr>
          <w:b/>
          <w:sz w:val="24"/>
          <w:szCs w:val="24"/>
          <w:lang w:val="da-DK"/>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5"/>
        <w:gridCol w:w="1493"/>
        <w:gridCol w:w="1462"/>
        <w:gridCol w:w="1435"/>
        <w:gridCol w:w="1435"/>
      </w:tblGrid>
      <w:tr w:rsidR="00515A85" w:rsidRPr="00F23835" w:rsidTr="00355123">
        <w:trPr>
          <w:trHeight w:val="20"/>
        </w:trPr>
        <w:tc>
          <w:tcPr>
            <w:tcW w:w="3355" w:type="dxa"/>
            <w:tcBorders>
              <w:top w:val="single" w:sz="4" w:space="0" w:color="000000"/>
              <w:left w:val="single" w:sz="4" w:space="0" w:color="000000"/>
              <w:bottom w:val="single" w:sz="4" w:space="0" w:color="000000"/>
              <w:right w:val="single" w:sz="4" w:space="0" w:color="000000"/>
            </w:tcBorders>
            <w:hideMark/>
          </w:tcPr>
          <w:p w:rsidR="00515A85" w:rsidRPr="00F23835" w:rsidRDefault="00515A85" w:rsidP="009B6BD9">
            <w:pPr>
              <w:pStyle w:val="Brdtekst"/>
              <w:spacing w:line="256" w:lineRule="auto"/>
              <w:rPr>
                <w:b/>
                <w:sz w:val="24"/>
                <w:szCs w:val="24"/>
              </w:rPr>
            </w:pPr>
            <w:r w:rsidRPr="00F23835">
              <w:rPr>
                <w:b/>
                <w:sz w:val="24"/>
                <w:szCs w:val="24"/>
              </w:rPr>
              <w:t>Effektparameter</w:t>
            </w:r>
          </w:p>
        </w:tc>
        <w:tc>
          <w:tcPr>
            <w:tcW w:w="1493" w:type="dxa"/>
            <w:tcBorders>
              <w:top w:val="single" w:sz="4" w:space="0" w:color="000000"/>
              <w:left w:val="single" w:sz="4" w:space="0" w:color="000000"/>
              <w:bottom w:val="single" w:sz="4" w:space="0" w:color="000000"/>
              <w:right w:val="single" w:sz="4" w:space="0" w:color="000000"/>
            </w:tcBorders>
            <w:hideMark/>
          </w:tcPr>
          <w:p w:rsidR="00515A85" w:rsidRPr="00F23835" w:rsidRDefault="00515A85" w:rsidP="009B6BD9">
            <w:pPr>
              <w:pStyle w:val="Brdtekst"/>
              <w:spacing w:line="256" w:lineRule="auto"/>
              <w:jc w:val="center"/>
              <w:rPr>
                <w:b/>
                <w:sz w:val="24"/>
                <w:szCs w:val="24"/>
              </w:rPr>
            </w:pPr>
            <w:r w:rsidRPr="00F23835">
              <w:rPr>
                <w:b/>
                <w:sz w:val="24"/>
                <w:szCs w:val="24"/>
              </w:rPr>
              <w:t xml:space="preserve">Sunitinib </w:t>
            </w:r>
            <w:r w:rsidRPr="00F23835">
              <w:rPr>
                <w:b/>
                <w:sz w:val="24"/>
                <w:szCs w:val="24"/>
              </w:rPr>
              <w:br/>
              <w:t>(n = 86)</w:t>
            </w:r>
          </w:p>
        </w:tc>
        <w:tc>
          <w:tcPr>
            <w:tcW w:w="1462" w:type="dxa"/>
            <w:tcBorders>
              <w:top w:val="single" w:sz="4" w:space="0" w:color="000000"/>
              <w:left w:val="single" w:sz="4" w:space="0" w:color="000000"/>
              <w:bottom w:val="single" w:sz="4" w:space="0" w:color="000000"/>
              <w:right w:val="single" w:sz="4" w:space="0" w:color="000000"/>
            </w:tcBorders>
            <w:hideMark/>
          </w:tcPr>
          <w:p w:rsidR="00515A85" w:rsidRPr="00F23835" w:rsidRDefault="00515A85" w:rsidP="009B6BD9">
            <w:pPr>
              <w:pStyle w:val="Brdtekst"/>
              <w:spacing w:line="256" w:lineRule="auto"/>
              <w:jc w:val="center"/>
              <w:rPr>
                <w:b/>
                <w:sz w:val="24"/>
                <w:szCs w:val="24"/>
              </w:rPr>
            </w:pPr>
            <w:r w:rsidRPr="00F23835">
              <w:rPr>
                <w:b/>
                <w:sz w:val="24"/>
                <w:szCs w:val="24"/>
              </w:rPr>
              <w:t xml:space="preserve">Placebo </w:t>
            </w:r>
            <w:r w:rsidRPr="00F23835">
              <w:rPr>
                <w:b/>
                <w:sz w:val="24"/>
                <w:szCs w:val="24"/>
              </w:rPr>
              <w:br/>
              <w:t>(n = 85)</w:t>
            </w:r>
          </w:p>
        </w:tc>
        <w:tc>
          <w:tcPr>
            <w:tcW w:w="1435" w:type="dxa"/>
            <w:tcBorders>
              <w:top w:val="single" w:sz="4" w:space="0" w:color="000000"/>
              <w:left w:val="single" w:sz="4" w:space="0" w:color="000000"/>
              <w:bottom w:val="single" w:sz="4" w:space="0" w:color="000000"/>
              <w:right w:val="single" w:sz="4" w:space="0" w:color="000000"/>
            </w:tcBorders>
            <w:hideMark/>
          </w:tcPr>
          <w:p w:rsidR="00515A85" w:rsidRPr="00F23835" w:rsidRDefault="00515A85" w:rsidP="009B6BD9">
            <w:pPr>
              <w:pStyle w:val="Brdtekst"/>
              <w:spacing w:line="256" w:lineRule="auto"/>
              <w:jc w:val="center"/>
              <w:rPr>
                <w:b/>
                <w:sz w:val="24"/>
                <w:szCs w:val="24"/>
              </w:rPr>
            </w:pPr>
            <w:r w:rsidRPr="00F23835">
              <w:rPr>
                <w:b/>
                <w:sz w:val="24"/>
                <w:szCs w:val="24"/>
              </w:rPr>
              <w:t>Hazard Ratio (95 % CI)</w:t>
            </w:r>
          </w:p>
        </w:tc>
        <w:tc>
          <w:tcPr>
            <w:tcW w:w="1435" w:type="dxa"/>
            <w:tcBorders>
              <w:top w:val="single" w:sz="4" w:space="0" w:color="000000"/>
              <w:left w:val="single" w:sz="4" w:space="0" w:color="000000"/>
              <w:bottom w:val="single" w:sz="4" w:space="0" w:color="000000"/>
              <w:right w:val="single" w:sz="4" w:space="0" w:color="000000"/>
            </w:tcBorders>
            <w:hideMark/>
          </w:tcPr>
          <w:p w:rsidR="00515A85" w:rsidRPr="00F23835" w:rsidRDefault="00515A85" w:rsidP="009B6BD9">
            <w:pPr>
              <w:pStyle w:val="Brdtekst"/>
              <w:spacing w:line="256" w:lineRule="auto"/>
              <w:jc w:val="center"/>
              <w:rPr>
                <w:b/>
                <w:sz w:val="24"/>
                <w:szCs w:val="24"/>
              </w:rPr>
            </w:pPr>
            <w:r w:rsidRPr="00F23835">
              <w:rPr>
                <w:b/>
                <w:sz w:val="24"/>
                <w:szCs w:val="24"/>
              </w:rPr>
              <w:t>p-værdi</w:t>
            </w:r>
          </w:p>
        </w:tc>
      </w:tr>
      <w:tr w:rsidR="00515A85" w:rsidRPr="00F23835" w:rsidTr="00355123">
        <w:trPr>
          <w:trHeight w:val="20"/>
        </w:trPr>
        <w:tc>
          <w:tcPr>
            <w:tcW w:w="3355" w:type="dxa"/>
            <w:tcBorders>
              <w:top w:val="single" w:sz="4" w:space="0" w:color="000000"/>
              <w:left w:val="single" w:sz="4" w:space="0" w:color="000000"/>
              <w:bottom w:val="single" w:sz="4" w:space="0" w:color="000000"/>
              <w:right w:val="single" w:sz="4" w:space="0" w:color="000000"/>
            </w:tcBorders>
            <w:hideMark/>
          </w:tcPr>
          <w:p w:rsidR="00515A85" w:rsidRPr="00F23835" w:rsidRDefault="00515A85" w:rsidP="009B6BD9">
            <w:pPr>
              <w:pStyle w:val="Brdtekst"/>
              <w:spacing w:line="256" w:lineRule="auto"/>
              <w:rPr>
                <w:sz w:val="24"/>
                <w:szCs w:val="24"/>
                <w:lang w:val="da-DK"/>
              </w:rPr>
            </w:pPr>
            <w:r w:rsidRPr="00F23835">
              <w:rPr>
                <w:sz w:val="24"/>
                <w:szCs w:val="24"/>
                <w:lang w:val="da-DK"/>
              </w:rPr>
              <w:t>Progressionsfri overlevelse [median, måneder (95 % CI)] ved investigator-vurdering</w:t>
            </w:r>
          </w:p>
        </w:tc>
        <w:tc>
          <w:tcPr>
            <w:tcW w:w="1493" w:type="dxa"/>
            <w:tcBorders>
              <w:top w:val="single" w:sz="4" w:space="0" w:color="000000"/>
              <w:left w:val="single" w:sz="4" w:space="0" w:color="000000"/>
              <w:bottom w:val="single" w:sz="4" w:space="0" w:color="000000"/>
              <w:right w:val="single" w:sz="4" w:space="0" w:color="000000"/>
            </w:tcBorders>
            <w:hideMark/>
          </w:tcPr>
          <w:p w:rsidR="00515A85" w:rsidRPr="00F23835" w:rsidRDefault="00515A85" w:rsidP="009B6BD9">
            <w:pPr>
              <w:pStyle w:val="Brdtekst"/>
              <w:spacing w:line="256" w:lineRule="auto"/>
              <w:jc w:val="center"/>
              <w:rPr>
                <w:sz w:val="24"/>
                <w:szCs w:val="24"/>
              </w:rPr>
            </w:pPr>
            <w:r w:rsidRPr="00F23835">
              <w:rPr>
                <w:sz w:val="24"/>
                <w:szCs w:val="24"/>
              </w:rPr>
              <w:t>11,4</w:t>
            </w:r>
          </w:p>
          <w:p w:rsidR="00515A85" w:rsidRPr="00F23835" w:rsidRDefault="00515A85" w:rsidP="009B6BD9">
            <w:pPr>
              <w:pStyle w:val="Brdtekst"/>
              <w:spacing w:line="256" w:lineRule="auto"/>
              <w:jc w:val="center"/>
              <w:rPr>
                <w:sz w:val="24"/>
                <w:szCs w:val="24"/>
              </w:rPr>
            </w:pPr>
            <w:r w:rsidRPr="00F23835">
              <w:rPr>
                <w:sz w:val="24"/>
                <w:szCs w:val="24"/>
              </w:rPr>
              <w:t>(7,4; 19,8)</w:t>
            </w:r>
          </w:p>
        </w:tc>
        <w:tc>
          <w:tcPr>
            <w:tcW w:w="1462" w:type="dxa"/>
            <w:tcBorders>
              <w:top w:val="single" w:sz="4" w:space="0" w:color="000000"/>
              <w:left w:val="single" w:sz="4" w:space="0" w:color="000000"/>
              <w:bottom w:val="single" w:sz="4" w:space="0" w:color="000000"/>
              <w:right w:val="single" w:sz="4" w:space="0" w:color="000000"/>
            </w:tcBorders>
            <w:hideMark/>
          </w:tcPr>
          <w:p w:rsidR="00515A85" w:rsidRPr="00F23835" w:rsidRDefault="00515A85" w:rsidP="009B6BD9">
            <w:pPr>
              <w:pStyle w:val="Brdtekst"/>
              <w:spacing w:line="256" w:lineRule="auto"/>
              <w:jc w:val="center"/>
              <w:rPr>
                <w:sz w:val="24"/>
                <w:szCs w:val="24"/>
              </w:rPr>
            </w:pPr>
            <w:r w:rsidRPr="00F23835">
              <w:rPr>
                <w:sz w:val="24"/>
                <w:szCs w:val="24"/>
              </w:rPr>
              <w:t>5,5</w:t>
            </w:r>
          </w:p>
          <w:p w:rsidR="00515A85" w:rsidRPr="00F23835" w:rsidRDefault="00515A85" w:rsidP="009B6BD9">
            <w:pPr>
              <w:pStyle w:val="Brdtekst"/>
              <w:spacing w:line="256" w:lineRule="auto"/>
              <w:jc w:val="center"/>
              <w:rPr>
                <w:sz w:val="24"/>
                <w:szCs w:val="24"/>
              </w:rPr>
            </w:pPr>
            <w:r w:rsidRPr="00F23835">
              <w:rPr>
                <w:sz w:val="24"/>
                <w:szCs w:val="24"/>
              </w:rPr>
              <w:t>(3,6; 7,4)</w:t>
            </w:r>
          </w:p>
        </w:tc>
        <w:tc>
          <w:tcPr>
            <w:tcW w:w="1435" w:type="dxa"/>
            <w:tcBorders>
              <w:top w:val="single" w:sz="4" w:space="0" w:color="000000"/>
              <w:left w:val="single" w:sz="4" w:space="0" w:color="000000"/>
              <w:bottom w:val="single" w:sz="4" w:space="0" w:color="000000"/>
              <w:right w:val="single" w:sz="4" w:space="0" w:color="000000"/>
            </w:tcBorders>
            <w:hideMark/>
          </w:tcPr>
          <w:p w:rsidR="00515A85" w:rsidRPr="00F23835" w:rsidRDefault="00515A85" w:rsidP="009B6BD9">
            <w:pPr>
              <w:pStyle w:val="Brdtekst"/>
              <w:spacing w:line="256" w:lineRule="auto"/>
              <w:jc w:val="center"/>
              <w:rPr>
                <w:sz w:val="24"/>
                <w:szCs w:val="24"/>
              </w:rPr>
            </w:pPr>
            <w:r w:rsidRPr="00F23835">
              <w:rPr>
                <w:sz w:val="24"/>
                <w:szCs w:val="24"/>
              </w:rPr>
              <w:t>0,418</w:t>
            </w:r>
          </w:p>
          <w:p w:rsidR="00515A85" w:rsidRPr="00F23835" w:rsidRDefault="00515A85" w:rsidP="009B6BD9">
            <w:pPr>
              <w:pStyle w:val="Brdtekst"/>
              <w:spacing w:line="256" w:lineRule="auto"/>
              <w:jc w:val="center"/>
              <w:rPr>
                <w:sz w:val="24"/>
                <w:szCs w:val="24"/>
              </w:rPr>
            </w:pPr>
            <w:r w:rsidRPr="00F23835">
              <w:rPr>
                <w:sz w:val="24"/>
                <w:szCs w:val="24"/>
              </w:rPr>
              <w:t>(0,263; 0,662)</w:t>
            </w:r>
          </w:p>
        </w:tc>
        <w:tc>
          <w:tcPr>
            <w:tcW w:w="1435" w:type="dxa"/>
            <w:tcBorders>
              <w:top w:val="single" w:sz="4" w:space="0" w:color="000000"/>
              <w:left w:val="single" w:sz="4" w:space="0" w:color="000000"/>
              <w:bottom w:val="single" w:sz="4" w:space="0" w:color="000000"/>
              <w:right w:val="single" w:sz="4" w:space="0" w:color="000000"/>
            </w:tcBorders>
            <w:hideMark/>
          </w:tcPr>
          <w:p w:rsidR="00515A85" w:rsidRPr="00F23835" w:rsidRDefault="00515A85" w:rsidP="009B6BD9">
            <w:pPr>
              <w:pStyle w:val="Brdtekst"/>
              <w:spacing w:line="256" w:lineRule="auto"/>
              <w:jc w:val="center"/>
              <w:rPr>
                <w:sz w:val="24"/>
                <w:szCs w:val="24"/>
              </w:rPr>
            </w:pPr>
            <w:r w:rsidRPr="00F23835">
              <w:rPr>
                <w:sz w:val="24"/>
                <w:szCs w:val="24"/>
              </w:rPr>
              <w:t>0,0001</w:t>
            </w:r>
            <w:r w:rsidRPr="00F23835">
              <w:rPr>
                <w:sz w:val="24"/>
                <w:szCs w:val="24"/>
                <w:vertAlign w:val="superscript"/>
              </w:rPr>
              <w:t>a</w:t>
            </w:r>
          </w:p>
        </w:tc>
      </w:tr>
      <w:tr w:rsidR="00515A85" w:rsidRPr="00F23835" w:rsidTr="00355123">
        <w:trPr>
          <w:trHeight w:val="20"/>
        </w:trPr>
        <w:tc>
          <w:tcPr>
            <w:tcW w:w="3355" w:type="dxa"/>
            <w:tcBorders>
              <w:top w:val="single" w:sz="4" w:space="0" w:color="000000"/>
              <w:left w:val="single" w:sz="4" w:space="0" w:color="000000"/>
              <w:bottom w:val="single" w:sz="4" w:space="0" w:color="000000"/>
              <w:right w:val="single" w:sz="4" w:space="0" w:color="000000"/>
            </w:tcBorders>
            <w:hideMark/>
          </w:tcPr>
          <w:p w:rsidR="00515A85" w:rsidRPr="00F23835" w:rsidRDefault="00515A85" w:rsidP="009B6BD9">
            <w:pPr>
              <w:pStyle w:val="Brdtekst"/>
              <w:spacing w:line="256" w:lineRule="auto"/>
              <w:rPr>
                <w:sz w:val="24"/>
                <w:szCs w:val="24"/>
                <w:lang w:val="da-DK"/>
              </w:rPr>
            </w:pPr>
            <w:r w:rsidRPr="00F23835">
              <w:rPr>
                <w:sz w:val="24"/>
                <w:szCs w:val="24"/>
                <w:lang w:val="da-DK"/>
              </w:rPr>
              <w:t>Progressionsfri overlevelse [median, måneder (95 % CI)] ved respons-vurdering baseret på RECIST sammenholdt med investigator-tumor-måling</w:t>
            </w:r>
          </w:p>
        </w:tc>
        <w:tc>
          <w:tcPr>
            <w:tcW w:w="1493" w:type="dxa"/>
            <w:tcBorders>
              <w:top w:val="single" w:sz="4" w:space="0" w:color="000000"/>
              <w:left w:val="single" w:sz="4" w:space="0" w:color="000000"/>
              <w:bottom w:val="single" w:sz="4" w:space="0" w:color="000000"/>
              <w:right w:val="single" w:sz="4" w:space="0" w:color="000000"/>
            </w:tcBorders>
          </w:tcPr>
          <w:p w:rsidR="00515A85" w:rsidRPr="00F23835" w:rsidRDefault="00515A85" w:rsidP="009B6BD9">
            <w:pPr>
              <w:pStyle w:val="Brdtekst"/>
              <w:spacing w:line="256" w:lineRule="auto"/>
              <w:jc w:val="center"/>
              <w:rPr>
                <w:b/>
                <w:sz w:val="24"/>
                <w:szCs w:val="24"/>
                <w:lang w:val="da-DK"/>
              </w:rPr>
            </w:pPr>
          </w:p>
          <w:p w:rsidR="00515A85" w:rsidRPr="00F23835" w:rsidRDefault="00515A85" w:rsidP="009B6BD9">
            <w:pPr>
              <w:pStyle w:val="Brdtekst"/>
              <w:spacing w:line="256" w:lineRule="auto"/>
              <w:jc w:val="center"/>
              <w:rPr>
                <w:sz w:val="24"/>
                <w:szCs w:val="24"/>
              </w:rPr>
            </w:pPr>
            <w:r w:rsidRPr="00F23835">
              <w:rPr>
                <w:sz w:val="24"/>
                <w:szCs w:val="24"/>
              </w:rPr>
              <w:t>12,6</w:t>
            </w:r>
          </w:p>
          <w:p w:rsidR="00515A85" w:rsidRPr="00F23835" w:rsidRDefault="00515A85" w:rsidP="009B6BD9">
            <w:pPr>
              <w:pStyle w:val="Brdtekst"/>
              <w:spacing w:line="256" w:lineRule="auto"/>
              <w:jc w:val="center"/>
              <w:rPr>
                <w:sz w:val="24"/>
                <w:szCs w:val="24"/>
              </w:rPr>
            </w:pPr>
            <w:r w:rsidRPr="00F23835">
              <w:rPr>
                <w:sz w:val="24"/>
                <w:szCs w:val="24"/>
              </w:rPr>
              <w:t>(7,4; 16,9)</w:t>
            </w:r>
          </w:p>
        </w:tc>
        <w:tc>
          <w:tcPr>
            <w:tcW w:w="1462" w:type="dxa"/>
            <w:tcBorders>
              <w:top w:val="single" w:sz="4" w:space="0" w:color="000000"/>
              <w:left w:val="single" w:sz="4" w:space="0" w:color="000000"/>
              <w:bottom w:val="single" w:sz="4" w:space="0" w:color="000000"/>
              <w:right w:val="single" w:sz="4" w:space="0" w:color="000000"/>
            </w:tcBorders>
          </w:tcPr>
          <w:p w:rsidR="00515A85" w:rsidRPr="00F23835" w:rsidRDefault="00515A85" w:rsidP="009B6BD9">
            <w:pPr>
              <w:pStyle w:val="Brdtekst"/>
              <w:spacing w:line="256" w:lineRule="auto"/>
              <w:jc w:val="center"/>
              <w:rPr>
                <w:b/>
                <w:sz w:val="24"/>
                <w:szCs w:val="24"/>
              </w:rPr>
            </w:pPr>
          </w:p>
          <w:p w:rsidR="00515A85" w:rsidRPr="00F23835" w:rsidRDefault="00515A85" w:rsidP="009B6BD9">
            <w:pPr>
              <w:pStyle w:val="Brdtekst"/>
              <w:spacing w:line="256" w:lineRule="auto"/>
              <w:jc w:val="center"/>
              <w:rPr>
                <w:sz w:val="24"/>
                <w:szCs w:val="24"/>
              </w:rPr>
            </w:pPr>
            <w:r w:rsidRPr="00F23835">
              <w:rPr>
                <w:sz w:val="24"/>
                <w:szCs w:val="24"/>
              </w:rPr>
              <w:t>5,4</w:t>
            </w:r>
          </w:p>
          <w:p w:rsidR="00515A85" w:rsidRPr="00F23835" w:rsidRDefault="00515A85" w:rsidP="009B6BD9">
            <w:pPr>
              <w:pStyle w:val="Brdtekst"/>
              <w:spacing w:line="256" w:lineRule="auto"/>
              <w:jc w:val="center"/>
              <w:rPr>
                <w:sz w:val="24"/>
                <w:szCs w:val="24"/>
              </w:rPr>
            </w:pPr>
            <w:r w:rsidRPr="00F23835">
              <w:rPr>
                <w:sz w:val="24"/>
                <w:szCs w:val="24"/>
              </w:rPr>
              <w:t>(3,5; 6,0)</w:t>
            </w:r>
          </w:p>
        </w:tc>
        <w:tc>
          <w:tcPr>
            <w:tcW w:w="1435" w:type="dxa"/>
            <w:tcBorders>
              <w:top w:val="single" w:sz="4" w:space="0" w:color="000000"/>
              <w:left w:val="single" w:sz="4" w:space="0" w:color="000000"/>
              <w:bottom w:val="single" w:sz="4" w:space="0" w:color="000000"/>
              <w:right w:val="single" w:sz="4" w:space="0" w:color="000000"/>
            </w:tcBorders>
          </w:tcPr>
          <w:p w:rsidR="00515A85" w:rsidRPr="00F23835" w:rsidRDefault="00515A85" w:rsidP="009B6BD9">
            <w:pPr>
              <w:pStyle w:val="Brdtekst"/>
              <w:spacing w:line="256" w:lineRule="auto"/>
              <w:jc w:val="center"/>
              <w:rPr>
                <w:b/>
                <w:sz w:val="24"/>
                <w:szCs w:val="24"/>
              </w:rPr>
            </w:pPr>
          </w:p>
          <w:p w:rsidR="00515A85" w:rsidRPr="00F23835" w:rsidRDefault="00515A85" w:rsidP="009B6BD9">
            <w:pPr>
              <w:pStyle w:val="Brdtekst"/>
              <w:spacing w:line="256" w:lineRule="auto"/>
              <w:jc w:val="center"/>
              <w:rPr>
                <w:sz w:val="24"/>
                <w:szCs w:val="24"/>
              </w:rPr>
            </w:pPr>
            <w:r w:rsidRPr="00F23835">
              <w:rPr>
                <w:sz w:val="24"/>
                <w:szCs w:val="24"/>
              </w:rPr>
              <w:t>0,401</w:t>
            </w:r>
          </w:p>
          <w:p w:rsidR="00515A85" w:rsidRPr="00F23835" w:rsidRDefault="00515A85" w:rsidP="009B6BD9">
            <w:pPr>
              <w:pStyle w:val="Brdtekst"/>
              <w:spacing w:line="256" w:lineRule="auto"/>
              <w:jc w:val="center"/>
              <w:rPr>
                <w:sz w:val="24"/>
                <w:szCs w:val="24"/>
              </w:rPr>
            </w:pPr>
            <w:r w:rsidRPr="00F23835">
              <w:rPr>
                <w:sz w:val="24"/>
                <w:szCs w:val="24"/>
              </w:rPr>
              <w:t>(0,252; 0,640)</w:t>
            </w:r>
          </w:p>
        </w:tc>
        <w:tc>
          <w:tcPr>
            <w:tcW w:w="1435" w:type="dxa"/>
            <w:tcBorders>
              <w:top w:val="single" w:sz="4" w:space="0" w:color="000000"/>
              <w:left w:val="single" w:sz="4" w:space="0" w:color="000000"/>
              <w:bottom w:val="single" w:sz="4" w:space="0" w:color="000000"/>
              <w:right w:val="single" w:sz="4" w:space="0" w:color="000000"/>
            </w:tcBorders>
          </w:tcPr>
          <w:p w:rsidR="00515A85" w:rsidRPr="00F23835" w:rsidRDefault="00515A85" w:rsidP="009B6BD9">
            <w:pPr>
              <w:pStyle w:val="Brdtekst"/>
              <w:spacing w:line="256" w:lineRule="auto"/>
              <w:jc w:val="center"/>
              <w:rPr>
                <w:b/>
                <w:sz w:val="24"/>
                <w:szCs w:val="24"/>
              </w:rPr>
            </w:pPr>
          </w:p>
          <w:p w:rsidR="00515A85" w:rsidRPr="00F23835" w:rsidRDefault="00515A85" w:rsidP="009B6BD9">
            <w:pPr>
              <w:pStyle w:val="Brdtekst"/>
              <w:spacing w:line="256" w:lineRule="auto"/>
              <w:jc w:val="center"/>
              <w:rPr>
                <w:sz w:val="24"/>
                <w:szCs w:val="24"/>
              </w:rPr>
            </w:pPr>
            <w:r w:rsidRPr="00F23835">
              <w:rPr>
                <w:sz w:val="24"/>
                <w:szCs w:val="24"/>
              </w:rPr>
              <w:t>0,000066</w:t>
            </w:r>
            <w:r w:rsidRPr="00F23835">
              <w:rPr>
                <w:sz w:val="24"/>
                <w:szCs w:val="24"/>
                <w:vertAlign w:val="superscript"/>
              </w:rPr>
              <w:t>a</w:t>
            </w:r>
          </w:p>
        </w:tc>
      </w:tr>
      <w:tr w:rsidR="00515A85" w:rsidRPr="00F23835" w:rsidTr="00355123">
        <w:trPr>
          <w:trHeight w:val="20"/>
        </w:trPr>
        <w:tc>
          <w:tcPr>
            <w:tcW w:w="3355" w:type="dxa"/>
            <w:tcBorders>
              <w:top w:val="single" w:sz="4" w:space="0" w:color="000000"/>
              <w:left w:val="single" w:sz="4" w:space="0" w:color="000000"/>
              <w:bottom w:val="single" w:sz="4" w:space="0" w:color="000000"/>
              <w:right w:val="single" w:sz="4" w:space="0" w:color="000000"/>
            </w:tcBorders>
            <w:hideMark/>
          </w:tcPr>
          <w:p w:rsidR="00515A85" w:rsidRPr="00F23835" w:rsidRDefault="00515A85" w:rsidP="009B6BD9">
            <w:pPr>
              <w:pStyle w:val="Brdtekst"/>
              <w:spacing w:line="256" w:lineRule="auto"/>
              <w:rPr>
                <w:sz w:val="24"/>
                <w:szCs w:val="24"/>
                <w:lang w:val="da-DK"/>
              </w:rPr>
            </w:pPr>
            <w:r w:rsidRPr="00F23835">
              <w:rPr>
                <w:sz w:val="24"/>
                <w:szCs w:val="24"/>
                <w:lang w:val="da-DK"/>
              </w:rPr>
              <w:t>Progressionsfri overlevelse [median, måneder (95 % CI)] ved blindet, uafhængig, central gennemgang af tumor-vurdering</w:t>
            </w:r>
          </w:p>
        </w:tc>
        <w:tc>
          <w:tcPr>
            <w:tcW w:w="1493" w:type="dxa"/>
            <w:tcBorders>
              <w:top w:val="single" w:sz="4" w:space="0" w:color="000000"/>
              <w:left w:val="single" w:sz="4" w:space="0" w:color="000000"/>
              <w:bottom w:val="single" w:sz="4" w:space="0" w:color="000000"/>
              <w:right w:val="single" w:sz="4" w:space="0" w:color="000000"/>
            </w:tcBorders>
          </w:tcPr>
          <w:p w:rsidR="00515A85" w:rsidRPr="00F23835" w:rsidRDefault="00515A85" w:rsidP="009B6BD9">
            <w:pPr>
              <w:pStyle w:val="Brdtekst"/>
              <w:spacing w:line="256" w:lineRule="auto"/>
              <w:jc w:val="center"/>
              <w:rPr>
                <w:b/>
                <w:sz w:val="24"/>
                <w:szCs w:val="24"/>
                <w:lang w:val="da-DK"/>
              </w:rPr>
            </w:pPr>
          </w:p>
          <w:p w:rsidR="00515A85" w:rsidRPr="00F23835" w:rsidRDefault="00515A85" w:rsidP="009B6BD9">
            <w:pPr>
              <w:pStyle w:val="Brdtekst"/>
              <w:spacing w:line="256" w:lineRule="auto"/>
              <w:jc w:val="center"/>
              <w:rPr>
                <w:sz w:val="24"/>
                <w:szCs w:val="24"/>
              </w:rPr>
            </w:pPr>
            <w:r w:rsidRPr="00F23835">
              <w:rPr>
                <w:sz w:val="24"/>
                <w:szCs w:val="24"/>
              </w:rPr>
              <w:t>12,6</w:t>
            </w:r>
          </w:p>
          <w:p w:rsidR="00515A85" w:rsidRPr="00F23835" w:rsidRDefault="00515A85" w:rsidP="009B6BD9">
            <w:pPr>
              <w:pStyle w:val="Brdtekst"/>
              <w:spacing w:line="256" w:lineRule="auto"/>
              <w:jc w:val="center"/>
              <w:rPr>
                <w:sz w:val="24"/>
                <w:szCs w:val="24"/>
              </w:rPr>
            </w:pPr>
            <w:r w:rsidRPr="00F23835">
              <w:rPr>
                <w:sz w:val="24"/>
                <w:szCs w:val="24"/>
              </w:rPr>
              <w:t>(11,1; 20,6)</w:t>
            </w:r>
          </w:p>
        </w:tc>
        <w:tc>
          <w:tcPr>
            <w:tcW w:w="1462" w:type="dxa"/>
            <w:tcBorders>
              <w:top w:val="single" w:sz="4" w:space="0" w:color="000000"/>
              <w:left w:val="single" w:sz="4" w:space="0" w:color="000000"/>
              <w:bottom w:val="single" w:sz="4" w:space="0" w:color="000000"/>
              <w:right w:val="single" w:sz="4" w:space="0" w:color="000000"/>
            </w:tcBorders>
          </w:tcPr>
          <w:p w:rsidR="00515A85" w:rsidRPr="00F23835" w:rsidRDefault="00515A85" w:rsidP="009B6BD9">
            <w:pPr>
              <w:pStyle w:val="Brdtekst"/>
              <w:spacing w:line="256" w:lineRule="auto"/>
              <w:jc w:val="center"/>
              <w:rPr>
                <w:b/>
                <w:sz w:val="24"/>
                <w:szCs w:val="24"/>
              </w:rPr>
            </w:pPr>
          </w:p>
          <w:p w:rsidR="00515A85" w:rsidRPr="00F23835" w:rsidRDefault="00515A85" w:rsidP="009B6BD9">
            <w:pPr>
              <w:pStyle w:val="Brdtekst"/>
              <w:spacing w:line="256" w:lineRule="auto"/>
              <w:jc w:val="center"/>
              <w:rPr>
                <w:sz w:val="24"/>
                <w:szCs w:val="24"/>
              </w:rPr>
            </w:pPr>
            <w:r w:rsidRPr="00F23835">
              <w:rPr>
                <w:sz w:val="24"/>
                <w:szCs w:val="24"/>
              </w:rPr>
              <w:t>5,8</w:t>
            </w:r>
          </w:p>
          <w:p w:rsidR="00515A85" w:rsidRPr="00F23835" w:rsidRDefault="00515A85" w:rsidP="009B6BD9">
            <w:pPr>
              <w:pStyle w:val="Brdtekst"/>
              <w:spacing w:line="256" w:lineRule="auto"/>
              <w:jc w:val="center"/>
              <w:rPr>
                <w:sz w:val="24"/>
                <w:szCs w:val="24"/>
              </w:rPr>
            </w:pPr>
            <w:r w:rsidRPr="00F23835">
              <w:rPr>
                <w:sz w:val="24"/>
                <w:szCs w:val="24"/>
              </w:rPr>
              <w:t>(3,8; 7,2)</w:t>
            </w:r>
          </w:p>
        </w:tc>
        <w:tc>
          <w:tcPr>
            <w:tcW w:w="1435" w:type="dxa"/>
            <w:tcBorders>
              <w:top w:val="single" w:sz="4" w:space="0" w:color="000000"/>
              <w:left w:val="single" w:sz="4" w:space="0" w:color="000000"/>
              <w:bottom w:val="single" w:sz="4" w:space="0" w:color="000000"/>
              <w:right w:val="single" w:sz="4" w:space="0" w:color="000000"/>
            </w:tcBorders>
          </w:tcPr>
          <w:p w:rsidR="00515A85" w:rsidRPr="00F23835" w:rsidRDefault="00515A85" w:rsidP="009B6BD9">
            <w:pPr>
              <w:pStyle w:val="Brdtekst"/>
              <w:spacing w:line="256" w:lineRule="auto"/>
              <w:jc w:val="center"/>
              <w:rPr>
                <w:b/>
                <w:sz w:val="24"/>
                <w:szCs w:val="24"/>
              </w:rPr>
            </w:pPr>
          </w:p>
          <w:p w:rsidR="00515A85" w:rsidRPr="00F23835" w:rsidRDefault="00515A85" w:rsidP="009B6BD9">
            <w:pPr>
              <w:pStyle w:val="Brdtekst"/>
              <w:spacing w:line="256" w:lineRule="auto"/>
              <w:jc w:val="center"/>
              <w:rPr>
                <w:sz w:val="24"/>
                <w:szCs w:val="24"/>
              </w:rPr>
            </w:pPr>
            <w:r w:rsidRPr="00F23835">
              <w:rPr>
                <w:sz w:val="24"/>
                <w:szCs w:val="24"/>
              </w:rPr>
              <w:t>0,315</w:t>
            </w:r>
          </w:p>
          <w:p w:rsidR="00515A85" w:rsidRPr="00F23835" w:rsidRDefault="00515A85" w:rsidP="009B6BD9">
            <w:pPr>
              <w:pStyle w:val="Brdtekst"/>
              <w:spacing w:line="256" w:lineRule="auto"/>
              <w:jc w:val="center"/>
              <w:rPr>
                <w:sz w:val="24"/>
                <w:szCs w:val="24"/>
              </w:rPr>
            </w:pPr>
            <w:r w:rsidRPr="00F23835">
              <w:rPr>
                <w:sz w:val="24"/>
                <w:szCs w:val="24"/>
              </w:rPr>
              <w:t>(0,181; 0,546)</w:t>
            </w:r>
          </w:p>
        </w:tc>
        <w:tc>
          <w:tcPr>
            <w:tcW w:w="1435" w:type="dxa"/>
            <w:tcBorders>
              <w:top w:val="single" w:sz="4" w:space="0" w:color="000000"/>
              <w:left w:val="single" w:sz="4" w:space="0" w:color="000000"/>
              <w:bottom w:val="single" w:sz="4" w:space="0" w:color="000000"/>
              <w:right w:val="single" w:sz="4" w:space="0" w:color="000000"/>
            </w:tcBorders>
          </w:tcPr>
          <w:p w:rsidR="00515A85" w:rsidRPr="00F23835" w:rsidRDefault="00515A85" w:rsidP="009B6BD9">
            <w:pPr>
              <w:pStyle w:val="Brdtekst"/>
              <w:spacing w:line="256" w:lineRule="auto"/>
              <w:jc w:val="center"/>
              <w:rPr>
                <w:b/>
                <w:sz w:val="24"/>
                <w:szCs w:val="24"/>
              </w:rPr>
            </w:pPr>
          </w:p>
          <w:p w:rsidR="00515A85" w:rsidRPr="00F23835" w:rsidRDefault="00515A85" w:rsidP="009B6BD9">
            <w:pPr>
              <w:pStyle w:val="Brdtekst"/>
              <w:spacing w:line="256" w:lineRule="auto"/>
              <w:jc w:val="center"/>
              <w:rPr>
                <w:sz w:val="24"/>
                <w:szCs w:val="24"/>
              </w:rPr>
            </w:pPr>
            <w:r w:rsidRPr="00F23835">
              <w:rPr>
                <w:sz w:val="24"/>
                <w:szCs w:val="24"/>
              </w:rPr>
              <w:t>0,000015</w:t>
            </w:r>
            <w:r w:rsidRPr="00F23835">
              <w:rPr>
                <w:sz w:val="24"/>
                <w:szCs w:val="24"/>
                <w:vertAlign w:val="superscript"/>
              </w:rPr>
              <w:t>a</w:t>
            </w:r>
          </w:p>
        </w:tc>
      </w:tr>
      <w:tr w:rsidR="00515A85" w:rsidRPr="00F23835" w:rsidTr="00355123">
        <w:trPr>
          <w:trHeight w:val="20"/>
        </w:trPr>
        <w:tc>
          <w:tcPr>
            <w:tcW w:w="3355" w:type="dxa"/>
            <w:tcBorders>
              <w:top w:val="single" w:sz="4" w:space="0" w:color="000000"/>
              <w:left w:val="single" w:sz="4" w:space="0" w:color="000000"/>
              <w:bottom w:val="single" w:sz="4" w:space="0" w:color="000000"/>
              <w:right w:val="single" w:sz="4" w:space="0" w:color="000000"/>
            </w:tcBorders>
            <w:hideMark/>
          </w:tcPr>
          <w:p w:rsidR="00515A85" w:rsidRPr="00F23835" w:rsidRDefault="00515A85" w:rsidP="009B6BD9">
            <w:pPr>
              <w:pStyle w:val="Brdtekst"/>
              <w:spacing w:line="256" w:lineRule="auto"/>
              <w:rPr>
                <w:sz w:val="24"/>
                <w:szCs w:val="24"/>
                <w:lang w:val="da-DK"/>
              </w:rPr>
            </w:pPr>
            <w:r w:rsidRPr="00F23835">
              <w:rPr>
                <w:sz w:val="24"/>
                <w:szCs w:val="24"/>
                <w:lang w:val="da-DK"/>
              </w:rPr>
              <w:t>Samlet overlevelse [5-årsopfølgning] [median, måneder (95 % CI)]</w:t>
            </w:r>
          </w:p>
        </w:tc>
        <w:tc>
          <w:tcPr>
            <w:tcW w:w="1493" w:type="dxa"/>
            <w:tcBorders>
              <w:top w:val="single" w:sz="4" w:space="0" w:color="000000"/>
              <w:left w:val="single" w:sz="4" w:space="0" w:color="000000"/>
              <w:bottom w:val="single" w:sz="4" w:space="0" w:color="000000"/>
              <w:right w:val="single" w:sz="4" w:space="0" w:color="000000"/>
            </w:tcBorders>
            <w:hideMark/>
          </w:tcPr>
          <w:p w:rsidR="00515A85" w:rsidRPr="00F23835" w:rsidRDefault="00515A85" w:rsidP="009B6BD9">
            <w:pPr>
              <w:pStyle w:val="Brdtekst"/>
              <w:spacing w:line="256" w:lineRule="auto"/>
              <w:jc w:val="center"/>
              <w:rPr>
                <w:sz w:val="24"/>
                <w:szCs w:val="24"/>
              </w:rPr>
            </w:pPr>
            <w:r w:rsidRPr="00F23835">
              <w:rPr>
                <w:sz w:val="24"/>
                <w:szCs w:val="24"/>
              </w:rPr>
              <w:t>38,6</w:t>
            </w:r>
          </w:p>
          <w:p w:rsidR="00515A85" w:rsidRPr="00F23835" w:rsidRDefault="00515A85" w:rsidP="009B6BD9">
            <w:pPr>
              <w:pStyle w:val="Brdtekst"/>
              <w:spacing w:line="256" w:lineRule="auto"/>
              <w:jc w:val="center"/>
              <w:rPr>
                <w:sz w:val="24"/>
                <w:szCs w:val="24"/>
              </w:rPr>
            </w:pPr>
            <w:r w:rsidRPr="00F23835">
              <w:rPr>
                <w:sz w:val="24"/>
                <w:szCs w:val="24"/>
              </w:rPr>
              <w:t>(25,6; 56,4)</w:t>
            </w:r>
          </w:p>
        </w:tc>
        <w:tc>
          <w:tcPr>
            <w:tcW w:w="1462" w:type="dxa"/>
            <w:tcBorders>
              <w:top w:val="single" w:sz="4" w:space="0" w:color="000000"/>
              <w:left w:val="single" w:sz="4" w:space="0" w:color="000000"/>
              <w:bottom w:val="single" w:sz="4" w:space="0" w:color="000000"/>
              <w:right w:val="single" w:sz="4" w:space="0" w:color="000000"/>
            </w:tcBorders>
            <w:hideMark/>
          </w:tcPr>
          <w:p w:rsidR="00515A85" w:rsidRPr="00F23835" w:rsidRDefault="00515A85" w:rsidP="009B6BD9">
            <w:pPr>
              <w:pStyle w:val="Brdtekst"/>
              <w:spacing w:line="256" w:lineRule="auto"/>
              <w:jc w:val="center"/>
              <w:rPr>
                <w:sz w:val="24"/>
                <w:szCs w:val="24"/>
              </w:rPr>
            </w:pPr>
            <w:r w:rsidRPr="00F23835">
              <w:rPr>
                <w:sz w:val="24"/>
                <w:szCs w:val="24"/>
              </w:rPr>
              <w:t>29,1</w:t>
            </w:r>
          </w:p>
          <w:p w:rsidR="00515A85" w:rsidRPr="00F23835" w:rsidRDefault="00515A85" w:rsidP="009B6BD9">
            <w:pPr>
              <w:pStyle w:val="Brdtekst"/>
              <w:spacing w:line="256" w:lineRule="auto"/>
              <w:jc w:val="center"/>
              <w:rPr>
                <w:sz w:val="24"/>
                <w:szCs w:val="24"/>
              </w:rPr>
            </w:pPr>
            <w:r w:rsidRPr="00F23835">
              <w:rPr>
                <w:sz w:val="24"/>
                <w:szCs w:val="24"/>
              </w:rPr>
              <w:t>(16,4; 36,8)</w:t>
            </w:r>
          </w:p>
        </w:tc>
        <w:tc>
          <w:tcPr>
            <w:tcW w:w="1435" w:type="dxa"/>
            <w:tcBorders>
              <w:top w:val="single" w:sz="4" w:space="0" w:color="000000"/>
              <w:left w:val="single" w:sz="4" w:space="0" w:color="000000"/>
              <w:bottom w:val="single" w:sz="4" w:space="0" w:color="000000"/>
              <w:right w:val="single" w:sz="4" w:space="0" w:color="000000"/>
            </w:tcBorders>
            <w:hideMark/>
          </w:tcPr>
          <w:p w:rsidR="00515A85" w:rsidRPr="00F23835" w:rsidRDefault="00515A85" w:rsidP="009B6BD9">
            <w:pPr>
              <w:pStyle w:val="Brdtekst"/>
              <w:spacing w:line="256" w:lineRule="auto"/>
              <w:jc w:val="center"/>
              <w:rPr>
                <w:sz w:val="24"/>
                <w:szCs w:val="24"/>
              </w:rPr>
            </w:pPr>
            <w:r w:rsidRPr="00F23835">
              <w:rPr>
                <w:sz w:val="24"/>
                <w:szCs w:val="24"/>
              </w:rPr>
              <w:t>0,730</w:t>
            </w:r>
          </w:p>
          <w:p w:rsidR="00515A85" w:rsidRPr="00F23835" w:rsidRDefault="00515A85" w:rsidP="009B6BD9">
            <w:pPr>
              <w:pStyle w:val="Brdtekst"/>
              <w:spacing w:line="256" w:lineRule="auto"/>
              <w:jc w:val="center"/>
              <w:rPr>
                <w:sz w:val="24"/>
                <w:szCs w:val="24"/>
              </w:rPr>
            </w:pPr>
            <w:r w:rsidRPr="00F23835">
              <w:rPr>
                <w:sz w:val="24"/>
                <w:szCs w:val="24"/>
              </w:rPr>
              <w:t>(0,504; 1,057)</w:t>
            </w:r>
          </w:p>
        </w:tc>
        <w:tc>
          <w:tcPr>
            <w:tcW w:w="1435" w:type="dxa"/>
            <w:tcBorders>
              <w:top w:val="single" w:sz="4" w:space="0" w:color="000000"/>
              <w:left w:val="single" w:sz="4" w:space="0" w:color="000000"/>
              <w:bottom w:val="single" w:sz="4" w:space="0" w:color="000000"/>
              <w:right w:val="single" w:sz="4" w:space="0" w:color="000000"/>
            </w:tcBorders>
            <w:hideMark/>
          </w:tcPr>
          <w:p w:rsidR="00515A85" w:rsidRPr="00F23835" w:rsidRDefault="00515A85" w:rsidP="009B6BD9">
            <w:pPr>
              <w:pStyle w:val="Brdtekst"/>
              <w:spacing w:line="256" w:lineRule="auto"/>
              <w:jc w:val="center"/>
              <w:rPr>
                <w:sz w:val="24"/>
                <w:szCs w:val="24"/>
              </w:rPr>
            </w:pPr>
            <w:r w:rsidRPr="00F23835">
              <w:rPr>
                <w:sz w:val="24"/>
                <w:szCs w:val="24"/>
              </w:rPr>
              <w:t>0,0940</w:t>
            </w:r>
            <w:r w:rsidRPr="00F23835">
              <w:rPr>
                <w:sz w:val="24"/>
                <w:szCs w:val="24"/>
                <w:vertAlign w:val="superscript"/>
              </w:rPr>
              <w:t>a</w:t>
            </w:r>
          </w:p>
        </w:tc>
      </w:tr>
      <w:tr w:rsidR="00515A85" w:rsidRPr="00F23835" w:rsidTr="00355123">
        <w:trPr>
          <w:trHeight w:val="20"/>
        </w:trPr>
        <w:tc>
          <w:tcPr>
            <w:tcW w:w="3355" w:type="dxa"/>
            <w:tcBorders>
              <w:top w:val="single" w:sz="4" w:space="0" w:color="000000"/>
              <w:left w:val="single" w:sz="4" w:space="0" w:color="000000"/>
              <w:bottom w:val="single" w:sz="4" w:space="0" w:color="000000"/>
              <w:right w:val="single" w:sz="4" w:space="0" w:color="000000"/>
            </w:tcBorders>
            <w:hideMark/>
          </w:tcPr>
          <w:p w:rsidR="00515A85" w:rsidRPr="00F23835" w:rsidRDefault="00515A85" w:rsidP="009B6BD9">
            <w:pPr>
              <w:pStyle w:val="Brdtekst"/>
              <w:spacing w:line="256" w:lineRule="auto"/>
              <w:rPr>
                <w:sz w:val="24"/>
                <w:szCs w:val="24"/>
              </w:rPr>
            </w:pPr>
            <w:r w:rsidRPr="00F23835">
              <w:rPr>
                <w:sz w:val="24"/>
                <w:szCs w:val="24"/>
              </w:rPr>
              <w:t>Objektiv responsrate [ %, (95 % CI)]</w:t>
            </w:r>
          </w:p>
        </w:tc>
        <w:tc>
          <w:tcPr>
            <w:tcW w:w="1493" w:type="dxa"/>
            <w:tcBorders>
              <w:top w:val="single" w:sz="4" w:space="0" w:color="000000"/>
              <w:left w:val="single" w:sz="4" w:space="0" w:color="000000"/>
              <w:bottom w:val="single" w:sz="4" w:space="0" w:color="000000"/>
              <w:right w:val="single" w:sz="4" w:space="0" w:color="000000"/>
            </w:tcBorders>
            <w:hideMark/>
          </w:tcPr>
          <w:p w:rsidR="00515A85" w:rsidRPr="00F23835" w:rsidRDefault="00515A85" w:rsidP="009B6BD9">
            <w:pPr>
              <w:pStyle w:val="Brdtekst"/>
              <w:spacing w:line="256" w:lineRule="auto"/>
              <w:jc w:val="center"/>
              <w:rPr>
                <w:sz w:val="24"/>
                <w:szCs w:val="24"/>
              </w:rPr>
            </w:pPr>
            <w:r w:rsidRPr="00F23835">
              <w:rPr>
                <w:sz w:val="24"/>
                <w:szCs w:val="24"/>
              </w:rPr>
              <w:t>9,3</w:t>
            </w:r>
          </w:p>
          <w:p w:rsidR="00515A85" w:rsidRPr="00F23835" w:rsidRDefault="00515A85" w:rsidP="009B6BD9">
            <w:pPr>
              <w:pStyle w:val="Brdtekst"/>
              <w:spacing w:line="256" w:lineRule="auto"/>
              <w:jc w:val="center"/>
              <w:rPr>
                <w:sz w:val="24"/>
                <w:szCs w:val="24"/>
              </w:rPr>
            </w:pPr>
            <w:r w:rsidRPr="00F23835">
              <w:rPr>
                <w:sz w:val="24"/>
                <w:szCs w:val="24"/>
              </w:rPr>
              <w:t>(3,2, 15,4)</w:t>
            </w:r>
          </w:p>
        </w:tc>
        <w:tc>
          <w:tcPr>
            <w:tcW w:w="1462" w:type="dxa"/>
            <w:tcBorders>
              <w:top w:val="single" w:sz="4" w:space="0" w:color="000000"/>
              <w:left w:val="single" w:sz="4" w:space="0" w:color="000000"/>
              <w:bottom w:val="single" w:sz="4" w:space="0" w:color="000000"/>
              <w:right w:val="single" w:sz="4" w:space="0" w:color="000000"/>
            </w:tcBorders>
            <w:hideMark/>
          </w:tcPr>
          <w:p w:rsidR="00515A85" w:rsidRPr="00F23835" w:rsidRDefault="00515A85" w:rsidP="009B6BD9">
            <w:pPr>
              <w:pStyle w:val="Brdtekst"/>
              <w:spacing w:line="256" w:lineRule="auto"/>
              <w:jc w:val="center"/>
              <w:rPr>
                <w:sz w:val="24"/>
                <w:szCs w:val="24"/>
              </w:rPr>
            </w:pPr>
            <w:r w:rsidRPr="00F23835">
              <w:rPr>
                <w:sz w:val="24"/>
                <w:szCs w:val="24"/>
              </w:rPr>
              <w:t>0</w:t>
            </w:r>
          </w:p>
        </w:tc>
        <w:tc>
          <w:tcPr>
            <w:tcW w:w="1435" w:type="dxa"/>
            <w:tcBorders>
              <w:top w:val="single" w:sz="4" w:space="0" w:color="000000"/>
              <w:left w:val="single" w:sz="4" w:space="0" w:color="000000"/>
              <w:bottom w:val="single" w:sz="4" w:space="0" w:color="000000"/>
              <w:right w:val="single" w:sz="4" w:space="0" w:color="000000"/>
            </w:tcBorders>
            <w:hideMark/>
          </w:tcPr>
          <w:p w:rsidR="00515A85" w:rsidRPr="00F23835" w:rsidRDefault="00515A85" w:rsidP="009B6BD9">
            <w:pPr>
              <w:pStyle w:val="Brdtekst"/>
              <w:spacing w:line="256" w:lineRule="auto"/>
              <w:jc w:val="center"/>
              <w:rPr>
                <w:sz w:val="24"/>
                <w:szCs w:val="24"/>
              </w:rPr>
            </w:pPr>
            <w:r w:rsidRPr="00F23835">
              <w:rPr>
                <w:sz w:val="24"/>
                <w:szCs w:val="24"/>
              </w:rPr>
              <w:t>NA</w:t>
            </w:r>
          </w:p>
        </w:tc>
        <w:tc>
          <w:tcPr>
            <w:tcW w:w="1435" w:type="dxa"/>
            <w:tcBorders>
              <w:top w:val="single" w:sz="4" w:space="0" w:color="000000"/>
              <w:left w:val="single" w:sz="4" w:space="0" w:color="000000"/>
              <w:bottom w:val="single" w:sz="4" w:space="0" w:color="000000"/>
              <w:right w:val="single" w:sz="4" w:space="0" w:color="000000"/>
            </w:tcBorders>
            <w:hideMark/>
          </w:tcPr>
          <w:p w:rsidR="00515A85" w:rsidRPr="00F23835" w:rsidRDefault="00515A85" w:rsidP="009B6BD9">
            <w:pPr>
              <w:pStyle w:val="Brdtekst"/>
              <w:spacing w:line="256" w:lineRule="auto"/>
              <w:jc w:val="center"/>
              <w:rPr>
                <w:sz w:val="24"/>
                <w:szCs w:val="24"/>
              </w:rPr>
            </w:pPr>
            <w:r w:rsidRPr="00F23835">
              <w:rPr>
                <w:sz w:val="24"/>
                <w:szCs w:val="24"/>
              </w:rPr>
              <w:t>0,0066</w:t>
            </w:r>
            <w:r w:rsidRPr="00F23835">
              <w:rPr>
                <w:sz w:val="24"/>
                <w:szCs w:val="24"/>
                <w:vertAlign w:val="superscript"/>
              </w:rPr>
              <w:t>b</w:t>
            </w:r>
          </w:p>
        </w:tc>
      </w:tr>
    </w:tbl>
    <w:p w:rsidR="00515A85" w:rsidRPr="00F23835" w:rsidRDefault="00515A85" w:rsidP="00515A85">
      <w:pPr>
        <w:pStyle w:val="Brdtekst"/>
        <w:rPr>
          <w:sz w:val="24"/>
          <w:szCs w:val="24"/>
          <w:lang w:val="da-DK"/>
        </w:rPr>
      </w:pPr>
      <w:r w:rsidRPr="00F23835">
        <w:rPr>
          <w:sz w:val="24"/>
          <w:szCs w:val="24"/>
          <w:lang w:val="da-DK"/>
        </w:rPr>
        <w:t>Forkortelser: CI=konfidensinterval; N=antal patienter; NA=ikke relevant; pNET= neuroendokrine tumorer i pancreas; RECIST=respons evaluering af kriterier for solide tumorer.</w:t>
      </w:r>
    </w:p>
    <w:p w:rsidR="00515A85" w:rsidRPr="00F23835" w:rsidRDefault="00515A85" w:rsidP="00515A85">
      <w:pPr>
        <w:pStyle w:val="Brdtekst"/>
        <w:rPr>
          <w:sz w:val="24"/>
          <w:szCs w:val="24"/>
        </w:rPr>
      </w:pPr>
      <w:r w:rsidRPr="00F23835">
        <w:rPr>
          <w:sz w:val="24"/>
          <w:szCs w:val="24"/>
          <w:vertAlign w:val="superscript"/>
        </w:rPr>
        <w:t xml:space="preserve">a </w:t>
      </w:r>
      <w:r w:rsidRPr="00F23835">
        <w:rPr>
          <w:sz w:val="24"/>
          <w:szCs w:val="24"/>
        </w:rPr>
        <w:t>2-sidet ustratificeret logrank test</w:t>
      </w:r>
    </w:p>
    <w:p w:rsidR="00515A85" w:rsidRPr="00F23835" w:rsidRDefault="00515A85" w:rsidP="00515A85">
      <w:pPr>
        <w:pStyle w:val="Brdtekst"/>
        <w:rPr>
          <w:sz w:val="24"/>
          <w:szCs w:val="24"/>
        </w:rPr>
      </w:pPr>
      <w:r w:rsidRPr="00F23835">
        <w:rPr>
          <w:sz w:val="24"/>
          <w:szCs w:val="24"/>
          <w:vertAlign w:val="superscript"/>
        </w:rPr>
        <w:t>b</w:t>
      </w:r>
      <w:r w:rsidRPr="00F23835">
        <w:rPr>
          <w:sz w:val="24"/>
          <w:szCs w:val="24"/>
        </w:rPr>
        <w:t xml:space="preserve"> Fishers Exact test</w:t>
      </w:r>
    </w:p>
    <w:p w:rsidR="00515A85" w:rsidRPr="00F23835" w:rsidRDefault="00515A85" w:rsidP="00515A85">
      <w:pPr>
        <w:pStyle w:val="Brdtekst"/>
        <w:rPr>
          <w:sz w:val="24"/>
          <w:szCs w:val="24"/>
        </w:rPr>
      </w:pPr>
    </w:p>
    <w:p w:rsidR="00515A85" w:rsidRPr="00F23835" w:rsidRDefault="00515A85" w:rsidP="00355123">
      <w:pPr>
        <w:keepNext/>
        <w:tabs>
          <w:tab w:val="left" w:pos="851"/>
        </w:tabs>
        <w:ind w:left="851"/>
        <w:rPr>
          <w:rFonts w:eastAsia="TimesNewRoman"/>
          <w:sz w:val="24"/>
          <w:szCs w:val="24"/>
        </w:rPr>
      </w:pPr>
      <w:r w:rsidRPr="00F23835">
        <w:rPr>
          <w:rFonts w:eastAsia="TimesNewRoman,Bold"/>
          <w:b/>
          <w:bCs/>
          <w:sz w:val="24"/>
          <w:szCs w:val="24"/>
        </w:rPr>
        <w:lastRenderedPageBreak/>
        <w:t>Figur 1 - Kaplan-Meier PFS-kurve i pNET fase 3-studiet</w:t>
      </w:r>
    </w:p>
    <w:p w:rsidR="00515A85" w:rsidRPr="00F23835" w:rsidRDefault="00515A85" w:rsidP="00355123">
      <w:pPr>
        <w:pStyle w:val="Brdtekst"/>
        <w:keepNext/>
        <w:widowControl/>
        <w:ind w:left="851"/>
        <w:rPr>
          <w:sz w:val="24"/>
          <w:szCs w:val="24"/>
          <w:lang w:val="da-DK"/>
        </w:rPr>
      </w:pPr>
    </w:p>
    <w:p w:rsidR="00515A85" w:rsidRPr="00F23835" w:rsidRDefault="00515A85" w:rsidP="00355123">
      <w:pPr>
        <w:pStyle w:val="Brdtekst"/>
        <w:keepNext/>
        <w:widowControl/>
        <w:ind w:left="851"/>
        <w:rPr>
          <w:sz w:val="24"/>
          <w:szCs w:val="24"/>
        </w:rPr>
      </w:pPr>
      <w:r w:rsidRPr="00F23835">
        <w:rPr>
          <w:noProof/>
          <w:sz w:val="24"/>
          <w:szCs w:val="24"/>
          <w:lang w:val="da-DK" w:eastAsia="da-DK"/>
        </w:rPr>
        <w:drawing>
          <wp:inline distT="0" distB="0" distL="0" distR="0" wp14:anchorId="231D2FC2" wp14:editId="31BDE47E">
            <wp:extent cx="4906719" cy="3268980"/>
            <wp:effectExtent l="0" t="0" r="8255" b="7620"/>
            <wp:docPr id="2" name="Billede 2" descr="gf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gfh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9136" cy="3283915"/>
                    </a:xfrm>
                    <a:prstGeom prst="rect">
                      <a:avLst/>
                    </a:prstGeom>
                    <a:noFill/>
                    <a:ln>
                      <a:noFill/>
                    </a:ln>
                  </pic:spPr>
                </pic:pic>
              </a:graphicData>
            </a:graphic>
          </wp:inline>
        </w:drawing>
      </w:r>
    </w:p>
    <w:p w:rsidR="00515A85" w:rsidRPr="00F23835" w:rsidRDefault="00515A85" w:rsidP="00355123">
      <w:pPr>
        <w:keepNext/>
        <w:spacing w:before="1"/>
        <w:ind w:left="851" w:right="1450"/>
        <w:rPr>
          <w:sz w:val="24"/>
          <w:szCs w:val="24"/>
        </w:rPr>
      </w:pPr>
      <w:r w:rsidRPr="00F23835">
        <w:rPr>
          <w:sz w:val="24"/>
          <w:szCs w:val="24"/>
        </w:rPr>
        <w:t>Forkortelser: CI=konfidensinterval; N=antal patienter; PFS=progressionsfri overlevelse; pNET= neuroendokrine tumorer i pancreas.</w:t>
      </w:r>
    </w:p>
    <w:p w:rsidR="00515A85" w:rsidRPr="00F23835" w:rsidRDefault="00515A85" w:rsidP="00515A85">
      <w:pPr>
        <w:pStyle w:val="Brdtekst"/>
        <w:rPr>
          <w:sz w:val="24"/>
          <w:szCs w:val="24"/>
          <w:lang w:val="da-DK"/>
        </w:rPr>
      </w:pPr>
    </w:p>
    <w:p w:rsidR="00515A85" w:rsidRPr="00F23835" w:rsidRDefault="00515A85" w:rsidP="00515A85">
      <w:pPr>
        <w:pStyle w:val="Brdtekst"/>
        <w:ind w:left="851"/>
        <w:rPr>
          <w:sz w:val="24"/>
          <w:szCs w:val="24"/>
          <w:lang w:val="da-DK"/>
        </w:rPr>
      </w:pPr>
      <w:r w:rsidRPr="00F23835">
        <w:rPr>
          <w:sz w:val="24"/>
          <w:szCs w:val="24"/>
          <w:lang w:val="da-DK"/>
        </w:rPr>
        <w:t xml:space="preserve">OS-data var endnu ikke tilgængelige ved studiets afslutning [20,6 måneder (95 % CI 20,6; NR (ikke nået)) i sunitinib-gruppen sammenlignet med NR (95 % CI 15,5; NR) i placebo-gruppen, </w:t>
      </w:r>
      <w:r w:rsidRPr="00F23835">
        <w:rPr>
          <w:i/>
          <w:sz w:val="24"/>
          <w:szCs w:val="24"/>
          <w:lang w:val="da-DK"/>
        </w:rPr>
        <w:t>hazard ratio</w:t>
      </w:r>
      <w:r w:rsidRPr="00F23835">
        <w:rPr>
          <w:sz w:val="24"/>
          <w:szCs w:val="24"/>
          <w:lang w:val="da-DK"/>
        </w:rPr>
        <w:t>: 0,409 (95 % CI 0,187; 0,894), p=0,204]. Der var 9 dødsfald i sunitinib-grupppen og 21 dødsfald i placebo-gruppen.</w:t>
      </w:r>
    </w:p>
    <w:p w:rsidR="00515A85" w:rsidRPr="00F23835" w:rsidRDefault="00515A85" w:rsidP="00515A85">
      <w:pPr>
        <w:pStyle w:val="Brdtekst"/>
        <w:ind w:left="851"/>
        <w:rPr>
          <w:sz w:val="24"/>
          <w:szCs w:val="24"/>
          <w:lang w:val="da-DK"/>
        </w:rPr>
      </w:pPr>
    </w:p>
    <w:p w:rsidR="00515A85" w:rsidRPr="00F23835" w:rsidRDefault="00515A85" w:rsidP="00515A85">
      <w:pPr>
        <w:pStyle w:val="Brdtekst"/>
        <w:ind w:left="851"/>
        <w:rPr>
          <w:sz w:val="24"/>
          <w:szCs w:val="24"/>
          <w:lang w:val="da-DK"/>
        </w:rPr>
      </w:pPr>
      <w:r w:rsidRPr="00F23835">
        <w:rPr>
          <w:sz w:val="24"/>
          <w:szCs w:val="24"/>
          <w:lang w:val="da-DK"/>
        </w:rPr>
        <w:t xml:space="preserve">Ved sygdomsprogression blev randomiseringskoden brudt, og placebo-patienter fik tilbudt ublindet behandling med sunitinib i et særskilt forlængelsesstudie. Som følge af den tidlige lukning af studiet blev koden for de resterende patienter brudt, og de blev tilbudt behandling med sunitinib i et åbent forlængelsesstudie. I alt 59 ud af 85 patienter (69,4 %) fra placebo-gruppen fik ublindet sunitinib-behandling efter sygdomsprogression eller afblinding ved studieafslutning. Ved 5-årsopfølgning i forlængelsesstudiet viste OS en </w:t>
      </w:r>
      <w:r w:rsidRPr="00F23835">
        <w:rPr>
          <w:i/>
          <w:sz w:val="24"/>
          <w:szCs w:val="24"/>
          <w:lang w:val="da-DK"/>
        </w:rPr>
        <w:t xml:space="preserve">hazard ratio </w:t>
      </w:r>
      <w:r w:rsidRPr="00F23835">
        <w:rPr>
          <w:sz w:val="24"/>
          <w:szCs w:val="24"/>
          <w:lang w:val="da-DK"/>
        </w:rPr>
        <w:t>på 0,730 (95 % CI 0,504; 1,057).</w:t>
      </w:r>
    </w:p>
    <w:p w:rsidR="00515A85" w:rsidRPr="00F23835" w:rsidRDefault="00515A85" w:rsidP="00515A85">
      <w:pPr>
        <w:pStyle w:val="Brdtekst"/>
        <w:ind w:left="851"/>
        <w:rPr>
          <w:sz w:val="24"/>
          <w:szCs w:val="24"/>
          <w:lang w:val="da-DK"/>
        </w:rPr>
      </w:pPr>
    </w:p>
    <w:p w:rsidR="00515A85" w:rsidRPr="00F23835" w:rsidRDefault="00515A85" w:rsidP="00515A85">
      <w:pPr>
        <w:pStyle w:val="Brdtekst"/>
        <w:ind w:left="851"/>
        <w:rPr>
          <w:sz w:val="24"/>
          <w:szCs w:val="24"/>
          <w:lang w:val="da-DK"/>
        </w:rPr>
      </w:pPr>
      <w:r w:rsidRPr="00F23835">
        <w:rPr>
          <w:sz w:val="24"/>
          <w:szCs w:val="24"/>
          <w:lang w:val="da-DK"/>
        </w:rPr>
        <w:t>Resultater fra spørgeskema (EORTC QLQ-C30) om livskvalitet fra den europæiske kræftforsknings- organisation, European Organisation for Research and Treatment of Cancer, viser, at den samlede totale helbredsrelaterede livskvalitet og de 5 funktionsevner (fysik, karakter, kognitiv, følelsesmæssig og social) blev opretholdt hos patienter i behandling med sunitinib i sammenligning med placebo med begrænsede symptomatiske bivirkninger.</w:t>
      </w:r>
    </w:p>
    <w:p w:rsidR="00515A85" w:rsidRPr="00F23835" w:rsidRDefault="00515A85" w:rsidP="00515A85">
      <w:pPr>
        <w:pStyle w:val="Brdtekst"/>
        <w:ind w:left="851"/>
        <w:rPr>
          <w:sz w:val="24"/>
          <w:szCs w:val="24"/>
          <w:lang w:val="da-DK"/>
        </w:rPr>
      </w:pPr>
    </w:p>
    <w:p w:rsidR="00515A85" w:rsidRPr="00F23835" w:rsidRDefault="00515A85" w:rsidP="00515A85">
      <w:pPr>
        <w:pStyle w:val="Brdtekst"/>
        <w:ind w:left="851"/>
        <w:rPr>
          <w:sz w:val="24"/>
          <w:szCs w:val="24"/>
          <w:lang w:val="da-DK"/>
        </w:rPr>
      </w:pPr>
      <w:r w:rsidRPr="00F23835">
        <w:rPr>
          <w:sz w:val="24"/>
          <w:szCs w:val="24"/>
          <w:lang w:val="da-DK"/>
        </w:rPr>
        <w:t>Der blev udført et multinationalt, multicenter, enkeltarmet åbent fase 4-studie, som evaluerede virkningen og sikkerheden af sunitinib hos patienter med progressiv, fremskreden/metastatisk, veldifferentieret, inoperabel pNET.</w:t>
      </w:r>
    </w:p>
    <w:p w:rsidR="00515A85" w:rsidRPr="00F23835" w:rsidRDefault="00515A85" w:rsidP="00515A85">
      <w:pPr>
        <w:pStyle w:val="Brdtekst"/>
        <w:ind w:left="851"/>
        <w:rPr>
          <w:sz w:val="24"/>
          <w:szCs w:val="24"/>
          <w:lang w:val="da-DK"/>
        </w:rPr>
      </w:pPr>
    </w:p>
    <w:p w:rsidR="00515A85" w:rsidRPr="00F23835" w:rsidRDefault="00515A85" w:rsidP="00515A85">
      <w:pPr>
        <w:pStyle w:val="Brdtekst"/>
        <w:ind w:left="851"/>
        <w:rPr>
          <w:sz w:val="24"/>
          <w:szCs w:val="24"/>
          <w:lang w:val="da-DK"/>
        </w:rPr>
      </w:pPr>
      <w:r w:rsidRPr="00F23835">
        <w:rPr>
          <w:sz w:val="24"/>
          <w:szCs w:val="24"/>
          <w:lang w:val="da-DK"/>
        </w:rPr>
        <w:t>106 patienter (61 patienter i den behandlingsnaive kohorte og 45 patienter i kohorten med senere behandlingslinje) fik behandling med 37,5 mg sunitinib oralt en gang daglig i henhold til en fortløbende daglig doseringsplan (CDD).</w:t>
      </w:r>
    </w:p>
    <w:p w:rsidR="00515A85" w:rsidRPr="00F23835" w:rsidRDefault="00515A85" w:rsidP="00515A85">
      <w:pPr>
        <w:pStyle w:val="Brdtekst"/>
        <w:ind w:left="851"/>
        <w:rPr>
          <w:sz w:val="24"/>
          <w:szCs w:val="24"/>
          <w:lang w:val="da-DK"/>
        </w:rPr>
      </w:pPr>
    </w:p>
    <w:p w:rsidR="00515A85" w:rsidRPr="00F23835" w:rsidRDefault="00515A85" w:rsidP="00515A85">
      <w:pPr>
        <w:pStyle w:val="Brdtekst"/>
        <w:ind w:left="851"/>
        <w:rPr>
          <w:sz w:val="24"/>
          <w:szCs w:val="24"/>
          <w:lang w:val="da-DK"/>
        </w:rPr>
      </w:pPr>
      <w:r w:rsidRPr="00F23835">
        <w:rPr>
          <w:sz w:val="24"/>
          <w:szCs w:val="24"/>
          <w:lang w:val="da-DK"/>
        </w:rPr>
        <w:t xml:space="preserve">Den investigatorvurderede mediane PFS var 13,2 måneder både i den samlede population </w:t>
      </w:r>
      <w:r w:rsidRPr="00F23835">
        <w:rPr>
          <w:sz w:val="24"/>
          <w:szCs w:val="24"/>
          <w:lang w:val="da-DK"/>
        </w:rPr>
        <w:lastRenderedPageBreak/>
        <w:t>(95 % CI: 10,9-16,7) og i den behandlingsnaïve population (95 % CI: 7,4-16,8).</w:t>
      </w:r>
    </w:p>
    <w:p w:rsidR="00515A85" w:rsidRPr="00F23835" w:rsidRDefault="00515A85" w:rsidP="00515A85">
      <w:pPr>
        <w:pStyle w:val="Brdtekst"/>
        <w:ind w:left="851"/>
        <w:rPr>
          <w:sz w:val="24"/>
          <w:szCs w:val="24"/>
          <w:u w:val="single"/>
          <w:lang w:val="da-DK"/>
        </w:rPr>
      </w:pPr>
    </w:p>
    <w:p w:rsidR="00515A85" w:rsidRPr="00F23835" w:rsidRDefault="00515A85" w:rsidP="00515A85">
      <w:pPr>
        <w:pStyle w:val="Brdtekst"/>
        <w:ind w:left="851"/>
        <w:rPr>
          <w:sz w:val="24"/>
          <w:szCs w:val="24"/>
          <w:lang w:val="da-DK"/>
        </w:rPr>
      </w:pPr>
      <w:r w:rsidRPr="00F23835">
        <w:rPr>
          <w:sz w:val="24"/>
          <w:szCs w:val="24"/>
          <w:u w:val="single"/>
          <w:lang w:val="da-DK"/>
        </w:rPr>
        <w:t>Pædiatrisk population</w:t>
      </w:r>
    </w:p>
    <w:p w:rsidR="00515A85" w:rsidRPr="00F23835" w:rsidRDefault="00515A85" w:rsidP="00515A85">
      <w:pPr>
        <w:pStyle w:val="Brdtekst"/>
        <w:ind w:left="851"/>
        <w:rPr>
          <w:sz w:val="24"/>
          <w:szCs w:val="24"/>
          <w:lang w:val="da-DK"/>
        </w:rPr>
      </w:pPr>
      <w:r w:rsidRPr="00F23835">
        <w:rPr>
          <w:sz w:val="24"/>
          <w:szCs w:val="24"/>
          <w:lang w:val="da-DK"/>
        </w:rPr>
        <w:t>Erfaringen med anvendelse af sunitinib hos pædiatriske patienter er begrænset (se pkt. 4.2).</w:t>
      </w:r>
    </w:p>
    <w:p w:rsidR="00515A85" w:rsidRPr="00F23835" w:rsidRDefault="00515A85" w:rsidP="00515A85">
      <w:pPr>
        <w:pStyle w:val="Brdtekst"/>
        <w:ind w:left="851"/>
        <w:rPr>
          <w:sz w:val="24"/>
          <w:szCs w:val="24"/>
          <w:lang w:val="da-DK"/>
        </w:rPr>
      </w:pPr>
    </w:p>
    <w:p w:rsidR="00515A85" w:rsidRPr="00F23835" w:rsidRDefault="00515A85" w:rsidP="00515A85">
      <w:pPr>
        <w:pStyle w:val="Brdtekst"/>
        <w:ind w:left="851"/>
        <w:rPr>
          <w:rFonts w:eastAsia="TimesNewRoman"/>
          <w:sz w:val="24"/>
          <w:szCs w:val="24"/>
          <w:lang w:val="da-DK"/>
        </w:rPr>
      </w:pPr>
      <w:r w:rsidRPr="00F23835">
        <w:rPr>
          <w:rFonts w:eastAsia="TimesNewRoman"/>
          <w:sz w:val="24"/>
          <w:szCs w:val="24"/>
          <w:lang w:val="da-DK"/>
        </w:rPr>
        <w:t>Et fase 1-dosiseskaleringsstudie med oral sunitinib blev udført hos 35 patienter, herunder 30 pædiatriske patienter (i alderen 3-17 år) og 5 unge voksne patienter (i alderen 18-21 år) med refraktære solide tumorer, hvoraf de fleste blev inkluderet med en hjernetumor som primær diagnose. Der blev observeret dosisbegrænsende kardiotoksicitet i den første del af studiet, hvorfor det blev ændret, så patienter med tidligere eksponering for potentielt kardiotoksiske behandlinger (herunder antracykliner) eller stråling af hjertet blev ekskluderet. I den anden del af studiet, hvor patienter med tidligere behandling mod cancer, men uden risikofaktorer for hjertetoksicitet, blev inkluderet, blev sunitinib generelt tolereret, og det kunne håndteres klinisk ved en dosis på 15 mg/m</w:t>
      </w:r>
      <w:r w:rsidRPr="00F23835">
        <w:rPr>
          <w:rFonts w:eastAsia="TimesNewRoman"/>
          <w:sz w:val="24"/>
          <w:szCs w:val="24"/>
          <w:vertAlign w:val="superscript"/>
          <w:lang w:val="da-DK"/>
        </w:rPr>
        <w:t>2</w:t>
      </w:r>
      <w:r w:rsidRPr="00F23835">
        <w:rPr>
          <w:rFonts w:eastAsia="TimesNewRoman"/>
          <w:sz w:val="24"/>
          <w:szCs w:val="24"/>
          <w:lang w:val="da-DK"/>
        </w:rPr>
        <w:t xml:space="preserve"> daglig (maksimal tolereret dosis) i doseringsskema 4/2. Ingen af personerne opnåede fuldstændigt respons eller delvist respons. Der blev observeret stabil sygdom hos 6 patienter (17 %). En patient med GIST blev inkluderet med et doseringsniveau på 15 mg/m</w:t>
      </w:r>
      <w:r w:rsidRPr="00F23835">
        <w:rPr>
          <w:rFonts w:eastAsia="TimesNewRoman"/>
          <w:sz w:val="24"/>
          <w:szCs w:val="24"/>
          <w:vertAlign w:val="superscript"/>
          <w:lang w:val="da-DK"/>
        </w:rPr>
        <w:t>2</w:t>
      </w:r>
      <w:r w:rsidRPr="00F23835">
        <w:rPr>
          <w:rFonts w:eastAsia="TimesNewRoman"/>
          <w:sz w:val="24"/>
          <w:szCs w:val="24"/>
          <w:lang w:val="da-DK"/>
        </w:rPr>
        <w:t xml:space="preserve"> uden tegn på fordel. Samlet svarede de</w:t>
      </w:r>
      <w:r w:rsidR="00355123">
        <w:rPr>
          <w:rFonts w:eastAsia="TimesNewRoman"/>
          <w:sz w:val="24"/>
          <w:szCs w:val="24"/>
          <w:lang w:val="da-DK"/>
        </w:rPr>
        <w:t xml:space="preserve"> </w:t>
      </w:r>
      <w:r w:rsidRPr="00F23835">
        <w:rPr>
          <w:rFonts w:eastAsia="TimesNewRoman"/>
          <w:sz w:val="24"/>
          <w:szCs w:val="24"/>
          <w:lang w:val="da-DK"/>
        </w:rPr>
        <w:t xml:space="preserve">observerede bivirkninger til de, der blev set hos voksne (se pkt. 4.8). </w:t>
      </w:r>
    </w:p>
    <w:p w:rsidR="00515A85" w:rsidRPr="00F23835" w:rsidRDefault="00515A85" w:rsidP="00515A85">
      <w:pPr>
        <w:pStyle w:val="Brdtekst"/>
        <w:ind w:left="851"/>
        <w:rPr>
          <w:rFonts w:eastAsia="TimesNewRoman"/>
          <w:sz w:val="24"/>
          <w:szCs w:val="24"/>
          <w:lang w:val="da-DK"/>
        </w:rPr>
      </w:pPr>
    </w:p>
    <w:p w:rsidR="00515A85" w:rsidRPr="00F23835" w:rsidRDefault="00515A85" w:rsidP="00515A85">
      <w:pPr>
        <w:pStyle w:val="Brdtekst"/>
        <w:ind w:left="851"/>
        <w:rPr>
          <w:rFonts w:eastAsia="TimesNewRoman"/>
          <w:sz w:val="24"/>
          <w:szCs w:val="24"/>
          <w:lang w:val="da-DK"/>
        </w:rPr>
      </w:pPr>
      <w:r w:rsidRPr="00F23835">
        <w:rPr>
          <w:rFonts w:eastAsia="TimesNewRoman"/>
          <w:sz w:val="24"/>
          <w:szCs w:val="24"/>
          <w:lang w:val="da-DK"/>
        </w:rPr>
        <w:t>Et ublindet fase 2-studie blev udført hos 29 patienter, herunder 27 pædiatriske patienter (i alderen 3 til 16 år) og 2 unge voksne patienter (i alderen 18 til 19 år) med gliom af høj grad eller ependymom. På grund af manglende sygdomskontrol blev studiet lukket ned ved tidspunktet for den planlagte interimanalyse. Den mediane progressionsfrie overlevelse var 2,3 måneder i gruppen med gliom af høj grad og 2,7 måneder i ependymom-gruppen. Den mediane samlede overlevelse (OS) var 5,1 måneder i gruppen med gliom af høj grad og 12,3 måneder i ependymom-gruppen. De hyppigste bivirkninger (≥ 10 %) hos patienterne i begge grupper tilsammen var nedsat neutrofiltal (6 patienter (20,7 %) og intrakranial blødning (3 patienter (10,3 %)) (se pkt. 4.8).</w:t>
      </w:r>
    </w:p>
    <w:p w:rsidR="00515A85" w:rsidRPr="00F23835" w:rsidRDefault="00515A85" w:rsidP="00515A85">
      <w:pPr>
        <w:pStyle w:val="Brdtekst"/>
        <w:ind w:left="851"/>
        <w:rPr>
          <w:rFonts w:eastAsia="TimesNewRoman"/>
          <w:sz w:val="24"/>
          <w:szCs w:val="24"/>
          <w:lang w:val="da-DK"/>
        </w:rPr>
      </w:pPr>
    </w:p>
    <w:p w:rsidR="00515A85" w:rsidRPr="00F23835" w:rsidRDefault="00515A85" w:rsidP="00515A85">
      <w:pPr>
        <w:pStyle w:val="Brdtekst"/>
        <w:ind w:left="851"/>
        <w:rPr>
          <w:rFonts w:eastAsia="TimesNewRoman"/>
          <w:sz w:val="24"/>
          <w:szCs w:val="24"/>
          <w:lang w:val="da-DK"/>
        </w:rPr>
      </w:pPr>
      <w:r w:rsidRPr="00F23835">
        <w:rPr>
          <w:rFonts w:eastAsia="TimesNewRoman"/>
          <w:sz w:val="24"/>
          <w:szCs w:val="24"/>
          <w:lang w:val="da-DK"/>
        </w:rPr>
        <w:t>Evidens fra et fase-1/2-studie med oral sunitinib, der blev udført hos 6 pædiatriske patienter med GIST i alderen 13-16 år, som fik sunitinib i doseringsskema 4/2, i doser på mellem 15 mg/m</w:t>
      </w:r>
      <w:r w:rsidRPr="00F23835">
        <w:rPr>
          <w:rFonts w:eastAsia="TimesNewRoman"/>
          <w:sz w:val="24"/>
          <w:szCs w:val="24"/>
          <w:vertAlign w:val="superscript"/>
          <w:lang w:val="da-DK"/>
        </w:rPr>
        <w:t>2</w:t>
      </w:r>
      <w:r w:rsidRPr="00F23835">
        <w:rPr>
          <w:rFonts w:eastAsia="TimesNewRoman"/>
          <w:sz w:val="24"/>
          <w:szCs w:val="24"/>
          <w:lang w:val="da-DK"/>
        </w:rPr>
        <w:t xml:space="preserve"> daglig og 30 mg/m</w:t>
      </w:r>
      <w:r w:rsidRPr="00F23835">
        <w:rPr>
          <w:rFonts w:eastAsia="TimesNewRoman"/>
          <w:sz w:val="24"/>
          <w:szCs w:val="24"/>
          <w:vertAlign w:val="superscript"/>
          <w:lang w:val="da-DK"/>
        </w:rPr>
        <w:t>2</w:t>
      </w:r>
      <w:r w:rsidRPr="00F23835">
        <w:rPr>
          <w:rFonts w:eastAsia="TimesNewRoman"/>
          <w:sz w:val="24"/>
          <w:szCs w:val="24"/>
          <w:lang w:val="da-DK"/>
        </w:rPr>
        <w:t xml:space="preserve"> daglig og publicerede, tilgængelige data (20 pædiatriske eller unge voksne patienter med GIST) indikerede, at sunitinib medførte stabilisering af sygdommen hos 18 ud af 26 (69,2 %) af patienterne, enten efter behandlingssvigt med eller intolerance over for imatinib (16 ud af 21 patienter med stabil sygdom) eller de novo/efter operation (2 ud af 5 patienter med stabil sygdom). I fase 1/2- studiet blev der observeret stabil sygdom og sygdomsprogression hos 3 ud af 6 patienter (1 patient fik neo-adjuverende behandling og 1 fik adjuverende imatinib). I det samme studie oplevede 4 ud af 6 patienter (66,7 %) bivirkninger af grad 3-4. De rapporterede grad 3 bivirkninger var hypofosfatæmi, neutropeni og trombocytopeni hver hos 1 patient, og en grad 4 bivirkning af neutropeni blev rapporteret hos 1 patient. Herudover er de følgende grad 3 bivirkninger blevet rapporteret hos 5 patienter i publikationer: træthed (2) og gastrointestinale bivirkninger (herunder diarré)</w:t>
      </w:r>
      <w:r w:rsidR="00355123">
        <w:rPr>
          <w:rFonts w:eastAsia="TimesNewRoman"/>
          <w:sz w:val="24"/>
          <w:szCs w:val="24"/>
          <w:lang w:val="da-DK"/>
        </w:rPr>
        <w:t xml:space="preserve"> </w:t>
      </w:r>
      <w:r w:rsidRPr="00F23835">
        <w:rPr>
          <w:rFonts w:eastAsia="TimesNewRoman"/>
          <w:sz w:val="24"/>
          <w:szCs w:val="24"/>
          <w:lang w:val="da-DK"/>
        </w:rPr>
        <w:t xml:space="preserve">(2), hæmatologiske bivirkninger (herunder anæmi) (2), cholecystitis (1), hypertyroidisme (1) og mucositis (1). </w:t>
      </w:r>
    </w:p>
    <w:p w:rsidR="00515A85" w:rsidRPr="00F23835" w:rsidRDefault="00515A85" w:rsidP="00515A85">
      <w:pPr>
        <w:pStyle w:val="Brdtekst"/>
        <w:ind w:left="851"/>
        <w:rPr>
          <w:rFonts w:eastAsia="TimesNewRoman"/>
          <w:sz w:val="24"/>
          <w:szCs w:val="24"/>
          <w:lang w:val="da-DK"/>
        </w:rPr>
      </w:pPr>
    </w:p>
    <w:p w:rsidR="00515A85" w:rsidRPr="00F23835" w:rsidRDefault="00515A85" w:rsidP="00515A85">
      <w:pPr>
        <w:pStyle w:val="Brdtekst"/>
        <w:ind w:left="851"/>
        <w:rPr>
          <w:rFonts w:eastAsia="TimesNewRoman"/>
          <w:sz w:val="24"/>
          <w:szCs w:val="24"/>
          <w:lang w:val="da-DK"/>
        </w:rPr>
      </w:pPr>
      <w:r w:rsidRPr="00F23835">
        <w:rPr>
          <w:rFonts w:eastAsia="TimesNewRoman"/>
          <w:sz w:val="24"/>
          <w:szCs w:val="24"/>
          <w:lang w:val="da-DK"/>
        </w:rPr>
        <w:t xml:space="preserve">Der blev udført en populationsfarmakokinetisk og farmakokinetisk/- farmakodynamisk analyse med henblik på at ekstrapolere farmakokinetikken og de vigtigste endepunkter for sikkerhed og virkning af sunitinib hos pædiatriske patienter med GIST (aldersgruppe 6-17 år). Denne analyse var baseret på data indsamlet fra voksne med GIST eller solide tumorer samt fra pædiatriske patienter med solide tumorer. Baseret på modelleringsanalyser virkede det ikke som om, at yngre alder og mindre legemsstørrelse påvirkede sikkerheds- og </w:t>
      </w:r>
      <w:r w:rsidRPr="00F23835">
        <w:rPr>
          <w:rFonts w:eastAsia="TimesNewRoman"/>
          <w:sz w:val="24"/>
          <w:szCs w:val="24"/>
          <w:lang w:val="da-DK"/>
        </w:rPr>
        <w:lastRenderedPageBreak/>
        <w:t>virkningsresponse på plasma-eksponeringen for sunitinib negativt. Det virkede ikke som om, at sunitinibs benefit/risk-forhold blev negativt påvirket af en yngre alder og mindre legemsstørrelse, og det var primært afhængigt af plasma-eksponeringen.</w:t>
      </w:r>
    </w:p>
    <w:p w:rsidR="00515A85" w:rsidRPr="00F23835" w:rsidRDefault="00515A85" w:rsidP="00515A85">
      <w:pPr>
        <w:pStyle w:val="Brdtekst"/>
        <w:ind w:left="851"/>
        <w:rPr>
          <w:rFonts w:eastAsia="TimesNewRoman"/>
          <w:sz w:val="24"/>
          <w:szCs w:val="24"/>
          <w:lang w:val="da-DK"/>
        </w:rPr>
      </w:pPr>
    </w:p>
    <w:p w:rsidR="00515A85" w:rsidRPr="00F23835" w:rsidRDefault="00515A85" w:rsidP="00515A85">
      <w:pPr>
        <w:pStyle w:val="Brdtekst"/>
        <w:ind w:left="851"/>
        <w:rPr>
          <w:rFonts w:eastAsia="TimesNewRoman"/>
          <w:sz w:val="24"/>
          <w:szCs w:val="24"/>
          <w:lang w:val="da-DK"/>
        </w:rPr>
      </w:pPr>
      <w:r w:rsidRPr="00F23835">
        <w:rPr>
          <w:rFonts w:eastAsia="TimesNewRoman"/>
          <w:sz w:val="24"/>
          <w:szCs w:val="24"/>
          <w:lang w:val="da-DK"/>
        </w:rPr>
        <w:t xml:space="preserve">Det Europæiske Lægemiddelagentur har dispenseret fra kravet om at fremlægge resultaterne af studier med referenceproduktet indeholdende sunitinib i alle undergrupper af den pædiatriske population ved behandling af nyre- og nyrebækken-karcinom (eksklusive nefroblastom, nefroblastomatose, </w:t>
      </w:r>
      <w:r w:rsidRPr="00F23835">
        <w:rPr>
          <w:rFonts w:eastAsia="TimesNewRoman"/>
          <w:iCs/>
          <w:sz w:val="24"/>
          <w:szCs w:val="24"/>
          <w:lang w:val="da-DK"/>
        </w:rPr>
        <w:t>clear cell</w:t>
      </w:r>
      <w:r w:rsidRPr="00F23835">
        <w:rPr>
          <w:rFonts w:eastAsia="TimesNewRoman"/>
          <w:sz w:val="24"/>
          <w:szCs w:val="24"/>
          <w:lang w:val="da-DK"/>
        </w:rPr>
        <w:t>-sarkom, mesoblastisk nefrom, renalt medullært karcinom og rabdoid tumor i nyrerne) (se pkt. 4.2).</w:t>
      </w:r>
    </w:p>
    <w:p w:rsidR="00515A85" w:rsidRPr="00F23835" w:rsidRDefault="00515A85" w:rsidP="00515A85">
      <w:pPr>
        <w:pStyle w:val="Brdtekst"/>
        <w:ind w:left="851"/>
        <w:rPr>
          <w:rFonts w:eastAsia="TimesNewRoman"/>
          <w:sz w:val="24"/>
          <w:szCs w:val="24"/>
          <w:lang w:val="da-DK"/>
        </w:rPr>
      </w:pPr>
    </w:p>
    <w:p w:rsidR="00515A85" w:rsidRPr="00F23835" w:rsidRDefault="00515A85" w:rsidP="00515A85">
      <w:pPr>
        <w:pStyle w:val="Brdtekst"/>
        <w:ind w:left="851"/>
        <w:rPr>
          <w:rFonts w:eastAsia="TimesNewRoman"/>
          <w:sz w:val="24"/>
          <w:szCs w:val="24"/>
          <w:lang w:val="da-DK"/>
        </w:rPr>
      </w:pPr>
      <w:r w:rsidRPr="00F23835">
        <w:rPr>
          <w:rFonts w:eastAsia="TimesNewRoman"/>
          <w:sz w:val="24"/>
          <w:szCs w:val="24"/>
          <w:lang w:val="da-DK"/>
        </w:rPr>
        <w:t>Det Europæiske Lægemiddelagentur har dispenseret fra kravet om at fremlægge resultaterne af studier med referenceproduktet indeholdende sunitinib i alle undergrupper af den pædiatriske population ved behandling af neuroendokrine gastroentero-pankreatiske tumorer (eksklusive neuroblastom, neuroganglioblastom, fæokromocytom (se pkt. 4.2).</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hanging="851"/>
        <w:rPr>
          <w:b/>
          <w:sz w:val="24"/>
          <w:szCs w:val="24"/>
        </w:rPr>
      </w:pPr>
      <w:r w:rsidRPr="00F23835">
        <w:rPr>
          <w:b/>
          <w:sz w:val="24"/>
          <w:szCs w:val="24"/>
        </w:rPr>
        <w:t>5.2</w:t>
      </w:r>
      <w:r w:rsidRPr="00F23835">
        <w:rPr>
          <w:b/>
          <w:sz w:val="24"/>
          <w:szCs w:val="24"/>
        </w:rPr>
        <w:tab/>
        <w:t>Farmakokinetiske egenskaber</w:t>
      </w:r>
    </w:p>
    <w:p w:rsidR="00515A85" w:rsidRPr="00F23835" w:rsidRDefault="00515A85" w:rsidP="00515A85">
      <w:pPr>
        <w:widowControl w:val="0"/>
        <w:autoSpaceDE w:val="0"/>
        <w:autoSpaceDN w:val="0"/>
        <w:ind w:left="851"/>
        <w:rPr>
          <w:sz w:val="24"/>
          <w:szCs w:val="24"/>
        </w:rPr>
      </w:pPr>
      <w:r w:rsidRPr="00F23835">
        <w:rPr>
          <w:sz w:val="24"/>
          <w:szCs w:val="24"/>
        </w:rPr>
        <w:t>Farmakokinetikken af sunitinib blev vurderet hos 135 raske forsøgspersoner og 266 patienter med solide tumorer. Farmakokinetikken var ens hos alle undersøgte populationer med solide tumorer og hos raske forsøgspersoner.</w:t>
      </w:r>
    </w:p>
    <w:p w:rsidR="00515A85" w:rsidRPr="00F23835" w:rsidRDefault="00515A85" w:rsidP="00515A85">
      <w:pPr>
        <w:widowControl w:val="0"/>
        <w:autoSpaceDE w:val="0"/>
        <w:autoSpaceDN w:val="0"/>
        <w:ind w:left="851"/>
        <w:rPr>
          <w:sz w:val="24"/>
          <w:szCs w:val="24"/>
        </w:rPr>
      </w:pPr>
    </w:p>
    <w:p w:rsidR="00515A85" w:rsidRPr="00F23835" w:rsidRDefault="00515A85" w:rsidP="00515A85">
      <w:pPr>
        <w:widowControl w:val="0"/>
        <w:autoSpaceDE w:val="0"/>
        <w:autoSpaceDN w:val="0"/>
        <w:ind w:left="851"/>
        <w:rPr>
          <w:sz w:val="24"/>
          <w:szCs w:val="24"/>
        </w:rPr>
      </w:pPr>
      <w:r w:rsidRPr="00F23835">
        <w:rPr>
          <w:sz w:val="24"/>
          <w:szCs w:val="24"/>
        </w:rPr>
        <w:t>Ved dosisintervallet 25-100 mg øges både arealet under plasmakoncentrationstidskurven (AUC) og C</w:t>
      </w:r>
      <w:r w:rsidRPr="00F23835">
        <w:rPr>
          <w:sz w:val="24"/>
          <w:szCs w:val="24"/>
          <w:vertAlign w:val="subscript"/>
        </w:rPr>
        <w:t xml:space="preserve">max </w:t>
      </w:r>
      <w:r w:rsidRPr="00F23835">
        <w:rPr>
          <w:sz w:val="24"/>
          <w:szCs w:val="24"/>
        </w:rPr>
        <w:t>proportionalt med dosis. Ved gentagen daglig dosis akkumuleres sunitinib 3-4 gange, og dets aktive hovedmetabolit akkumuleres 7-10 gange. Steady state-koncentrationen af sunitinib og dets aktive hovedmetabolit nås inden for 10-14 dage. På dag 14 er den kombinerede plasmakoncentration af sunitinib og dets aktive hovemetabolit 62,9-101</w:t>
      </w:r>
      <w:r w:rsidR="00355123">
        <w:rPr>
          <w:sz w:val="24"/>
          <w:szCs w:val="24"/>
        </w:rPr>
        <w:t> </w:t>
      </w:r>
      <w:r w:rsidRPr="00F23835">
        <w:rPr>
          <w:sz w:val="24"/>
          <w:szCs w:val="24"/>
        </w:rPr>
        <w:t xml:space="preserve">ng/ml. Præ-kliniske data viser, at dette er målkoncentrationen som er nødvendig for at kunne hæmme receptorfosforylering </w:t>
      </w:r>
      <w:r w:rsidRPr="00F23835">
        <w:rPr>
          <w:i/>
          <w:sz w:val="24"/>
          <w:szCs w:val="24"/>
        </w:rPr>
        <w:t>in vitro</w:t>
      </w:r>
      <w:r w:rsidRPr="00F23835">
        <w:rPr>
          <w:sz w:val="24"/>
          <w:szCs w:val="24"/>
        </w:rPr>
        <w:t xml:space="preserve">, hvilket resulterer i tumorstase/vækstreduktion </w:t>
      </w:r>
      <w:r w:rsidRPr="00F23835">
        <w:rPr>
          <w:i/>
          <w:sz w:val="24"/>
          <w:szCs w:val="24"/>
        </w:rPr>
        <w:t>in vivo</w:t>
      </w:r>
      <w:r w:rsidRPr="00F23835">
        <w:rPr>
          <w:sz w:val="24"/>
          <w:szCs w:val="24"/>
        </w:rPr>
        <w:t>. Den aktive hovedmetabolit udgør 23-37 % af den totale eksponering. Der er ikke set nogen signifikante ændringer i farmakokinetikken af sunitinib eller den aktive hovedmetabolit ved gentagen daglig dosis eller ved gentagen cyklus efter det undersøgte doseringsskema.</w:t>
      </w:r>
    </w:p>
    <w:p w:rsidR="00515A85" w:rsidRPr="00F23835" w:rsidRDefault="00515A85" w:rsidP="00515A85">
      <w:pPr>
        <w:widowControl w:val="0"/>
        <w:autoSpaceDE w:val="0"/>
        <w:autoSpaceDN w:val="0"/>
        <w:ind w:left="851"/>
        <w:rPr>
          <w:sz w:val="24"/>
          <w:szCs w:val="24"/>
        </w:rPr>
      </w:pPr>
    </w:p>
    <w:p w:rsidR="00515A85" w:rsidRPr="00F23835" w:rsidRDefault="00515A85" w:rsidP="00515A85">
      <w:pPr>
        <w:widowControl w:val="0"/>
        <w:autoSpaceDE w:val="0"/>
        <w:autoSpaceDN w:val="0"/>
        <w:ind w:left="851"/>
        <w:rPr>
          <w:sz w:val="24"/>
          <w:szCs w:val="24"/>
        </w:rPr>
      </w:pPr>
      <w:r w:rsidRPr="00F23835">
        <w:rPr>
          <w:sz w:val="24"/>
          <w:szCs w:val="24"/>
          <w:u w:val="single"/>
        </w:rPr>
        <w:t>Absorption</w:t>
      </w:r>
    </w:p>
    <w:p w:rsidR="00515A85" w:rsidRPr="00F23835" w:rsidRDefault="00515A85" w:rsidP="00515A85">
      <w:pPr>
        <w:widowControl w:val="0"/>
        <w:autoSpaceDE w:val="0"/>
        <w:autoSpaceDN w:val="0"/>
        <w:ind w:left="851"/>
        <w:rPr>
          <w:sz w:val="24"/>
          <w:szCs w:val="24"/>
        </w:rPr>
      </w:pPr>
      <w:r w:rsidRPr="00F23835">
        <w:rPr>
          <w:sz w:val="24"/>
          <w:szCs w:val="24"/>
        </w:rPr>
        <w:t>Efter oral anvendelse af sunitinib ses C</w:t>
      </w:r>
      <w:r w:rsidRPr="00F23835">
        <w:rPr>
          <w:sz w:val="24"/>
          <w:szCs w:val="24"/>
          <w:vertAlign w:val="subscript"/>
        </w:rPr>
        <w:t>max</w:t>
      </w:r>
      <w:r w:rsidRPr="00F23835">
        <w:rPr>
          <w:position w:val="-2"/>
          <w:sz w:val="24"/>
          <w:szCs w:val="24"/>
        </w:rPr>
        <w:t xml:space="preserve"> </w:t>
      </w:r>
      <w:r w:rsidRPr="00F23835">
        <w:rPr>
          <w:sz w:val="24"/>
          <w:szCs w:val="24"/>
        </w:rPr>
        <w:t>sædvanligvis 6-12 timer (T</w:t>
      </w:r>
      <w:r w:rsidRPr="00F23835">
        <w:rPr>
          <w:sz w:val="24"/>
          <w:szCs w:val="24"/>
          <w:vertAlign w:val="subscript"/>
        </w:rPr>
        <w:t>max</w:t>
      </w:r>
      <w:r w:rsidRPr="00F23835">
        <w:rPr>
          <w:sz w:val="24"/>
          <w:szCs w:val="24"/>
        </w:rPr>
        <w:t xml:space="preserve">) efter administration. </w:t>
      </w:r>
    </w:p>
    <w:p w:rsidR="00515A85" w:rsidRPr="00F23835" w:rsidRDefault="00515A85" w:rsidP="00515A85">
      <w:pPr>
        <w:widowControl w:val="0"/>
        <w:autoSpaceDE w:val="0"/>
        <w:autoSpaceDN w:val="0"/>
        <w:ind w:left="851"/>
        <w:rPr>
          <w:sz w:val="24"/>
          <w:szCs w:val="24"/>
        </w:rPr>
      </w:pPr>
    </w:p>
    <w:p w:rsidR="00515A85" w:rsidRPr="00F23835" w:rsidRDefault="00515A85" w:rsidP="00515A85">
      <w:pPr>
        <w:widowControl w:val="0"/>
        <w:autoSpaceDE w:val="0"/>
        <w:autoSpaceDN w:val="0"/>
        <w:ind w:left="851"/>
        <w:rPr>
          <w:sz w:val="24"/>
          <w:szCs w:val="24"/>
        </w:rPr>
      </w:pPr>
      <w:r w:rsidRPr="00F23835">
        <w:rPr>
          <w:sz w:val="24"/>
          <w:szCs w:val="24"/>
        </w:rPr>
        <w:t>Fødeindtagelse har ingen effekt på biotilgængeligheden af sunitinib.</w:t>
      </w:r>
    </w:p>
    <w:p w:rsidR="00515A85" w:rsidRPr="00F23835" w:rsidRDefault="00515A85" w:rsidP="00515A85">
      <w:pPr>
        <w:widowControl w:val="0"/>
        <w:autoSpaceDE w:val="0"/>
        <w:autoSpaceDN w:val="0"/>
        <w:ind w:left="851"/>
        <w:rPr>
          <w:sz w:val="24"/>
          <w:szCs w:val="24"/>
          <w:u w:val="single"/>
        </w:rPr>
      </w:pPr>
    </w:p>
    <w:p w:rsidR="00515A85" w:rsidRPr="00F23835" w:rsidRDefault="00515A85" w:rsidP="00515A85">
      <w:pPr>
        <w:widowControl w:val="0"/>
        <w:autoSpaceDE w:val="0"/>
        <w:autoSpaceDN w:val="0"/>
        <w:ind w:left="851"/>
        <w:rPr>
          <w:sz w:val="24"/>
          <w:szCs w:val="24"/>
        </w:rPr>
      </w:pPr>
      <w:r w:rsidRPr="00F23835">
        <w:rPr>
          <w:sz w:val="24"/>
          <w:szCs w:val="24"/>
          <w:u w:val="single"/>
        </w:rPr>
        <w:t>Fordeling</w:t>
      </w:r>
    </w:p>
    <w:p w:rsidR="00515A85" w:rsidRPr="00F23835" w:rsidRDefault="00515A85" w:rsidP="00515A85">
      <w:pPr>
        <w:widowControl w:val="0"/>
        <w:autoSpaceDE w:val="0"/>
        <w:autoSpaceDN w:val="0"/>
        <w:ind w:left="851"/>
        <w:rPr>
          <w:sz w:val="24"/>
          <w:szCs w:val="24"/>
        </w:rPr>
      </w:pPr>
      <w:r w:rsidRPr="00F23835">
        <w:rPr>
          <w:i/>
          <w:sz w:val="24"/>
          <w:szCs w:val="24"/>
        </w:rPr>
        <w:t>In vitro</w:t>
      </w:r>
      <w:r w:rsidRPr="00F23835">
        <w:rPr>
          <w:sz w:val="24"/>
          <w:szCs w:val="24"/>
        </w:rPr>
        <w:t xml:space="preserve">-binding af sunitinib og dets aktive hovedmetabolit til </w:t>
      </w:r>
      <w:proofErr w:type="gramStart"/>
      <w:r w:rsidRPr="00F23835">
        <w:rPr>
          <w:sz w:val="24"/>
          <w:szCs w:val="24"/>
        </w:rPr>
        <w:t>human plasmaprotein</w:t>
      </w:r>
      <w:proofErr w:type="gramEnd"/>
      <w:r w:rsidRPr="00F23835">
        <w:rPr>
          <w:sz w:val="24"/>
          <w:szCs w:val="24"/>
        </w:rPr>
        <w:t xml:space="preserve"> er i </w:t>
      </w:r>
      <w:r w:rsidRPr="00F23835">
        <w:rPr>
          <w:i/>
          <w:sz w:val="24"/>
          <w:szCs w:val="24"/>
        </w:rPr>
        <w:t xml:space="preserve">in vitro </w:t>
      </w:r>
      <w:r w:rsidRPr="00F23835">
        <w:rPr>
          <w:sz w:val="24"/>
          <w:szCs w:val="24"/>
        </w:rPr>
        <w:t>studier henholdsvis 95 % og 90 %, og der er tilsyneladende ingen koncentrationsafhængighed. Det tilsyneladende distributionsvolumen (V</w:t>
      </w:r>
      <w:r w:rsidRPr="00F23835">
        <w:rPr>
          <w:position w:val="-2"/>
          <w:sz w:val="24"/>
          <w:szCs w:val="24"/>
        </w:rPr>
        <w:t>d</w:t>
      </w:r>
      <w:r w:rsidRPr="00F23835">
        <w:rPr>
          <w:sz w:val="24"/>
          <w:szCs w:val="24"/>
        </w:rPr>
        <w:t>) er stort for sunitinib – 2230 l – som tyder på distribution ind i</w:t>
      </w:r>
      <w:r w:rsidRPr="00F23835">
        <w:rPr>
          <w:spacing w:val="-5"/>
          <w:sz w:val="24"/>
          <w:szCs w:val="24"/>
        </w:rPr>
        <w:t xml:space="preserve"> </w:t>
      </w:r>
      <w:r w:rsidRPr="00F23835">
        <w:rPr>
          <w:sz w:val="24"/>
          <w:szCs w:val="24"/>
        </w:rPr>
        <w:t>vævene.</w:t>
      </w:r>
    </w:p>
    <w:p w:rsidR="00515A85" w:rsidRPr="00F23835" w:rsidRDefault="00515A85" w:rsidP="00515A85">
      <w:pPr>
        <w:widowControl w:val="0"/>
        <w:autoSpaceDE w:val="0"/>
        <w:autoSpaceDN w:val="0"/>
        <w:ind w:left="851"/>
        <w:rPr>
          <w:sz w:val="24"/>
          <w:szCs w:val="24"/>
        </w:rPr>
      </w:pPr>
    </w:p>
    <w:p w:rsidR="00515A85" w:rsidRPr="00F23835" w:rsidRDefault="00515A85" w:rsidP="00515A85">
      <w:pPr>
        <w:widowControl w:val="0"/>
        <w:autoSpaceDE w:val="0"/>
        <w:autoSpaceDN w:val="0"/>
        <w:ind w:left="851"/>
        <w:rPr>
          <w:sz w:val="24"/>
          <w:szCs w:val="24"/>
        </w:rPr>
      </w:pPr>
      <w:r w:rsidRPr="00F23835">
        <w:rPr>
          <w:sz w:val="24"/>
          <w:szCs w:val="24"/>
          <w:u w:val="single"/>
        </w:rPr>
        <w:t>Metaboliske interaktioner</w:t>
      </w:r>
    </w:p>
    <w:p w:rsidR="00515A85" w:rsidRPr="00F23835" w:rsidRDefault="00515A85" w:rsidP="00515A85">
      <w:pPr>
        <w:widowControl w:val="0"/>
        <w:autoSpaceDE w:val="0"/>
        <w:autoSpaceDN w:val="0"/>
        <w:ind w:left="851"/>
        <w:rPr>
          <w:sz w:val="24"/>
          <w:szCs w:val="24"/>
        </w:rPr>
      </w:pPr>
      <w:r w:rsidRPr="00F23835">
        <w:rPr>
          <w:sz w:val="24"/>
          <w:szCs w:val="24"/>
        </w:rPr>
        <w:t xml:space="preserve">De kalkulerede </w:t>
      </w:r>
      <w:r w:rsidRPr="00F23835">
        <w:rPr>
          <w:i/>
          <w:sz w:val="24"/>
          <w:szCs w:val="24"/>
        </w:rPr>
        <w:t xml:space="preserve">in vitro </w:t>
      </w:r>
      <w:r w:rsidRPr="00F23835">
        <w:rPr>
          <w:sz w:val="24"/>
          <w:szCs w:val="24"/>
        </w:rPr>
        <w:t>Ki-værdier for alle undersøgte cytokrom-isoformer (CYP) (CYP1A2, CYP2A6, CYP2B6, CYP2C8, CYP2C9, CYP2C19, CYP2D6, CYP2E1, CYP3A4/5 og CYP4A9/11)</w:t>
      </w:r>
      <w:r w:rsidR="00355123">
        <w:rPr>
          <w:sz w:val="24"/>
          <w:szCs w:val="24"/>
        </w:rPr>
        <w:t xml:space="preserve"> </w:t>
      </w:r>
      <w:r w:rsidRPr="00F23835">
        <w:rPr>
          <w:sz w:val="24"/>
          <w:szCs w:val="24"/>
        </w:rPr>
        <w:t>tyder på, at det er usandsynligt, at sunitinib og dets aktive hovedmetabolit inducerer metaboliseringen af lægemidler, der metaboliseres af disse enzymer i klinisk relevant grad.</w:t>
      </w:r>
    </w:p>
    <w:p w:rsidR="00515A85" w:rsidRPr="00F23835" w:rsidRDefault="00515A85" w:rsidP="00515A85">
      <w:pPr>
        <w:widowControl w:val="0"/>
        <w:autoSpaceDE w:val="0"/>
        <w:autoSpaceDN w:val="0"/>
        <w:ind w:left="851"/>
        <w:rPr>
          <w:sz w:val="24"/>
          <w:szCs w:val="24"/>
        </w:rPr>
      </w:pPr>
    </w:p>
    <w:p w:rsidR="00515A85" w:rsidRPr="00F23835" w:rsidRDefault="00515A85" w:rsidP="00515A85">
      <w:pPr>
        <w:widowControl w:val="0"/>
        <w:autoSpaceDE w:val="0"/>
        <w:autoSpaceDN w:val="0"/>
        <w:ind w:left="851"/>
        <w:rPr>
          <w:sz w:val="24"/>
          <w:szCs w:val="24"/>
        </w:rPr>
      </w:pPr>
      <w:r w:rsidRPr="00F23835">
        <w:rPr>
          <w:sz w:val="24"/>
          <w:szCs w:val="24"/>
          <w:u w:val="single"/>
        </w:rPr>
        <w:lastRenderedPageBreak/>
        <w:t>Biotransformation</w:t>
      </w:r>
    </w:p>
    <w:p w:rsidR="00515A85" w:rsidRPr="00F23835" w:rsidRDefault="00515A85" w:rsidP="00515A85">
      <w:pPr>
        <w:widowControl w:val="0"/>
        <w:autoSpaceDE w:val="0"/>
        <w:autoSpaceDN w:val="0"/>
        <w:ind w:left="851"/>
        <w:rPr>
          <w:sz w:val="24"/>
          <w:szCs w:val="24"/>
        </w:rPr>
      </w:pPr>
      <w:r w:rsidRPr="00F23835">
        <w:rPr>
          <w:sz w:val="24"/>
          <w:szCs w:val="24"/>
        </w:rPr>
        <w:t>Sunitinib metaboliseres hovedsageligt af CYP3A4, CYP-isoformen, som producerer dets aktive hovedmetabolit, desethylsunitinib, og som derefter metaboliseres yderligere af det samme isoenzym.</w:t>
      </w:r>
    </w:p>
    <w:p w:rsidR="00515A85" w:rsidRPr="00F23835" w:rsidRDefault="00515A85" w:rsidP="00515A85">
      <w:pPr>
        <w:widowControl w:val="0"/>
        <w:autoSpaceDE w:val="0"/>
        <w:autoSpaceDN w:val="0"/>
        <w:ind w:left="851"/>
        <w:rPr>
          <w:sz w:val="24"/>
          <w:szCs w:val="24"/>
        </w:rPr>
      </w:pPr>
    </w:p>
    <w:p w:rsidR="00515A85" w:rsidRPr="00F23835" w:rsidRDefault="00515A85" w:rsidP="00515A85">
      <w:pPr>
        <w:widowControl w:val="0"/>
        <w:autoSpaceDE w:val="0"/>
        <w:autoSpaceDN w:val="0"/>
        <w:ind w:left="851"/>
        <w:rPr>
          <w:sz w:val="24"/>
          <w:szCs w:val="24"/>
        </w:rPr>
      </w:pPr>
      <w:r w:rsidRPr="00F23835">
        <w:rPr>
          <w:sz w:val="24"/>
          <w:szCs w:val="24"/>
        </w:rPr>
        <w:t>Samtidig administration af sunitinib og den potente CYP3A4-induktor eller -hæmmer bør undgås, da dette kan påvirke plasmakoncentrationen af sunitinib (</w:t>
      </w:r>
      <w:r w:rsidRPr="00F23835">
        <w:rPr>
          <w:rFonts w:eastAsia="TimesNewRoman"/>
          <w:sz w:val="24"/>
          <w:szCs w:val="24"/>
        </w:rPr>
        <w:t>se pkt. 4.4 og 4.5)</w:t>
      </w:r>
      <w:r w:rsidRPr="00F23835">
        <w:rPr>
          <w:sz w:val="24"/>
          <w:szCs w:val="24"/>
        </w:rPr>
        <w:t>.</w:t>
      </w:r>
    </w:p>
    <w:p w:rsidR="00515A85" w:rsidRPr="00F23835" w:rsidRDefault="00515A85" w:rsidP="00515A85">
      <w:pPr>
        <w:widowControl w:val="0"/>
        <w:autoSpaceDE w:val="0"/>
        <w:autoSpaceDN w:val="0"/>
        <w:ind w:left="851"/>
        <w:rPr>
          <w:sz w:val="24"/>
          <w:szCs w:val="24"/>
        </w:rPr>
      </w:pPr>
    </w:p>
    <w:p w:rsidR="00515A85" w:rsidRPr="00F23835" w:rsidRDefault="00515A85" w:rsidP="00515A85">
      <w:pPr>
        <w:widowControl w:val="0"/>
        <w:autoSpaceDE w:val="0"/>
        <w:autoSpaceDN w:val="0"/>
        <w:ind w:left="851"/>
        <w:rPr>
          <w:sz w:val="24"/>
          <w:szCs w:val="24"/>
        </w:rPr>
      </w:pPr>
      <w:r w:rsidRPr="00F23835">
        <w:rPr>
          <w:sz w:val="24"/>
          <w:szCs w:val="24"/>
          <w:u w:val="single"/>
        </w:rPr>
        <w:t>Elimination</w:t>
      </w:r>
    </w:p>
    <w:p w:rsidR="00515A85" w:rsidRPr="00F23835" w:rsidRDefault="00515A85" w:rsidP="00515A85">
      <w:pPr>
        <w:widowControl w:val="0"/>
        <w:autoSpaceDE w:val="0"/>
        <w:autoSpaceDN w:val="0"/>
        <w:ind w:left="851"/>
        <w:rPr>
          <w:sz w:val="24"/>
          <w:szCs w:val="24"/>
        </w:rPr>
      </w:pPr>
      <w:r w:rsidRPr="00F23835">
        <w:rPr>
          <w:sz w:val="24"/>
          <w:szCs w:val="24"/>
        </w:rPr>
        <w:t>Udskillelse sker hovedsageligt via fæces (61 %). Renal elimination af uomdannet aktivt stof og metabolitter sker med 16 % af den indgivne dosis. Sunitinib og dets hovedmetabolit er de vigtigste forbindelser identificeret i plasma, urin og fæces med henholdsvis 91,5 %, 86,4 % og 73,8 % af radioaktivitet i poolede prøver. Mindre metabolitter er identificeret i urin og fæces, men er sædvanligvis ikke genfundet i plasma. Total oral clearance (CL/F) er 34-62 l/time. Hos raske forsøgspersoner er eliminationshalveringstiden af sunitinib og den aktive hovedmetabolit, desethylmetabolit, henholdsvis ca. 40-60 timer og 80-110 timer efter oral indtagelse.</w:t>
      </w:r>
    </w:p>
    <w:p w:rsidR="00515A85" w:rsidRPr="00F23835" w:rsidRDefault="00515A85" w:rsidP="00515A85">
      <w:pPr>
        <w:widowControl w:val="0"/>
        <w:autoSpaceDE w:val="0"/>
        <w:autoSpaceDN w:val="0"/>
        <w:ind w:left="851"/>
        <w:rPr>
          <w:sz w:val="24"/>
          <w:szCs w:val="24"/>
        </w:rPr>
      </w:pPr>
    </w:p>
    <w:p w:rsidR="00515A85" w:rsidRPr="00F23835" w:rsidRDefault="00515A85" w:rsidP="00515A85">
      <w:pPr>
        <w:widowControl w:val="0"/>
        <w:autoSpaceDE w:val="0"/>
        <w:autoSpaceDN w:val="0"/>
        <w:ind w:left="851"/>
        <w:rPr>
          <w:sz w:val="24"/>
          <w:szCs w:val="24"/>
        </w:rPr>
      </w:pPr>
      <w:r w:rsidRPr="00F23835">
        <w:rPr>
          <w:sz w:val="24"/>
          <w:szCs w:val="24"/>
          <w:u w:val="single"/>
        </w:rPr>
        <w:t>Samtidig administration af BCRP-hæmmere</w:t>
      </w:r>
    </w:p>
    <w:p w:rsidR="00515A85" w:rsidRPr="00F23835" w:rsidRDefault="00515A85" w:rsidP="00515A85">
      <w:pPr>
        <w:widowControl w:val="0"/>
        <w:autoSpaceDE w:val="0"/>
        <w:autoSpaceDN w:val="0"/>
        <w:ind w:left="851"/>
        <w:rPr>
          <w:sz w:val="24"/>
          <w:szCs w:val="24"/>
        </w:rPr>
      </w:pPr>
      <w:r w:rsidRPr="00F23835">
        <w:rPr>
          <w:sz w:val="24"/>
          <w:szCs w:val="24"/>
        </w:rPr>
        <w:t xml:space="preserve">Sunitinib er et substrat for effluxtransporteren BCRP </w:t>
      </w:r>
      <w:r w:rsidRPr="00F23835">
        <w:rPr>
          <w:i/>
          <w:sz w:val="24"/>
          <w:szCs w:val="24"/>
        </w:rPr>
        <w:t>in vitro</w:t>
      </w:r>
      <w:r w:rsidRPr="00F23835">
        <w:rPr>
          <w:sz w:val="24"/>
          <w:szCs w:val="24"/>
        </w:rPr>
        <w:t>. I studie A6181038 havde samtidig administration af BCRP-hæmmeren gefitinib ingen klinisk relevant virkning på C</w:t>
      </w:r>
      <w:r w:rsidRPr="00F23835">
        <w:rPr>
          <w:sz w:val="24"/>
          <w:szCs w:val="24"/>
          <w:vertAlign w:val="subscript"/>
        </w:rPr>
        <w:t>max</w:t>
      </w:r>
      <w:r w:rsidRPr="00F23835">
        <w:rPr>
          <w:position w:val="-2"/>
          <w:sz w:val="24"/>
          <w:szCs w:val="24"/>
        </w:rPr>
        <w:t xml:space="preserve"> </w:t>
      </w:r>
      <w:r w:rsidRPr="00F23835">
        <w:rPr>
          <w:sz w:val="24"/>
          <w:szCs w:val="24"/>
        </w:rPr>
        <w:t>og AUC-værdien for sunitinib eller sunitinib + metabolit (se pkt. 4.5). Dette studie var et multicenter, open-label, fase 1/2-studie til undersøgelse af sikkerhed/tolerabilitet, maksimalt tolereret dosis og sunitinibs antitumoraktivitet i kombination med gefitinib hos forsøgspersoner med mRCC. PK-værdien af gefitinib (250 mg daglig) og sunitinib (37,5 mg [kohorte 1, n=4] eller 50 mg [kohorte 2, n=7] daglig i 4 uger med 2 ugers pause) ved samtidig administration blev evalueret som et sekundært studieformål. Ændringer i sunitinibs farmakokinetiske parametre havde ingen klinisk signifikans og viste ingen interaktioner, men i betragtning af det relativt lave antal forsøgspersoner (dvs. N=7+4) og den moderat til store forskel i de farmakokinetiske parametre patienterne imellem, bør der dog udvises forsigtighed ved fortolkning af fundene vedrørende farmakokinetisk interaktion fra dette studie.</w:t>
      </w:r>
    </w:p>
    <w:p w:rsidR="00515A85" w:rsidRPr="00F23835" w:rsidRDefault="00515A85" w:rsidP="00515A85">
      <w:pPr>
        <w:widowControl w:val="0"/>
        <w:autoSpaceDE w:val="0"/>
        <w:autoSpaceDN w:val="0"/>
        <w:ind w:left="851"/>
        <w:rPr>
          <w:sz w:val="24"/>
          <w:szCs w:val="24"/>
        </w:rPr>
      </w:pPr>
    </w:p>
    <w:p w:rsidR="00515A85" w:rsidRPr="00F23835" w:rsidRDefault="00515A85" w:rsidP="00515A85">
      <w:pPr>
        <w:widowControl w:val="0"/>
        <w:autoSpaceDE w:val="0"/>
        <w:autoSpaceDN w:val="0"/>
        <w:ind w:left="851"/>
        <w:rPr>
          <w:sz w:val="24"/>
          <w:szCs w:val="24"/>
        </w:rPr>
      </w:pPr>
      <w:r w:rsidRPr="00F23835">
        <w:rPr>
          <w:sz w:val="24"/>
          <w:szCs w:val="24"/>
          <w:u w:val="single"/>
        </w:rPr>
        <w:t>Særlige patientgrupper</w:t>
      </w:r>
    </w:p>
    <w:p w:rsidR="00515A85" w:rsidRPr="00F23835" w:rsidRDefault="00515A85" w:rsidP="00515A85">
      <w:pPr>
        <w:widowControl w:val="0"/>
        <w:autoSpaceDE w:val="0"/>
        <w:autoSpaceDN w:val="0"/>
        <w:ind w:left="851"/>
        <w:rPr>
          <w:sz w:val="24"/>
          <w:szCs w:val="24"/>
        </w:rPr>
      </w:pPr>
    </w:p>
    <w:p w:rsidR="00515A85" w:rsidRPr="00F23835" w:rsidRDefault="00515A85" w:rsidP="00515A85">
      <w:pPr>
        <w:widowControl w:val="0"/>
        <w:autoSpaceDE w:val="0"/>
        <w:autoSpaceDN w:val="0"/>
        <w:ind w:left="851"/>
        <w:rPr>
          <w:i/>
          <w:sz w:val="24"/>
          <w:szCs w:val="24"/>
        </w:rPr>
      </w:pPr>
      <w:r w:rsidRPr="00F23835">
        <w:rPr>
          <w:i/>
          <w:sz w:val="24"/>
          <w:szCs w:val="24"/>
        </w:rPr>
        <w:t>Nedsat leverfunktion</w:t>
      </w:r>
    </w:p>
    <w:p w:rsidR="00515A85" w:rsidRPr="00F23835" w:rsidRDefault="00515A85" w:rsidP="00515A85">
      <w:pPr>
        <w:widowControl w:val="0"/>
        <w:autoSpaceDE w:val="0"/>
        <w:autoSpaceDN w:val="0"/>
        <w:ind w:left="851"/>
        <w:rPr>
          <w:sz w:val="24"/>
          <w:szCs w:val="24"/>
        </w:rPr>
      </w:pPr>
      <w:r w:rsidRPr="00F23835">
        <w:rPr>
          <w:sz w:val="24"/>
          <w:szCs w:val="24"/>
        </w:rPr>
        <w:t xml:space="preserve">Sunitinib og dets primære metabolit metaboliseres hovedsageligt i leveren. Hos forsøgspersoner med </w:t>
      </w:r>
      <w:proofErr w:type="gramStart"/>
      <w:r w:rsidRPr="00F23835">
        <w:rPr>
          <w:sz w:val="24"/>
          <w:szCs w:val="24"/>
        </w:rPr>
        <w:t>mildt eller moderat nedsat leverfunktion</w:t>
      </w:r>
      <w:proofErr w:type="gramEnd"/>
      <w:r w:rsidRPr="00F23835">
        <w:rPr>
          <w:sz w:val="24"/>
          <w:szCs w:val="24"/>
        </w:rPr>
        <w:t xml:space="preserve"> (Child-Pugh klasse A og B) er systemisk eksponering efter en enkeltdosis sunitinib den samme som hos patienter med svært nedsat leverfunktion (Child-Pugh klasse A og B). Sunitinib er ikke blevet undersøgt hos personer med alvorlig nedsat leverfunktion. (Child-Pugh klasse C).</w:t>
      </w:r>
    </w:p>
    <w:p w:rsidR="00515A85" w:rsidRPr="00F23835" w:rsidRDefault="00515A85" w:rsidP="00515A85">
      <w:pPr>
        <w:widowControl w:val="0"/>
        <w:autoSpaceDE w:val="0"/>
        <w:autoSpaceDN w:val="0"/>
        <w:ind w:left="851"/>
        <w:rPr>
          <w:sz w:val="24"/>
          <w:szCs w:val="24"/>
        </w:rPr>
      </w:pPr>
    </w:p>
    <w:p w:rsidR="00515A85" w:rsidRPr="00F23835" w:rsidRDefault="00515A85" w:rsidP="00515A85">
      <w:pPr>
        <w:widowControl w:val="0"/>
        <w:autoSpaceDE w:val="0"/>
        <w:autoSpaceDN w:val="0"/>
        <w:ind w:left="851"/>
        <w:rPr>
          <w:sz w:val="24"/>
          <w:szCs w:val="24"/>
        </w:rPr>
      </w:pPr>
      <w:r w:rsidRPr="00F23835">
        <w:rPr>
          <w:sz w:val="24"/>
          <w:szCs w:val="24"/>
        </w:rPr>
        <w:t>Studier af cancerpatienter ekskluderede patienter med ALAT eller ASAT &gt;2,5 x den øvre referenceværdi, eller hvis levermetastaser var årsag til tallene &gt;5,0 x den øvre referenceværdi.</w:t>
      </w:r>
    </w:p>
    <w:p w:rsidR="00515A85" w:rsidRPr="00F23835" w:rsidRDefault="00515A85" w:rsidP="00515A85">
      <w:pPr>
        <w:widowControl w:val="0"/>
        <w:autoSpaceDE w:val="0"/>
        <w:autoSpaceDN w:val="0"/>
        <w:ind w:left="851"/>
        <w:rPr>
          <w:sz w:val="24"/>
          <w:szCs w:val="24"/>
        </w:rPr>
      </w:pPr>
    </w:p>
    <w:p w:rsidR="00515A85" w:rsidRPr="00F23835" w:rsidRDefault="00515A85" w:rsidP="00515A85">
      <w:pPr>
        <w:widowControl w:val="0"/>
        <w:autoSpaceDE w:val="0"/>
        <w:autoSpaceDN w:val="0"/>
        <w:ind w:left="851"/>
        <w:rPr>
          <w:i/>
          <w:sz w:val="24"/>
          <w:szCs w:val="24"/>
        </w:rPr>
      </w:pPr>
      <w:r w:rsidRPr="00F23835">
        <w:rPr>
          <w:i/>
          <w:sz w:val="24"/>
          <w:szCs w:val="24"/>
        </w:rPr>
        <w:t>Nedsat nyrefunktion</w:t>
      </w:r>
    </w:p>
    <w:p w:rsidR="00515A85" w:rsidRPr="00F23835" w:rsidRDefault="00515A85" w:rsidP="00515A85">
      <w:pPr>
        <w:widowControl w:val="0"/>
        <w:autoSpaceDE w:val="0"/>
        <w:autoSpaceDN w:val="0"/>
        <w:ind w:left="851"/>
        <w:rPr>
          <w:sz w:val="24"/>
          <w:szCs w:val="24"/>
        </w:rPr>
      </w:pPr>
      <w:r w:rsidRPr="00F23835">
        <w:rPr>
          <w:sz w:val="24"/>
          <w:szCs w:val="24"/>
        </w:rPr>
        <w:t>Analyser af populationsfarmakokinetik tyder på, at sunitinibs tilsyneladende clearance (CL/F) ikke er påvirket af kreatininclearence (CrCl) inden for det vurderede område (42-347 ml/min). Systemisk eksponering efter en enkelt dosis sunitinib var den samme hos patienter med alvorligt nedsat nyrefunktion (CrCl</w:t>
      </w:r>
      <w:r w:rsidRPr="00F23835">
        <w:rPr>
          <w:position w:val="-2"/>
          <w:sz w:val="24"/>
          <w:szCs w:val="24"/>
        </w:rPr>
        <w:t xml:space="preserve"> </w:t>
      </w:r>
      <w:r w:rsidRPr="00F23835">
        <w:rPr>
          <w:sz w:val="24"/>
          <w:szCs w:val="24"/>
        </w:rPr>
        <w:t xml:space="preserve">&lt;30 ml/min) som hos personer med normal </w:t>
      </w:r>
      <w:r w:rsidRPr="00F23835">
        <w:rPr>
          <w:sz w:val="24"/>
          <w:szCs w:val="24"/>
        </w:rPr>
        <w:lastRenderedPageBreak/>
        <w:t>nyrefunktion (CrCl &gt;80 ml/min). Selvom sunitinib og den primære metabolit ikke elimineres ved hæmodialyse, var den systemiske eksponering for sunitinib 47 % lavere og for den primære metabolit 31 % lavere hos patienter med nyresygdom i slutstadiet sammenlignet med personer med normal nyrefunktion.</w:t>
      </w:r>
    </w:p>
    <w:p w:rsidR="00515A85" w:rsidRPr="00F23835" w:rsidRDefault="00515A85" w:rsidP="00515A85">
      <w:pPr>
        <w:widowControl w:val="0"/>
        <w:autoSpaceDE w:val="0"/>
        <w:autoSpaceDN w:val="0"/>
        <w:ind w:left="851"/>
        <w:rPr>
          <w:sz w:val="24"/>
          <w:szCs w:val="24"/>
        </w:rPr>
      </w:pPr>
    </w:p>
    <w:p w:rsidR="00515A85" w:rsidRPr="00F23835" w:rsidRDefault="00515A85" w:rsidP="00515A85">
      <w:pPr>
        <w:widowControl w:val="0"/>
        <w:autoSpaceDE w:val="0"/>
        <w:autoSpaceDN w:val="0"/>
        <w:ind w:left="851"/>
        <w:rPr>
          <w:i/>
          <w:sz w:val="24"/>
          <w:szCs w:val="24"/>
        </w:rPr>
      </w:pPr>
      <w:r w:rsidRPr="00F23835">
        <w:rPr>
          <w:i/>
          <w:sz w:val="24"/>
          <w:szCs w:val="24"/>
        </w:rPr>
        <w:t>Vægt, performancestatus</w:t>
      </w:r>
    </w:p>
    <w:p w:rsidR="00515A85" w:rsidRPr="00F23835" w:rsidRDefault="00515A85" w:rsidP="00515A85">
      <w:pPr>
        <w:widowControl w:val="0"/>
        <w:autoSpaceDE w:val="0"/>
        <w:autoSpaceDN w:val="0"/>
        <w:ind w:left="851"/>
        <w:rPr>
          <w:sz w:val="24"/>
          <w:szCs w:val="24"/>
        </w:rPr>
      </w:pPr>
      <w:r w:rsidRPr="00F23835">
        <w:rPr>
          <w:sz w:val="24"/>
          <w:szCs w:val="24"/>
        </w:rPr>
        <w:t>Populationsfarmakokinetiske analyser af demografiske data tyder på, at dosisjustering ikke er nødvendig med hensyn til vægt eller Eastern Cooperative Oncology Group (ECOG) score.</w:t>
      </w:r>
    </w:p>
    <w:p w:rsidR="00515A85" w:rsidRPr="00F23835" w:rsidRDefault="00515A85" w:rsidP="00515A85">
      <w:pPr>
        <w:widowControl w:val="0"/>
        <w:autoSpaceDE w:val="0"/>
        <w:autoSpaceDN w:val="0"/>
        <w:ind w:left="851"/>
        <w:rPr>
          <w:sz w:val="24"/>
          <w:szCs w:val="24"/>
        </w:rPr>
      </w:pPr>
    </w:p>
    <w:p w:rsidR="00515A85" w:rsidRPr="00F23835" w:rsidRDefault="00515A85" w:rsidP="00515A85">
      <w:pPr>
        <w:widowControl w:val="0"/>
        <w:autoSpaceDE w:val="0"/>
        <w:autoSpaceDN w:val="0"/>
        <w:ind w:left="851"/>
        <w:rPr>
          <w:i/>
          <w:sz w:val="24"/>
          <w:szCs w:val="24"/>
        </w:rPr>
      </w:pPr>
      <w:r w:rsidRPr="00F23835">
        <w:rPr>
          <w:i/>
          <w:sz w:val="24"/>
          <w:szCs w:val="24"/>
        </w:rPr>
        <w:t>Køn</w:t>
      </w:r>
    </w:p>
    <w:p w:rsidR="00515A85" w:rsidRPr="00F23835" w:rsidRDefault="00515A85" w:rsidP="00515A85">
      <w:pPr>
        <w:widowControl w:val="0"/>
        <w:autoSpaceDE w:val="0"/>
        <w:autoSpaceDN w:val="0"/>
        <w:ind w:left="851"/>
        <w:rPr>
          <w:sz w:val="24"/>
          <w:szCs w:val="24"/>
        </w:rPr>
      </w:pPr>
      <w:r w:rsidRPr="00F23835">
        <w:rPr>
          <w:sz w:val="24"/>
          <w:szCs w:val="24"/>
        </w:rPr>
        <w:t>Tilgængelige data tyder på, at kvinder måske har 30 % lavere tilsyneladende sunitinibclearance (CL/F) end mænd; denne forskel kræver imidlertid ingen dosisjustering.</w:t>
      </w:r>
    </w:p>
    <w:p w:rsidR="00515A85" w:rsidRPr="00F23835" w:rsidRDefault="00515A85" w:rsidP="00515A85">
      <w:pPr>
        <w:widowControl w:val="0"/>
        <w:autoSpaceDE w:val="0"/>
        <w:autoSpaceDN w:val="0"/>
        <w:ind w:left="851"/>
        <w:rPr>
          <w:sz w:val="24"/>
          <w:szCs w:val="24"/>
        </w:rPr>
      </w:pPr>
    </w:p>
    <w:p w:rsidR="00515A85" w:rsidRPr="00F23835" w:rsidRDefault="00515A85" w:rsidP="00515A85">
      <w:pPr>
        <w:widowControl w:val="0"/>
        <w:autoSpaceDE w:val="0"/>
        <w:autoSpaceDN w:val="0"/>
        <w:ind w:left="851"/>
        <w:rPr>
          <w:i/>
          <w:sz w:val="24"/>
          <w:szCs w:val="24"/>
        </w:rPr>
      </w:pPr>
      <w:r w:rsidRPr="00F23835">
        <w:rPr>
          <w:i/>
          <w:sz w:val="24"/>
          <w:szCs w:val="24"/>
        </w:rPr>
        <w:t>Pædiatrisk population</w:t>
      </w:r>
    </w:p>
    <w:p w:rsidR="00966528" w:rsidRPr="00F23835" w:rsidRDefault="00966528" w:rsidP="00966528">
      <w:pPr>
        <w:widowControl w:val="0"/>
        <w:autoSpaceDE w:val="0"/>
        <w:autoSpaceDN w:val="0"/>
        <w:ind w:left="851"/>
        <w:rPr>
          <w:rFonts w:eastAsia="TimesNewRoman"/>
          <w:sz w:val="24"/>
          <w:szCs w:val="24"/>
        </w:rPr>
      </w:pPr>
      <w:r w:rsidRPr="00F23835">
        <w:rPr>
          <w:rFonts w:eastAsia="TimesNewRoman"/>
          <w:sz w:val="24"/>
          <w:szCs w:val="24"/>
        </w:rPr>
        <w:t>Erfaringen med anvendelse af sunitinib hos pædiatriske patienter er begrænset (se pkt. 4.2). Der blev udført populationsfarmakokinetiske analyser af et puljet datasæt fra voksne patienter med GIST og solide tumorer, og pædiatriske patienter med solide tumorer. Der blev udført trinvise kovariatmodelleringsanalyser for at evaluere indvirkningen af alder og legemsstørrelse (total legemsvægt eller legemsoverfladeareal) samt andre kovariater på vigtige farmakokinetiske parametre for sunitinib og den aktive metabolit. Blandt de testede kovariater, der var relaterede til alder og legemsstørrelse, var alder en signifikant kovariat for den tilsyneladende clearance af sunitinib (jo yngre den pædiatriske patient var, jo lavere tilsyneladende clearance). Tilsvarende var legemsoverfladeareal en signifikant kovariat for den tilsyneladende clearance af den aktive metabolit (jo mindre legemsoverfladeareal, jo lavere tilsyneladende clearance).</w:t>
      </w:r>
    </w:p>
    <w:p w:rsidR="00515A85" w:rsidRPr="00F23835" w:rsidRDefault="00515A85" w:rsidP="00515A85">
      <w:pPr>
        <w:widowControl w:val="0"/>
        <w:autoSpaceDE w:val="0"/>
        <w:autoSpaceDN w:val="0"/>
        <w:ind w:left="851"/>
        <w:rPr>
          <w:rFonts w:eastAsia="TimesNewRoman"/>
          <w:sz w:val="24"/>
          <w:szCs w:val="24"/>
        </w:rPr>
      </w:pPr>
    </w:p>
    <w:p w:rsidR="00515A85" w:rsidRPr="00F23835" w:rsidRDefault="00515A85" w:rsidP="00515A85">
      <w:pPr>
        <w:widowControl w:val="0"/>
        <w:autoSpaceDE w:val="0"/>
        <w:autoSpaceDN w:val="0"/>
        <w:ind w:left="851"/>
        <w:rPr>
          <w:rFonts w:eastAsia="TimesNewRoman"/>
          <w:sz w:val="24"/>
          <w:szCs w:val="24"/>
        </w:rPr>
      </w:pPr>
      <w:r w:rsidRPr="00F23835">
        <w:rPr>
          <w:rFonts w:eastAsia="TimesNewRoman"/>
          <w:sz w:val="24"/>
          <w:szCs w:val="24"/>
        </w:rPr>
        <w:t xml:space="preserve">Derudover var legemsoverfladeareal (BSA), ved baseline en signifikant kovariant på den tilsyneladende clearance af sunitinib og dets aktive metabolit, hvilket var baseret på en integreret farmakokinetisk populationsanalyse af samlede data fra 3 pædiatriske studier (2 pædiatriske studier med solide tumorer og 1 pædiatrisk </w:t>
      </w:r>
      <w:proofErr w:type="gramStart"/>
      <w:r w:rsidRPr="00F23835">
        <w:rPr>
          <w:rFonts w:eastAsia="TimesNewRoman"/>
          <w:sz w:val="24"/>
          <w:szCs w:val="24"/>
        </w:rPr>
        <w:t>GIST studie</w:t>
      </w:r>
      <w:proofErr w:type="gramEnd"/>
      <w:r w:rsidRPr="00F23835">
        <w:rPr>
          <w:rFonts w:eastAsia="TimesNewRoman"/>
          <w:sz w:val="24"/>
          <w:szCs w:val="24"/>
        </w:rPr>
        <w:t xml:space="preserve">; alder: 6-11 år og 12-17 år). Baseret på denne analyse forventes en dosis på ca. 20 mg/m2 daglig (BSA-interval: 1,10-1,87 m2) hos pædiatriske patienter at resultere i plasmaeksponeringer for sunitinib og dets aktive metabolit (mellem 75 og 125 % af AUC), der er sammenlignelige med voksnes med GIST, der får sunitinib 50 mg daglig i dosisskema 4/2 (AUC 1233 </w:t>
      </w:r>
      <w:proofErr w:type="gramStart"/>
      <w:r w:rsidRPr="00F23835">
        <w:rPr>
          <w:rFonts w:eastAsia="TimesNewRoman"/>
          <w:sz w:val="24"/>
          <w:szCs w:val="24"/>
        </w:rPr>
        <w:t>ng.time</w:t>
      </w:r>
      <w:proofErr w:type="gramEnd"/>
      <w:r w:rsidRPr="00F23835">
        <w:rPr>
          <w:rFonts w:eastAsia="TimesNewRoman"/>
          <w:sz w:val="24"/>
          <w:szCs w:val="24"/>
        </w:rPr>
        <w:t>/ml).</w:t>
      </w:r>
    </w:p>
    <w:p w:rsidR="00515A85" w:rsidRPr="00F23835" w:rsidRDefault="00515A85" w:rsidP="00515A85">
      <w:pPr>
        <w:widowControl w:val="0"/>
        <w:autoSpaceDE w:val="0"/>
        <w:autoSpaceDN w:val="0"/>
        <w:ind w:left="851"/>
        <w:rPr>
          <w:rFonts w:eastAsia="TimesNewRoman"/>
          <w:sz w:val="24"/>
          <w:szCs w:val="24"/>
        </w:rPr>
      </w:pPr>
      <w:r w:rsidRPr="00F23835">
        <w:rPr>
          <w:rFonts w:eastAsia="TimesNewRoman"/>
          <w:sz w:val="24"/>
          <w:szCs w:val="24"/>
        </w:rPr>
        <w:t>Startdosis i de pædiatriske studier var 15 mg/m</w:t>
      </w:r>
      <w:r w:rsidRPr="00F23835">
        <w:rPr>
          <w:rFonts w:eastAsia="TimesNewRoman"/>
          <w:sz w:val="24"/>
          <w:szCs w:val="24"/>
          <w:vertAlign w:val="superscript"/>
        </w:rPr>
        <w:t xml:space="preserve">2 </w:t>
      </w:r>
      <w:r w:rsidRPr="00F23835">
        <w:rPr>
          <w:rFonts w:eastAsia="TimesNewRoman"/>
          <w:sz w:val="24"/>
          <w:szCs w:val="24"/>
        </w:rPr>
        <w:t>(baseret på maksimalt tolereret dosis i fase 1- dosiseskaleringsstudiet, se pkt. 5.1), som hos pædiatriske patienter med GIST blev øget til 22,5 mg/m</w:t>
      </w:r>
      <w:r w:rsidRPr="00F23835">
        <w:rPr>
          <w:rFonts w:eastAsia="TimesNewRoman"/>
          <w:sz w:val="24"/>
          <w:szCs w:val="24"/>
          <w:vertAlign w:val="superscript"/>
        </w:rPr>
        <w:t>2</w:t>
      </w:r>
      <w:r w:rsidRPr="00F23835">
        <w:rPr>
          <w:rFonts w:eastAsia="TimesNewRoman"/>
          <w:sz w:val="24"/>
          <w:szCs w:val="24"/>
        </w:rPr>
        <w:t xml:space="preserve"> og efterfølgende til 30 mg/m</w:t>
      </w:r>
      <w:r w:rsidRPr="00F23835">
        <w:rPr>
          <w:rFonts w:eastAsia="TimesNewRoman"/>
          <w:sz w:val="24"/>
          <w:szCs w:val="24"/>
          <w:vertAlign w:val="superscript"/>
        </w:rPr>
        <w:t>2</w:t>
      </w:r>
      <w:r w:rsidRPr="00F23835">
        <w:rPr>
          <w:rFonts w:eastAsia="TimesNewRoman"/>
          <w:sz w:val="24"/>
          <w:szCs w:val="24"/>
        </w:rPr>
        <w:t xml:space="preserve"> (måtte ikke overstige en totaldosis på 50 mg/dag) baseret på individuel sikkerhed og tolerabilitet. Desuden var det beregnede startdosisinterval ifølge publicerede data 16,6 mg/m</w:t>
      </w:r>
      <w:r w:rsidRPr="00F23835">
        <w:rPr>
          <w:rFonts w:eastAsia="TimesNewRoman"/>
          <w:sz w:val="24"/>
          <w:szCs w:val="24"/>
          <w:vertAlign w:val="superscript"/>
        </w:rPr>
        <w:t>2</w:t>
      </w:r>
      <w:r w:rsidRPr="00F23835">
        <w:rPr>
          <w:rFonts w:eastAsia="TimesNewRoman"/>
          <w:sz w:val="24"/>
          <w:szCs w:val="24"/>
        </w:rPr>
        <w:t xml:space="preserve"> til 36 mg/m</w:t>
      </w:r>
      <w:r w:rsidRPr="00F23835">
        <w:rPr>
          <w:rFonts w:eastAsia="TimesNewRoman"/>
          <w:sz w:val="24"/>
          <w:szCs w:val="24"/>
          <w:vertAlign w:val="superscript"/>
        </w:rPr>
        <w:t>2</w:t>
      </w:r>
      <w:r w:rsidRPr="00F23835">
        <w:rPr>
          <w:rFonts w:eastAsia="TimesNewRoman"/>
          <w:sz w:val="24"/>
          <w:szCs w:val="24"/>
        </w:rPr>
        <w:t xml:space="preserve"> og steg til doser helt op til 40,4 mg/m</w:t>
      </w:r>
      <w:r w:rsidRPr="00F23835">
        <w:rPr>
          <w:rFonts w:eastAsia="TimesNewRoman"/>
          <w:sz w:val="24"/>
          <w:szCs w:val="24"/>
          <w:vertAlign w:val="superscript"/>
        </w:rPr>
        <w:t>2</w:t>
      </w:r>
      <w:r w:rsidRPr="00F23835">
        <w:rPr>
          <w:rFonts w:eastAsia="TimesNewRoman"/>
          <w:sz w:val="24"/>
          <w:szCs w:val="24"/>
        </w:rPr>
        <w:t xml:space="preserve"> (måtte ikke overstige en totaldosis på 50 mg/dag).</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hanging="851"/>
        <w:rPr>
          <w:b/>
          <w:sz w:val="24"/>
          <w:szCs w:val="24"/>
        </w:rPr>
      </w:pPr>
      <w:r w:rsidRPr="00F23835">
        <w:rPr>
          <w:b/>
          <w:sz w:val="24"/>
          <w:szCs w:val="24"/>
        </w:rPr>
        <w:t>5.3</w:t>
      </w:r>
      <w:r w:rsidRPr="00F23835">
        <w:rPr>
          <w:b/>
          <w:sz w:val="24"/>
          <w:szCs w:val="24"/>
        </w:rPr>
        <w:tab/>
      </w:r>
      <w:r w:rsidR="002A0948" w:rsidRPr="00F23835">
        <w:rPr>
          <w:b/>
          <w:sz w:val="24"/>
          <w:szCs w:val="24"/>
        </w:rPr>
        <w:t>Non-</w:t>
      </w:r>
      <w:r w:rsidRPr="00F23835">
        <w:rPr>
          <w:b/>
          <w:sz w:val="24"/>
          <w:szCs w:val="24"/>
        </w:rPr>
        <w:t>kliniske sikkerhedsdata</w:t>
      </w:r>
    </w:p>
    <w:p w:rsidR="00515A85" w:rsidRPr="00F23835" w:rsidRDefault="00515A85" w:rsidP="00515A85">
      <w:pPr>
        <w:tabs>
          <w:tab w:val="left" w:pos="851"/>
        </w:tabs>
        <w:ind w:left="851"/>
        <w:rPr>
          <w:sz w:val="24"/>
          <w:szCs w:val="24"/>
        </w:rPr>
      </w:pPr>
      <w:r w:rsidRPr="00F23835">
        <w:rPr>
          <w:sz w:val="24"/>
          <w:szCs w:val="24"/>
        </w:rPr>
        <w:t xml:space="preserve">I gentagne dosistoksicitetsstudier af op til 9 måneders varighed på rotter og aber var påvirkninger af det primære målorgan identificeret i den gastrointestinale kanal (emesis og diarré hos aber); binyre (kortikal kongestion og/eller blødning hos rotter og aber og nekrose efterfulgt af fibrose hos rotter); blod-og lymfesystem (knoglemarvshypocellularitet og lymfoid udtømning i thymus, milt og lymfeknuder); eksokrin pancreas (acinar celledegranulering med enkeltcelle nekrose); spytkirtler (acinar hypertrofi); led (fortykkelse af vækstplade); uterus (atrofi) og ovarier (nedsat follikeludvikling). Alle fund opstod ved klinisk relevante sunitinib-plasmaeksponeringsniveauer. Yderligere påvirkninger, som blev </w:t>
      </w:r>
      <w:r w:rsidRPr="00F23835">
        <w:rPr>
          <w:sz w:val="24"/>
          <w:szCs w:val="24"/>
        </w:rPr>
        <w:lastRenderedPageBreak/>
        <w:t>set i andre studier omfatter forlængelse af QTc-intervallet, LVEF- nedsættelse og testikel tubulær atrofi, øget mesangialceller i nyren, blødning i gastrointestinalkanalen og oral mukosa, og hypertrofi af hypofyseforlapceller. Forandringer i uterus (endometrieatrofi) og knoglevækstplade (fortykkelse af epifyse eller dysplasi af brusken) menes at være relateret til den farmakologiske virkning af sunitinib. De fleste fund var reversible efter 2-6 uger uden behandling.</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u w:val="single"/>
        </w:rPr>
        <w:t>Genotoksicitet</w:t>
      </w:r>
    </w:p>
    <w:p w:rsidR="00515A85" w:rsidRPr="00F23835" w:rsidRDefault="00515A85" w:rsidP="00515A85">
      <w:pPr>
        <w:tabs>
          <w:tab w:val="left" w:pos="851"/>
        </w:tabs>
        <w:ind w:left="851"/>
        <w:rPr>
          <w:sz w:val="24"/>
          <w:szCs w:val="24"/>
        </w:rPr>
      </w:pPr>
      <w:r w:rsidRPr="00F23835">
        <w:rPr>
          <w:sz w:val="24"/>
          <w:szCs w:val="24"/>
        </w:rPr>
        <w:t xml:space="preserve">Sunitinibs genotoksiske potentiale er vurderet </w:t>
      </w:r>
      <w:r w:rsidRPr="00F23835">
        <w:rPr>
          <w:i/>
          <w:sz w:val="24"/>
          <w:szCs w:val="24"/>
        </w:rPr>
        <w:t xml:space="preserve">in vitro </w:t>
      </w:r>
      <w:r w:rsidRPr="00F23835">
        <w:rPr>
          <w:sz w:val="24"/>
          <w:szCs w:val="24"/>
        </w:rPr>
        <w:t xml:space="preserve">og </w:t>
      </w:r>
      <w:r w:rsidRPr="00F23835">
        <w:rPr>
          <w:i/>
          <w:sz w:val="24"/>
          <w:szCs w:val="24"/>
        </w:rPr>
        <w:t xml:space="preserve">in vivo. </w:t>
      </w:r>
      <w:r w:rsidRPr="00F23835">
        <w:rPr>
          <w:sz w:val="24"/>
          <w:szCs w:val="24"/>
        </w:rPr>
        <w:t xml:space="preserve">Sunitinib er ikke mutagent i bakterier ved metabolisk aktivering af lever hos rotter. Sunitib inducerer ikke strukturelle kromosomafvigelser i humane perifere blod-lymfocytter </w:t>
      </w:r>
      <w:r w:rsidRPr="00F23835">
        <w:rPr>
          <w:i/>
          <w:sz w:val="24"/>
          <w:szCs w:val="24"/>
        </w:rPr>
        <w:t>in vitro</w:t>
      </w:r>
      <w:r w:rsidRPr="00F23835">
        <w:rPr>
          <w:sz w:val="24"/>
          <w:szCs w:val="24"/>
        </w:rPr>
        <w:t xml:space="preserve">. Polyploid (numeriske kromosomafvigelser) ses i humane perifere blod-lymfocytter </w:t>
      </w:r>
      <w:r w:rsidRPr="00F23835">
        <w:rPr>
          <w:i/>
          <w:sz w:val="24"/>
          <w:szCs w:val="24"/>
        </w:rPr>
        <w:t>in vitro</w:t>
      </w:r>
      <w:r w:rsidRPr="00F23835">
        <w:rPr>
          <w:sz w:val="24"/>
          <w:szCs w:val="24"/>
        </w:rPr>
        <w:t xml:space="preserve">, både ved tilstedeværelse og fravær af metabolisk aktivering. Sunitinib er ikke klastogent i knoglemarv hos rotter </w:t>
      </w:r>
      <w:r w:rsidRPr="00F23835">
        <w:rPr>
          <w:i/>
          <w:sz w:val="24"/>
          <w:szCs w:val="24"/>
        </w:rPr>
        <w:t>in vivo</w:t>
      </w:r>
      <w:r w:rsidRPr="00F23835">
        <w:rPr>
          <w:sz w:val="24"/>
          <w:szCs w:val="24"/>
        </w:rPr>
        <w:t>. Den genotoksiske virkning af den aktive hovedmetabolit er ikke vurderet.</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u w:val="single"/>
        </w:rPr>
        <w:t>Karcinogenicitet</w:t>
      </w:r>
    </w:p>
    <w:p w:rsidR="00515A85" w:rsidRPr="00F23835" w:rsidRDefault="00515A85" w:rsidP="00515A85">
      <w:pPr>
        <w:tabs>
          <w:tab w:val="left" w:pos="851"/>
        </w:tabs>
        <w:ind w:left="851"/>
        <w:rPr>
          <w:sz w:val="24"/>
          <w:szCs w:val="24"/>
        </w:rPr>
      </w:pPr>
      <w:r w:rsidRPr="00F23835">
        <w:rPr>
          <w:sz w:val="24"/>
          <w:szCs w:val="24"/>
        </w:rPr>
        <w:t>I et 1-måneds oralt gavagestudie (tvangsfodring) til fastlæggelse af dosisinterval (0, 10, 25, 75 og 200 mg/kg/dag), med CDD hos rasH2 transgene mus, blev der set karcinom og Brunnerkirtel hyperplasi i duodenum ved den højeste testdosis (200 mg/kg/dag).</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rPr>
        <w:t xml:space="preserve">Der blev udført et 6-måneders oralt gavage karcinogenicitetsstudie (0, 8, 25, 75 [nedsat til 50] mg/kg/dag), med daglig dosering hos rasH2 transgene mus. Der er set gastroduodenale karcinomer, øget forekomst af baggrunds-hæmangiosarkomer og/eller hyperplasi af ventrikelslimhinden efter 1 eller 6 måneders behandling med doser på </w:t>
      </w:r>
      <w:r w:rsidRPr="00F23835">
        <w:rPr>
          <w:sz w:val="24"/>
          <w:szCs w:val="24"/>
          <w:u w:val="single"/>
        </w:rPr>
        <w:t>&gt;</w:t>
      </w:r>
      <w:r w:rsidRPr="00F23835">
        <w:rPr>
          <w:sz w:val="24"/>
          <w:szCs w:val="24"/>
        </w:rPr>
        <w:t>25 mg/kg/dag (</w:t>
      </w:r>
      <w:r w:rsidRPr="00F23835">
        <w:rPr>
          <w:sz w:val="24"/>
          <w:szCs w:val="24"/>
          <w:u w:val="single"/>
        </w:rPr>
        <w:t>&gt;</w:t>
      </w:r>
      <w:r w:rsidRPr="00F23835">
        <w:rPr>
          <w:sz w:val="24"/>
          <w:szCs w:val="24"/>
        </w:rPr>
        <w:t>7,3 gange AUC hos patienter behandlet med de anbefalede daglige doser [ADD]).</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rPr>
        <w:t>I et 2-års karcinogenicitetsstudier i rotter (0, 0,33, 1, eller 3 mg/kg/dag) resulterede administration af sunitinib i cykli på 28 dage efterfulgt af en 7-dages doseringsfri periode i en øgning af fæokromocytom og binyremarvhyperplasi hos hanrotter, der fik 3 mg/kg/dag efter &gt; 1 års dosering</w:t>
      </w:r>
      <w:r w:rsidRPr="00F23835">
        <w:rPr>
          <w:noProof/>
          <w:sz w:val="24"/>
          <w:szCs w:val="24"/>
          <w:lang w:eastAsia="da-DK"/>
        </w:rPr>
        <mc:AlternateContent>
          <mc:Choice Requires="wps">
            <w:drawing>
              <wp:anchor distT="0" distB="0" distL="114300" distR="114300" simplePos="0" relativeHeight="251659264" behindDoc="1" locked="0" layoutInCell="1" allowOverlap="1" wp14:anchorId="5CF38665" wp14:editId="0577BB9E">
                <wp:simplePos x="0" y="0"/>
                <wp:positionH relativeFrom="page">
                  <wp:posOffset>2614930</wp:posOffset>
                </wp:positionH>
                <wp:positionV relativeFrom="paragraph">
                  <wp:posOffset>630555</wp:posOffset>
                </wp:positionV>
                <wp:extent cx="35560" cy="0"/>
                <wp:effectExtent l="0" t="0" r="21590" b="19050"/>
                <wp:wrapNone/>
                <wp:docPr id="4" name="Lige forbindels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41FDE" id="Lige forbindels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5.9pt,49.65pt" to="208.7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" strokeweight=".48pt">
                <w10:wrap anchorx="page"/>
              </v:line>
            </w:pict>
          </mc:Fallback>
        </mc:AlternateContent>
      </w:r>
      <w:r w:rsidRPr="00F23835">
        <w:rPr>
          <w:sz w:val="24"/>
          <w:szCs w:val="24"/>
        </w:rPr>
        <w:t xml:space="preserve"> (</w:t>
      </w:r>
      <w:r w:rsidRPr="00F23835">
        <w:rPr>
          <w:sz w:val="24"/>
          <w:szCs w:val="24"/>
          <w:u w:val="single"/>
        </w:rPr>
        <w:t xml:space="preserve">&gt; </w:t>
      </w:r>
      <w:r w:rsidRPr="00F23835">
        <w:rPr>
          <w:sz w:val="24"/>
          <w:szCs w:val="24"/>
        </w:rPr>
        <w:t xml:space="preserve">7,8 gange AUC hos patienter behandlet med ADD). Brunnerkirtelkarcinom i duodenum sås ved </w:t>
      </w:r>
      <w:r w:rsidRPr="00F23835">
        <w:rPr>
          <w:sz w:val="24"/>
          <w:szCs w:val="24"/>
          <w:u w:val="single"/>
        </w:rPr>
        <w:t>&gt;</w:t>
      </w:r>
      <w:r w:rsidRPr="00F23835">
        <w:rPr>
          <w:sz w:val="24"/>
          <w:szCs w:val="24"/>
        </w:rPr>
        <w:t xml:space="preserve">1 mg/kg/dag hos hunrotter, ved 3 mg/kg/dag hos hanrotter og slimhindehyperplasi var tydelig i maveslimhinden ved 3 mg/kg/dag hos hanrotter, ved henholdsvis </w:t>
      </w:r>
      <w:r w:rsidRPr="00F23835">
        <w:rPr>
          <w:sz w:val="24"/>
          <w:szCs w:val="24"/>
          <w:u w:val="single"/>
        </w:rPr>
        <w:t>&gt;</w:t>
      </w:r>
      <w:r w:rsidRPr="00F23835">
        <w:rPr>
          <w:sz w:val="24"/>
          <w:szCs w:val="24"/>
        </w:rPr>
        <w:t>0,9, 7,8 og 7,8 gange AUC hos patienter behandlet med ADD. Human relevans af neoplastiske fund set i mus (rasH2 transgene) og karcinogenicitetsstudier i rotter efter behandling med sunitinib er uklar.</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u w:val="single"/>
        </w:rPr>
        <w:t>Reproduktionstoksicitet og udviklingstoksicitet</w:t>
      </w:r>
    </w:p>
    <w:p w:rsidR="00515A85" w:rsidRPr="00F23835" w:rsidRDefault="00515A85" w:rsidP="00515A85">
      <w:pPr>
        <w:tabs>
          <w:tab w:val="left" w:pos="851"/>
        </w:tabs>
        <w:ind w:left="851"/>
        <w:rPr>
          <w:sz w:val="24"/>
          <w:szCs w:val="24"/>
        </w:rPr>
      </w:pPr>
      <w:r w:rsidRPr="00F23835">
        <w:rPr>
          <w:sz w:val="24"/>
          <w:szCs w:val="24"/>
        </w:rPr>
        <w:t>Der ses ingen påvirkning af fertiliteten hos hanner eller hunner i reproduktionstoksicitetsstudierne. Derimod er der i kroniske studier i rotter og aber forandringer i hunkønsorganerne i form af follikulær atresi, degeneration af corpora lutea, endometrielæsioner og nedsat vægt af uterus og ovarier, som viser sig ved klinisk relevant systemisk eksponering, og i hankønsorganerne hos rotter i form af tubulær testikelatrofi, nedsat forekomst af sædceller i bitestiklerne og nedsat forekomst af kolloid i prostata og sædblærer ved plasmakoncentrationer, der var 25 gange højere end human eksponering.</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sz w:val="24"/>
          <w:szCs w:val="24"/>
        </w:rPr>
        <w:t xml:space="preserve">Der er observeret embryo-føtal mortalitet hos rotter, hvor der ved plasmakoncentrationer 5,5 gange højere end human eksponering ses signifikant fald i antal levende fostre, forøget antal resorptioner, forøget postimplantationstab og tab af hele kuldet hos 8/28 drægtige hunner. Hos kaniner er der konstateret nedsat vægt af den drægtige livmoder, et nedsat antal levende fostre som følge af forøget antal resorptioner, forøget postimplantationstab og </w:t>
      </w:r>
      <w:r w:rsidRPr="00F23835">
        <w:rPr>
          <w:sz w:val="24"/>
          <w:szCs w:val="24"/>
        </w:rPr>
        <w:lastRenderedPageBreak/>
        <w:t xml:space="preserve">tab af hele kuldet hos 4/6 drægtige hunner ved plasmakoncentrationer, der er 3 gange højere end human eksponering. I rotter med plasmakoncentrationer 5,5 gange højere end human eksponering medfører sunitinib-behandling ved </w:t>
      </w:r>
      <w:r w:rsidRPr="00F23835">
        <w:rPr>
          <w:sz w:val="24"/>
          <w:szCs w:val="24"/>
          <w:u w:val="single"/>
        </w:rPr>
        <w:t>&gt;</w:t>
      </w:r>
      <w:r w:rsidRPr="00F23835">
        <w:rPr>
          <w:sz w:val="24"/>
          <w:szCs w:val="24"/>
        </w:rPr>
        <w:t>5 mg/kg/dag under organogenesen en forøget forekomst af skeletforandringer hos fostrene, fortrinsvis forsinket ossifikation af bryst- og lændehvirvlerne. Hos kaninfostre ses udviklingsforstyrrelser i form af hareskår ved plasmakoncentrationer på omtrent samme niveau som i klinikken og i form af hareskår og ganespalte ved plasmakoncentrationer, der er 2,7 gange højere end human eksponering.</w:t>
      </w:r>
    </w:p>
    <w:p w:rsidR="00515A85" w:rsidRPr="00F23835" w:rsidRDefault="00515A85" w:rsidP="00515A85">
      <w:pPr>
        <w:tabs>
          <w:tab w:val="left" w:pos="851"/>
        </w:tabs>
        <w:ind w:left="851"/>
        <w:rPr>
          <w:sz w:val="24"/>
          <w:szCs w:val="24"/>
        </w:rPr>
      </w:pPr>
    </w:p>
    <w:p w:rsidR="00966528" w:rsidRPr="00F23835" w:rsidRDefault="00966528" w:rsidP="00966528">
      <w:pPr>
        <w:tabs>
          <w:tab w:val="left" w:pos="851"/>
        </w:tabs>
        <w:ind w:left="851"/>
        <w:rPr>
          <w:sz w:val="24"/>
          <w:szCs w:val="24"/>
        </w:rPr>
      </w:pPr>
      <w:r w:rsidRPr="00F23835">
        <w:rPr>
          <w:sz w:val="24"/>
          <w:szCs w:val="24"/>
        </w:rPr>
        <w:t xml:space="preserve">Sunitinib (0,3, 1,0, 3,0 mg/kg/dag) blev evalueret i et præ- og postnataludviklingsstudier i drægtige rotter. Der sås reduktion af maternel vægstigning under drægtighed og diegivning ved </w:t>
      </w:r>
      <w:r w:rsidRPr="00F23835">
        <w:rPr>
          <w:sz w:val="24"/>
          <w:szCs w:val="24"/>
          <w:u w:val="single"/>
        </w:rPr>
        <w:t>&gt;</w:t>
      </w:r>
      <w:r w:rsidRPr="00F23835">
        <w:rPr>
          <w:sz w:val="24"/>
          <w:szCs w:val="24"/>
        </w:rPr>
        <w:t xml:space="preserve">1 mg/kg/dag, men der sås ikke maternel reproduktionstoksisitet ved doser op til 3 mg/kg/dag (estimeret eksponering </w:t>
      </w:r>
      <w:r w:rsidRPr="00F23835">
        <w:rPr>
          <w:sz w:val="24"/>
          <w:szCs w:val="24"/>
          <w:u w:val="single"/>
        </w:rPr>
        <w:t xml:space="preserve">&gt; </w:t>
      </w:r>
      <w:r w:rsidRPr="00F23835">
        <w:rPr>
          <w:sz w:val="24"/>
          <w:szCs w:val="24"/>
        </w:rPr>
        <w:t xml:space="preserve">2,3 gange AUC hos patienter behandlet med ADD). Der sås reduceret neonatal vægt under og efter afvænningsperioden ved 3 mg/kg/dag. Der sås ingen udviklingstoksisitet ved 1 mg/kg/dag (eksponering ca. </w:t>
      </w:r>
      <w:r w:rsidRPr="00F23835">
        <w:rPr>
          <w:sz w:val="24"/>
          <w:szCs w:val="24"/>
          <w:u w:val="single"/>
        </w:rPr>
        <w:t>&gt;</w:t>
      </w:r>
      <w:r w:rsidRPr="00F23835">
        <w:rPr>
          <w:sz w:val="24"/>
          <w:szCs w:val="24"/>
        </w:rPr>
        <w:t>0,9 gange AUC hos patienter behandlet med ADD).</w:t>
      </w:r>
    </w:p>
    <w:p w:rsidR="00515A85" w:rsidRPr="00F23835" w:rsidRDefault="00515A85" w:rsidP="00515A85">
      <w:pPr>
        <w:tabs>
          <w:tab w:val="left" w:pos="851"/>
        </w:tabs>
        <w:rPr>
          <w:sz w:val="24"/>
          <w:szCs w:val="24"/>
        </w:rPr>
      </w:pP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hanging="851"/>
        <w:rPr>
          <w:b/>
          <w:sz w:val="24"/>
          <w:szCs w:val="24"/>
        </w:rPr>
      </w:pPr>
      <w:r w:rsidRPr="00F23835">
        <w:rPr>
          <w:b/>
          <w:sz w:val="24"/>
          <w:szCs w:val="24"/>
        </w:rPr>
        <w:t>6.</w:t>
      </w:r>
      <w:r w:rsidRPr="00F23835">
        <w:rPr>
          <w:b/>
          <w:sz w:val="24"/>
          <w:szCs w:val="24"/>
        </w:rPr>
        <w:tab/>
        <w:t>FARMACEUTISKE OPLYSNINGER</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hanging="851"/>
        <w:rPr>
          <w:b/>
          <w:sz w:val="24"/>
          <w:szCs w:val="24"/>
        </w:rPr>
      </w:pPr>
      <w:r w:rsidRPr="00F23835">
        <w:rPr>
          <w:b/>
          <w:sz w:val="24"/>
          <w:szCs w:val="24"/>
        </w:rPr>
        <w:t>6.1</w:t>
      </w:r>
      <w:r w:rsidRPr="00F23835">
        <w:rPr>
          <w:b/>
          <w:sz w:val="24"/>
          <w:szCs w:val="24"/>
        </w:rPr>
        <w:tab/>
        <w:t>Hjælpestoffer</w:t>
      </w:r>
    </w:p>
    <w:p w:rsidR="00515A85" w:rsidRPr="00F23835" w:rsidRDefault="00515A85" w:rsidP="00515A85">
      <w:pPr>
        <w:tabs>
          <w:tab w:val="left" w:pos="851"/>
        </w:tabs>
        <w:ind w:left="851"/>
        <w:rPr>
          <w:sz w:val="24"/>
          <w:szCs w:val="24"/>
          <w:u w:val="single"/>
        </w:rPr>
      </w:pPr>
    </w:p>
    <w:p w:rsidR="00515A85" w:rsidRPr="00F23835" w:rsidRDefault="00515A85" w:rsidP="00515A85">
      <w:pPr>
        <w:tabs>
          <w:tab w:val="left" w:pos="851"/>
        </w:tabs>
        <w:ind w:left="851"/>
        <w:rPr>
          <w:b/>
          <w:sz w:val="24"/>
          <w:szCs w:val="24"/>
        </w:rPr>
      </w:pPr>
      <w:r w:rsidRPr="00F23835">
        <w:rPr>
          <w:b/>
          <w:sz w:val="24"/>
          <w:szCs w:val="24"/>
        </w:rPr>
        <w:t xml:space="preserve">Kapselindhold </w:t>
      </w:r>
    </w:p>
    <w:p w:rsidR="00515A85" w:rsidRPr="00EB4F07" w:rsidRDefault="00515A85" w:rsidP="00515A85">
      <w:pPr>
        <w:tabs>
          <w:tab w:val="left" w:pos="851"/>
        </w:tabs>
        <w:ind w:left="851"/>
        <w:rPr>
          <w:sz w:val="24"/>
          <w:szCs w:val="24"/>
        </w:rPr>
      </w:pPr>
      <w:r w:rsidRPr="00EB4F07">
        <w:rPr>
          <w:sz w:val="24"/>
          <w:szCs w:val="24"/>
        </w:rPr>
        <w:t>Cellulose, mikrokrystallinsk (E460)</w:t>
      </w:r>
    </w:p>
    <w:p w:rsidR="00515A85" w:rsidRPr="00EB4F07" w:rsidRDefault="00515A85" w:rsidP="00515A85">
      <w:pPr>
        <w:tabs>
          <w:tab w:val="left" w:pos="851"/>
        </w:tabs>
        <w:ind w:left="851"/>
        <w:rPr>
          <w:sz w:val="24"/>
          <w:szCs w:val="24"/>
        </w:rPr>
      </w:pPr>
      <w:r w:rsidRPr="00EB4F07">
        <w:rPr>
          <w:sz w:val="24"/>
          <w:szCs w:val="24"/>
        </w:rPr>
        <w:t>Mannitol (E421)</w:t>
      </w:r>
    </w:p>
    <w:p w:rsidR="00515A85" w:rsidRPr="00F23835" w:rsidRDefault="00515A85" w:rsidP="00515A85">
      <w:pPr>
        <w:tabs>
          <w:tab w:val="left" w:pos="851"/>
        </w:tabs>
        <w:ind w:left="851"/>
        <w:rPr>
          <w:sz w:val="24"/>
          <w:szCs w:val="24"/>
          <w:lang w:val="en-US"/>
        </w:rPr>
      </w:pPr>
      <w:r w:rsidRPr="00F23835">
        <w:rPr>
          <w:sz w:val="24"/>
          <w:szCs w:val="24"/>
          <w:lang w:val="en-US"/>
        </w:rPr>
        <w:t xml:space="preserve">Croscarmellosenatrium </w:t>
      </w:r>
    </w:p>
    <w:p w:rsidR="00515A85" w:rsidRPr="00F23835" w:rsidRDefault="00515A85" w:rsidP="00515A85">
      <w:pPr>
        <w:tabs>
          <w:tab w:val="left" w:pos="851"/>
        </w:tabs>
        <w:ind w:left="851"/>
        <w:rPr>
          <w:sz w:val="24"/>
          <w:szCs w:val="24"/>
          <w:lang w:val="en-US"/>
        </w:rPr>
      </w:pPr>
      <w:r w:rsidRPr="00F23835">
        <w:rPr>
          <w:sz w:val="24"/>
          <w:szCs w:val="24"/>
          <w:lang w:val="en-US"/>
        </w:rPr>
        <w:t>Povidon (E1201)</w:t>
      </w:r>
    </w:p>
    <w:p w:rsidR="00515A85" w:rsidRPr="00EB4F07" w:rsidRDefault="00515A85" w:rsidP="00515A85">
      <w:pPr>
        <w:tabs>
          <w:tab w:val="left" w:pos="851"/>
        </w:tabs>
        <w:ind w:left="851"/>
        <w:rPr>
          <w:sz w:val="24"/>
          <w:szCs w:val="24"/>
          <w:lang w:val="en-US"/>
        </w:rPr>
      </w:pPr>
      <w:r w:rsidRPr="00EB4F07">
        <w:rPr>
          <w:sz w:val="24"/>
          <w:szCs w:val="24"/>
          <w:lang w:val="en-US"/>
        </w:rPr>
        <w:t>Magnesiumstearat (E470b)</w:t>
      </w:r>
    </w:p>
    <w:p w:rsidR="00515A85" w:rsidRPr="00EB4F07" w:rsidRDefault="00515A85" w:rsidP="00515A85">
      <w:pPr>
        <w:tabs>
          <w:tab w:val="left" w:pos="851"/>
        </w:tabs>
        <w:ind w:left="851"/>
        <w:rPr>
          <w:i/>
          <w:sz w:val="24"/>
          <w:szCs w:val="24"/>
          <w:lang w:val="en-US"/>
        </w:rPr>
      </w:pPr>
    </w:p>
    <w:p w:rsidR="00515A85" w:rsidRPr="00F23835" w:rsidRDefault="00515A85" w:rsidP="00515A85">
      <w:pPr>
        <w:tabs>
          <w:tab w:val="left" w:pos="851"/>
        </w:tabs>
        <w:ind w:left="851"/>
        <w:rPr>
          <w:sz w:val="24"/>
          <w:szCs w:val="24"/>
          <w:u w:val="single"/>
        </w:rPr>
      </w:pPr>
      <w:r w:rsidRPr="00F23835">
        <w:rPr>
          <w:sz w:val="24"/>
          <w:szCs w:val="24"/>
          <w:u w:val="single"/>
        </w:rPr>
        <w:t>12,5 mg</w:t>
      </w:r>
    </w:p>
    <w:p w:rsidR="00515A85" w:rsidRPr="00F23835" w:rsidRDefault="00515A85" w:rsidP="00515A85">
      <w:pPr>
        <w:tabs>
          <w:tab w:val="left" w:pos="851"/>
        </w:tabs>
        <w:ind w:left="851"/>
        <w:rPr>
          <w:i/>
          <w:sz w:val="24"/>
          <w:szCs w:val="24"/>
        </w:rPr>
      </w:pPr>
    </w:p>
    <w:p w:rsidR="00515A85" w:rsidRPr="00F23835" w:rsidRDefault="00515A85" w:rsidP="00515A85">
      <w:pPr>
        <w:tabs>
          <w:tab w:val="left" w:pos="851"/>
        </w:tabs>
        <w:ind w:left="851"/>
        <w:rPr>
          <w:i/>
          <w:sz w:val="24"/>
          <w:szCs w:val="24"/>
        </w:rPr>
      </w:pPr>
      <w:r w:rsidRPr="00F23835">
        <w:rPr>
          <w:i/>
          <w:sz w:val="24"/>
          <w:szCs w:val="24"/>
        </w:rPr>
        <w:t>Kapselskal</w:t>
      </w:r>
    </w:p>
    <w:p w:rsidR="00515A85" w:rsidRPr="00F23835" w:rsidRDefault="00515A85" w:rsidP="00515A85">
      <w:pPr>
        <w:tabs>
          <w:tab w:val="left" w:pos="851"/>
        </w:tabs>
        <w:ind w:left="851"/>
        <w:rPr>
          <w:sz w:val="24"/>
          <w:szCs w:val="24"/>
        </w:rPr>
      </w:pPr>
      <w:r w:rsidRPr="00F23835">
        <w:rPr>
          <w:sz w:val="24"/>
          <w:szCs w:val="24"/>
        </w:rPr>
        <w:t>Rød jernoxid (E172)</w:t>
      </w:r>
    </w:p>
    <w:p w:rsidR="00515A85" w:rsidRPr="00F23835" w:rsidRDefault="00515A85" w:rsidP="00515A85">
      <w:pPr>
        <w:tabs>
          <w:tab w:val="left" w:pos="851"/>
        </w:tabs>
        <w:ind w:left="851"/>
        <w:rPr>
          <w:sz w:val="24"/>
          <w:szCs w:val="24"/>
        </w:rPr>
      </w:pPr>
      <w:r w:rsidRPr="00F23835">
        <w:rPr>
          <w:sz w:val="24"/>
          <w:szCs w:val="24"/>
        </w:rPr>
        <w:t>Titandioxid (E171)</w:t>
      </w:r>
    </w:p>
    <w:p w:rsidR="00515A85" w:rsidRPr="00F23835" w:rsidRDefault="00515A85" w:rsidP="00515A85">
      <w:pPr>
        <w:tabs>
          <w:tab w:val="left" w:pos="851"/>
        </w:tabs>
        <w:ind w:left="851"/>
        <w:rPr>
          <w:sz w:val="24"/>
          <w:szCs w:val="24"/>
        </w:rPr>
      </w:pPr>
      <w:r w:rsidRPr="00F23835">
        <w:rPr>
          <w:sz w:val="24"/>
          <w:szCs w:val="24"/>
        </w:rPr>
        <w:t>Gelatine</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i/>
          <w:sz w:val="24"/>
          <w:szCs w:val="24"/>
        </w:rPr>
      </w:pPr>
      <w:r w:rsidRPr="00F23835">
        <w:rPr>
          <w:i/>
          <w:sz w:val="24"/>
          <w:szCs w:val="24"/>
        </w:rPr>
        <w:t>Trykkeblæk, hvid</w:t>
      </w:r>
    </w:p>
    <w:p w:rsidR="00515A85" w:rsidRPr="00F23835" w:rsidRDefault="00515A85" w:rsidP="00515A85">
      <w:pPr>
        <w:tabs>
          <w:tab w:val="left" w:pos="851"/>
        </w:tabs>
        <w:ind w:left="851"/>
        <w:rPr>
          <w:sz w:val="24"/>
          <w:szCs w:val="24"/>
        </w:rPr>
      </w:pPr>
      <w:r w:rsidRPr="00F23835">
        <w:rPr>
          <w:sz w:val="24"/>
          <w:szCs w:val="24"/>
        </w:rPr>
        <w:t>Shellac</w:t>
      </w:r>
    </w:p>
    <w:p w:rsidR="00515A85" w:rsidRPr="00F23835" w:rsidRDefault="00515A85" w:rsidP="00515A85">
      <w:pPr>
        <w:tabs>
          <w:tab w:val="left" w:pos="851"/>
        </w:tabs>
        <w:ind w:left="851"/>
        <w:rPr>
          <w:sz w:val="24"/>
          <w:szCs w:val="24"/>
        </w:rPr>
      </w:pPr>
      <w:r w:rsidRPr="00F23835">
        <w:rPr>
          <w:sz w:val="24"/>
          <w:szCs w:val="24"/>
        </w:rPr>
        <w:t>Titandioxid (E171)</w:t>
      </w:r>
    </w:p>
    <w:p w:rsidR="00515A85" w:rsidRPr="00F23835" w:rsidRDefault="00515A85" w:rsidP="00515A85">
      <w:pPr>
        <w:tabs>
          <w:tab w:val="left" w:pos="851"/>
        </w:tabs>
        <w:ind w:left="851"/>
        <w:rPr>
          <w:sz w:val="24"/>
          <w:szCs w:val="24"/>
        </w:rPr>
      </w:pPr>
      <w:r w:rsidRPr="00F23835">
        <w:rPr>
          <w:sz w:val="24"/>
          <w:szCs w:val="24"/>
        </w:rPr>
        <w:t>Propylenglycol (E1520)</w:t>
      </w:r>
    </w:p>
    <w:p w:rsidR="00515A85" w:rsidRPr="00F23835" w:rsidRDefault="00515A85" w:rsidP="00515A85">
      <w:pPr>
        <w:tabs>
          <w:tab w:val="left" w:pos="851"/>
        </w:tabs>
        <w:ind w:left="851"/>
        <w:rPr>
          <w:sz w:val="24"/>
          <w:szCs w:val="24"/>
          <w:u w:val="single"/>
        </w:rPr>
      </w:pPr>
    </w:p>
    <w:p w:rsidR="00515A85" w:rsidRPr="00F23835" w:rsidRDefault="00515A85" w:rsidP="00515A85">
      <w:pPr>
        <w:tabs>
          <w:tab w:val="left" w:pos="851"/>
        </w:tabs>
        <w:ind w:left="851"/>
        <w:rPr>
          <w:sz w:val="24"/>
          <w:szCs w:val="24"/>
          <w:u w:val="single"/>
        </w:rPr>
      </w:pPr>
      <w:r w:rsidRPr="00F23835">
        <w:rPr>
          <w:sz w:val="24"/>
          <w:szCs w:val="24"/>
          <w:u w:val="single"/>
        </w:rPr>
        <w:t>25 mg</w:t>
      </w:r>
    </w:p>
    <w:p w:rsidR="00515A85" w:rsidRPr="00F23835" w:rsidRDefault="00515A85" w:rsidP="00515A85">
      <w:pPr>
        <w:tabs>
          <w:tab w:val="left" w:pos="851"/>
        </w:tabs>
        <w:ind w:left="851"/>
        <w:rPr>
          <w:sz w:val="24"/>
          <w:szCs w:val="24"/>
          <w:u w:val="single"/>
        </w:rPr>
      </w:pPr>
    </w:p>
    <w:p w:rsidR="00515A85" w:rsidRPr="00F23835" w:rsidRDefault="00515A85" w:rsidP="00515A85">
      <w:pPr>
        <w:tabs>
          <w:tab w:val="left" w:pos="851"/>
        </w:tabs>
        <w:ind w:left="851"/>
        <w:rPr>
          <w:sz w:val="24"/>
          <w:szCs w:val="24"/>
        </w:rPr>
      </w:pPr>
      <w:r w:rsidRPr="00F23835">
        <w:rPr>
          <w:i/>
          <w:sz w:val="24"/>
          <w:szCs w:val="24"/>
        </w:rPr>
        <w:t>Kapselskal</w:t>
      </w:r>
    </w:p>
    <w:p w:rsidR="00515A85" w:rsidRPr="00F23835" w:rsidRDefault="00515A85" w:rsidP="00515A85">
      <w:pPr>
        <w:tabs>
          <w:tab w:val="left" w:pos="851"/>
        </w:tabs>
        <w:ind w:left="851"/>
        <w:rPr>
          <w:sz w:val="24"/>
          <w:szCs w:val="24"/>
        </w:rPr>
      </w:pPr>
      <w:r w:rsidRPr="00F23835">
        <w:rPr>
          <w:sz w:val="24"/>
          <w:szCs w:val="24"/>
        </w:rPr>
        <w:t>Sort jernoxid (E172)</w:t>
      </w:r>
    </w:p>
    <w:p w:rsidR="00515A85" w:rsidRPr="00F23835" w:rsidRDefault="00515A85" w:rsidP="00515A85">
      <w:pPr>
        <w:tabs>
          <w:tab w:val="left" w:pos="851"/>
        </w:tabs>
        <w:ind w:left="851"/>
        <w:rPr>
          <w:sz w:val="24"/>
          <w:szCs w:val="24"/>
        </w:rPr>
      </w:pPr>
      <w:r w:rsidRPr="00F23835">
        <w:rPr>
          <w:sz w:val="24"/>
          <w:szCs w:val="24"/>
        </w:rPr>
        <w:t>Rød jernoxid (E172)</w:t>
      </w:r>
    </w:p>
    <w:p w:rsidR="00515A85" w:rsidRPr="00F23835" w:rsidRDefault="00515A85" w:rsidP="00515A85">
      <w:pPr>
        <w:tabs>
          <w:tab w:val="left" w:pos="851"/>
        </w:tabs>
        <w:ind w:left="851"/>
        <w:rPr>
          <w:sz w:val="24"/>
          <w:szCs w:val="24"/>
        </w:rPr>
      </w:pPr>
      <w:r w:rsidRPr="00F23835">
        <w:rPr>
          <w:sz w:val="24"/>
          <w:szCs w:val="24"/>
        </w:rPr>
        <w:t>Gul jernoxid (E172)</w:t>
      </w:r>
    </w:p>
    <w:p w:rsidR="00515A85" w:rsidRPr="00F23835" w:rsidRDefault="00515A85" w:rsidP="00515A85">
      <w:pPr>
        <w:tabs>
          <w:tab w:val="left" w:pos="851"/>
        </w:tabs>
        <w:ind w:left="851"/>
        <w:rPr>
          <w:sz w:val="24"/>
          <w:szCs w:val="24"/>
        </w:rPr>
      </w:pPr>
      <w:r w:rsidRPr="00F23835">
        <w:rPr>
          <w:sz w:val="24"/>
          <w:szCs w:val="24"/>
        </w:rPr>
        <w:t>Titandioxid (E171)</w:t>
      </w:r>
    </w:p>
    <w:p w:rsidR="00515A85" w:rsidRPr="00F23835" w:rsidRDefault="00515A85" w:rsidP="00515A85">
      <w:pPr>
        <w:tabs>
          <w:tab w:val="left" w:pos="851"/>
        </w:tabs>
        <w:ind w:left="851"/>
        <w:rPr>
          <w:sz w:val="24"/>
          <w:szCs w:val="24"/>
        </w:rPr>
      </w:pPr>
      <w:r w:rsidRPr="00F23835">
        <w:rPr>
          <w:sz w:val="24"/>
          <w:szCs w:val="24"/>
        </w:rPr>
        <w:t>Gelatine</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rPr>
      </w:pPr>
      <w:r w:rsidRPr="00F23835">
        <w:rPr>
          <w:i/>
          <w:sz w:val="24"/>
          <w:szCs w:val="24"/>
        </w:rPr>
        <w:t>Trykkeblæk, hvid</w:t>
      </w:r>
    </w:p>
    <w:p w:rsidR="00515A85" w:rsidRPr="00F23835" w:rsidRDefault="00515A85" w:rsidP="00515A85">
      <w:pPr>
        <w:tabs>
          <w:tab w:val="left" w:pos="851"/>
        </w:tabs>
        <w:ind w:left="851"/>
        <w:rPr>
          <w:sz w:val="24"/>
          <w:szCs w:val="24"/>
        </w:rPr>
      </w:pPr>
      <w:r w:rsidRPr="00F23835">
        <w:rPr>
          <w:sz w:val="24"/>
          <w:szCs w:val="24"/>
        </w:rPr>
        <w:t>Shellac</w:t>
      </w:r>
    </w:p>
    <w:p w:rsidR="00515A85" w:rsidRPr="00F23835" w:rsidRDefault="00515A85" w:rsidP="00515A85">
      <w:pPr>
        <w:tabs>
          <w:tab w:val="left" w:pos="851"/>
        </w:tabs>
        <w:ind w:left="851"/>
        <w:rPr>
          <w:sz w:val="24"/>
          <w:szCs w:val="24"/>
        </w:rPr>
      </w:pPr>
      <w:r w:rsidRPr="00F23835">
        <w:rPr>
          <w:sz w:val="24"/>
          <w:szCs w:val="24"/>
        </w:rPr>
        <w:lastRenderedPageBreak/>
        <w:t>Titandioxid (E171)</w:t>
      </w:r>
    </w:p>
    <w:p w:rsidR="00515A85" w:rsidRPr="00F23835" w:rsidRDefault="00515A85" w:rsidP="00515A85">
      <w:pPr>
        <w:tabs>
          <w:tab w:val="left" w:pos="851"/>
        </w:tabs>
        <w:ind w:left="851"/>
        <w:rPr>
          <w:sz w:val="24"/>
          <w:szCs w:val="24"/>
        </w:rPr>
      </w:pPr>
      <w:r w:rsidRPr="00F23835">
        <w:rPr>
          <w:sz w:val="24"/>
          <w:szCs w:val="24"/>
        </w:rPr>
        <w:t>Propylenglycol (E1520)</w:t>
      </w:r>
    </w:p>
    <w:p w:rsidR="00515A85" w:rsidRPr="00F23835" w:rsidRDefault="00515A85" w:rsidP="00515A85">
      <w:pPr>
        <w:tabs>
          <w:tab w:val="left" w:pos="851"/>
        </w:tabs>
        <w:ind w:left="851"/>
        <w:rPr>
          <w:sz w:val="24"/>
          <w:szCs w:val="24"/>
          <w:u w:val="single"/>
        </w:rPr>
      </w:pPr>
    </w:p>
    <w:p w:rsidR="00515A85" w:rsidRPr="00F23835" w:rsidRDefault="00515A85" w:rsidP="00515A85">
      <w:pPr>
        <w:tabs>
          <w:tab w:val="left" w:pos="851"/>
        </w:tabs>
        <w:ind w:left="851"/>
        <w:rPr>
          <w:sz w:val="24"/>
          <w:szCs w:val="24"/>
          <w:u w:val="single"/>
        </w:rPr>
      </w:pPr>
      <w:r w:rsidRPr="00F23835">
        <w:rPr>
          <w:sz w:val="24"/>
          <w:szCs w:val="24"/>
          <w:u w:val="single"/>
        </w:rPr>
        <w:t>37,5 mg</w:t>
      </w:r>
    </w:p>
    <w:p w:rsidR="00515A85" w:rsidRPr="00F23835" w:rsidRDefault="00515A85" w:rsidP="00515A85">
      <w:pPr>
        <w:tabs>
          <w:tab w:val="left" w:pos="851"/>
        </w:tabs>
        <w:ind w:left="851"/>
        <w:rPr>
          <w:sz w:val="24"/>
          <w:szCs w:val="24"/>
          <w:u w:val="single"/>
        </w:rPr>
      </w:pPr>
    </w:p>
    <w:p w:rsidR="00515A85" w:rsidRPr="00F23835" w:rsidRDefault="00515A85" w:rsidP="00515A85">
      <w:pPr>
        <w:tabs>
          <w:tab w:val="left" w:pos="851"/>
        </w:tabs>
        <w:ind w:left="851"/>
        <w:rPr>
          <w:sz w:val="24"/>
          <w:szCs w:val="24"/>
        </w:rPr>
      </w:pPr>
      <w:r w:rsidRPr="00F23835">
        <w:rPr>
          <w:i/>
          <w:sz w:val="24"/>
          <w:szCs w:val="24"/>
        </w:rPr>
        <w:t>Kapselskal</w:t>
      </w:r>
    </w:p>
    <w:p w:rsidR="00515A85" w:rsidRPr="00F23835" w:rsidRDefault="00515A85" w:rsidP="00515A85">
      <w:pPr>
        <w:tabs>
          <w:tab w:val="left" w:pos="851"/>
        </w:tabs>
        <w:ind w:left="851"/>
        <w:rPr>
          <w:sz w:val="24"/>
          <w:szCs w:val="24"/>
        </w:rPr>
      </w:pPr>
      <w:r w:rsidRPr="00F23835">
        <w:rPr>
          <w:sz w:val="24"/>
          <w:szCs w:val="24"/>
        </w:rPr>
        <w:t>Gul jernoxid (E172)</w:t>
      </w:r>
    </w:p>
    <w:p w:rsidR="00515A85" w:rsidRPr="00F23835" w:rsidRDefault="00515A85" w:rsidP="00515A85">
      <w:pPr>
        <w:tabs>
          <w:tab w:val="left" w:pos="851"/>
        </w:tabs>
        <w:ind w:left="851"/>
        <w:rPr>
          <w:sz w:val="24"/>
          <w:szCs w:val="24"/>
        </w:rPr>
      </w:pPr>
      <w:r w:rsidRPr="00F23835">
        <w:rPr>
          <w:sz w:val="24"/>
          <w:szCs w:val="24"/>
        </w:rPr>
        <w:t>Titandioxid (E171)</w:t>
      </w:r>
    </w:p>
    <w:p w:rsidR="00515A85" w:rsidRPr="00F23835" w:rsidRDefault="00515A85" w:rsidP="00515A85">
      <w:pPr>
        <w:tabs>
          <w:tab w:val="left" w:pos="851"/>
        </w:tabs>
        <w:ind w:left="851"/>
        <w:rPr>
          <w:sz w:val="24"/>
          <w:szCs w:val="24"/>
        </w:rPr>
      </w:pPr>
      <w:r w:rsidRPr="00F23835">
        <w:rPr>
          <w:sz w:val="24"/>
          <w:szCs w:val="24"/>
        </w:rPr>
        <w:t>Gelatine</w:t>
      </w:r>
    </w:p>
    <w:p w:rsidR="00515A85" w:rsidRPr="00F23835" w:rsidRDefault="00515A85" w:rsidP="00515A85">
      <w:pPr>
        <w:tabs>
          <w:tab w:val="left" w:pos="851"/>
        </w:tabs>
        <w:ind w:left="851"/>
        <w:rPr>
          <w:i/>
          <w:sz w:val="24"/>
          <w:szCs w:val="24"/>
        </w:rPr>
      </w:pPr>
    </w:p>
    <w:p w:rsidR="00515A85" w:rsidRPr="00F23835" w:rsidRDefault="00515A85" w:rsidP="00515A85">
      <w:pPr>
        <w:tabs>
          <w:tab w:val="left" w:pos="851"/>
        </w:tabs>
        <w:ind w:left="851"/>
        <w:rPr>
          <w:i/>
          <w:sz w:val="24"/>
          <w:szCs w:val="24"/>
        </w:rPr>
      </w:pPr>
      <w:r w:rsidRPr="00F23835">
        <w:rPr>
          <w:i/>
          <w:sz w:val="24"/>
          <w:szCs w:val="24"/>
        </w:rPr>
        <w:t>Trykkeblæk, sort</w:t>
      </w:r>
    </w:p>
    <w:p w:rsidR="00515A85" w:rsidRPr="00F23835" w:rsidRDefault="00515A85" w:rsidP="00515A85">
      <w:pPr>
        <w:tabs>
          <w:tab w:val="left" w:pos="851"/>
        </w:tabs>
        <w:ind w:left="851"/>
        <w:rPr>
          <w:sz w:val="24"/>
          <w:szCs w:val="24"/>
        </w:rPr>
      </w:pPr>
      <w:r w:rsidRPr="00F23835">
        <w:rPr>
          <w:sz w:val="24"/>
          <w:szCs w:val="24"/>
        </w:rPr>
        <w:t>Shellac</w:t>
      </w:r>
    </w:p>
    <w:p w:rsidR="00515A85" w:rsidRPr="00F23835" w:rsidRDefault="00515A85" w:rsidP="00515A85">
      <w:pPr>
        <w:tabs>
          <w:tab w:val="left" w:pos="851"/>
        </w:tabs>
        <w:ind w:left="851"/>
        <w:rPr>
          <w:sz w:val="24"/>
          <w:szCs w:val="24"/>
          <w:lang w:val="en-US"/>
        </w:rPr>
      </w:pPr>
      <w:r w:rsidRPr="00F23835">
        <w:rPr>
          <w:sz w:val="24"/>
          <w:szCs w:val="24"/>
          <w:lang w:val="en-US"/>
        </w:rPr>
        <w:t>Sort jernoxid (E172)</w:t>
      </w:r>
    </w:p>
    <w:p w:rsidR="00515A85" w:rsidRPr="00F23835" w:rsidRDefault="00515A85" w:rsidP="00515A85">
      <w:pPr>
        <w:tabs>
          <w:tab w:val="left" w:pos="851"/>
        </w:tabs>
        <w:ind w:left="851"/>
        <w:rPr>
          <w:sz w:val="24"/>
          <w:szCs w:val="24"/>
          <w:lang w:val="en-US"/>
        </w:rPr>
      </w:pPr>
      <w:r w:rsidRPr="00F23835">
        <w:rPr>
          <w:sz w:val="24"/>
          <w:szCs w:val="24"/>
          <w:lang w:val="en-US"/>
        </w:rPr>
        <w:t>Propylenglycol (E1520)</w:t>
      </w:r>
    </w:p>
    <w:p w:rsidR="00515A85" w:rsidRPr="00F23835" w:rsidRDefault="00515A85" w:rsidP="00515A85">
      <w:pPr>
        <w:tabs>
          <w:tab w:val="left" w:pos="851"/>
        </w:tabs>
        <w:ind w:left="851"/>
        <w:rPr>
          <w:sz w:val="24"/>
          <w:szCs w:val="24"/>
        </w:rPr>
      </w:pPr>
      <w:r w:rsidRPr="00F23835">
        <w:rPr>
          <w:sz w:val="24"/>
          <w:szCs w:val="24"/>
        </w:rPr>
        <w:t>Ammoniumhydroxid (E527)</w:t>
      </w:r>
    </w:p>
    <w:p w:rsidR="00515A85" w:rsidRPr="00F23835" w:rsidRDefault="00515A85" w:rsidP="00515A85">
      <w:pPr>
        <w:tabs>
          <w:tab w:val="left" w:pos="851"/>
        </w:tabs>
        <w:ind w:left="851"/>
        <w:rPr>
          <w:sz w:val="24"/>
          <w:szCs w:val="24"/>
          <w:u w:val="single"/>
        </w:rPr>
      </w:pPr>
    </w:p>
    <w:p w:rsidR="00515A85" w:rsidRPr="00F23835" w:rsidRDefault="00515A85" w:rsidP="00515A85">
      <w:pPr>
        <w:tabs>
          <w:tab w:val="left" w:pos="851"/>
        </w:tabs>
        <w:ind w:left="851"/>
        <w:rPr>
          <w:sz w:val="24"/>
          <w:szCs w:val="24"/>
          <w:u w:val="single"/>
        </w:rPr>
      </w:pPr>
      <w:r w:rsidRPr="00F23835">
        <w:rPr>
          <w:sz w:val="24"/>
          <w:szCs w:val="24"/>
          <w:u w:val="single"/>
        </w:rPr>
        <w:t>50 mg</w:t>
      </w:r>
    </w:p>
    <w:p w:rsidR="00515A85" w:rsidRPr="00F23835" w:rsidRDefault="00515A85" w:rsidP="00515A85">
      <w:pPr>
        <w:tabs>
          <w:tab w:val="left" w:pos="851"/>
        </w:tabs>
        <w:ind w:left="851"/>
        <w:rPr>
          <w:sz w:val="24"/>
          <w:szCs w:val="24"/>
          <w:u w:val="single"/>
        </w:rPr>
      </w:pPr>
    </w:p>
    <w:p w:rsidR="00515A85" w:rsidRPr="00F23835" w:rsidRDefault="00515A85" w:rsidP="00515A85">
      <w:pPr>
        <w:tabs>
          <w:tab w:val="left" w:pos="851"/>
        </w:tabs>
        <w:ind w:left="851"/>
        <w:rPr>
          <w:i/>
          <w:sz w:val="24"/>
          <w:szCs w:val="24"/>
        </w:rPr>
      </w:pPr>
      <w:r w:rsidRPr="00F23835">
        <w:rPr>
          <w:i/>
          <w:sz w:val="24"/>
          <w:szCs w:val="24"/>
        </w:rPr>
        <w:t>Kapselskal</w:t>
      </w:r>
    </w:p>
    <w:p w:rsidR="00515A85" w:rsidRPr="00F23835" w:rsidRDefault="00515A85" w:rsidP="00515A85">
      <w:pPr>
        <w:tabs>
          <w:tab w:val="left" w:pos="851"/>
        </w:tabs>
        <w:ind w:left="851"/>
        <w:rPr>
          <w:sz w:val="24"/>
          <w:szCs w:val="24"/>
        </w:rPr>
      </w:pPr>
      <w:r w:rsidRPr="00F23835">
        <w:rPr>
          <w:i/>
          <w:sz w:val="24"/>
          <w:szCs w:val="24"/>
        </w:rPr>
        <w:t>S</w:t>
      </w:r>
      <w:r w:rsidRPr="00F23835">
        <w:rPr>
          <w:sz w:val="24"/>
          <w:szCs w:val="24"/>
        </w:rPr>
        <w:t>ort jernoxid (E172)</w:t>
      </w:r>
    </w:p>
    <w:p w:rsidR="00515A85" w:rsidRPr="00F23835" w:rsidRDefault="00515A85" w:rsidP="00515A85">
      <w:pPr>
        <w:tabs>
          <w:tab w:val="left" w:pos="851"/>
        </w:tabs>
        <w:ind w:left="851"/>
        <w:rPr>
          <w:sz w:val="24"/>
          <w:szCs w:val="24"/>
        </w:rPr>
      </w:pPr>
      <w:r w:rsidRPr="00F23835">
        <w:rPr>
          <w:sz w:val="24"/>
          <w:szCs w:val="24"/>
        </w:rPr>
        <w:t>Rød jernoxid (E172)</w:t>
      </w:r>
    </w:p>
    <w:p w:rsidR="00515A85" w:rsidRPr="00F23835" w:rsidRDefault="00515A85" w:rsidP="00515A85">
      <w:pPr>
        <w:tabs>
          <w:tab w:val="left" w:pos="851"/>
        </w:tabs>
        <w:ind w:left="851"/>
        <w:rPr>
          <w:sz w:val="24"/>
          <w:szCs w:val="24"/>
        </w:rPr>
      </w:pPr>
      <w:r w:rsidRPr="00F23835">
        <w:rPr>
          <w:sz w:val="24"/>
          <w:szCs w:val="24"/>
        </w:rPr>
        <w:t>Gul jernoxid (E172)</w:t>
      </w:r>
    </w:p>
    <w:p w:rsidR="00515A85" w:rsidRPr="00F23835" w:rsidRDefault="00515A85" w:rsidP="00515A85">
      <w:pPr>
        <w:tabs>
          <w:tab w:val="left" w:pos="851"/>
        </w:tabs>
        <w:ind w:left="851"/>
        <w:rPr>
          <w:sz w:val="24"/>
          <w:szCs w:val="24"/>
        </w:rPr>
      </w:pPr>
      <w:r w:rsidRPr="00F23835">
        <w:rPr>
          <w:sz w:val="24"/>
          <w:szCs w:val="24"/>
        </w:rPr>
        <w:t>Titandioxid (E171)</w:t>
      </w:r>
    </w:p>
    <w:p w:rsidR="00515A85" w:rsidRPr="00F23835" w:rsidRDefault="00515A85" w:rsidP="00515A85">
      <w:pPr>
        <w:tabs>
          <w:tab w:val="left" w:pos="851"/>
        </w:tabs>
        <w:ind w:left="851"/>
        <w:rPr>
          <w:sz w:val="24"/>
          <w:szCs w:val="24"/>
        </w:rPr>
      </w:pPr>
      <w:r w:rsidRPr="00F23835">
        <w:rPr>
          <w:sz w:val="24"/>
          <w:szCs w:val="24"/>
        </w:rPr>
        <w:t>Gelatine</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i/>
          <w:sz w:val="24"/>
          <w:szCs w:val="24"/>
        </w:rPr>
      </w:pPr>
      <w:r w:rsidRPr="00F23835">
        <w:rPr>
          <w:i/>
          <w:sz w:val="24"/>
          <w:szCs w:val="24"/>
        </w:rPr>
        <w:t>Trykkeblæk, hvid</w:t>
      </w:r>
    </w:p>
    <w:p w:rsidR="00515A85" w:rsidRPr="00F23835" w:rsidRDefault="00515A85" w:rsidP="00515A85">
      <w:pPr>
        <w:tabs>
          <w:tab w:val="left" w:pos="851"/>
        </w:tabs>
        <w:ind w:left="851"/>
        <w:rPr>
          <w:sz w:val="24"/>
          <w:szCs w:val="24"/>
        </w:rPr>
      </w:pPr>
      <w:r w:rsidRPr="00F23835">
        <w:rPr>
          <w:sz w:val="24"/>
          <w:szCs w:val="24"/>
        </w:rPr>
        <w:t>Shellac</w:t>
      </w:r>
    </w:p>
    <w:p w:rsidR="00515A85" w:rsidRPr="00F23835" w:rsidRDefault="00515A85" w:rsidP="00515A85">
      <w:pPr>
        <w:tabs>
          <w:tab w:val="left" w:pos="851"/>
        </w:tabs>
        <w:ind w:left="851"/>
        <w:rPr>
          <w:sz w:val="24"/>
          <w:szCs w:val="24"/>
        </w:rPr>
      </w:pPr>
      <w:r w:rsidRPr="00F23835">
        <w:rPr>
          <w:sz w:val="24"/>
          <w:szCs w:val="24"/>
        </w:rPr>
        <w:t>Titandioxid (E171)</w:t>
      </w:r>
    </w:p>
    <w:p w:rsidR="00515A85" w:rsidRPr="00F23835" w:rsidRDefault="00515A85" w:rsidP="00515A85">
      <w:pPr>
        <w:tabs>
          <w:tab w:val="left" w:pos="851"/>
        </w:tabs>
        <w:ind w:left="851"/>
        <w:rPr>
          <w:sz w:val="24"/>
          <w:szCs w:val="24"/>
        </w:rPr>
      </w:pPr>
      <w:r w:rsidRPr="00F23835">
        <w:rPr>
          <w:sz w:val="24"/>
          <w:szCs w:val="24"/>
        </w:rPr>
        <w:t>Propylenglycol (E1520)</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hanging="851"/>
        <w:rPr>
          <w:b/>
          <w:sz w:val="24"/>
          <w:szCs w:val="24"/>
        </w:rPr>
      </w:pPr>
      <w:r w:rsidRPr="00F23835">
        <w:rPr>
          <w:b/>
          <w:sz w:val="24"/>
          <w:szCs w:val="24"/>
        </w:rPr>
        <w:t>6.2</w:t>
      </w:r>
      <w:r w:rsidRPr="00F23835">
        <w:rPr>
          <w:b/>
          <w:sz w:val="24"/>
          <w:szCs w:val="24"/>
        </w:rPr>
        <w:tab/>
        <w:t>Uforligeligheder</w:t>
      </w:r>
    </w:p>
    <w:p w:rsidR="00515A85" w:rsidRPr="00F23835" w:rsidRDefault="00515A85" w:rsidP="00515A85">
      <w:pPr>
        <w:tabs>
          <w:tab w:val="left" w:pos="851"/>
        </w:tabs>
        <w:ind w:left="851"/>
        <w:rPr>
          <w:sz w:val="24"/>
          <w:szCs w:val="24"/>
        </w:rPr>
      </w:pPr>
      <w:r w:rsidRPr="00F23835">
        <w:rPr>
          <w:sz w:val="24"/>
          <w:szCs w:val="24"/>
        </w:rPr>
        <w:t>Ikke relevant.</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hanging="851"/>
        <w:rPr>
          <w:b/>
          <w:sz w:val="24"/>
          <w:szCs w:val="24"/>
        </w:rPr>
      </w:pPr>
      <w:r w:rsidRPr="00F23835">
        <w:rPr>
          <w:b/>
          <w:sz w:val="24"/>
          <w:szCs w:val="24"/>
        </w:rPr>
        <w:t>6.3</w:t>
      </w:r>
      <w:r w:rsidRPr="00F23835">
        <w:rPr>
          <w:b/>
          <w:sz w:val="24"/>
          <w:szCs w:val="24"/>
        </w:rPr>
        <w:tab/>
        <w:t>Opbevaringstid</w:t>
      </w:r>
    </w:p>
    <w:p w:rsidR="00515A85" w:rsidRPr="00F23835" w:rsidRDefault="00515A85" w:rsidP="00515A85">
      <w:pPr>
        <w:tabs>
          <w:tab w:val="left" w:pos="851"/>
        </w:tabs>
        <w:ind w:left="851" w:hanging="851"/>
        <w:rPr>
          <w:sz w:val="24"/>
          <w:szCs w:val="24"/>
        </w:rPr>
      </w:pPr>
      <w:r w:rsidRPr="00F23835">
        <w:rPr>
          <w:sz w:val="24"/>
          <w:szCs w:val="24"/>
        </w:rPr>
        <w:tab/>
      </w:r>
      <w:r w:rsidR="00C7029F" w:rsidRPr="00F23835">
        <w:rPr>
          <w:sz w:val="24"/>
          <w:szCs w:val="24"/>
        </w:rPr>
        <w:t>4</w:t>
      </w:r>
      <w:r w:rsidRPr="00F23835">
        <w:rPr>
          <w:sz w:val="24"/>
          <w:szCs w:val="24"/>
        </w:rPr>
        <w:t xml:space="preserve"> år.</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hanging="851"/>
        <w:rPr>
          <w:b/>
          <w:sz w:val="24"/>
          <w:szCs w:val="24"/>
        </w:rPr>
      </w:pPr>
      <w:r w:rsidRPr="00F23835">
        <w:rPr>
          <w:b/>
          <w:sz w:val="24"/>
          <w:szCs w:val="24"/>
        </w:rPr>
        <w:t>6.4</w:t>
      </w:r>
      <w:r w:rsidRPr="00F23835">
        <w:rPr>
          <w:b/>
          <w:sz w:val="24"/>
          <w:szCs w:val="24"/>
        </w:rPr>
        <w:tab/>
        <w:t>Særlige opbevaringsforhold</w:t>
      </w:r>
    </w:p>
    <w:p w:rsidR="00515A85" w:rsidRPr="00F23835" w:rsidRDefault="00515A85" w:rsidP="00515A85">
      <w:pPr>
        <w:tabs>
          <w:tab w:val="left" w:pos="851"/>
        </w:tabs>
        <w:ind w:left="851"/>
        <w:rPr>
          <w:sz w:val="24"/>
          <w:szCs w:val="24"/>
        </w:rPr>
      </w:pPr>
      <w:r w:rsidRPr="00F23835">
        <w:rPr>
          <w:sz w:val="24"/>
          <w:szCs w:val="24"/>
        </w:rPr>
        <w:t>Dette lægemiddel kræver ingen særlige forholdsregler vedrørende opbevaringen.</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hanging="851"/>
        <w:rPr>
          <w:b/>
          <w:sz w:val="24"/>
          <w:szCs w:val="24"/>
        </w:rPr>
      </w:pPr>
      <w:r w:rsidRPr="00F23835">
        <w:rPr>
          <w:b/>
          <w:sz w:val="24"/>
          <w:szCs w:val="24"/>
        </w:rPr>
        <w:t>6.5</w:t>
      </w:r>
      <w:r w:rsidRPr="00F23835">
        <w:rPr>
          <w:b/>
          <w:sz w:val="24"/>
          <w:szCs w:val="24"/>
        </w:rPr>
        <w:tab/>
        <w:t>Emballagetype og pakningsstørrelser</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u w:val="single"/>
        </w:rPr>
      </w:pPr>
      <w:r w:rsidRPr="00F23835">
        <w:rPr>
          <w:sz w:val="24"/>
          <w:szCs w:val="24"/>
          <w:u w:val="single"/>
        </w:rPr>
        <w:t>Aluminium-OPA/alu/PVC-blister, i karton</w:t>
      </w:r>
    </w:p>
    <w:p w:rsidR="00515A85" w:rsidRPr="00F23835" w:rsidRDefault="00515A85" w:rsidP="00515A85">
      <w:pPr>
        <w:tabs>
          <w:tab w:val="left" w:pos="851"/>
        </w:tabs>
        <w:ind w:left="851"/>
        <w:rPr>
          <w:sz w:val="24"/>
          <w:szCs w:val="24"/>
        </w:rPr>
      </w:pPr>
      <w:r w:rsidRPr="00F23835">
        <w:rPr>
          <w:sz w:val="24"/>
          <w:szCs w:val="24"/>
        </w:rPr>
        <w:t>Pakningsstørrelser: 28 stk.</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u w:val="single"/>
        </w:rPr>
      </w:pPr>
      <w:r w:rsidRPr="00F23835">
        <w:rPr>
          <w:sz w:val="24"/>
          <w:szCs w:val="24"/>
          <w:u w:val="single"/>
        </w:rPr>
        <w:t>Aluminium-OPA/alu/PVC-perforeret enkeldosisblisterkort, i karton</w:t>
      </w:r>
    </w:p>
    <w:p w:rsidR="00515A85" w:rsidRPr="00F23835" w:rsidRDefault="00515A85" w:rsidP="00515A85">
      <w:pPr>
        <w:tabs>
          <w:tab w:val="left" w:pos="851"/>
        </w:tabs>
        <w:ind w:left="851"/>
        <w:rPr>
          <w:sz w:val="24"/>
          <w:szCs w:val="24"/>
        </w:rPr>
      </w:pPr>
      <w:r w:rsidRPr="00F23835">
        <w:rPr>
          <w:sz w:val="24"/>
          <w:szCs w:val="24"/>
        </w:rPr>
        <w:t>Pakningsstørrelser: 28×1 stk.</w:t>
      </w:r>
      <w:r w:rsidR="00586364" w:rsidRPr="00F23835">
        <w:rPr>
          <w:sz w:val="24"/>
          <w:szCs w:val="24"/>
        </w:rPr>
        <w:t>, 30x1 stk.</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rPr>
          <w:sz w:val="24"/>
          <w:szCs w:val="24"/>
          <w:u w:val="single"/>
        </w:rPr>
      </w:pPr>
      <w:r w:rsidRPr="00F23835">
        <w:rPr>
          <w:sz w:val="24"/>
          <w:szCs w:val="24"/>
          <w:u w:val="single"/>
        </w:rPr>
        <w:t>HDPE-beholder med børnesikret skruelåg i PP-plast, i karton</w:t>
      </w:r>
    </w:p>
    <w:p w:rsidR="00515A85" w:rsidRPr="00F23835" w:rsidRDefault="00515A85" w:rsidP="00515A85">
      <w:pPr>
        <w:tabs>
          <w:tab w:val="left" w:pos="851"/>
        </w:tabs>
        <w:ind w:left="851"/>
        <w:rPr>
          <w:sz w:val="24"/>
          <w:szCs w:val="24"/>
        </w:rPr>
      </w:pPr>
      <w:r w:rsidRPr="00F23835">
        <w:rPr>
          <w:sz w:val="24"/>
          <w:szCs w:val="24"/>
        </w:rPr>
        <w:t>Pakningsstørrelser: 30 stk.</w:t>
      </w:r>
    </w:p>
    <w:p w:rsidR="00515A85" w:rsidRPr="00F23835" w:rsidRDefault="00515A85" w:rsidP="00515A85">
      <w:pPr>
        <w:tabs>
          <w:tab w:val="left" w:pos="851"/>
        </w:tabs>
        <w:ind w:left="851"/>
        <w:rPr>
          <w:sz w:val="24"/>
          <w:szCs w:val="24"/>
        </w:rPr>
      </w:pPr>
      <w:r w:rsidRPr="00F23835">
        <w:rPr>
          <w:sz w:val="24"/>
          <w:szCs w:val="24"/>
        </w:rPr>
        <w:t> </w:t>
      </w:r>
    </w:p>
    <w:p w:rsidR="00515A85" w:rsidRPr="00F23835" w:rsidRDefault="00515A85" w:rsidP="00515A85">
      <w:pPr>
        <w:tabs>
          <w:tab w:val="left" w:pos="851"/>
        </w:tabs>
        <w:ind w:left="851"/>
        <w:rPr>
          <w:sz w:val="24"/>
          <w:szCs w:val="24"/>
        </w:rPr>
      </w:pPr>
      <w:r w:rsidRPr="00F23835">
        <w:rPr>
          <w:sz w:val="24"/>
          <w:szCs w:val="24"/>
        </w:rPr>
        <w:t>Ikke alle pakningsstørrelser er nødvendigvis markedsført.</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hanging="851"/>
        <w:rPr>
          <w:b/>
          <w:sz w:val="24"/>
          <w:szCs w:val="24"/>
        </w:rPr>
      </w:pPr>
      <w:r w:rsidRPr="00F23835">
        <w:rPr>
          <w:b/>
          <w:sz w:val="24"/>
          <w:szCs w:val="24"/>
        </w:rPr>
        <w:t>6.6</w:t>
      </w:r>
      <w:r w:rsidRPr="00F23835">
        <w:rPr>
          <w:b/>
          <w:sz w:val="24"/>
          <w:szCs w:val="24"/>
        </w:rPr>
        <w:tab/>
        <w:t xml:space="preserve">Regler for </w:t>
      </w:r>
      <w:r w:rsidR="002A0948" w:rsidRPr="00F23835">
        <w:rPr>
          <w:b/>
          <w:sz w:val="24"/>
          <w:szCs w:val="24"/>
        </w:rPr>
        <w:t>bortskaffelse</w:t>
      </w:r>
      <w:r w:rsidRPr="00F23835">
        <w:rPr>
          <w:b/>
          <w:sz w:val="24"/>
          <w:szCs w:val="24"/>
        </w:rPr>
        <w:t xml:space="preserve"> og anden håndtering</w:t>
      </w:r>
    </w:p>
    <w:p w:rsidR="00515A85" w:rsidRPr="00F23835" w:rsidRDefault="00515A85" w:rsidP="00515A85">
      <w:pPr>
        <w:tabs>
          <w:tab w:val="left" w:pos="851"/>
        </w:tabs>
        <w:ind w:left="851"/>
        <w:jc w:val="both"/>
        <w:rPr>
          <w:sz w:val="24"/>
          <w:szCs w:val="24"/>
        </w:rPr>
      </w:pPr>
      <w:r w:rsidRPr="00F23835">
        <w:rPr>
          <w:sz w:val="24"/>
          <w:szCs w:val="24"/>
        </w:rPr>
        <w:t>Ikke anvendt lægemiddel samt affald heraf skal bortskaffes i henhold til lokale retningslinjer.</w:t>
      </w:r>
    </w:p>
    <w:p w:rsidR="00515A85" w:rsidRPr="00F23835" w:rsidRDefault="00515A85" w:rsidP="00515A85">
      <w:pPr>
        <w:tabs>
          <w:tab w:val="left" w:pos="851"/>
        </w:tabs>
        <w:ind w:left="851"/>
        <w:jc w:val="both"/>
        <w:rPr>
          <w:sz w:val="24"/>
          <w:szCs w:val="24"/>
        </w:rPr>
      </w:pPr>
    </w:p>
    <w:p w:rsidR="00515A85" w:rsidRPr="00F23835" w:rsidRDefault="00515A85" w:rsidP="00515A85">
      <w:pPr>
        <w:tabs>
          <w:tab w:val="left" w:pos="851"/>
        </w:tabs>
        <w:ind w:left="851" w:hanging="851"/>
        <w:rPr>
          <w:b/>
          <w:sz w:val="24"/>
          <w:szCs w:val="24"/>
        </w:rPr>
      </w:pPr>
      <w:r w:rsidRPr="00F23835">
        <w:rPr>
          <w:b/>
          <w:sz w:val="24"/>
          <w:szCs w:val="24"/>
        </w:rPr>
        <w:t>7.</w:t>
      </w:r>
      <w:r w:rsidRPr="00F23835">
        <w:rPr>
          <w:b/>
          <w:sz w:val="24"/>
          <w:szCs w:val="24"/>
        </w:rPr>
        <w:tab/>
        <w:t>INDEHAVER AF MARKEDSFØRINGSTILLADELSEN</w:t>
      </w:r>
    </w:p>
    <w:p w:rsidR="007C26EB" w:rsidRDefault="007C26EB" w:rsidP="00515A85">
      <w:pPr>
        <w:tabs>
          <w:tab w:val="left" w:pos="851"/>
        </w:tabs>
        <w:ind w:left="851"/>
        <w:rPr>
          <w:sz w:val="24"/>
          <w:szCs w:val="24"/>
          <w:lang w:val="en-US"/>
        </w:rPr>
      </w:pPr>
      <w:r w:rsidRPr="007C26EB">
        <w:rPr>
          <w:sz w:val="24"/>
          <w:szCs w:val="24"/>
          <w:lang w:val="en-US"/>
        </w:rPr>
        <w:t>Viatris Limited</w:t>
      </w:r>
    </w:p>
    <w:p w:rsidR="007C26EB" w:rsidRDefault="007C26EB" w:rsidP="00515A85">
      <w:pPr>
        <w:tabs>
          <w:tab w:val="left" w:pos="851"/>
        </w:tabs>
        <w:ind w:left="851"/>
        <w:rPr>
          <w:sz w:val="24"/>
          <w:szCs w:val="24"/>
          <w:lang w:val="en-US"/>
        </w:rPr>
      </w:pPr>
      <w:r w:rsidRPr="007C26EB">
        <w:rPr>
          <w:sz w:val="24"/>
          <w:szCs w:val="24"/>
          <w:lang w:val="en-US"/>
        </w:rPr>
        <w:t>Damastown Industrial Park</w:t>
      </w:r>
    </w:p>
    <w:p w:rsidR="007C26EB" w:rsidRDefault="007C26EB" w:rsidP="00515A85">
      <w:pPr>
        <w:tabs>
          <w:tab w:val="left" w:pos="851"/>
        </w:tabs>
        <w:ind w:left="851"/>
        <w:rPr>
          <w:sz w:val="24"/>
          <w:szCs w:val="24"/>
          <w:lang w:val="en-US"/>
        </w:rPr>
      </w:pPr>
      <w:r w:rsidRPr="007C26EB">
        <w:rPr>
          <w:sz w:val="24"/>
          <w:szCs w:val="24"/>
          <w:lang w:val="en-US"/>
        </w:rPr>
        <w:t>Mulhuddart</w:t>
      </w:r>
    </w:p>
    <w:p w:rsidR="007C26EB" w:rsidRDefault="007C26EB" w:rsidP="00515A85">
      <w:pPr>
        <w:tabs>
          <w:tab w:val="left" w:pos="851"/>
        </w:tabs>
        <w:ind w:left="851"/>
        <w:rPr>
          <w:sz w:val="24"/>
          <w:szCs w:val="24"/>
          <w:lang w:val="en-US"/>
        </w:rPr>
      </w:pPr>
      <w:r w:rsidRPr="007C26EB">
        <w:rPr>
          <w:sz w:val="24"/>
          <w:szCs w:val="24"/>
          <w:lang w:val="en-US"/>
        </w:rPr>
        <w:t>Dublin 15</w:t>
      </w:r>
    </w:p>
    <w:p w:rsidR="007C26EB" w:rsidRDefault="007C26EB" w:rsidP="00515A85">
      <w:pPr>
        <w:tabs>
          <w:tab w:val="left" w:pos="851"/>
        </w:tabs>
        <w:ind w:left="851"/>
        <w:rPr>
          <w:sz w:val="24"/>
          <w:szCs w:val="24"/>
          <w:lang w:val="en-US"/>
        </w:rPr>
      </w:pPr>
      <w:r w:rsidRPr="007C26EB">
        <w:rPr>
          <w:sz w:val="24"/>
          <w:szCs w:val="24"/>
          <w:lang w:val="en-US"/>
        </w:rPr>
        <w:t>Dublin</w:t>
      </w:r>
    </w:p>
    <w:p w:rsidR="00515A85" w:rsidRPr="007C26EB" w:rsidRDefault="007C26EB" w:rsidP="00515A85">
      <w:pPr>
        <w:tabs>
          <w:tab w:val="left" w:pos="851"/>
        </w:tabs>
        <w:ind w:left="851"/>
        <w:rPr>
          <w:sz w:val="24"/>
          <w:szCs w:val="24"/>
          <w:lang w:val="en-US"/>
        </w:rPr>
      </w:pPr>
      <w:r w:rsidRPr="007C26EB">
        <w:rPr>
          <w:sz w:val="24"/>
          <w:szCs w:val="24"/>
          <w:lang w:val="en-US"/>
        </w:rPr>
        <w:t>Irland</w:t>
      </w:r>
    </w:p>
    <w:p w:rsidR="00515A85" w:rsidRPr="007C26EB" w:rsidRDefault="00515A85" w:rsidP="00515A85">
      <w:pPr>
        <w:tabs>
          <w:tab w:val="left" w:pos="851"/>
        </w:tabs>
        <w:ind w:left="851"/>
        <w:rPr>
          <w:sz w:val="24"/>
          <w:szCs w:val="24"/>
          <w:lang w:val="en-US"/>
        </w:rPr>
      </w:pPr>
    </w:p>
    <w:p w:rsidR="00515A85" w:rsidRPr="00F23835" w:rsidRDefault="00515A85" w:rsidP="00515A85">
      <w:pPr>
        <w:tabs>
          <w:tab w:val="left" w:pos="851"/>
        </w:tabs>
        <w:ind w:left="851"/>
        <w:rPr>
          <w:b/>
          <w:sz w:val="24"/>
          <w:szCs w:val="24"/>
        </w:rPr>
      </w:pPr>
      <w:r w:rsidRPr="00F23835">
        <w:rPr>
          <w:b/>
          <w:sz w:val="24"/>
          <w:szCs w:val="24"/>
        </w:rPr>
        <w:t>Repræsentant</w:t>
      </w:r>
    </w:p>
    <w:p w:rsidR="00515A85" w:rsidRPr="00F23835" w:rsidRDefault="007506ED" w:rsidP="00515A85">
      <w:pPr>
        <w:widowControl w:val="0"/>
        <w:autoSpaceDE w:val="0"/>
        <w:autoSpaceDN w:val="0"/>
        <w:adjustRightInd w:val="0"/>
        <w:ind w:left="851" w:right="-1"/>
        <w:rPr>
          <w:sz w:val="24"/>
          <w:szCs w:val="24"/>
          <w:lang w:val="nb-NO"/>
        </w:rPr>
      </w:pPr>
      <w:r w:rsidRPr="00F23835">
        <w:rPr>
          <w:sz w:val="24"/>
          <w:szCs w:val="24"/>
          <w:lang w:val="nb-NO"/>
        </w:rPr>
        <w:t>Viatris</w:t>
      </w:r>
      <w:r w:rsidR="00515A85" w:rsidRPr="00F23835">
        <w:rPr>
          <w:sz w:val="24"/>
          <w:szCs w:val="24"/>
          <w:lang w:val="nb-NO"/>
        </w:rPr>
        <w:t xml:space="preserve"> ApS</w:t>
      </w:r>
    </w:p>
    <w:p w:rsidR="00515A85" w:rsidRPr="00F23835" w:rsidRDefault="00515A85" w:rsidP="00515A85">
      <w:pPr>
        <w:widowControl w:val="0"/>
        <w:autoSpaceDE w:val="0"/>
        <w:autoSpaceDN w:val="0"/>
        <w:adjustRightInd w:val="0"/>
        <w:ind w:left="851" w:right="-1"/>
        <w:rPr>
          <w:sz w:val="24"/>
          <w:szCs w:val="24"/>
          <w:lang w:val="nb-NO"/>
        </w:rPr>
      </w:pPr>
      <w:r w:rsidRPr="00F23835">
        <w:rPr>
          <w:sz w:val="24"/>
          <w:szCs w:val="24"/>
          <w:lang w:val="nb-NO"/>
        </w:rPr>
        <w:t>Borupvang 1</w:t>
      </w:r>
    </w:p>
    <w:p w:rsidR="00515A85" w:rsidRPr="00F23835" w:rsidRDefault="00515A85" w:rsidP="00515A85">
      <w:pPr>
        <w:tabs>
          <w:tab w:val="left" w:pos="851"/>
        </w:tabs>
        <w:ind w:left="851"/>
        <w:rPr>
          <w:sz w:val="24"/>
          <w:szCs w:val="24"/>
          <w:lang w:val="nb-NO"/>
        </w:rPr>
      </w:pPr>
      <w:r w:rsidRPr="00F23835">
        <w:rPr>
          <w:sz w:val="24"/>
          <w:szCs w:val="24"/>
          <w:lang w:val="nb-NO"/>
        </w:rPr>
        <w:t>2750 Ballerup</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hanging="851"/>
        <w:rPr>
          <w:b/>
          <w:sz w:val="24"/>
          <w:szCs w:val="24"/>
        </w:rPr>
      </w:pPr>
      <w:r w:rsidRPr="00F23835">
        <w:rPr>
          <w:b/>
          <w:sz w:val="24"/>
          <w:szCs w:val="24"/>
        </w:rPr>
        <w:t>8.</w:t>
      </w:r>
      <w:r w:rsidRPr="00F23835">
        <w:rPr>
          <w:b/>
          <w:sz w:val="24"/>
          <w:szCs w:val="24"/>
        </w:rPr>
        <w:tab/>
        <w:t>MARKEDSFØRINGSTILLADELSESNUMMER (</w:t>
      </w:r>
      <w:r w:rsidR="002A0948" w:rsidRPr="00F23835">
        <w:rPr>
          <w:b/>
          <w:sz w:val="24"/>
          <w:szCs w:val="24"/>
        </w:rPr>
        <w:t>-</w:t>
      </w:r>
      <w:r w:rsidRPr="00F23835">
        <w:rPr>
          <w:b/>
          <w:sz w:val="24"/>
          <w:szCs w:val="24"/>
        </w:rPr>
        <w:t>NUMRE)</w:t>
      </w:r>
    </w:p>
    <w:p w:rsidR="00515A85" w:rsidRPr="00F23835" w:rsidRDefault="00515A85" w:rsidP="00515A85">
      <w:pPr>
        <w:tabs>
          <w:tab w:val="left" w:pos="851"/>
          <w:tab w:val="left" w:pos="1843"/>
        </w:tabs>
        <w:ind w:left="851"/>
        <w:rPr>
          <w:sz w:val="24"/>
          <w:szCs w:val="24"/>
        </w:rPr>
      </w:pPr>
      <w:r w:rsidRPr="00F23835">
        <w:rPr>
          <w:sz w:val="24"/>
          <w:szCs w:val="24"/>
        </w:rPr>
        <w:t>12,5 mg:</w:t>
      </w:r>
      <w:r w:rsidRPr="00F23835">
        <w:rPr>
          <w:sz w:val="24"/>
          <w:szCs w:val="24"/>
        </w:rPr>
        <w:tab/>
        <w:t>61534</w:t>
      </w:r>
    </w:p>
    <w:p w:rsidR="00515A85" w:rsidRPr="00F23835" w:rsidRDefault="00515A85" w:rsidP="00515A85">
      <w:pPr>
        <w:tabs>
          <w:tab w:val="left" w:pos="851"/>
          <w:tab w:val="left" w:pos="1843"/>
        </w:tabs>
        <w:ind w:left="851"/>
        <w:rPr>
          <w:sz w:val="24"/>
          <w:szCs w:val="24"/>
        </w:rPr>
      </w:pPr>
      <w:r w:rsidRPr="00F23835">
        <w:rPr>
          <w:sz w:val="24"/>
          <w:szCs w:val="24"/>
        </w:rPr>
        <w:t>25 mg:</w:t>
      </w:r>
      <w:r w:rsidRPr="00F23835">
        <w:rPr>
          <w:sz w:val="24"/>
          <w:szCs w:val="24"/>
        </w:rPr>
        <w:tab/>
        <w:t>61535</w:t>
      </w:r>
    </w:p>
    <w:p w:rsidR="00515A85" w:rsidRPr="00F23835" w:rsidRDefault="00515A85" w:rsidP="00515A85">
      <w:pPr>
        <w:tabs>
          <w:tab w:val="left" w:pos="851"/>
          <w:tab w:val="left" w:pos="1843"/>
        </w:tabs>
        <w:ind w:left="851"/>
        <w:rPr>
          <w:sz w:val="24"/>
          <w:szCs w:val="24"/>
        </w:rPr>
      </w:pPr>
      <w:r w:rsidRPr="00F23835">
        <w:rPr>
          <w:sz w:val="24"/>
          <w:szCs w:val="24"/>
        </w:rPr>
        <w:t>37,5 mg:</w:t>
      </w:r>
      <w:r w:rsidRPr="00F23835">
        <w:rPr>
          <w:sz w:val="24"/>
          <w:szCs w:val="24"/>
        </w:rPr>
        <w:tab/>
        <w:t>61536</w:t>
      </w:r>
    </w:p>
    <w:p w:rsidR="00515A85" w:rsidRPr="00F23835" w:rsidRDefault="00515A85" w:rsidP="00515A85">
      <w:pPr>
        <w:tabs>
          <w:tab w:val="left" w:pos="851"/>
          <w:tab w:val="left" w:pos="1843"/>
        </w:tabs>
        <w:ind w:left="851"/>
        <w:rPr>
          <w:sz w:val="24"/>
          <w:szCs w:val="24"/>
        </w:rPr>
      </w:pPr>
      <w:r w:rsidRPr="00F23835">
        <w:rPr>
          <w:sz w:val="24"/>
          <w:szCs w:val="24"/>
        </w:rPr>
        <w:t>50 mg:</w:t>
      </w:r>
      <w:r w:rsidRPr="00F23835">
        <w:rPr>
          <w:sz w:val="24"/>
          <w:szCs w:val="24"/>
        </w:rPr>
        <w:tab/>
        <w:t>61537</w:t>
      </w:r>
    </w:p>
    <w:p w:rsidR="00515A85" w:rsidRPr="00F23835" w:rsidRDefault="00515A85" w:rsidP="00515A85">
      <w:pPr>
        <w:tabs>
          <w:tab w:val="left" w:pos="851"/>
        </w:tabs>
        <w:ind w:left="851"/>
        <w:jc w:val="both"/>
        <w:rPr>
          <w:sz w:val="24"/>
          <w:szCs w:val="24"/>
        </w:rPr>
      </w:pPr>
    </w:p>
    <w:p w:rsidR="00515A85" w:rsidRPr="00F23835" w:rsidRDefault="00515A85" w:rsidP="00515A85">
      <w:pPr>
        <w:tabs>
          <w:tab w:val="left" w:pos="851"/>
        </w:tabs>
        <w:ind w:left="851" w:hanging="851"/>
        <w:rPr>
          <w:b/>
          <w:sz w:val="24"/>
          <w:szCs w:val="24"/>
        </w:rPr>
      </w:pPr>
      <w:r w:rsidRPr="00F23835">
        <w:rPr>
          <w:b/>
          <w:sz w:val="24"/>
          <w:szCs w:val="24"/>
        </w:rPr>
        <w:t>9.</w:t>
      </w:r>
      <w:r w:rsidRPr="00F23835">
        <w:rPr>
          <w:b/>
          <w:sz w:val="24"/>
          <w:szCs w:val="24"/>
        </w:rPr>
        <w:tab/>
        <w:t>DATO FOR FØRSTE MARKEDSFØRINGSTILLADELSE</w:t>
      </w:r>
    </w:p>
    <w:p w:rsidR="00515A85" w:rsidRPr="00F23835" w:rsidRDefault="00515A85" w:rsidP="00515A85">
      <w:pPr>
        <w:tabs>
          <w:tab w:val="left" w:pos="851"/>
        </w:tabs>
        <w:ind w:left="851"/>
        <w:rPr>
          <w:sz w:val="24"/>
          <w:szCs w:val="24"/>
        </w:rPr>
      </w:pPr>
      <w:r w:rsidRPr="00F23835">
        <w:rPr>
          <w:sz w:val="24"/>
          <w:szCs w:val="24"/>
        </w:rPr>
        <w:t>18. marts 2019</w:t>
      </w:r>
    </w:p>
    <w:p w:rsidR="00515A85" w:rsidRPr="00F23835" w:rsidRDefault="00515A85" w:rsidP="00515A85">
      <w:pPr>
        <w:tabs>
          <w:tab w:val="left" w:pos="851"/>
        </w:tabs>
        <w:ind w:left="851"/>
        <w:rPr>
          <w:sz w:val="24"/>
          <w:szCs w:val="24"/>
        </w:rPr>
      </w:pPr>
    </w:p>
    <w:p w:rsidR="00515A85" w:rsidRPr="00F23835" w:rsidRDefault="00515A85" w:rsidP="00515A85">
      <w:pPr>
        <w:tabs>
          <w:tab w:val="left" w:pos="851"/>
        </w:tabs>
        <w:ind w:left="851" w:hanging="851"/>
        <w:rPr>
          <w:b/>
          <w:sz w:val="24"/>
          <w:szCs w:val="24"/>
        </w:rPr>
      </w:pPr>
      <w:r w:rsidRPr="00F23835">
        <w:rPr>
          <w:b/>
          <w:sz w:val="24"/>
          <w:szCs w:val="24"/>
        </w:rPr>
        <w:t>10.</w:t>
      </w:r>
      <w:r w:rsidRPr="00F23835">
        <w:rPr>
          <w:b/>
          <w:sz w:val="24"/>
          <w:szCs w:val="24"/>
        </w:rPr>
        <w:tab/>
        <w:t>DATO FOR ÆNDRING AF TEKSTEN</w:t>
      </w:r>
    </w:p>
    <w:p w:rsidR="00515A85" w:rsidRPr="00F23835" w:rsidRDefault="007C26EB" w:rsidP="00515A85">
      <w:pPr>
        <w:tabs>
          <w:tab w:val="left" w:pos="851"/>
        </w:tabs>
        <w:ind w:left="851"/>
        <w:rPr>
          <w:sz w:val="24"/>
          <w:szCs w:val="24"/>
        </w:rPr>
      </w:pPr>
      <w:r>
        <w:rPr>
          <w:sz w:val="24"/>
          <w:szCs w:val="24"/>
        </w:rPr>
        <w:t>10. november 2025</w:t>
      </w:r>
    </w:p>
    <w:p w:rsidR="00515A85" w:rsidRPr="004547EB" w:rsidRDefault="00515A85" w:rsidP="00515A85"/>
    <w:p w:rsidR="00515A85" w:rsidRPr="00061E65" w:rsidRDefault="00515A85" w:rsidP="00515A85"/>
    <w:p w:rsidR="009260DE" w:rsidRPr="00515A85" w:rsidRDefault="009260DE" w:rsidP="00515A85"/>
    <w:sectPr w:rsidR="009260DE" w:rsidRPr="00515A85"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2879" w:rsidRDefault="00382879">
      <w:r>
        <w:separator/>
      </w:r>
    </w:p>
  </w:endnote>
  <w:endnote w:type="continuationSeparator" w:id="0">
    <w:p w:rsidR="00382879" w:rsidRDefault="00382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Yu Gothic"/>
    <w:panose1 w:val="00000000000000000000"/>
    <w:charset w:val="80"/>
    <w:family w:val="auto"/>
    <w:notTrueType/>
    <w:pitch w:val="default"/>
    <w:sig w:usb0="00000083" w:usb1="08070000" w:usb2="00000010" w:usb3="00000000" w:csb0="0002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879" w:rsidRDefault="00382879">
    <w:pPr>
      <w:pStyle w:val="Sidefod"/>
      <w:pBdr>
        <w:bottom w:val="single" w:sz="6" w:space="1" w:color="auto"/>
      </w:pBdr>
    </w:pPr>
  </w:p>
  <w:p w:rsidR="00382879" w:rsidRDefault="00382879" w:rsidP="00C42586">
    <w:pPr>
      <w:pStyle w:val="Sidefod"/>
      <w:tabs>
        <w:tab w:val="clear" w:pos="4819"/>
        <w:tab w:val="left" w:pos="8505"/>
      </w:tabs>
      <w:rPr>
        <w:i/>
        <w:sz w:val="18"/>
        <w:szCs w:val="18"/>
      </w:rPr>
    </w:pPr>
  </w:p>
  <w:p w:rsidR="00382879" w:rsidRPr="00B373D7" w:rsidRDefault="007C26EB" w:rsidP="00C42586">
    <w:pPr>
      <w:pStyle w:val="Sidefod"/>
      <w:tabs>
        <w:tab w:val="clear" w:pos="4819"/>
        <w:tab w:val="left" w:pos="8505"/>
      </w:tabs>
      <w:rPr>
        <w:i/>
        <w:sz w:val="18"/>
        <w:szCs w:val="18"/>
      </w:rPr>
    </w:pPr>
    <w:r w:rsidRPr="007C26EB">
      <w:rPr>
        <w:i/>
        <w:sz w:val="18"/>
        <w:szCs w:val="18"/>
      </w:rPr>
      <w:t>Sunitinib Viatris, hårde kapsler 12,5 mg, 25 mg, 37,5 mg og 50 mg</w:t>
    </w:r>
    <w:r w:rsidR="00382879" w:rsidRPr="00B373D7">
      <w:rPr>
        <w:i/>
        <w:sz w:val="18"/>
        <w:szCs w:val="18"/>
      </w:rPr>
      <w:tab/>
      <w:t xml:space="preserve">Side </w:t>
    </w:r>
    <w:r w:rsidR="00382879" w:rsidRPr="00B373D7">
      <w:rPr>
        <w:rStyle w:val="Sidetal"/>
        <w:i/>
        <w:sz w:val="18"/>
        <w:szCs w:val="18"/>
      </w:rPr>
      <w:fldChar w:fldCharType="begin"/>
    </w:r>
    <w:r w:rsidR="00382879" w:rsidRPr="00B373D7">
      <w:rPr>
        <w:rStyle w:val="Sidetal"/>
        <w:i/>
        <w:sz w:val="18"/>
        <w:szCs w:val="18"/>
      </w:rPr>
      <w:instrText xml:space="preserve"> PAGE </w:instrText>
    </w:r>
    <w:r w:rsidR="00382879" w:rsidRPr="00B373D7">
      <w:rPr>
        <w:rStyle w:val="Sidetal"/>
        <w:i/>
        <w:sz w:val="18"/>
        <w:szCs w:val="18"/>
      </w:rPr>
      <w:fldChar w:fldCharType="separate"/>
    </w:r>
    <w:r w:rsidR="00382879">
      <w:rPr>
        <w:rStyle w:val="Sidetal"/>
        <w:i/>
        <w:noProof/>
        <w:sz w:val="18"/>
        <w:szCs w:val="18"/>
      </w:rPr>
      <w:t>3</w:t>
    </w:r>
    <w:r w:rsidR="00382879" w:rsidRPr="00B373D7">
      <w:rPr>
        <w:rStyle w:val="Sidetal"/>
        <w:i/>
        <w:sz w:val="18"/>
        <w:szCs w:val="18"/>
      </w:rPr>
      <w:fldChar w:fldCharType="end"/>
    </w:r>
    <w:r w:rsidR="00382879" w:rsidRPr="00B373D7">
      <w:rPr>
        <w:rStyle w:val="Sidetal"/>
        <w:i/>
        <w:sz w:val="18"/>
        <w:szCs w:val="18"/>
      </w:rPr>
      <w:t xml:space="preserve"> af </w:t>
    </w:r>
    <w:r w:rsidR="00382879" w:rsidRPr="00B373D7">
      <w:rPr>
        <w:rStyle w:val="Sidetal"/>
        <w:i/>
        <w:sz w:val="18"/>
        <w:szCs w:val="18"/>
      </w:rPr>
      <w:fldChar w:fldCharType="begin"/>
    </w:r>
    <w:r w:rsidR="00382879" w:rsidRPr="00B373D7">
      <w:rPr>
        <w:rStyle w:val="Sidetal"/>
        <w:i/>
        <w:sz w:val="18"/>
        <w:szCs w:val="18"/>
      </w:rPr>
      <w:instrText xml:space="preserve"> NUMPAGES </w:instrText>
    </w:r>
    <w:r w:rsidR="00382879" w:rsidRPr="00B373D7">
      <w:rPr>
        <w:rStyle w:val="Sidetal"/>
        <w:i/>
        <w:sz w:val="18"/>
        <w:szCs w:val="18"/>
      </w:rPr>
      <w:fldChar w:fldCharType="separate"/>
    </w:r>
    <w:r w:rsidR="00382879">
      <w:rPr>
        <w:rStyle w:val="Sidetal"/>
        <w:i/>
        <w:noProof/>
        <w:sz w:val="18"/>
        <w:szCs w:val="18"/>
      </w:rPr>
      <w:t>3</w:t>
    </w:r>
    <w:r w:rsidR="00382879"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2879" w:rsidRDefault="00382879">
      <w:r>
        <w:separator/>
      </w:r>
    </w:p>
  </w:footnote>
  <w:footnote w:type="continuationSeparator" w:id="0">
    <w:p w:rsidR="00382879" w:rsidRDefault="00382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85"/>
    <w:rsid w:val="000259B9"/>
    <w:rsid w:val="00041491"/>
    <w:rsid w:val="00050D16"/>
    <w:rsid w:val="00060C7C"/>
    <w:rsid w:val="00061CA7"/>
    <w:rsid w:val="00074F2A"/>
    <w:rsid w:val="000A1CA8"/>
    <w:rsid w:val="000A466B"/>
    <w:rsid w:val="000B058C"/>
    <w:rsid w:val="000E4EE6"/>
    <w:rsid w:val="001454E2"/>
    <w:rsid w:val="00186A2B"/>
    <w:rsid w:val="001E2A0D"/>
    <w:rsid w:val="00206CE8"/>
    <w:rsid w:val="0021526C"/>
    <w:rsid w:val="00283A2B"/>
    <w:rsid w:val="002A0948"/>
    <w:rsid w:val="002B069F"/>
    <w:rsid w:val="002B30AD"/>
    <w:rsid w:val="002C2C01"/>
    <w:rsid w:val="002F6BAF"/>
    <w:rsid w:val="00355123"/>
    <w:rsid w:val="00382879"/>
    <w:rsid w:val="003A29AE"/>
    <w:rsid w:val="003A32D7"/>
    <w:rsid w:val="003B4074"/>
    <w:rsid w:val="003B7610"/>
    <w:rsid w:val="003C769A"/>
    <w:rsid w:val="003F1838"/>
    <w:rsid w:val="0045746C"/>
    <w:rsid w:val="0049104B"/>
    <w:rsid w:val="004E3B12"/>
    <w:rsid w:val="00515A85"/>
    <w:rsid w:val="005245AF"/>
    <w:rsid w:val="00532310"/>
    <w:rsid w:val="00560ECC"/>
    <w:rsid w:val="00565F0F"/>
    <w:rsid w:val="00586364"/>
    <w:rsid w:val="00594A86"/>
    <w:rsid w:val="00596D86"/>
    <w:rsid w:val="00637F5A"/>
    <w:rsid w:val="006560B1"/>
    <w:rsid w:val="006674CF"/>
    <w:rsid w:val="006756DD"/>
    <w:rsid w:val="00724999"/>
    <w:rsid w:val="00737275"/>
    <w:rsid w:val="00740EEC"/>
    <w:rsid w:val="007506ED"/>
    <w:rsid w:val="0078011A"/>
    <w:rsid w:val="00782AF4"/>
    <w:rsid w:val="00790EE7"/>
    <w:rsid w:val="007B6649"/>
    <w:rsid w:val="007C26EB"/>
    <w:rsid w:val="007C755E"/>
    <w:rsid w:val="0081546F"/>
    <w:rsid w:val="008252D8"/>
    <w:rsid w:val="0082576E"/>
    <w:rsid w:val="00907F75"/>
    <w:rsid w:val="009260DE"/>
    <w:rsid w:val="0093258A"/>
    <w:rsid w:val="00966528"/>
    <w:rsid w:val="009B6BD9"/>
    <w:rsid w:val="009C7BA3"/>
    <w:rsid w:val="009D118A"/>
    <w:rsid w:val="009D1F5A"/>
    <w:rsid w:val="00AD4450"/>
    <w:rsid w:val="00B003BF"/>
    <w:rsid w:val="00B04711"/>
    <w:rsid w:val="00B373D7"/>
    <w:rsid w:val="00B77460"/>
    <w:rsid w:val="00BB2C21"/>
    <w:rsid w:val="00BE1049"/>
    <w:rsid w:val="00C36276"/>
    <w:rsid w:val="00C42586"/>
    <w:rsid w:val="00C60CCD"/>
    <w:rsid w:val="00C7029F"/>
    <w:rsid w:val="00C84483"/>
    <w:rsid w:val="00C95551"/>
    <w:rsid w:val="00CB20D7"/>
    <w:rsid w:val="00CD2A89"/>
    <w:rsid w:val="00D020B0"/>
    <w:rsid w:val="00D11748"/>
    <w:rsid w:val="00D366CF"/>
    <w:rsid w:val="00E108AA"/>
    <w:rsid w:val="00E31812"/>
    <w:rsid w:val="00E3749A"/>
    <w:rsid w:val="00E7437F"/>
    <w:rsid w:val="00E865B8"/>
    <w:rsid w:val="00EB4F07"/>
    <w:rsid w:val="00EC0B9B"/>
    <w:rsid w:val="00EC4203"/>
    <w:rsid w:val="00ED5E9F"/>
    <w:rsid w:val="00F23835"/>
    <w:rsid w:val="00F66D4F"/>
    <w:rsid w:val="00FA54E1"/>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6F535"/>
  <w15:chartTrackingRefBased/>
  <w15:docId w15:val="{7A9C516D-3399-4508-80FD-5AD3D1C9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Pladsholdertekst">
    <w:name w:val="Placeholder Text"/>
    <w:basedOn w:val="Standardskrifttypeiafsnit"/>
    <w:uiPriority w:val="99"/>
    <w:semiHidden/>
    <w:rsid w:val="00515A85"/>
    <w:rPr>
      <w:color w:val="808080"/>
    </w:rPr>
  </w:style>
  <w:style w:type="paragraph" w:styleId="Brdtekst">
    <w:name w:val="Body Text"/>
    <w:basedOn w:val="Normal"/>
    <w:link w:val="BrdtekstTegn"/>
    <w:uiPriority w:val="1"/>
    <w:unhideWhenUsed/>
    <w:qFormat/>
    <w:rsid w:val="00515A85"/>
    <w:pPr>
      <w:widowControl w:val="0"/>
      <w:autoSpaceDE w:val="0"/>
      <w:autoSpaceDN w:val="0"/>
    </w:pPr>
    <w:rPr>
      <w:sz w:val="22"/>
      <w:szCs w:val="22"/>
      <w:lang w:val="en-US"/>
    </w:rPr>
  </w:style>
  <w:style w:type="character" w:customStyle="1" w:styleId="BrdtekstTegn">
    <w:name w:val="Brødtekst Tegn"/>
    <w:basedOn w:val="Standardskrifttypeiafsnit"/>
    <w:link w:val="Brdtekst"/>
    <w:uiPriority w:val="1"/>
    <w:rsid w:val="00515A85"/>
    <w:rPr>
      <w:sz w:val="22"/>
      <w:szCs w:val="22"/>
      <w:lang w:val="en-US" w:eastAsia="en-US"/>
    </w:rPr>
  </w:style>
  <w:style w:type="character" w:styleId="Hyperlink">
    <w:name w:val="Hyperlink"/>
    <w:basedOn w:val="Standardskrifttypeiafsnit"/>
    <w:uiPriority w:val="99"/>
    <w:unhideWhenUsed/>
    <w:rsid w:val="00515A85"/>
    <w:rPr>
      <w:color w:val="0563C1" w:themeColor="hyperlink"/>
      <w:u w:val="single"/>
    </w:rPr>
  </w:style>
  <w:style w:type="paragraph" w:customStyle="1" w:styleId="LMSBrdtekst">
    <w:name w:val="LMSBrødtekst"/>
    <w:rsid w:val="008252D8"/>
    <w:rPr>
      <w:sz w:val="23"/>
      <w:szCs w:val="23"/>
      <w:lang w:eastAsia="en-US"/>
    </w:rPr>
  </w:style>
  <w:style w:type="paragraph" w:customStyle="1" w:styleId="LMSMargentekst">
    <w:name w:val="LMSMargentekst"/>
    <w:basedOn w:val="LMSBrdtekst"/>
    <w:rsid w:val="008252D8"/>
    <w:pPr>
      <w:spacing w:line="312" w:lineRule="auto"/>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5065">
      <w:bodyDiv w:val="1"/>
      <w:marLeft w:val="0"/>
      <w:marRight w:val="0"/>
      <w:marTop w:val="0"/>
      <w:marBottom w:val="0"/>
      <w:divBdr>
        <w:top w:val="none" w:sz="0" w:space="0" w:color="auto"/>
        <w:left w:val="none" w:sz="0" w:space="0" w:color="auto"/>
        <w:bottom w:val="none" w:sz="0" w:space="0" w:color="auto"/>
        <w:right w:val="none" w:sz="0" w:space="0" w:color="auto"/>
      </w:divBdr>
    </w:div>
    <w:div w:id="32271036">
      <w:bodyDiv w:val="1"/>
      <w:marLeft w:val="0"/>
      <w:marRight w:val="0"/>
      <w:marTop w:val="0"/>
      <w:marBottom w:val="0"/>
      <w:divBdr>
        <w:top w:val="none" w:sz="0" w:space="0" w:color="auto"/>
        <w:left w:val="none" w:sz="0" w:space="0" w:color="auto"/>
        <w:bottom w:val="none" w:sz="0" w:space="0" w:color="auto"/>
        <w:right w:val="none" w:sz="0" w:space="0" w:color="auto"/>
      </w:divBdr>
    </w:div>
    <w:div w:id="67583272">
      <w:bodyDiv w:val="1"/>
      <w:marLeft w:val="0"/>
      <w:marRight w:val="0"/>
      <w:marTop w:val="0"/>
      <w:marBottom w:val="0"/>
      <w:divBdr>
        <w:top w:val="none" w:sz="0" w:space="0" w:color="auto"/>
        <w:left w:val="none" w:sz="0" w:space="0" w:color="auto"/>
        <w:bottom w:val="none" w:sz="0" w:space="0" w:color="auto"/>
        <w:right w:val="none" w:sz="0" w:space="0" w:color="auto"/>
      </w:divBdr>
    </w:div>
    <w:div w:id="67924147">
      <w:bodyDiv w:val="1"/>
      <w:marLeft w:val="0"/>
      <w:marRight w:val="0"/>
      <w:marTop w:val="0"/>
      <w:marBottom w:val="0"/>
      <w:divBdr>
        <w:top w:val="none" w:sz="0" w:space="0" w:color="auto"/>
        <w:left w:val="none" w:sz="0" w:space="0" w:color="auto"/>
        <w:bottom w:val="none" w:sz="0" w:space="0" w:color="auto"/>
        <w:right w:val="none" w:sz="0" w:space="0" w:color="auto"/>
      </w:divBdr>
    </w:div>
    <w:div w:id="114255215">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438334440">
      <w:bodyDiv w:val="1"/>
      <w:marLeft w:val="0"/>
      <w:marRight w:val="0"/>
      <w:marTop w:val="0"/>
      <w:marBottom w:val="0"/>
      <w:divBdr>
        <w:top w:val="none" w:sz="0" w:space="0" w:color="auto"/>
        <w:left w:val="none" w:sz="0" w:space="0" w:color="auto"/>
        <w:bottom w:val="none" w:sz="0" w:space="0" w:color="auto"/>
        <w:right w:val="none" w:sz="0" w:space="0" w:color="auto"/>
      </w:divBdr>
    </w:div>
    <w:div w:id="566762856">
      <w:bodyDiv w:val="1"/>
      <w:marLeft w:val="0"/>
      <w:marRight w:val="0"/>
      <w:marTop w:val="0"/>
      <w:marBottom w:val="0"/>
      <w:divBdr>
        <w:top w:val="none" w:sz="0" w:space="0" w:color="auto"/>
        <w:left w:val="none" w:sz="0" w:space="0" w:color="auto"/>
        <w:bottom w:val="none" w:sz="0" w:space="0" w:color="auto"/>
        <w:right w:val="none" w:sz="0" w:space="0" w:color="auto"/>
      </w:divBdr>
    </w:div>
    <w:div w:id="786046962">
      <w:bodyDiv w:val="1"/>
      <w:marLeft w:val="0"/>
      <w:marRight w:val="0"/>
      <w:marTop w:val="0"/>
      <w:marBottom w:val="0"/>
      <w:divBdr>
        <w:top w:val="none" w:sz="0" w:space="0" w:color="auto"/>
        <w:left w:val="none" w:sz="0" w:space="0" w:color="auto"/>
        <w:bottom w:val="none" w:sz="0" w:space="0" w:color="auto"/>
        <w:right w:val="none" w:sz="0" w:space="0" w:color="auto"/>
      </w:divBdr>
    </w:div>
    <w:div w:id="1030691915">
      <w:bodyDiv w:val="1"/>
      <w:marLeft w:val="0"/>
      <w:marRight w:val="0"/>
      <w:marTop w:val="0"/>
      <w:marBottom w:val="0"/>
      <w:divBdr>
        <w:top w:val="none" w:sz="0" w:space="0" w:color="auto"/>
        <w:left w:val="none" w:sz="0" w:space="0" w:color="auto"/>
        <w:bottom w:val="none" w:sz="0" w:space="0" w:color="auto"/>
        <w:right w:val="none" w:sz="0" w:space="0" w:color="auto"/>
      </w:divBdr>
    </w:div>
    <w:div w:id="1039629839">
      <w:bodyDiv w:val="1"/>
      <w:marLeft w:val="0"/>
      <w:marRight w:val="0"/>
      <w:marTop w:val="0"/>
      <w:marBottom w:val="0"/>
      <w:divBdr>
        <w:top w:val="none" w:sz="0" w:space="0" w:color="auto"/>
        <w:left w:val="none" w:sz="0" w:space="0" w:color="auto"/>
        <w:bottom w:val="none" w:sz="0" w:space="0" w:color="auto"/>
        <w:right w:val="none" w:sz="0" w:space="0" w:color="auto"/>
      </w:divBdr>
    </w:div>
    <w:div w:id="1127241400">
      <w:bodyDiv w:val="1"/>
      <w:marLeft w:val="0"/>
      <w:marRight w:val="0"/>
      <w:marTop w:val="0"/>
      <w:marBottom w:val="0"/>
      <w:divBdr>
        <w:top w:val="none" w:sz="0" w:space="0" w:color="auto"/>
        <w:left w:val="none" w:sz="0" w:space="0" w:color="auto"/>
        <w:bottom w:val="none" w:sz="0" w:space="0" w:color="auto"/>
        <w:right w:val="none" w:sz="0" w:space="0" w:color="auto"/>
      </w:divBdr>
    </w:div>
    <w:div w:id="1165974619">
      <w:bodyDiv w:val="1"/>
      <w:marLeft w:val="0"/>
      <w:marRight w:val="0"/>
      <w:marTop w:val="0"/>
      <w:marBottom w:val="0"/>
      <w:divBdr>
        <w:top w:val="none" w:sz="0" w:space="0" w:color="auto"/>
        <w:left w:val="none" w:sz="0" w:space="0" w:color="auto"/>
        <w:bottom w:val="none" w:sz="0" w:space="0" w:color="auto"/>
        <w:right w:val="none" w:sz="0" w:space="0" w:color="auto"/>
      </w:divBdr>
    </w:div>
    <w:div w:id="1186872627">
      <w:bodyDiv w:val="1"/>
      <w:marLeft w:val="0"/>
      <w:marRight w:val="0"/>
      <w:marTop w:val="0"/>
      <w:marBottom w:val="0"/>
      <w:divBdr>
        <w:top w:val="none" w:sz="0" w:space="0" w:color="auto"/>
        <w:left w:val="none" w:sz="0" w:space="0" w:color="auto"/>
        <w:bottom w:val="none" w:sz="0" w:space="0" w:color="auto"/>
        <w:right w:val="none" w:sz="0" w:space="0" w:color="auto"/>
      </w:divBdr>
    </w:div>
    <w:div w:id="142776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34</Pages>
  <Words>11709</Words>
  <Characters>74036</Characters>
  <Application>Microsoft Office Word</Application>
  <DocSecurity>0</DocSecurity>
  <Lines>616</Lines>
  <Paragraphs>171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Ott Jensen</dc:creator>
  <cp:keywords/>
  <dc:description>2025031826+2025024040_x000d_
Skift af MAH fra Mylan AB samt ændring af præparatnavnet fra "Mylan"</dc:description>
  <cp:lastModifiedBy>Marianne Ott Jensen</cp:lastModifiedBy>
  <cp:revision>4</cp:revision>
  <cp:lastPrinted>2012-08-22T08:53:00Z</cp:lastPrinted>
  <dcterms:created xsi:type="dcterms:W3CDTF">2025-11-07T12:11:00Z</dcterms:created>
  <dcterms:modified xsi:type="dcterms:W3CDTF">2025-11-07T12:16:00Z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