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F61E4C" w:rsidRDefault="0021526C" w:rsidP="009260DE">
      <w:pPr>
        <w:rPr>
          <w:sz w:val="24"/>
          <w:szCs w:val="24"/>
        </w:rPr>
      </w:pPr>
      <w:r w:rsidRPr="00F61E4C">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61E4C">
        <w:rPr>
          <w:sz w:val="24"/>
          <w:szCs w:val="24"/>
        </w:rPr>
        <w:br w:type="textWrapping" w:clear="all"/>
      </w:r>
    </w:p>
    <w:p w:rsidR="009260DE" w:rsidRPr="00F61E4C" w:rsidRDefault="00D87A05" w:rsidP="00195211">
      <w:pPr>
        <w:pStyle w:val="Titel"/>
        <w:tabs>
          <w:tab w:val="right" w:pos="9356"/>
        </w:tabs>
        <w:jc w:val="right"/>
        <w:rPr>
          <w:szCs w:val="24"/>
          <w:lang w:eastAsia="en-US"/>
        </w:rPr>
      </w:pPr>
      <w:r>
        <w:rPr>
          <w:szCs w:val="24"/>
          <w:lang w:eastAsia="en-US"/>
        </w:rPr>
        <w:t>14</w:t>
      </w:r>
      <w:r w:rsidR="00326390">
        <w:rPr>
          <w:szCs w:val="24"/>
          <w:lang w:eastAsia="en-US"/>
        </w:rPr>
        <w:t xml:space="preserve">. </w:t>
      </w:r>
      <w:r>
        <w:rPr>
          <w:szCs w:val="24"/>
          <w:lang w:eastAsia="en-US"/>
        </w:rPr>
        <w:t>december</w:t>
      </w:r>
      <w:r w:rsidR="00326390">
        <w:rPr>
          <w:szCs w:val="24"/>
          <w:lang w:eastAsia="en-US"/>
        </w:rPr>
        <w:t xml:space="preserve"> 202</w:t>
      </w:r>
      <w:r>
        <w:rPr>
          <w:szCs w:val="24"/>
          <w:lang w:eastAsia="en-US"/>
        </w:rPr>
        <w:t>3</w:t>
      </w:r>
    </w:p>
    <w:p w:rsidR="009260DE" w:rsidRPr="00F61E4C" w:rsidRDefault="009260DE" w:rsidP="009260DE">
      <w:pPr>
        <w:pStyle w:val="Titel"/>
        <w:tabs>
          <w:tab w:val="left" w:pos="8222"/>
        </w:tabs>
        <w:jc w:val="left"/>
        <w:rPr>
          <w:b w:val="0"/>
          <w:szCs w:val="24"/>
        </w:rPr>
      </w:pPr>
      <w:bookmarkStart w:id="0" w:name="_GoBack"/>
      <w:bookmarkEnd w:id="0"/>
    </w:p>
    <w:p w:rsidR="00C531C6" w:rsidRPr="00F61E4C" w:rsidRDefault="00C531C6" w:rsidP="009260DE">
      <w:pPr>
        <w:pStyle w:val="Titel"/>
        <w:jc w:val="left"/>
        <w:rPr>
          <w:b w:val="0"/>
          <w:szCs w:val="24"/>
        </w:rPr>
      </w:pPr>
    </w:p>
    <w:p w:rsidR="009260DE" w:rsidRPr="00F61E4C" w:rsidRDefault="009260DE" w:rsidP="009260DE">
      <w:pPr>
        <w:pStyle w:val="Titel"/>
        <w:jc w:val="left"/>
        <w:rPr>
          <w:b w:val="0"/>
          <w:szCs w:val="24"/>
        </w:rPr>
      </w:pPr>
    </w:p>
    <w:p w:rsidR="009260DE" w:rsidRPr="00F61E4C" w:rsidRDefault="009260DE" w:rsidP="009260DE">
      <w:pPr>
        <w:jc w:val="center"/>
        <w:rPr>
          <w:b/>
          <w:sz w:val="24"/>
          <w:szCs w:val="24"/>
        </w:rPr>
      </w:pPr>
      <w:r w:rsidRPr="00F61E4C">
        <w:rPr>
          <w:b/>
          <w:sz w:val="24"/>
          <w:szCs w:val="24"/>
        </w:rPr>
        <w:t>PRODUKTRESUMÉ</w:t>
      </w:r>
    </w:p>
    <w:p w:rsidR="009260DE" w:rsidRPr="00F61E4C" w:rsidRDefault="009260DE" w:rsidP="00974C7D">
      <w:pPr>
        <w:rPr>
          <w:b/>
          <w:sz w:val="24"/>
          <w:szCs w:val="24"/>
        </w:rPr>
      </w:pPr>
    </w:p>
    <w:p w:rsidR="009260DE" w:rsidRPr="00F61E4C" w:rsidRDefault="009260DE" w:rsidP="009260DE">
      <w:pPr>
        <w:jc w:val="center"/>
        <w:rPr>
          <w:b/>
          <w:sz w:val="24"/>
          <w:szCs w:val="24"/>
        </w:rPr>
      </w:pPr>
      <w:r w:rsidRPr="00F61E4C">
        <w:rPr>
          <w:b/>
          <w:sz w:val="24"/>
          <w:szCs w:val="24"/>
        </w:rPr>
        <w:t>for</w:t>
      </w:r>
    </w:p>
    <w:p w:rsidR="000B058C" w:rsidRPr="00F61E4C" w:rsidRDefault="000B058C" w:rsidP="009260DE">
      <w:pPr>
        <w:jc w:val="center"/>
        <w:rPr>
          <w:b/>
          <w:sz w:val="24"/>
          <w:szCs w:val="24"/>
        </w:rPr>
      </w:pPr>
    </w:p>
    <w:p w:rsidR="009260DE" w:rsidRPr="00F61E4C" w:rsidRDefault="00E75738" w:rsidP="009260DE">
      <w:pPr>
        <w:jc w:val="center"/>
        <w:rPr>
          <w:b/>
          <w:sz w:val="24"/>
          <w:szCs w:val="24"/>
        </w:rPr>
      </w:pPr>
      <w:proofErr w:type="spellStart"/>
      <w:r w:rsidRPr="00F61E4C">
        <w:rPr>
          <w:b/>
          <w:sz w:val="24"/>
          <w:szCs w:val="24"/>
        </w:rPr>
        <w:t>Symbicort</w:t>
      </w:r>
      <w:proofErr w:type="spellEnd"/>
      <w:r w:rsidRPr="00F61E4C">
        <w:rPr>
          <w:b/>
          <w:sz w:val="24"/>
          <w:szCs w:val="24"/>
        </w:rPr>
        <w:t>, inhalationsspray, suspension</w:t>
      </w:r>
      <w:r w:rsidR="009F36BF" w:rsidRPr="00F61E4C">
        <w:rPr>
          <w:b/>
          <w:sz w:val="24"/>
          <w:szCs w:val="24"/>
        </w:rPr>
        <w:t xml:space="preserve"> </w:t>
      </w:r>
      <w:r w:rsidR="00807B3D" w:rsidRPr="00F61E4C">
        <w:rPr>
          <w:b/>
          <w:sz w:val="24"/>
          <w:szCs w:val="24"/>
        </w:rPr>
        <w:t xml:space="preserve">80+2,25 </w:t>
      </w:r>
      <w:proofErr w:type="spellStart"/>
      <w:r w:rsidR="00807B3D" w:rsidRPr="00F61E4C">
        <w:rPr>
          <w:b/>
          <w:sz w:val="24"/>
          <w:szCs w:val="24"/>
        </w:rPr>
        <w:t>mikrog</w:t>
      </w:r>
      <w:proofErr w:type="spellEnd"/>
      <w:r w:rsidR="00807B3D" w:rsidRPr="00F61E4C">
        <w:rPr>
          <w:b/>
          <w:sz w:val="24"/>
          <w:szCs w:val="24"/>
        </w:rPr>
        <w:t>/dosis</w:t>
      </w:r>
    </w:p>
    <w:p w:rsidR="009260DE" w:rsidRPr="00F61E4C" w:rsidRDefault="009260DE" w:rsidP="009260DE">
      <w:pPr>
        <w:jc w:val="both"/>
        <w:rPr>
          <w:sz w:val="24"/>
          <w:szCs w:val="24"/>
        </w:rPr>
      </w:pPr>
    </w:p>
    <w:p w:rsidR="009260DE" w:rsidRPr="00F61E4C" w:rsidRDefault="009260DE" w:rsidP="009260DE">
      <w:pPr>
        <w:jc w:val="both"/>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0.</w:t>
      </w:r>
      <w:r w:rsidRPr="00F61E4C">
        <w:rPr>
          <w:b/>
          <w:sz w:val="24"/>
          <w:szCs w:val="24"/>
        </w:rPr>
        <w:tab/>
        <w:t>D.SP.NR.</w:t>
      </w:r>
    </w:p>
    <w:p w:rsidR="009260DE" w:rsidRPr="00F61E4C" w:rsidRDefault="009F36BF" w:rsidP="009260DE">
      <w:pPr>
        <w:tabs>
          <w:tab w:val="left" w:pos="851"/>
        </w:tabs>
        <w:ind w:left="851"/>
        <w:rPr>
          <w:sz w:val="24"/>
          <w:szCs w:val="24"/>
        </w:rPr>
      </w:pPr>
      <w:r w:rsidRPr="00F61E4C">
        <w:rPr>
          <w:sz w:val="24"/>
          <w:szCs w:val="24"/>
        </w:rPr>
        <w:t>20540</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1.</w:t>
      </w:r>
      <w:r w:rsidRPr="00F61E4C">
        <w:rPr>
          <w:b/>
          <w:sz w:val="24"/>
          <w:szCs w:val="24"/>
        </w:rPr>
        <w:tab/>
        <w:t>LÆGEMIDLETS NAVN</w:t>
      </w:r>
    </w:p>
    <w:p w:rsidR="009260DE" w:rsidRPr="00F61E4C" w:rsidRDefault="009F36BF" w:rsidP="009260DE">
      <w:pPr>
        <w:tabs>
          <w:tab w:val="left" w:pos="851"/>
        </w:tabs>
        <w:ind w:left="851"/>
        <w:rPr>
          <w:sz w:val="24"/>
          <w:szCs w:val="24"/>
        </w:rPr>
      </w:pPr>
      <w:proofErr w:type="spellStart"/>
      <w:r w:rsidRPr="00F61E4C">
        <w:rPr>
          <w:sz w:val="24"/>
          <w:szCs w:val="24"/>
        </w:rPr>
        <w:t>Symbicort</w:t>
      </w:r>
      <w:proofErr w:type="spellEnd"/>
    </w:p>
    <w:p w:rsidR="009F36BF" w:rsidRPr="00F61E4C" w:rsidRDefault="009F36BF"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2.</w:t>
      </w:r>
      <w:r w:rsidRPr="00F61E4C">
        <w:rPr>
          <w:b/>
          <w:sz w:val="24"/>
          <w:szCs w:val="24"/>
        </w:rPr>
        <w:tab/>
        <w:t>KVALITATIV OG KVANTITATIV SAMMENSÆTNING</w:t>
      </w:r>
    </w:p>
    <w:p w:rsidR="009F36BF" w:rsidRPr="00F61E4C" w:rsidRDefault="009F36BF" w:rsidP="009F36BF">
      <w:pPr>
        <w:tabs>
          <w:tab w:val="left" w:pos="851"/>
        </w:tabs>
        <w:ind w:left="851"/>
        <w:rPr>
          <w:sz w:val="24"/>
          <w:szCs w:val="24"/>
        </w:rPr>
      </w:pPr>
      <w:r w:rsidRPr="00F61E4C">
        <w:rPr>
          <w:sz w:val="24"/>
          <w:szCs w:val="24"/>
        </w:rPr>
        <w:t xml:space="preserve">Hver afgivet dosis (efter tryk) indeholder 80 mikrogram </w:t>
      </w:r>
      <w:proofErr w:type="spellStart"/>
      <w:r w:rsidRPr="00F61E4C">
        <w:rPr>
          <w:sz w:val="24"/>
          <w:szCs w:val="24"/>
        </w:rPr>
        <w:t>budesonid</w:t>
      </w:r>
      <w:proofErr w:type="spellEnd"/>
      <w:r w:rsidRPr="00F61E4C">
        <w:rPr>
          <w:sz w:val="24"/>
          <w:szCs w:val="24"/>
        </w:rPr>
        <w:t xml:space="preserve"> pr. tryk og 2,25 mikrogram </w:t>
      </w:r>
      <w:proofErr w:type="spellStart"/>
      <w:r w:rsidRPr="00F61E4C">
        <w:rPr>
          <w:sz w:val="24"/>
          <w:szCs w:val="24"/>
        </w:rPr>
        <w:t>formoterolfumaratdihydrat</w:t>
      </w:r>
      <w:proofErr w:type="spellEnd"/>
      <w:r w:rsidRPr="00F61E4C">
        <w:rPr>
          <w:sz w:val="24"/>
          <w:szCs w:val="24"/>
        </w:rPr>
        <w:t xml:space="preserve"> pr. tryk. </w:t>
      </w:r>
    </w:p>
    <w:p w:rsidR="009F36BF" w:rsidRPr="00F61E4C" w:rsidRDefault="009F36BF" w:rsidP="009F36BF">
      <w:pPr>
        <w:tabs>
          <w:tab w:val="left" w:pos="851"/>
        </w:tabs>
        <w:ind w:left="851"/>
        <w:rPr>
          <w:sz w:val="24"/>
          <w:szCs w:val="24"/>
        </w:rPr>
      </w:pPr>
    </w:p>
    <w:p w:rsidR="009F36BF" w:rsidRPr="00F61E4C" w:rsidRDefault="009F36BF" w:rsidP="009F36BF">
      <w:pPr>
        <w:tabs>
          <w:tab w:val="left" w:pos="851"/>
        </w:tabs>
        <w:ind w:left="851"/>
        <w:rPr>
          <w:sz w:val="24"/>
          <w:szCs w:val="24"/>
        </w:rPr>
      </w:pPr>
      <w:r w:rsidRPr="00F61E4C">
        <w:rPr>
          <w:sz w:val="24"/>
          <w:szCs w:val="24"/>
        </w:rPr>
        <w:t xml:space="preserve">Dette svarer til en afmålt dosis indeholdende 100 mikrogram </w:t>
      </w:r>
      <w:proofErr w:type="spellStart"/>
      <w:r w:rsidRPr="00F61E4C">
        <w:rPr>
          <w:sz w:val="24"/>
          <w:szCs w:val="24"/>
        </w:rPr>
        <w:t>budesonid</w:t>
      </w:r>
      <w:proofErr w:type="spellEnd"/>
      <w:r w:rsidRPr="00F61E4C">
        <w:rPr>
          <w:sz w:val="24"/>
          <w:szCs w:val="24"/>
        </w:rPr>
        <w:t xml:space="preserve"> pr. tryk og 3 mikrogram </w:t>
      </w:r>
      <w:proofErr w:type="spellStart"/>
      <w:r w:rsidRPr="00F61E4C">
        <w:rPr>
          <w:sz w:val="24"/>
          <w:szCs w:val="24"/>
        </w:rPr>
        <w:t>formoterolfumaratdihydrat</w:t>
      </w:r>
      <w:proofErr w:type="spellEnd"/>
      <w:r w:rsidRPr="00F61E4C">
        <w:rPr>
          <w:sz w:val="24"/>
          <w:szCs w:val="24"/>
        </w:rPr>
        <w:t xml:space="preserve"> pr. tryk</w:t>
      </w:r>
      <w:r w:rsidR="00FD2890" w:rsidRPr="00F61E4C">
        <w:rPr>
          <w:sz w:val="24"/>
          <w:szCs w:val="24"/>
        </w:rPr>
        <w:t>.</w:t>
      </w:r>
    </w:p>
    <w:p w:rsidR="009F36BF" w:rsidRPr="00F61E4C" w:rsidRDefault="009F36BF" w:rsidP="009F36BF">
      <w:pPr>
        <w:tabs>
          <w:tab w:val="left" w:pos="851"/>
        </w:tabs>
        <w:ind w:left="851"/>
        <w:rPr>
          <w:sz w:val="24"/>
          <w:szCs w:val="24"/>
        </w:rPr>
      </w:pPr>
    </w:p>
    <w:p w:rsidR="009F36BF" w:rsidRPr="00F61E4C" w:rsidRDefault="009F36BF" w:rsidP="009F36BF">
      <w:pPr>
        <w:tabs>
          <w:tab w:val="left" w:pos="851"/>
        </w:tabs>
        <w:ind w:left="851"/>
        <w:rPr>
          <w:sz w:val="24"/>
          <w:szCs w:val="24"/>
        </w:rPr>
      </w:pPr>
      <w:r w:rsidRPr="00F61E4C">
        <w:rPr>
          <w:sz w:val="24"/>
          <w:szCs w:val="24"/>
        </w:rPr>
        <w:t>Alle hjælpestoffer er anført under pkt. 6.1.</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3.</w:t>
      </w:r>
      <w:r w:rsidRPr="00F61E4C">
        <w:rPr>
          <w:b/>
          <w:sz w:val="24"/>
          <w:szCs w:val="24"/>
        </w:rPr>
        <w:tab/>
        <w:t>LÆGEMIDDELFORM</w:t>
      </w:r>
    </w:p>
    <w:p w:rsidR="00FD2890" w:rsidRPr="00F61E4C" w:rsidRDefault="00FD2890" w:rsidP="00FD2890">
      <w:pPr>
        <w:tabs>
          <w:tab w:val="left" w:pos="-720"/>
        </w:tabs>
        <w:suppressAutoHyphens/>
        <w:ind w:left="851"/>
        <w:rPr>
          <w:spacing w:val="-3"/>
          <w:sz w:val="24"/>
          <w:szCs w:val="24"/>
        </w:rPr>
      </w:pPr>
      <w:r w:rsidRPr="00F61E4C">
        <w:rPr>
          <w:spacing w:val="-3"/>
          <w:sz w:val="24"/>
          <w:szCs w:val="24"/>
        </w:rPr>
        <w:t>Inhalationsspray, suspension</w:t>
      </w:r>
    </w:p>
    <w:p w:rsidR="00FD2890" w:rsidRPr="00F61E4C" w:rsidRDefault="00FD2890" w:rsidP="00FD2890">
      <w:pPr>
        <w:tabs>
          <w:tab w:val="left" w:pos="-720"/>
        </w:tabs>
        <w:suppressAutoHyphens/>
        <w:ind w:left="851"/>
        <w:rPr>
          <w:spacing w:val="-3"/>
          <w:sz w:val="24"/>
          <w:szCs w:val="24"/>
        </w:rPr>
      </w:pPr>
    </w:p>
    <w:p w:rsidR="00FD2890" w:rsidRPr="00F61E4C" w:rsidRDefault="00FD2890" w:rsidP="00FD2890">
      <w:pPr>
        <w:tabs>
          <w:tab w:val="left" w:pos="-720"/>
        </w:tabs>
        <w:suppressAutoHyphens/>
        <w:ind w:left="851"/>
        <w:rPr>
          <w:spacing w:val="-3"/>
          <w:sz w:val="24"/>
          <w:szCs w:val="24"/>
        </w:rPr>
      </w:pPr>
      <w:r w:rsidRPr="00F61E4C">
        <w:rPr>
          <w:spacing w:val="-3"/>
          <w:sz w:val="24"/>
          <w:szCs w:val="24"/>
        </w:rPr>
        <w:t xml:space="preserve">Hvid suspension i en aluminiumbeholder, der er indsat i en rød </w:t>
      </w:r>
      <w:proofErr w:type="spellStart"/>
      <w:r w:rsidRPr="00F61E4C">
        <w:rPr>
          <w:spacing w:val="-3"/>
          <w:sz w:val="24"/>
          <w:szCs w:val="24"/>
        </w:rPr>
        <w:t>aktuator</w:t>
      </w:r>
      <w:proofErr w:type="spellEnd"/>
      <w:r w:rsidRPr="00F61E4C">
        <w:rPr>
          <w:spacing w:val="-3"/>
          <w:sz w:val="24"/>
          <w:szCs w:val="24"/>
        </w:rPr>
        <w:t xml:space="preserve"> med en grå støvhætte.</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4.</w:t>
      </w:r>
      <w:r w:rsidRPr="00F61E4C">
        <w:rPr>
          <w:b/>
          <w:sz w:val="24"/>
          <w:szCs w:val="24"/>
        </w:rPr>
        <w:tab/>
        <w:t>KLINISKE OPLYSNINGER</w:t>
      </w:r>
    </w:p>
    <w:p w:rsidR="009260DE" w:rsidRPr="00F61E4C" w:rsidRDefault="009260DE" w:rsidP="009260DE">
      <w:pPr>
        <w:tabs>
          <w:tab w:val="left" w:pos="851"/>
        </w:tabs>
        <w:ind w:left="851"/>
        <w:rPr>
          <w:b/>
          <w:sz w:val="24"/>
          <w:szCs w:val="24"/>
        </w:rPr>
      </w:pPr>
    </w:p>
    <w:p w:rsidR="009260DE" w:rsidRPr="00F61E4C" w:rsidRDefault="009260DE" w:rsidP="009260DE">
      <w:pPr>
        <w:tabs>
          <w:tab w:val="left" w:pos="851"/>
        </w:tabs>
        <w:ind w:left="851" w:hanging="851"/>
        <w:rPr>
          <w:b/>
          <w:sz w:val="24"/>
          <w:szCs w:val="24"/>
          <w:u w:val="single"/>
        </w:rPr>
      </w:pPr>
      <w:r w:rsidRPr="00F61E4C">
        <w:rPr>
          <w:b/>
          <w:sz w:val="24"/>
          <w:szCs w:val="24"/>
        </w:rPr>
        <w:t>4.1</w:t>
      </w:r>
      <w:r w:rsidRPr="00F61E4C">
        <w:rPr>
          <w:b/>
          <w:sz w:val="24"/>
          <w:szCs w:val="24"/>
        </w:rPr>
        <w:tab/>
        <w:t>Terapeutiske indikationer</w:t>
      </w:r>
    </w:p>
    <w:p w:rsidR="00FD2890" w:rsidRPr="00F61E4C" w:rsidRDefault="00FD2890" w:rsidP="00FD2890">
      <w:pPr>
        <w:tabs>
          <w:tab w:val="left" w:pos="851"/>
        </w:tabs>
        <w:ind w:left="851"/>
        <w:rPr>
          <w:b/>
          <w:bCs/>
          <w:sz w:val="24"/>
          <w:szCs w:val="24"/>
        </w:rPr>
      </w:pPr>
    </w:p>
    <w:p w:rsidR="00FD2890" w:rsidRPr="00F61E4C" w:rsidRDefault="00FD2890" w:rsidP="00FD2890">
      <w:pPr>
        <w:tabs>
          <w:tab w:val="left" w:pos="851"/>
        </w:tabs>
        <w:ind w:left="851"/>
        <w:rPr>
          <w:b/>
          <w:bCs/>
          <w:sz w:val="24"/>
          <w:szCs w:val="24"/>
        </w:rPr>
      </w:pPr>
      <w:r w:rsidRPr="00F61E4C">
        <w:rPr>
          <w:b/>
          <w:bCs/>
          <w:sz w:val="24"/>
          <w:szCs w:val="24"/>
        </w:rPr>
        <w:t>Astma</w:t>
      </w:r>
    </w:p>
    <w:p w:rsidR="00FD2890" w:rsidRPr="00F61E4C" w:rsidRDefault="00FD2890" w:rsidP="00FD2890">
      <w:pPr>
        <w:tabs>
          <w:tab w:val="left" w:pos="851"/>
        </w:tabs>
        <w:ind w:left="851"/>
        <w:rPr>
          <w:sz w:val="24"/>
          <w:szCs w:val="24"/>
        </w:rPr>
      </w:pPr>
      <w:proofErr w:type="spellStart"/>
      <w:r w:rsidRPr="00F61E4C">
        <w:rPr>
          <w:sz w:val="24"/>
          <w:szCs w:val="24"/>
        </w:rPr>
        <w:t>Symbicort</w:t>
      </w:r>
      <w:proofErr w:type="spellEnd"/>
      <w:r w:rsidRPr="00F61E4C">
        <w:rPr>
          <w:sz w:val="24"/>
          <w:szCs w:val="24"/>
        </w:rPr>
        <w:t xml:space="preserve"> er indiceret til voksne og unge (12 år og ældre) til regelmæssig behandling af astma, hvor brug af en kombination (</w:t>
      </w:r>
      <w:proofErr w:type="spellStart"/>
      <w:r w:rsidRPr="00F61E4C">
        <w:rPr>
          <w:sz w:val="24"/>
          <w:szCs w:val="24"/>
        </w:rPr>
        <w:t>inhalationskortikosteroid</w:t>
      </w:r>
      <w:proofErr w:type="spellEnd"/>
      <w:r w:rsidRPr="00F61E4C">
        <w:rPr>
          <w:sz w:val="24"/>
          <w:szCs w:val="24"/>
        </w:rPr>
        <w:t xml:space="preserve"> og langtidsvirkende β</w:t>
      </w:r>
      <w:r w:rsidRPr="00F61E4C">
        <w:rPr>
          <w:sz w:val="24"/>
          <w:szCs w:val="24"/>
          <w:vertAlign w:val="subscript"/>
        </w:rPr>
        <w:t>2</w:t>
      </w:r>
      <w:r w:rsidRPr="00F61E4C">
        <w:rPr>
          <w:sz w:val="24"/>
          <w:szCs w:val="24"/>
        </w:rPr>
        <w:t>-adrenoceptoragonist) er passende:</w:t>
      </w:r>
    </w:p>
    <w:p w:rsidR="00FD2890" w:rsidRPr="00F61E4C" w:rsidRDefault="00FD2890" w:rsidP="00FD2890">
      <w:pPr>
        <w:numPr>
          <w:ilvl w:val="0"/>
          <w:numId w:val="6"/>
        </w:numPr>
        <w:tabs>
          <w:tab w:val="left" w:pos="851"/>
        </w:tabs>
        <w:ind w:left="1134" w:hanging="283"/>
        <w:rPr>
          <w:sz w:val="24"/>
          <w:szCs w:val="24"/>
        </w:rPr>
      </w:pPr>
      <w:r w:rsidRPr="00F61E4C">
        <w:rPr>
          <w:sz w:val="24"/>
          <w:szCs w:val="24"/>
        </w:rPr>
        <w:t xml:space="preserve">patienter, der ikke er tilstrækkeligt kontrolleret med </w:t>
      </w:r>
      <w:proofErr w:type="spellStart"/>
      <w:r w:rsidRPr="00F61E4C">
        <w:rPr>
          <w:sz w:val="24"/>
          <w:szCs w:val="24"/>
        </w:rPr>
        <w:t>kortikosteroider</w:t>
      </w:r>
      <w:proofErr w:type="spellEnd"/>
      <w:r w:rsidRPr="00F61E4C">
        <w:rPr>
          <w:sz w:val="24"/>
          <w:szCs w:val="24"/>
        </w:rPr>
        <w:t xml:space="preserve"> til inhalation og korttidsvirkende β</w:t>
      </w:r>
      <w:r w:rsidRPr="00F61E4C">
        <w:rPr>
          <w:sz w:val="24"/>
          <w:szCs w:val="24"/>
          <w:vertAlign w:val="subscript"/>
        </w:rPr>
        <w:t>2</w:t>
      </w:r>
      <w:r w:rsidRPr="00F61E4C">
        <w:rPr>
          <w:sz w:val="24"/>
          <w:szCs w:val="24"/>
          <w:vertAlign w:val="subscript"/>
        </w:rPr>
        <w:noBreakHyphen/>
      </w:r>
      <w:r w:rsidRPr="00F61E4C">
        <w:rPr>
          <w:sz w:val="24"/>
          <w:szCs w:val="24"/>
        </w:rPr>
        <w:t xml:space="preserve">adrenoceptoragonister til inhalation </w:t>
      </w:r>
      <w:r w:rsidR="00925FAC" w:rsidRPr="00F61E4C">
        <w:rPr>
          <w:sz w:val="24"/>
          <w:szCs w:val="24"/>
        </w:rPr>
        <w:t>"</w:t>
      </w:r>
      <w:r w:rsidRPr="00F61E4C">
        <w:rPr>
          <w:sz w:val="24"/>
          <w:szCs w:val="24"/>
        </w:rPr>
        <w:t>efter behov</w:t>
      </w:r>
      <w:r w:rsidR="00925FAC" w:rsidRPr="00F61E4C">
        <w:rPr>
          <w:sz w:val="24"/>
          <w:szCs w:val="24"/>
        </w:rPr>
        <w:t>"</w:t>
      </w:r>
    </w:p>
    <w:p w:rsidR="00FD2890" w:rsidRPr="00F61E4C" w:rsidRDefault="00FD2890" w:rsidP="00FD2890">
      <w:pPr>
        <w:tabs>
          <w:tab w:val="left" w:pos="851"/>
        </w:tabs>
        <w:ind w:left="851"/>
        <w:rPr>
          <w:sz w:val="24"/>
          <w:szCs w:val="24"/>
        </w:rPr>
      </w:pPr>
      <w:r w:rsidRPr="00F61E4C">
        <w:rPr>
          <w:sz w:val="24"/>
          <w:szCs w:val="24"/>
        </w:rPr>
        <w:t>eller</w:t>
      </w:r>
    </w:p>
    <w:p w:rsidR="00FD2890" w:rsidRPr="00F61E4C" w:rsidRDefault="00FD2890" w:rsidP="00FD2890">
      <w:pPr>
        <w:numPr>
          <w:ilvl w:val="0"/>
          <w:numId w:val="6"/>
        </w:numPr>
        <w:tabs>
          <w:tab w:val="left" w:pos="851"/>
        </w:tabs>
        <w:ind w:left="1134" w:hanging="283"/>
        <w:rPr>
          <w:sz w:val="24"/>
          <w:szCs w:val="24"/>
        </w:rPr>
      </w:pPr>
      <w:r w:rsidRPr="00F61E4C">
        <w:rPr>
          <w:sz w:val="24"/>
          <w:szCs w:val="24"/>
        </w:rPr>
        <w:t xml:space="preserve">patienter, der allerede er tilstrækkeligt kontrolleret med både inhalerede </w:t>
      </w:r>
      <w:proofErr w:type="spellStart"/>
      <w:r w:rsidRPr="00F61E4C">
        <w:rPr>
          <w:sz w:val="24"/>
          <w:szCs w:val="24"/>
        </w:rPr>
        <w:t>kortikosteroider</w:t>
      </w:r>
      <w:proofErr w:type="spellEnd"/>
      <w:r w:rsidRPr="00F61E4C">
        <w:rPr>
          <w:sz w:val="24"/>
          <w:szCs w:val="24"/>
        </w:rPr>
        <w:t xml:space="preserve"> og langtidsvirkende β</w:t>
      </w:r>
      <w:r w:rsidRPr="00F61E4C">
        <w:rPr>
          <w:sz w:val="24"/>
          <w:szCs w:val="24"/>
          <w:vertAlign w:val="subscript"/>
        </w:rPr>
        <w:t>2</w:t>
      </w:r>
      <w:r w:rsidRPr="00F61E4C">
        <w:rPr>
          <w:sz w:val="24"/>
          <w:szCs w:val="24"/>
        </w:rPr>
        <w:t>-adrenoceptoragonister.</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lastRenderedPageBreak/>
        <w:t>4.2</w:t>
      </w:r>
      <w:r w:rsidRPr="00F61E4C">
        <w:rPr>
          <w:b/>
          <w:sz w:val="24"/>
          <w:szCs w:val="24"/>
        </w:rPr>
        <w:tab/>
        <w:t xml:space="preserve">Dosering og </w:t>
      </w:r>
      <w:r w:rsidR="00D87A05">
        <w:rPr>
          <w:b/>
          <w:sz w:val="24"/>
          <w:szCs w:val="24"/>
        </w:rPr>
        <w:t>administration</w:t>
      </w:r>
    </w:p>
    <w:p w:rsidR="00925FAC" w:rsidRPr="00F61E4C" w:rsidRDefault="00925FAC" w:rsidP="00DE54E8">
      <w:pPr>
        <w:tabs>
          <w:tab w:val="left" w:pos="851"/>
        </w:tabs>
        <w:ind w:left="851"/>
        <w:rPr>
          <w:b/>
          <w:sz w:val="24"/>
          <w:szCs w:val="24"/>
        </w:rPr>
      </w:pPr>
      <w:r w:rsidRPr="00F61E4C">
        <w:rPr>
          <w:bCs/>
          <w:sz w:val="24"/>
          <w:szCs w:val="24"/>
        </w:rPr>
        <w:t xml:space="preserve">Administrationsvej: </w:t>
      </w:r>
      <w:r w:rsidRPr="00F61E4C">
        <w:rPr>
          <w:sz w:val="24"/>
          <w:szCs w:val="24"/>
        </w:rPr>
        <w:t>Til inhalation.</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b/>
          <w:sz w:val="24"/>
          <w:szCs w:val="24"/>
        </w:rPr>
      </w:pPr>
      <w:r w:rsidRPr="00F61E4C">
        <w:rPr>
          <w:b/>
          <w:sz w:val="24"/>
          <w:szCs w:val="24"/>
        </w:rPr>
        <w:t>Dosering</w:t>
      </w:r>
    </w:p>
    <w:p w:rsidR="00DE54E8" w:rsidRPr="00F61E4C" w:rsidRDefault="00DE54E8" w:rsidP="00DE54E8">
      <w:pPr>
        <w:tabs>
          <w:tab w:val="left" w:pos="851"/>
        </w:tabs>
        <w:ind w:left="851"/>
        <w:rPr>
          <w:b/>
          <w:bCs/>
          <w:sz w:val="24"/>
          <w:szCs w:val="24"/>
        </w:rPr>
      </w:pPr>
    </w:p>
    <w:p w:rsidR="00925FAC" w:rsidRPr="00F61E4C" w:rsidRDefault="00925FAC" w:rsidP="00DE54E8">
      <w:pPr>
        <w:tabs>
          <w:tab w:val="left" w:pos="851"/>
        </w:tabs>
        <w:ind w:left="851"/>
        <w:rPr>
          <w:bCs/>
          <w:sz w:val="24"/>
          <w:szCs w:val="24"/>
          <w:u w:val="single"/>
        </w:rPr>
      </w:pPr>
      <w:r w:rsidRPr="00F61E4C">
        <w:rPr>
          <w:bCs/>
          <w:sz w:val="24"/>
          <w:szCs w:val="24"/>
          <w:u w:val="single"/>
        </w:rPr>
        <w:t>Astma</w:t>
      </w:r>
    </w:p>
    <w:p w:rsidR="00925FAC" w:rsidRPr="00F61E4C" w:rsidRDefault="00925FAC" w:rsidP="00DE54E8">
      <w:pPr>
        <w:tabs>
          <w:tab w:val="left" w:pos="851"/>
        </w:tabs>
        <w:ind w:left="851"/>
        <w:rPr>
          <w:bCs/>
          <w:sz w:val="24"/>
          <w:szCs w:val="24"/>
        </w:rPr>
      </w:pPr>
      <w:proofErr w:type="spellStart"/>
      <w:r w:rsidRPr="00F61E4C">
        <w:rPr>
          <w:bCs/>
          <w:sz w:val="24"/>
          <w:szCs w:val="24"/>
        </w:rPr>
        <w:t>Symbicort</w:t>
      </w:r>
      <w:proofErr w:type="spellEnd"/>
      <w:r w:rsidRPr="00F61E4C">
        <w:rPr>
          <w:bCs/>
          <w:sz w:val="24"/>
          <w:szCs w:val="24"/>
        </w:rPr>
        <w:t xml:space="preserve"> er ikke beregnet til initial behandling af astma. Doseringen af komponenterne i </w:t>
      </w:r>
      <w:proofErr w:type="spellStart"/>
      <w:r w:rsidRPr="00F61E4C">
        <w:rPr>
          <w:bCs/>
          <w:sz w:val="24"/>
          <w:szCs w:val="24"/>
        </w:rPr>
        <w:t>Symbicort</w:t>
      </w:r>
      <w:proofErr w:type="spellEnd"/>
      <w:r w:rsidRPr="00F61E4C">
        <w:rPr>
          <w:bCs/>
          <w:sz w:val="24"/>
          <w:szCs w:val="24"/>
        </w:rPr>
        <w:t xml:space="preserve"> er individuel og bør tilpasses sygdommens sværhedsgrad. Dette bør ikke kun overvejes, når behandling med kombinationsprodukter initieres, men også når vedligeholdelsesdosis justeres. Hvis den individuelle patient skulle have behov for en kombination af andre doser end dem, der er tilgængelige i kombinationsinhalatoren, skal passende doser af ß</w:t>
      </w:r>
      <w:r w:rsidRPr="00F61E4C">
        <w:rPr>
          <w:bCs/>
          <w:sz w:val="24"/>
          <w:szCs w:val="24"/>
          <w:vertAlign w:val="subscript"/>
        </w:rPr>
        <w:t>2</w:t>
      </w:r>
      <w:r w:rsidRPr="00F61E4C">
        <w:rPr>
          <w:bCs/>
          <w:sz w:val="24"/>
          <w:szCs w:val="24"/>
        </w:rPr>
        <w:t xml:space="preserve">-adrenoceptoragonister og/eller </w:t>
      </w:r>
      <w:proofErr w:type="spellStart"/>
      <w:r w:rsidRPr="00F61E4C">
        <w:rPr>
          <w:bCs/>
          <w:sz w:val="24"/>
          <w:szCs w:val="24"/>
        </w:rPr>
        <w:t>kortikosteroider</w:t>
      </w:r>
      <w:proofErr w:type="spellEnd"/>
      <w:r w:rsidRPr="00F61E4C">
        <w:rPr>
          <w:bCs/>
          <w:sz w:val="24"/>
          <w:szCs w:val="24"/>
        </w:rPr>
        <w:t xml:space="preserve"> ordineres som individuelle inhalatorer.</w:t>
      </w:r>
    </w:p>
    <w:p w:rsidR="00925FAC" w:rsidRPr="00F61E4C" w:rsidRDefault="00925FAC" w:rsidP="00DE54E8">
      <w:pPr>
        <w:tabs>
          <w:tab w:val="left" w:pos="851"/>
        </w:tabs>
        <w:ind w:left="851"/>
        <w:rPr>
          <w:bCs/>
          <w:sz w:val="24"/>
          <w:szCs w:val="24"/>
        </w:rPr>
      </w:pPr>
    </w:p>
    <w:p w:rsidR="00925FAC" w:rsidRPr="00F61E4C" w:rsidRDefault="00925FAC" w:rsidP="00DE54E8">
      <w:pPr>
        <w:tabs>
          <w:tab w:val="left" w:pos="851"/>
        </w:tabs>
        <w:ind w:left="851"/>
        <w:rPr>
          <w:bCs/>
          <w:sz w:val="24"/>
          <w:szCs w:val="24"/>
        </w:rPr>
      </w:pPr>
      <w:r w:rsidRPr="00F61E4C">
        <w:rPr>
          <w:bCs/>
          <w:sz w:val="24"/>
          <w:szCs w:val="24"/>
        </w:rPr>
        <w:t xml:space="preserve">Dosis skal titreres til den laveste dosis, hvorpå effektiv kontrol af symptomer opretholdes. Patienterne skal regelmæssigt revurderes af deres læge, så doseringen af </w:t>
      </w:r>
      <w:proofErr w:type="spellStart"/>
      <w:r w:rsidRPr="00F61E4C">
        <w:rPr>
          <w:bCs/>
          <w:sz w:val="24"/>
          <w:szCs w:val="24"/>
        </w:rPr>
        <w:t>Symbicort</w:t>
      </w:r>
      <w:proofErr w:type="spellEnd"/>
      <w:r w:rsidRPr="00F61E4C">
        <w:rPr>
          <w:bCs/>
          <w:sz w:val="24"/>
          <w:szCs w:val="24"/>
        </w:rPr>
        <w:t xml:space="preserve"> forbliver optimal. Når langvarig kontrol af symptomer opretholdes med den laveste anbefalede dosis, kan det næste trin omfatte en prøve af inhaleret </w:t>
      </w:r>
      <w:proofErr w:type="spellStart"/>
      <w:r w:rsidRPr="00F61E4C">
        <w:rPr>
          <w:bCs/>
          <w:sz w:val="24"/>
          <w:szCs w:val="24"/>
        </w:rPr>
        <w:t>kortikosteroid</w:t>
      </w:r>
      <w:proofErr w:type="spellEnd"/>
      <w:r w:rsidRPr="00F61E4C">
        <w:rPr>
          <w:bCs/>
          <w:sz w:val="24"/>
          <w:szCs w:val="24"/>
        </w:rPr>
        <w:t xml:space="preserve"> alene.</w:t>
      </w:r>
    </w:p>
    <w:p w:rsidR="00925FAC" w:rsidRPr="00F61E4C" w:rsidRDefault="00925FAC" w:rsidP="00DE54E8">
      <w:pPr>
        <w:tabs>
          <w:tab w:val="left" w:pos="851"/>
        </w:tabs>
        <w:ind w:left="851"/>
        <w:rPr>
          <w:bCs/>
          <w:sz w:val="24"/>
          <w:szCs w:val="24"/>
        </w:rPr>
      </w:pPr>
    </w:p>
    <w:p w:rsidR="00925FAC" w:rsidRPr="00F61E4C" w:rsidRDefault="00925FAC" w:rsidP="00DE54E8">
      <w:pPr>
        <w:tabs>
          <w:tab w:val="left" w:pos="851"/>
        </w:tabs>
        <w:ind w:left="851"/>
        <w:rPr>
          <w:bCs/>
          <w:sz w:val="24"/>
          <w:szCs w:val="24"/>
          <w:u w:val="single"/>
        </w:rPr>
      </w:pPr>
      <w:r w:rsidRPr="00F61E4C">
        <w:rPr>
          <w:bCs/>
          <w:sz w:val="24"/>
          <w:szCs w:val="24"/>
          <w:u w:val="single"/>
        </w:rPr>
        <w:t xml:space="preserve">For </w:t>
      </w:r>
      <w:proofErr w:type="spellStart"/>
      <w:r w:rsidRPr="00F61E4C">
        <w:rPr>
          <w:bCs/>
          <w:sz w:val="24"/>
          <w:szCs w:val="24"/>
          <w:u w:val="single"/>
        </w:rPr>
        <w:t>Symbicort</w:t>
      </w:r>
      <w:proofErr w:type="spellEnd"/>
      <w:r w:rsidRPr="00F61E4C">
        <w:rPr>
          <w:bCs/>
          <w:sz w:val="24"/>
          <w:szCs w:val="24"/>
          <w:u w:val="single"/>
        </w:rPr>
        <w:t xml:space="preserve"> er der to behandlingsmetoder</w:t>
      </w:r>
    </w:p>
    <w:p w:rsidR="00925FAC" w:rsidRPr="00F61E4C" w:rsidRDefault="00925FAC" w:rsidP="00DE54E8">
      <w:pPr>
        <w:tabs>
          <w:tab w:val="left" w:pos="851"/>
        </w:tabs>
        <w:ind w:left="851"/>
        <w:rPr>
          <w:bCs/>
          <w:sz w:val="24"/>
          <w:szCs w:val="24"/>
        </w:rPr>
      </w:pPr>
      <w:r w:rsidRPr="00F61E4C">
        <w:rPr>
          <w:i/>
          <w:sz w:val="24"/>
          <w:szCs w:val="24"/>
        </w:rPr>
        <w:t xml:space="preserve">A. </w:t>
      </w:r>
      <w:r w:rsidRPr="00F61E4C">
        <w:rPr>
          <w:i/>
          <w:sz w:val="24"/>
          <w:szCs w:val="24"/>
        </w:rPr>
        <w:tab/>
      </w:r>
      <w:proofErr w:type="spellStart"/>
      <w:r w:rsidRPr="00F61E4C">
        <w:rPr>
          <w:i/>
          <w:sz w:val="24"/>
          <w:szCs w:val="24"/>
        </w:rPr>
        <w:t>Symbicort</w:t>
      </w:r>
      <w:proofErr w:type="spellEnd"/>
      <w:r w:rsidRPr="00F61E4C">
        <w:rPr>
          <w:i/>
          <w:sz w:val="24"/>
          <w:szCs w:val="24"/>
        </w:rPr>
        <w:t xml:space="preserve"> vedligeholdelsesbehandling</w:t>
      </w:r>
      <w:r w:rsidRPr="00F61E4C">
        <w:rPr>
          <w:sz w:val="24"/>
          <w:szCs w:val="24"/>
        </w:rPr>
        <w:t>:</w:t>
      </w:r>
      <w:r w:rsidRPr="00F61E4C">
        <w:rPr>
          <w:bCs/>
          <w:sz w:val="24"/>
          <w:szCs w:val="24"/>
        </w:rPr>
        <w:t xml:space="preserve"> </w:t>
      </w:r>
      <w:proofErr w:type="spellStart"/>
      <w:r w:rsidRPr="00F61E4C">
        <w:rPr>
          <w:bCs/>
          <w:sz w:val="24"/>
          <w:szCs w:val="24"/>
        </w:rPr>
        <w:t>Symbicort</w:t>
      </w:r>
      <w:proofErr w:type="spellEnd"/>
      <w:r w:rsidRPr="00F61E4C">
        <w:rPr>
          <w:bCs/>
          <w:sz w:val="24"/>
          <w:szCs w:val="24"/>
        </w:rPr>
        <w:t xml:space="preserve"> tages som regelmæssig vedligeholdelsesbehandling med en separat hurtigvirkende </w:t>
      </w:r>
      <w:proofErr w:type="spellStart"/>
      <w:r w:rsidRPr="00F61E4C">
        <w:rPr>
          <w:bCs/>
          <w:sz w:val="24"/>
          <w:szCs w:val="24"/>
        </w:rPr>
        <w:t>bronkodilatator</w:t>
      </w:r>
      <w:proofErr w:type="spellEnd"/>
      <w:r w:rsidRPr="00F61E4C">
        <w:rPr>
          <w:bCs/>
          <w:sz w:val="24"/>
          <w:szCs w:val="24"/>
        </w:rPr>
        <w:t xml:space="preserve"> til </w:t>
      </w:r>
      <w:proofErr w:type="spellStart"/>
      <w:r w:rsidRPr="00F61E4C">
        <w:rPr>
          <w:bCs/>
          <w:sz w:val="24"/>
          <w:szCs w:val="24"/>
        </w:rPr>
        <w:t>anfaldsbrug</w:t>
      </w:r>
      <w:proofErr w:type="spellEnd"/>
      <w:r w:rsidRPr="00F61E4C">
        <w:rPr>
          <w:bCs/>
          <w:sz w:val="24"/>
          <w:szCs w:val="24"/>
        </w:rPr>
        <w:t>.</w:t>
      </w:r>
    </w:p>
    <w:p w:rsidR="00925FAC" w:rsidRPr="00F61E4C" w:rsidRDefault="00925FAC" w:rsidP="00DE54E8">
      <w:pPr>
        <w:tabs>
          <w:tab w:val="left" w:pos="851"/>
        </w:tabs>
        <w:ind w:left="851"/>
        <w:rPr>
          <w:bCs/>
          <w:sz w:val="24"/>
          <w:szCs w:val="24"/>
        </w:rPr>
      </w:pPr>
      <w:r w:rsidRPr="00F61E4C">
        <w:rPr>
          <w:i/>
          <w:sz w:val="24"/>
          <w:szCs w:val="24"/>
        </w:rPr>
        <w:t xml:space="preserve">B. </w:t>
      </w:r>
      <w:r w:rsidRPr="00F61E4C">
        <w:rPr>
          <w:i/>
          <w:sz w:val="24"/>
          <w:szCs w:val="24"/>
        </w:rPr>
        <w:tab/>
      </w:r>
      <w:proofErr w:type="spellStart"/>
      <w:r w:rsidRPr="00F61E4C">
        <w:rPr>
          <w:i/>
          <w:sz w:val="24"/>
          <w:szCs w:val="24"/>
        </w:rPr>
        <w:t>Symbicort</w:t>
      </w:r>
      <w:proofErr w:type="spellEnd"/>
      <w:r w:rsidRPr="00F61E4C">
        <w:rPr>
          <w:i/>
          <w:sz w:val="24"/>
          <w:szCs w:val="24"/>
        </w:rPr>
        <w:t xml:space="preserve"> vedligeholdelses- og behovsbehandling</w:t>
      </w:r>
      <w:r w:rsidRPr="00F61E4C">
        <w:rPr>
          <w:sz w:val="24"/>
          <w:szCs w:val="24"/>
        </w:rPr>
        <w:t>:</w:t>
      </w:r>
      <w:r w:rsidRPr="00F61E4C">
        <w:rPr>
          <w:bCs/>
          <w:sz w:val="24"/>
          <w:szCs w:val="24"/>
        </w:rPr>
        <w:t xml:space="preserve"> </w:t>
      </w:r>
      <w:proofErr w:type="spellStart"/>
      <w:r w:rsidRPr="00F61E4C">
        <w:rPr>
          <w:bCs/>
          <w:sz w:val="24"/>
          <w:szCs w:val="24"/>
        </w:rPr>
        <w:t>Symbicort</w:t>
      </w:r>
      <w:proofErr w:type="spellEnd"/>
      <w:r w:rsidRPr="00F61E4C">
        <w:rPr>
          <w:bCs/>
          <w:sz w:val="24"/>
          <w:szCs w:val="24"/>
        </w:rPr>
        <w:t xml:space="preserve"> tages som regelmæssig vedligeholdelsesbehandling og efter behov afhængig af symptomerne.</w:t>
      </w:r>
    </w:p>
    <w:p w:rsidR="00925FAC" w:rsidRPr="00F61E4C" w:rsidRDefault="00925FAC" w:rsidP="00DE54E8">
      <w:pPr>
        <w:tabs>
          <w:tab w:val="left" w:pos="851"/>
        </w:tabs>
        <w:ind w:left="851"/>
        <w:rPr>
          <w:bCs/>
          <w:sz w:val="24"/>
          <w:szCs w:val="24"/>
        </w:rPr>
      </w:pPr>
    </w:p>
    <w:p w:rsidR="00925FAC" w:rsidRPr="00F61E4C" w:rsidRDefault="00925FAC" w:rsidP="00DE54E8">
      <w:pPr>
        <w:tabs>
          <w:tab w:val="left" w:pos="851"/>
        </w:tabs>
        <w:ind w:left="851"/>
        <w:rPr>
          <w:b/>
          <w:sz w:val="24"/>
          <w:szCs w:val="24"/>
        </w:rPr>
      </w:pPr>
      <w:r w:rsidRPr="00F61E4C">
        <w:rPr>
          <w:b/>
          <w:sz w:val="24"/>
          <w:szCs w:val="24"/>
        </w:rPr>
        <w:t xml:space="preserve">A. </w:t>
      </w:r>
      <w:r w:rsidRPr="00F61E4C">
        <w:rPr>
          <w:b/>
          <w:sz w:val="24"/>
          <w:szCs w:val="24"/>
        </w:rPr>
        <w:tab/>
      </w:r>
      <w:proofErr w:type="spellStart"/>
      <w:r w:rsidRPr="00F61E4C">
        <w:rPr>
          <w:b/>
          <w:sz w:val="24"/>
          <w:szCs w:val="24"/>
          <w:u w:val="single"/>
        </w:rPr>
        <w:t>Symbicort</w:t>
      </w:r>
      <w:proofErr w:type="spellEnd"/>
      <w:r w:rsidRPr="00F61E4C">
        <w:rPr>
          <w:b/>
          <w:sz w:val="24"/>
          <w:szCs w:val="24"/>
          <w:u w:val="single"/>
        </w:rPr>
        <w:t xml:space="preserve"> vedligeholdelsesbehandling</w:t>
      </w:r>
    </w:p>
    <w:p w:rsidR="00925FAC" w:rsidRPr="00F61E4C" w:rsidRDefault="00925FAC" w:rsidP="00DE54E8">
      <w:pPr>
        <w:tabs>
          <w:tab w:val="left" w:pos="851"/>
        </w:tabs>
        <w:ind w:left="851"/>
        <w:rPr>
          <w:bCs/>
          <w:sz w:val="24"/>
          <w:szCs w:val="24"/>
        </w:rPr>
      </w:pPr>
      <w:r w:rsidRPr="00F61E4C">
        <w:rPr>
          <w:bCs/>
          <w:sz w:val="24"/>
          <w:szCs w:val="24"/>
        </w:rPr>
        <w:t xml:space="preserve">Patienter bør tilrådes altid at have deres separate hurtigvirkende </w:t>
      </w:r>
      <w:proofErr w:type="spellStart"/>
      <w:r w:rsidRPr="00F61E4C">
        <w:rPr>
          <w:bCs/>
          <w:sz w:val="24"/>
          <w:szCs w:val="24"/>
        </w:rPr>
        <w:t>bronkodilatator</w:t>
      </w:r>
      <w:proofErr w:type="spellEnd"/>
      <w:r w:rsidRPr="00F61E4C">
        <w:rPr>
          <w:bCs/>
          <w:sz w:val="24"/>
          <w:szCs w:val="24"/>
        </w:rPr>
        <w:t xml:space="preserve"> til rådighed til </w:t>
      </w:r>
      <w:proofErr w:type="spellStart"/>
      <w:r w:rsidRPr="00F61E4C">
        <w:rPr>
          <w:bCs/>
          <w:sz w:val="24"/>
          <w:szCs w:val="24"/>
        </w:rPr>
        <w:t>anfaldsbrug</w:t>
      </w:r>
      <w:proofErr w:type="spellEnd"/>
      <w:r w:rsidRPr="00F61E4C">
        <w:rPr>
          <w:bCs/>
          <w:sz w:val="24"/>
          <w:szCs w:val="24"/>
        </w:rPr>
        <w:t>.</w:t>
      </w:r>
    </w:p>
    <w:p w:rsidR="00925FAC" w:rsidRPr="00F61E4C" w:rsidRDefault="00925FAC" w:rsidP="00DE54E8">
      <w:pPr>
        <w:tabs>
          <w:tab w:val="left" w:pos="851"/>
        </w:tabs>
        <w:ind w:left="851"/>
        <w:rPr>
          <w:bCs/>
          <w:sz w:val="24"/>
          <w:szCs w:val="24"/>
        </w:rPr>
      </w:pPr>
    </w:p>
    <w:p w:rsidR="00925FAC" w:rsidRPr="00F61E4C" w:rsidRDefault="00925FAC" w:rsidP="00DE54E8">
      <w:pPr>
        <w:tabs>
          <w:tab w:val="left" w:pos="851"/>
        </w:tabs>
        <w:ind w:left="851"/>
        <w:rPr>
          <w:bCs/>
          <w:iCs/>
          <w:sz w:val="24"/>
          <w:szCs w:val="24"/>
          <w:u w:val="single"/>
        </w:rPr>
      </w:pPr>
      <w:r w:rsidRPr="00F61E4C">
        <w:rPr>
          <w:bCs/>
          <w:iCs/>
          <w:sz w:val="24"/>
          <w:szCs w:val="24"/>
          <w:u w:val="single"/>
        </w:rPr>
        <w:t>Anbefalet dosis</w:t>
      </w:r>
    </w:p>
    <w:p w:rsidR="00E0173B" w:rsidRPr="00F61E4C" w:rsidRDefault="00E0173B" w:rsidP="00DE54E8">
      <w:pPr>
        <w:tabs>
          <w:tab w:val="left" w:pos="851"/>
        </w:tabs>
        <w:ind w:left="851"/>
        <w:rPr>
          <w:i/>
          <w:sz w:val="24"/>
          <w:szCs w:val="24"/>
        </w:rPr>
      </w:pPr>
    </w:p>
    <w:p w:rsidR="00925FAC" w:rsidRPr="00F61E4C" w:rsidRDefault="00925FAC" w:rsidP="00DE54E8">
      <w:pPr>
        <w:tabs>
          <w:tab w:val="left" w:pos="851"/>
        </w:tabs>
        <w:ind w:left="851"/>
        <w:rPr>
          <w:sz w:val="24"/>
          <w:szCs w:val="24"/>
        </w:rPr>
      </w:pPr>
      <w:r w:rsidRPr="00F61E4C">
        <w:rPr>
          <w:i/>
          <w:sz w:val="24"/>
          <w:szCs w:val="24"/>
        </w:rPr>
        <w:t>Voksne (18 år og derover):</w:t>
      </w:r>
      <w:r w:rsidRPr="00F61E4C">
        <w:rPr>
          <w:sz w:val="24"/>
          <w:szCs w:val="24"/>
        </w:rPr>
        <w:t xml:space="preserve"> 2-4 tryk to gange daglig. Nogle patienter kan have behov for op til maksimalt 8 tryk to gange </w:t>
      </w:r>
      <w:r w:rsidR="00BA39D0" w:rsidRPr="00F61E4C">
        <w:rPr>
          <w:sz w:val="24"/>
          <w:szCs w:val="24"/>
        </w:rPr>
        <w:t>daglig</w:t>
      </w:r>
      <w:r w:rsidRPr="00F61E4C">
        <w:rPr>
          <w:sz w:val="24"/>
          <w:szCs w:val="24"/>
        </w:rPr>
        <w:t>.</w:t>
      </w:r>
    </w:p>
    <w:p w:rsidR="00925FAC" w:rsidRPr="00F61E4C" w:rsidRDefault="00925FAC" w:rsidP="00DE54E8">
      <w:pPr>
        <w:tabs>
          <w:tab w:val="left" w:pos="851"/>
        </w:tabs>
        <w:ind w:left="851"/>
        <w:rPr>
          <w:sz w:val="24"/>
          <w:szCs w:val="24"/>
        </w:rPr>
      </w:pPr>
      <w:r w:rsidRPr="00F61E4C">
        <w:rPr>
          <w:i/>
          <w:iCs/>
          <w:sz w:val="24"/>
          <w:szCs w:val="24"/>
        </w:rPr>
        <w:t>Unge (12-17 år):</w:t>
      </w:r>
      <w:r w:rsidRPr="00F61E4C">
        <w:rPr>
          <w:sz w:val="24"/>
          <w:szCs w:val="24"/>
        </w:rPr>
        <w:t xml:space="preserve"> 2-4 tryk to gange </w:t>
      </w:r>
      <w:r w:rsidR="00BA39D0" w:rsidRPr="00F61E4C">
        <w:rPr>
          <w:sz w:val="24"/>
          <w:szCs w:val="24"/>
        </w:rPr>
        <w:t>daglig</w:t>
      </w:r>
      <w:r w:rsidRPr="00F61E4C">
        <w:rPr>
          <w:sz w:val="24"/>
          <w:szCs w:val="24"/>
        </w:rPr>
        <w:t>.</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sz w:val="24"/>
          <w:szCs w:val="24"/>
        </w:rPr>
      </w:pPr>
      <w:r w:rsidRPr="00F61E4C">
        <w:rPr>
          <w:sz w:val="24"/>
          <w:szCs w:val="24"/>
        </w:rPr>
        <w:t xml:space="preserve">I sædvanlig praksis, når kontrollen med symptomer er opnået med behandling to gange </w:t>
      </w:r>
      <w:r w:rsidR="00BA39D0" w:rsidRPr="00F61E4C">
        <w:rPr>
          <w:sz w:val="24"/>
          <w:szCs w:val="24"/>
        </w:rPr>
        <w:t>daglig</w:t>
      </w:r>
      <w:r w:rsidRPr="00F61E4C">
        <w:rPr>
          <w:sz w:val="24"/>
          <w:szCs w:val="24"/>
        </w:rPr>
        <w:t xml:space="preserve">, kan titrering til den laveste effektive dosis omfatte </w:t>
      </w:r>
      <w:proofErr w:type="spellStart"/>
      <w:r w:rsidRPr="00F61E4C">
        <w:rPr>
          <w:sz w:val="24"/>
          <w:szCs w:val="24"/>
        </w:rPr>
        <w:t>Symbicort</w:t>
      </w:r>
      <w:proofErr w:type="spellEnd"/>
      <w:r w:rsidRPr="00F61E4C">
        <w:rPr>
          <w:sz w:val="24"/>
          <w:szCs w:val="24"/>
        </w:rPr>
        <w:t xml:space="preserve"> givet en gang </w:t>
      </w:r>
      <w:r w:rsidR="00BA39D0" w:rsidRPr="00F61E4C">
        <w:rPr>
          <w:sz w:val="24"/>
          <w:szCs w:val="24"/>
        </w:rPr>
        <w:t>daglig</w:t>
      </w:r>
      <w:r w:rsidRPr="00F61E4C">
        <w:rPr>
          <w:sz w:val="24"/>
          <w:szCs w:val="24"/>
        </w:rPr>
        <w:t xml:space="preserve">, når en langtidsvirkende </w:t>
      </w:r>
      <w:proofErr w:type="spellStart"/>
      <w:r w:rsidRPr="00F61E4C">
        <w:rPr>
          <w:sz w:val="24"/>
          <w:szCs w:val="24"/>
        </w:rPr>
        <w:t>bronkodilatator</w:t>
      </w:r>
      <w:proofErr w:type="spellEnd"/>
      <w:r w:rsidRPr="00F61E4C">
        <w:rPr>
          <w:sz w:val="24"/>
          <w:szCs w:val="24"/>
        </w:rPr>
        <w:t xml:space="preserve"> i kombination med en inhaleret </w:t>
      </w:r>
      <w:proofErr w:type="spellStart"/>
      <w:r w:rsidRPr="00F61E4C">
        <w:rPr>
          <w:sz w:val="24"/>
          <w:szCs w:val="24"/>
        </w:rPr>
        <w:t>kortikosteroid</w:t>
      </w:r>
      <w:proofErr w:type="spellEnd"/>
      <w:r w:rsidRPr="00F61E4C">
        <w:rPr>
          <w:sz w:val="24"/>
          <w:szCs w:val="24"/>
        </w:rPr>
        <w:t xml:space="preserve"> er nødvendig for at opretholde kontrol efter den ordinerende læges anbefaling.</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sz w:val="24"/>
          <w:szCs w:val="24"/>
        </w:rPr>
      </w:pPr>
      <w:r w:rsidRPr="00F61E4C">
        <w:rPr>
          <w:sz w:val="24"/>
          <w:szCs w:val="24"/>
        </w:rPr>
        <w:t xml:space="preserve">Stigende anvendelse af en separat hurtigvirkende </w:t>
      </w:r>
      <w:proofErr w:type="spellStart"/>
      <w:r w:rsidRPr="00F61E4C">
        <w:rPr>
          <w:sz w:val="24"/>
          <w:szCs w:val="24"/>
        </w:rPr>
        <w:t>bronkodilatator</w:t>
      </w:r>
      <w:proofErr w:type="spellEnd"/>
      <w:r w:rsidRPr="00F61E4C">
        <w:rPr>
          <w:sz w:val="24"/>
          <w:szCs w:val="24"/>
        </w:rPr>
        <w:t xml:space="preserve"> indikerer en forværring af den underliggende sygdom og kræver en revurdering af astmabehandlingen.</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sz w:val="24"/>
          <w:szCs w:val="24"/>
        </w:rPr>
      </w:pPr>
      <w:r w:rsidRPr="00F61E4C">
        <w:rPr>
          <w:i/>
          <w:iCs/>
          <w:sz w:val="24"/>
          <w:szCs w:val="24"/>
        </w:rPr>
        <w:t>Børn under 12 år:</w:t>
      </w:r>
      <w:r w:rsidRPr="00F61E4C">
        <w:rPr>
          <w:sz w:val="24"/>
          <w:szCs w:val="24"/>
        </w:rPr>
        <w:t xml:space="preserve"> Da der kun er begrænsede data for </w:t>
      </w:r>
      <w:proofErr w:type="spellStart"/>
      <w:r w:rsidRPr="00F61E4C">
        <w:rPr>
          <w:sz w:val="24"/>
          <w:szCs w:val="24"/>
        </w:rPr>
        <w:t>Symbicort</w:t>
      </w:r>
      <w:proofErr w:type="spellEnd"/>
      <w:r w:rsidRPr="00F61E4C">
        <w:rPr>
          <w:sz w:val="24"/>
          <w:szCs w:val="24"/>
        </w:rPr>
        <w:t xml:space="preserve"> (inhalationsspray, suspension) 80 mikrogram/2,25 mikrogram/tryk, kan </w:t>
      </w:r>
      <w:proofErr w:type="spellStart"/>
      <w:r w:rsidRPr="00F61E4C">
        <w:rPr>
          <w:sz w:val="24"/>
          <w:szCs w:val="24"/>
        </w:rPr>
        <w:t>Symbicort</w:t>
      </w:r>
      <w:proofErr w:type="spellEnd"/>
      <w:r w:rsidRPr="00F61E4C">
        <w:rPr>
          <w:sz w:val="24"/>
          <w:szCs w:val="24"/>
        </w:rPr>
        <w:t xml:space="preserve"> vedligeholdelses-behandling ikke anbefales til børn.</w:t>
      </w:r>
    </w:p>
    <w:p w:rsidR="00E0173B" w:rsidRPr="00F61E4C" w:rsidRDefault="00E0173B">
      <w:pPr>
        <w:rPr>
          <w:sz w:val="24"/>
          <w:szCs w:val="24"/>
        </w:rPr>
      </w:pPr>
      <w:r w:rsidRPr="00F61E4C">
        <w:rPr>
          <w:sz w:val="24"/>
          <w:szCs w:val="24"/>
        </w:rPr>
        <w:br w:type="page"/>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b/>
          <w:bCs/>
          <w:sz w:val="24"/>
          <w:szCs w:val="24"/>
        </w:rPr>
      </w:pPr>
      <w:r w:rsidRPr="00F61E4C">
        <w:rPr>
          <w:b/>
          <w:bCs/>
          <w:sz w:val="24"/>
          <w:szCs w:val="24"/>
        </w:rPr>
        <w:t xml:space="preserve">B. </w:t>
      </w:r>
      <w:r w:rsidRPr="00F61E4C">
        <w:rPr>
          <w:b/>
          <w:bCs/>
          <w:sz w:val="24"/>
          <w:szCs w:val="24"/>
        </w:rPr>
        <w:tab/>
      </w:r>
      <w:proofErr w:type="spellStart"/>
      <w:r w:rsidRPr="00F61E4C">
        <w:rPr>
          <w:b/>
          <w:bCs/>
          <w:sz w:val="24"/>
          <w:szCs w:val="24"/>
          <w:u w:val="single"/>
        </w:rPr>
        <w:t>Symbicort</w:t>
      </w:r>
      <w:proofErr w:type="spellEnd"/>
      <w:r w:rsidRPr="00F61E4C">
        <w:rPr>
          <w:b/>
          <w:bCs/>
          <w:sz w:val="24"/>
          <w:szCs w:val="24"/>
          <w:u w:val="single"/>
        </w:rPr>
        <w:t xml:space="preserve"> vedligeholdelses- og behovsbehandling</w:t>
      </w:r>
    </w:p>
    <w:p w:rsidR="00925FAC" w:rsidRPr="00F61E4C" w:rsidRDefault="00925FAC" w:rsidP="00DE54E8">
      <w:pPr>
        <w:tabs>
          <w:tab w:val="left" w:pos="851"/>
        </w:tabs>
        <w:ind w:left="851"/>
        <w:rPr>
          <w:sz w:val="24"/>
          <w:szCs w:val="24"/>
        </w:rPr>
      </w:pPr>
      <w:r w:rsidRPr="00F61E4C">
        <w:rPr>
          <w:sz w:val="24"/>
          <w:szCs w:val="24"/>
        </w:rPr>
        <w:t xml:space="preserve">Patienterne kan tage en daglig vedligeholdelsesdosis af </w:t>
      </w:r>
      <w:proofErr w:type="spellStart"/>
      <w:r w:rsidRPr="00F61E4C">
        <w:rPr>
          <w:sz w:val="24"/>
          <w:szCs w:val="24"/>
        </w:rPr>
        <w:t>Symbicort</w:t>
      </w:r>
      <w:proofErr w:type="spellEnd"/>
      <w:r w:rsidRPr="00F61E4C">
        <w:rPr>
          <w:sz w:val="24"/>
          <w:szCs w:val="24"/>
        </w:rPr>
        <w:t xml:space="preserve"> og kan desuden tage </w:t>
      </w:r>
      <w:proofErr w:type="spellStart"/>
      <w:r w:rsidRPr="00F61E4C">
        <w:rPr>
          <w:sz w:val="24"/>
          <w:szCs w:val="24"/>
        </w:rPr>
        <w:t>Symbicort</w:t>
      </w:r>
      <w:proofErr w:type="spellEnd"/>
      <w:r w:rsidRPr="00F61E4C">
        <w:rPr>
          <w:sz w:val="24"/>
          <w:szCs w:val="24"/>
        </w:rPr>
        <w:t xml:space="preserve"> efter behov afhængig af symptomerne. Patienterne bør rådes til altid at have </w:t>
      </w:r>
      <w:proofErr w:type="spellStart"/>
      <w:r w:rsidRPr="00F61E4C">
        <w:rPr>
          <w:sz w:val="24"/>
          <w:szCs w:val="24"/>
        </w:rPr>
        <w:t>Symbicort</w:t>
      </w:r>
      <w:proofErr w:type="spellEnd"/>
      <w:r w:rsidRPr="00F61E4C">
        <w:rPr>
          <w:sz w:val="24"/>
          <w:szCs w:val="24"/>
        </w:rPr>
        <w:t xml:space="preserve"> tilgængelig til </w:t>
      </w:r>
      <w:proofErr w:type="spellStart"/>
      <w:r w:rsidRPr="00F61E4C">
        <w:rPr>
          <w:sz w:val="24"/>
          <w:szCs w:val="24"/>
        </w:rPr>
        <w:t>anfaldsbrug</w:t>
      </w:r>
      <w:proofErr w:type="spellEnd"/>
      <w:r w:rsidRPr="00F61E4C">
        <w:rPr>
          <w:sz w:val="24"/>
          <w:szCs w:val="24"/>
        </w:rPr>
        <w:t>.</w:t>
      </w:r>
    </w:p>
    <w:p w:rsidR="00925FAC" w:rsidRPr="00F61E4C" w:rsidRDefault="00925FAC" w:rsidP="00DE54E8">
      <w:pPr>
        <w:tabs>
          <w:tab w:val="left" w:pos="851"/>
        </w:tabs>
        <w:ind w:left="851"/>
        <w:rPr>
          <w:sz w:val="24"/>
          <w:szCs w:val="24"/>
        </w:rPr>
      </w:pPr>
    </w:p>
    <w:p w:rsidR="00223920" w:rsidRPr="00925FAC" w:rsidRDefault="00223920" w:rsidP="00223920">
      <w:pPr>
        <w:tabs>
          <w:tab w:val="left" w:pos="851"/>
        </w:tabs>
        <w:ind w:left="851"/>
        <w:rPr>
          <w:sz w:val="24"/>
          <w:szCs w:val="24"/>
        </w:rPr>
      </w:pPr>
      <w:r w:rsidRPr="00925FAC">
        <w:rPr>
          <w:sz w:val="24"/>
          <w:szCs w:val="24"/>
        </w:rPr>
        <w:t xml:space="preserve">For patienter, der tager </w:t>
      </w:r>
      <w:proofErr w:type="spellStart"/>
      <w:r w:rsidRPr="00925FAC">
        <w:rPr>
          <w:sz w:val="24"/>
          <w:szCs w:val="24"/>
        </w:rPr>
        <w:t>Symbicort</w:t>
      </w:r>
      <w:proofErr w:type="spellEnd"/>
      <w:r w:rsidRPr="00925FAC">
        <w:rPr>
          <w:sz w:val="24"/>
          <w:szCs w:val="24"/>
        </w:rPr>
        <w:t xml:space="preserve"> som behovsbehandling, bør præventiv brug af </w:t>
      </w:r>
      <w:proofErr w:type="spellStart"/>
      <w:r w:rsidRPr="00925FAC">
        <w:rPr>
          <w:sz w:val="24"/>
          <w:szCs w:val="24"/>
        </w:rPr>
        <w:t>Symbicort</w:t>
      </w:r>
      <w:proofErr w:type="spellEnd"/>
      <w:r w:rsidRPr="00925FAC">
        <w:rPr>
          <w:sz w:val="24"/>
          <w:szCs w:val="24"/>
        </w:rPr>
        <w:t xml:space="preserve"> til allergen- eller </w:t>
      </w:r>
      <w:r w:rsidRPr="00B12D29">
        <w:rPr>
          <w:sz w:val="24"/>
          <w:szCs w:val="24"/>
        </w:rPr>
        <w:t>motions</w:t>
      </w:r>
      <w:r w:rsidRPr="00925FAC">
        <w:rPr>
          <w:sz w:val="24"/>
          <w:szCs w:val="24"/>
        </w:rPr>
        <w:t xml:space="preserve">induceret </w:t>
      </w:r>
      <w:proofErr w:type="spellStart"/>
      <w:r w:rsidRPr="00925FAC">
        <w:rPr>
          <w:sz w:val="24"/>
          <w:szCs w:val="24"/>
        </w:rPr>
        <w:t>bronkokonstriktion</w:t>
      </w:r>
      <w:proofErr w:type="spellEnd"/>
      <w:r w:rsidRPr="00925FAC">
        <w:rPr>
          <w:sz w:val="24"/>
          <w:szCs w:val="24"/>
        </w:rPr>
        <w:t xml:space="preserve"> diskuteres mellem læge og patient; den anbefalede brug bør tage hensyn til hyppigheden af behov for behandling. I tilfælde af hyppigt behov for </w:t>
      </w:r>
      <w:proofErr w:type="spellStart"/>
      <w:r w:rsidRPr="00925FAC">
        <w:rPr>
          <w:sz w:val="24"/>
          <w:szCs w:val="24"/>
        </w:rPr>
        <w:t>bronkodilatation</w:t>
      </w:r>
      <w:proofErr w:type="spellEnd"/>
      <w:r w:rsidRPr="00925FAC">
        <w:rPr>
          <w:sz w:val="24"/>
          <w:szCs w:val="24"/>
        </w:rPr>
        <w:t xml:space="preserve"> uden tilsvarende behov for en øget dosis af inhalerede </w:t>
      </w:r>
      <w:proofErr w:type="spellStart"/>
      <w:r w:rsidRPr="00925FAC">
        <w:rPr>
          <w:sz w:val="24"/>
          <w:szCs w:val="24"/>
        </w:rPr>
        <w:t>kortikosteroider</w:t>
      </w:r>
      <w:proofErr w:type="spellEnd"/>
      <w:r w:rsidRPr="00925FAC">
        <w:rPr>
          <w:sz w:val="24"/>
          <w:szCs w:val="24"/>
        </w:rPr>
        <w:t>, bør en alternativ behovsbehandling anvendes.</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sz w:val="24"/>
          <w:szCs w:val="24"/>
        </w:rPr>
      </w:pPr>
      <w:proofErr w:type="spellStart"/>
      <w:r w:rsidRPr="00F61E4C">
        <w:rPr>
          <w:sz w:val="24"/>
          <w:szCs w:val="24"/>
        </w:rPr>
        <w:t>Symbicort</w:t>
      </w:r>
      <w:proofErr w:type="spellEnd"/>
      <w:r w:rsidRPr="00F61E4C">
        <w:rPr>
          <w:sz w:val="24"/>
          <w:szCs w:val="24"/>
        </w:rPr>
        <w:t>-vedligeholdelses- og behovsbehandling bør især overvejes til patienter med</w:t>
      </w:r>
    </w:p>
    <w:p w:rsidR="00925FAC" w:rsidRPr="00F61E4C" w:rsidRDefault="00925FAC" w:rsidP="006B563D">
      <w:pPr>
        <w:numPr>
          <w:ilvl w:val="0"/>
          <w:numId w:val="6"/>
        </w:numPr>
        <w:tabs>
          <w:tab w:val="left" w:pos="1134"/>
        </w:tabs>
        <w:ind w:left="851" w:firstLine="0"/>
        <w:rPr>
          <w:sz w:val="24"/>
          <w:szCs w:val="24"/>
        </w:rPr>
      </w:pPr>
      <w:r w:rsidRPr="00F61E4C">
        <w:rPr>
          <w:sz w:val="24"/>
          <w:szCs w:val="24"/>
        </w:rPr>
        <w:t>utilstrækkelig astmakontrol og hyppigt brug af behovsbehandling</w:t>
      </w:r>
    </w:p>
    <w:p w:rsidR="00925FAC" w:rsidRPr="00F61E4C" w:rsidRDefault="00925FAC" w:rsidP="006B563D">
      <w:pPr>
        <w:numPr>
          <w:ilvl w:val="0"/>
          <w:numId w:val="6"/>
        </w:numPr>
        <w:tabs>
          <w:tab w:val="left" w:pos="1134"/>
        </w:tabs>
        <w:ind w:left="851" w:firstLine="0"/>
        <w:rPr>
          <w:sz w:val="24"/>
          <w:szCs w:val="24"/>
        </w:rPr>
      </w:pPr>
      <w:r w:rsidRPr="00F61E4C">
        <w:rPr>
          <w:sz w:val="24"/>
          <w:szCs w:val="24"/>
        </w:rPr>
        <w:t xml:space="preserve">tidligere </w:t>
      </w:r>
      <w:proofErr w:type="spellStart"/>
      <w:r w:rsidRPr="00F61E4C">
        <w:rPr>
          <w:sz w:val="24"/>
          <w:szCs w:val="24"/>
        </w:rPr>
        <w:t>astmaeksacerbationer</w:t>
      </w:r>
      <w:proofErr w:type="spellEnd"/>
      <w:r w:rsidRPr="00F61E4C">
        <w:rPr>
          <w:sz w:val="24"/>
          <w:szCs w:val="24"/>
        </w:rPr>
        <w:t>, der krævede medicinsk intervention</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sz w:val="24"/>
          <w:szCs w:val="24"/>
        </w:rPr>
      </w:pPr>
      <w:r w:rsidRPr="00F61E4C">
        <w:rPr>
          <w:sz w:val="24"/>
          <w:szCs w:val="24"/>
        </w:rPr>
        <w:t xml:space="preserve">Der kræves nøje overvågning af dosisrelaterede bivirkninger hos patienter, der ofte tager et stort antal </w:t>
      </w:r>
      <w:proofErr w:type="spellStart"/>
      <w:r w:rsidRPr="00F61E4C">
        <w:rPr>
          <w:sz w:val="24"/>
          <w:szCs w:val="24"/>
        </w:rPr>
        <w:t>Symbicort</w:t>
      </w:r>
      <w:proofErr w:type="spellEnd"/>
      <w:r w:rsidRPr="00F61E4C">
        <w:rPr>
          <w:sz w:val="24"/>
          <w:szCs w:val="24"/>
        </w:rPr>
        <w:t>-doser efter behov.</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iCs/>
          <w:sz w:val="24"/>
          <w:szCs w:val="24"/>
          <w:u w:val="single"/>
        </w:rPr>
      </w:pPr>
      <w:r w:rsidRPr="00F61E4C">
        <w:rPr>
          <w:iCs/>
          <w:sz w:val="24"/>
          <w:szCs w:val="24"/>
          <w:u w:val="single"/>
        </w:rPr>
        <w:t>Anbefale</w:t>
      </w:r>
      <w:r w:rsidR="00E0173B" w:rsidRPr="00F61E4C">
        <w:rPr>
          <w:iCs/>
          <w:sz w:val="24"/>
          <w:szCs w:val="24"/>
          <w:u w:val="single"/>
        </w:rPr>
        <w:t>t dosis</w:t>
      </w:r>
    </w:p>
    <w:p w:rsidR="00E0173B" w:rsidRPr="00F61E4C" w:rsidRDefault="00E0173B" w:rsidP="00DE54E8">
      <w:pPr>
        <w:tabs>
          <w:tab w:val="left" w:pos="851"/>
        </w:tabs>
        <w:ind w:left="851"/>
        <w:rPr>
          <w:i/>
          <w:iCs/>
          <w:sz w:val="24"/>
          <w:szCs w:val="24"/>
        </w:rPr>
      </w:pPr>
    </w:p>
    <w:p w:rsidR="00E0173B" w:rsidRPr="00F61E4C" w:rsidRDefault="00925FAC" w:rsidP="00DE54E8">
      <w:pPr>
        <w:tabs>
          <w:tab w:val="left" w:pos="851"/>
        </w:tabs>
        <w:ind w:left="851"/>
        <w:rPr>
          <w:sz w:val="24"/>
          <w:szCs w:val="24"/>
        </w:rPr>
      </w:pPr>
      <w:r w:rsidRPr="00F61E4C">
        <w:rPr>
          <w:i/>
          <w:iCs/>
          <w:sz w:val="24"/>
          <w:szCs w:val="24"/>
        </w:rPr>
        <w:t>Voksne og unge (12 år og ældre):</w:t>
      </w:r>
      <w:r w:rsidRPr="00F61E4C">
        <w:rPr>
          <w:sz w:val="24"/>
          <w:szCs w:val="24"/>
        </w:rPr>
        <w:t xml:space="preserve"> Den anbefalede vedligeholdelsesdosis er 4 tryk pr. dag, </w:t>
      </w:r>
    </w:p>
    <w:p w:rsidR="00925FAC" w:rsidRPr="00F61E4C" w:rsidRDefault="00925FAC" w:rsidP="00DE54E8">
      <w:pPr>
        <w:tabs>
          <w:tab w:val="left" w:pos="851"/>
        </w:tabs>
        <w:ind w:left="851"/>
        <w:rPr>
          <w:sz w:val="24"/>
          <w:szCs w:val="24"/>
        </w:rPr>
      </w:pPr>
      <w:r w:rsidRPr="00F61E4C">
        <w:rPr>
          <w:sz w:val="24"/>
          <w:szCs w:val="24"/>
        </w:rPr>
        <w:t xml:space="preserve">enten som 2 tryk om morgenen og om aftenen eller som 4 tryk enten om morgenen eller om aftenen. For nogle patienter kan en vedligeholdelsesdosis på 4 tryk to gange </w:t>
      </w:r>
      <w:r w:rsidR="00BA39D0" w:rsidRPr="00F61E4C">
        <w:rPr>
          <w:sz w:val="24"/>
          <w:szCs w:val="24"/>
        </w:rPr>
        <w:t>daglig</w:t>
      </w:r>
      <w:r w:rsidRPr="00F61E4C">
        <w:rPr>
          <w:sz w:val="24"/>
          <w:szCs w:val="24"/>
        </w:rPr>
        <w:t xml:space="preserve"> være passende. Patienterne skal tage yderligere 2 tryk efter behov når der opstår symptomer. Hvis symptomerne vedvarer efter nogle få minutter, skal der tages yderligere 2 tryk. Der må ikke tages mere end 12 tryk på en gang.</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sz w:val="24"/>
          <w:szCs w:val="24"/>
        </w:rPr>
      </w:pPr>
      <w:r w:rsidRPr="00F61E4C">
        <w:rPr>
          <w:sz w:val="24"/>
          <w:szCs w:val="24"/>
        </w:rPr>
        <w:t xml:space="preserve">En samlet daglig dosis på mere end 16 tryk er normalt ikke nødvendig; en total daglig dosis på op til 24 tryk kan imidlertid anvendes i en begrænset periode. Patienter, der bruger mere end 16 tryk </w:t>
      </w:r>
      <w:r w:rsidR="00BA39D0" w:rsidRPr="00F61E4C">
        <w:rPr>
          <w:sz w:val="24"/>
          <w:szCs w:val="24"/>
        </w:rPr>
        <w:t>daglig</w:t>
      </w:r>
      <w:r w:rsidRPr="00F61E4C">
        <w:rPr>
          <w:sz w:val="24"/>
          <w:szCs w:val="24"/>
        </w:rPr>
        <w:t>, bør stærkt anbefales at søge læge. De skal revurderes, og deres vedligeholdelsesbehandling bør tages op til fornyet overvejelse.</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sz w:val="24"/>
          <w:szCs w:val="24"/>
        </w:rPr>
      </w:pPr>
      <w:r w:rsidRPr="00F61E4C">
        <w:rPr>
          <w:i/>
          <w:iCs/>
          <w:sz w:val="24"/>
          <w:szCs w:val="24"/>
        </w:rPr>
        <w:t xml:space="preserve">Børn under 12 år: </w:t>
      </w:r>
      <w:proofErr w:type="spellStart"/>
      <w:r w:rsidRPr="00F61E4C">
        <w:rPr>
          <w:sz w:val="24"/>
          <w:szCs w:val="24"/>
        </w:rPr>
        <w:t>Symbicort</w:t>
      </w:r>
      <w:proofErr w:type="spellEnd"/>
      <w:r w:rsidRPr="00F61E4C">
        <w:rPr>
          <w:sz w:val="24"/>
          <w:szCs w:val="24"/>
        </w:rPr>
        <w:t xml:space="preserve"> vedligeholdelses- og behovsbehandling anbefales ikke til børn.</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b/>
          <w:bCs/>
          <w:sz w:val="24"/>
          <w:szCs w:val="24"/>
        </w:rPr>
      </w:pPr>
      <w:r w:rsidRPr="00F61E4C">
        <w:rPr>
          <w:b/>
          <w:bCs/>
          <w:sz w:val="24"/>
          <w:szCs w:val="24"/>
        </w:rPr>
        <w:t>Generel information</w:t>
      </w:r>
    </w:p>
    <w:p w:rsidR="00925FAC" w:rsidRPr="00F61E4C" w:rsidRDefault="00925FAC" w:rsidP="00DE54E8">
      <w:pPr>
        <w:tabs>
          <w:tab w:val="left" w:pos="851"/>
        </w:tabs>
        <w:ind w:left="851"/>
        <w:rPr>
          <w:bCs/>
          <w:sz w:val="24"/>
          <w:szCs w:val="24"/>
        </w:rPr>
      </w:pPr>
    </w:p>
    <w:p w:rsidR="00925FAC" w:rsidRPr="00F61E4C" w:rsidRDefault="00925FAC" w:rsidP="00DE54E8">
      <w:pPr>
        <w:tabs>
          <w:tab w:val="left" w:pos="851"/>
        </w:tabs>
        <w:ind w:left="851"/>
        <w:rPr>
          <w:b/>
          <w:sz w:val="24"/>
          <w:szCs w:val="24"/>
        </w:rPr>
      </w:pPr>
      <w:r w:rsidRPr="00F61E4C">
        <w:rPr>
          <w:i/>
          <w:sz w:val="24"/>
          <w:szCs w:val="24"/>
        </w:rPr>
        <w:t>Særlige patientgrupper</w:t>
      </w:r>
    </w:p>
    <w:p w:rsidR="00925FAC" w:rsidRPr="00F61E4C" w:rsidRDefault="00925FAC" w:rsidP="00DE54E8">
      <w:pPr>
        <w:tabs>
          <w:tab w:val="left" w:pos="851"/>
        </w:tabs>
        <w:ind w:left="851"/>
        <w:rPr>
          <w:sz w:val="24"/>
          <w:szCs w:val="24"/>
        </w:rPr>
      </w:pPr>
      <w:r w:rsidRPr="00F61E4C">
        <w:rPr>
          <w:sz w:val="24"/>
          <w:szCs w:val="24"/>
        </w:rPr>
        <w:t xml:space="preserve">Der er ikke specielle doseringskrav til ældre patienter. Der foreligger ingen data for anvendelse af </w:t>
      </w:r>
      <w:proofErr w:type="spellStart"/>
      <w:r w:rsidRPr="00F61E4C">
        <w:rPr>
          <w:sz w:val="24"/>
          <w:szCs w:val="24"/>
        </w:rPr>
        <w:t>Symbicort</w:t>
      </w:r>
      <w:proofErr w:type="spellEnd"/>
      <w:r w:rsidRPr="00F61E4C">
        <w:rPr>
          <w:sz w:val="24"/>
          <w:szCs w:val="24"/>
        </w:rPr>
        <w:t xml:space="preserve"> til patienter med nedsat lever- eller nyrefunktion. Da </w:t>
      </w:r>
      <w:proofErr w:type="spellStart"/>
      <w:r w:rsidRPr="00F61E4C">
        <w:rPr>
          <w:sz w:val="24"/>
          <w:szCs w:val="24"/>
        </w:rPr>
        <w:t>budesonid</w:t>
      </w:r>
      <w:proofErr w:type="spellEnd"/>
      <w:r w:rsidRPr="00F61E4C">
        <w:rPr>
          <w:sz w:val="24"/>
          <w:szCs w:val="24"/>
        </w:rPr>
        <w:t xml:space="preserve"> og </w:t>
      </w:r>
      <w:proofErr w:type="spellStart"/>
      <w:r w:rsidRPr="00F61E4C">
        <w:rPr>
          <w:sz w:val="24"/>
          <w:szCs w:val="24"/>
        </w:rPr>
        <w:t>formoterol</w:t>
      </w:r>
      <w:proofErr w:type="spellEnd"/>
      <w:r w:rsidRPr="00F61E4C">
        <w:rPr>
          <w:sz w:val="24"/>
          <w:szCs w:val="24"/>
        </w:rPr>
        <w:t xml:space="preserve"> primært udskilles via </w:t>
      </w:r>
      <w:proofErr w:type="spellStart"/>
      <w:r w:rsidRPr="00F61E4C">
        <w:rPr>
          <w:sz w:val="24"/>
          <w:szCs w:val="24"/>
        </w:rPr>
        <w:t>metabolisering</w:t>
      </w:r>
      <w:proofErr w:type="spellEnd"/>
      <w:r w:rsidRPr="00F61E4C">
        <w:rPr>
          <w:sz w:val="24"/>
          <w:szCs w:val="24"/>
        </w:rPr>
        <w:t xml:space="preserve"> i leveren kan der forventes en øget eksponering hos patienter med svær </w:t>
      </w:r>
      <w:proofErr w:type="spellStart"/>
      <w:r w:rsidRPr="00F61E4C">
        <w:rPr>
          <w:sz w:val="24"/>
          <w:szCs w:val="24"/>
        </w:rPr>
        <w:t>levercirrhose</w:t>
      </w:r>
      <w:proofErr w:type="spellEnd"/>
      <w:r w:rsidRPr="00F61E4C">
        <w:rPr>
          <w:sz w:val="24"/>
          <w:szCs w:val="24"/>
        </w:rPr>
        <w:t>.</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b/>
          <w:sz w:val="24"/>
          <w:szCs w:val="24"/>
        </w:rPr>
      </w:pPr>
      <w:r w:rsidRPr="00F61E4C">
        <w:rPr>
          <w:b/>
          <w:sz w:val="24"/>
          <w:szCs w:val="24"/>
        </w:rPr>
        <w:t xml:space="preserve">Instruktioner vedrørende korrekt anvendelse af </w:t>
      </w:r>
      <w:proofErr w:type="spellStart"/>
      <w:r w:rsidRPr="00F61E4C">
        <w:rPr>
          <w:b/>
          <w:sz w:val="24"/>
          <w:szCs w:val="24"/>
        </w:rPr>
        <w:t>Symbicort</w:t>
      </w:r>
      <w:proofErr w:type="spellEnd"/>
    </w:p>
    <w:p w:rsidR="00925FAC" w:rsidRPr="00F61E4C" w:rsidRDefault="00925FAC" w:rsidP="00DE54E8">
      <w:pPr>
        <w:tabs>
          <w:tab w:val="left" w:pos="851"/>
        </w:tabs>
        <w:ind w:left="851"/>
        <w:rPr>
          <w:sz w:val="24"/>
          <w:szCs w:val="24"/>
        </w:rPr>
      </w:pPr>
      <w:r w:rsidRPr="00F61E4C">
        <w:rPr>
          <w:sz w:val="24"/>
          <w:szCs w:val="24"/>
        </w:rPr>
        <w:t xml:space="preserve">Ved tryk på </w:t>
      </w:r>
      <w:proofErr w:type="spellStart"/>
      <w:r w:rsidRPr="00F61E4C">
        <w:rPr>
          <w:sz w:val="24"/>
          <w:szCs w:val="24"/>
        </w:rPr>
        <w:t>Symbicort</w:t>
      </w:r>
      <w:proofErr w:type="spellEnd"/>
      <w:r w:rsidRPr="00F61E4C">
        <w:rPr>
          <w:sz w:val="24"/>
          <w:szCs w:val="24"/>
        </w:rPr>
        <w:t xml:space="preserve"> bliver der afgivet et volumen af suspensionen fra beholderen i høj fart. Når patienten inhalerer gennem mundstykket samtidig med aktivering af inhalatoren, vil stoffet følge den inhalerede luft ned i luftvejene.</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sz w:val="24"/>
          <w:szCs w:val="24"/>
        </w:rPr>
      </w:pPr>
      <w:r w:rsidRPr="00F61E4C">
        <w:rPr>
          <w:sz w:val="24"/>
          <w:szCs w:val="24"/>
        </w:rPr>
        <w:t xml:space="preserve">Anvendelse af en spacerenhed (f.eks. </w:t>
      </w:r>
      <w:proofErr w:type="spellStart"/>
      <w:r w:rsidRPr="00F61E4C">
        <w:rPr>
          <w:b/>
          <w:bCs/>
          <w:i/>
          <w:iCs/>
          <w:sz w:val="24"/>
          <w:szCs w:val="24"/>
        </w:rPr>
        <w:t>AeroChamber</w:t>
      </w:r>
      <w:proofErr w:type="spellEnd"/>
      <w:r w:rsidRPr="00F61E4C">
        <w:rPr>
          <w:b/>
          <w:bCs/>
          <w:i/>
          <w:iCs/>
          <w:sz w:val="24"/>
          <w:szCs w:val="24"/>
        </w:rPr>
        <w:t xml:space="preserve"> Plus Flow Vu eller </w:t>
      </w:r>
      <w:proofErr w:type="spellStart"/>
      <w:r w:rsidRPr="00F61E4C">
        <w:rPr>
          <w:b/>
          <w:bCs/>
          <w:i/>
          <w:iCs/>
          <w:sz w:val="24"/>
          <w:szCs w:val="24"/>
        </w:rPr>
        <w:t>AeroChamber</w:t>
      </w:r>
      <w:proofErr w:type="spellEnd"/>
      <w:r w:rsidRPr="00F61E4C">
        <w:rPr>
          <w:b/>
          <w:bCs/>
          <w:i/>
          <w:iCs/>
          <w:sz w:val="24"/>
          <w:szCs w:val="24"/>
        </w:rPr>
        <w:t xml:space="preserve"> Plus</w:t>
      </w:r>
      <w:r w:rsidRPr="00F61E4C">
        <w:rPr>
          <w:sz w:val="24"/>
          <w:szCs w:val="24"/>
        </w:rPr>
        <w:t xml:space="preserve">) med </w:t>
      </w:r>
      <w:proofErr w:type="spellStart"/>
      <w:r w:rsidRPr="00F61E4C">
        <w:rPr>
          <w:sz w:val="24"/>
          <w:szCs w:val="24"/>
        </w:rPr>
        <w:t>Symbicort</w:t>
      </w:r>
      <w:proofErr w:type="spellEnd"/>
      <w:r w:rsidRPr="00F61E4C">
        <w:rPr>
          <w:sz w:val="24"/>
          <w:szCs w:val="24"/>
        </w:rPr>
        <w:t xml:space="preserve"> (inhalationsspray, suspension) anbefales normalt, især hos patienter, </w:t>
      </w:r>
      <w:r w:rsidRPr="00F61E4C">
        <w:rPr>
          <w:sz w:val="24"/>
          <w:szCs w:val="24"/>
        </w:rPr>
        <w:lastRenderedPageBreak/>
        <w:t>der har eller sandsynligvis vil få problemer med at koordinere aktivering med inhalation (se pkt. 5.2).</w:t>
      </w:r>
    </w:p>
    <w:p w:rsidR="00925FAC" w:rsidRPr="00F61E4C" w:rsidRDefault="00925FAC" w:rsidP="00DE54E8">
      <w:pPr>
        <w:tabs>
          <w:tab w:val="left" w:pos="851"/>
        </w:tabs>
        <w:ind w:left="851"/>
        <w:rPr>
          <w:sz w:val="24"/>
          <w:szCs w:val="24"/>
        </w:rPr>
      </w:pPr>
    </w:p>
    <w:p w:rsidR="00925FAC" w:rsidRPr="00F61E4C" w:rsidRDefault="00925FAC" w:rsidP="00DE54E8">
      <w:pPr>
        <w:tabs>
          <w:tab w:val="left" w:pos="851"/>
        </w:tabs>
        <w:ind w:left="851"/>
        <w:rPr>
          <w:sz w:val="24"/>
          <w:szCs w:val="24"/>
        </w:rPr>
      </w:pPr>
      <w:r w:rsidRPr="00F61E4C">
        <w:rPr>
          <w:b/>
          <w:sz w:val="24"/>
          <w:szCs w:val="24"/>
        </w:rPr>
        <w:t xml:space="preserve">Bemærk: </w:t>
      </w:r>
      <w:r w:rsidRPr="00F61E4C">
        <w:rPr>
          <w:sz w:val="24"/>
          <w:szCs w:val="24"/>
        </w:rPr>
        <w:t xml:space="preserve">Patienterne bør instrueres i korrekt brug og vedligeholdelse af deres inhalator og </w:t>
      </w:r>
      <w:proofErr w:type="spellStart"/>
      <w:r w:rsidRPr="00F61E4C">
        <w:rPr>
          <w:sz w:val="24"/>
          <w:szCs w:val="24"/>
        </w:rPr>
        <w:t>spacer</w:t>
      </w:r>
      <w:proofErr w:type="spellEnd"/>
      <w:r w:rsidRPr="00F61E4C">
        <w:rPr>
          <w:sz w:val="24"/>
          <w:szCs w:val="24"/>
        </w:rPr>
        <w:t xml:space="preserve">, og deres inhalationsteknik skal kontrolleres for at sikre optimal indgivelse ved inhalation af lægemidler i lungerne. </w:t>
      </w:r>
      <w:r w:rsidRPr="00F61E4C">
        <w:rPr>
          <w:bCs/>
          <w:sz w:val="24"/>
          <w:szCs w:val="24"/>
        </w:rPr>
        <w:t>D</w:t>
      </w:r>
      <w:r w:rsidRPr="00F61E4C">
        <w:rPr>
          <w:sz w:val="24"/>
          <w:szCs w:val="24"/>
        </w:rPr>
        <w:t>et er vigtigt at instruere patienten i følgende:</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Læs instruktionen i indlægssedlen grundigt. Indlægssedlen er pakket sammen med inhalatoren.</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 xml:space="preserve">Hvis der skal bruges en </w:t>
      </w:r>
      <w:proofErr w:type="spellStart"/>
      <w:r w:rsidRPr="00F61E4C">
        <w:rPr>
          <w:sz w:val="24"/>
          <w:szCs w:val="24"/>
        </w:rPr>
        <w:t>spacer</w:t>
      </w:r>
      <w:proofErr w:type="spellEnd"/>
      <w:r w:rsidRPr="00F61E4C">
        <w:rPr>
          <w:sz w:val="24"/>
          <w:szCs w:val="24"/>
        </w:rPr>
        <w:t>, skal brugsanvisningen, som følger med hver spacerenhed, læses omhyggeligt.</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Anvend ikke inhalatoren, hvis tørremidlet, som er ilagt pakningen, er lækket fra sin emballage.</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Ryst inhalatoren godt i mindst 5 sekunder inden hver brug, så indholdet bliver blandet korrekt.</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Klargør inhalatoren ved at aktivere den to gange ud i luften, når inhalatoren er ny, ikke har været anvendt i mere end en uge eller hvis den har været tabt.</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Fjern mundstykkets hætte.</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Hold inhalatoren lodret.</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Placer mundstykket i munden. Mens vejret trækkes ind langsomt og dybt, trykkes hårdt på apparatet for at frigive medicinen. Patienten skal fortsætte med at trække vejret ind og holde vejret i ca. 10 sekunder eller så længe som det er behageligt. Ved indånding på samme tidspunkt som inhalatoren aktiveres sikres det, at de aktive stoffer når lungerne.</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Ryst inhalatoren igen og gentag.</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Sæt mundstykkets hætte på igen efter brug.</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Skyl munden med vand efter inhalation af vedligeholdelsesdosen for at minimere risikoen for trøske i mund og svælg. Hvis der opstår trøske, skal patienten også skylle munden med vand efter inhalationer, som tages efter behov.</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Rens inhalatorens mundstykke regelmæssigt, mindst én gang om ugen, med en ren, tør klud.</w:t>
      </w:r>
    </w:p>
    <w:p w:rsidR="00925FAC" w:rsidRPr="00F61E4C" w:rsidRDefault="00925FAC" w:rsidP="00451F57">
      <w:pPr>
        <w:numPr>
          <w:ilvl w:val="0"/>
          <w:numId w:val="7"/>
        </w:numPr>
        <w:tabs>
          <w:tab w:val="left" w:pos="1134"/>
        </w:tabs>
        <w:ind w:left="1134" w:hanging="283"/>
        <w:rPr>
          <w:sz w:val="24"/>
          <w:szCs w:val="24"/>
        </w:rPr>
      </w:pPr>
      <w:r w:rsidRPr="00F61E4C">
        <w:rPr>
          <w:sz w:val="24"/>
          <w:szCs w:val="24"/>
        </w:rPr>
        <w:t>Kom ikke inhalatoren i vand.</w:t>
      </w:r>
    </w:p>
    <w:p w:rsidR="009260DE" w:rsidRPr="00F61E4C" w:rsidRDefault="009260DE" w:rsidP="00DE54E8">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4.3</w:t>
      </w:r>
      <w:r w:rsidRPr="00F61E4C">
        <w:rPr>
          <w:b/>
          <w:sz w:val="24"/>
          <w:szCs w:val="24"/>
        </w:rPr>
        <w:tab/>
        <w:t>Kontraindikationer</w:t>
      </w:r>
    </w:p>
    <w:p w:rsidR="00451F57" w:rsidRPr="00F61E4C" w:rsidRDefault="00451F57" w:rsidP="00451F57">
      <w:pPr>
        <w:ind w:left="851"/>
        <w:rPr>
          <w:sz w:val="24"/>
          <w:szCs w:val="24"/>
        </w:rPr>
      </w:pPr>
      <w:r w:rsidRPr="00F61E4C">
        <w:rPr>
          <w:sz w:val="24"/>
          <w:szCs w:val="24"/>
        </w:rPr>
        <w:t>Overfølsomhed over for de aktive stoffer eller over for et eller flere af hjælpestofferne anført i pkt. 6.1.</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4.4</w:t>
      </w:r>
      <w:r w:rsidRPr="00F61E4C">
        <w:rPr>
          <w:b/>
          <w:sz w:val="24"/>
          <w:szCs w:val="24"/>
        </w:rPr>
        <w:tab/>
        <w:t>Særlige advarsler og forsigtighedsregler vedrørende brugen</w:t>
      </w:r>
    </w:p>
    <w:p w:rsidR="00223920" w:rsidRPr="008C355A" w:rsidRDefault="00223920" w:rsidP="00223920">
      <w:pPr>
        <w:autoSpaceDE w:val="0"/>
        <w:autoSpaceDN w:val="0"/>
        <w:adjustRightInd w:val="0"/>
        <w:ind w:left="851"/>
        <w:rPr>
          <w:sz w:val="24"/>
          <w:szCs w:val="24"/>
          <w:lang w:eastAsia="en-GB"/>
        </w:rPr>
      </w:pPr>
      <w:r>
        <w:rPr>
          <w:sz w:val="24"/>
          <w:szCs w:val="24"/>
          <w:u w:val="single"/>
          <w:lang w:eastAsia="en-GB"/>
        </w:rPr>
        <w:t>Doseringsanbefaling</w:t>
      </w:r>
    </w:p>
    <w:p w:rsidR="00223920" w:rsidRDefault="00223920" w:rsidP="00223920">
      <w:pPr>
        <w:autoSpaceDE w:val="0"/>
        <w:autoSpaceDN w:val="0"/>
        <w:adjustRightInd w:val="0"/>
        <w:ind w:left="851"/>
        <w:rPr>
          <w:sz w:val="24"/>
          <w:szCs w:val="24"/>
          <w:lang w:eastAsia="en-GB"/>
        </w:rPr>
      </w:pPr>
      <w:r>
        <w:rPr>
          <w:sz w:val="24"/>
          <w:szCs w:val="24"/>
          <w:lang w:eastAsia="en-GB"/>
        </w:rPr>
        <w:t xml:space="preserve">Når astmasymptomerne er under kontrol, kan det overvejes gradvist at reducere dosis af </w:t>
      </w:r>
      <w:proofErr w:type="spellStart"/>
      <w:r>
        <w:rPr>
          <w:sz w:val="24"/>
          <w:szCs w:val="24"/>
          <w:lang w:eastAsia="en-GB"/>
        </w:rPr>
        <w:t>Symbicort</w:t>
      </w:r>
      <w:proofErr w:type="spellEnd"/>
      <w:r>
        <w:rPr>
          <w:sz w:val="24"/>
          <w:szCs w:val="24"/>
          <w:lang w:eastAsia="en-GB"/>
        </w:rPr>
        <w:t xml:space="preserve">. Regelmæssig gennemgang af patienterne er vigtig, når behandlingen trappes ned. Den laveste effektive dosis af </w:t>
      </w:r>
      <w:proofErr w:type="spellStart"/>
      <w:r>
        <w:rPr>
          <w:sz w:val="24"/>
          <w:szCs w:val="24"/>
          <w:lang w:eastAsia="en-GB"/>
        </w:rPr>
        <w:t>Symbicort</w:t>
      </w:r>
      <w:proofErr w:type="spellEnd"/>
      <w:r>
        <w:rPr>
          <w:sz w:val="24"/>
          <w:szCs w:val="24"/>
          <w:lang w:eastAsia="en-GB"/>
        </w:rPr>
        <w:t xml:space="preserve"> skal anvendes (se pkt. 4.2).</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Patienterne bør rådes til altid at have deres </w:t>
      </w:r>
      <w:proofErr w:type="spellStart"/>
      <w:r>
        <w:rPr>
          <w:sz w:val="24"/>
          <w:szCs w:val="24"/>
          <w:lang w:eastAsia="en-GB"/>
        </w:rPr>
        <w:t>anfaldsinhalator</w:t>
      </w:r>
      <w:proofErr w:type="spellEnd"/>
      <w:r>
        <w:rPr>
          <w:sz w:val="24"/>
          <w:szCs w:val="24"/>
          <w:lang w:eastAsia="en-GB"/>
        </w:rPr>
        <w:t xml:space="preserve"> til rådighed, enten </w:t>
      </w:r>
      <w:proofErr w:type="spellStart"/>
      <w:r>
        <w:rPr>
          <w:sz w:val="24"/>
          <w:szCs w:val="24"/>
          <w:lang w:eastAsia="en-GB"/>
        </w:rPr>
        <w:t>Symbicort</w:t>
      </w:r>
      <w:proofErr w:type="spellEnd"/>
      <w:r>
        <w:rPr>
          <w:sz w:val="24"/>
          <w:szCs w:val="24"/>
          <w:lang w:eastAsia="en-GB"/>
        </w:rPr>
        <w:t xml:space="preserve"> (til patienter, der bruger </w:t>
      </w:r>
      <w:proofErr w:type="spellStart"/>
      <w:r>
        <w:rPr>
          <w:sz w:val="24"/>
          <w:szCs w:val="24"/>
          <w:lang w:eastAsia="en-GB"/>
        </w:rPr>
        <w:t>Symbicort</w:t>
      </w:r>
      <w:proofErr w:type="spellEnd"/>
      <w:r>
        <w:rPr>
          <w:sz w:val="24"/>
          <w:szCs w:val="24"/>
          <w:lang w:eastAsia="en-GB"/>
        </w:rPr>
        <w:t xml:space="preserve"> som vedligeholdelses- og behovsbehandling) eller en separat hurtigvirkende </w:t>
      </w:r>
      <w:proofErr w:type="spellStart"/>
      <w:r>
        <w:rPr>
          <w:sz w:val="24"/>
          <w:szCs w:val="24"/>
          <w:lang w:eastAsia="en-GB"/>
        </w:rPr>
        <w:t>bronkodilatator</w:t>
      </w:r>
      <w:proofErr w:type="spellEnd"/>
      <w:r>
        <w:rPr>
          <w:sz w:val="24"/>
          <w:szCs w:val="24"/>
          <w:lang w:eastAsia="en-GB"/>
        </w:rPr>
        <w:t xml:space="preserve"> (kun til patienter, der bruger </w:t>
      </w:r>
      <w:proofErr w:type="spellStart"/>
      <w:r>
        <w:rPr>
          <w:sz w:val="24"/>
          <w:szCs w:val="24"/>
          <w:lang w:eastAsia="en-GB"/>
        </w:rPr>
        <w:t>Symbicort</w:t>
      </w:r>
      <w:proofErr w:type="spellEnd"/>
      <w:r>
        <w:rPr>
          <w:sz w:val="24"/>
          <w:szCs w:val="24"/>
          <w:lang w:eastAsia="en-GB"/>
        </w:rPr>
        <w:t xml:space="preserve"> som vedligeholdelsesbehandling).</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Patienterne bør mindes om at tage deres vedligeholdelsesdosis af </w:t>
      </w:r>
      <w:proofErr w:type="spellStart"/>
      <w:r>
        <w:rPr>
          <w:sz w:val="24"/>
          <w:szCs w:val="24"/>
          <w:lang w:eastAsia="en-GB"/>
        </w:rPr>
        <w:t>Symbicort</w:t>
      </w:r>
      <w:proofErr w:type="spellEnd"/>
      <w:r>
        <w:rPr>
          <w:sz w:val="24"/>
          <w:szCs w:val="24"/>
          <w:lang w:eastAsia="en-GB"/>
        </w:rPr>
        <w:t xml:space="preserve"> efter lægens anvisning, selv når de ikke har symptomer.</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sidRPr="002F594B">
        <w:rPr>
          <w:szCs w:val="24"/>
        </w:rPr>
        <w:lastRenderedPageBreak/>
        <w:t xml:space="preserve">For at minimere risikoen for </w:t>
      </w:r>
      <w:proofErr w:type="spellStart"/>
      <w:r w:rsidRPr="002F594B">
        <w:rPr>
          <w:szCs w:val="24"/>
        </w:rPr>
        <w:t>candidainfektioner</w:t>
      </w:r>
      <w:proofErr w:type="spellEnd"/>
      <w:r w:rsidRPr="002F594B">
        <w:rPr>
          <w:szCs w:val="24"/>
        </w:rPr>
        <w:t xml:space="preserve"> i mund og svælg </w:t>
      </w:r>
      <w:r>
        <w:rPr>
          <w:szCs w:val="24"/>
        </w:rPr>
        <w:t xml:space="preserve">(se pkt. 4.8) </w:t>
      </w:r>
      <w:r w:rsidRPr="002F594B">
        <w:rPr>
          <w:szCs w:val="24"/>
        </w:rPr>
        <w:t>bør patienten skylle munden med vand efter inhalation af vedligeholdelsesdosis. Hvis der opstår trøske skal patienterne også skylle munden med vand i forbindelse med inhalationer efter behov.</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Det anbefales, at dosis nedtrappes, når behandlingen afbrydes og ikke pludseligt seponeres. Fuldstændig </w:t>
      </w:r>
      <w:proofErr w:type="spellStart"/>
      <w:r>
        <w:rPr>
          <w:sz w:val="24"/>
          <w:szCs w:val="24"/>
          <w:lang w:eastAsia="en-GB"/>
        </w:rPr>
        <w:t>seponering</w:t>
      </w:r>
      <w:proofErr w:type="spellEnd"/>
      <w:r>
        <w:rPr>
          <w:sz w:val="24"/>
          <w:szCs w:val="24"/>
          <w:lang w:eastAsia="en-GB"/>
        </w:rPr>
        <w:t xml:space="preserve"> af inhalerede </w:t>
      </w:r>
      <w:proofErr w:type="spellStart"/>
      <w:r>
        <w:rPr>
          <w:sz w:val="24"/>
          <w:szCs w:val="24"/>
          <w:lang w:eastAsia="en-GB"/>
        </w:rPr>
        <w:t>kortikosteroider</w:t>
      </w:r>
      <w:proofErr w:type="spellEnd"/>
      <w:r>
        <w:rPr>
          <w:sz w:val="24"/>
          <w:szCs w:val="24"/>
          <w:lang w:eastAsia="en-GB"/>
        </w:rPr>
        <w:t xml:space="preserve"> bør ikke overvejes, medmindre det midlertidigt er nødvendigt for at bekræfte diagnosen astma.</w:t>
      </w:r>
    </w:p>
    <w:p w:rsidR="00223920" w:rsidRDefault="00223920" w:rsidP="00223920">
      <w:pPr>
        <w:autoSpaceDE w:val="0"/>
        <w:autoSpaceDN w:val="0"/>
        <w:adjustRightInd w:val="0"/>
        <w:ind w:left="851"/>
        <w:rPr>
          <w:sz w:val="24"/>
          <w:szCs w:val="24"/>
          <w:lang w:eastAsia="en-GB"/>
        </w:rPr>
      </w:pPr>
    </w:p>
    <w:p w:rsidR="00223920" w:rsidRPr="00795DCD" w:rsidRDefault="00223920" w:rsidP="00223920">
      <w:pPr>
        <w:autoSpaceDE w:val="0"/>
        <w:autoSpaceDN w:val="0"/>
        <w:adjustRightInd w:val="0"/>
        <w:ind w:left="851"/>
        <w:rPr>
          <w:sz w:val="24"/>
          <w:szCs w:val="24"/>
          <w:lang w:eastAsia="en-GB"/>
        </w:rPr>
      </w:pPr>
      <w:r>
        <w:rPr>
          <w:sz w:val="24"/>
          <w:szCs w:val="24"/>
          <w:u w:val="single"/>
          <w:lang w:eastAsia="en-GB"/>
        </w:rPr>
        <w:t>Sygdomsforværring</w:t>
      </w:r>
    </w:p>
    <w:p w:rsidR="00223920" w:rsidRDefault="00223920" w:rsidP="00223920">
      <w:pPr>
        <w:autoSpaceDE w:val="0"/>
        <w:autoSpaceDN w:val="0"/>
        <w:adjustRightInd w:val="0"/>
        <w:ind w:left="851"/>
        <w:rPr>
          <w:sz w:val="24"/>
          <w:szCs w:val="24"/>
          <w:lang w:eastAsia="en-GB"/>
        </w:rPr>
      </w:pPr>
      <w:r>
        <w:rPr>
          <w:sz w:val="24"/>
          <w:szCs w:val="24"/>
          <w:lang w:eastAsia="en-GB"/>
        </w:rPr>
        <w:t xml:space="preserve">Alvorlige astma-relaterede bivirkninger og </w:t>
      </w:r>
      <w:proofErr w:type="spellStart"/>
      <w:r>
        <w:rPr>
          <w:sz w:val="24"/>
          <w:szCs w:val="24"/>
          <w:lang w:eastAsia="en-GB"/>
        </w:rPr>
        <w:t>eksacerbationer</w:t>
      </w:r>
      <w:proofErr w:type="spellEnd"/>
      <w:r>
        <w:rPr>
          <w:sz w:val="24"/>
          <w:szCs w:val="24"/>
          <w:lang w:eastAsia="en-GB"/>
        </w:rPr>
        <w:t xml:space="preserve"> kan forekomme under behandling med </w:t>
      </w:r>
      <w:proofErr w:type="spellStart"/>
      <w:r>
        <w:rPr>
          <w:sz w:val="24"/>
          <w:szCs w:val="24"/>
          <w:lang w:eastAsia="en-GB"/>
        </w:rPr>
        <w:t>Symbicort</w:t>
      </w:r>
      <w:proofErr w:type="spellEnd"/>
      <w:r>
        <w:rPr>
          <w:sz w:val="24"/>
          <w:szCs w:val="24"/>
          <w:lang w:eastAsia="en-GB"/>
        </w:rPr>
        <w:t xml:space="preserve">. Patienterne skal rådes til at fortsætte behandlingen, men at søge læge, hvis astmasymptomerne forbliver ukontrollerede eller forværres efter initiering af </w:t>
      </w:r>
      <w:proofErr w:type="spellStart"/>
      <w:r>
        <w:rPr>
          <w:sz w:val="24"/>
          <w:szCs w:val="24"/>
          <w:lang w:eastAsia="en-GB"/>
        </w:rPr>
        <w:t>Symbicort</w:t>
      </w:r>
      <w:proofErr w:type="spellEnd"/>
      <w:r>
        <w:rPr>
          <w:sz w:val="24"/>
          <w:szCs w:val="24"/>
          <w:lang w:eastAsia="en-GB"/>
        </w:rPr>
        <w:t>.</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Hvis patienterne ikke synes, at behandlingen er effektiv eller overskrider højeste anbefalede dosis af </w:t>
      </w:r>
      <w:proofErr w:type="spellStart"/>
      <w:r>
        <w:rPr>
          <w:sz w:val="24"/>
          <w:szCs w:val="24"/>
          <w:lang w:eastAsia="en-GB"/>
        </w:rPr>
        <w:t>Symbicort</w:t>
      </w:r>
      <w:proofErr w:type="spellEnd"/>
      <w:r>
        <w:rPr>
          <w:sz w:val="24"/>
          <w:szCs w:val="24"/>
          <w:lang w:eastAsia="en-GB"/>
        </w:rPr>
        <w:t xml:space="preserve">, skal der søges lægehjælp (se pkt. 4.2). Stigende brug af </w:t>
      </w:r>
      <w:proofErr w:type="spellStart"/>
      <w:r>
        <w:rPr>
          <w:sz w:val="24"/>
          <w:szCs w:val="24"/>
          <w:lang w:eastAsia="en-GB"/>
        </w:rPr>
        <w:t>bronkodilatatorer</w:t>
      </w:r>
      <w:proofErr w:type="spellEnd"/>
      <w:r>
        <w:rPr>
          <w:sz w:val="24"/>
          <w:szCs w:val="24"/>
          <w:lang w:eastAsia="en-GB"/>
        </w:rPr>
        <w:t xml:space="preserve"> til akut brug indikerer en forværring af den underliggende tilstand og kræver en revurdering af astmabehandlingen. Pludselig og tiltagende forværring af kontrollen med astma er potentielt livstruende, og patienten bør øjeblikkeligt tilses af en læge. I denne situation bør det overvejes, om der er behov for at øge behandlingen med </w:t>
      </w:r>
      <w:proofErr w:type="spellStart"/>
      <w:r>
        <w:rPr>
          <w:sz w:val="24"/>
          <w:szCs w:val="24"/>
          <w:lang w:eastAsia="en-GB"/>
        </w:rPr>
        <w:t>kortikosteroider</w:t>
      </w:r>
      <w:proofErr w:type="spellEnd"/>
      <w:r>
        <w:rPr>
          <w:sz w:val="24"/>
          <w:szCs w:val="24"/>
          <w:lang w:eastAsia="en-GB"/>
        </w:rPr>
        <w:t xml:space="preserve">, f.eks. et forløb med perorale </w:t>
      </w:r>
      <w:proofErr w:type="spellStart"/>
      <w:r>
        <w:rPr>
          <w:sz w:val="24"/>
          <w:szCs w:val="24"/>
          <w:lang w:eastAsia="en-GB"/>
        </w:rPr>
        <w:t>kortikosteroider</w:t>
      </w:r>
      <w:proofErr w:type="spellEnd"/>
      <w:r>
        <w:rPr>
          <w:sz w:val="24"/>
          <w:szCs w:val="24"/>
          <w:lang w:eastAsia="en-GB"/>
        </w:rPr>
        <w:t xml:space="preserve"> eller antibiotikabehandling i tilfælde af en infektion.</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Behandling af patienter bør ikke initieres på </w:t>
      </w:r>
      <w:proofErr w:type="spellStart"/>
      <w:r>
        <w:rPr>
          <w:sz w:val="24"/>
          <w:szCs w:val="24"/>
          <w:lang w:eastAsia="en-GB"/>
        </w:rPr>
        <w:t>Symbicort</w:t>
      </w:r>
      <w:proofErr w:type="spellEnd"/>
      <w:r>
        <w:rPr>
          <w:sz w:val="24"/>
          <w:szCs w:val="24"/>
          <w:lang w:eastAsia="en-GB"/>
        </w:rPr>
        <w:t xml:space="preserve"> under en </w:t>
      </w:r>
      <w:proofErr w:type="spellStart"/>
      <w:r>
        <w:rPr>
          <w:sz w:val="24"/>
          <w:szCs w:val="24"/>
          <w:lang w:eastAsia="en-GB"/>
        </w:rPr>
        <w:t>eksacerbation</w:t>
      </w:r>
      <w:proofErr w:type="spellEnd"/>
      <w:r>
        <w:rPr>
          <w:sz w:val="24"/>
          <w:szCs w:val="24"/>
          <w:lang w:eastAsia="en-GB"/>
        </w:rPr>
        <w:t>, eller hvis deres sygdom er signifikant forværret eller de har akut forværret astma.</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u w:val="single"/>
          <w:lang w:eastAsia="en-GB"/>
        </w:rPr>
        <w:t>Skift fra oral behandling</w:t>
      </w:r>
    </w:p>
    <w:p w:rsidR="00223920" w:rsidRDefault="00223920" w:rsidP="00223920">
      <w:pPr>
        <w:autoSpaceDE w:val="0"/>
        <w:autoSpaceDN w:val="0"/>
        <w:adjustRightInd w:val="0"/>
        <w:ind w:left="851"/>
        <w:rPr>
          <w:sz w:val="24"/>
          <w:szCs w:val="24"/>
          <w:lang w:eastAsia="en-GB"/>
        </w:rPr>
      </w:pPr>
      <w:r>
        <w:rPr>
          <w:sz w:val="24"/>
          <w:szCs w:val="24"/>
          <w:lang w:eastAsia="en-GB"/>
        </w:rPr>
        <w:t xml:space="preserve">Der bør udvises forsigtighed ved overførsel af patienter til behandling med </w:t>
      </w:r>
      <w:proofErr w:type="spellStart"/>
      <w:r>
        <w:rPr>
          <w:sz w:val="24"/>
          <w:szCs w:val="24"/>
          <w:lang w:eastAsia="en-GB"/>
        </w:rPr>
        <w:t>Symbicort</w:t>
      </w:r>
      <w:proofErr w:type="spellEnd"/>
      <w:r>
        <w:rPr>
          <w:sz w:val="24"/>
          <w:szCs w:val="24"/>
          <w:lang w:eastAsia="en-GB"/>
        </w:rPr>
        <w:t xml:space="preserve">, hvis der er grund til at antage, at binyrefunktionen er nedsat pga. tidligere anvendelse af systemiske steroider. </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Fordelene ved inhalationsbehandling med </w:t>
      </w:r>
      <w:proofErr w:type="spellStart"/>
      <w:r>
        <w:rPr>
          <w:sz w:val="24"/>
          <w:szCs w:val="24"/>
          <w:lang w:eastAsia="en-GB"/>
        </w:rPr>
        <w:t>budesonid</w:t>
      </w:r>
      <w:proofErr w:type="spellEnd"/>
      <w:r>
        <w:rPr>
          <w:sz w:val="24"/>
          <w:szCs w:val="24"/>
          <w:lang w:eastAsia="en-GB"/>
        </w:rPr>
        <w:t xml:space="preserve"> vil normalt minimere behovet for orale steroider, men patienter, som overføres fra behandling med orale steroider, kan fortsat være i risiko for nedsat binyrebarkfunktion i længere tid. Efter </w:t>
      </w:r>
      <w:proofErr w:type="spellStart"/>
      <w:r>
        <w:rPr>
          <w:sz w:val="24"/>
          <w:szCs w:val="24"/>
          <w:lang w:eastAsia="en-GB"/>
        </w:rPr>
        <w:t>seponering</w:t>
      </w:r>
      <w:proofErr w:type="spellEnd"/>
      <w:r>
        <w:rPr>
          <w:sz w:val="24"/>
          <w:szCs w:val="24"/>
          <w:lang w:eastAsia="en-GB"/>
        </w:rPr>
        <w:t xml:space="preserve"> af behandlingen med orale steroider kan det vare længe, før der opnås bedring, og patienter, der er afhængige af orale steroider, som overføres til </w:t>
      </w:r>
      <w:proofErr w:type="spellStart"/>
      <w:r>
        <w:rPr>
          <w:sz w:val="24"/>
          <w:szCs w:val="24"/>
          <w:lang w:eastAsia="en-GB"/>
        </w:rPr>
        <w:t>budesonid</w:t>
      </w:r>
      <w:proofErr w:type="spellEnd"/>
      <w:r>
        <w:rPr>
          <w:sz w:val="24"/>
          <w:szCs w:val="24"/>
          <w:lang w:eastAsia="en-GB"/>
        </w:rPr>
        <w:t xml:space="preserve"> til inhalation, kan derfor fortsat have en øget risiko for nedsat binyrebarkfunktion i længere tid. Under disse omstændigheder bør funktionen af </w:t>
      </w:r>
      <w:proofErr w:type="spellStart"/>
      <w:r>
        <w:rPr>
          <w:sz w:val="24"/>
          <w:szCs w:val="24"/>
          <w:lang w:eastAsia="en-GB"/>
        </w:rPr>
        <w:t>hypothalamus</w:t>
      </w:r>
      <w:proofErr w:type="spellEnd"/>
      <w:r>
        <w:rPr>
          <w:sz w:val="24"/>
          <w:szCs w:val="24"/>
          <w:lang w:eastAsia="en-GB"/>
        </w:rPr>
        <w:t>-hypofyse-aksen kontrolleres regelmæssigt.</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Ved skift fra oral behandling til </w:t>
      </w:r>
      <w:proofErr w:type="spellStart"/>
      <w:r>
        <w:rPr>
          <w:sz w:val="24"/>
          <w:szCs w:val="24"/>
          <w:lang w:eastAsia="en-GB"/>
        </w:rPr>
        <w:t>Symbicort</w:t>
      </w:r>
      <w:proofErr w:type="spellEnd"/>
      <w:r>
        <w:rPr>
          <w:sz w:val="24"/>
          <w:szCs w:val="24"/>
          <w:lang w:eastAsia="en-GB"/>
        </w:rPr>
        <w:t xml:space="preserve"> vil patienten opleve en generelt lavere systemisk virkning af steroider, hvilket kan udløse allergiske eller </w:t>
      </w:r>
      <w:proofErr w:type="spellStart"/>
      <w:r>
        <w:rPr>
          <w:sz w:val="24"/>
          <w:szCs w:val="24"/>
          <w:lang w:eastAsia="en-GB"/>
        </w:rPr>
        <w:t>artritiske</w:t>
      </w:r>
      <w:proofErr w:type="spellEnd"/>
      <w:r>
        <w:rPr>
          <w:sz w:val="24"/>
          <w:szCs w:val="24"/>
          <w:lang w:eastAsia="en-GB"/>
        </w:rPr>
        <w:t xml:space="preserve"> symptomer såsom </w:t>
      </w:r>
      <w:proofErr w:type="spellStart"/>
      <w:r>
        <w:rPr>
          <w:sz w:val="24"/>
          <w:szCs w:val="24"/>
          <w:lang w:eastAsia="en-GB"/>
        </w:rPr>
        <w:t>rhinitis</w:t>
      </w:r>
      <w:proofErr w:type="spellEnd"/>
      <w:r>
        <w:rPr>
          <w:sz w:val="24"/>
          <w:szCs w:val="24"/>
          <w:lang w:eastAsia="en-GB"/>
        </w:rPr>
        <w:t xml:space="preserve">, eksem og muskel- og ledsmerter. Der bør indledes specifik behandling af disse tilstande. Der er anledning til mistanke om generel utilstrækkelig virkning af </w:t>
      </w:r>
      <w:proofErr w:type="spellStart"/>
      <w:r>
        <w:rPr>
          <w:sz w:val="24"/>
          <w:szCs w:val="24"/>
          <w:lang w:eastAsia="en-GB"/>
        </w:rPr>
        <w:t>glukokortikosteroider</w:t>
      </w:r>
      <w:proofErr w:type="spellEnd"/>
      <w:r>
        <w:rPr>
          <w:sz w:val="24"/>
          <w:szCs w:val="24"/>
          <w:lang w:eastAsia="en-GB"/>
        </w:rPr>
        <w:t xml:space="preserve">, hvis der i sjældne tilfælde opstår symptomer såsom træthed, hovedpine, kvalme og opkastning. I så fald kan en midlertidig dosisøgning af orale </w:t>
      </w:r>
      <w:proofErr w:type="spellStart"/>
      <w:r>
        <w:rPr>
          <w:sz w:val="24"/>
          <w:szCs w:val="24"/>
          <w:lang w:eastAsia="en-GB"/>
        </w:rPr>
        <w:t>glukokortikosteroider</w:t>
      </w:r>
      <w:proofErr w:type="spellEnd"/>
      <w:r>
        <w:rPr>
          <w:sz w:val="24"/>
          <w:szCs w:val="24"/>
          <w:lang w:eastAsia="en-GB"/>
        </w:rPr>
        <w:t xml:space="preserve"> sommetider være nødvendig.</w:t>
      </w:r>
    </w:p>
    <w:p w:rsidR="00223920" w:rsidRDefault="00223920" w:rsidP="00223920">
      <w:pPr>
        <w:autoSpaceDE w:val="0"/>
        <w:autoSpaceDN w:val="0"/>
        <w:adjustRightInd w:val="0"/>
        <w:ind w:left="851"/>
        <w:rPr>
          <w:sz w:val="24"/>
          <w:szCs w:val="24"/>
          <w:lang w:eastAsia="en-GB"/>
        </w:rPr>
      </w:pPr>
    </w:p>
    <w:p w:rsidR="00223920" w:rsidRPr="00715588" w:rsidRDefault="00223920" w:rsidP="00223920">
      <w:pPr>
        <w:autoSpaceDE w:val="0"/>
        <w:autoSpaceDN w:val="0"/>
        <w:adjustRightInd w:val="0"/>
        <w:ind w:left="851"/>
        <w:rPr>
          <w:sz w:val="24"/>
          <w:szCs w:val="24"/>
          <w:lang w:eastAsia="en-GB"/>
        </w:rPr>
      </w:pPr>
      <w:r>
        <w:rPr>
          <w:sz w:val="24"/>
          <w:szCs w:val="24"/>
          <w:u w:val="single"/>
          <w:lang w:eastAsia="en-GB"/>
        </w:rPr>
        <w:t>Interaktioner med andre lægemidler</w:t>
      </w:r>
    </w:p>
    <w:p w:rsidR="00223920" w:rsidRDefault="00223920" w:rsidP="00223920">
      <w:pPr>
        <w:autoSpaceDE w:val="0"/>
        <w:autoSpaceDN w:val="0"/>
        <w:adjustRightInd w:val="0"/>
        <w:ind w:left="851"/>
        <w:rPr>
          <w:sz w:val="24"/>
          <w:szCs w:val="24"/>
          <w:lang w:eastAsia="en-GB"/>
        </w:rPr>
      </w:pPr>
      <w:r>
        <w:rPr>
          <w:sz w:val="24"/>
          <w:szCs w:val="24"/>
          <w:lang w:eastAsia="en-GB"/>
        </w:rPr>
        <w:t xml:space="preserve">Samtidig behandling med </w:t>
      </w:r>
      <w:proofErr w:type="spellStart"/>
      <w:r>
        <w:rPr>
          <w:sz w:val="24"/>
          <w:szCs w:val="24"/>
          <w:lang w:eastAsia="en-GB"/>
        </w:rPr>
        <w:t>itraconazol</w:t>
      </w:r>
      <w:proofErr w:type="spellEnd"/>
      <w:r>
        <w:rPr>
          <w:sz w:val="24"/>
          <w:szCs w:val="24"/>
          <w:lang w:eastAsia="en-GB"/>
        </w:rPr>
        <w:t xml:space="preserve">, </w:t>
      </w:r>
      <w:proofErr w:type="spellStart"/>
      <w:r>
        <w:rPr>
          <w:sz w:val="24"/>
          <w:szCs w:val="24"/>
          <w:lang w:eastAsia="en-GB"/>
        </w:rPr>
        <w:t>ritonavir</w:t>
      </w:r>
      <w:proofErr w:type="spellEnd"/>
      <w:r>
        <w:rPr>
          <w:sz w:val="24"/>
          <w:szCs w:val="24"/>
          <w:lang w:eastAsia="en-GB"/>
        </w:rPr>
        <w:t xml:space="preserve"> eller andre potente CYP3A4-hæmmere bør undgås (se pkt. 4.5). Hvis dette ikke er muligt, bør der gå så lang tid som muligt mellem </w:t>
      </w:r>
      <w:r>
        <w:rPr>
          <w:sz w:val="24"/>
          <w:szCs w:val="24"/>
          <w:lang w:eastAsia="en-GB"/>
        </w:rPr>
        <w:lastRenderedPageBreak/>
        <w:t xml:space="preserve">administration af de interagerende stoffer. Patienter, der bruger potente CYP3A4-hæmmere, anbefales ikke at bruge </w:t>
      </w:r>
      <w:proofErr w:type="spellStart"/>
      <w:r>
        <w:rPr>
          <w:sz w:val="24"/>
          <w:szCs w:val="24"/>
          <w:lang w:eastAsia="en-GB"/>
        </w:rPr>
        <w:t>Symbicort</w:t>
      </w:r>
      <w:proofErr w:type="spellEnd"/>
      <w:r>
        <w:rPr>
          <w:sz w:val="24"/>
          <w:szCs w:val="24"/>
          <w:lang w:eastAsia="en-GB"/>
        </w:rPr>
        <w:t>-vedligeholdelses- og behovsbehandling.</w:t>
      </w:r>
    </w:p>
    <w:p w:rsidR="00223920" w:rsidRDefault="00223920" w:rsidP="00223920">
      <w:pPr>
        <w:autoSpaceDE w:val="0"/>
        <w:autoSpaceDN w:val="0"/>
        <w:adjustRightInd w:val="0"/>
        <w:ind w:left="851"/>
        <w:rPr>
          <w:sz w:val="24"/>
          <w:szCs w:val="24"/>
          <w:lang w:eastAsia="en-GB"/>
        </w:rPr>
      </w:pPr>
    </w:p>
    <w:p w:rsidR="00223920" w:rsidRPr="00636798" w:rsidRDefault="00223920" w:rsidP="00223920">
      <w:pPr>
        <w:autoSpaceDE w:val="0"/>
        <w:autoSpaceDN w:val="0"/>
        <w:adjustRightInd w:val="0"/>
        <w:ind w:left="851"/>
        <w:rPr>
          <w:sz w:val="24"/>
          <w:szCs w:val="24"/>
          <w:u w:val="single"/>
          <w:lang w:eastAsia="en-GB"/>
        </w:rPr>
      </w:pPr>
      <w:r>
        <w:rPr>
          <w:sz w:val="24"/>
          <w:szCs w:val="24"/>
          <w:u w:val="single"/>
          <w:lang w:eastAsia="en-GB"/>
        </w:rPr>
        <w:t>Forsigtighed ved særlige sygdomme</w:t>
      </w:r>
    </w:p>
    <w:p w:rsidR="00223920" w:rsidRDefault="00223920" w:rsidP="00223920">
      <w:pPr>
        <w:autoSpaceDE w:val="0"/>
        <w:autoSpaceDN w:val="0"/>
        <w:adjustRightInd w:val="0"/>
        <w:ind w:left="851"/>
        <w:rPr>
          <w:sz w:val="24"/>
          <w:szCs w:val="24"/>
          <w:lang w:eastAsia="en-GB"/>
        </w:rPr>
      </w:pPr>
      <w:proofErr w:type="spellStart"/>
      <w:r>
        <w:rPr>
          <w:sz w:val="24"/>
          <w:szCs w:val="24"/>
          <w:lang w:eastAsia="en-GB"/>
        </w:rPr>
        <w:t>Symbicort</w:t>
      </w:r>
      <w:proofErr w:type="spellEnd"/>
      <w:r>
        <w:rPr>
          <w:sz w:val="24"/>
          <w:szCs w:val="24"/>
          <w:lang w:eastAsia="en-GB"/>
        </w:rPr>
        <w:t xml:space="preserve"> bør administreres med forsigtighed hos patienter med </w:t>
      </w:r>
      <w:proofErr w:type="spellStart"/>
      <w:r>
        <w:rPr>
          <w:sz w:val="24"/>
          <w:szCs w:val="24"/>
          <w:lang w:eastAsia="en-GB"/>
        </w:rPr>
        <w:t>thyreotoksikose</w:t>
      </w:r>
      <w:proofErr w:type="spellEnd"/>
      <w:r>
        <w:rPr>
          <w:sz w:val="24"/>
          <w:szCs w:val="24"/>
          <w:lang w:eastAsia="en-GB"/>
        </w:rPr>
        <w:t xml:space="preserve">, </w:t>
      </w:r>
      <w:proofErr w:type="spellStart"/>
      <w:r>
        <w:rPr>
          <w:sz w:val="24"/>
          <w:szCs w:val="24"/>
          <w:lang w:eastAsia="en-GB"/>
        </w:rPr>
        <w:t>fæokromocytom</w:t>
      </w:r>
      <w:proofErr w:type="spellEnd"/>
      <w:r>
        <w:rPr>
          <w:sz w:val="24"/>
          <w:szCs w:val="24"/>
          <w:lang w:eastAsia="en-GB"/>
        </w:rPr>
        <w:t xml:space="preserve">, diabetes mellitus, ubehandlet </w:t>
      </w:r>
      <w:proofErr w:type="spellStart"/>
      <w:r>
        <w:rPr>
          <w:sz w:val="24"/>
          <w:szCs w:val="24"/>
          <w:lang w:eastAsia="en-GB"/>
        </w:rPr>
        <w:t>hypokaliæmi</w:t>
      </w:r>
      <w:proofErr w:type="spellEnd"/>
      <w:r>
        <w:rPr>
          <w:sz w:val="24"/>
          <w:szCs w:val="24"/>
          <w:lang w:eastAsia="en-GB"/>
        </w:rPr>
        <w:t xml:space="preserve">, </w:t>
      </w:r>
      <w:proofErr w:type="spellStart"/>
      <w:r>
        <w:rPr>
          <w:sz w:val="24"/>
          <w:szCs w:val="24"/>
          <w:lang w:eastAsia="en-GB"/>
        </w:rPr>
        <w:t>hypertrofisk</w:t>
      </w:r>
      <w:proofErr w:type="spellEnd"/>
      <w:r>
        <w:rPr>
          <w:sz w:val="24"/>
          <w:szCs w:val="24"/>
          <w:lang w:eastAsia="en-GB"/>
        </w:rPr>
        <w:t xml:space="preserve"> obstruktiv </w:t>
      </w:r>
      <w:proofErr w:type="spellStart"/>
      <w:r>
        <w:rPr>
          <w:sz w:val="24"/>
          <w:szCs w:val="24"/>
          <w:lang w:eastAsia="en-GB"/>
        </w:rPr>
        <w:t>kardiomyopati</w:t>
      </w:r>
      <w:proofErr w:type="spellEnd"/>
      <w:r>
        <w:rPr>
          <w:sz w:val="24"/>
          <w:szCs w:val="24"/>
          <w:lang w:eastAsia="en-GB"/>
        </w:rPr>
        <w:t xml:space="preserve">, idiopatisk stenosis </w:t>
      </w:r>
      <w:proofErr w:type="spellStart"/>
      <w:r>
        <w:rPr>
          <w:sz w:val="24"/>
          <w:szCs w:val="24"/>
          <w:lang w:eastAsia="en-GB"/>
        </w:rPr>
        <w:t>subvalvularis</w:t>
      </w:r>
      <w:proofErr w:type="spellEnd"/>
      <w:r>
        <w:rPr>
          <w:sz w:val="24"/>
          <w:szCs w:val="24"/>
          <w:lang w:eastAsia="en-GB"/>
        </w:rPr>
        <w:t xml:space="preserve"> </w:t>
      </w:r>
      <w:proofErr w:type="spellStart"/>
      <w:r>
        <w:rPr>
          <w:sz w:val="24"/>
          <w:szCs w:val="24"/>
          <w:lang w:eastAsia="en-GB"/>
        </w:rPr>
        <w:t>aortae</w:t>
      </w:r>
      <w:proofErr w:type="spellEnd"/>
      <w:r>
        <w:rPr>
          <w:sz w:val="24"/>
          <w:szCs w:val="24"/>
          <w:lang w:eastAsia="en-GB"/>
        </w:rPr>
        <w:t xml:space="preserve">, svær hypertension, </w:t>
      </w:r>
      <w:proofErr w:type="spellStart"/>
      <w:r>
        <w:rPr>
          <w:sz w:val="24"/>
          <w:szCs w:val="24"/>
          <w:lang w:eastAsia="en-GB"/>
        </w:rPr>
        <w:t>aneurisme</w:t>
      </w:r>
      <w:proofErr w:type="spellEnd"/>
      <w:r>
        <w:rPr>
          <w:sz w:val="24"/>
          <w:szCs w:val="24"/>
          <w:lang w:eastAsia="en-GB"/>
        </w:rPr>
        <w:t xml:space="preserve"> eller andre svære </w:t>
      </w:r>
      <w:proofErr w:type="spellStart"/>
      <w:r>
        <w:rPr>
          <w:sz w:val="24"/>
          <w:szCs w:val="24"/>
          <w:lang w:eastAsia="en-GB"/>
        </w:rPr>
        <w:t>kardiovaskulære</w:t>
      </w:r>
      <w:proofErr w:type="spellEnd"/>
      <w:r>
        <w:rPr>
          <w:sz w:val="24"/>
          <w:szCs w:val="24"/>
          <w:lang w:eastAsia="en-GB"/>
        </w:rPr>
        <w:t xml:space="preserve"> lidelser, såsom iskæmisk hjertesygdom, </w:t>
      </w:r>
      <w:proofErr w:type="spellStart"/>
      <w:r>
        <w:rPr>
          <w:sz w:val="24"/>
          <w:szCs w:val="24"/>
          <w:lang w:eastAsia="en-GB"/>
        </w:rPr>
        <w:t>takyarytmier</w:t>
      </w:r>
      <w:proofErr w:type="spellEnd"/>
      <w:r>
        <w:rPr>
          <w:sz w:val="24"/>
          <w:szCs w:val="24"/>
          <w:lang w:eastAsia="en-GB"/>
        </w:rPr>
        <w:t xml:space="preserve"> eller svær hjerteinsufficiens.</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Der skal udvises forsigtighed ved behandling af patienter med forlænget </w:t>
      </w:r>
      <w:proofErr w:type="spellStart"/>
      <w:r>
        <w:rPr>
          <w:sz w:val="24"/>
          <w:szCs w:val="24"/>
          <w:lang w:eastAsia="en-GB"/>
        </w:rPr>
        <w:t>QTc</w:t>
      </w:r>
      <w:proofErr w:type="spellEnd"/>
      <w:r>
        <w:rPr>
          <w:sz w:val="24"/>
          <w:szCs w:val="24"/>
          <w:lang w:eastAsia="en-GB"/>
        </w:rPr>
        <w:noBreakHyphen/>
        <w:t xml:space="preserve">interval. </w:t>
      </w:r>
      <w:proofErr w:type="spellStart"/>
      <w:r>
        <w:rPr>
          <w:sz w:val="24"/>
          <w:szCs w:val="24"/>
          <w:lang w:eastAsia="en-GB"/>
        </w:rPr>
        <w:t>Formoterol</w:t>
      </w:r>
      <w:proofErr w:type="spellEnd"/>
      <w:r>
        <w:rPr>
          <w:sz w:val="24"/>
          <w:szCs w:val="24"/>
          <w:lang w:eastAsia="en-GB"/>
        </w:rPr>
        <w:t xml:space="preserve"> kan i sig selv inducere forlængelse af </w:t>
      </w:r>
      <w:proofErr w:type="spellStart"/>
      <w:r>
        <w:rPr>
          <w:sz w:val="24"/>
          <w:szCs w:val="24"/>
          <w:lang w:eastAsia="en-GB"/>
        </w:rPr>
        <w:t>QTc</w:t>
      </w:r>
      <w:proofErr w:type="spellEnd"/>
      <w:r>
        <w:rPr>
          <w:sz w:val="24"/>
          <w:szCs w:val="24"/>
          <w:lang w:eastAsia="en-GB"/>
        </w:rPr>
        <w:noBreakHyphen/>
        <w:t>intervallet.</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Behandling med høje doser af β</w:t>
      </w:r>
      <w:r>
        <w:rPr>
          <w:sz w:val="24"/>
          <w:szCs w:val="24"/>
          <w:vertAlign w:val="subscript"/>
          <w:lang w:eastAsia="en-GB"/>
        </w:rPr>
        <w:t>2</w:t>
      </w:r>
      <w:r>
        <w:rPr>
          <w:sz w:val="24"/>
          <w:szCs w:val="24"/>
          <w:lang w:eastAsia="en-GB"/>
        </w:rPr>
        <w:t xml:space="preserve">-adrenoceptoragonister kan medføre potentielt alvorlig </w:t>
      </w:r>
      <w:proofErr w:type="spellStart"/>
      <w:r>
        <w:rPr>
          <w:sz w:val="24"/>
          <w:szCs w:val="24"/>
          <w:lang w:eastAsia="en-GB"/>
        </w:rPr>
        <w:t>hypokaliæmi</w:t>
      </w:r>
      <w:proofErr w:type="spellEnd"/>
      <w:r>
        <w:rPr>
          <w:sz w:val="24"/>
          <w:szCs w:val="24"/>
          <w:lang w:eastAsia="en-GB"/>
        </w:rPr>
        <w:t>. Samtidig behandling med β</w:t>
      </w:r>
      <w:r>
        <w:rPr>
          <w:sz w:val="24"/>
          <w:szCs w:val="24"/>
          <w:vertAlign w:val="subscript"/>
          <w:lang w:eastAsia="en-GB"/>
        </w:rPr>
        <w:t>2</w:t>
      </w:r>
      <w:r>
        <w:rPr>
          <w:sz w:val="24"/>
          <w:szCs w:val="24"/>
          <w:lang w:eastAsia="en-GB"/>
        </w:rPr>
        <w:t xml:space="preserve">-adrenoceptoragonister og lægemidler, der kan inducere </w:t>
      </w:r>
      <w:proofErr w:type="spellStart"/>
      <w:r>
        <w:rPr>
          <w:sz w:val="24"/>
          <w:szCs w:val="24"/>
          <w:lang w:eastAsia="en-GB"/>
        </w:rPr>
        <w:t>hypokaliæmi</w:t>
      </w:r>
      <w:proofErr w:type="spellEnd"/>
      <w:r>
        <w:rPr>
          <w:sz w:val="24"/>
          <w:szCs w:val="24"/>
          <w:lang w:eastAsia="en-GB"/>
        </w:rPr>
        <w:t xml:space="preserve"> eller potensere en </w:t>
      </w:r>
      <w:proofErr w:type="spellStart"/>
      <w:r>
        <w:rPr>
          <w:sz w:val="24"/>
          <w:szCs w:val="24"/>
          <w:lang w:eastAsia="en-GB"/>
        </w:rPr>
        <w:t>hypokaliæmisk</w:t>
      </w:r>
      <w:proofErr w:type="spellEnd"/>
      <w:r>
        <w:rPr>
          <w:sz w:val="24"/>
          <w:szCs w:val="24"/>
          <w:lang w:eastAsia="en-GB"/>
        </w:rPr>
        <w:t xml:space="preserve"> virkning, f.eks. </w:t>
      </w:r>
      <w:proofErr w:type="spellStart"/>
      <w:r>
        <w:rPr>
          <w:sz w:val="24"/>
          <w:szCs w:val="24"/>
          <w:lang w:eastAsia="en-GB"/>
        </w:rPr>
        <w:t>xanthinderivater</w:t>
      </w:r>
      <w:proofErr w:type="spellEnd"/>
      <w:r>
        <w:rPr>
          <w:sz w:val="24"/>
          <w:szCs w:val="24"/>
          <w:lang w:eastAsia="en-GB"/>
        </w:rPr>
        <w:t xml:space="preserve">, steroider og </w:t>
      </w:r>
      <w:proofErr w:type="spellStart"/>
      <w:r>
        <w:rPr>
          <w:sz w:val="24"/>
          <w:szCs w:val="24"/>
          <w:lang w:eastAsia="en-GB"/>
        </w:rPr>
        <w:t>diuretika</w:t>
      </w:r>
      <w:proofErr w:type="spellEnd"/>
      <w:r>
        <w:rPr>
          <w:sz w:val="24"/>
          <w:szCs w:val="24"/>
          <w:lang w:eastAsia="en-GB"/>
        </w:rPr>
        <w:t xml:space="preserve">, kan øge muligheden for </w:t>
      </w:r>
      <w:proofErr w:type="spellStart"/>
      <w:r>
        <w:rPr>
          <w:sz w:val="24"/>
          <w:szCs w:val="24"/>
          <w:lang w:eastAsia="en-GB"/>
        </w:rPr>
        <w:t>hypokaliæmisk</w:t>
      </w:r>
      <w:proofErr w:type="spellEnd"/>
      <w:r>
        <w:rPr>
          <w:sz w:val="24"/>
          <w:szCs w:val="24"/>
          <w:lang w:eastAsia="en-GB"/>
        </w:rPr>
        <w:t xml:space="preserve"> påvirkning fra β</w:t>
      </w:r>
      <w:r>
        <w:rPr>
          <w:sz w:val="24"/>
          <w:szCs w:val="24"/>
          <w:vertAlign w:val="subscript"/>
          <w:lang w:eastAsia="en-GB"/>
        </w:rPr>
        <w:t>2</w:t>
      </w:r>
      <w:r>
        <w:rPr>
          <w:sz w:val="24"/>
          <w:szCs w:val="24"/>
          <w:lang w:eastAsia="en-GB"/>
        </w:rPr>
        <w:t xml:space="preserve">-adrenoceptoragonisten. Der anbefales særlig forsigtighed ved ustabil astma med forskellig anvendelse af akutbehandling med </w:t>
      </w:r>
      <w:proofErr w:type="spellStart"/>
      <w:r>
        <w:rPr>
          <w:sz w:val="24"/>
          <w:szCs w:val="24"/>
          <w:lang w:eastAsia="en-GB"/>
        </w:rPr>
        <w:t>bronkodilatatorer</w:t>
      </w:r>
      <w:proofErr w:type="spellEnd"/>
      <w:r>
        <w:rPr>
          <w:sz w:val="24"/>
          <w:szCs w:val="24"/>
          <w:lang w:eastAsia="en-GB"/>
        </w:rPr>
        <w:t xml:space="preserve">, ved akut alvorlig astma, da den tilhørende risiko kan forstærkes af </w:t>
      </w:r>
      <w:proofErr w:type="spellStart"/>
      <w:r>
        <w:rPr>
          <w:sz w:val="24"/>
          <w:szCs w:val="24"/>
          <w:lang w:eastAsia="en-GB"/>
        </w:rPr>
        <w:t>hypoksi</w:t>
      </w:r>
      <w:proofErr w:type="spellEnd"/>
      <w:r>
        <w:rPr>
          <w:sz w:val="24"/>
          <w:szCs w:val="24"/>
          <w:lang w:eastAsia="en-GB"/>
        </w:rPr>
        <w:t xml:space="preserve"> og under andre forhold, når sandsynligheden for </w:t>
      </w:r>
      <w:proofErr w:type="spellStart"/>
      <w:r>
        <w:rPr>
          <w:sz w:val="24"/>
          <w:szCs w:val="24"/>
          <w:lang w:eastAsia="en-GB"/>
        </w:rPr>
        <w:t>hypokaliæmi</w:t>
      </w:r>
      <w:proofErr w:type="spellEnd"/>
      <w:r>
        <w:rPr>
          <w:sz w:val="24"/>
          <w:szCs w:val="24"/>
          <w:lang w:eastAsia="en-GB"/>
        </w:rPr>
        <w:t xml:space="preserve"> øges. Det anbefales, at kaliumniveauet i serum monitoreres under disse omstændigheder.</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Som for alle β</w:t>
      </w:r>
      <w:r>
        <w:rPr>
          <w:sz w:val="24"/>
          <w:szCs w:val="24"/>
          <w:vertAlign w:val="subscript"/>
          <w:lang w:eastAsia="en-GB"/>
        </w:rPr>
        <w:t>2</w:t>
      </w:r>
      <w:r>
        <w:rPr>
          <w:sz w:val="24"/>
          <w:szCs w:val="24"/>
          <w:lang w:eastAsia="en-GB"/>
        </w:rPr>
        <w:t>-adrenoceptoragonister bør der hos diabetespatienter foretages ekstra kontroller af blodsukkeret.</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Behovet for og doser af </w:t>
      </w:r>
      <w:proofErr w:type="spellStart"/>
      <w:r>
        <w:rPr>
          <w:sz w:val="24"/>
          <w:szCs w:val="24"/>
          <w:lang w:eastAsia="en-GB"/>
        </w:rPr>
        <w:t>kortikosteroider</w:t>
      </w:r>
      <w:proofErr w:type="spellEnd"/>
      <w:r>
        <w:rPr>
          <w:sz w:val="24"/>
          <w:szCs w:val="24"/>
          <w:lang w:eastAsia="en-GB"/>
        </w:rPr>
        <w:t xml:space="preserve"> til inhalation bør revurderes hos patienter med aktiv eller inaktiv lungetuberkulose eller med svampe- og virusinfektioner i luftvejene.</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u w:val="single"/>
          <w:lang w:eastAsia="en-GB"/>
        </w:rPr>
        <w:t>Systemisk påvirkning</w:t>
      </w:r>
    </w:p>
    <w:p w:rsidR="00223920" w:rsidRPr="001111C9" w:rsidRDefault="00223920" w:rsidP="00223920">
      <w:pPr>
        <w:tabs>
          <w:tab w:val="left" w:pos="851"/>
        </w:tabs>
        <w:ind w:left="851"/>
        <w:rPr>
          <w:sz w:val="24"/>
          <w:szCs w:val="24"/>
        </w:rPr>
      </w:pPr>
      <w:r w:rsidRPr="00851EA8">
        <w:rPr>
          <w:sz w:val="24"/>
          <w:szCs w:val="24"/>
        </w:rPr>
        <w:t xml:space="preserve">Systemisk påvirkning kan opstå efter anvendelse af </w:t>
      </w:r>
      <w:proofErr w:type="spellStart"/>
      <w:r w:rsidRPr="00851EA8">
        <w:rPr>
          <w:sz w:val="24"/>
          <w:szCs w:val="24"/>
        </w:rPr>
        <w:t>inhalationskortikosteroid</w:t>
      </w:r>
      <w:proofErr w:type="spellEnd"/>
      <w:r w:rsidRPr="00851EA8">
        <w:rPr>
          <w:sz w:val="24"/>
          <w:szCs w:val="24"/>
        </w:rPr>
        <w:t xml:space="preserve">, især ved høje doser givet i længere perioder. Dette er langt mindre sandsynligt ved inhalationsbehandling, end ved peroral behandling. </w:t>
      </w:r>
      <w:r>
        <w:rPr>
          <w:sz w:val="24"/>
          <w:szCs w:val="24"/>
        </w:rPr>
        <w:t>Mulig</w:t>
      </w:r>
      <w:r w:rsidRPr="00851EA8">
        <w:rPr>
          <w:sz w:val="24"/>
          <w:szCs w:val="24"/>
        </w:rPr>
        <w:t xml:space="preserve"> systemisk påvirkning kan omfatte </w:t>
      </w:r>
      <w:proofErr w:type="spellStart"/>
      <w:r w:rsidRPr="00851EA8">
        <w:rPr>
          <w:sz w:val="24"/>
          <w:szCs w:val="24"/>
        </w:rPr>
        <w:t>Cushings</w:t>
      </w:r>
      <w:proofErr w:type="spellEnd"/>
      <w:r w:rsidRPr="00851EA8">
        <w:rPr>
          <w:sz w:val="24"/>
          <w:szCs w:val="24"/>
        </w:rPr>
        <w:t xml:space="preserve"> syndrom, </w:t>
      </w:r>
      <w:proofErr w:type="spellStart"/>
      <w:r w:rsidRPr="00851EA8">
        <w:rPr>
          <w:sz w:val="24"/>
          <w:szCs w:val="24"/>
        </w:rPr>
        <w:t>Cushingoide</w:t>
      </w:r>
      <w:proofErr w:type="spellEnd"/>
      <w:r w:rsidRPr="00851EA8">
        <w:rPr>
          <w:sz w:val="24"/>
          <w:szCs w:val="24"/>
        </w:rPr>
        <w:t xml:space="preserve"> symptomer, </w:t>
      </w:r>
      <w:proofErr w:type="spellStart"/>
      <w:r>
        <w:rPr>
          <w:sz w:val="24"/>
          <w:szCs w:val="24"/>
        </w:rPr>
        <w:t>adrenal</w:t>
      </w:r>
      <w:proofErr w:type="spellEnd"/>
      <w:r>
        <w:rPr>
          <w:sz w:val="24"/>
          <w:szCs w:val="24"/>
        </w:rPr>
        <w:t xml:space="preserve"> </w:t>
      </w:r>
      <w:r w:rsidRPr="00851EA8">
        <w:rPr>
          <w:sz w:val="24"/>
          <w:szCs w:val="24"/>
        </w:rPr>
        <w:t xml:space="preserve">suppression, væksthæmning hos børn og unge, nedsat knogletæthed, katarakt og </w:t>
      </w:r>
      <w:proofErr w:type="spellStart"/>
      <w:r w:rsidRPr="00851EA8">
        <w:rPr>
          <w:sz w:val="24"/>
          <w:szCs w:val="24"/>
        </w:rPr>
        <w:t>glaukom</w:t>
      </w:r>
      <w:proofErr w:type="spellEnd"/>
      <w:r w:rsidRPr="00851EA8">
        <w:rPr>
          <w:sz w:val="24"/>
          <w:szCs w:val="24"/>
        </w:rPr>
        <w:t xml:space="preserve">, og sjældnere, en række psykiske og adfærdsrelaterede </w:t>
      </w:r>
      <w:r>
        <w:rPr>
          <w:sz w:val="24"/>
          <w:szCs w:val="24"/>
        </w:rPr>
        <w:t>på</w:t>
      </w:r>
      <w:r w:rsidRPr="00851EA8">
        <w:rPr>
          <w:sz w:val="24"/>
          <w:szCs w:val="24"/>
        </w:rPr>
        <w:t>virkninger</w:t>
      </w:r>
      <w:r w:rsidRPr="001111C9">
        <w:rPr>
          <w:sz w:val="24"/>
          <w:szCs w:val="24"/>
        </w:rPr>
        <w:t xml:space="preserve">, inklusive </w:t>
      </w:r>
      <w:proofErr w:type="spellStart"/>
      <w:r w:rsidRPr="001111C9">
        <w:rPr>
          <w:sz w:val="24"/>
          <w:szCs w:val="24"/>
        </w:rPr>
        <w:t>psykomotorisk</w:t>
      </w:r>
      <w:proofErr w:type="spellEnd"/>
      <w:r w:rsidRPr="001111C9">
        <w:rPr>
          <w:sz w:val="24"/>
          <w:szCs w:val="24"/>
        </w:rPr>
        <w:t xml:space="preserve"> hyperaktivitet, søvnforstyrrelser, angst, depression eller aggression (specielt hos børn) (se pkt. 4.8).</w:t>
      </w:r>
    </w:p>
    <w:p w:rsidR="00223920" w:rsidRPr="00CB00B1" w:rsidRDefault="00223920" w:rsidP="00223920">
      <w:pPr>
        <w:pStyle w:val="Brdtekstindrykning"/>
        <w:tabs>
          <w:tab w:val="clear" w:pos="0"/>
          <w:tab w:val="clear" w:pos="1152"/>
          <w:tab w:val="clear" w:pos="1440"/>
          <w:tab w:val="left" w:pos="851"/>
        </w:tabs>
        <w:ind w:firstLine="0"/>
        <w:jc w:val="left"/>
        <w:rPr>
          <w:spacing w:val="0"/>
          <w:szCs w:val="24"/>
        </w:rPr>
      </w:pPr>
    </w:p>
    <w:p w:rsidR="00223920" w:rsidRPr="00CB00B1" w:rsidRDefault="00223920" w:rsidP="00223920">
      <w:pPr>
        <w:pStyle w:val="Brdtekstindrykning"/>
        <w:tabs>
          <w:tab w:val="clear" w:pos="0"/>
          <w:tab w:val="left" w:pos="851"/>
        </w:tabs>
        <w:ind w:firstLine="0"/>
        <w:rPr>
          <w:szCs w:val="24"/>
          <w:lang w:eastAsia="en-GB"/>
        </w:rPr>
      </w:pPr>
      <w:r w:rsidRPr="00CB00B1">
        <w:rPr>
          <w:spacing w:val="0"/>
          <w:szCs w:val="24"/>
        </w:rPr>
        <w:t>Mulige påvirkninger af knogletæthed</w:t>
      </w:r>
      <w:r>
        <w:rPr>
          <w:spacing w:val="0"/>
          <w:szCs w:val="24"/>
        </w:rPr>
        <w:t>en</w:t>
      </w:r>
      <w:r w:rsidRPr="00CB00B1">
        <w:rPr>
          <w:spacing w:val="0"/>
          <w:szCs w:val="24"/>
        </w:rPr>
        <w:t xml:space="preserve"> bør overvejes, specielt hos patienter, der indtager høje doser over længere perioder og med sammenfaldende risikofaktorer for osteoporose.</w:t>
      </w:r>
      <w:r>
        <w:rPr>
          <w:spacing w:val="0"/>
          <w:szCs w:val="24"/>
        </w:rPr>
        <w:t xml:space="preserve"> </w:t>
      </w:r>
      <w:r w:rsidRPr="001111C9">
        <w:rPr>
          <w:szCs w:val="24"/>
        </w:rPr>
        <w:t xml:space="preserve">Langtidsstudier med </w:t>
      </w:r>
      <w:proofErr w:type="spellStart"/>
      <w:r w:rsidRPr="001111C9">
        <w:rPr>
          <w:szCs w:val="24"/>
        </w:rPr>
        <w:t>budesonid</w:t>
      </w:r>
      <w:proofErr w:type="spellEnd"/>
      <w:r w:rsidRPr="001111C9">
        <w:rPr>
          <w:szCs w:val="24"/>
        </w:rPr>
        <w:t xml:space="preserve"> til inhalation med en gennemsnitlig daglig dosis hos børn på 400 mikrogram (afmålt dosis) eller en gennemsnitlig daglig dosis på 800 mikrogram (afmålt dosis) hos voksne viste ingen signifikant effekt på knogletæthed. Der foreligger ingen information vedrørende </w:t>
      </w:r>
      <w:proofErr w:type="spellStart"/>
      <w:r w:rsidRPr="001111C9">
        <w:rPr>
          <w:szCs w:val="24"/>
        </w:rPr>
        <w:t>Symbicorts</w:t>
      </w:r>
      <w:proofErr w:type="spellEnd"/>
      <w:r w:rsidRPr="001111C9">
        <w:rPr>
          <w:szCs w:val="24"/>
        </w:rPr>
        <w:t xml:space="preserve"> virkning ved højere doser.</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Ved brug af systemisk og </w:t>
      </w:r>
      <w:proofErr w:type="spellStart"/>
      <w:r>
        <w:rPr>
          <w:sz w:val="24"/>
          <w:szCs w:val="24"/>
          <w:lang w:eastAsia="en-GB"/>
        </w:rPr>
        <w:t>topikalt</w:t>
      </w:r>
      <w:proofErr w:type="spellEnd"/>
      <w:r>
        <w:rPr>
          <w:sz w:val="24"/>
          <w:szCs w:val="24"/>
          <w:lang w:eastAsia="en-GB"/>
        </w:rPr>
        <w:t xml:space="preserve"> </w:t>
      </w:r>
      <w:proofErr w:type="spellStart"/>
      <w:r>
        <w:rPr>
          <w:sz w:val="24"/>
          <w:szCs w:val="24"/>
          <w:lang w:eastAsia="en-GB"/>
        </w:rPr>
        <w:t>kortikosteroid</w:t>
      </w:r>
      <w:proofErr w:type="spellEnd"/>
      <w:r>
        <w:rPr>
          <w:sz w:val="24"/>
          <w:szCs w:val="24"/>
          <w:lang w:eastAsia="en-GB"/>
        </w:rPr>
        <w:t xml:space="preserve"> kan der blive indberettet synsforstyrrelser. Ved symptomer som sløret syn eller andre synsforstyrrelser bør det overvejes at henvise patienten til øjenlæge med henblik på vurdering af de mulige årsager; disse kan være grå stær, </w:t>
      </w:r>
      <w:proofErr w:type="spellStart"/>
      <w:r>
        <w:rPr>
          <w:sz w:val="24"/>
          <w:szCs w:val="24"/>
          <w:lang w:eastAsia="en-GB"/>
        </w:rPr>
        <w:t>glaukom</w:t>
      </w:r>
      <w:proofErr w:type="spellEnd"/>
      <w:r>
        <w:rPr>
          <w:sz w:val="24"/>
          <w:szCs w:val="24"/>
          <w:lang w:eastAsia="en-GB"/>
        </w:rPr>
        <w:t xml:space="preserve"> eller sjældne tilstande og sygdomme såsom central serøs </w:t>
      </w:r>
      <w:proofErr w:type="spellStart"/>
      <w:r>
        <w:rPr>
          <w:sz w:val="24"/>
          <w:szCs w:val="24"/>
          <w:lang w:eastAsia="en-GB"/>
        </w:rPr>
        <w:t>korioretinopati</w:t>
      </w:r>
      <w:proofErr w:type="spellEnd"/>
      <w:r>
        <w:rPr>
          <w:sz w:val="24"/>
          <w:szCs w:val="24"/>
          <w:lang w:eastAsia="en-GB"/>
        </w:rPr>
        <w:t xml:space="preserve"> (CSCR), som er indberettet efter brug af systemiske og </w:t>
      </w:r>
      <w:proofErr w:type="spellStart"/>
      <w:r>
        <w:rPr>
          <w:sz w:val="24"/>
          <w:szCs w:val="24"/>
          <w:lang w:eastAsia="en-GB"/>
        </w:rPr>
        <w:t>topikale</w:t>
      </w:r>
      <w:proofErr w:type="spellEnd"/>
      <w:r>
        <w:rPr>
          <w:sz w:val="24"/>
          <w:szCs w:val="24"/>
          <w:lang w:eastAsia="en-GB"/>
        </w:rPr>
        <w:t xml:space="preserve"> </w:t>
      </w:r>
      <w:proofErr w:type="spellStart"/>
      <w:r>
        <w:rPr>
          <w:sz w:val="24"/>
          <w:szCs w:val="24"/>
          <w:lang w:eastAsia="en-GB"/>
        </w:rPr>
        <w:t>kortikosteroider</w:t>
      </w:r>
      <w:proofErr w:type="spellEnd"/>
      <w:r>
        <w:rPr>
          <w:sz w:val="24"/>
          <w:szCs w:val="24"/>
          <w:lang w:eastAsia="en-GB"/>
        </w:rPr>
        <w:t>.</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proofErr w:type="spellStart"/>
      <w:r>
        <w:rPr>
          <w:sz w:val="24"/>
          <w:szCs w:val="24"/>
          <w:u w:val="single"/>
          <w:lang w:eastAsia="en-GB"/>
        </w:rPr>
        <w:lastRenderedPageBreak/>
        <w:t>Adrenal</w:t>
      </w:r>
      <w:proofErr w:type="spellEnd"/>
      <w:r>
        <w:rPr>
          <w:sz w:val="24"/>
          <w:szCs w:val="24"/>
          <w:u w:val="single"/>
          <w:lang w:eastAsia="en-GB"/>
        </w:rPr>
        <w:t xml:space="preserve"> funktion</w:t>
      </w:r>
    </w:p>
    <w:p w:rsidR="00223920" w:rsidRPr="00BE0598" w:rsidRDefault="00223920" w:rsidP="00223920">
      <w:pPr>
        <w:autoSpaceDE w:val="0"/>
        <w:autoSpaceDN w:val="0"/>
        <w:adjustRightInd w:val="0"/>
        <w:ind w:left="851"/>
        <w:rPr>
          <w:sz w:val="24"/>
          <w:szCs w:val="24"/>
          <w:lang w:eastAsia="en-GB"/>
        </w:rPr>
      </w:pPr>
      <w:r w:rsidRPr="00BE0598">
        <w:rPr>
          <w:sz w:val="24"/>
          <w:szCs w:val="24"/>
        </w:rPr>
        <w:t xml:space="preserve">Brat </w:t>
      </w:r>
      <w:proofErr w:type="spellStart"/>
      <w:r w:rsidRPr="00BE0598">
        <w:rPr>
          <w:sz w:val="24"/>
          <w:szCs w:val="24"/>
        </w:rPr>
        <w:t>seponering</w:t>
      </w:r>
      <w:proofErr w:type="spellEnd"/>
      <w:r w:rsidRPr="00BE0598">
        <w:rPr>
          <w:sz w:val="24"/>
          <w:szCs w:val="24"/>
        </w:rPr>
        <w:t xml:space="preserve"> af supplerende behandling med systemiske steroider eller inhaleret </w:t>
      </w:r>
      <w:proofErr w:type="spellStart"/>
      <w:r w:rsidRPr="00BE0598">
        <w:rPr>
          <w:sz w:val="24"/>
          <w:szCs w:val="24"/>
        </w:rPr>
        <w:t>budesonid</w:t>
      </w:r>
      <w:proofErr w:type="spellEnd"/>
      <w:r w:rsidRPr="00BE0598">
        <w:rPr>
          <w:sz w:val="24"/>
          <w:szCs w:val="24"/>
        </w:rPr>
        <w:t xml:space="preserve"> bør undgås.</w:t>
      </w:r>
    </w:p>
    <w:p w:rsidR="00223920" w:rsidRPr="00BE0598" w:rsidRDefault="00223920" w:rsidP="00223920">
      <w:pPr>
        <w:autoSpaceDE w:val="0"/>
        <w:autoSpaceDN w:val="0"/>
        <w:adjustRightInd w:val="0"/>
        <w:ind w:left="851"/>
        <w:rPr>
          <w:sz w:val="24"/>
          <w:szCs w:val="24"/>
          <w:lang w:eastAsia="en-GB"/>
        </w:rPr>
      </w:pPr>
    </w:p>
    <w:p w:rsidR="00223920" w:rsidRPr="00BE0598" w:rsidRDefault="00223920" w:rsidP="00223920">
      <w:pPr>
        <w:autoSpaceDE w:val="0"/>
        <w:autoSpaceDN w:val="0"/>
        <w:adjustRightInd w:val="0"/>
        <w:ind w:left="851"/>
        <w:rPr>
          <w:sz w:val="24"/>
          <w:szCs w:val="24"/>
          <w:lang w:eastAsia="en-GB"/>
        </w:rPr>
      </w:pPr>
      <w:r w:rsidRPr="00BE0598">
        <w:rPr>
          <w:sz w:val="24"/>
          <w:szCs w:val="24"/>
        </w:rPr>
        <w:t xml:space="preserve">Langtidsbehandling med høje doser af inhalerede </w:t>
      </w:r>
      <w:proofErr w:type="spellStart"/>
      <w:r w:rsidRPr="00BE0598">
        <w:rPr>
          <w:sz w:val="24"/>
          <w:szCs w:val="24"/>
        </w:rPr>
        <w:t>kortikosteroider</w:t>
      </w:r>
      <w:proofErr w:type="spellEnd"/>
      <w:r w:rsidRPr="00BE0598">
        <w:rPr>
          <w:sz w:val="24"/>
          <w:szCs w:val="24"/>
        </w:rPr>
        <w:t xml:space="preserve">, især når de overstiger de anbefalede doser, kan også føre til klinisk signifikant undertrykkelse af </w:t>
      </w:r>
      <w:r>
        <w:rPr>
          <w:sz w:val="24"/>
          <w:szCs w:val="24"/>
        </w:rPr>
        <w:t xml:space="preserve">den </w:t>
      </w:r>
      <w:proofErr w:type="spellStart"/>
      <w:r>
        <w:rPr>
          <w:sz w:val="24"/>
          <w:szCs w:val="24"/>
        </w:rPr>
        <w:t>adrenale</w:t>
      </w:r>
      <w:proofErr w:type="spellEnd"/>
      <w:r>
        <w:rPr>
          <w:sz w:val="24"/>
          <w:szCs w:val="24"/>
        </w:rPr>
        <w:t xml:space="preserve"> </w:t>
      </w:r>
      <w:r w:rsidRPr="00BE0598">
        <w:rPr>
          <w:sz w:val="24"/>
          <w:szCs w:val="24"/>
        </w:rPr>
        <w:t xml:space="preserve">funktion. Det bør derfor overvejes at supplere med systemiske </w:t>
      </w:r>
      <w:proofErr w:type="spellStart"/>
      <w:r w:rsidRPr="00BE0598">
        <w:rPr>
          <w:sz w:val="24"/>
          <w:szCs w:val="24"/>
        </w:rPr>
        <w:t>kortikosteroider</w:t>
      </w:r>
      <w:proofErr w:type="spellEnd"/>
      <w:r w:rsidRPr="00BE0598">
        <w:rPr>
          <w:sz w:val="24"/>
          <w:szCs w:val="24"/>
        </w:rPr>
        <w:t xml:space="preserve"> i perioder med stress som f.eks. ved alvorlige infektioner eller planlagt kirurgi. Hurtig reduktion af steroiddosis kan inducere akut binyre</w:t>
      </w:r>
      <w:r w:rsidRPr="00BE0598">
        <w:rPr>
          <w:sz w:val="24"/>
          <w:szCs w:val="24"/>
        </w:rPr>
        <w:softHyphen/>
        <w:t>bark</w:t>
      </w:r>
      <w:r w:rsidRPr="00BE0598">
        <w:rPr>
          <w:sz w:val="24"/>
          <w:szCs w:val="24"/>
        </w:rPr>
        <w:softHyphen/>
        <w:t>insufficiens. De symptomer, der kan forekomme ved akut binyrebark</w:t>
      </w:r>
      <w:r w:rsidRPr="00BE0598">
        <w:rPr>
          <w:sz w:val="24"/>
          <w:szCs w:val="24"/>
        </w:rPr>
        <w:softHyphen/>
        <w:t xml:space="preserve">insufficiens, kan være ret svage, men de omfatter </w:t>
      </w:r>
      <w:r>
        <w:rPr>
          <w:sz w:val="24"/>
          <w:szCs w:val="24"/>
        </w:rPr>
        <w:t>anoreksi</w:t>
      </w:r>
      <w:r w:rsidRPr="00BE0598">
        <w:rPr>
          <w:sz w:val="24"/>
          <w:szCs w:val="24"/>
        </w:rPr>
        <w:t xml:space="preserve">, </w:t>
      </w:r>
      <w:proofErr w:type="spellStart"/>
      <w:r w:rsidRPr="00BE0598">
        <w:rPr>
          <w:sz w:val="24"/>
          <w:szCs w:val="24"/>
        </w:rPr>
        <w:t>abdominal</w:t>
      </w:r>
      <w:r w:rsidRPr="00BE0598">
        <w:rPr>
          <w:sz w:val="24"/>
          <w:szCs w:val="24"/>
        </w:rPr>
        <w:softHyphen/>
        <w:t>smerter</w:t>
      </w:r>
      <w:proofErr w:type="spellEnd"/>
      <w:r w:rsidRPr="00BE0598">
        <w:rPr>
          <w:sz w:val="24"/>
          <w:szCs w:val="24"/>
        </w:rPr>
        <w:t xml:space="preserve">, vægttab, træthed, hovedpine, kvalme, opkastning, nedsat bevidsthedsniveau, </w:t>
      </w:r>
      <w:r>
        <w:rPr>
          <w:sz w:val="24"/>
          <w:szCs w:val="24"/>
        </w:rPr>
        <w:t>krampe</w:t>
      </w:r>
      <w:r w:rsidRPr="00BE0598">
        <w:rPr>
          <w:sz w:val="24"/>
          <w:szCs w:val="24"/>
        </w:rPr>
        <w:t>anfald, hypotension og hypoglykæmi.</w:t>
      </w:r>
    </w:p>
    <w:p w:rsidR="00223920" w:rsidRPr="00BE0598" w:rsidRDefault="00223920" w:rsidP="00223920">
      <w:pPr>
        <w:autoSpaceDE w:val="0"/>
        <w:autoSpaceDN w:val="0"/>
        <w:adjustRightInd w:val="0"/>
        <w:ind w:left="851"/>
        <w:rPr>
          <w:sz w:val="24"/>
          <w:szCs w:val="24"/>
          <w:lang w:eastAsia="en-GB"/>
        </w:rPr>
      </w:pPr>
    </w:p>
    <w:p w:rsidR="00223920" w:rsidRPr="00BE0598" w:rsidRDefault="00223920" w:rsidP="00223920">
      <w:pPr>
        <w:autoSpaceDE w:val="0"/>
        <w:autoSpaceDN w:val="0"/>
        <w:adjustRightInd w:val="0"/>
        <w:ind w:left="851"/>
        <w:rPr>
          <w:sz w:val="24"/>
          <w:szCs w:val="24"/>
          <w:lang w:eastAsia="en-GB"/>
        </w:rPr>
      </w:pPr>
      <w:r w:rsidRPr="00BE0598">
        <w:rPr>
          <w:sz w:val="24"/>
          <w:szCs w:val="24"/>
          <w:u w:val="single"/>
          <w:lang w:eastAsia="en-GB"/>
        </w:rPr>
        <w:t xml:space="preserve">Paradoks </w:t>
      </w:r>
      <w:proofErr w:type="spellStart"/>
      <w:r w:rsidRPr="00BE0598">
        <w:rPr>
          <w:sz w:val="24"/>
          <w:szCs w:val="24"/>
          <w:u w:val="single"/>
          <w:lang w:eastAsia="en-GB"/>
        </w:rPr>
        <w:t>bronkospasme</w:t>
      </w:r>
      <w:proofErr w:type="spellEnd"/>
    </w:p>
    <w:p w:rsidR="00223920" w:rsidRPr="00BE0598" w:rsidRDefault="00223920" w:rsidP="00223920">
      <w:pPr>
        <w:autoSpaceDE w:val="0"/>
        <w:autoSpaceDN w:val="0"/>
        <w:adjustRightInd w:val="0"/>
        <w:ind w:left="851"/>
        <w:rPr>
          <w:sz w:val="24"/>
          <w:szCs w:val="24"/>
          <w:lang w:eastAsia="en-GB"/>
        </w:rPr>
      </w:pPr>
      <w:r w:rsidRPr="00BE0598">
        <w:rPr>
          <w:sz w:val="24"/>
          <w:szCs w:val="24"/>
        </w:rPr>
        <w:t xml:space="preserve">Som ved anden inhalationsbehandling kan der forekomme paradoks </w:t>
      </w:r>
      <w:proofErr w:type="spellStart"/>
      <w:r w:rsidRPr="00BE0598">
        <w:rPr>
          <w:sz w:val="24"/>
          <w:szCs w:val="24"/>
        </w:rPr>
        <w:t>bronkospasme</w:t>
      </w:r>
      <w:proofErr w:type="spellEnd"/>
      <w:r w:rsidRPr="00BE0598">
        <w:rPr>
          <w:sz w:val="24"/>
          <w:szCs w:val="24"/>
        </w:rPr>
        <w:t xml:space="preserve"> med akut øget hvæsende vejrtrækning og åndenød efter inhalation. I tilfælde af paradoks </w:t>
      </w:r>
      <w:proofErr w:type="spellStart"/>
      <w:r w:rsidRPr="00BE0598">
        <w:rPr>
          <w:sz w:val="24"/>
          <w:szCs w:val="24"/>
        </w:rPr>
        <w:t>bronkospasme</w:t>
      </w:r>
      <w:proofErr w:type="spellEnd"/>
      <w:r w:rsidRPr="00BE0598">
        <w:rPr>
          <w:sz w:val="24"/>
          <w:szCs w:val="24"/>
        </w:rPr>
        <w:t xml:space="preserve"> skal behandlingen omgående seponeres, og patienten bør udredes og om nødvendigt have anden medicin. Paradoks </w:t>
      </w:r>
      <w:proofErr w:type="spellStart"/>
      <w:r w:rsidRPr="00BE0598">
        <w:rPr>
          <w:sz w:val="24"/>
          <w:szCs w:val="24"/>
        </w:rPr>
        <w:t>bronkospasme</w:t>
      </w:r>
      <w:proofErr w:type="spellEnd"/>
      <w:r w:rsidRPr="00BE0598">
        <w:rPr>
          <w:sz w:val="24"/>
          <w:szCs w:val="24"/>
        </w:rPr>
        <w:t xml:space="preserve"> reagerer på hurtigtvirkende inhalerede </w:t>
      </w:r>
      <w:proofErr w:type="spellStart"/>
      <w:r w:rsidRPr="00BE0598">
        <w:rPr>
          <w:sz w:val="24"/>
          <w:szCs w:val="24"/>
        </w:rPr>
        <w:t>bronkodilatatorer</w:t>
      </w:r>
      <w:proofErr w:type="spellEnd"/>
      <w:r w:rsidRPr="00BE0598">
        <w:rPr>
          <w:sz w:val="24"/>
          <w:szCs w:val="24"/>
        </w:rPr>
        <w:t xml:space="preserve"> og skal behandles med det samme (se pkt. 4.8).</w:t>
      </w:r>
    </w:p>
    <w:p w:rsidR="00223920" w:rsidRDefault="00223920" w:rsidP="00223920">
      <w:pPr>
        <w:autoSpaceDE w:val="0"/>
        <w:autoSpaceDN w:val="0"/>
        <w:adjustRightInd w:val="0"/>
        <w:ind w:left="851"/>
        <w:rPr>
          <w:sz w:val="24"/>
          <w:szCs w:val="24"/>
          <w:lang w:eastAsia="en-GB"/>
        </w:rPr>
      </w:pPr>
    </w:p>
    <w:p w:rsidR="00223920" w:rsidRDefault="00223920" w:rsidP="00223920">
      <w:pPr>
        <w:keepNext/>
        <w:autoSpaceDE w:val="0"/>
        <w:autoSpaceDN w:val="0"/>
        <w:adjustRightInd w:val="0"/>
        <w:ind w:left="851"/>
        <w:rPr>
          <w:sz w:val="24"/>
          <w:szCs w:val="24"/>
          <w:u w:val="single"/>
          <w:lang w:eastAsia="en-GB"/>
        </w:rPr>
      </w:pPr>
      <w:r>
        <w:rPr>
          <w:sz w:val="24"/>
          <w:szCs w:val="24"/>
          <w:u w:val="single"/>
          <w:lang w:eastAsia="en-GB"/>
        </w:rPr>
        <w:t>Pædiatrisk population</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Det anbefales, at højden af børn, der får langvarig behandling med inhalerede </w:t>
      </w:r>
      <w:proofErr w:type="spellStart"/>
      <w:r>
        <w:rPr>
          <w:sz w:val="24"/>
          <w:szCs w:val="24"/>
          <w:lang w:eastAsia="en-GB"/>
        </w:rPr>
        <w:t>kortikosteroider</w:t>
      </w:r>
      <w:proofErr w:type="spellEnd"/>
      <w:r>
        <w:rPr>
          <w:sz w:val="24"/>
          <w:szCs w:val="24"/>
          <w:lang w:eastAsia="en-GB"/>
        </w:rPr>
        <w:t xml:space="preserve">, regelmæssigt overvåges. Hvis væksten er bremset, bør behandlingen evalueres med det formål at reducere dosis af inhaleret </w:t>
      </w:r>
      <w:proofErr w:type="spellStart"/>
      <w:r>
        <w:rPr>
          <w:sz w:val="24"/>
          <w:szCs w:val="24"/>
          <w:lang w:eastAsia="en-GB"/>
        </w:rPr>
        <w:t>kortikosteroid</w:t>
      </w:r>
      <w:proofErr w:type="spellEnd"/>
      <w:r>
        <w:rPr>
          <w:sz w:val="24"/>
          <w:szCs w:val="24"/>
          <w:lang w:eastAsia="en-GB"/>
        </w:rPr>
        <w:t xml:space="preserve"> til den laveste dosis, hvor effektiv kontrol med astma opretholdes, hvis det er muligt. Fordelene ved </w:t>
      </w:r>
      <w:proofErr w:type="spellStart"/>
      <w:r>
        <w:rPr>
          <w:sz w:val="24"/>
          <w:szCs w:val="24"/>
          <w:lang w:eastAsia="en-GB"/>
        </w:rPr>
        <w:t>kortikosteroidbehandling</w:t>
      </w:r>
      <w:proofErr w:type="spellEnd"/>
      <w:r>
        <w:rPr>
          <w:sz w:val="24"/>
          <w:szCs w:val="24"/>
          <w:lang w:eastAsia="en-GB"/>
        </w:rPr>
        <w:t xml:space="preserve"> og de mulige risici for suppression af vækst skal overvejes omhyggeligt. Derudover bør det overvejes at henvise patienten til en pædiatrisk lungespecialist.</w:t>
      </w:r>
    </w:p>
    <w:p w:rsidR="00223920" w:rsidRDefault="00223920" w:rsidP="00223920">
      <w:pPr>
        <w:autoSpaceDE w:val="0"/>
        <w:autoSpaceDN w:val="0"/>
        <w:adjustRightInd w:val="0"/>
        <w:ind w:left="851"/>
        <w:rPr>
          <w:sz w:val="24"/>
          <w:szCs w:val="24"/>
          <w:lang w:eastAsia="en-GB"/>
        </w:rPr>
      </w:pPr>
    </w:p>
    <w:p w:rsidR="00223920" w:rsidRDefault="00223920" w:rsidP="00223920">
      <w:pPr>
        <w:autoSpaceDE w:val="0"/>
        <w:autoSpaceDN w:val="0"/>
        <w:adjustRightInd w:val="0"/>
        <w:ind w:left="851"/>
        <w:rPr>
          <w:sz w:val="24"/>
          <w:szCs w:val="24"/>
          <w:lang w:eastAsia="en-GB"/>
        </w:rPr>
      </w:pPr>
      <w:r>
        <w:rPr>
          <w:sz w:val="24"/>
          <w:szCs w:val="24"/>
          <w:lang w:eastAsia="en-GB"/>
        </w:rPr>
        <w:t xml:space="preserve">Begrænsede data fra langtidsundersøgelser antyder, at de fleste børn og unge behandlet med inhaleret </w:t>
      </w:r>
      <w:proofErr w:type="spellStart"/>
      <w:r>
        <w:rPr>
          <w:sz w:val="24"/>
          <w:szCs w:val="24"/>
          <w:lang w:eastAsia="en-GB"/>
        </w:rPr>
        <w:t>budesonid</w:t>
      </w:r>
      <w:proofErr w:type="spellEnd"/>
      <w:r>
        <w:rPr>
          <w:sz w:val="24"/>
          <w:szCs w:val="24"/>
          <w:lang w:eastAsia="en-GB"/>
        </w:rPr>
        <w:t xml:space="preserve"> i sidste ende vil nå deres voksne målhøjde. Imidlertid er der observeret en indledende lille, men kortvarig reduktion i væksten (ca. 1 cm). Dette forekommer normalt inden for det første </w:t>
      </w:r>
      <w:proofErr w:type="spellStart"/>
      <w:r>
        <w:rPr>
          <w:sz w:val="24"/>
          <w:szCs w:val="24"/>
          <w:lang w:eastAsia="en-GB"/>
        </w:rPr>
        <w:t>behandlingsår</w:t>
      </w:r>
      <w:proofErr w:type="spellEnd"/>
      <w:r>
        <w:rPr>
          <w:sz w:val="24"/>
          <w:szCs w:val="24"/>
          <w:lang w:eastAsia="en-GB"/>
        </w:rPr>
        <w:t>.</w:t>
      </w:r>
    </w:p>
    <w:p w:rsidR="00451F57" w:rsidRPr="00F61E4C" w:rsidRDefault="00451F57" w:rsidP="00451F57">
      <w:pPr>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4.5</w:t>
      </w:r>
      <w:r w:rsidRPr="00F61E4C">
        <w:rPr>
          <w:b/>
          <w:sz w:val="24"/>
          <w:szCs w:val="24"/>
        </w:rPr>
        <w:tab/>
        <w:t>Interaktion med andre lægemidler og andre former for interaktion</w:t>
      </w:r>
    </w:p>
    <w:p w:rsidR="007D5537" w:rsidRPr="00F61E4C" w:rsidRDefault="007D5537" w:rsidP="007D5537">
      <w:pPr>
        <w:tabs>
          <w:tab w:val="left" w:pos="851"/>
        </w:tabs>
        <w:ind w:left="851"/>
        <w:rPr>
          <w:sz w:val="24"/>
          <w:szCs w:val="24"/>
        </w:rPr>
      </w:pPr>
    </w:p>
    <w:p w:rsidR="007D5537" w:rsidRPr="00F61E4C" w:rsidRDefault="007D5537" w:rsidP="007D5537">
      <w:pPr>
        <w:tabs>
          <w:tab w:val="left" w:pos="851"/>
        </w:tabs>
        <w:ind w:left="851"/>
        <w:rPr>
          <w:iCs/>
          <w:sz w:val="24"/>
          <w:szCs w:val="24"/>
          <w:u w:val="single"/>
        </w:rPr>
      </w:pPr>
      <w:proofErr w:type="spellStart"/>
      <w:r w:rsidRPr="00F61E4C">
        <w:rPr>
          <w:iCs/>
          <w:sz w:val="24"/>
          <w:szCs w:val="24"/>
          <w:u w:val="single"/>
        </w:rPr>
        <w:t>Farmakokinetiske</w:t>
      </w:r>
      <w:proofErr w:type="spellEnd"/>
      <w:r w:rsidRPr="00F61E4C">
        <w:rPr>
          <w:iCs/>
          <w:sz w:val="24"/>
          <w:szCs w:val="24"/>
          <w:u w:val="single"/>
        </w:rPr>
        <w:t xml:space="preserve"> interaktioner</w:t>
      </w:r>
    </w:p>
    <w:p w:rsidR="007D5537" w:rsidRPr="00F61E4C" w:rsidRDefault="007D5537" w:rsidP="007D5537">
      <w:pPr>
        <w:tabs>
          <w:tab w:val="left" w:pos="851"/>
        </w:tabs>
        <w:ind w:left="851"/>
        <w:rPr>
          <w:sz w:val="24"/>
          <w:szCs w:val="24"/>
        </w:rPr>
      </w:pPr>
      <w:r w:rsidRPr="00F61E4C">
        <w:rPr>
          <w:sz w:val="24"/>
          <w:szCs w:val="24"/>
        </w:rPr>
        <w:t xml:space="preserve">Potente CYP3A4-hæmmere (f.eks. </w:t>
      </w:r>
      <w:proofErr w:type="spellStart"/>
      <w:r w:rsidRPr="00F61E4C">
        <w:rPr>
          <w:sz w:val="24"/>
          <w:szCs w:val="24"/>
        </w:rPr>
        <w:t>ketoconazol</w:t>
      </w:r>
      <w:proofErr w:type="spellEnd"/>
      <w:r w:rsidRPr="00F61E4C">
        <w:rPr>
          <w:sz w:val="24"/>
          <w:szCs w:val="24"/>
        </w:rPr>
        <w:t xml:space="preserve">, </w:t>
      </w:r>
      <w:proofErr w:type="spellStart"/>
      <w:r w:rsidRPr="00F61E4C">
        <w:rPr>
          <w:sz w:val="24"/>
          <w:szCs w:val="24"/>
        </w:rPr>
        <w:t>itraconazol</w:t>
      </w:r>
      <w:proofErr w:type="spellEnd"/>
      <w:r w:rsidRPr="00F61E4C">
        <w:rPr>
          <w:sz w:val="24"/>
          <w:szCs w:val="24"/>
        </w:rPr>
        <w:t xml:space="preserve">, </w:t>
      </w:r>
      <w:proofErr w:type="spellStart"/>
      <w:r w:rsidRPr="00F61E4C">
        <w:rPr>
          <w:sz w:val="24"/>
          <w:szCs w:val="24"/>
        </w:rPr>
        <w:t>voriconazol</w:t>
      </w:r>
      <w:proofErr w:type="spellEnd"/>
      <w:r w:rsidRPr="00F61E4C">
        <w:rPr>
          <w:sz w:val="24"/>
          <w:szCs w:val="24"/>
        </w:rPr>
        <w:t xml:space="preserve">, </w:t>
      </w:r>
      <w:proofErr w:type="spellStart"/>
      <w:r w:rsidRPr="00F61E4C">
        <w:rPr>
          <w:sz w:val="24"/>
          <w:szCs w:val="24"/>
        </w:rPr>
        <w:t>posaconazol</w:t>
      </w:r>
      <w:proofErr w:type="spellEnd"/>
      <w:r w:rsidRPr="00F61E4C">
        <w:rPr>
          <w:sz w:val="24"/>
          <w:szCs w:val="24"/>
        </w:rPr>
        <w:t xml:space="preserve">, </w:t>
      </w:r>
      <w:proofErr w:type="spellStart"/>
      <w:r w:rsidRPr="00F61E4C">
        <w:rPr>
          <w:sz w:val="24"/>
          <w:szCs w:val="24"/>
        </w:rPr>
        <w:t>clarithromycin</w:t>
      </w:r>
      <w:proofErr w:type="spellEnd"/>
      <w:r w:rsidRPr="00F61E4C">
        <w:rPr>
          <w:sz w:val="24"/>
          <w:szCs w:val="24"/>
        </w:rPr>
        <w:t xml:space="preserve">, </w:t>
      </w:r>
      <w:proofErr w:type="spellStart"/>
      <w:r w:rsidRPr="00F61E4C">
        <w:rPr>
          <w:sz w:val="24"/>
          <w:szCs w:val="24"/>
        </w:rPr>
        <w:t>telithromycin</w:t>
      </w:r>
      <w:proofErr w:type="spellEnd"/>
      <w:r w:rsidRPr="00F61E4C">
        <w:rPr>
          <w:sz w:val="24"/>
          <w:szCs w:val="24"/>
        </w:rPr>
        <w:t xml:space="preserve">, </w:t>
      </w:r>
      <w:proofErr w:type="spellStart"/>
      <w:r w:rsidRPr="00F61E4C">
        <w:rPr>
          <w:sz w:val="24"/>
          <w:szCs w:val="24"/>
        </w:rPr>
        <w:t>nefazodon</w:t>
      </w:r>
      <w:proofErr w:type="spellEnd"/>
      <w:r w:rsidRPr="00F61E4C">
        <w:rPr>
          <w:sz w:val="24"/>
          <w:szCs w:val="24"/>
        </w:rPr>
        <w:t xml:space="preserve"> og hiv-</w:t>
      </w:r>
      <w:proofErr w:type="spellStart"/>
      <w:r w:rsidRPr="00F61E4C">
        <w:rPr>
          <w:sz w:val="24"/>
          <w:szCs w:val="24"/>
        </w:rPr>
        <w:t>proteasehæmmere</w:t>
      </w:r>
      <w:proofErr w:type="spellEnd"/>
      <w:r w:rsidRPr="00F61E4C">
        <w:rPr>
          <w:sz w:val="24"/>
          <w:szCs w:val="24"/>
        </w:rPr>
        <w:t xml:space="preserve">) forøger sandsynligvis plasmaniveauet af </w:t>
      </w:r>
      <w:proofErr w:type="spellStart"/>
      <w:r w:rsidRPr="00F61E4C">
        <w:rPr>
          <w:sz w:val="24"/>
          <w:szCs w:val="24"/>
        </w:rPr>
        <w:t>budesonid</w:t>
      </w:r>
      <w:proofErr w:type="spellEnd"/>
      <w:r w:rsidRPr="00F61E4C">
        <w:rPr>
          <w:sz w:val="24"/>
          <w:szCs w:val="24"/>
        </w:rPr>
        <w:t xml:space="preserve"> markant, og samtidig brug skal undgås. Hvis dette ikke er muligt, skal tidsintervallet mellem administration af </w:t>
      </w:r>
      <w:proofErr w:type="spellStart"/>
      <w:r w:rsidRPr="00F61E4C">
        <w:rPr>
          <w:sz w:val="24"/>
          <w:szCs w:val="24"/>
        </w:rPr>
        <w:t>hæmmeren</w:t>
      </w:r>
      <w:proofErr w:type="spellEnd"/>
      <w:r w:rsidRPr="00F61E4C">
        <w:rPr>
          <w:sz w:val="24"/>
          <w:szCs w:val="24"/>
        </w:rPr>
        <w:t xml:space="preserve"> og </w:t>
      </w:r>
      <w:proofErr w:type="spellStart"/>
      <w:r w:rsidRPr="00F61E4C">
        <w:rPr>
          <w:sz w:val="24"/>
          <w:szCs w:val="24"/>
        </w:rPr>
        <w:t>budesonid</w:t>
      </w:r>
      <w:proofErr w:type="spellEnd"/>
      <w:r w:rsidRPr="00F61E4C">
        <w:rPr>
          <w:sz w:val="24"/>
          <w:szCs w:val="24"/>
        </w:rPr>
        <w:t xml:space="preserve"> være så langt som muligt (pkt. 4.4). Patienter, der bruger potente CYP3A4-hæmmere, anbefales ikke at bruge </w:t>
      </w:r>
      <w:proofErr w:type="spellStart"/>
      <w:r w:rsidRPr="00F61E4C">
        <w:rPr>
          <w:sz w:val="24"/>
          <w:szCs w:val="24"/>
        </w:rPr>
        <w:t>Symbicort</w:t>
      </w:r>
      <w:proofErr w:type="spellEnd"/>
      <w:r w:rsidRPr="00F61E4C">
        <w:rPr>
          <w:sz w:val="24"/>
          <w:szCs w:val="24"/>
        </w:rPr>
        <w:t xml:space="preserve"> vedligeholdelses- og behovsbehandling.</w:t>
      </w:r>
    </w:p>
    <w:p w:rsidR="007D5537" w:rsidRPr="00F61E4C" w:rsidRDefault="007D5537" w:rsidP="007D5537">
      <w:pPr>
        <w:tabs>
          <w:tab w:val="left" w:pos="851"/>
        </w:tabs>
        <w:ind w:left="851"/>
        <w:rPr>
          <w:b/>
          <w:sz w:val="24"/>
          <w:szCs w:val="24"/>
        </w:rPr>
      </w:pPr>
    </w:p>
    <w:p w:rsidR="007D5537" w:rsidRPr="00F61E4C" w:rsidRDefault="007D5537" w:rsidP="00223920">
      <w:pPr>
        <w:tabs>
          <w:tab w:val="left" w:pos="851"/>
        </w:tabs>
        <w:ind w:left="851"/>
        <w:rPr>
          <w:bCs/>
          <w:sz w:val="24"/>
          <w:szCs w:val="24"/>
        </w:rPr>
      </w:pPr>
      <w:r w:rsidRPr="00F61E4C">
        <w:rPr>
          <w:bCs/>
          <w:sz w:val="24"/>
          <w:szCs w:val="24"/>
        </w:rPr>
        <w:t xml:space="preserve">Den potente CYP3A4-hæmmer </w:t>
      </w:r>
      <w:proofErr w:type="spellStart"/>
      <w:r w:rsidRPr="00F61E4C">
        <w:rPr>
          <w:bCs/>
          <w:sz w:val="24"/>
          <w:szCs w:val="24"/>
        </w:rPr>
        <w:t>ketoconazol</w:t>
      </w:r>
      <w:proofErr w:type="spellEnd"/>
      <w:r w:rsidRPr="00F61E4C">
        <w:rPr>
          <w:bCs/>
          <w:sz w:val="24"/>
          <w:szCs w:val="24"/>
        </w:rPr>
        <w:t xml:space="preserve">, 200 mg en gang daglig, forhøjede gennemsnitligt plasmaniveauet af samtidigt oralt administreret </w:t>
      </w:r>
      <w:proofErr w:type="spellStart"/>
      <w:r w:rsidRPr="00F61E4C">
        <w:rPr>
          <w:bCs/>
          <w:sz w:val="24"/>
          <w:szCs w:val="24"/>
        </w:rPr>
        <w:t>budesonid</w:t>
      </w:r>
      <w:proofErr w:type="spellEnd"/>
      <w:r w:rsidRPr="00F61E4C">
        <w:rPr>
          <w:bCs/>
          <w:sz w:val="24"/>
          <w:szCs w:val="24"/>
        </w:rPr>
        <w:t xml:space="preserve"> (enkelt dosis på 3 mg) seks gange. Når </w:t>
      </w:r>
      <w:proofErr w:type="spellStart"/>
      <w:r w:rsidRPr="00F61E4C">
        <w:rPr>
          <w:bCs/>
          <w:sz w:val="24"/>
          <w:szCs w:val="24"/>
        </w:rPr>
        <w:t>ketoconazol</w:t>
      </w:r>
      <w:proofErr w:type="spellEnd"/>
      <w:r w:rsidRPr="00F61E4C">
        <w:rPr>
          <w:bCs/>
          <w:sz w:val="24"/>
          <w:szCs w:val="24"/>
        </w:rPr>
        <w:t xml:space="preserve"> blev administreret 12 timer efter </w:t>
      </w:r>
      <w:proofErr w:type="spellStart"/>
      <w:r w:rsidRPr="00F61E4C">
        <w:rPr>
          <w:bCs/>
          <w:sz w:val="24"/>
          <w:szCs w:val="24"/>
        </w:rPr>
        <w:t>budesonid</w:t>
      </w:r>
      <w:proofErr w:type="spellEnd"/>
      <w:r w:rsidRPr="00F61E4C">
        <w:rPr>
          <w:bCs/>
          <w:sz w:val="24"/>
          <w:szCs w:val="24"/>
        </w:rPr>
        <w:t xml:space="preserve"> blev koncentrationen i gennemsnit kun forhøjet tre gange, hvilket viser, at adskillelse af administrationstidspunkterne kan reducere forhøjelsen af plasmaniveauet. Begrænsede data vedrørende denne interaktion for høj dosis af inhaleret </w:t>
      </w:r>
      <w:proofErr w:type="spellStart"/>
      <w:r w:rsidRPr="00F61E4C">
        <w:rPr>
          <w:bCs/>
          <w:sz w:val="24"/>
          <w:szCs w:val="24"/>
        </w:rPr>
        <w:t>budesonid</w:t>
      </w:r>
      <w:proofErr w:type="spellEnd"/>
      <w:r w:rsidRPr="00F61E4C">
        <w:rPr>
          <w:bCs/>
          <w:sz w:val="24"/>
          <w:szCs w:val="24"/>
        </w:rPr>
        <w:t xml:space="preserve"> indikerer, at der kan </w:t>
      </w:r>
      <w:r w:rsidRPr="00F61E4C">
        <w:rPr>
          <w:bCs/>
          <w:sz w:val="24"/>
          <w:szCs w:val="24"/>
        </w:rPr>
        <w:lastRenderedPageBreak/>
        <w:t xml:space="preserve">forekomme et markant forøget plasmaniveau (i gennemsnit fire gange), hvis </w:t>
      </w:r>
      <w:proofErr w:type="spellStart"/>
      <w:r w:rsidRPr="00F61E4C">
        <w:rPr>
          <w:bCs/>
          <w:sz w:val="24"/>
          <w:szCs w:val="24"/>
        </w:rPr>
        <w:t>itraconazol</w:t>
      </w:r>
      <w:proofErr w:type="spellEnd"/>
      <w:r w:rsidRPr="00F61E4C">
        <w:rPr>
          <w:bCs/>
          <w:sz w:val="24"/>
          <w:szCs w:val="24"/>
        </w:rPr>
        <w:t xml:space="preserve">, 200 mg en gang daglig, administreres samtidigt med inhaleret </w:t>
      </w:r>
      <w:proofErr w:type="spellStart"/>
      <w:r w:rsidRPr="00F61E4C">
        <w:rPr>
          <w:bCs/>
          <w:sz w:val="24"/>
          <w:szCs w:val="24"/>
        </w:rPr>
        <w:t>budesonid</w:t>
      </w:r>
      <w:proofErr w:type="spellEnd"/>
      <w:r w:rsidRPr="00F61E4C">
        <w:rPr>
          <w:bCs/>
          <w:sz w:val="24"/>
          <w:szCs w:val="24"/>
        </w:rPr>
        <w:t xml:space="preserve"> (enkelt dosis på 1000 </w:t>
      </w:r>
      <w:proofErr w:type="spellStart"/>
      <w:r w:rsidRPr="00F61E4C">
        <w:rPr>
          <w:sz w:val="24"/>
          <w:szCs w:val="24"/>
        </w:rPr>
        <w:t>μg</w:t>
      </w:r>
      <w:proofErr w:type="spellEnd"/>
      <w:r w:rsidRPr="00F61E4C">
        <w:rPr>
          <w:sz w:val="24"/>
          <w:szCs w:val="24"/>
        </w:rPr>
        <w:t>).</w:t>
      </w:r>
    </w:p>
    <w:p w:rsidR="007D5537" w:rsidRPr="00F61E4C" w:rsidRDefault="007D5537" w:rsidP="007D5537">
      <w:pPr>
        <w:tabs>
          <w:tab w:val="left" w:pos="851"/>
        </w:tabs>
        <w:ind w:left="851"/>
        <w:rPr>
          <w:bCs/>
          <w:sz w:val="24"/>
          <w:szCs w:val="24"/>
        </w:rPr>
      </w:pPr>
    </w:p>
    <w:p w:rsidR="007D5537" w:rsidRPr="00F61E4C" w:rsidRDefault="007D5537" w:rsidP="007D5537">
      <w:pPr>
        <w:tabs>
          <w:tab w:val="left" w:pos="851"/>
        </w:tabs>
        <w:ind w:left="851"/>
        <w:rPr>
          <w:iCs/>
          <w:sz w:val="24"/>
          <w:szCs w:val="24"/>
          <w:u w:val="single"/>
        </w:rPr>
      </w:pPr>
      <w:proofErr w:type="spellStart"/>
      <w:r w:rsidRPr="00F61E4C">
        <w:rPr>
          <w:iCs/>
          <w:sz w:val="24"/>
          <w:szCs w:val="24"/>
          <w:u w:val="single"/>
        </w:rPr>
        <w:t>Farmakodynamiske</w:t>
      </w:r>
      <w:proofErr w:type="spellEnd"/>
      <w:r w:rsidRPr="00F61E4C">
        <w:rPr>
          <w:iCs/>
          <w:sz w:val="24"/>
          <w:szCs w:val="24"/>
          <w:u w:val="single"/>
        </w:rPr>
        <w:t xml:space="preserve"> interaktioner</w:t>
      </w:r>
    </w:p>
    <w:p w:rsidR="007D5537" w:rsidRPr="00F61E4C" w:rsidRDefault="007D5537" w:rsidP="007D5537">
      <w:pPr>
        <w:tabs>
          <w:tab w:val="left" w:pos="851"/>
        </w:tabs>
        <w:ind w:left="851"/>
        <w:rPr>
          <w:sz w:val="24"/>
          <w:szCs w:val="24"/>
        </w:rPr>
      </w:pPr>
      <w:r w:rsidRPr="00F61E4C">
        <w:rPr>
          <w:sz w:val="24"/>
          <w:szCs w:val="24"/>
        </w:rPr>
        <w:t>Beta-</w:t>
      </w:r>
      <w:proofErr w:type="spellStart"/>
      <w:r w:rsidRPr="00F61E4C">
        <w:rPr>
          <w:sz w:val="24"/>
          <w:szCs w:val="24"/>
        </w:rPr>
        <w:t>adrenerge</w:t>
      </w:r>
      <w:proofErr w:type="spellEnd"/>
      <w:r w:rsidRPr="00F61E4C">
        <w:rPr>
          <w:sz w:val="24"/>
          <w:szCs w:val="24"/>
        </w:rPr>
        <w:t xml:space="preserve"> </w:t>
      </w:r>
      <w:proofErr w:type="spellStart"/>
      <w:r w:rsidRPr="00F61E4C">
        <w:rPr>
          <w:sz w:val="24"/>
          <w:szCs w:val="24"/>
        </w:rPr>
        <w:t>blokkere</w:t>
      </w:r>
      <w:proofErr w:type="spellEnd"/>
      <w:r w:rsidRPr="00F61E4C">
        <w:rPr>
          <w:sz w:val="24"/>
          <w:szCs w:val="24"/>
        </w:rPr>
        <w:t xml:space="preserve"> kan svække eller hæmme effekten af </w:t>
      </w:r>
      <w:proofErr w:type="spellStart"/>
      <w:r w:rsidRPr="00F61E4C">
        <w:rPr>
          <w:sz w:val="24"/>
          <w:szCs w:val="24"/>
        </w:rPr>
        <w:t>formoterol</w:t>
      </w:r>
      <w:proofErr w:type="spellEnd"/>
      <w:r w:rsidRPr="00F61E4C">
        <w:rPr>
          <w:sz w:val="24"/>
          <w:szCs w:val="24"/>
        </w:rPr>
        <w:t xml:space="preserve">. </w:t>
      </w:r>
      <w:proofErr w:type="spellStart"/>
      <w:r w:rsidRPr="00F61E4C">
        <w:rPr>
          <w:sz w:val="24"/>
          <w:szCs w:val="24"/>
        </w:rPr>
        <w:t>Symbicort</w:t>
      </w:r>
      <w:proofErr w:type="spellEnd"/>
      <w:r w:rsidRPr="00F61E4C">
        <w:rPr>
          <w:sz w:val="24"/>
          <w:szCs w:val="24"/>
        </w:rPr>
        <w:t xml:space="preserve"> bør derfor ikke gives samtidig med beta-</w:t>
      </w:r>
      <w:proofErr w:type="spellStart"/>
      <w:r w:rsidRPr="00F61E4C">
        <w:rPr>
          <w:sz w:val="24"/>
          <w:szCs w:val="24"/>
        </w:rPr>
        <w:t>adrenerge</w:t>
      </w:r>
      <w:proofErr w:type="spellEnd"/>
      <w:r w:rsidRPr="00F61E4C">
        <w:rPr>
          <w:sz w:val="24"/>
          <w:szCs w:val="24"/>
        </w:rPr>
        <w:t xml:space="preserve"> </w:t>
      </w:r>
      <w:proofErr w:type="spellStart"/>
      <w:r w:rsidRPr="00F61E4C">
        <w:rPr>
          <w:sz w:val="24"/>
          <w:szCs w:val="24"/>
        </w:rPr>
        <w:t>blokkere</w:t>
      </w:r>
      <w:proofErr w:type="spellEnd"/>
      <w:r w:rsidRPr="00F61E4C">
        <w:rPr>
          <w:sz w:val="24"/>
          <w:szCs w:val="24"/>
        </w:rPr>
        <w:t xml:space="preserve"> (inklusive øjendråber) med mindre der er tvingende årsager.</w:t>
      </w:r>
    </w:p>
    <w:p w:rsidR="007D5537" w:rsidRPr="00F61E4C" w:rsidRDefault="007D5537" w:rsidP="007D5537">
      <w:pPr>
        <w:tabs>
          <w:tab w:val="left" w:pos="851"/>
        </w:tabs>
        <w:ind w:left="851"/>
        <w:rPr>
          <w:sz w:val="24"/>
          <w:szCs w:val="24"/>
        </w:rPr>
      </w:pPr>
    </w:p>
    <w:p w:rsidR="007D5537" w:rsidRPr="00F61E4C" w:rsidRDefault="007D5537" w:rsidP="007D5537">
      <w:pPr>
        <w:tabs>
          <w:tab w:val="left" w:pos="851"/>
        </w:tabs>
        <w:ind w:left="851"/>
        <w:rPr>
          <w:sz w:val="24"/>
          <w:szCs w:val="24"/>
        </w:rPr>
      </w:pPr>
      <w:r w:rsidRPr="00F61E4C">
        <w:rPr>
          <w:sz w:val="24"/>
          <w:szCs w:val="24"/>
        </w:rPr>
        <w:t xml:space="preserve">Samtidig behandling med </w:t>
      </w:r>
      <w:proofErr w:type="spellStart"/>
      <w:r w:rsidRPr="00F61E4C">
        <w:rPr>
          <w:sz w:val="24"/>
          <w:szCs w:val="24"/>
        </w:rPr>
        <w:t>kinidin</w:t>
      </w:r>
      <w:proofErr w:type="spellEnd"/>
      <w:r w:rsidRPr="00F61E4C">
        <w:rPr>
          <w:sz w:val="24"/>
          <w:szCs w:val="24"/>
        </w:rPr>
        <w:t xml:space="preserve">, </w:t>
      </w:r>
      <w:proofErr w:type="spellStart"/>
      <w:r w:rsidRPr="00F61E4C">
        <w:rPr>
          <w:sz w:val="24"/>
          <w:szCs w:val="24"/>
        </w:rPr>
        <w:t>disopyramid</w:t>
      </w:r>
      <w:proofErr w:type="spellEnd"/>
      <w:r w:rsidRPr="00F61E4C">
        <w:rPr>
          <w:sz w:val="24"/>
          <w:szCs w:val="24"/>
        </w:rPr>
        <w:t xml:space="preserve">, </w:t>
      </w:r>
      <w:proofErr w:type="spellStart"/>
      <w:r w:rsidRPr="00F61E4C">
        <w:rPr>
          <w:sz w:val="24"/>
          <w:szCs w:val="24"/>
        </w:rPr>
        <w:t>procainamid</w:t>
      </w:r>
      <w:proofErr w:type="spellEnd"/>
      <w:r w:rsidRPr="00F61E4C">
        <w:rPr>
          <w:sz w:val="24"/>
          <w:szCs w:val="24"/>
        </w:rPr>
        <w:t xml:space="preserve">, </w:t>
      </w:r>
      <w:proofErr w:type="spellStart"/>
      <w:r w:rsidRPr="00F61E4C">
        <w:rPr>
          <w:sz w:val="24"/>
          <w:szCs w:val="24"/>
        </w:rPr>
        <w:t>phenothiaziner</w:t>
      </w:r>
      <w:proofErr w:type="spellEnd"/>
      <w:r w:rsidRPr="00F61E4C">
        <w:rPr>
          <w:sz w:val="24"/>
          <w:szCs w:val="24"/>
        </w:rPr>
        <w:t>, antihistaminer (</w:t>
      </w:r>
      <w:proofErr w:type="spellStart"/>
      <w:r w:rsidRPr="00F61E4C">
        <w:rPr>
          <w:sz w:val="24"/>
          <w:szCs w:val="24"/>
        </w:rPr>
        <w:t>terfenadin</w:t>
      </w:r>
      <w:proofErr w:type="spellEnd"/>
      <w:r w:rsidRPr="00F61E4C">
        <w:rPr>
          <w:sz w:val="24"/>
          <w:szCs w:val="24"/>
        </w:rPr>
        <w:t xml:space="preserve">) og tricykliske </w:t>
      </w:r>
      <w:proofErr w:type="spellStart"/>
      <w:r w:rsidRPr="00F61E4C">
        <w:rPr>
          <w:sz w:val="24"/>
          <w:szCs w:val="24"/>
        </w:rPr>
        <w:t>antidepressiva</w:t>
      </w:r>
      <w:proofErr w:type="spellEnd"/>
      <w:r w:rsidRPr="00F61E4C">
        <w:rPr>
          <w:sz w:val="24"/>
          <w:szCs w:val="24"/>
        </w:rPr>
        <w:t xml:space="preserve"> kan forlænge </w:t>
      </w:r>
      <w:proofErr w:type="spellStart"/>
      <w:r w:rsidRPr="00F61E4C">
        <w:rPr>
          <w:sz w:val="24"/>
          <w:szCs w:val="24"/>
        </w:rPr>
        <w:t>QTc</w:t>
      </w:r>
      <w:proofErr w:type="spellEnd"/>
      <w:r w:rsidRPr="00F61E4C">
        <w:rPr>
          <w:sz w:val="24"/>
          <w:szCs w:val="24"/>
        </w:rPr>
        <w:t xml:space="preserve">-intervallet og øge risikoen for </w:t>
      </w:r>
      <w:proofErr w:type="spellStart"/>
      <w:r w:rsidRPr="00F61E4C">
        <w:rPr>
          <w:sz w:val="24"/>
          <w:szCs w:val="24"/>
        </w:rPr>
        <w:t>ventrikulære</w:t>
      </w:r>
      <w:proofErr w:type="spellEnd"/>
      <w:r w:rsidRPr="00F61E4C">
        <w:rPr>
          <w:sz w:val="24"/>
          <w:szCs w:val="24"/>
        </w:rPr>
        <w:t xml:space="preserve"> </w:t>
      </w:r>
      <w:proofErr w:type="spellStart"/>
      <w:r w:rsidRPr="00F61E4C">
        <w:rPr>
          <w:sz w:val="24"/>
          <w:szCs w:val="24"/>
        </w:rPr>
        <w:t>arytmier</w:t>
      </w:r>
      <w:proofErr w:type="spellEnd"/>
      <w:r w:rsidRPr="00F61E4C">
        <w:rPr>
          <w:sz w:val="24"/>
          <w:szCs w:val="24"/>
        </w:rPr>
        <w:t>.</w:t>
      </w:r>
    </w:p>
    <w:p w:rsidR="007D5537" w:rsidRPr="00F61E4C" w:rsidRDefault="007D5537" w:rsidP="007D5537">
      <w:pPr>
        <w:tabs>
          <w:tab w:val="left" w:pos="851"/>
        </w:tabs>
        <w:ind w:left="851"/>
        <w:rPr>
          <w:sz w:val="24"/>
          <w:szCs w:val="24"/>
        </w:rPr>
      </w:pPr>
    </w:p>
    <w:p w:rsidR="007D5537" w:rsidRPr="00F61E4C" w:rsidRDefault="007D5537" w:rsidP="007D5537">
      <w:pPr>
        <w:tabs>
          <w:tab w:val="left" w:pos="851"/>
        </w:tabs>
        <w:ind w:left="851"/>
        <w:rPr>
          <w:sz w:val="24"/>
          <w:szCs w:val="24"/>
        </w:rPr>
      </w:pPr>
      <w:r w:rsidRPr="00F61E4C">
        <w:rPr>
          <w:sz w:val="24"/>
          <w:szCs w:val="24"/>
        </w:rPr>
        <w:t>Desuden kan L-</w:t>
      </w:r>
      <w:proofErr w:type="spellStart"/>
      <w:r w:rsidRPr="00F61E4C">
        <w:rPr>
          <w:sz w:val="24"/>
          <w:szCs w:val="24"/>
        </w:rPr>
        <w:t>Dopa</w:t>
      </w:r>
      <w:proofErr w:type="spellEnd"/>
      <w:r w:rsidRPr="00F61E4C">
        <w:rPr>
          <w:sz w:val="24"/>
          <w:szCs w:val="24"/>
        </w:rPr>
        <w:t>, L-</w:t>
      </w:r>
      <w:proofErr w:type="spellStart"/>
      <w:r w:rsidRPr="00F61E4C">
        <w:rPr>
          <w:sz w:val="24"/>
          <w:szCs w:val="24"/>
        </w:rPr>
        <w:t>thyroxin</w:t>
      </w:r>
      <w:proofErr w:type="spellEnd"/>
      <w:r w:rsidRPr="00F61E4C">
        <w:rPr>
          <w:sz w:val="24"/>
          <w:szCs w:val="24"/>
        </w:rPr>
        <w:t xml:space="preserve">, </w:t>
      </w:r>
      <w:proofErr w:type="spellStart"/>
      <w:r w:rsidRPr="00F61E4C">
        <w:rPr>
          <w:sz w:val="24"/>
          <w:szCs w:val="24"/>
        </w:rPr>
        <w:t>oxytocin</w:t>
      </w:r>
      <w:proofErr w:type="spellEnd"/>
      <w:r w:rsidRPr="00F61E4C">
        <w:rPr>
          <w:sz w:val="24"/>
          <w:szCs w:val="24"/>
        </w:rPr>
        <w:t xml:space="preserve"> og alkohol svække hjertets tolerance overfor β</w:t>
      </w:r>
      <w:r w:rsidRPr="00F61E4C">
        <w:rPr>
          <w:sz w:val="24"/>
          <w:szCs w:val="24"/>
          <w:vertAlign w:val="subscript"/>
        </w:rPr>
        <w:t>2</w:t>
      </w:r>
      <w:r w:rsidRPr="00F61E4C">
        <w:rPr>
          <w:sz w:val="24"/>
          <w:szCs w:val="24"/>
        </w:rPr>
        <w:t>-sympatomimetika.</w:t>
      </w:r>
    </w:p>
    <w:p w:rsidR="007D5537" w:rsidRPr="00F61E4C" w:rsidRDefault="007D5537" w:rsidP="007D5537">
      <w:pPr>
        <w:tabs>
          <w:tab w:val="left" w:pos="851"/>
        </w:tabs>
        <w:ind w:left="851"/>
        <w:rPr>
          <w:sz w:val="24"/>
          <w:szCs w:val="24"/>
        </w:rPr>
      </w:pPr>
    </w:p>
    <w:p w:rsidR="007D5537" w:rsidRPr="00F61E4C" w:rsidRDefault="007D5537" w:rsidP="007D5537">
      <w:pPr>
        <w:tabs>
          <w:tab w:val="left" w:pos="851"/>
        </w:tabs>
        <w:ind w:left="851"/>
        <w:rPr>
          <w:sz w:val="24"/>
          <w:szCs w:val="24"/>
        </w:rPr>
      </w:pPr>
      <w:r w:rsidRPr="00F61E4C">
        <w:rPr>
          <w:sz w:val="24"/>
          <w:szCs w:val="24"/>
        </w:rPr>
        <w:t xml:space="preserve">Samtidig behandling med </w:t>
      </w:r>
      <w:proofErr w:type="spellStart"/>
      <w:r w:rsidRPr="00F61E4C">
        <w:rPr>
          <w:sz w:val="24"/>
          <w:szCs w:val="24"/>
        </w:rPr>
        <w:t>monoaminoxidasehæmmere</w:t>
      </w:r>
      <w:proofErr w:type="spellEnd"/>
      <w:r w:rsidRPr="00F61E4C">
        <w:rPr>
          <w:sz w:val="24"/>
          <w:szCs w:val="24"/>
        </w:rPr>
        <w:t xml:space="preserve"> inklusive stoffer med lignende egenskaber, såsom </w:t>
      </w:r>
      <w:proofErr w:type="spellStart"/>
      <w:r w:rsidRPr="00F61E4C">
        <w:rPr>
          <w:sz w:val="24"/>
          <w:szCs w:val="24"/>
        </w:rPr>
        <w:t>furazolidon</w:t>
      </w:r>
      <w:proofErr w:type="spellEnd"/>
      <w:r w:rsidRPr="00F61E4C">
        <w:rPr>
          <w:sz w:val="24"/>
          <w:szCs w:val="24"/>
        </w:rPr>
        <w:t xml:space="preserve"> og </w:t>
      </w:r>
      <w:proofErr w:type="spellStart"/>
      <w:r w:rsidRPr="00F61E4C">
        <w:rPr>
          <w:sz w:val="24"/>
          <w:szCs w:val="24"/>
        </w:rPr>
        <w:t>procarbazin</w:t>
      </w:r>
      <w:proofErr w:type="spellEnd"/>
      <w:r w:rsidRPr="00F61E4C">
        <w:rPr>
          <w:sz w:val="24"/>
          <w:szCs w:val="24"/>
        </w:rPr>
        <w:t xml:space="preserve">, kan øge tilbøjeligheden til </w:t>
      </w:r>
      <w:proofErr w:type="spellStart"/>
      <w:r w:rsidRPr="00F61E4C">
        <w:rPr>
          <w:sz w:val="24"/>
          <w:szCs w:val="24"/>
        </w:rPr>
        <w:t>hypertensive</w:t>
      </w:r>
      <w:proofErr w:type="spellEnd"/>
      <w:r w:rsidRPr="00F61E4C">
        <w:rPr>
          <w:sz w:val="24"/>
          <w:szCs w:val="24"/>
        </w:rPr>
        <w:t xml:space="preserve"> reaktioner.</w:t>
      </w:r>
    </w:p>
    <w:p w:rsidR="007D5537" w:rsidRPr="00F61E4C" w:rsidRDefault="007D5537" w:rsidP="007D5537">
      <w:pPr>
        <w:tabs>
          <w:tab w:val="left" w:pos="851"/>
        </w:tabs>
        <w:ind w:left="851"/>
        <w:rPr>
          <w:sz w:val="24"/>
          <w:szCs w:val="24"/>
        </w:rPr>
      </w:pPr>
    </w:p>
    <w:p w:rsidR="007D5537" w:rsidRPr="00F61E4C" w:rsidRDefault="007D5537" w:rsidP="007D5537">
      <w:pPr>
        <w:tabs>
          <w:tab w:val="left" w:pos="851"/>
        </w:tabs>
        <w:ind w:left="851"/>
        <w:rPr>
          <w:sz w:val="24"/>
          <w:szCs w:val="24"/>
        </w:rPr>
      </w:pPr>
      <w:r w:rsidRPr="00F61E4C">
        <w:rPr>
          <w:sz w:val="24"/>
          <w:szCs w:val="24"/>
        </w:rPr>
        <w:t xml:space="preserve">Der er øget risiko for </w:t>
      </w:r>
      <w:proofErr w:type="spellStart"/>
      <w:r w:rsidRPr="00F61E4C">
        <w:rPr>
          <w:sz w:val="24"/>
          <w:szCs w:val="24"/>
        </w:rPr>
        <w:t>arytmier</w:t>
      </w:r>
      <w:proofErr w:type="spellEnd"/>
      <w:r w:rsidRPr="00F61E4C">
        <w:rPr>
          <w:sz w:val="24"/>
          <w:szCs w:val="24"/>
        </w:rPr>
        <w:t xml:space="preserve"> hos patienter, der samtidig er i anæstesi med </w:t>
      </w:r>
      <w:proofErr w:type="spellStart"/>
      <w:r w:rsidRPr="00F61E4C">
        <w:rPr>
          <w:sz w:val="24"/>
          <w:szCs w:val="24"/>
        </w:rPr>
        <w:t>halogenerede</w:t>
      </w:r>
      <w:proofErr w:type="spellEnd"/>
      <w:r w:rsidRPr="00F61E4C">
        <w:rPr>
          <w:sz w:val="24"/>
          <w:szCs w:val="24"/>
        </w:rPr>
        <w:t xml:space="preserve"> </w:t>
      </w:r>
      <w:proofErr w:type="spellStart"/>
      <w:r w:rsidRPr="00F61E4C">
        <w:rPr>
          <w:sz w:val="24"/>
          <w:szCs w:val="24"/>
        </w:rPr>
        <w:t>hydrocarboner</w:t>
      </w:r>
      <w:proofErr w:type="spellEnd"/>
      <w:r w:rsidRPr="00F61E4C">
        <w:rPr>
          <w:sz w:val="24"/>
          <w:szCs w:val="24"/>
        </w:rPr>
        <w:t>.</w:t>
      </w:r>
    </w:p>
    <w:p w:rsidR="007D5537" w:rsidRPr="00F61E4C" w:rsidRDefault="007D5537" w:rsidP="007D5537">
      <w:pPr>
        <w:tabs>
          <w:tab w:val="left" w:pos="851"/>
        </w:tabs>
        <w:ind w:left="851"/>
        <w:rPr>
          <w:sz w:val="24"/>
          <w:szCs w:val="24"/>
        </w:rPr>
      </w:pPr>
    </w:p>
    <w:p w:rsidR="007D5537" w:rsidRPr="00F61E4C" w:rsidRDefault="007D5537" w:rsidP="007D5537">
      <w:pPr>
        <w:tabs>
          <w:tab w:val="left" w:pos="851"/>
        </w:tabs>
        <w:ind w:left="851"/>
        <w:rPr>
          <w:sz w:val="24"/>
          <w:szCs w:val="24"/>
        </w:rPr>
      </w:pPr>
      <w:r w:rsidRPr="00F61E4C">
        <w:rPr>
          <w:sz w:val="24"/>
          <w:szCs w:val="24"/>
        </w:rPr>
        <w:t>Samtidig anvendelse af andre beta-</w:t>
      </w:r>
      <w:proofErr w:type="spellStart"/>
      <w:r w:rsidRPr="00F61E4C">
        <w:rPr>
          <w:sz w:val="24"/>
          <w:szCs w:val="24"/>
        </w:rPr>
        <w:t>adrenerge</w:t>
      </w:r>
      <w:proofErr w:type="spellEnd"/>
      <w:r w:rsidRPr="00F61E4C">
        <w:rPr>
          <w:sz w:val="24"/>
          <w:szCs w:val="24"/>
        </w:rPr>
        <w:t xml:space="preserve"> lægemidler eller </w:t>
      </w:r>
      <w:proofErr w:type="spellStart"/>
      <w:r w:rsidRPr="00F61E4C">
        <w:rPr>
          <w:sz w:val="24"/>
          <w:szCs w:val="24"/>
        </w:rPr>
        <w:t>antikolinerge</w:t>
      </w:r>
      <w:proofErr w:type="spellEnd"/>
      <w:r w:rsidRPr="00F61E4C">
        <w:rPr>
          <w:sz w:val="24"/>
          <w:szCs w:val="24"/>
        </w:rPr>
        <w:t xml:space="preserve"> lægemidler kan have en potentielt additiv </w:t>
      </w:r>
      <w:proofErr w:type="spellStart"/>
      <w:r w:rsidRPr="00F61E4C">
        <w:rPr>
          <w:sz w:val="24"/>
          <w:szCs w:val="24"/>
        </w:rPr>
        <w:t>bronkodilaterende</w:t>
      </w:r>
      <w:proofErr w:type="spellEnd"/>
      <w:r w:rsidRPr="00F61E4C">
        <w:rPr>
          <w:sz w:val="24"/>
          <w:szCs w:val="24"/>
        </w:rPr>
        <w:t xml:space="preserve"> virkning.</w:t>
      </w:r>
    </w:p>
    <w:p w:rsidR="007D5537" w:rsidRPr="00F61E4C" w:rsidRDefault="007D5537" w:rsidP="007D5537">
      <w:pPr>
        <w:tabs>
          <w:tab w:val="left" w:pos="851"/>
        </w:tabs>
        <w:ind w:left="851"/>
        <w:rPr>
          <w:sz w:val="24"/>
          <w:szCs w:val="24"/>
        </w:rPr>
      </w:pPr>
    </w:p>
    <w:p w:rsidR="007D5537" w:rsidRPr="00F61E4C" w:rsidRDefault="007D5537" w:rsidP="007D5537">
      <w:pPr>
        <w:tabs>
          <w:tab w:val="left" w:pos="851"/>
        </w:tabs>
        <w:ind w:left="851"/>
        <w:rPr>
          <w:sz w:val="24"/>
          <w:szCs w:val="24"/>
        </w:rPr>
      </w:pPr>
      <w:proofErr w:type="spellStart"/>
      <w:r w:rsidRPr="00F61E4C">
        <w:rPr>
          <w:sz w:val="24"/>
          <w:szCs w:val="24"/>
        </w:rPr>
        <w:t>Hypokaliæmi</w:t>
      </w:r>
      <w:proofErr w:type="spellEnd"/>
      <w:r w:rsidRPr="00F61E4C">
        <w:rPr>
          <w:sz w:val="24"/>
          <w:szCs w:val="24"/>
        </w:rPr>
        <w:t xml:space="preserve"> kan øge tilbøjeligheden til </w:t>
      </w:r>
      <w:proofErr w:type="spellStart"/>
      <w:r w:rsidRPr="00F61E4C">
        <w:rPr>
          <w:sz w:val="24"/>
          <w:szCs w:val="24"/>
        </w:rPr>
        <w:t>arytmier</w:t>
      </w:r>
      <w:proofErr w:type="spellEnd"/>
      <w:r w:rsidRPr="00F61E4C">
        <w:rPr>
          <w:sz w:val="24"/>
          <w:szCs w:val="24"/>
        </w:rPr>
        <w:t xml:space="preserve"> hos patienter, som er i behandling med digitalisglykosider.</w:t>
      </w:r>
    </w:p>
    <w:p w:rsidR="007D5537" w:rsidRPr="00F61E4C" w:rsidRDefault="007D5537" w:rsidP="007D5537">
      <w:pPr>
        <w:tabs>
          <w:tab w:val="left" w:pos="851"/>
        </w:tabs>
        <w:ind w:left="851"/>
        <w:rPr>
          <w:sz w:val="24"/>
          <w:szCs w:val="24"/>
        </w:rPr>
      </w:pPr>
    </w:p>
    <w:p w:rsidR="007D5537" w:rsidRPr="00F61E4C" w:rsidRDefault="007D5537" w:rsidP="007D5537">
      <w:pPr>
        <w:tabs>
          <w:tab w:val="left" w:pos="851"/>
        </w:tabs>
        <w:ind w:left="851"/>
        <w:rPr>
          <w:sz w:val="24"/>
          <w:szCs w:val="24"/>
        </w:rPr>
      </w:pPr>
      <w:r w:rsidRPr="00F61E4C">
        <w:rPr>
          <w:sz w:val="24"/>
          <w:szCs w:val="24"/>
        </w:rPr>
        <w:t xml:space="preserve">Der kan opstå </w:t>
      </w:r>
      <w:proofErr w:type="spellStart"/>
      <w:r w:rsidRPr="00F61E4C">
        <w:rPr>
          <w:sz w:val="24"/>
          <w:szCs w:val="24"/>
        </w:rPr>
        <w:t>hypokalæmi</w:t>
      </w:r>
      <w:proofErr w:type="spellEnd"/>
      <w:r w:rsidRPr="00F61E4C">
        <w:rPr>
          <w:sz w:val="24"/>
          <w:szCs w:val="24"/>
        </w:rPr>
        <w:t xml:space="preserve"> som følge af β</w:t>
      </w:r>
      <w:r w:rsidRPr="00F61E4C">
        <w:rPr>
          <w:sz w:val="24"/>
          <w:szCs w:val="24"/>
          <w:vertAlign w:val="subscript"/>
        </w:rPr>
        <w:t>2</w:t>
      </w:r>
      <w:r w:rsidRPr="00F61E4C">
        <w:rPr>
          <w:sz w:val="24"/>
          <w:szCs w:val="24"/>
        </w:rPr>
        <w:t xml:space="preserve">-agonistbehandling, og det kan potenseres ved samtidig behandling med </w:t>
      </w:r>
      <w:proofErr w:type="spellStart"/>
      <w:r w:rsidRPr="00F61E4C">
        <w:rPr>
          <w:sz w:val="24"/>
          <w:szCs w:val="24"/>
        </w:rPr>
        <w:t>xanthinderivater</w:t>
      </w:r>
      <w:proofErr w:type="spellEnd"/>
      <w:r w:rsidRPr="00F61E4C">
        <w:rPr>
          <w:sz w:val="24"/>
          <w:szCs w:val="24"/>
        </w:rPr>
        <w:t xml:space="preserve">, </w:t>
      </w:r>
      <w:proofErr w:type="spellStart"/>
      <w:r w:rsidRPr="00F61E4C">
        <w:rPr>
          <w:sz w:val="24"/>
          <w:szCs w:val="24"/>
        </w:rPr>
        <w:t>kortikosteroider</w:t>
      </w:r>
      <w:proofErr w:type="spellEnd"/>
      <w:r w:rsidRPr="00F61E4C">
        <w:rPr>
          <w:sz w:val="24"/>
          <w:szCs w:val="24"/>
        </w:rPr>
        <w:t xml:space="preserve"> og </w:t>
      </w:r>
      <w:proofErr w:type="spellStart"/>
      <w:r w:rsidRPr="00F61E4C">
        <w:rPr>
          <w:sz w:val="24"/>
          <w:szCs w:val="24"/>
        </w:rPr>
        <w:t>diuretika</w:t>
      </w:r>
      <w:proofErr w:type="spellEnd"/>
      <w:r w:rsidRPr="00F61E4C">
        <w:rPr>
          <w:sz w:val="24"/>
          <w:szCs w:val="24"/>
        </w:rPr>
        <w:t xml:space="preserve"> (se pkt. 4.4).</w:t>
      </w:r>
    </w:p>
    <w:p w:rsidR="007D5537" w:rsidRPr="00F61E4C" w:rsidRDefault="007D5537" w:rsidP="007D5537">
      <w:pPr>
        <w:tabs>
          <w:tab w:val="left" w:pos="851"/>
        </w:tabs>
        <w:ind w:left="851"/>
        <w:rPr>
          <w:sz w:val="24"/>
          <w:szCs w:val="24"/>
        </w:rPr>
      </w:pPr>
    </w:p>
    <w:p w:rsidR="007D5537" w:rsidRPr="00F61E4C" w:rsidRDefault="007D5537" w:rsidP="007D5537">
      <w:pPr>
        <w:tabs>
          <w:tab w:val="left" w:pos="851"/>
        </w:tabs>
        <w:ind w:left="851"/>
        <w:rPr>
          <w:sz w:val="24"/>
          <w:szCs w:val="24"/>
        </w:rPr>
      </w:pPr>
      <w:proofErr w:type="spellStart"/>
      <w:r w:rsidRPr="00F61E4C">
        <w:rPr>
          <w:sz w:val="24"/>
          <w:szCs w:val="24"/>
        </w:rPr>
        <w:t>Budesonid</w:t>
      </w:r>
      <w:proofErr w:type="spellEnd"/>
      <w:r w:rsidRPr="00F61E4C">
        <w:rPr>
          <w:sz w:val="24"/>
          <w:szCs w:val="24"/>
        </w:rPr>
        <w:t xml:space="preserve"> og </w:t>
      </w:r>
      <w:proofErr w:type="spellStart"/>
      <w:r w:rsidRPr="00F61E4C">
        <w:rPr>
          <w:sz w:val="24"/>
          <w:szCs w:val="24"/>
        </w:rPr>
        <w:t>formoterol</w:t>
      </w:r>
      <w:proofErr w:type="spellEnd"/>
      <w:r w:rsidRPr="00F61E4C">
        <w:rPr>
          <w:sz w:val="24"/>
          <w:szCs w:val="24"/>
        </w:rPr>
        <w:t xml:space="preserve"> er ikke observeret at interagere med andre lægemidler, der anvendes til behandling af astma.</w:t>
      </w:r>
    </w:p>
    <w:p w:rsidR="007D5537" w:rsidRPr="00F61E4C" w:rsidRDefault="007D5537" w:rsidP="007D5537">
      <w:pPr>
        <w:tabs>
          <w:tab w:val="left" w:pos="851"/>
        </w:tabs>
        <w:ind w:left="851"/>
        <w:rPr>
          <w:sz w:val="24"/>
          <w:szCs w:val="24"/>
          <w:u w:val="single"/>
        </w:rPr>
      </w:pPr>
    </w:p>
    <w:p w:rsidR="007D5537" w:rsidRPr="00F61E4C" w:rsidRDefault="007D5537" w:rsidP="007D5537">
      <w:pPr>
        <w:tabs>
          <w:tab w:val="left" w:pos="851"/>
        </w:tabs>
        <w:ind w:left="851"/>
        <w:rPr>
          <w:sz w:val="24"/>
          <w:szCs w:val="24"/>
          <w:u w:val="single"/>
        </w:rPr>
      </w:pPr>
      <w:r w:rsidRPr="00F61E4C">
        <w:rPr>
          <w:sz w:val="24"/>
          <w:szCs w:val="24"/>
          <w:u w:val="single"/>
        </w:rPr>
        <w:t>Pædiatrisk population</w:t>
      </w:r>
    </w:p>
    <w:p w:rsidR="007D5537" w:rsidRPr="00F61E4C" w:rsidRDefault="007D5537" w:rsidP="007D5537">
      <w:pPr>
        <w:tabs>
          <w:tab w:val="left" w:pos="851"/>
        </w:tabs>
        <w:ind w:left="851"/>
        <w:rPr>
          <w:sz w:val="24"/>
          <w:szCs w:val="24"/>
        </w:rPr>
      </w:pPr>
      <w:r w:rsidRPr="00F61E4C">
        <w:rPr>
          <w:sz w:val="24"/>
          <w:szCs w:val="24"/>
        </w:rPr>
        <w:t>Interaktionsstudier er kun udført hos voksne.</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4.6</w:t>
      </w:r>
      <w:r w:rsidRPr="00F61E4C">
        <w:rPr>
          <w:b/>
          <w:sz w:val="24"/>
          <w:szCs w:val="24"/>
        </w:rPr>
        <w:tab/>
      </w:r>
      <w:r w:rsidR="00D87A05">
        <w:rPr>
          <w:b/>
          <w:sz w:val="24"/>
          <w:szCs w:val="24"/>
        </w:rPr>
        <w:t>Fertilitet, g</w:t>
      </w:r>
      <w:r w:rsidRPr="00F61E4C">
        <w:rPr>
          <w:b/>
          <w:sz w:val="24"/>
          <w:szCs w:val="24"/>
        </w:rPr>
        <w:t>raviditet og amning</w:t>
      </w:r>
    </w:p>
    <w:p w:rsidR="00216994" w:rsidRPr="00F61E4C" w:rsidRDefault="00216994" w:rsidP="00216994">
      <w:pPr>
        <w:ind w:left="851"/>
        <w:rPr>
          <w:noProof/>
          <w:sz w:val="24"/>
          <w:szCs w:val="24"/>
        </w:rPr>
      </w:pPr>
    </w:p>
    <w:p w:rsidR="00216994" w:rsidRPr="00F61E4C" w:rsidRDefault="00216994" w:rsidP="00216994">
      <w:pPr>
        <w:ind w:left="851"/>
        <w:rPr>
          <w:noProof/>
          <w:sz w:val="24"/>
          <w:szCs w:val="24"/>
          <w:u w:val="single"/>
        </w:rPr>
      </w:pPr>
      <w:r w:rsidRPr="00F61E4C">
        <w:rPr>
          <w:noProof/>
          <w:sz w:val="24"/>
          <w:szCs w:val="24"/>
          <w:u w:val="single"/>
        </w:rPr>
        <w:t>Graviditet</w:t>
      </w:r>
    </w:p>
    <w:p w:rsidR="00216994" w:rsidRPr="00F61E4C" w:rsidRDefault="00216994" w:rsidP="00216994">
      <w:pPr>
        <w:ind w:left="851"/>
        <w:rPr>
          <w:noProof/>
          <w:sz w:val="24"/>
          <w:szCs w:val="24"/>
        </w:rPr>
      </w:pPr>
      <w:r w:rsidRPr="00F61E4C">
        <w:rPr>
          <w:noProof/>
          <w:sz w:val="24"/>
          <w:szCs w:val="24"/>
        </w:rPr>
        <w:t xml:space="preserve">Der foreligger ingen kliniske data for Symbicort eller samtidig behandling med formoterol og budesonid om eksponering under graviditet. Data fra et embryo-føtalt udviklingsstudie med rotter viste ingen tegn på yderligere påvirkninger fra kombinationen. </w:t>
      </w:r>
    </w:p>
    <w:p w:rsidR="00216994" w:rsidRPr="00F61E4C" w:rsidRDefault="00216994" w:rsidP="00216994">
      <w:pPr>
        <w:ind w:left="851"/>
        <w:rPr>
          <w:noProof/>
          <w:sz w:val="24"/>
          <w:szCs w:val="24"/>
        </w:rPr>
      </w:pPr>
    </w:p>
    <w:p w:rsidR="00216994" w:rsidRPr="00F61E4C" w:rsidRDefault="00216994" w:rsidP="00216994">
      <w:pPr>
        <w:ind w:left="851"/>
        <w:rPr>
          <w:noProof/>
          <w:sz w:val="24"/>
          <w:szCs w:val="24"/>
        </w:rPr>
      </w:pPr>
      <w:r w:rsidRPr="00F61E4C">
        <w:rPr>
          <w:noProof/>
          <w:sz w:val="24"/>
          <w:szCs w:val="24"/>
        </w:rPr>
        <w:t>Der er ikke tilstrækkelige data om brugen af formoterol hos gravide. Ved meget høje doser i reproduktionsstudier med dyr har formoterol forårsaget skadelige virkninger ved meget høj systemisk eksponering (se pkt. 5.3).</w:t>
      </w:r>
    </w:p>
    <w:p w:rsidR="00216994" w:rsidRPr="00F61E4C" w:rsidRDefault="00216994" w:rsidP="00216994">
      <w:pPr>
        <w:ind w:left="851"/>
        <w:rPr>
          <w:noProof/>
          <w:sz w:val="24"/>
          <w:szCs w:val="24"/>
        </w:rPr>
      </w:pPr>
    </w:p>
    <w:p w:rsidR="00216994" w:rsidRPr="00F61E4C" w:rsidRDefault="00216994" w:rsidP="00216994">
      <w:pPr>
        <w:ind w:left="851"/>
        <w:rPr>
          <w:noProof/>
          <w:sz w:val="24"/>
          <w:szCs w:val="24"/>
        </w:rPr>
      </w:pPr>
      <w:r w:rsidRPr="00F61E4C">
        <w:rPr>
          <w:noProof/>
          <w:sz w:val="24"/>
          <w:szCs w:val="24"/>
        </w:rPr>
        <w:t xml:space="preserve">Data fra ca. 2000 eksponerede graviditeter indikerer, at der ingen øget teratogen risiko er ved inhaleret budesonid. I dyrestudier er det vist, at glukokorticosteroider inducerer </w:t>
      </w:r>
      <w:r w:rsidRPr="00F61E4C">
        <w:rPr>
          <w:noProof/>
          <w:sz w:val="24"/>
          <w:szCs w:val="24"/>
        </w:rPr>
        <w:lastRenderedPageBreak/>
        <w:t>misdannelser (se pkt. 5.3). Dette anses dog ikke for relevant hos mennesker ved de anbefalede doser.</w:t>
      </w:r>
    </w:p>
    <w:p w:rsidR="00216994" w:rsidRPr="00F61E4C" w:rsidRDefault="00216994" w:rsidP="00216994">
      <w:pPr>
        <w:ind w:left="851"/>
        <w:rPr>
          <w:noProof/>
          <w:sz w:val="24"/>
          <w:szCs w:val="24"/>
        </w:rPr>
      </w:pPr>
    </w:p>
    <w:p w:rsidR="00216994" w:rsidRPr="00F61E4C" w:rsidRDefault="00216994" w:rsidP="00216994">
      <w:pPr>
        <w:ind w:left="851"/>
        <w:rPr>
          <w:noProof/>
          <w:sz w:val="24"/>
          <w:szCs w:val="24"/>
        </w:rPr>
      </w:pPr>
      <w:r w:rsidRPr="00F61E4C">
        <w:rPr>
          <w:noProof/>
          <w:sz w:val="24"/>
          <w:szCs w:val="24"/>
        </w:rPr>
        <w:t>Dyrestudier har også vist en sammenhæng mellem overskydende prænatale glukokortikoider og øget risiko for retarderet intrauterin vækst, kardiovaskulære lidelser hos voksne og permanente ændringer i tætheden af glukokortikoidreceptorer, omsætning af signalstoffer og adfærd ved eksponering under det teratogene dosisområde.</w:t>
      </w:r>
    </w:p>
    <w:p w:rsidR="00216994" w:rsidRPr="00F61E4C" w:rsidRDefault="00216994" w:rsidP="00216994">
      <w:pPr>
        <w:ind w:left="851"/>
        <w:rPr>
          <w:noProof/>
          <w:sz w:val="24"/>
          <w:szCs w:val="24"/>
        </w:rPr>
      </w:pPr>
    </w:p>
    <w:p w:rsidR="00216994" w:rsidRPr="00F61E4C" w:rsidRDefault="00216994" w:rsidP="00216994">
      <w:pPr>
        <w:ind w:left="851"/>
        <w:rPr>
          <w:noProof/>
          <w:sz w:val="24"/>
          <w:szCs w:val="24"/>
        </w:rPr>
      </w:pPr>
      <w:r w:rsidRPr="00F61E4C">
        <w:rPr>
          <w:noProof/>
          <w:sz w:val="24"/>
          <w:szCs w:val="24"/>
        </w:rPr>
        <w:t>Symbicort bør kun anvendes under graviditet hvis behandlingsfordelene overstiger de potentielle risici. Den laveste effektive dosis budesonid, der er nødvendig for at opretholde effektiv kontrol med astma, bør anvendes.</w:t>
      </w:r>
    </w:p>
    <w:p w:rsidR="00216994" w:rsidRPr="00F61E4C" w:rsidRDefault="00216994" w:rsidP="00216994">
      <w:pPr>
        <w:ind w:left="851"/>
        <w:rPr>
          <w:noProof/>
          <w:sz w:val="24"/>
          <w:szCs w:val="24"/>
        </w:rPr>
      </w:pPr>
    </w:p>
    <w:p w:rsidR="00216994" w:rsidRPr="00F61E4C" w:rsidRDefault="00216994" w:rsidP="00216994">
      <w:pPr>
        <w:ind w:left="851"/>
        <w:rPr>
          <w:noProof/>
          <w:sz w:val="24"/>
          <w:szCs w:val="24"/>
          <w:u w:val="single"/>
        </w:rPr>
      </w:pPr>
      <w:r w:rsidRPr="00F61E4C">
        <w:rPr>
          <w:noProof/>
          <w:sz w:val="24"/>
          <w:szCs w:val="24"/>
          <w:u w:val="single"/>
        </w:rPr>
        <w:t>Amning</w:t>
      </w:r>
    </w:p>
    <w:p w:rsidR="00216994" w:rsidRPr="00F61E4C" w:rsidRDefault="00216994" w:rsidP="00216994">
      <w:pPr>
        <w:ind w:left="851"/>
        <w:rPr>
          <w:noProof/>
          <w:sz w:val="24"/>
          <w:szCs w:val="24"/>
        </w:rPr>
      </w:pPr>
      <w:r w:rsidRPr="00F61E4C">
        <w:rPr>
          <w:noProof/>
          <w:sz w:val="24"/>
          <w:szCs w:val="24"/>
        </w:rPr>
        <w:t>Budesonid udskilles i humant mælk. Dog forventes der, ved terapeutiske doser, ingen påvirkning af det ammede barn. Det vides ikke, om formoterol passerer over i modermælken hos mennesker. Hos rotter er der fundet små mængder af formoterol i brystmælken. Symbicort bør kun gives til kvinder, der ammer, hvis den forventede behandlingsfordel for moderen er større end en eventuel risiko for barnet.</w:t>
      </w:r>
    </w:p>
    <w:p w:rsidR="00216994" w:rsidRPr="00F61E4C" w:rsidRDefault="00216994" w:rsidP="00216994">
      <w:pPr>
        <w:ind w:left="851"/>
        <w:rPr>
          <w:noProof/>
          <w:sz w:val="24"/>
          <w:szCs w:val="24"/>
        </w:rPr>
      </w:pPr>
    </w:p>
    <w:p w:rsidR="00216994" w:rsidRPr="00F61E4C" w:rsidRDefault="00216994" w:rsidP="00216994">
      <w:pPr>
        <w:ind w:left="851"/>
        <w:rPr>
          <w:noProof/>
          <w:sz w:val="24"/>
          <w:szCs w:val="24"/>
          <w:u w:val="single"/>
        </w:rPr>
      </w:pPr>
      <w:r w:rsidRPr="00F61E4C">
        <w:rPr>
          <w:noProof/>
          <w:sz w:val="24"/>
          <w:szCs w:val="24"/>
          <w:u w:val="single"/>
        </w:rPr>
        <w:t>Fertilitet</w:t>
      </w:r>
    </w:p>
    <w:p w:rsidR="00216994" w:rsidRPr="00F61E4C" w:rsidRDefault="00216994" w:rsidP="00216994">
      <w:pPr>
        <w:ind w:left="851"/>
        <w:rPr>
          <w:iCs/>
          <w:sz w:val="24"/>
          <w:szCs w:val="24"/>
        </w:rPr>
      </w:pPr>
      <w:r w:rsidRPr="00F61E4C">
        <w:rPr>
          <w:iCs/>
          <w:sz w:val="24"/>
          <w:szCs w:val="24"/>
        </w:rPr>
        <w:t xml:space="preserve">Der findes ingen tilgængelige data om </w:t>
      </w:r>
      <w:proofErr w:type="spellStart"/>
      <w:r w:rsidRPr="00F61E4C">
        <w:rPr>
          <w:iCs/>
          <w:sz w:val="24"/>
          <w:szCs w:val="24"/>
        </w:rPr>
        <w:t>budesonids</w:t>
      </w:r>
      <w:proofErr w:type="spellEnd"/>
      <w:r w:rsidRPr="00F61E4C">
        <w:rPr>
          <w:iCs/>
          <w:sz w:val="24"/>
          <w:szCs w:val="24"/>
        </w:rPr>
        <w:t xml:space="preserve"> potentielle indvirkning på fertiliteten. Dyrereproduktionsstudier med </w:t>
      </w:r>
      <w:proofErr w:type="spellStart"/>
      <w:r w:rsidRPr="00F61E4C">
        <w:rPr>
          <w:iCs/>
          <w:sz w:val="24"/>
          <w:szCs w:val="24"/>
        </w:rPr>
        <w:t>formoterol</w:t>
      </w:r>
      <w:proofErr w:type="spellEnd"/>
      <w:r w:rsidRPr="00F61E4C">
        <w:rPr>
          <w:iCs/>
          <w:sz w:val="24"/>
          <w:szCs w:val="24"/>
        </w:rPr>
        <w:t xml:space="preserve"> har vist en noget nedsat fertilitet hos hanrotter ved høj systemisk eksponering (se pkt. 5.3).</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4.7</w:t>
      </w:r>
      <w:r w:rsidRPr="00F61E4C">
        <w:rPr>
          <w:b/>
          <w:sz w:val="24"/>
          <w:szCs w:val="24"/>
        </w:rPr>
        <w:tab/>
        <w:t xml:space="preserve">Virkning på evnen til at føre motorkøretøj </w:t>
      </w:r>
      <w:r w:rsidR="00D87A05">
        <w:rPr>
          <w:b/>
          <w:sz w:val="24"/>
          <w:szCs w:val="24"/>
        </w:rPr>
        <w:t>og</w:t>
      </w:r>
      <w:r w:rsidRPr="00F61E4C">
        <w:rPr>
          <w:b/>
          <w:sz w:val="24"/>
          <w:szCs w:val="24"/>
        </w:rPr>
        <w:t xml:space="preserve"> betjene maskiner</w:t>
      </w:r>
    </w:p>
    <w:p w:rsidR="00216994" w:rsidRPr="00F61E4C" w:rsidRDefault="00216994" w:rsidP="00216994">
      <w:pPr>
        <w:ind w:left="851"/>
        <w:rPr>
          <w:sz w:val="24"/>
          <w:szCs w:val="24"/>
        </w:rPr>
      </w:pPr>
      <w:r w:rsidRPr="00F61E4C">
        <w:rPr>
          <w:sz w:val="24"/>
          <w:szCs w:val="24"/>
        </w:rPr>
        <w:t>Ikke mærkning.</w:t>
      </w:r>
    </w:p>
    <w:p w:rsidR="00216994" w:rsidRPr="00F61E4C" w:rsidRDefault="00216994" w:rsidP="00216994">
      <w:pPr>
        <w:ind w:left="851"/>
        <w:rPr>
          <w:sz w:val="24"/>
          <w:szCs w:val="24"/>
        </w:rPr>
      </w:pPr>
      <w:proofErr w:type="spellStart"/>
      <w:r w:rsidRPr="00F61E4C">
        <w:rPr>
          <w:sz w:val="24"/>
          <w:szCs w:val="24"/>
        </w:rPr>
        <w:t>Symbicort</w:t>
      </w:r>
      <w:proofErr w:type="spellEnd"/>
      <w:r w:rsidRPr="00F61E4C">
        <w:rPr>
          <w:sz w:val="24"/>
          <w:szCs w:val="24"/>
        </w:rPr>
        <w:t xml:space="preserve"> påvirker ikke eller kun i ubetydelig grad evnen til at føre motorkøretøj og betjene maskiner.</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4.8</w:t>
      </w:r>
      <w:r w:rsidRPr="00F61E4C">
        <w:rPr>
          <w:b/>
          <w:sz w:val="24"/>
          <w:szCs w:val="24"/>
        </w:rPr>
        <w:tab/>
        <w:t>Bivirkninger</w:t>
      </w:r>
    </w:p>
    <w:p w:rsidR="00216994" w:rsidRPr="00F61E4C" w:rsidRDefault="00216994" w:rsidP="00216994">
      <w:pPr>
        <w:ind w:left="851"/>
        <w:rPr>
          <w:sz w:val="24"/>
          <w:szCs w:val="24"/>
        </w:rPr>
      </w:pPr>
      <w:r w:rsidRPr="00F61E4C">
        <w:rPr>
          <w:sz w:val="24"/>
          <w:szCs w:val="24"/>
        </w:rPr>
        <w:t xml:space="preserve">Da </w:t>
      </w:r>
      <w:proofErr w:type="spellStart"/>
      <w:r w:rsidRPr="00F61E4C">
        <w:rPr>
          <w:sz w:val="24"/>
          <w:szCs w:val="24"/>
        </w:rPr>
        <w:t>Symbicort</w:t>
      </w:r>
      <w:proofErr w:type="spellEnd"/>
      <w:r w:rsidRPr="00F61E4C">
        <w:rPr>
          <w:sz w:val="24"/>
          <w:szCs w:val="24"/>
        </w:rPr>
        <w:t xml:space="preserve"> indeholder både </w:t>
      </w:r>
      <w:proofErr w:type="spellStart"/>
      <w:r w:rsidRPr="00F61E4C">
        <w:rPr>
          <w:sz w:val="24"/>
          <w:szCs w:val="24"/>
        </w:rPr>
        <w:t>budesonid</w:t>
      </w:r>
      <w:proofErr w:type="spellEnd"/>
      <w:r w:rsidRPr="00F61E4C">
        <w:rPr>
          <w:sz w:val="24"/>
          <w:szCs w:val="24"/>
        </w:rPr>
        <w:t xml:space="preserve"> og </w:t>
      </w:r>
      <w:proofErr w:type="spellStart"/>
      <w:r w:rsidRPr="00F61E4C">
        <w:rPr>
          <w:sz w:val="24"/>
          <w:szCs w:val="24"/>
        </w:rPr>
        <w:t>formoterol</w:t>
      </w:r>
      <w:proofErr w:type="spellEnd"/>
      <w:r w:rsidR="00EF0FFA" w:rsidRPr="00F61E4C">
        <w:rPr>
          <w:sz w:val="24"/>
          <w:szCs w:val="24"/>
        </w:rPr>
        <w:t>,</w:t>
      </w:r>
      <w:r w:rsidRPr="00F61E4C">
        <w:rPr>
          <w:sz w:val="24"/>
          <w:szCs w:val="24"/>
        </w:rPr>
        <w:t xml:space="preserve"> kan bivirkninger af samme mønster som for disse stoffer forekomme. Der er ikke set en højere bivirkningsfrekvens ved samtidig administration af de to stoffer. De hyppigste stofrelaterede bivirkninger er farmakologisk forudsigelige bivirkninger af β</w:t>
      </w:r>
      <w:r w:rsidRPr="00F61E4C">
        <w:rPr>
          <w:sz w:val="24"/>
          <w:szCs w:val="24"/>
          <w:vertAlign w:val="subscript"/>
        </w:rPr>
        <w:t>2</w:t>
      </w:r>
      <w:r w:rsidRPr="00F61E4C">
        <w:rPr>
          <w:sz w:val="24"/>
          <w:szCs w:val="24"/>
        </w:rPr>
        <w:t xml:space="preserve">-adrenoceptoragonistbehandling, såsom </w:t>
      </w:r>
      <w:proofErr w:type="spellStart"/>
      <w:r w:rsidRPr="00F61E4C">
        <w:rPr>
          <w:sz w:val="24"/>
          <w:szCs w:val="24"/>
        </w:rPr>
        <w:t>tremor</w:t>
      </w:r>
      <w:proofErr w:type="spellEnd"/>
      <w:r w:rsidRPr="00F61E4C">
        <w:rPr>
          <w:sz w:val="24"/>
          <w:szCs w:val="24"/>
        </w:rPr>
        <w:t xml:space="preserve"> og </w:t>
      </w:r>
      <w:proofErr w:type="spellStart"/>
      <w:r w:rsidRPr="00F61E4C">
        <w:rPr>
          <w:sz w:val="24"/>
          <w:szCs w:val="24"/>
        </w:rPr>
        <w:t>palpitationer</w:t>
      </w:r>
      <w:proofErr w:type="spellEnd"/>
      <w:r w:rsidRPr="00F61E4C">
        <w:rPr>
          <w:sz w:val="24"/>
          <w:szCs w:val="24"/>
        </w:rPr>
        <w:t>. Disse er som regel milde og forsvinder normalt efter et par dages behandling.</w:t>
      </w:r>
    </w:p>
    <w:p w:rsidR="00216994" w:rsidRPr="00F61E4C" w:rsidRDefault="00216994" w:rsidP="00216994">
      <w:pPr>
        <w:ind w:left="851"/>
        <w:rPr>
          <w:sz w:val="24"/>
          <w:szCs w:val="24"/>
        </w:rPr>
      </w:pPr>
    </w:p>
    <w:p w:rsidR="00BA39D0" w:rsidRPr="00F61E4C" w:rsidRDefault="00216994" w:rsidP="00216994">
      <w:pPr>
        <w:ind w:left="851"/>
        <w:rPr>
          <w:sz w:val="24"/>
          <w:szCs w:val="24"/>
        </w:rPr>
      </w:pPr>
      <w:r w:rsidRPr="00F61E4C">
        <w:rPr>
          <w:sz w:val="24"/>
          <w:szCs w:val="24"/>
        </w:rPr>
        <w:t xml:space="preserve">Bivirkninger, som er set med </w:t>
      </w:r>
      <w:proofErr w:type="spellStart"/>
      <w:r w:rsidRPr="00F61E4C">
        <w:rPr>
          <w:sz w:val="24"/>
          <w:szCs w:val="24"/>
        </w:rPr>
        <w:t>budesonid</w:t>
      </w:r>
      <w:proofErr w:type="spellEnd"/>
      <w:r w:rsidRPr="00F61E4C">
        <w:rPr>
          <w:sz w:val="24"/>
          <w:szCs w:val="24"/>
        </w:rPr>
        <w:t xml:space="preserve"> eller </w:t>
      </w:r>
      <w:proofErr w:type="spellStart"/>
      <w:r w:rsidRPr="00F61E4C">
        <w:rPr>
          <w:sz w:val="24"/>
          <w:szCs w:val="24"/>
        </w:rPr>
        <w:t>formoterol</w:t>
      </w:r>
      <w:proofErr w:type="spellEnd"/>
      <w:r w:rsidRPr="00F61E4C">
        <w:rPr>
          <w:sz w:val="24"/>
          <w:szCs w:val="24"/>
        </w:rPr>
        <w:t>, er anført nedenfor efter systemorganklasse og frekvens.</w:t>
      </w:r>
    </w:p>
    <w:p w:rsidR="00216994" w:rsidRPr="00F61E4C" w:rsidRDefault="00216994" w:rsidP="00216994">
      <w:pPr>
        <w:ind w:left="851"/>
        <w:rPr>
          <w:sz w:val="24"/>
          <w:szCs w:val="24"/>
        </w:rPr>
      </w:pPr>
      <w:r w:rsidRPr="00F61E4C">
        <w:rPr>
          <w:sz w:val="24"/>
          <w:szCs w:val="24"/>
        </w:rPr>
        <w:t>Frekvenser er defineret som: Meget almindelig (≥1/10), almindelig (≥1/100 til &lt;1/10), ikke almindelig (≥1/1.000 til &lt;1/100), sjælden (≥1/10.000 til &lt;1/1.000) og meget sjælden (&lt;1/10.000).</w:t>
      </w:r>
    </w:p>
    <w:p w:rsidR="00216994" w:rsidRPr="00F61E4C" w:rsidRDefault="00216994" w:rsidP="00216994">
      <w:pPr>
        <w:ind w:left="851"/>
        <w:rPr>
          <w:sz w:val="24"/>
          <w:szCs w:val="24"/>
        </w:rPr>
      </w:pPr>
    </w:p>
    <w:p w:rsidR="00216994" w:rsidRPr="00F61E4C" w:rsidRDefault="00216994" w:rsidP="00216994">
      <w:pPr>
        <w:ind w:left="851"/>
        <w:rPr>
          <w:b/>
          <w:bCs/>
          <w:sz w:val="24"/>
          <w:szCs w:val="24"/>
        </w:rPr>
      </w:pPr>
      <w:r w:rsidRPr="00F61E4C">
        <w:rPr>
          <w:b/>
          <w:bCs/>
          <w:sz w:val="24"/>
          <w:szCs w:val="24"/>
        </w:rPr>
        <w:t>Tabel 1</w:t>
      </w:r>
    </w:p>
    <w:tbl>
      <w:tblPr>
        <w:tblW w:w="93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984"/>
        <w:gridCol w:w="4678"/>
      </w:tblGrid>
      <w:tr w:rsidR="00223920" w:rsidTr="00BF327E">
        <w:tc>
          <w:tcPr>
            <w:tcW w:w="2660" w:type="dxa"/>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proofErr w:type="spellStart"/>
            <w:r>
              <w:rPr>
                <w:b/>
                <w:bCs/>
                <w:sz w:val="24"/>
                <w:szCs w:val="24"/>
                <w:lang w:val="en-GB"/>
              </w:rPr>
              <w:t>Systemorganklasse</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b/>
                <w:bCs/>
                <w:sz w:val="24"/>
                <w:szCs w:val="24"/>
                <w:lang w:val="en-GB"/>
              </w:rPr>
              <w:t>Frekvens</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b/>
                <w:bCs/>
                <w:sz w:val="24"/>
                <w:szCs w:val="24"/>
                <w:lang w:val="en-GB"/>
              </w:rPr>
              <w:t>Bivirkning</w:t>
            </w:r>
            <w:proofErr w:type="spellEnd"/>
            <w:r>
              <w:rPr>
                <w:b/>
                <w:bCs/>
                <w:sz w:val="24"/>
                <w:szCs w:val="24"/>
                <w:lang w:val="en-GB"/>
              </w:rPr>
              <w:t xml:space="preserve"> </w:t>
            </w:r>
          </w:p>
        </w:tc>
      </w:tr>
      <w:tr w:rsidR="00223920" w:rsidTr="00BF327E">
        <w:tc>
          <w:tcPr>
            <w:tcW w:w="2660" w:type="dxa"/>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proofErr w:type="spellStart"/>
            <w:r>
              <w:rPr>
                <w:sz w:val="24"/>
                <w:szCs w:val="24"/>
                <w:lang w:val="en-GB"/>
              </w:rPr>
              <w:t>Infektioner</w:t>
            </w:r>
            <w:proofErr w:type="spellEnd"/>
            <w:r>
              <w:rPr>
                <w:sz w:val="24"/>
                <w:szCs w:val="24"/>
                <w:lang w:val="en-GB"/>
              </w:rPr>
              <w:t xml:space="preserve"> </w:t>
            </w:r>
            <w:proofErr w:type="spellStart"/>
            <w:r>
              <w:rPr>
                <w:sz w:val="24"/>
                <w:szCs w:val="24"/>
                <w:lang w:val="en-GB"/>
              </w:rPr>
              <w:t>og</w:t>
            </w:r>
            <w:proofErr w:type="spellEnd"/>
            <w:r>
              <w:rPr>
                <w:sz w:val="24"/>
                <w:szCs w:val="24"/>
                <w:lang w:val="en-GB"/>
              </w:rPr>
              <w:t xml:space="preserve"> </w:t>
            </w:r>
            <w:proofErr w:type="spellStart"/>
            <w:r>
              <w:rPr>
                <w:sz w:val="24"/>
                <w:szCs w:val="24"/>
                <w:lang w:val="en-GB"/>
              </w:rPr>
              <w:t>parasitære</w:t>
            </w:r>
            <w:proofErr w:type="spellEnd"/>
            <w:r>
              <w:rPr>
                <w:sz w:val="24"/>
                <w:szCs w:val="24"/>
                <w:lang w:val="en-GB"/>
              </w:rPr>
              <w:t xml:space="preserve"> </w:t>
            </w:r>
            <w:proofErr w:type="spellStart"/>
            <w:r>
              <w:rPr>
                <w:sz w:val="24"/>
                <w:szCs w:val="24"/>
                <w:lang w:val="en-GB"/>
              </w:rPr>
              <w:t>sygdomme</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Almindelig</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Pr="00216994" w:rsidRDefault="00223920" w:rsidP="00BF327E">
            <w:pPr>
              <w:rPr>
                <w:sz w:val="24"/>
                <w:szCs w:val="24"/>
              </w:rPr>
            </w:pPr>
            <w:proofErr w:type="spellStart"/>
            <w:r w:rsidRPr="00216994">
              <w:rPr>
                <w:i/>
                <w:iCs/>
                <w:sz w:val="24"/>
                <w:szCs w:val="24"/>
              </w:rPr>
              <w:t>Candida</w:t>
            </w:r>
            <w:proofErr w:type="spellEnd"/>
            <w:r w:rsidRPr="00216994">
              <w:rPr>
                <w:sz w:val="24"/>
                <w:szCs w:val="24"/>
              </w:rPr>
              <w:t>-infektion i mund og svælg</w:t>
            </w:r>
          </w:p>
        </w:tc>
      </w:tr>
      <w:tr w:rsidR="00223920" w:rsidTr="00BF327E">
        <w:tc>
          <w:tcPr>
            <w:tcW w:w="2660" w:type="dxa"/>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proofErr w:type="spellStart"/>
            <w:r>
              <w:rPr>
                <w:sz w:val="24"/>
                <w:szCs w:val="24"/>
                <w:lang w:val="en-GB"/>
              </w:rPr>
              <w:t>Immunsystemet</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Sjælden</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Pr="00216994" w:rsidRDefault="00223920" w:rsidP="00BF327E">
            <w:pPr>
              <w:rPr>
                <w:sz w:val="24"/>
                <w:szCs w:val="24"/>
              </w:rPr>
            </w:pPr>
            <w:r w:rsidRPr="00216994">
              <w:rPr>
                <w:sz w:val="24"/>
                <w:szCs w:val="24"/>
              </w:rPr>
              <w:t xml:space="preserve">Omgående og forsinkede overfølsomhedsreaktioner, f.eks. </w:t>
            </w:r>
            <w:proofErr w:type="spellStart"/>
            <w:r w:rsidRPr="00216994">
              <w:rPr>
                <w:sz w:val="24"/>
                <w:szCs w:val="24"/>
              </w:rPr>
              <w:t>eksantem</w:t>
            </w:r>
            <w:proofErr w:type="spellEnd"/>
            <w:r w:rsidRPr="00216994">
              <w:rPr>
                <w:sz w:val="24"/>
                <w:szCs w:val="24"/>
              </w:rPr>
              <w:t xml:space="preserve">, </w:t>
            </w:r>
            <w:proofErr w:type="spellStart"/>
            <w:r w:rsidRPr="00216994">
              <w:rPr>
                <w:sz w:val="24"/>
                <w:szCs w:val="24"/>
              </w:rPr>
              <w:t>urticaria</w:t>
            </w:r>
            <w:proofErr w:type="spellEnd"/>
            <w:r w:rsidRPr="00216994">
              <w:rPr>
                <w:sz w:val="24"/>
                <w:szCs w:val="24"/>
              </w:rPr>
              <w:t xml:space="preserve">, kløe, </w:t>
            </w:r>
            <w:proofErr w:type="spellStart"/>
            <w:r w:rsidRPr="00216994">
              <w:rPr>
                <w:sz w:val="24"/>
                <w:szCs w:val="24"/>
              </w:rPr>
              <w:t>dermatitis</w:t>
            </w:r>
            <w:proofErr w:type="spellEnd"/>
            <w:r w:rsidRPr="00216994">
              <w:rPr>
                <w:sz w:val="24"/>
                <w:szCs w:val="24"/>
              </w:rPr>
              <w:t xml:space="preserve">, </w:t>
            </w:r>
            <w:proofErr w:type="spellStart"/>
            <w:r w:rsidRPr="00216994">
              <w:rPr>
                <w:sz w:val="24"/>
                <w:szCs w:val="24"/>
              </w:rPr>
              <w:t>angioødem</w:t>
            </w:r>
            <w:proofErr w:type="spellEnd"/>
            <w:r w:rsidRPr="00216994">
              <w:rPr>
                <w:sz w:val="24"/>
                <w:szCs w:val="24"/>
              </w:rPr>
              <w:t xml:space="preserve"> og </w:t>
            </w:r>
            <w:proofErr w:type="spellStart"/>
            <w:r w:rsidRPr="00216994">
              <w:rPr>
                <w:sz w:val="24"/>
                <w:szCs w:val="24"/>
              </w:rPr>
              <w:t>anafylaktisk</w:t>
            </w:r>
            <w:proofErr w:type="spellEnd"/>
            <w:r w:rsidRPr="00216994">
              <w:rPr>
                <w:sz w:val="24"/>
                <w:szCs w:val="24"/>
              </w:rPr>
              <w:t xml:space="preserve"> reaktion </w:t>
            </w:r>
          </w:p>
        </w:tc>
      </w:tr>
      <w:tr w:rsidR="00223920" w:rsidTr="00BF327E">
        <w:tc>
          <w:tcPr>
            <w:tcW w:w="2660" w:type="dxa"/>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r>
              <w:rPr>
                <w:sz w:val="24"/>
                <w:szCs w:val="24"/>
                <w:lang w:val="en-GB"/>
              </w:rPr>
              <w:lastRenderedPageBreak/>
              <w:t xml:space="preserve">Det </w:t>
            </w:r>
            <w:proofErr w:type="spellStart"/>
            <w:r>
              <w:rPr>
                <w:sz w:val="24"/>
                <w:szCs w:val="24"/>
                <w:lang w:val="en-GB"/>
              </w:rPr>
              <w:t>endokrine</w:t>
            </w:r>
            <w:proofErr w:type="spellEnd"/>
            <w:r>
              <w:rPr>
                <w:sz w:val="24"/>
                <w:szCs w:val="24"/>
                <w:lang w:val="en-GB"/>
              </w:rPr>
              <w:t xml:space="preserve"> system</w:t>
            </w: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Meget</w:t>
            </w:r>
            <w:proofErr w:type="spellEnd"/>
            <w:r>
              <w:rPr>
                <w:sz w:val="24"/>
                <w:szCs w:val="24"/>
                <w:lang w:val="en-GB"/>
              </w:rPr>
              <w:t xml:space="preserve"> </w:t>
            </w:r>
            <w:proofErr w:type="spellStart"/>
            <w:r>
              <w:rPr>
                <w:sz w:val="24"/>
                <w:szCs w:val="24"/>
                <w:lang w:val="en-GB"/>
              </w:rPr>
              <w:t>sjælden</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Pr="00216994" w:rsidRDefault="00223920" w:rsidP="00BF327E">
            <w:pPr>
              <w:rPr>
                <w:sz w:val="24"/>
                <w:szCs w:val="24"/>
              </w:rPr>
            </w:pPr>
            <w:proofErr w:type="spellStart"/>
            <w:r w:rsidRPr="00216994">
              <w:rPr>
                <w:sz w:val="24"/>
                <w:szCs w:val="24"/>
              </w:rPr>
              <w:t>Cushings</w:t>
            </w:r>
            <w:proofErr w:type="spellEnd"/>
            <w:r w:rsidRPr="00216994">
              <w:rPr>
                <w:sz w:val="24"/>
                <w:szCs w:val="24"/>
              </w:rPr>
              <w:t xml:space="preserve"> syndrom, binyrebarksuppression, væksthæmning, nedsat knogletæthed</w:t>
            </w:r>
          </w:p>
        </w:tc>
      </w:tr>
      <w:tr w:rsidR="00223920" w:rsidTr="00BF327E">
        <w:trPr>
          <w:cantSplit/>
        </w:trPr>
        <w:tc>
          <w:tcPr>
            <w:tcW w:w="2660" w:type="dxa"/>
            <w:vMerge w:val="restart"/>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proofErr w:type="spellStart"/>
            <w:r>
              <w:rPr>
                <w:sz w:val="24"/>
                <w:szCs w:val="24"/>
                <w:lang w:val="en-GB"/>
              </w:rPr>
              <w:t>Metabolisme</w:t>
            </w:r>
            <w:proofErr w:type="spellEnd"/>
            <w:r>
              <w:rPr>
                <w:sz w:val="24"/>
                <w:szCs w:val="24"/>
                <w:lang w:val="en-GB"/>
              </w:rPr>
              <w:t xml:space="preserve"> </w:t>
            </w:r>
            <w:proofErr w:type="spellStart"/>
            <w:r>
              <w:rPr>
                <w:sz w:val="24"/>
                <w:szCs w:val="24"/>
                <w:lang w:val="en-GB"/>
              </w:rPr>
              <w:t>og</w:t>
            </w:r>
            <w:proofErr w:type="spellEnd"/>
            <w:r>
              <w:rPr>
                <w:sz w:val="24"/>
                <w:szCs w:val="24"/>
                <w:lang w:val="en-GB"/>
              </w:rPr>
              <w:t xml:space="preserve"> </w:t>
            </w:r>
            <w:proofErr w:type="spellStart"/>
            <w:r>
              <w:rPr>
                <w:sz w:val="24"/>
                <w:szCs w:val="24"/>
                <w:lang w:val="en-GB"/>
              </w:rPr>
              <w:t>ernæring</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Sjælden</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Hypokaliæmi</w:t>
            </w:r>
            <w:proofErr w:type="spellEnd"/>
          </w:p>
        </w:tc>
      </w:tr>
      <w:tr w:rsidR="00223920" w:rsidTr="00BF327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920" w:rsidRDefault="00223920" w:rsidP="00BF327E">
            <w:pPr>
              <w:ind w:left="36"/>
              <w:rPr>
                <w:sz w:val="24"/>
                <w:szCs w:val="24"/>
                <w:lang w:val="en-GB"/>
              </w:rPr>
            </w:pP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Meget</w:t>
            </w:r>
            <w:proofErr w:type="spellEnd"/>
            <w:r>
              <w:rPr>
                <w:sz w:val="24"/>
                <w:szCs w:val="24"/>
                <w:lang w:val="en-GB"/>
              </w:rPr>
              <w:t xml:space="preserve"> </w:t>
            </w:r>
            <w:proofErr w:type="spellStart"/>
            <w:r>
              <w:rPr>
                <w:sz w:val="24"/>
                <w:szCs w:val="24"/>
                <w:lang w:val="en-GB"/>
              </w:rPr>
              <w:t>sjælden</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Hyperglykæmi</w:t>
            </w:r>
            <w:proofErr w:type="spellEnd"/>
            <w:r>
              <w:rPr>
                <w:sz w:val="24"/>
                <w:szCs w:val="24"/>
                <w:lang w:val="en-GB"/>
              </w:rPr>
              <w:t xml:space="preserve"> </w:t>
            </w:r>
          </w:p>
        </w:tc>
      </w:tr>
      <w:tr w:rsidR="00223920" w:rsidTr="00BF327E">
        <w:trPr>
          <w:cantSplit/>
        </w:trPr>
        <w:tc>
          <w:tcPr>
            <w:tcW w:w="2660" w:type="dxa"/>
            <w:vMerge w:val="restart"/>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proofErr w:type="spellStart"/>
            <w:r>
              <w:rPr>
                <w:sz w:val="24"/>
                <w:szCs w:val="24"/>
                <w:lang w:val="en-GB"/>
              </w:rPr>
              <w:t>Psykiske</w:t>
            </w:r>
            <w:proofErr w:type="spellEnd"/>
            <w:r>
              <w:rPr>
                <w:sz w:val="24"/>
                <w:szCs w:val="24"/>
                <w:lang w:val="en-GB"/>
              </w:rPr>
              <w:t xml:space="preserve"> </w:t>
            </w:r>
            <w:proofErr w:type="spellStart"/>
            <w:r>
              <w:rPr>
                <w:sz w:val="24"/>
                <w:szCs w:val="24"/>
                <w:lang w:val="en-GB"/>
              </w:rPr>
              <w:t>forstyrrelser</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Pr="00216994" w:rsidRDefault="00223920" w:rsidP="00BF327E">
            <w:pPr>
              <w:rPr>
                <w:sz w:val="24"/>
                <w:szCs w:val="24"/>
              </w:rPr>
            </w:pPr>
            <w:r w:rsidRPr="00216994">
              <w:rPr>
                <w:sz w:val="24"/>
                <w:szCs w:val="24"/>
              </w:rPr>
              <w:t xml:space="preserve">Aggression, </w:t>
            </w:r>
            <w:proofErr w:type="spellStart"/>
            <w:r w:rsidRPr="00216994">
              <w:rPr>
                <w:sz w:val="24"/>
                <w:szCs w:val="24"/>
              </w:rPr>
              <w:t>psykomotorisk</w:t>
            </w:r>
            <w:proofErr w:type="spellEnd"/>
            <w:r w:rsidRPr="00216994">
              <w:rPr>
                <w:sz w:val="24"/>
                <w:szCs w:val="24"/>
              </w:rPr>
              <w:t xml:space="preserve"> hyperaktivitet, angst, søvnforstyrrelser</w:t>
            </w:r>
          </w:p>
        </w:tc>
      </w:tr>
      <w:tr w:rsidR="00223920" w:rsidTr="00BF327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920" w:rsidRPr="00216994" w:rsidRDefault="00223920" w:rsidP="00BF327E">
            <w:pPr>
              <w:ind w:left="36"/>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Meget</w:t>
            </w:r>
            <w:proofErr w:type="spellEnd"/>
            <w:r>
              <w:rPr>
                <w:sz w:val="24"/>
                <w:szCs w:val="24"/>
                <w:lang w:val="en-GB"/>
              </w:rPr>
              <w:t xml:space="preserve"> </w:t>
            </w:r>
            <w:proofErr w:type="spellStart"/>
            <w:r>
              <w:rPr>
                <w:sz w:val="24"/>
                <w:szCs w:val="24"/>
                <w:lang w:val="en-GB"/>
              </w:rPr>
              <w:t>sjælden</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Pr="00216994" w:rsidRDefault="00223920" w:rsidP="00BF327E">
            <w:pPr>
              <w:rPr>
                <w:sz w:val="24"/>
                <w:szCs w:val="24"/>
              </w:rPr>
            </w:pPr>
            <w:r w:rsidRPr="00216994">
              <w:rPr>
                <w:sz w:val="24"/>
                <w:szCs w:val="24"/>
              </w:rPr>
              <w:t>Depression, adfærdsændringer (hovedsageligt hos børn)</w:t>
            </w:r>
          </w:p>
        </w:tc>
      </w:tr>
      <w:tr w:rsidR="00223920" w:rsidTr="00BF327E">
        <w:trPr>
          <w:cantSplit/>
        </w:trPr>
        <w:tc>
          <w:tcPr>
            <w:tcW w:w="2660" w:type="dxa"/>
            <w:vMerge w:val="restart"/>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proofErr w:type="spellStart"/>
            <w:r>
              <w:rPr>
                <w:sz w:val="24"/>
                <w:szCs w:val="24"/>
                <w:lang w:val="en-GB"/>
              </w:rPr>
              <w:t>Nervesystemet</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Almindelig</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Hovedpine</w:t>
            </w:r>
            <w:proofErr w:type="spellEnd"/>
            <w:r>
              <w:rPr>
                <w:sz w:val="24"/>
                <w:szCs w:val="24"/>
                <w:lang w:val="en-GB"/>
              </w:rPr>
              <w:t>, tremor</w:t>
            </w:r>
          </w:p>
        </w:tc>
      </w:tr>
      <w:tr w:rsidR="00223920" w:rsidTr="00BF327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920" w:rsidRDefault="00223920" w:rsidP="00BF327E">
            <w:pPr>
              <w:ind w:left="36"/>
              <w:rPr>
                <w:sz w:val="24"/>
                <w:szCs w:val="24"/>
                <w:lang w:val="en-GB"/>
              </w:rPr>
            </w:pP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Svimmelhed</w:t>
            </w:r>
            <w:proofErr w:type="spellEnd"/>
          </w:p>
        </w:tc>
      </w:tr>
      <w:tr w:rsidR="00223920" w:rsidTr="00BF327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920" w:rsidRDefault="00223920" w:rsidP="00BF327E">
            <w:pPr>
              <w:ind w:left="36"/>
              <w:rPr>
                <w:sz w:val="24"/>
                <w:szCs w:val="24"/>
                <w:lang w:val="en-GB"/>
              </w:rPr>
            </w:pP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Meget</w:t>
            </w:r>
            <w:proofErr w:type="spellEnd"/>
            <w:r>
              <w:rPr>
                <w:sz w:val="24"/>
                <w:szCs w:val="24"/>
                <w:lang w:val="en-GB"/>
              </w:rPr>
              <w:t xml:space="preserve"> </w:t>
            </w:r>
            <w:proofErr w:type="spellStart"/>
            <w:r>
              <w:rPr>
                <w:sz w:val="24"/>
                <w:szCs w:val="24"/>
                <w:lang w:val="en-GB"/>
              </w:rPr>
              <w:t>sjælden</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Smagsforstyrrelser</w:t>
            </w:r>
            <w:proofErr w:type="spellEnd"/>
          </w:p>
        </w:tc>
      </w:tr>
      <w:tr w:rsidR="00223920" w:rsidTr="00BF327E">
        <w:tc>
          <w:tcPr>
            <w:tcW w:w="2660" w:type="dxa"/>
            <w:vMerge w:val="restart"/>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proofErr w:type="spellStart"/>
            <w:r>
              <w:rPr>
                <w:sz w:val="24"/>
                <w:szCs w:val="24"/>
                <w:lang w:val="en-GB"/>
              </w:rPr>
              <w:t>Øjne</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223920" w:rsidRPr="00216994" w:rsidRDefault="00223920" w:rsidP="00BF327E">
            <w:pPr>
              <w:rPr>
                <w:sz w:val="24"/>
                <w:szCs w:val="24"/>
              </w:rPr>
            </w:pPr>
            <w:r w:rsidRPr="00216994">
              <w:rPr>
                <w:sz w:val="24"/>
                <w:szCs w:val="24"/>
              </w:rPr>
              <w:t>Sløret syn (se også pkt. 4.4)</w:t>
            </w:r>
          </w:p>
        </w:tc>
      </w:tr>
      <w:tr w:rsidR="00223920" w:rsidTr="00BF327E">
        <w:tc>
          <w:tcPr>
            <w:tcW w:w="0" w:type="auto"/>
            <w:vMerge/>
            <w:tcBorders>
              <w:top w:val="single" w:sz="4" w:space="0" w:color="auto"/>
              <w:left w:val="single" w:sz="4" w:space="0" w:color="auto"/>
              <w:bottom w:val="single" w:sz="4" w:space="0" w:color="auto"/>
              <w:right w:val="single" w:sz="4" w:space="0" w:color="auto"/>
            </w:tcBorders>
            <w:vAlign w:val="center"/>
            <w:hideMark/>
          </w:tcPr>
          <w:p w:rsidR="00223920" w:rsidRPr="00216994" w:rsidRDefault="00223920" w:rsidP="00BF327E">
            <w:pPr>
              <w:ind w:left="36"/>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Meget</w:t>
            </w:r>
            <w:proofErr w:type="spellEnd"/>
            <w:r>
              <w:rPr>
                <w:sz w:val="24"/>
                <w:szCs w:val="24"/>
                <w:lang w:val="en-GB"/>
              </w:rPr>
              <w:t xml:space="preserve"> </w:t>
            </w:r>
            <w:proofErr w:type="spellStart"/>
            <w:r>
              <w:rPr>
                <w:sz w:val="24"/>
                <w:szCs w:val="24"/>
                <w:lang w:val="en-GB"/>
              </w:rPr>
              <w:t>sjælden</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Katarakt</w:t>
            </w:r>
            <w:proofErr w:type="spellEnd"/>
            <w:r>
              <w:rPr>
                <w:sz w:val="24"/>
                <w:szCs w:val="24"/>
                <w:lang w:val="en-GB"/>
              </w:rPr>
              <w:t xml:space="preserve"> </w:t>
            </w:r>
            <w:proofErr w:type="spellStart"/>
            <w:r>
              <w:rPr>
                <w:sz w:val="24"/>
                <w:szCs w:val="24"/>
                <w:lang w:val="en-GB"/>
              </w:rPr>
              <w:t>og</w:t>
            </w:r>
            <w:proofErr w:type="spellEnd"/>
            <w:r>
              <w:rPr>
                <w:sz w:val="24"/>
                <w:szCs w:val="24"/>
                <w:lang w:val="en-GB"/>
              </w:rPr>
              <w:t xml:space="preserve"> </w:t>
            </w:r>
            <w:proofErr w:type="spellStart"/>
            <w:r>
              <w:rPr>
                <w:sz w:val="24"/>
                <w:szCs w:val="24"/>
                <w:lang w:val="en-GB"/>
              </w:rPr>
              <w:t>glaukom</w:t>
            </w:r>
            <w:proofErr w:type="spellEnd"/>
          </w:p>
        </w:tc>
      </w:tr>
      <w:tr w:rsidR="00223920" w:rsidTr="00BF327E">
        <w:trPr>
          <w:cantSplit/>
        </w:trPr>
        <w:tc>
          <w:tcPr>
            <w:tcW w:w="2660" w:type="dxa"/>
            <w:vMerge w:val="restart"/>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proofErr w:type="spellStart"/>
            <w:r>
              <w:rPr>
                <w:sz w:val="24"/>
                <w:szCs w:val="24"/>
                <w:lang w:val="en-GB"/>
              </w:rPr>
              <w:t>Hjerte</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Almindelig</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Palpitationer</w:t>
            </w:r>
            <w:proofErr w:type="spellEnd"/>
          </w:p>
        </w:tc>
      </w:tr>
      <w:tr w:rsidR="00223920" w:rsidTr="00BF327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920" w:rsidRDefault="00223920" w:rsidP="00BF327E">
            <w:pPr>
              <w:ind w:left="36"/>
              <w:rPr>
                <w:sz w:val="24"/>
                <w:szCs w:val="24"/>
                <w:lang w:val="en-GB"/>
              </w:rPr>
            </w:pP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Takykardi</w:t>
            </w:r>
            <w:proofErr w:type="spellEnd"/>
          </w:p>
        </w:tc>
      </w:tr>
      <w:tr w:rsidR="00223920" w:rsidTr="00BF327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920" w:rsidRDefault="00223920" w:rsidP="00BF327E">
            <w:pPr>
              <w:ind w:left="36"/>
              <w:rPr>
                <w:sz w:val="24"/>
                <w:szCs w:val="24"/>
                <w:lang w:val="en-GB"/>
              </w:rPr>
            </w:pP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Sjælden</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Pr="00216994" w:rsidRDefault="00223920" w:rsidP="00BF327E">
            <w:pPr>
              <w:rPr>
                <w:sz w:val="24"/>
                <w:szCs w:val="24"/>
              </w:rPr>
            </w:pPr>
            <w:proofErr w:type="spellStart"/>
            <w:r w:rsidRPr="00216994">
              <w:rPr>
                <w:sz w:val="24"/>
                <w:szCs w:val="24"/>
              </w:rPr>
              <w:t>Hjertearytmier</w:t>
            </w:r>
            <w:proofErr w:type="spellEnd"/>
            <w:r w:rsidRPr="00216994">
              <w:rPr>
                <w:sz w:val="24"/>
                <w:szCs w:val="24"/>
              </w:rPr>
              <w:t xml:space="preserve">, f.eks. </w:t>
            </w:r>
            <w:proofErr w:type="spellStart"/>
            <w:r w:rsidRPr="00216994">
              <w:rPr>
                <w:sz w:val="24"/>
                <w:szCs w:val="24"/>
              </w:rPr>
              <w:t>atrieflimmer</w:t>
            </w:r>
            <w:proofErr w:type="spellEnd"/>
            <w:r w:rsidRPr="00216994">
              <w:rPr>
                <w:sz w:val="24"/>
                <w:szCs w:val="24"/>
              </w:rPr>
              <w:t xml:space="preserve">, </w:t>
            </w:r>
            <w:proofErr w:type="spellStart"/>
            <w:r w:rsidRPr="00216994">
              <w:rPr>
                <w:sz w:val="24"/>
                <w:szCs w:val="24"/>
              </w:rPr>
              <w:t>supraventrikulær</w:t>
            </w:r>
            <w:proofErr w:type="spellEnd"/>
            <w:r w:rsidRPr="00216994">
              <w:rPr>
                <w:sz w:val="24"/>
                <w:szCs w:val="24"/>
              </w:rPr>
              <w:t xml:space="preserve"> </w:t>
            </w:r>
            <w:proofErr w:type="spellStart"/>
            <w:r w:rsidRPr="00216994">
              <w:rPr>
                <w:sz w:val="24"/>
                <w:szCs w:val="24"/>
              </w:rPr>
              <w:t>takykardi</w:t>
            </w:r>
            <w:proofErr w:type="spellEnd"/>
            <w:r w:rsidRPr="00216994">
              <w:rPr>
                <w:sz w:val="24"/>
                <w:szCs w:val="24"/>
              </w:rPr>
              <w:t xml:space="preserve">, </w:t>
            </w:r>
            <w:proofErr w:type="spellStart"/>
            <w:r w:rsidRPr="00216994">
              <w:rPr>
                <w:sz w:val="24"/>
                <w:szCs w:val="24"/>
              </w:rPr>
              <w:t>ekstrasystoler</w:t>
            </w:r>
            <w:proofErr w:type="spellEnd"/>
          </w:p>
        </w:tc>
      </w:tr>
      <w:tr w:rsidR="00223920" w:rsidTr="00BF327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920" w:rsidRPr="00216994" w:rsidRDefault="00223920" w:rsidP="00BF327E">
            <w:pPr>
              <w:ind w:left="36"/>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Meget</w:t>
            </w:r>
            <w:proofErr w:type="spellEnd"/>
            <w:r>
              <w:rPr>
                <w:sz w:val="24"/>
                <w:szCs w:val="24"/>
                <w:lang w:val="en-GB"/>
              </w:rPr>
              <w:t xml:space="preserve"> </w:t>
            </w:r>
            <w:proofErr w:type="spellStart"/>
            <w:r>
              <w:rPr>
                <w:sz w:val="24"/>
                <w:szCs w:val="24"/>
                <w:lang w:val="en-GB"/>
              </w:rPr>
              <w:t>sjælden</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Pr="00216994" w:rsidRDefault="00223920" w:rsidP="00BF327E">
            <w:pPr>
              <w:rPr>
                <w:sz w:val="24"/>
                <w:szCs w:val="24"/>
              </w:rPr>
            </w:pPr>
            <w:r w:rsidRPr="00216994">
              <w:rPr>
                <w:sz w:val="24"/>
                <w:szCs w:val="24"/>
              </w:rPr>
              <w:t xml:space="preserve">Angina pectoris, forlængelse af </w:t>
            </w:r>
            <w:proofErr w:type="spellStart"/>
            <w:r w:rsidRPr="00216994">
              <w:rPr>
                <w:sz w:val="24"/>
                <w:szCs w:val="24"/>
              </w:rPr>
              <w:t>QTc</w:t>
            </w:r>
            <w:proofErr w:type="spellEnd"/>
            <w:r w:rsidRPr="00216994">
              <w:rPr>
                <w:sz w:val="24"/>
                <w:szCs w:val="24"/>
              </w:rPr>
              <w:noBreakHyphen/>
              <w:t>intervallet</w:t>
            </w:r>
          </w:p>
        </w:tc>
      </w:tr>
      <w:tr w:rsidR="00223920" w:rsidTr="00BF327E">
        <w:trPr>
          <w:cantSplit/>
        </w:trPr>
        <w:tc>
          <w:tcPr>
            <w:tcW w:w="2660" w:type="dxa"/>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proofErr w:type="spellStart"/>
            <w:r>
              <w:rPr>
                <w:sz w:val="24"/>
                <w:szCs w:val="24"/>
                <w:lang w:val="en-GB"/>
              </w:rPr>
              <w:t>Vaskulære</w:t>
            </w:r>
            <w:proofErr w:type="spellEnd"/>
            <w:r>
              <w:rPr>
                <w:sz w:val="24"/>
                <w:szCs w:val="24"/>
                <w:lang w:val="en-GB"/>
              </w:rPr>
              <w:t xml:space="preserve"> </w:t>
            </w:r>
            <w:proofErr w:type="spellStart"/>
            <w:r>
              <w:rPr>
                <w:sz w:val="24"/>
                <w:szCs w:val="24"/>
                <w:lang w:val="en-GB"/>
              </w:rPr>
              <w:t>sygdomme</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Meget</w:t>
            </w:r>
            <w:proofErr w:type="spellEnd"/>
            <w:r>
              <w:rPr>
                <w:sz w:val="24"/>
                <w:szCs w:val="24"/>
                <w:lang w:val="en-GB"/>
              </w:rPr>
              <w:t xml:space="preserve"> </w:t>
            </w:r>
            <w:proofErr w:type="spellStart"/>
            <w:r>
              <w:rPr>
                <w:sz w:val="24"/>
                <w:szCs w:val="24"/>
                <w:lang w:val="en-GB"/>
              </w:rPr>
              <w:t>sjælden</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Blodtryksændringer</w:t>
            </w:r>
            <w:proofErr w:type="spellEnd"/>
          </w:p>
        </w:tc>
      </w:tr>
      <w:tr w:rsidR="00223920" w:rsidTr="00BF327E">
        <w:trPr>
          <w:cantSplit/>
        </w:trPr>
        <w:tc>
          <w:tcPr>
            <w:tcW w:w="2660" w:type="dxa"/>
            <w:vMerge w:val="restart"/>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proofErr w:type="spellStart"/>
            <w:r>
              <w:rPr>
                <w:sz w:val="24"/>
                <w:szCs w:val="24"/>
                <w:lang w:val="en-GB"/>
              </w:rPr>
              <w:t>Luftveje</w:t>
            </w:r>
            <w:proofErr w:type="spellEnd"/>
            <w:r>
              <w:rPr>
                <w:sz w:val="24"/>
                <w:szCs w:val="24"/>
                <w:lang w:val="en-GB"/>
              </w:rPr>
              <w:t xml:space="preserve">, thorax </w:t>
            </w:r>
            <w:proofErr w:type="spellStart"/>
            <w:r>
              <w:rPr>
                <w:sz w:val="24"/>
                <w:szCs w:val="24"/>
                <w:lang w:val="en-GB"/>
              </w:rPr>
              <w:t>og</w:t>
            </w:r>
            <w:proofErr w:type="spellEnd"/>
            <w:r>
              <w:rPr>
                <w:sz w:val="24"/>
                <w:szCs w:val="24"/>
                <w:lang w:val="en-GB"/>
              </w:rPr>
              <w:t xml:space="preserve"> mediastinum</w:t>
            </w: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Almindelig</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Pr="00216994" w:rsidRDefault="00223920" w:rsidP="00BF327E">
            <w:pPr>
              <w:rPr>
                <w:sz w:val="24"/>
                <w:szCs w:val="24"/>
              </w:rPr>
            </w:pPr>
            <w:r w:rsidRPr="00216994">
              <w:rPr>
                <w:sz w:val="24"/>
                <w:szCs w:val="24"/>
              </w:rPr>
              <w:t>Let irritation i halsen, hoste,</w:t>
            </w:r>
            <w:r>
              <w:rPr>
                <w:sz w:val="24"/>
                <w:szCs w:val="24"/>
              </w:rPr>
              <w:t xml:space="preserve"> </w:t>
            </w:r>
            <w:proofErr w:type="spellStart"/>
            <w:r>
              <w:rPr>
                <w:sz w:val="24"/>
                <w:szCs w:val="24"/>
              </w:rPr>
              <w:t>dysfoni</w:t>
            </w:r>
            <w:proofErr w:type="spellEnd"/>
            <w:r>
              <w:rPr>
                <w:sz w:val="24"/>
                <w:szCs w:val="24"/>
              </w:rPr>
              <w:t xml:space="preserve"> inklusive</w:t>
            </w:r>
            <w:r w:rsidRPr="00216994">
              <w:rPr>
                <w:sz w:val="24"/>
                <w:szCs w:val="24"/>
              </w:rPr>
              <w:t xml:space="preserve"> hæshed</w:t>
            </w:r>
          </w:p>
        </w:tc>
      </w:tr>
      <w:tr w:rsidR="00223920" w:rsidTr="00BF327E">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223920" w:rsidRPr="00216994" w:rsidRDefault="00223920" w:rsidP="00BF327E">
            <w:pPr>
              <w:ind w:left="36"/>
              <w:rPr>
                <w:sz w:val="24"/>
                <w:szCs w:val="24"/>
              </w:rPr>
            </w:pP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Sjælden</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Bronkospasme</w:t>
            </w:r>
            <w:proofErr w:type="spellEnd"/>
          </w:p>
        </w:tc>
      </w:tr>
      <w:tr w:rsidR="00223920" w:rsidTr="00BF327E">
        <w:trPr>
          <w:cantSplit/>
        </w:trPr>
        <w:tc>
          <w:tcPr>
            <w:tcW w:w="2660" w:type="dxa"/>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proofErr w:type="spellStart"/>
            <w:r>
              <w:rPr>
                <w:sz w:val="24"/>
                <w:szCs w:val="24"/>
                <w:lang w:val="en-GB"/>
              </w:rPr>
              <w:t>Mave-tarm-kanalen</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Kvalme</w:t>
            </w:r>
            <w:proofErr w:type="spellEnd"/>
          </w:p>
        </w:tc>
      </w:tr>
      <w:tr w:rsidR="00223920" w:rsidTr="00BF327E">
        <w:trPr>
          <w:cantSplit/>
        </w:trPr>
        <w:tc>
          <w:tcPr>
            <w:tcW w:w="2660" w:type="dxa"/>
            <w:tcBorders>
              <w:top w:val="single" w:sz="4" w:space="0" w:color="auto"/>
              <w:left w:val="single" w:sz="4" w:space="0" w:color="auto"/>
              <w:bottom w:val="single" w:sz="4" w:space="0" w:color="auto"/>
              <w:right w:val="single" w:sz="4" w:space="0" w:color="auto"/>
            </w:tcBorders>
            <w:hideMark/>
          </w:tcPr>
          <w:p w:rsidR="00223920" w:rsidRDefault="00223920" w:rsidP="00BF327E">
            <w:pPr>
              <w:ind w:left="36"/>
              <w:rPr>
                <w:sz w:val="24"/>
                <w:szCs w:val="24"/>
                <w:lang w:val="en-GB"/>
              </w:rPr>
            </w:pPr>
            <w:r>
              <w:rPr>
                <w:sz w:val="24"/>
                <w:szCs w:val="24"/>
                <w:lang w:val="en-GB"/>
              </w:rPr>
              <w:t xml:space="preserve">Hud </w:t>
            </w:r>
            <w:proofErr w:type="spellStart"/>
            <w:r>
              <w:rPr>
                <w:sz w:val="24"/>
                <w:szCs w:val="24"/>
                <w:lang w:val="en-GB"/>
              </w:rPr>
              <w:t>og</w:t>
            </w:r>
            <w:proofErr w:type="spellEnd"/>
            <w:r>
              <w:rPr>
                <w:sz w:val="24"/>
                <w:szCs w:val="24"/>
                <w:lang w:val="en-GB"/>
              </w:rPr>
              <w:t xml:space="preserve"> </w:t>
            </w:r>
            <w:proofErr w:type="spellStart"/>
            <w:r>
              <w:rPr>
                <w:sz w:val="24"/>
                <w:szCs w:val="24"/>
                <w:lang w:val="en-GB"/>
              </w:rPr>
              <w:t>subkutane</w:t>
            </w:r>
            <w:proofErr w:type="spellEnd"/>
            <w:r>
              <w:rPr>
                <w:sz w:val="24"/>
                <w:szCs w:val="24"/>
                <w:lang w:val="en-GB"/>
              </w:rPr>
              <w:t xml:space="preserve"> </w:t>
            </w:r>
            <w:proofErr w:type="spellStart"/>
            <w:r>
              <w:rPr>
                <w:sz w:val="24"/>
                <w:szCs w:val="24"/>
                <w:lang w:val="en-GB"/>
              </w:rPr>
              <w:t>væv</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Blå</w:t>
            </w:r>
            <w:proofErr w:type="spellEnd"/>
            <w:r>
              <w:rPr>
                <w:sz w:val="24"/>
                <w:szCs w:val="24"/>
                <w:lang w:val="en-GB"/>
              </w:rPr>
              <w:t xml:space="preserve"> </w:t>
            </w:r>
            <w:proofErr w:type="spellStart"/>
            <w:r>
              <w:rPr>
                <w:sz w:val="24"/>
                <w:szCs w:val="24"/>
                <w:lang w:val="en-GB"/>
              </w:rPr>
              <w:t>mærker</w:t>
            </w:r>
            <w:proofErr w:type="spellEnd"/>
          </w:p>
        </w:tc>
      </w:tr>
      <w:tr w:rsidR="00223920" w:rsidTr="00BF327E">
        <w:trPr>
          <w:cantSplit/>
        </w:trPr>
        <w:tc>
          <w:tcPr>
            <w:tcW w:w="2660" w:type="dxa"/>
            <w:tcBorders>
              <w:top w:val="single" w:sz="4" w:space="0" w:color="auto"/>
              <w:left w:val="single" w:sz="4" w:space="0" w:color="auto"/>
              <w:bottom w:val="single" w:sz="4" w:space="0" w:color="auto"/>
              <w:right w:val="single" w:sz="4" w:space="0" w:color="auto"/>
            </w:tcBorders>
            <w:hideMark/>
          </w:tcPr>
          <w:p w:rsidR="00223920" w:rsidRPr="00216994" w:rsidRDefault="00223920" w:rsidP="00BF327E">
            <w:pPr>
              <w:ind w:left="36"/>
              <w:rPr>
                <w:sz w:val="24"/>
                <w:szCs w:val="24"/>
              </w:rPr>
            </w:pPr>
            <w:r w:rsidRPr="00216994">
              <w:rPr>
                <w:sz w:val="24"/>
                <w:szCs w:val="24"/>
              </w:rPr>
              <w:t>Knogler, led, muskler og bindevæv</w:t>
            </w:r>
          </w:p>
        </w:tc>
        <w:tc>
          <w:tcPr>
            <w:tcW w:w="1984"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r>
              <w:rPr>
                <w:sz w:val="24"/>
                <w:szCs w:val="24"/>
                <w:lang w:val="en-GB"/>
              </w:rPr>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223920" w:rsidRDefault="00223920" w:rsidP="00BF327E">
            <w:pPr>
              <w:rPr>
                <w:sz w:val="24"/>
                <w:szCs w:val="24"/>
                <w:lang w:val="en-GB"/>
              </w:rPr>
            </w:pPr>
            <w:proofErr w:type="spellStart"/>
            <w:r>
              <w:rPr>
                <w:sz w:val="24"/>
                <w:szCs w:val="24"/>
                <w:lang w:val="en-GB"/>
              </w:rPr>
              <w:t>Muskelkramper</w:t>
            </w:r>
            <w:proofErr w:type="spellEnd"/>
          </w:p>
        </w:tc>
      </w:tr>
    </w:tbl>
    <w:p w:rsidR="00216994" w:rsidRPr="00F61E4C" w:rsidRDefault="00216994" w:rsidP="00216994">
      <w:pPr>
        <w:ind w:left="851"/>
        <w:rPr>
          <w:b/>
          <w:sz w:val="24"/>
          <w:szCs w:val="24"/>
        </w:rPr>
      </w:pPr>
    </w:p>
    <w:p w:rsidR="00216994" w:rsidRPr="00F61E4C" w:rsidRDefault="00216994" w:rsidP="00216994">
      <w:pPr>
        <w:ind w:left="851"/>
        <w:rPr>
          <w:b/>
          <w:sz w:val="24"/>
          <w:szCs w:val="24"/>
        </w:rPr>
      </w:pPr>
      <w:proofErr w:type="spellStart"/>
      <w:r w:rsidRPr="00F61E4C">
        <w:rPr>
          <w:i/>
          <w:iCs/>
          <w:sz w:val="24"/>
          <w:szCs w:val="24"/>
        </w:rPr>
        <w:t>Candida</w:t>
      </w:r>
      <w:proofErr w:type="spellEnd"/>
      <w:r w:rsidRPr="00F61E4C">
        <w:rPr>
          <w:sz w:val="24"/>
          <w:szCs w:val="24"/>
        </w:rPr>
        <w:t xml:space="preserve">-infektioner i mund og svælg skyldes rester af lægemidlet. Patienten bør rådes til at skylle munden med vand efter hver vedligeholdelsesdosis for at minimere risikoen. </w:t>
      </w:r>
      <w:proofErr w:type="spellStart"/>
      <w:r w:rsidRPr="00F61E4C">
        <w:rPr>
          <w:i/>
          <w:iCs/>
          <w:sz w:val="24"/>
          <w:szCs w:val="24"/>
        </w:rPr>
        <w:t>Candida</w:t>
      </w:r>
      <w:proofErr w:type="spellEnd"/>
      <w:r w:rsidRPr="00F61E4C">
        <w:rPr>
          <w:sz w:val="24"/>
          <w:szCs w:val="24"/>
        </w:rPr>
        <w:t xml:space="preserve">-infektioner i mund og svælg responderer sædvanligvis på lokale </w:t>
      </w:r>
      <w:proofErr w:type="spellStart"/>
      <w:r w:rsidRPr="00F61E4C">
        <w:rPr>
          <w:sz w:val="24"/>
          <w:szCs w:val="24"/>
        </w:rPr>
        <w:t>antimykotika</w:t>
      </w:r>
      <w:proofErr w:type="spellEnd"/>
      <w:r w:rsidRPr="00F61E4C">
        <w:rPr>
          <w:sz w:val="24"/>
          <w:szCs w:val="24"/>
        </w:rPr>
        <w:t xml:space="preserve">, uden at det er nødvendigt at stoppe med inhaleret </w:t>
      </w:r>
      <w:proofErr w:type="spellStart"/>
      <w:r w:rsidRPr="00F61E4C">
        <w:rPr>
          <w:sz w:val="24"/>
          <w:szCs w:val="24"/>
        </w:rPr>
        <w:t>kortikosteroid</w:t>
      </w:r>
      <w:proofErr w:type="spellEnd"/>
      <w:r w:rsidRPr="00F61E4C">
        <w:rPr>
          <w:sz w:val="24"/>
          <w:szCs w:val="24"/>
        </w:rPr>
        <w:t>. Hvis der opstår trøske i mund og svælg, skal patienterne også skylle munden med vand efter inhalationer efter behov.</w:t>
      </w:r>
    </w:p>
    <w:p w:rsidR="00216994" w:rsidRPr="00F61E4C" w:rsidRDefault="00216994" w:rsidP="00216994">
      <w:pPr>
        <w:ind w:left="851"/>
        <w:rPr>
          <w:sz w:val="24"/>
          <w:szCs w:val="24"/>
        </w:rPr>
      </w:pPr>
    </w:p>
    <w:p w:rsidR="00216994" w:rsidRPr="00F61E4C" w:rsidRDefault="00216994" w:rsidP="00216994">
      <w:pPr>
        <w:ind w:left="851"/>
        <w:rPr>
          <w:sz w:val="24"/>
          <w:szCs w:val="24"/>
        </w:rPr>
      </w:pPr>
      <w:r w:rsidRPr="00F61E4C">
        <w:rPr>
          <w:sz w:val="24"/>
          <w:szCs w:val="24"/>
        </w:rPr>
        <w:t xml:space="preserve">Som ved anden inhalationsbehandling kan der forekomme meget sjældne tilfælde, hos færre end 1 ud af 10.000, af paradoks </w:t>
      </w:r>
      <w:proofErr w:type="spellStart"/>
      <w:r w:rsidRPr="00F61E4C">
        <w:rPr>
          <w:sz w:val="24"/>
          <w:szCs w:val="24"/>
        </w:rPr>
        <w:t>bronkospasme</w:t>
      </w:r>
      <w:proofErr w:type="spellEnd"/>
      <w:r w:rsidRPr="00F61E4C">
        <w:rPr>
          <w:sz w:val="24"/>
          <w:szCs w:val="24"/>
        </w:rPr>
        <w:t xml:space="preserve"> med akut øget hvæsende vejrtrækning og åndenød efter inhalation. Paradoks </w:t>
      </w:r>
      <w:proofErr w:type="spellStart"/>
      <w:r w:rsidRPr="00F61E4C">
        <w:rPr>
          <w:sz w:val="24"/>
          <w:szCs w:val="24"/>
        </w:rPr>
        <w:t>bronkospasme</w:t>
      </w:r>
      <w:proofErr w:type="spellEnd"/>
      <w:r w:rsidRPr="00F61E4C">
        <w:rPr>
          <w:sz w:val="24"/>
          <w:szCs w:val="24"/>
        </w:rPr>
        <w:t xml:space="preserve"> responderer på hurtigtvirkende inhalerede </w:t>
      </w:r>
      <w:proofErr w:type="spellStart"/>
      <w:r w:rsidRPr="00F61E4C">
        <w:rPr>
          <w:sz w:val="24"/>
          <w:szCs w:val="24"/>
        </w:rPr>
        <w:t>bronkodilatatorer</w:t>
      </w:r>
      <w:proofErr w:type="spellEnd"/>
      <w:r w:rsidRPr="00F61E4C">
        <w:rPr>
          <w:sz w:val="24"/>
          <w:szCs w:val="24"/>
        </w:rPr>
        <w:t xml:space="preserve"> og skal behandles med det samme. Behandlingen med </w:t>
      </w:r>
      <w:proofErr w:type="spellStart"/>
      <w:r w:rsidRPr="00F61E4C">
        <w:rPr>
          <w:sz w:val="24"/>
          <w:szCs w:val="24"/>
        </w:rPr>
        <w:t>Symbicort</w:t>
      </w:r>
      <w:proofErr w:type="spellEnd"/>
      <w:r w:rsidRPr="00F61E4C">
        <w:rPr>
          <w:sz w:val="24"/>
          <w:szCs w:val="24"/>
        </w:rPr>
        <w:t xml:space="preserve"> bør straks seponeres, og patienten skal udredes og om nødvendigt have anden medicinsk behandling (se pkt. 4.4).</w:t>
      </w:r>
    </w:p>
    <w:p w:rsidR="00216994" w:rsidRPr="00F61E4C" w:rsidRDefault="00216994" w:rsidP="00216994">
      <w:pPr>
        <w:ind w:left="851"/>
        <w:rPr>
          <w:sz w:val="24"/>
          <w:szCs w:val="24"/>
        </w:rPr>
      </w:pPr>
    </w:p>
    <w:p w:rsidR="00216994" w:rsidRPr="00F61E4C" w:rsidRDefault="00216994" w:rsidP="00216994">
      <w:pPr>
        <w:ind w:left="851"/>
        <w:rPr>
          <w:sz w:val="24"/>
          <w:szCs w:val="24"/>
        </w:rPr>
      </w:pPr>
      <w:r w:rsidRPr="00F61E4C">
        <w:rPr>
          <w:sz w:val="24"/>
          <w:szCs w:val="24"/>
        </w:rPr>
        <w:t xml:space="preserve">Inhalerede </w:t>
      </w:r>
      <w:proofErr w:type="spellStart"/>
      <w:r w:rsidRPr="00F61E4C">
        <w:rPr>
          <w:sz w:val="24"/>
          <w:szCs w:val="24"/>
        </w:rPr>
        <w:t>kortikosteroider</w:t>
      </w:r>
      <w:proofErr w:type="spellEnd"/>
      <w:r w:rsidRPr="00F61E4C">
        <w:rPr>
          <w:sz w:val="24"/>
          <w:szCs w:val="24"/>
        </w:rPr>
        <w:t xml:space="preserve"> kan medføre systemiske virkninger, især når de gives i høje doser over længere perioder. Disse virkninger er langt mindre sandsynlige end med orale </w:t>
      </w:r>
      <w:proofErr w:type="spellStart"/>
      <w:r w:rsidRPr="00F61E4C">
        <w:rPr>
          <w:sz w:val="24"/>
          <w:szCs w:val="24"/>
        </w:rPr>
        <w:t>kortikosteroider</w:t>
      </w:r>
      <w:proofErr w:type="spellEnd"/>
      <w:r w:rsidRPr="00F61E4C">
        <w:rPr>
          <w:sz w:val="24"/>
          <w:szCs w:val="24"/>
        </w:rPr>
        <w:t xml:space="preserve">. Mulige systemiske virkninger omfatter </w:t>
      </w:r>
      <w:proofErr w:type="spellStart"/>
      <w:r w:rsidRPr="00F61E4C">
        <w:rPr>
          <w:sz w:val="24"/>
          <w:szCs w:val="24"/>
        </w:rPr>
        <w:t>Cushings</w:t>
      </w:r>
      <w:proofErr w:type="spellEnd"/>
      <w:r w:rsidRPr="00F61E4C">
        <w:rPr>
          <w:sz w:val="24"/>
          <w:szCs w:val="24"/>
        </w:rPr>
        <w:t xml:space="preserve"> syndrom, </w:t>
      </w:r>
      <w:proofErr w:type="spellStart"/>
      <w:r w:rsidRPr="00F61E4C">
        <w:rPr>
          <w:sz w:val="24"/>
          <w:szCs w:val="24"/>
        </w:rPr>
        <w:t>cushingoide</w:t>
      </w:r>
      <w:proofErr w:type="spellEnd"/>
      <w:r w:rsidRPr="00F61E4C">
        <w:rPr>
          <w:sz w:val="24"/>
          <w:szCs w:val="24"/>
        </w:rPr>
        <w:t xml:space="preserve"> symptomer, undertrykkelse af binyrebarkfunktionen, væksthæmning hos børn og unge, nedsat knoglemineraltæthed, katarakt og </w:t>
      </w:r>
      <w:proofErr w:type="spellStart"/>
      <w:r w:rsidRPr="00F61E4C">
        <w:rPr>
          <w:sz w:val="24"/>
          <w:szCs w:val="24"/>
        </w:rPr>
        <w:t>glaukom</w:t>
      </w:r>
      <w:proofErr w:type="spellEnd"/>
      <w:r w:rsidRPr="00F61E4C">
        <w:rPr>
          <w:sz w:val="24"/>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216994" w:rsidRPr="00F61E4C" w:rsidRDefault="00216994" w:rsidP="00216994">
      <w:pPr>
        <w:ind w:left="851"/>
        <w:rPr>
          <w:sz w:val="24"/>
          <w:szCs w:val="24"/>
        </w:rPr>
      </w:pPr>
    </w:p>
    <w:p w:rsidR="009A0F09" w:rsidRPr="00F61E4C" w:rsidRDefault="00216994" w:rsidP="00223920">
      <w:pPr>
        <w:ind w:left="851"/>
        <w:rPr>
          <w:sz w:val="24"/>
          <w:szCs w:val="24"/>
        </w:rPr>
      </w:pPr>
      <w:r w:rsidRPr="00F61E4C">
        <w:rPr>
          <w:sz w:val="24"/>
          <w:szCs w:val="24"/>
        </w:rPr>
        <w:lastRenderedPageBreak/>
        <w:t>Behandling med β</w:t>
      </w:r>
      <w:r w:rsidRPr="00F61E4C">
        <w:rPr>
          <w:sz w:val="24"/>
          <w:szCs w:val="24"/>
          <w:vertAlign w:val="subscript"/>
        </w:rPr>
        <w:t>2</w:t>
      </w:r>
      <w:r w:rsidRPr="00F61E4C">
        <w:rPr>
          <w:sz w:val="24"/>
          <w:szCs w:val="24"/>
        </w:rPr>
        <w:t>-adrenoceptoragonister kan føre til et øget indhold i blodet af insulin, frie fedtsyrer, glycerol og ketonstoffer.</w:t>
      </w:r>
    </w:p>
    <w:p w:rsidR="00216994" w:rsidRPr="00F61E4C" w:rsidRDefault="00216994" w:rsidP="00216994">
      <w:pPr>
        <w:ind w:left="851"/>
        <w:rPr>
          <w:sz w:val="24"/>
          <w:szCs w:val="24"/>
        </w:rPr>
      </w:pPr>
    </w:p>
    <w:p w:rsidR="00216994" w:rsidRPr="00F61E4C" w:rsidRDefault="00216994" w:rsidP="00216994">
      <w:pPr>
        <w:ind w:left="851"/>
        <w:rPr>
          <w:noProof/>
          <w:sz w:val="24"/>
          <w:szCs w:val="24"/>
          <w:u w:val="single"/>
        </w:rPr>
      </w:pPr>
      <w:r w:rsidRPr="00F61E4C">
        <w:rPr>
          <w:noProof/>
          <w:sz w:val="24"/>
          <w:szCs w:val="24"/>
          <w:u w:val="single"/>
        </w:rPr>
        <w:t>Pædiatrisk population</w:t>
      </w:r>
    </w:p>
    <w:p w:rsidR="00216994" w:rsidRPr="00F61E4C" w:rsidRDefault="00216994" w:rsidP="00216994">
      <w:pPr>
        <w:ind w:left="851"/>
        <w:rPr>
          <w:iCs/>
          <w:noProof/>
          <w:sz w:val="24"/>
          <w:szCs w:val="24"/>
        </w:rPr>
      </w:pPr>
      <w:r w:rsidRPr="00F61E4C">
        <w:rPr>
          <w:iCs/>
          <w:noProof/>
          <w:sz w:val="24"/>
          <w:szCs w:val="24"/>
        </w:rPr>
        <w:t>Det anbefales, at højden på børn, der får langvarig behandling med inhalerede kortikosteroider, regelmæssigt overvåges (se pkt. 4.4).</w:t>
      </w:r>
    </w:p>
    <w:p w:rsidR="00216994" w:rsidRPr="00F61E4C" w:rsidRDefault="00216994" w:rsidP="00216994">
      <w:pPr>
        <w:ind w:left="851"/>
        <w:rPr>
          <w:iCs/>
          <w:noProof/>
          <w:sz w:val="24"/>
          <w:szCs w:val="24"/>
        </w:rPr>
      </w:pPr>
    </w:p>
    <w:p w:rsidR="00216994" w:rsidRPr="00F61E4C" w:rsidRDefault="00216994" w:rsidP="00216994">
      <w:pPr>
        <w:autoSpaceDE w:val="0"/>
        <w:autoSpaceDN w:val="0"/>
        <w:adjustRightInd w:val="0"/>
        <w:ind w:left="851"/>
        <w:rPr>
          <w:sz w:val="24"/>
          <w:szCs w:val="24"/>
          <w:u w:val="single"/>
        </w:rPr>
      </w:pPr>
      <w:r w:rsidRPr="00F61E4C">
        <w:rPr>
          <w:noProof/>
          <w:sz w:val="24"/>
          <w:szCs w:val="24"/>
          <w:u w:val="single"/>
        </w:rPr>
        <w:t>Indberetning af formodede bivirkninger</w:t>
      </w:r>
    </w:p>
    <w:p w:rsidR="00216994" w:rsidRPr="00F61E4C" w:rsidRDefault="00216994" w:rsidP="00216994">
      <w:pPr>
        <w:autoSpaceDE w:val="0"/>
        <w:autoSpaceDN w:val="0"/>
        <w:adjustRightInd w:val="0"/>
        <w:ind w:left="851"/>
        <w:rPr>
          <w:noProof/>
          <w:sz w:val="24"/>
          <w:szCs w:val="24"/>
        </w:rPr>
      </w:pPr>
      <w:r w:rsidRPr="00F61E4C">
        <w:rPr>
          <w:noProof/>
          <w:sz w:val="24"/>
          <w:szCs w:val="24"/>
        </w:rPr>
        <w:t>Når lægemidlet er godkendt, er indberetning af formodede bivirkninger vigtig.</w:t>
      </w:r>
      <w:r w:rsidRPr="00F61E4C">
        <w:rPr>
          <w:sz w:val="24"/>
          <w:szCs w:val="24"/>
        </w:rPr>
        <w:t xml:space="preserve"> </w:t>
      </w:r>
      <w:r w:rsidRPr="00F61E4C">
        <w:rPr>
          <w:noProof/>
          <w:sz w:val="24"/>
          <w:szCs w:val="24"/>
        </w:rPr>
        <w:t>Det muliggør løbende overvågning af benefit/risk-forholdet for lægemidlet.</w:t>
      </w:r>
      <w:r w:rsidRPr="00F61E4C">
        <w:rPr>
          <w:sz w:val="24"/>
          <w:szCs w:val="24"/>
        </w:rPr>
        <w:t xml:space="preserve"> </w:t>
      </w:r>
      <w:r w:rsidRPr="00F61E4C">
        <w:rPr>
          <w:noProof/>
          <w:sz w:val="24"/>
          <w:szCs w:val="24"/>
        </w:rPr>
        <w:t xml:space="preserve">Sundhedspersoner anmodes om at indberette alle formodede bivirkninger via </w:t>
      </w:r>
    </w:p>
    <w:p w:rsidR="00216994" w:rsidRPr="00F61E4C" w:rsidRDefault="00216994" w:rsidP="00216994">
      <w:pPr>
        <w:autoSpaceDE w:val="0"/>
        <w:autoSpaceDN w:val="0"/>
        <w:adjustRightInd w:val="0"/>
        <w:ind w:left="851"/>
        <w:rPr>
          <w:noProof/>
          <w:sz w:val="24"/>
          <w:szCs w:val="24"/>
        </w:rPr>
      </w:pPr>
    </w:p>
    <w:p w:rsidR="00216994" w:rsidRPr="00F61E4C" w:rsidRDefault="00216994" w:rsidP="00216994">
      <w:pPr>
        <w:autoSpaceDE w:val="0"/>
        <w:autoSpaceDN w:val="0"/>
        <w:adjustRightInd w:val="0"/>
        <w:ind w:left="851"/>
        <w:rPr>
          <w:noProof/>
          <w:sz w:val="24"/>
          <w:szCs w:val="24"/>
        </w:rPr>
      </w:pPr>
      <w:r w:rsidRPr="00F61E4C">
        <w:rPr>
          <w:noProof/>
          <w:sz w:val="24"/>
          <w:szCs w:val="24"/>
        </w:rPr>
        <w:t>Lægemiddelstyrelsen</w:t>
      </w:r>
    </w:p>
    <w:p w:rsidR="00216994" w:rsidRPr="00F61E4C" w:rsidRDefault="00216994" w:rsidP="00216994">
      <w:pPr>
        <w:autoSpaceDE w:val="0"/>
        <w:autoSpaceDN w:val="0"/>
        <w:adjustRightInd w:val="0"/>
        <w:ind w:left="851"/>
        <w:rPr>
          <w:noProof/>
          <w:sz w:val="24"/>
          <w:szCs w:val="24"/>
        </w:rPr>
      </w:pPr>
      <w:r w:rsidRPr="00F61E4C">
        <w:rPr>
          <w:noProof/>
          <w:sz w:val="24"/>
          <w:szCs w:val="24"/>
        </w:rPr>
        <w:t>Axel Heides Gade 1</w:t>
      </w:r>
    </w:p>
    <w:p w:rsidR="00216994" w:rsidRPr="00F61E4C" w:rsidRDefault="00216994" w:rsidP="00216994">
      <w:pPr>
        <w:autoSpaceDE w:val="0"/>
        <w:autoSpaceDN w:val="0"/>
        <w:adjustRightInd w:val="0"/>
        <w:ind w:left="851"/>
        <w:rPr>
          <w:noProof/>
          <w:sz w:val="24"/>
          <w:szCs w:val="24"/>
        </w:rPr>
      </w:pPr>
      <w:r w:rsidRPr="00F61E4C">
        <w:rPr>
          <w:noProof/>
          <w:sz w:val="24"/>
          <w:szCs w:val="24"/>
        </w:rPr>
        <w:t>DK-2300 København S</w:t>
      </w:r>
    </w:p>
    <w:p w:rsidR="00216994" w:rsidRDefault="00216994" w:rsidP="00216994">
      <w:pPr>
        <w:autoSpaceDE w:val="0"/>
        <w:autoSpaceDN w:val="0"/>
        <w:adjustRightInd w:val="0"/>
        <w:ind w:left="851"/>
        <w:rPr>
          <w:noProof/>
          <w:sz w:val="24"/>
          <w:szCs w:val="24"/>
        </w:rPr>
      </w:pPr>
      <w:r w:rsidRPr="00F61E4C">
        <w:rPr>
          <w:noProof/>
          <w:sz w:val="24"/>
          <w:szCs w:val="24"/>
        </w:rPr>
        <w:t xml:space="preserve">Websted: </w:t>
      </w:r>
      <w:hyperlink r:id="rId8" w:history="1">
        <w:r w:rsidR="00223920" w:rsidRPr="009C17E8">
          <w:rPr>
            <w:rStyle w:val="Hyperlink"/>
            <w:noProof/>
            <w:sz w:val="24"/>
            <w:szCs w:val="24"/>
          </w:rPr>
          <w:t>www.meldenbivirkning.dk</w:t>
        </w:r>
      </w:hyperlink>
    </w:p>
    <w:p w:rsidR="00216994" w:rsidRPr="00F61E4C" w:rsidRDefault="00216994" w:rsidP="00216994">
      <w:pPr>
        <w:autoSpaceDE w:val="0"/>
        <w:autoSpaceDN w:val="0"/>
        <w:adjustRightInd w:val="0"/>
        <w:ind w:left="851"/>
        <w:rPr>
          <w:noProof/>
          <w:sz w:val="24"/>
          <w:szCs w:val="24"/>
        </w:rPr>
      </w:pPr>
    </w:p>
    <w:p w:rsidR="009260DE" w:rsidRPr="00F61E4C" w:rsidRDefault="009260DE" w:rsidP="009260DE">
      <w:pPr>
        <w:tabs>
          <w:tab w:val="left" w:pos="851"/>
        </w:tabs>
        <w:ind w:left="851" w:hanging="851"/>
        <w:rPr>
          <w:b/>
          <w:sz w:val="24"/>
          <w:szCs w:val="24"/>
        </w:rPr>
      </w:pPr>
      <w:r w:rsidRPr="00F61E4C">
        <w:rPr>
          <w:b/>
          <w:sz w:val="24"/>
          <w:szCs w:val="24"/>
        </w:rPr>
        <w:t>4.9</w:t>
      </w:r>
      <w:r w:rsidRPr="00F61E4C">
        <w:rPr>
          <w:b/>
          <w:sz w:val="24"/>
          <w:szCs w:val="24"/>
        </w:rPr>
        <w:tab/>
        <w:t>Overdosering</w:t>
      </w:r>
    </w:p>
    <w:p w:rsidR="008C4142" w:rsidRPr="00F61E4C" w:rsidRDefault="008C4142" w:rsidP="008C4142">
      <w:pPr>
        <w:ind w:left="851"/>
        <w:rPr>
          <w:noProof/>
          <w:sz w:val="24"/>
          <w:szCs w:val="24"/>
        </w:rPr>
      </w:pPr>
      <w:r w:rsidRPr="00F61E4C">
        <w:rPr>
          <w:noProof/>
          <w:sz w:val="24"/>
          <w:szCs w:val="24"/>
        </w:rPr>
        <w:fldChar w:fldCharType="begin"/>
      </w:r>
      <w:r w:rsidRPr="00F61E4C">
        <w:rPr>
          <w:noProof/>
          <w:sz w:val="24"/>
          <w:szCs w:val="24"/>
        </w:rPr>
        <w:instrText xml:space="preserve">  </w:instrText>
      </w:r>
      <w:r w:rsidRPr="00F61E4C">
        <w:rPr>
          <w:noProof/>
          <w:sz w:val="24"/>
          <w:szCs w:val="24"/>
        </w:rPr>
        <w:fldChar w:fldCharType="end"/>
      </w:r>
      <w:r w:rsidRPr="00F61E4C">
        <w:rPr>
          <w:noProof/>
          <w:sz w:val="24"/>
          <w:szCs w:val="24"/>
        </w:rPr>
        <w:fldChar w:fldCharType="begin"/>
      </w:r>
      <w:r w:rsidRPr="00F61E4C">
        <w:rPr>
          <w:noProof/>
          <w:sz w:val="24"/>
          <w:szCs w:val="24"/>
        </w:rPr>
        <w:instrText xml:space="preserve">  </w:instrText>
      </w:r>
      <w:r w:rsidRPr="00F61E4C">
        <w:rPr>
          <w:noProof/>
          <w:sz w:val="24"/>
          <w:szCs w:val="24"/>
        </w:rPr>
        <w:fldChar w:fldCharType="end"/>
      </w:r>
      <w:r w:rsidRPr="00F61E4C">
        <w:rPr>
          <w:noProof/>
          <w:sz w:val="24"/>
          <w:szCs w:val="24"/>
        </w:rPr>
        <w:t>En overdosering af formoterol vil sandsynligvis give typiske β</w:t>
      </w:r>
      <w:r w:rsidRPr="00F61E4C">
        <w:rPr>
          <w:noProof/>
          <w:sz w:val="24"/>
          <w:szCs w:val="24"/>
          <w:vertAlign w:val="subscript"/>
        </w:rPr>
        <w:t>2</w:t>
      </w:r>
      <w:r w:rsidRPr="00F61E4C">
        <w:rPr>
          <w:noProof/>
          <w:sz w:val="24"/>
          <w:szCs w:val="24"/>
        </w:rPr>
        <w:t>-adrenoceptoragonist</w:t>
      </w:r>
      <w:r w:rsidR="009A0F09" w:rsidRPr="00F61E4C">
        <w:rPr>
          <w:noProof/>
          <w:sz w:val="24"/>
          <w:szCs w:val="24"/>
        </w:rPr>
        <w:softHyphen/>
      </w:r>
      <w:r w:rsidRPr="00F61E4C">
        <w:rPr>
          <w:noProof/>
          <w:sz w:val="24"/>
          <w:szCs w:val="24"/>
        </w:rPr>
        <w:t>virkninger: Tremor, hovedpine, palpitationer. Der er i isolerede tilfælde rapporteret om symptomer som takykardi, hyperglykæmi, hypokaliæmi, forlænget QTc-interval, arytmier, kvalme og opkastning. Understøttende og symptomatisk behandling kan være nødvendig. Administration af en dosis på 90 mikrogram formoterol over tre timer hos patienter med akut bronkieobstruktion gav ikke grund til bekymring.</w:t>
      </w:r>
    </w:p>
    <w:p w:rsidR="008C4142" w:rsidRPr="00F61E4C" w:rsidRDefault="008C4142" w:rsidP="008C4142">
      <w:pPr>
        <w:ind w:left="851"/>
        <w:rPr>
          <w:noProof/>
          <w:sz w:val="24"/>
          <w:szCs w:val="24"/>
        </w:rPr>
      </w:pPr>
    </w:p>
    <w:p w:rsidR="008C4142" w:rsidRPr="00F61E4C" w:rsidRDefault="008C4142" w:rsidP="008C4142">
      <w:pPr>
        <w:ind w:left="851"/>
        <w:rPr>
          <w:noProof/>
          <w:sz w:val="24"/>
          <w:szCs w:val="24"/>
        </w:rPr>
      </w:pPr>
      <w:r w:rsidRPr="00F61E4C">
        <w:rPr>
          <w:noProof/>
          <w:sz w:val="24"/>
          <w:szCs w:val="24"/>
        </w:rPr>
        <w:t>Akut overdosering med budesonid, selv med meget store doser, forventes ikke at udgøre et klinisk problem. Ved kronisk anvendelse af meget store doser, kan der forekomme systemiske glukokortikosteroidvirkninger som f.eks. hyperkorticisme og binyrebarksuppression.</w:t>
      </w:r>
    </w:p>
    <w:p w:rsidR="008C4142" w:rsidRPr="00F61E4C" w:rsidRDefault="008C4142" w:rsidP="008C4142">
      <w:pPr>
        <w:ind w:left="851"/>
        <w:rPr>
          <w:noProof/>
          <w:sz w:val="24"/>
          <w:szCs w:val="24"/>
        </w:rPr>
      </w:pPr>
    </w:p>
    <w:p w:rsidR="008C4142" w:rsidRPr="00F61E4C" w:rsidRDefault="008C4142" w:rsidP="008C4142">
      <w:pPr>
        <w:ind w:left="851"/>
        <w:rPr>
          <w:noProof/>
          <w:sz w:val="24"/>
          <w:szCs w:val="24"/>
        </w:rPr>
      </w:pPr>
      <w:r w:rsidRPr="00F61E4C">
        <w:rPr>
          <w:noProof/>
          <w:sz w:val="24"/>
          <w:szCs w:val="24"/>
        </w:rPr>
        <w:t>Hvis behandlingen med Symbicort må seponeres pga. for stor dosis af formoterolkomponenten, bør der overvejes anden passende behandling med kortikosteroid til inhalation.</w:t>
      </w:r>
    </w:p>
    <w:p w:rsidR="008C4142" w:rsidRPr="00F61E4C" w:rsidRDefault="008C4142" w:rsidP="008C4142">
      <w:pPr>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4.10</w:t>
      </w:r>
      <w:r w:rsidRPr="00F61E4C">
        <w:rPr>
          <w:b/>
          <w:sz w:val="24"/>
          <w:szCs w:val="24"/>
        </w:rPr>
        <w:tab/>
        <w:t>Udlevering</w:t>
      </w:r>
    </w:p>
    <w:p w:rsidR="009260DE" w:rsidRPr="00F61E4C" w:rsidRDefault="008C4142" w:rsidP="009260DE">
      <w:pPr>
        <w:tabs>
          <w:tab w:val="left" w:pos="851"/>
        </w:tabs>
        <w:ind w:left="851"/>
        <w:rPr>
          <w:sz w:val="24"/>
          <w:szCs w:val="24"/>
        </w:rPr>
      </w:pPr>
      <w:r w:rsidRPr="00F61E4C">
        <w:rPr>
          <w:sz w:val="24"/>
          <w:szCs w:val="24"/>
        </w:rPr>
        <w:t>B</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5.</w:t>
      </w:r>
      <w:r w:rsidRPr="00F61E4C">
        <w:rPr>
          <w:b/>
          <w:sz w:val="24"/>
          <w:szCs w:val="24"/>
        </w:rPr>
        <w:tab/>
        <w:t>FARMAKOLOGISKE EGENSKABER</w:t>
      </w:r>
    </w:p>
    <w:p w:rsidR="009260DE" w:rsidRPr="00F61E4C" w:rsidRDefault="009260DE" w:rsidP="009260DE">
      <w:pPr>
        <w:tabs>
          <w:tab w:val="left" w:pos="851"/>
        </w:tabs>
        <w:ind w:left="851"/>
        <w:rPr>
          <w:sz w:val="24"/>
          <w:szCs w:val="24"/>
        </w:rPr>
      </w:pPr>
    </w:p>
    <w:p w:rsidR="009260DE" w:rsidRPr="00F61E4C" w:rsidRDefault="009260DE" w:rsidP="009260DE">
      <w:pPr>
        <w:tabs>
          <w:tab w:val="num" w:pos="851"/>
        </w:tabs>
        <w:ind w:left="851" w:hanging="851"/>
        <w:rPr>
          <w:b/>
          <w:sz w:val="24"/>
          <w:szCs w:val="24"/>
        </w:rPr>
      </w:pPr>
      <w:r w:rsidRPr="00F61E4C">
        <w:rPr>
          <w:b/>
          <w:sz w:val="24"/>
          <w:szCs w:val="24"/>
        </w:rPr>
        <w:t>5.1</w:t>
      </w:r>
      <w:r w:rsidRPr="00F61E4C">
        <w:rPr>
          <w:b/>
          <w:sz w:val="24"/>
          <w:szCs w:val="24"/>
        </w:rPr>
        <w:tab/>
      </w:r>
      <w:proofErr w:type="spellStart"/>
      <w:r w:rsidRPr="00F61E4C">
        <w:rPr>
          <w:b/>
          <w:sz w:val="24"/>
          <w:szCs w:val="24"/>
        </w:rPr>
        <w:t>Farmakodynamiske</w:t>
      </w:r>
      <w:proofErr w:type="spellEnd"/>
      <w:r w:rsidRPr="00F61E4C">
        <w:rPr>
          <w:b/>
          <w:sz w:val="24"/>
          <w:szCs w:val="24"/>
        </w:rPr>
        <w:t xml:space="preserve"> egenskaber</w:t>
      </w:r>
    </w:p>
    <w:p w:rsidR="00D87A05" w:rsidRPr="00F61E4C" w:rsidRDefault="00D87A05" w:rsidP="00D87A05">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F61E4C">
        <w:rPr>
          <w:sz w:val="24"/>
          <w:szCs w:val="24"/>
        </w:rPr>
        <w:t xml:space="preserve">Lægemidler til obstruktive luftvejssygdomme: </w:t>
      </w:r>
      <w:proofErr w:type="spellStart"/>
      <w:r w:rsidRPr="00F61E4C">
        <w:rPr>
          <w:sz w:val="24"/>
          <w:szCs w:val="24"/>
        </w:rPr>
        <w:t>Adrenergika</w:t>
      </w:r>
      <w:proofErr w:type="spellEnd"/>
      <w:r w:rsidRPr="00F61E4C">
        <w:rPr>
          <w:sz w:val="24"/>
          <w:szCs w:val="24"/>
        </w:rPr>
        <w:t>, lægemidler til inhalation.</w:t>
      </w:r>
      <w:r>
        <w:rPr>
          <w:sz w:val="24"/>
          <w:szCs w:val="24"/>
        </w:rPr>
        <w:t xml:space="preserve"> </w:t>
      </w:r>
      <w:r w:rsidRPr="00F61E4C">
        <w:rPr>
          <w:sz w:val="24"/>
          <w:szCs w:val="24"/>
        </w:rPr>
        <w:t>ATC-kode: R 03 AK 07.</w:t>
      </w:r>
    </w:p>
    <w:p w:rsidR="00072840" w:rsidRPr="00F61E4C" w:rsidRDefault="00072840" w:rsidP="00072840">
      <w:pPr>
        <w:suppressAutoHyphens/>
        <w:ind w:left="851"/>
        <w:rPr>
          <w:sz w:val="24"/>
          <w:szCs w:val="24"/>
        </w:rPr>
      </w:pPr>
    </w:p>
    <w:p w:rsidR="00072840" w:rsidRPr="00F61E4C" w:rsidRDefault="00072840" w:rsidP="00072840">
      <w:pPr>
        <w:suppressAutoHyphens/>
        <w:ind w:left="851"/>
        <w:rPr>
          <w:bCs/>
          <w:noProof/>
          <w:sz w:val="24"/>
          <w:szCs w:val="24"/>
          <w:u w:val="single"/>
        </w:rPr>
      </w:pPr>
      <w:r w:rsidRPr="00F61E4C">
        <w:rPr>
          <w:bCs/>
          <w:noProof/>
          <w:sz w:val="24"/>
          <w:szCs w:val="24"/>
          <w:u w:val="single"/>
        </w:rPr>
        <w:t>Virkningsmekanisme og farmakodynamisk virkning</w:t>
      </w:r>
    </w:p>
    <w:p w:rsidR="00072840" w:rsidRDefault="00072840" w:rsidP="00223920">
      <w:pPr>
        <w:suppressAutoHyphens/>
        <w:ind w:left="851"/>
        <w:rPr>
          <w:bCs/>
          <w:noProof/>
          <w:sz w:val="24"/>
          <w:szCs w:val="24"/>
        </w:rPr>
      </w:pPr>
      <w:r w:rsidRPr="00F61E4C">
        <w:rPr>
          <w:bCs/>
          <w:noProof/>
          <w:sz w:val="24"/>
          <w:szCs w:val="24"/>
        </w:rPr>
        <w:t>Symbicort indeholder formoterol og budesonid, som har forskellige virkningsmekanismer og viser additiv virkning med hensyn til reduktion af astma-eksacerbationer. De specifikke egenskaber ved budesonid og formoterol gør det muligt at bruge kombinationen enten som vedligeholdelses- og behovsbehandling eller som vedligeholdelsesbehandling af astma.</w:t>
      </w:r>
    </w:p>
    <w:p w:rsidR="00072840" w:rsidRDefault="00072840" w:rsidP="00072840">
      <w:pPr>
        <w:suppressAutoHyphens/>
        <w:ind w:left="851"/>
        <w:rPr>
          <w:b/>
          <w:bCs/>
          <w:noProof/>
          <w:sz w:val="24"/>
          <w:szCs w:val="24"/>
        </w:rPr>
      </w:pPr>
    </w:p>
    <w:p w:rsidR="00D87A05" w:rsidRPr="00F61E4C" w:rsidRDefault="00D87A05" w:rsidP="00072840">
      <w:pPr>
        <w:suppressAutoHyphens/>
        <w:ind w:left="851"/>
        <w:rPr>
          <w:b/>
          <w:bCs/>
          <w:noProof/>
          <w:sz w:val="24"/>
          <w:szCs w:val="24"/>
        </w:rPr>
      </w:pPr>
    </w:p>
    <w:p w:rsidR="00072840" w:rsidRPr="00F61E4C" w:rsidRDefault="00072840" w:rsidP="00072840">
      <w:pPr>
        <w:suppressAutoHyphens/>
        <w:ind w:left="851"/>
        <w:rPr>
          <w:bCs/>
          <w:i/>
          <w:noProof/>
          <w:sz w:val="24"/>
          <w:szCs w:val="24"/>
        </w:rPr>
      </w:pPr>
      <w:r w:rsidRPr="00F61E4C">
        <w:rPr>
          <w:bCs/>
          <w:i/>
          <w:noProof/>
          <w:sz w:val="24"/>
          <w:szCs w:val="24"/>
        </w:rPr>
        <w:lastRenderedPageBreak/>
        <w:t>Budesonid</w:t>
      </w:r>
    </w:p>
    <w:p w:rsidR="00072840" w:rsidRPr="00F61E4C" w:rsidRDefault="00072840" w:rsidP="00072840">
      <w:pPr>
        <w:suppressAutoHyphens/>
        <w:ind w:left="851"/>
        <w:rPr>
          <w:bCs/>
          <w:noProof/>
          <w:sz w:val="24"/>
          <w:szCs w:val="24"/>
        </w:rPr>
      </w:pPr>
      <w:r w:rsidRPr="00F61E4C">
        <w:rPr>
          <w:bCs/>
          <w:noProof/>
          <w:sz w:val="24"/>
          <w:szCs w:val="24"/>
        </w:rPr>
        <w:t>Budesonid er et glukokortikosteroid, som ved inhalation har en dosis-afhængig antiinflammatorisk virkning i luftvejene, som resulterer i reducerede symptomer og færre astma-eksacerbationer. Inhaleret budesonid har færre alvorlige bivirkninger end systemiske kortikosteroider. Den præcise virkningsmekanisme, som er ansvarlig for glukokortikosteroiders antiinflammatoriske effekt, kendes ikke.</w:t>
      </w:r>
    </w:p>
    <w:p w:rsidR="00072840" w:rsidRPr="00F61E4C" w:rsidRDefault="00072840" w:rsidP="00072840">
      <w:pPr>
        <w:suppressAutoHyphens/>
        <w:ind w:left="851"/>
        <w:rPr>
          <w:bCs/>
          <w:noProof/>
          <w:sz w:val="24"/>
          <w:szCs w:val="24"/>
        </w:rPr>
      </w:pPr>
    </w:p>
    <w:p w:rsidR="00072840" w:rsidRPr="00F61E4C" w:rsidRDefault="00072840" w:rsidP="00072840">
      <w:pPr>
        <w:suppressAutoHyphens/>
        <w:ind w:left="851"/>
        <w:rPr>
          <w:bCs/>
          <w:i/>
          <w:noProof/>
          <w:sz w:val="24"/>
          <w:szCs w:val="24"/>
        </w:rPr>
      </w:pPr>
      <w:r w:rsidRPr="00F61E4C">
        <w:rPr>
          <w:bCs/>
          <w:i/>
          <w:noProof/>
          <w:sz w:val="24"/>
          <w:szCs w:val="24"/>
        </w:rPr>
        <w:t>Formoterol</w:t>
      </w:r>
    </w:p>
    <w:p w:rsidR="00072840" w:rsidRPr="00F61E4C" w:rsidRDefault="00072840" w:rsidP="00072840">
      <w:pPr>
        <w:suppressAutoHyphens/>
        <w:ind w:left="851"/>
        <w:rPr>
          <w:bCs/>
          <w:noProof/>
          <w:sz w:val="24"/>
          <w:szCs w:val="24"/>
        </w:rPr>
      </w:pPr>
      <w:r w:rsidRPr="00F61E4C">
        <w:rPr>
          <w:bCs/>
          <w:noProof/>
          <w:sz w:val="24"/>
          <w:szCs w:val="24"/>
        </w:rPr>
        <w:t>Formoterol er en selektiv β</w:t>
      </w:r>
      <w:r w:rsidRPr="00F61E4C">
        <w:rPr>
          <w:bCs/>
          <w:noProof/>
          <w:sz w:val="24"/>
          <w:szCs w:val="24"/>
          <w:vertAlign w:val="subscript"/>
        </w:rPr>
        <w:t>2</w:t>
      </w:r>
      <w:r w:rsidRPr="00F61E4C">
        <w:rPr>
          <w:bCs/>
          <w:noProof/>
          <w:sz w:val="24"/>
          <w:szCs w:val="24"/>
        </w:rPr>
        <w:t>-adrenoceptoragonist, som ved inhalation medfører en hurtig og langtidsvirkende afslappelse af den glatte muskulatur i bronkierne hos patienter med luftvejsobstruktion. Den bronkodilaterende virkning er dosisafhængig og indsætter inden for 1-3 minutter. Virkningsvarigheden er mindst 12 timer efter en enkelt dosis.</w:t>
      </w:r>
    </w:p>
    <w:p w:rsidR="00072840" w:rsidRPr="00F61E4C" w:rsidRDefault="00072840" w:rsidP="00072840">
      <w:pPr>
        <w:suppressAutoHyphens/>
        <w:ind w:left="851"/>
        <w:rPr>
          <w:bCs/>
          <w:noProof/>
          <w:sz w:val="24"/>
          <w:szCs w:val="24"/>
        </w:rPr>
      </w:pPr>
    </w:p>
    <w:p w:rsidR="00072840" w:rsidRPr="00F61E4C" w:rsidRDefault="00072840" w:rsidP="00072840">
      <w:pPr>
        <w:suppressAutoHyphens/>
        <w:ind w:left="851"/>
        <w:rPr>
          <w:bCs/>
          <w:noProof/>
          <w:sz w:val="24"/>
          <w:szCs w:val="24"/>
          <w:u w:val="single"/>
        </w:rPr>
      </w:pPr>
      <w:r w:rsidRPr="00F61E4C">
        <w:rPr>
          <w:bCs/>
          <w:noProof/>
          <w:sz w:val="24"/>
          <w:szCs w:val="24"/>
          <w:u w:val="single"/>
        </w:rPr>
        <w:t>Klinisk virkning og sikkerhed</w:t>
      </w:r>
    </w:p>
    <w:p w:rsidR="00072840" w:rsidRPr="00F61E4C" w:rsidRDefault="00072840" w:rsidP="00072840">
      <w:pPr>
        <w:suppressAutoHyphens/>
        <w:ind w:left="851"/>
        <w:rPr>
          <w:bCs/>
          <w:noProof/>
          <w:sz w:val="24"/>
          <w:szCs w:val="24"/>
        </w:rPr>
      </w:pPr>
      <w:r w:rsidRPr="00F61E4C">
        <w:rPr>
          <w:bCs/>
          <w:noProof/>
          <w:sz w:val="24"/>
          <w:szCs w:val="24"/>
        </w:rPr>
        <w:t xml:space="preserve">Klinisk virkning af Symbicort 80 µg/2,25 µg er dokumenteret ved anvendelse af en overførselsstrategi, hvor </w:t>
      </w:r>
      <w:r w:rsidRPr="00F61E4C">
        <w:rPr>
          <w:bCs/>
          <w:i/>
          <w:iCs/>
          <w:noProof/>
          <w:sz w:val="24"/>
          <w:szCs w:val="24"/>
        </w:rPr>
        <w:t>in vitro</w:t>
      </w:r>
      <w:r w:rsidRPr="00F61E4C">
        <w:rPr>
          <w:bCs/>
          <w:noProof/>
          <w:sz w:val="24"/>
          <w:szCs w:val="24"/>
        </w:rPr>
        <w:t>-data bruges til at vise lighed med en højere styrke pMDI (160 µg/4,5 µg), og hvor farmakokinetiske data bruges til at sammenligne pMDI med Symbicort Turbuhaler og demonstrerer levering af en sammenlignelig mængde aktivt lægemiddel til den systemiske cirkulation (se pkt. 5.2).</w:t>
      </w:r>
    </w:p>
    <w:p w:rsidR="00072840" w:rsidRPr="00F61E4C" w:rsidRDefault="00072840" w:rsidP="00072840">
      <w:pPr>
        <w:suppressAutoHyphens/>
        <w:ind w:left="851"/>
        <w:rPr>
          <w:bCs/>
          <w:noProof/>
          <w:sz w:val="24"/>
          <w:szCs w:val="24"/>
        </w:rPr>
      </w:pPr>
    </w:p>
    <w:p w:rsidR="00072840" w:rsidRPr="00F61E4C" w:rsidRDefault="00072840" w:rsidP="00072840">
      <w:pPr>
        <w:suppressAutoHyphens/>
        <w:ind w:left="851"/>
        <w:rPr>
          <w:bCs/>
          <w:noProof/>
          <w:sz w:val="24"/>
          <w:szCs w:val="24"/>
        </w:rPr>
      </w:pPr>
      <w:r w:rsidRPr="00F61E4C">
        <w:rPr>
          <w:bCs/>
          <w:noProof/>
          <w:sz w:val="24"/>
          <w:szCs w:val="24"/>
        </w:rPr>
        <w:t xml:space="preserve">Et randomiseret, dobbeltblindt, parallelgruppe, multicenter fase-III-studie sammenlignede virkningen og sikkerheden af Symbicort pMDI (160/4,5 μg 2 tryk 2 gange </w:t>
      </w:r>
      <w:r w:rsidR="00CA3A08" w:rsidRPr="00F61E4C">
        <w:rPr>
          <w:bCs/>
          <w:noProof/>
          <w:sz w:val="24"/>
          <w:szCs w:val="24"/>
        </w:rPr>
        <w:t>daglig</w:t>
      </w:r>
      <w:r w:rsidRPr="00F61E4C">
        <w:rPr>
          <w:bCs/>
          <w:noProof/>
          <w:sz w:val="24"/>
          <w:szCs w:val="24"/>
        </w:rPr>
        <w:t xml:space="preserve">, afmålt dosis) med den i Pulmicort pMDI (budesonid 200 μg 2 tryk 2 gange </w:t>
      </w:r>
      <w:r w:rsidR="00CA3A08" w:rsidRPr="00F61E4C">
        <w:rPr>
          <w:bCs/>
          <w:noProof/>
          <w:sz w:val="24"/>
          <w:szCs w:val="24"/>
        </w:rPr>
        <w:t>daglig</w:t>
      </w:r>
      <w:r w:rsidRPr="00F61E4C">
        <w:rPr>
          <w:bCs/>
          <w:noProof/>
          <w:sz w:val="24"/>
          <w:szCs w:val="24"/>
        </w:rPr>
        <w:t xml:space="preserve">, afmålt dosis) og med Symbicort Turbuhaler (budesonid/formoterol 160/4,5 μg 2 inhalationer, afmålt dosis) hos unge og voksne med astma. Symbicort pMDI viste overlegenhed overfor budesonid pMDI til PEF målt om morgenen (gennemsnitlig forskel 28,6 l/min; 95 % Cl: 20,9 til 36,4 l/min; p &lt;0,001). Resultaterne var sammenlignelige mellem Symbicort-formuleringer (pMDI og Turbuhaler) med en estimeret forskel på -2,8 l/min; 95 % (Cl: </w:t>
      </w:r>
      <w:r w:rsidRPr="00F61E4C">
        <w:rPr>
          <w:bCs/>
          <w:noProof/>
          <w:sz w:val="24"/>
          <w:szCs w:val="24"/>
        </w:rPr>
        <w:noBreakHyphen/>
        <w:t>10,4 til 4,9 l/min).</w:t>
      </w:r>
    </w:p>
    <w:p w:rsidR="00072840" w:rsidRPr="00F61E4C" w:rsidRDefault="00072840" w:rsidP="00072840">
      <w:pPr>
        <w:suppressAutoHyphens/>
        <w:ind w:left="851"/>
        <w:rPr>
          <w:bCs/>
          <w:noProof/>
          <w:sz w:val="24"/>
          <w:szCs w:val="24"/>
        </w:rPr>
      </w:pPr>
    </w:p>
    <w:p w:rsidR="00072840" w:rsidRPr="00F61E4C" w:rsidRDefault="00072840" w:rsidP="00072840">
      <w:pPr>
        <w:suppressAutoHyphens/>
        <w:ind w:left="851"/>
        <w:rPr>
          <w:bCs/>
          <w:i/>
          <w:iCs/>
          <w:noProof/>
          <w:sz w:val="24"/>
          <w:szCs w:val="24"/>
        </w:rPr>
      </w:pPr>
      <w:r w:rsidRPr="00F61E4C">
        <w:rPr>
          <w:bCs/>
          <w:i/>
          <w:iCs/>
          <w:noProof/>
          <w:sz w:val="24"/>
          <w:szCs w:val="24"/>
        </w:rPr>
        <w:t>Klinisk virkning ved vedligeholdelsesbehandling med budesonid/formoterol</w:t>
      </w:r>
    </w:p>
    <w:p w:rsidR="00072840" w:rsidRPr="00F61E4C" w:rsidRDefault="00072840" w:rsidP="00072840">
      <w:pPr>
        <w:suppressAutoHyphens/>
        <w:ind w:left="851"/>
        <w:rPr>
          <w:bCs/>
          <w:noProof/>
          <w:sz w:val="24"/>
          <w:szCs w:val="24"/>
        </w:rPr>
      </w:pPr>
      <w:r w:rsidRPr="00F61E4C">
        <w:rPr>
          <w:bCs/>
          <w:noProof/>
          <w:sz w:val="24"/>
          <w:szCs w:val="24"/>
        </w:rPr>
        <w:t>Kliniske studier hos voksne har vist, at tilsætning af formoterol til budesonid forbedrede astmasymptomer og lungefunktion og reducerede eksacerbationer. I to 12-ugers studier var virkningen af budesonid/formoterol (Turbuhaler) på lungefunktionen lig med den frie kombination af budesonid og formoterol og overgik virkningen af budesonid alene. Alle behandlingsarme anvendte en korttidsvirkende ß</w:t>
      </w:r>
      <w:r w:rsidRPr="00F61E4C">
        <w:rPr>
          <w:bCs/>
          <w:noProof/>
          <w:sz w:val="24"/>
          <w:szCs w:val="24"/>
          <w:vertAlign w:val="subscript"/>
        </w:rPr>
        <w:t>2</w:t>
      </w:r>
      <w:r w:rsidRPr="00F61E4C">
        <w:rPr>
          <w:bCs/>
          <w:noProof/>
          <w:sz w:val="24"/>
          <w:szCs w:val="24"/>
        </w:rPr>
        <w:t>-adrenoceptoragonist efter behov. Der var intet tegn på svækkelse af den anti-astmatiske virkning over tid.</w:t>
      </w:r>
    </w:p>
    <w:p w:rsidR="00072840" w:rsidRPr="00F61E4C" w:rsidRDefault="00072840" w:rsidP="00072840">
      <w:pPr>
        <w:suppressAutoHyphens/>
        <w:ind w:left="851"/>
        <w:rPr>
          <w:bCs/>
          <w:noProof/>
          <w:sz w:val="24"/>
          <w:szCs w:val="24"/>
        </w:rPr>
      </w:pPr>
    </w:p>
    <w:p w:rsidR="00072840" w:rsidRPr="00F61E4C" w:rsidRDefault="00072840" w:rsidP="00072840">
      <w:pPr>
        <w:suppressAutoHyphens/>
        <w:ind w:left="851"/>
        <w:rPr>
          <w:bCs/>
          <w:noProof/>
          <w:sz w:val="24"/>
          <w:szCs w:val="24"/>
        </w:rPr>
      </w:pPr>
      <w:r w:rsidRPr="00F61E4C">
        <w:rPr>
          <w:bCs/>
          <w:noProof/>
          <w:sz w:val="24"/>
          <w:szCs w:val="24"/>
        </w:rPr>
        <w:t>To kliniske studier i 1.107 voksne og unge astmatikere viste den overlegne virkning af Symbicort (80/4,5 og 160/4,5 µg/tryk, inhalationsspray, suspension) over hver af dens monokomponenter til forbedring af lungefunktion (præ-dosis FEV</w:t>
      </w:r>
      <w:r w:rsidRPr="00F61E4C">
        <w:rPr>
          <w:bCs/>
          <w:noProof/>
          <w:sz w:val="24"/>
          <w:szCs w:val="24"/>
          <w:vertAlign w:val="subscript"/>
        </w:rPr>
        <w:t>1</w:t>
      </w:r>
      <w:r w:rsidRPr="00F61E4C">
        <w:rPr>
          <w:bCs/>
          <w:noProof/>
          <w:sz w:val="24"/>
          <w:szCs w:val="24"/>
        </w:rPr>
        <w:t xml:space="preserve"> og 12-timers FEV</w:t>
      </w:r>
      <w:r w:rsidRPr="00F61E4C">
        <w:rPr>
          <w:bCs/>
          <w:noProof/>
          <w:sz w:val="24"/>
          <w:szCs w:val="24"/>
          <w:vertAlign w:val="subscript"/>
        </w:rPr>
        <w:t>1</w:t>
      </w:r>
      <w:r w:rsidRPr="00F61E4C">
        <w:rPr>
          <w:bCs/>
          <w:noProof/>
          <w:sz w:val="24"/>
          <w:szCs w:val="24"/>
        </w:rPr>
        <w:t>). Symptomfri dage, livskvalitet og foruddefinerede astmahændelser blev signifikant forbedret for Symbicort sammenlignet med budesonid og formoterol.</w:t>
      </w:r>
    </w:p>
    <w:p w:rsidR="00072840" w:rsidRPr="00F61E4C" w:rsidRDefault="00072840" w:rsidP="00072840">
      <w:pPr>
        <w:suppressAutoHyphens/>
        <w:ind w:left="851"/>
        <w:rPr>
          <w:bCs/>
          <w:noProof/>
          <w:sz w:val="24"/>
          <w:szCs w:val="24"/>
        </w:rPr>
      </w:pPr>
    </w:p>
    <w:p w:rsidR="00072840" w:rsidRPr="00F61E4C" w:rsidRDefault="00072840" w:rsidP="00072840">
      <w:pPr>
        <w:suppressAutoHyphens/>
        <w:ind w:left="851"/>
        <w:rPr>
          <w:bCs/>
          <w:noProof/>
          <w:sz w:val="24"/>
          <w:szCs w:val="24"/>
        </w:rPr>
      </w:pPr>
      <w:r w:rsidRPr="00F61E4C">
        <w:rPr>
          <w:bCs/>
          <w:noProof/>
          <w:sz w:val="24"/>
          <w:szCs w:val="24"/>
        </w:rPr>
        <w:t xml:space="preserve">Den langsigtede sikkerhed og virkning af Symbicort (80/4,5 og 160/4,5 µg/tryk, inhalationsspray, suspension) sammenlignet med budesonid (80 og 160 µg/tryk) blev evalueret i et 26-ugers sikkerheds- og virkningsstudie hos 11.963 voksne og unge med astma. Hazard ratio, der sammenlignede risikoen for alvorlige astmarelaterede hændelser mellem Symbicort og budesonid, vurderet af det sammensatte endepunkt for astmarelaterede dødsfald, intubationer og indlæggelser, var 1,07 (95% CI: 0,70 til 1,70). Statistisk non-inferioritet blev påvist baseret på den øvre grænse for 95% CI for Hazard </w:t>
      </w:r>
      <w:r w:rsidRPr="00F61E4C">
        <w:rPr>
          <w:bCs/>
          <w:noProof/>
          <w:sz w:val="24"/>
          <w:szCs w:val="24"/>
        </w:rPr>
        <w:lastRenderedPageBreak/>
        <w:t>ratio på &lt;2. Symbicort var statistisk bedre end budesonid, vurderet fra tidspunktet for første alvorlige astmaeksacerbation og målinger af symptomkontrol.</w:t>
      </w:r>
    </w:p>
    <w:p w:rsidR="00072840" w:rsidRPr="00F61E4C" w:rsidRDefault="00072840" w:rsidP="00072840">
      <w:pPr>
        <w:suppressAutoHyphens/>
        <w:ind w:left="851"/>
        <w:rPr>
          <w:bCs/>
          <w:noProof/>
          <w:sz w:val="24"/>
          <w:szCs w:val="24"/>
        </w:rPr>
      </w:pPr>
    </w:p>
    <w:p w:rsidR="00072840" w:rsidRPr="00F61E4C" w:rsidRDefault="00072840" w:rsidP="00072840">
      <w:pPr>
        <w:suppressAutoHyphens/>
        <w:ind w:left="851"/>
        <w:rPr>
          <w:bCs/>
          <w:i/>
          <w:iCs/>
          <w:noProof/>
          <w:sz w:val="24"/>
          <w:szCs w:val="24"/>
        </w:rPr>
      </w:pPr>
      <w:r w:rsidRPr="00F61E4C">
        <w:rPr>
          <w:bCs/>
          <w:i/>
          <w:iCs/>
          <w:noProof/>
          <w:sz w:val="24"/>
          <w:szCs w:val="24"/>
        </w:rPr>
        <w:t>Klinisk effekt af budesonid/formoterol til vedligeholdelse og behovsbehandling</w:t>
      </w:r>
    </w:p>
    <w:p w:rsidR="00072840" w:rsidRPr="00F61E4C" w:rsidRDefault="00072840" w:rsidP="00072840">
      <w:pPr>
        <w:suppressAutoHyphens/>
        <w:ind w:left="851"/>
        <w:rPr>
          <w:bCs/>
          <w:noProof/>
          <w:sz w:val="24"/>
          <w:szCs w:val="24"/>
        </w:rPr>
      </w:pPr>
      <w:r w:rsidRPr="00F61E4C">
        <w:rPr>
          <w:bCs/>
          <w:noProof/>
          <w:sz w:val="24"/>
          <w:szCs w:val="24"/>
        </w:rPr>
        <w:t>I alt 12.076 astma-patienter blev inkluderet i 5 dobbeltblindede virknings- og sikkerhedsstudier, hvoraf 4.447 blev randomiseret til budesonid/formoterol (Turbuhaler) vedligeholdelses- og behovsbehandling i 6 eller 12 måneder. Patienterne skulle være symptomatiske trods brug af inhalerede glukokortikosteroider.</w:t>
      </w:r>
    </w:p>
    <w:p w:rsidR="00072840" w:rsidRPr="00F61E4C" w:rsidRDefault="00072840" w:rsidP="00072840">
      <w:pPr>
        <w:suppressAutoHyphens/>
        <w:ind w:left="851"/>
        <w:rPr>
          <w:bCs/>
          <w:noProof/>
          <w:sz w:val="24"/>
          <w:szCs w:val="24"/>
        </w:rPr>
      </w:pPr>
    </w:p>
    <w:p w:rsidR="00072840" w:rsidRPr="00F61E4C" w:rsidRDefault="00072840" w:rsidP="00072840">
      <w:pPr>
        <w:suppressAutoHyphens/>
        <w:ind w:left="851"/>
        <w:rPr>
          <w:bCs/>
          <w:noProof/>
          <w:sz w:val="24"/>
          <w:szCs w:val="24"/>
        </w:rPr>
      </w:pPr>
      <w:r w:rsidRPr="00F61E4C">
        <w:rPr>
          <w:bCs/>
          <w:noProof/>
          <w:sz w:val="24"/>
          <w:szCs w:val="24"/>
        </w:rPr>
        <w:t>Vedligeholdelse og behovsbehandling med budesonid/formoterol (Turbuhaler) gav statistisk signifikante og klinisk betydningsfulde reduktioner i alvorlige eksacerbationer i alle sammenligninger i alle 5 studier. Dette omfattede en sammenligning med budesonid/formoterol (Turbuhaler) ved en højere vedligeholdelsesdosis med terbutalin som behovsbehandling (studie 735) og budesonid/formoterol (Turbuhaler) med den samme vedligeholdelsesdosis med enten formoterol eller terbutalin som behovsmedicin (studie 734) (tabel 2). I studie 735 var lungefunktion, symptomkontrol og behovsbehandling ens i alle behandlingsgrupper. I studie 734 blev symptomer og behovsbehandling reduceret, og lungefunktionen blev forbedret sammenlignet med begge komparatorbehandlinger. I de fem studier kombineret anvendte patienter, der fik budesonid/formoterol (Turbuhaler) vedligeholdelses- og behovsbehandling, gennemsnitligt ingen inhalation efter behov på 57 % af behandlingsdagene. Der var ikke nogen tegn på udvikling af tolerabilitet over tid.</w:t>
      </w:r>
    </w:p>
    <w:p w:rsidR="00072840" w:rsidRPr="00F61E4C" w:rsidRDefault="00072840" w:rsidP="00072840">
      <w:pPr>
        <w:ind w:left="851"/>
        <w:rPr>
          <w:noProof/>
          <w:sz w:val="24"/>
          <w:szCs w:val="24"/>
        </w:rPr>
      </w:pPr>
    </w:p>
    <w:p w:rsidR="00072840" w:rsidRPr="00F61E4C" w:rsidRDefault="00072840" w:rsidP="00072840">
      <w:pPr>
        <w:ind w:left="851"/>
        <w:rPr>
          <w:b/>
          <w:bCs/>
          <w:noProof/>
          <w:sz w:val="24"/>
          <w:szCs w:val="24"/>
        </w:rPr>
      </w:pPr>
      <w:r w:rsidRPr="00F61E4C">
        <w:rPr>
          <w:b/>
          <w:bCs/>
          <w:noProof/>
          <w:sz w:val="24"/>
          <w:szCs w:val="24"/>
        </w:rPr>
        <w:t>Tabel 2</w:t>
      </w:r>
      <w:r w:rsidRPr="00F61E4C">
        <w:rPr>
          <w:b/>
          <w:bCs/>
          <w:noProof/>
          <w:sz w:val="24"/>
          <w:szCs w:val="24"/>
        </w:rPr>
        <w:tab/>
        <w:t>Oversigt over alvorlige eksacerbationer i kliniske studier</w:t>
      </w:r>
    </w:p>
    <w:tbl>
      <w:tblPr>
        <w:tblW w:w="9640" w:type="dxa"/>
        <w:tblLayout w:type="fixed"/>
        <w:tblLook w:val="04A0" w:firstRow="1" w:lastRow="0" w:firstColumn="1" w:lastColumn="0" w:noHBand="0" w:noVBand="1"/>
      </w:tblPr>
      <w:tblGrid>
        <w:gridCol w:w="1560"/>
        <w:gridCol w:w="4252"/>
        <w:gridCol w:w="882"/>
        <w:gridCol w:w="1386"/>
        <w:gridCol w:w="1560"/>
      </w:tblGrid>
      <w:tr w:rsidR="00072840" w:rsidRPr="00F61E4C" w:rsidTr="00CA3A08">
        <w:trPr>
          <w:cantSplit/>
          <w:tblHeader/>
        </w:trPr>
        <w:tc>
          <w:tcPr>
            <w:tcW w:w="1560" w:type="dxa"/>
            <w:vMerge w:val="restart"/>
            <w:tcBorders>
              <w:top w:val="single" w:sz="12" w:space="0" w:color="auto"/>
              <w:left w:val="nil"/>
              <w:bottom w:val="single" w:sz="6" w:space="0" w:color="auto"/>
              <w:right w:val="single" w:sz="4" w:space="0" w:color="auto"/>
            </w:tcBorders>
            <w:hideMark/>
          </w:tcPr>
          <w:p w:rsidR="00072840" w:rsidRPr="00F61E4C" w:rsidRDefault="00072840" w:rsidP="0088538B">
            <w:pPr>
              <w:rPr>
                <w:b/>
                <w:noProof/>
                <w:sz w:val="24"/>
                <w:szCs w:val="24"/>
              </w:rPr>
            </w:pPr>
            <w:r w:rsidRPr="00F61E4C">
              <w:rPr>
                <w:b/>
                <w:noProof/>
                <w:sz w:val="24"/>
                <w:szCs w:val="24"/>
              </w:rPr>
              <w:t>Studie nr. Varighed</w:t>
            </w:r>
          </w:p>
        </w:tc>
        <w:tc>
          <w:tcPr>
            <w:tcW w:w="4252" w:type="dxa"/>
            <w:vMerge w:val="restart"/>
            <w:tcBorders>
              <w:top w:val="single" w:sz="12" w:space="0" w:color="auto"/>
              <w:left w:val="single" w:sz="4" w:space="0" w:color="auto"/>
              <w:bottom w:val="single" w:sz="6" w:space="0" w:color="auto"/>
              <w:right w:val="single" w:sz="4" w:space="0" w:color="auto"/>
            </w:tcBorders>
            <w:hideMark/>
          </w:tcPr>
          <w:p w:rsidR="00072840" w:rsidRPr="00F61E4C" w:rsidRDefault="00072840" w:rsidP="0088538B">
            <w:pPr>
              <w:ind w:left="30"/>
              <w:rPr>
                <w:b/>
                <w:noProof/>
                <w:sz w:val="24"/>
                <w:szCs w:val="24"/>
              </w:rPr>
            </w:pPr>
            <w:r w:rsidRPr="00F61E4C">
              <w:rPr>
                <w:b/>
                <w:noProof/>
                <w:sz w:val="24"/>
                <w:szCs w:val="24"/>
              </w:rPr>
              <w:t>Behandlingsgrupper</w:t>
            </w:r>
          </w:p>
        </w:tc>
        <w:tc>
          <w:tcPr>
            <w:tcW w:w="882" w:type="dxa"/>
            <w:vMerge w:val="restart"/>
            <w:tcBorders>
              <w:top w:val="single" w:sz="12" w:space="0" w:color="auto"/>
              <w:left w:val="single" w:sz="4" w:space="0" w:color="auto"/>
              <w:bottom w:val="single" w:sz="6" w:space="0" w:color="auto"/>
              <w:right w:val="single" w:sz="4" w:space="0" w:color="auto"/>
            </w:tcBorders>
            <w:hideMark/>
          </w:tcPr>
          <w:p w:rsidR="00072840" w:rsidRPr="00F61E4C" w:rsidRDefault="00072840" w:rsidP="0088538B">
            <w:pPr>
              <w:rPr>
                <w:b/>
                <w:noProof/>
                <w:sz w:val="24"/>
                <w:szCs w:val="24"/>
              </w:rPr>
            </w:pPr>
            <w:r w:rsidRPr="00F61E4C">
              <w:rPr>
                <w:b/>
                <w:noProof/>
                <w:sz w:val="24"/>
                <w:szCs w:val="24"/>
              </w:rPr>
              <w:t>n</w:t>
            </w:r>
          </w:p>
        </w:tc>
        <w:tc>
          <w:tcPr>
            <w:tcW w:w="2946" w:type="dxa"/>
            <w:gridSpan w:val="2"/>
            <w:tcBorders>
              <w:top w:val="single" w:sz="12" w:space="0" w:color="auto"/>
              <w:left w:val="single" w:sz="4" w:space="0" w:color="auto"/>
              <w:bottom w:val="nil"/>
              <w:right w:val="nil"/>
            </w:tcBorders>
            <w:hideMark/>
          </w:tcPr>
          <w:p w:rsidR="00072840" w:rsidRPr="00F61E4C" w:rsidRDefault="00072840" w:rsidP="0088538B">
            <w:pPr>
              <w:ind w:left="34"/>
              <w:rPr>
                <w:b/>
                <w:noProof/>
                <w:sz w:val="24"/>
                <w:szCs w:val="24"/>
              </w:rPr>
            </w:pPr>
            <w:r w:rsidRPr="00F61E4C">
              <w:rPr>
                <w:b/>
                <w:noProof/>
                <w:sz w:val="24"/>
                <w:szCs w:val="24"/>
              </w:rPr>
              <w:t>Alvorlige eksacerbationer</w:t>
            </w:r>
            <w:r w:rsidRPr="00F61E4C">
              <w:rPr>
                <w:b/>
                <w:bCs/>
                <w:noProof/>
                <w:sz w:val="24"/>
                <w:szCs w:val="24"/>
                <w:vertAlign w:val="superscript"/>
              </w:rPr>
              <w:t>a</w:t>
            </w:r>
          </w:p>
        </w:tc>
      </w:tr>
      <w:tr w:rsidR="00072840" w:rsidRPr="00F61E4C" w:rsidTr="00CA3A08">
        <w:trPr>
          <w:cantSplit/>
          <w:tblHeader/>
        </w:trPr>
        <w:tc>
          <w:tcPr>
            <w:tcW w:w="1560" w:type="dxa"/>
            <w:vMerge/>
            <w:tcBorders>
              <w:top w:val="single" w:sz="12" w:space="0" w:color="auto"/>
              <w:left w:val="nil"/>
              <w:bottom w:val="single" w:sz="6" w:space="0" w:color="auto"/>
              <w:right w:val="single" w:sz="4" w:space="0" w:color="auto"/>
            </w:tcBorders>
            <w:vAlign w:val="center"/>
            <w:hideMark/>
          </w:tcPr>
          <w:p w:rsidR="00072840" w:rsidRPr="00F61E4C" w:rsidRDefault="00072840" w:rsidP="0088538B">
            <w:pPr>
              <w:rPr>
                <w:b/>
                <w:noProof/>
                <w:sz w:val="24"/>
                <w:szCs w:val="24"/>
              </w:rPr>
            </w:pPr>
          </w:p>
        </w:tc>
        <w:tc>
          <w:tcPr>
            <w:tcW w:w="4252" w:type="dxa"/>
            <w:vMerge/>
            <w:tcBorders>
              <w:top w:val="single" w:sz="12" w:space="0" w:color="auto"/>
              <w:left w:val="single" w:sz="4" w:space="0" w:color="auto"/>
              <w:bottom w:val="single" w:sz="6" w:space="0" w:color="auto"/>
              <w:right w:val="single" w:sz="4" w:space="0" w:color="auto"/>
            </w:tcBorders>
            <w:vAlign w:val="center"/>
            <w:hideMark/>
          </w:tcPr>
          <w:p w:rsidR="00072840" w:rsidRPr="00F61E4C" w:rsidRDefault="00072840" w:rsidP="0088538B">
            <w:pPr>
              <w:ind w:left="30"/>
              <w:rPr>
                <w:b/>
                <w:noProof/>
                <w:sz w:val="24"/>
                <w:szCs w:val="24"/>
              </w:rPr>
            </w:pPr>
          </w:p>
        </w:tc>
        <w:tc>
          <w:tcPr>
            <w:tcW w:w="882" w:type="dxa"/>
            <w:vMerge/>
            <w:tcBorders>
              <w:top w:val="single" w:sz="12" w:space="0" w:color="auto"/>
              <w:left w:val="single" w:sz="4" w:space="0" w:color="auto"/>
              <w:bottom w:val="single" w:sz="6" w:space="0" w:color="auto"/>
              <w:right w:val="single" w:sz="4" w:space="0" w:color="auto"/>
            </w:tcBorders>
            <w:vAlign w:val="center"/>
            <w:hideMark/>
          </w:tcPr>
          <w:p w:rsidR="00072840" w:rsidRPr="00F61E4C" w:rsidRDefault="00072840" w:rsidP="0088538B">
            <w:pPr>
              <w:rPr>
                <w:b/>
                <w:noProof/>
                <w:sz w:val="24"/>
                <w:szCs w:val="24"/>
              </w:rPr>
            </w:pPr>
          </w:p>
        </w:tc>
        <w:tc>
          <w:tcPr>
            <w:tcW w:w="1386" w:type="dxa"/>
            <w:tcBorders>
              <w:top w:val="nil"/>
              <w:left w:val="single" w:sz="4" w:space="0" w:color="auto"/>
              <w:bottom w:val="single" w:sz="6" w:space="0" w:color="auto"/>
              <w:right w:val="nil"/>
            </w:tcBorders>
            <w:hideMark/>
          </w:tcPr>
          <w:p w:rsidR="00072840" w:rsidRPr="00F61E4C" w:rsidRDefault="00072840" w:rsidP="0088538B">
            <w:pPr>
              <w:ind w:left="34"/>
              <w:rPr>
                <w:b/>
                <w:noProof/>
                <w:sz w:val="24"/>
                <w:szCs w:val="24"/>
              </w:rPr>
            </w:pPr>
            <w:r w:rsidRPr="00F61E4C">
              <w:rPr>
                <w:b/>
                <w:noProof/>
                <w:sz w:val="24"/>
                <w:szCs w:val="24"/>
              </w:rPr>
              <w:t>Hændelser</w:t>
            </w:r>
          </w:p>
        </w:tc>
        <w:tc>
          <w:tcPr>
            <w:tcW w:w="1560" w:type="dxa"/>
            <w:tcBorders>
              <w:top w:val="nil"/>
              <w:left w:val="nil"/>
              <w:bottom w:val="single" w:sz="6" w:space="0" w:color="auto"/>
              <w:right w:val="nil"/>
            </w:tcBorders>
            <w:hideMark/>
          </w:tcPr>
          <w:p w:rsidR="00072840" w:rsidRPr="00F61E4C" w:rsidRDefault="00072840" w:rsidP="0088538B">
            <w:pPr>
              <w:ind w:left="34"/>
              <w:rPr>
                <w:b/>
                <w:noProof/>
                <w:sz w:val="24"/>
                <w:szCs w:val="24"/>
              </w:rPr>
            </w:pPr>
            <w:r w:rsidRPr="00F61E4C">
              <w:rPr>
                <w:b/>
                <w:noProof/>
                <w:sz w:val="24"/>
                <w:szCs w:val="24"/>
              </w:rPr>
              <w:t>Hændelser/ patient</w:t>
            </w:r>
            <w:r w:rsidRPr="00F61E4C">
              <w:rPr>
                <w:b/>
                <w:noProof/>
                <w:sz w:val="24"/>
                <w:szCs w:val="24"/>
              </w:rPr>
              <w:noBreakHyphen/>
              <w:t>år</w:t>
            </w:r>
          </w:p>
        </w:tc>
      </w:tr>
      <w:tr w:rsidR="00072840" w:rsidRPr="00F61E4C" w:rsidTr="00CA3A08">
        <w:trPr>
          <w:cantSplit/>
        </w:trPr>
        <w:tc>
          <w:tcPr>
            <w:tcW w:w="1560" w:type="dxa"/>
            <w:vMerge w:val="restart"/>
            <w:tcBorders>
              <w:top w:val="single" w:sz="6" w:space="0" w:color="auto"/>
              <w:left w:val="nil"/>
              <w:bottom w:val="single" w:sz="4" w:space="0" w:color="auto"/>
              <w:right w:val="single" w:sz="4" w:space="0" w:color="auto"/>
            </w:tcBorders>
            <w:hideMark/>
          </w:tcPr>
          <w:p w:rsidR="00072840" w:rsidRPr="00F61E4C" w:rsidRDefault="00072840" w:rsidP="0088538B">
            <w:pPr>
              <w:rPr>
                <w:b/>
                <w:bCs/>
                <w:noProof/>
                <w:sz w:val="24"/>
                <w:szCs w:val="24"/>
              </w:rPr>
            </w:pPr>
            <w:r w:rsidRPr="00F61E4C">
              <w:rPr>
                <w:b/>
                <w:bCs/>
                <w:noProof/>
                <w:sz w:val="24"/>
                <w:szCs w:val="24"/>
              </w:rPr>
              <w:t xml:space="preserve">Studie 735 </w:t>
            </w:r>
            <w:r w:rsidRPr="00F61E4C">
              <w:rPr>
                <w:b/>
                <w:bCs/>
                <w:noProof/>
                <w:sz w:val="24"/>
                <w:szCs w:val="24"/>
              </w:rPr>
              <w:br/>
              <w:t>6 måneder</w:t>
            </w:r>
          </w:p>
        </w:tc>
        <w:tc>
          <w:tcPr>
            <w:tcW w:w="4252" w:type="dxa"/>
            <w:tcBorders>
              <w:top w:val="single" w:sz="6" w:space="0" w:color="auto"/>
              <w:left w:val="single" w:sz="4" w:space="0" w:color="auto"/>
              <w:bottom w:val="nil"/>
              <w:right w:val="single" w:sz="4" w:space="0" w:color="auto"/>
            </w:tcBorders>
            <w:hideMark/>
          </w:tcPr>
          <w:p w:rsidR="00072840" w:rsidRPr="00F61E4C" w:rsidRDefault="00072840" w:rsidP="0088538B">
            <w:pPr>
              <w:ind w:left="30"/>
              <w:rPr>
                <w:b/>
                <w:bCs/>
                <w:noProof/>
                <w:sz w:val="24"/>
                <w:szCs w:val="24"/>
              </w:rPr>
            </w:pPr>
            <w:r w:rsidRPr="00F61E4C">
              <w:rPr>
                <w:b/>
                <w:bCs/>
                <w:noProof/>
                <w:sz w:val="24"/>
                <w:szCs w:val="24"/>
              </w:rPr>
              <w:t xml:space="preserve">Budesonid/formoterol 160/4,5 µg bd + efter behov </w:t>
            </w:r>
          </w:p>
        </w:tc>
        <w:tc>
          <w:tcPr>
            <w:tcW w:w="882" w:type="dxa"/>
            <w:tcBorders>
              <w:top w:val="single" w:sz="6" w:space="0" w:color="auto"/>
              <w:left w:val="single" w:sz="4" w:space="0" w:color="auto"/>
              <w:bottom w:val="nil"/>
              <w:right w:val="single" w:sz="4" w:space="0" w:color="auto"/>
            </w:tcBorders>
            <w:hideMark/>
          </w:tcPr>
          <w:p w:rsidR="00072840" w:rsidRPr="00F61E4C" w:rsidRDefault="00072840" w:rsidP="0088538B">
            <w:pPr>
              <w:rPr>
                <w:b/>
                <w:bCs/>
                <w:noProof/>
                <w:sz w:val="24"/>
                <w:szCs w:val="24"/>
              </w:rPr>
            </w:pPr>
            <w:r w:rsidRPr="00F61E4C">
              <w:rPr>
                <w:b/>
                <w:bCs/>
                <w:noProof/>
                <w:sz w:val="24"/>
                <w:szCs w:val="24"/>
              </w:rPr>
              <w:t>1103</w:t>
            </w:r>
          </w:p>
        </w:tc>
        <w:tc>
          <w:tcPr>
            <w:tcW w:w="1386" w:type="dxa"/>
            <w:tcBorders>
              <w:top w:val="single" w:sz="6" w:space="0" w:color="auto"/>
              <w:left w:val="single" w:sz="4" w:space="0" w:color="auto"/>
              <w:bottom w:val="nil"/>
              <w:right w:val="nil"/>
            </w:tcBorders>
            <w:hideMark/>
          </w:tcPr>
          <w:p w:rsidR="00072840" w:rsidRPr="00F61E4C" w:rsidRDefault="00072840" w:rsidP="0088538B">
            <w:pPr>
              <w:ind w:left="34"/>
              <w:rPr>
                <w:b/>
                <w:bCs/>
                <w:noProof/>
                <w:sz w:val="24"/>
                <w:szCs w:val="24"/>
              </w:rPr>
            </w:pPr>
            <w:r w:rsidRPr="00F61E4C">
              <w:rPr>
                <w:b/>
                <w:bCs/>
                <w:noProof/>
                <w:sz w:val="24"/>
                <w:szCs w:val="24"/>
              </w:rPr>
              <w:t>125</w:t>
            </w:r>
          </w:p>
        </w:tc>
        <w:tc>
          <w:tcPr>
            <w:tcW w:w="1560" w:type="dxa"/>
            <w:tcBorders>
              <w:top w:val="single" w:sz="6" w:space="0" w:color="auto"/>
              <w:left w:val="nil"/>
              <w:bottom w:val="nil"/>
              <w:right w:val="nil"/>
            </w:tcBorders>
            <w:hideMark/>
          </w:tcPr>
          <w:p w:rsidR="00072840" w:rsidRPr="00F61E4C" w:rsidRDefault="00072840" w:rsidP="0088538B">
            <w:pPr>
              <w:ind w:left="34"/>
              <w:rPr>
                <w:b/>
                <w:bCs/>
                <w:noProof/>
                <w:sz w:val="24"/>
                <w:szCs w:val="24"/>
              </w:rPr>
            </w:pPr>
            <w:r w:rsidRPr="00F61E4C">
              <w:rPr>
                <w:b/>
                <w:bCs/>
                <w:noProof/>
                <w:sz w:val="24"/>
                <w:szCs w:val="24"/>
              </w:rPr>
              <w:t>0,23</w:t>
            </w:r>
            <w:r w:rsidRPr="00F61E4C">
              <w:rPr>
                <w:noProof/>
                <w:sz w:val="24"/>
                <w:szCs w:val="24"/>
                <w:vertAlign w:val="superscript"/>
              </w:rPr>
              <w:t>b</w:t>
            </w:r>
          </w:p>
        </w:tc>
      </w:tr>
      <w:tr w:rsidR="00072840" w:rsidRPr="00F61E4C" w:rsidTr="00CA3A08">
        <w:trPr>
          <w:cantSplit/>
        </w:trPr>
        <w:tc>
          <w:tcPr>
            <w:tcW w:w="1560" w:type="dxa"/>
            <w:vMerge/>
            <w:tcBorders>
              <w:top w:val="single" w:sz="6" w:space="0" w:color="auto"/>
              <w:left w:val="nil"/>
              <w:bottom w:val="single" w:sz="4" w:space="0" w:color="auto"/>
              <w:right w:val="single" w:sz="4" w:space="0" w:color="auto"/>
            </w:tcBorders>
            <w:vAlign w:val="center"/>
            <w:hideMark/>
          </w:tcPr>
          <w:p w:rsidR="00072840" w:rsidRPr="00F61E4C" w:rsidRDefault="00072840" w:rsidP="0088538B">
            <w:pPr>
              <w:rPr>
                <w:b/>
                <w:bCs/>
                <w:noProof/>
                <w:sz w:val="24"/>
                <w:szCs w:val="24"/>
              </w:rPr>
            </w:pPr>
          </w:p>
        </w:tc>
        <w:tc>
          <w:tcPr>
            <w:tcW w:w="4252" w:type="dxa"/>
            <w:tcBorders>
              <w:top w:val="nil"/>
              <w:left w:val="single" w:sz="4" w:space="0" w:color="auto"/>
              <w:bottom w:val="nil"/>
              <w:right w:val="single" w:sz="4" w:space="0" w:color="auto"/>
            </w:tcBorders>
            <w:hideMark/>
          </w:tcPr>
          <w:p w:rsidR="00072840" w:rsidRPr="00F61E4C" w:rsidRDefault="00072840" w:rsidP="0088538B">
            <w:pPr>
              <w:ind w:left="30"/>
              <w:rPr>
                <w:noProof/>
                <w:sz w:val="24"/>
                <w:szCs w:val="24"/>
              </w:rPr>
            </w:pPr>
            <w:r w:rsidRPr="00F61E4C">
              <w:rPr>
                <w:noProof/>
                <w:sz w:val="24"/>
                <w:szCs w:val="24"/>
              </w:rPr>
              <w:t>Budesonid/formoterol 320/9 µg bd + terbutalin 0,4 mg efter behov</w:t>
            </w:r>
          </w:p>
        </w:tc>
        <w:tc>
          <w:tcPr>
            <w:tcW w:w="882" w:type="dxa"/>
            <w:tcBorders>
              <w:top w:val="nil"/>
              <w:left w:val="single" w:sz="4" w:space="0" w:color="auto"/>
              <w:bottom w:val="nil"/>
              <w:right w:val="single" w:sz="4" w:space="0" w:color="auto"/>
            </w:tcBorders>
            <w:hideMark/>
          </w:tcPr>
          <w:p w:rsidR="00072840" w:rsidRPr="00F61E4C" w:rsidRDefault="00072840" w:rsidP="0088538B">
            <w:pPr>
              <w:rPr>
                <w:noProof/>
                <w:sz w:val="24"/>
                <w:szCs w:val="24"/>
              </w:rPr>
            </w:pPr>
            <w:r w:rsidRPr="00F61E4C">
              <w:rPr>
                <w:noProof/>
                <w:sz w:val="24"/>
                <w:szCs w:val="24"/>
              </w:rPr>
              <w:t>1099</w:t>
            </w:r>
          </w:p>
        </w:tc>
        <w:tc>
          <w:tcPr>
            <w:tcW w:w="1386" w:type="dxa"/>
            <w:tcBorders>
              <w:top w:val="nil"/>
              <w:left w:val="single" w:sz="4" w:space="0" w:color="auto"/>
              <w:bottom w:val="nil"/>
              <w:right w:val="nil"/>
            </w:tcBorders>
            <w:hideMark/>
          </w:tcPr>
          <w:p w:rsidR="00072840" w:rsidRPr="00F61E4C" w:rsidRDefault="00072840" w:rsidP="0088538B">
            <w:pPr>
              <w:ind w:left="34"/>
              <w:rPr>
                <w:noProof/>
                <w:sz w:val="24"/>
                <w:szCs w:val="24"/>
              </w:rPr>
            </w:pPr>
            <w:r w:rsidRPr="00F61E4C">
              <w:rPr>
                <w:noProof/>
                <w:sz w:val="24"/>
                <w:szCs w:val="24"/>
              </w:rPr>
              <w:t>173</w:t>
            </w:r>
          </w:p>
        </w:tc>
        <w:tc>
          <w:tcPr>
            <w:tcW w:w="1560" w:type="dxa"/>
            <w:hideMark/>
          </w:tcPr>
          <w:p w:rsidR="00072840" w:rsidRPr="00F61E4C" w:rsidRDefault="00072840" w:rsidP="0088538B">
            <w:pPr>
              <w:ind w:left="34"/>
              <w:rPr>
                <w:noProof/>
                <w:sz w:val="24"/>
                <w:szCs w:val="24"/>
              </w:rPr>
            </w:pPr>
            <w:r w:rsidRPr="00F61E4C">
              <w:rPr>
                <w:noProof/>
                <w:sz w:val="24"/>
                <w:szCs w:val="24"/>
              </w:rPr>
              <w:t>0,32</w:t>
            </w:r>
            <w:r w:rsidRPr="00F61E4C">
              <w:rPr>
                <w:noProof/>
                <w:sz w:val="24"/>
                <w:szCs w:val="24"/>
                <w:vertAlign w:val="superscript"/>
              </w:rPr>
              <w:t xml:space="preserve"> </w:t>
            </w:r>
          </w:p>
        </w:tc>
      </w:tr>
      <w:tr w:rsidR="00072840" w:rsidRPr="00F61E4C" w:rsidTr="00CA3A08">
        <w:trPr>
          <w:cantSplit/>
        </w:trPr>
        <w:tc>
          <w:tcPr>
            <w:tcW w:w="1560" w:type="dxa"/>
            <w:vMerge/>
            <w:tcBorders>
              <w:top w:val="single" w:sz="6" w:space="0" w:color="auto"/>
              <w:left w:val="nil"/>
              <w:bottom w:val="single" w:sz="4" w:space="0" w:color="auto"/>
              <w:right w:val="single" w:sz="4" w:space="0" w:color="auto"/>
            </w:tcBorders>
            <w:vAlign w:val="center"/>
            <w:hideMark/>
          </w:tcPr>
          <w:p w:rsidR="00072840" w:rsidRPr="00F61E4C" w:rsidRDefault="00072840" w:rsidP="0088538B">
            <w:pPr>
              <w:rPr>
                <w:b/>
                <w:bCs/>
                <w:noProof/>
                <w:sz w:val="24"/>
                <w:szCs w:val="24"/>
              </w:rPr>
            </w:pPr>
          </w:p>
        </w:tc>
        <w:tc>
          <w:tcPr>
            <w:tcW w:w="4252" w:type="dxa"/>
            <w:tcBorders>
              <w:top w:val="nil"/>
              <w:left w:val="single" w:sz="4" w:space="0" w:color="auto"/>
              <w:bottom w:val="nil"/>
              <w:right w:val="single" w:sz="4" w:space="0" w:color="auto"/>
            </w:tcBorders>
            <w:hideMark/>
          </w:tcPr>
          <w:p w:rsidR="00072840" w:rsidRPr="00F61E4C" w:rsidRDefault="00072840" w:rsidP="0088538B">
            <w:pPr>
              <w:ind w:left="30"/>
              <w:rPr>
                <w:noProof/>
                <w:sz w:val="24"/>
                <w:szCs w:val="24"/>
              </w:rPr>
            </w:pPr>
            <w:r w:rsidRPr="00F61E4C">
              <w:rPr>
                <w:noProof/>
                <w:sz w:val="24"/>
                <w:szCs w:val="24"/>
              </w:rPr>
              <w:t>Salmeterol/fluticason 2 x 25/125 µg bd + terbutalin 0,4 mg efter behov</w:t>
            </w:r>
          </w:p>
        </w:tc>
        <w:tc>
          <w:tcPr>
            <w:tcW w:w="882" w:type="dxa"/>
            <w:tcBorders>
              <w:top w:val="nil"/>
              <w:left w:val="single" w:sz="4" w:space="0" w:color="auto"/>
              <w:bottom w:val="nil"/>
              <w:right w:val="single" w:sz="4" w:space="0" w:color="auto"/>
            </w:tcBorders>
            <w:hideMark/>
          </w:tcPr>
          <w:p w:rsidR="00072840" w:rsidRPr="00F61E4C" w:rsidRDefault="00072840" w:rsidP="0088538B">
            <w:pPr>
              <w:rPr>
                <w:noProof/>
                <w:sz w:val="24"/>
                <w:szCs w:val="24"/>
              </w:rPr>
            </w:pPr>
            <w:r w:rsidRPr="00F61E4C">
              <w:rPr>
                <w:noProof/>
                <w:sz w:val="24"/>
                <w:szCs w:val="24"/>
              </w:rPr>
              <w:t>1119</w:t>
            </w:r>
          </w:p>
        </w:tc>
        <w:tc>
          <w:tcPr>
            <w:tcW w:w="1386" w:type="dxa"/>
            <w:tcBorders>
              <w:top w:val="nil"/>
              <w:left w:val="single" w:sz="4" w:space="0" w:color="auto"/>
              <w:bottom w:val="nil"/>
              <w:right w:val="nil"/>
            </w:tcBorders>
            <w:hideMark/>
          </w:tcPr>
          <w:p w:rsidR="00072840" w:rsidRPr="00F61E4C" w:rsidRDefault="00072840" w:rsidP="0088538B">
            <w:pPr>
              <w:ind w:left="34"/>
              <w:rPr>
                <w:noProof/>
                <w:sz w:val="24"/>
                <w:szCs w:val="24"/>
              </w:rPr>
            </w:pPr>
            <w:r w:rsidRPr="00F61E4C">
              <w:rPr>
                <w:noProof/>
                <w:sz w:val="24"/>
                <w:szCs w:val="24"/>
              </w:rPr>
              <w:t>208</w:t>
            </w:r>
          </w:p>
        </w:tc>
        <w:tc>
          <w:tcPr>
            <w:tcW w:w="1560" w:type="dxa"/>
            <w:hideMark/>
          </w:tcPr>
          <w:p w:rsidR="00072840" w:rsidRPr="00F61E4C" w:rsidRDefault="00072840" w:rsidP="0088538B">
            <w:pPr>
              <w:ind w:left="34"/>
              <w:rPr>
                <w:noProof/>
                <w:sz w:val="24"/>
                <w:szCs w:val="24"/>
              </w:rPr>
            </w:pPr>
            <w:r w:rsidRPr="00F61E4C">
              <w:rPr>
                <w:noProof/>
                <w:sz w:val="24"/>
                <w:szCs w:val="24"/>
              </w:rPr>
              <w:t>0,38</w:t>
            </w:r>
            <w:r w:rsidRPr="00F61E4C">
              <w:rPr>
                <w:noProof/>
                <w:sz w:val="24"/>
                <w:szCs w:val="24"/>
                <w:vertAlign w:val="superscript"/>
              </w:rPr>
              <w:t xml:space="preserve"> </w:t>
            </w:r>
          </w:p>
        </w:tc>
      </w:tr>
      <w:tr w:rsidR="00072840" w:rsidRPr="00F61E4C" w:rsidTr="00CA3A08">
        <w:trPr>
          <w:cantSplit/>
        </w:trPr>
        <w:tc>
          <w:tcPr>
            <w:tcW w:w="1560" w:type="dxa"/>
            <w:vMerge w:val="restart"/>
            <w:tcBorders>
              <w:top w:val="single" w:sz="6" w:space="0" w:color="auto"/>
              <w:left w:val="nil"/>
              <w:bottom w:val="single" w:sz="4" w:space="0" w:color="auto"/>
              <w:right w:val="single" w:sz="4" w:space="0" w:color="auto"/>
            </w:tcBorders>
            <w:hideMark/>
          </w:tcPr>
          <w:p w:rsidR="00072840" w:rsidRPr="00F61E4C" w:rsidRDefault="00072840" w:rsidP="0088538B">
            <w:pPr>
              <w:rPr>
                <w:b/>
                <w:bCs/>
                <w:noProof/>
                <w:sz w:val="24"/>
                <w:szCs w:val="24"/>
              </w:rPr>
            </w:pPr>
            <w:r w:rsidRPr="00F61E4C">
              <w:rPr>
                <w:b/>
                <w:bCs/>
                <w:noProof/>
                <w:sz w:val="24"/>
                <w:szCs w:val="24"/>
              </w:rPr>
              <w:t xml:space="preserve">Studie 734 </w:t>
            </w:r>
            <w:r w:rsidRPr="00F61E4C">
              <w:rPr>
                <w:b/>
                <w:bCs/>
                <w:noProof/>
                <w:sz w:val="24"/>
                <w:szCs w:val="24"/>
              </w:rPr>
              <w:br/>
              <w:t xml:space="preserve">12 måneder </w:t>
            </w:r>
          </w:p>
        </w:tc>
        <w:tc>
          <w:tcPr>
            <w:tcW w:w="4252" w:type="dxa"/>
            <w:tcBorders>
              <w:top w:val="single" w:sz="6" w:space="0" w:color="auto"/>
              <w:left w:val="single" w:sz="4" w:space="0" w:color="auto"/>
              <w:bottom w:val="nil"/>
              <w:right w:val="single" w:sz="4" w:space="0" w:color="auto"/>
            </w:tcBorders>
            <w:hideMark/>
          </w:tcPr>
          <w:p w:rsidR="00072840" w:rsidRPr="00F61E4C" w:rsidRDefault="00072840" w:rsidP="0088538B">
            <w:pPr>
              <w:ind w:left="30"/>
              <w:rPr>
                <w:b/>
                <w:bCs/>
                <w:noProof/>
                <w:sz w:val="24"/>
                <w:szCs w:val="24"/>
              </w:rPr>
            </w:pPr>
            <w:r w:rsidRPr="00F61E4C">
              <w:rPr>
                <w:b/>
                <w:bCs/>
                <w:noProof/>
                <w:sz w:val="24"/>
                <w:szCs w:val="24"/>
              </w:rPr>
              <w:t>Budesonid/formoterol 160/4,5 µg bd + efter behov</w:t>
            </w:r>
          </w:p>
        </w:tc>
        <w:tc>
          <w:tcPr>
            <w:tcW w:w="882" w:type="dxa"/>
            <w:tcBorders>
              <w:top w:val="single" w:sz="6" w:space="0" w:color="auto"/>
              <w:left w:val="single" w:sz="4" w:space="0" w:color="auto"/>
              <w:bottom w:val="nil"/>
              <w:right w:val="single" w:sz="4" w:space="0" w:color="auto"/>
            </w:tcBorders>
            <w:hideMark/>
          </w:tcPr>
          <w:p w:rsidR="00072840" w:rsidRPr="00F61E4C" w:rsidRDefault="00072840" w:rsidP="0088538B">
            <w:pPr>
              <w:rPr>
                <w:b/>
                <w:bCs/>
                <w:noProof/>
                <w:sz w:val="24"/>
                <w:szCs w:val="24"/>
              </w:rPr>
            </w:pPr>
            <w:r w:rsidRPr="00F61E4C">
              <w:rPr>
                <w:b/>
                <w:bCs/>
                <w:noProof/>
                <w:sz w:val="24"/>
                <w:szCs w:val="24"/>
              </w:rPr>
              <w:t>1107</w:t>
            </w:r>
          </w:p>
        </w:tc>
        <w:tc>
          <w:tcPr>
            <w:tcW w:w="1386" w:type="dxa"/>
            <w:tcBorders>
              <w:top w:val="single" w:sz="6" w:space="0" w:color="auto"/>
              <w:left w:val="single" w:sz="4" w:space="0" w:color="auto"/>
              <w:bottom w:val="nil"/>
              <w:right w:val="nil"/>
            </w:tcBorders>
            <w:hideMark/>
          </w:tcPr>
          <w:p w:rsidR="00072840" w:rsidRPr="00F61E4C" w:rsidRDefault="00072840" w:rsidP="0088538B">
            <w:pPr>
              <w:ind w:left="34"/>
              <w:rPr>
                <w:b/>
                <w:bCs/>
                <w:noProof/>
                <w:sz w:val="24"/>
                <w:szCs w:val="24"/>
              </w:rPr>
            </w:pPr>
            <w:r w:rsidRPr="00F61E4C">
              <w:rPr>
                <w:b/>
                <w:bCs/>
                <w:noProof/>
                <w:sz w:val="24"/>
                <w:szCs w:val="24"/>
              </w:rPr>
              <w:t>194</w:t>
            </w:r>
          </w:p>
        </w:tc>
        <w:tc>
          <w:tcPr>
            <w:tcW w:w="1560" w:type="dxa"/>
            <w:tcBorders>
              <w:top w:val="single" w:sz="6" w:space="0" w:color="auto"/>
              <w:left w:val="nil"/>
              <w:bottom w:val="nil"/>
              <w:right w:val="nil"/>
            </w:tcBorders>
            <w:hideMark/>
          </w:tcPr>
          <w:p w:rsidR="00072840" w:rsidRPr="00F61E4C" w:rsidRDefault="00072840" w:rsidP="0088538B">
            <w:pPr>
              <w:ind w:left="34"/>
              <w:rPr>
                <w:b/>
                <w:bCs/>
                <w:noProof/>
                <w:sz w:val="24"/>
                <w:szCs w:val="24"/>
              </w:rPr>
            </w:pPr>
            <w:r w:rsidRPr="00F61E4C">
              <w:rPr>
                <w:b/>
                <w:bCs/>
                <w:noProof/>
                <w:sz w:val="24"/>
                <w:szCs w:val="24"/>
              </w:rPr>
              <w:t>0,19</w:t>
            </w:r>
            <w:r w:rsidRPr="00F61E4C">
              <w:rPr>
                <w:noProof/>
                <w:sz w:val="24"/>
                <w:szCs w:val="24"/>
                <w:vertAlign w:val="superscript"/>
              </w:rPr>
              <w:t>b</w:t>
            </w:r>
          </w:p>
        </w:tc>
      </w:tr>
      <w:tr w:rsidR="00072840" w:rsidRPr="00F61E4C" w:rsidTr="00CA3A08">
        <w:trPr>
          <w:cantSplit/>
        </w:trPr>
        <w:tc>
          <w:tcPr>
            <w:tcW w:w="1560" w:type="dxa"/>
            <w:vMerge/>
            <w:tcBorders>
              <w:top w:val="single" w:sz="6" w:space="0" w:color="auto"/>
              <w:left w:val="nil"/>
              <w:bottom w:val="single" w:sz="4" w:space="0" w:color="auto"/>
              <w:right w:val="single" w:sz="4" w:space="0" w:color="auto"/>
            </w:tcBorders>
            <w:vAlign w:val="center"/>
            <w:hideMark/>
          </w:tcPr>
          <w:p w:rsidR="00072840" w:rsidRPr="00F61E4C" w:rsidRDefault="00072840" w:rsidP="0088538B">
            <w:pPr>
              <w:rPr>
                <w:b/>
                <w:bCs/>
                <w:noProof/>
                <w:sz w:val="24"/>
                <w:szCs w:val="24"/>
              </w:rPr>
            </w:pPr>
          </w:p>
        </w:tc>
        <w:tc>
          <w:tcPr>
            <w:tcW w:w="4252" w:type="dxa"/>
            <w:tcBorders>
              <w:top w:val="nil"/>
              <w:left w:val="single" w:sz="4" w:space="0" w:color="auto"/>
              <w:bottom w:val="nil"/>
              <w:right w:val="single" w:sz="4" w:space="0" w:color="auto"/>
            </w:tcBorders>
            <w:hideMark/>
          </w:tcPr>
          <w:p w:rsidR="00072840" w:rsidRPr="00F61E4C" w:rsidRDefault="00072840" w:rsidP="0088538B">
            <w:pPr>
              <w:ind w:left="30"/>
              <w:rPr>
                <w:noProof/>
                <w:sz w:val="24"/>
                <w:szCs w:val="24"/>
              </w:rPr>
            </w:pPr>
            <w:r w:rsidRPr="00F61E4C">
              <w:rPr>
                <w:bCs/>
                <w:noProof/>
                <w:sz w:val="24"/>
                <w:szCs w:val="24"/>
              </w:rPr>
              <w:t>Budesonid/formoterol</w:t>
            </w:r>
            <w:r w:rsidRPr="00F61E4C">
              <w:rPr>
                <w:noProof/>
                <w:sz w:val="24"/>
                <w:szCs w:val="24"/>
              </w:rPr>
              <w:t xml:space="preserve"> 160/4,5 µg bd + formoterol 4,5 µg efter behov </w:t>
            </w:r>
          </w:p>
        </w:tc>
        <w:tc>
          <w:tcPr>
            <w:tcW w:w="882" w:type="dxa"/>
            <w:tcBorders>
              <w:top w:val="nil"/>
              <w:left w:val="single" w:sz="4" w:space="0" w:color="auto"/>
              <w:bottom w:val="nil"/>
              <w:right w:val="single" w:sz="4" w:space="0" w:color="auto"/>
            </w:tcBorders>
            <w:hideMark/>
          </w:tcPr>
          <w:p w:rsidR="00072840" w:rsidRPr="00F61E4C" w:rsidRDefault="00072840" w:rsidP="0088538B">
            <w:pPr>
              <w:rPr>
                <w:noProof/>
                <w:sz w:val="24"/>
                <w:szCs w:val="24"/>
              </w:rPr>
            </w:pPr>
            <w:r w:rsidRPr="00F61E4C">
              <w:rPr>
                <w:noProof/>
                <w:sz w:val="24"/>
                <w:szCs w:val="24"/>
              </w:rPr>
              <w:t>1137</w:t>
            </w:r>
          </w:p>
        </w:tc>
        <w:tc>
          <w:tcPr>
            <w:tcW w:w="1386" w:type="dxa"/>
            <w:tcBorders>
              <w:top w:val="nil"/>
              <w:left w:val="single" w:sz="4" w:space="0" w:color="auto"/>
              <w:bottom w:val="nil"/>
              <w:right w:val="nil"/>
            </w:tcBorders>
            <w:hideMark/>
          </w:tcPr>
          <w:p w:rsidR="00072840" w:rsidRPr="00F61E4C" w:rsidRDefault="00072840" w:rsidP="0088538B">
            <w:pPr>
              <w:ind w:left="34"/>
              <w:rPr>
                <w:noProof/>
                <w:sz w:val="24"/>
                <w:szCs w:val="24"/>
              </w:rPr>
            </w:pPr>
            <w:r w:rsidRPr="00F61E4C">
              <w:rPr>
                <w:noProof/>
                <w:sz w:val="24"/>
                <w:szCs w:val="24"/>
              </w:rPr>
              <w:t>296</w:t>
            </w:r>
          </w:p>
        </w:tc>
        <w:tc>
          <w:tcPr>
            <w:tcW w:w="1560" w:type="dxa"/>
            <w:hideMark/>
          </w:tcPr>
          <w:p w:rsidR="00072840" w:rsidRPr="00F61E4C" w:rsidRDefault="00072840" w:rsidP="0088538B">
            <w:pPr>
              <w:ind w:left="34"/>
              <w:rPr>
                <w:noProof/>
                <w:sz w:val="24"/>
                <w:szCs w:val="24"/>
              </w:rPr>
            </w:pPr>
            <w:r w:rsidRPr="00F61E4C">
              <w:rPr>
                <w:noProof/>
                <w:sz w:val="24"/>
                <w:szCs w:val="24"/>
              </w:rPr>
              <w:t>0,29</w:t>
            </w:r>
            <w:r w:rsidRPr="00F61E4C">
              <w:rPr>
                <w:noProof/>
                <w:sz w:val="24"/>
                <w:szCs w:val="24"/>
                <w:vertAlign w:val="superscript"/>
              </w:rPr>
              <w:t xml:space="preserve"> </w:t>
            </w:r>
          </w:p>
        </w:tc>
      </w:tr>
      <w:tr w:rsidR="00072840" w:rsidRPr="00F61E4C" w:rsidTr="00CA3A08">
        <w:trPr>
          <w:cantSplit/>
        </w:trPr>
        <w:tc>
          <w:tcPr>
            <w:tcW w:w="1560" w:type="dxa"/>
            <w:vMerge/>
            <w:tcBorders>
              <w:top w:val="single" w:sz="6" w:space="0" w:color="auto"/>
              <w:left w:val="nil"/>
              <w:bottom w:val="single" w:sz="4" w:space="0" w:color="auto"/>
              <w:right w:val="single" w:sz="4" w:space="0" w:color="auto"/>
            </w:tcBorders>
            <w:vAlign w:val="center"/>
            <w:hideMark/>
          </w:tcPr>
          <w:p w:rsidR="00072840" w:rsidRPr="00F61E4C" w:rsidRDefault="00072840" w:rsidP="0088538B">
            <w:pPr>
              <w:rPr>
                <w:b/>
                <w:bCs/>
                <w:noProof/>
                <w:sz w:val="24"/>
                <w:szCs w:val="24"/>
              </w:rPr>
            </w:pPr>
          </w:p>
        </w:tc>
        <w:tc>
          <w:tcPr>
            <w:tcW w:w="4252" w:type="dxa"/>
            <w:tcBorders>
              <w:top w:val="nil"/>
              <w:left w:val="single" w:sz="4" w:space="0" w:color="auto"/>
              <w:bottom w:val="single" w:sz="4" w:space="0" w:color="auto"/>
              <w:right w:val="single" w:sz="4" w:space="0" w:color="auto"/>
            </w:tcBorders>
            <w:hideMark/>
          </w:tcPr>
          <w:p w:rsidR="00072840" w:rsidRPr="00F61E4C" w:rsidRDefault="00072840" w:rsidP="0088538B">
            <w:pPr>
              <w:ind w:left="30"/>
              <w:rPr>
                <w:noProof/>
                <w:sz w:val="24"/>
                <w:szCs w:val="24"/>
              </w:rPr>
            </w:pPr>
            <w:r w:rsidRPr="00F61E4C">
              <w:rPr>
                <w:bCs/>
                <w:noProof/>
                <w:sz w:val="24"/>
                <w:szCs w:val="24"/>
              </w:rPr>
              <w:t>Budesonide/formoterol</w:t>
            </w:r>
            <w:r w:rsidRPr="00F61E4C">
              <w:rPr>
                <w:noProof/>
                <w:sz w:val="24"/>
                <w:szCs w:val="24"/>
              </w:rPr>
              <w:t xml:space="preserve"> 160/4,5 µg bd + terbutalin 0,4 mg efter behov</w:t>
            </w:r>
          </w:p>
        </w:tc>
        <w:tc>
          <w:tcPr>
            <w:tcW w:w="882" w:type="dxa"/>
            <w:tcBorders>
              <w:top w:val="nil"/>
              <w:left w:val="single" w:sz="4" w:space="0" w:color="auto"/>
              <w:bottom w:val="single" w:sz="4" w:space="0" w:color="auto"/>
              <w:right w:val="single" w:sz="4" w:space="0" w:color="auto"/>
            </w:tcBorders>
            <w:hideMark/>
          </w:tcPr>
          <w:p w:rsidR="00072840" w:rsidRPr="00F61E4C" w:rsidRDefault="00072840" w:rsidP="0088538B">
            <w:pPr>
              <w:rPr>
                <w:noProof/>
                <w:sz w:val="24"/>
                <w:szCs w:val="24"/>
              </w:rPr>
            </w:pPr>
            <w:r w:rsidRPr="00F61E4C">
              <w:rPr>
                <w:noProof/>
                <w:sz w:val="24"/>
                <w:szCs w:val="24"/>
              </w:rPr>
              <w:t>1138</w:t>
            </w:r>
          </w:p>
        </w:tc>
        <w:tc>
          <w:tcPr>
            <w:tcW w:w="1386" w:type="dxa"/>
            <w:tcBorders>
              <w:top w:val="nil"/>
              <w:left w:val="single" w:sz="4" w:space="0" w:color="auto"/>
              <w:bottom w:val="single" w:sz="4" w:space="0" w:color="auto"/>
              <w:right w:val="nil"/>
            </w:tcBorders>
            <w:hideMark/>
          </w:tcPr>
          <w:p w:rsidR="00072840" w:rsidRPr="00F61E4C" w:rsidRDefault="00072840" w:rsidP="0088538B">
            <w:pPr>
              <w:ind w:left="34"/>
              <w:rPr>
                <w:noProof/>
                <w:sz w:val="24"/>
                <w:szCs w:val="24"/>
              </w:rPr>
            </w:pPr>
            <w:r w:rsidRPr="00F61E4C">
              <w:rPr>
                <w:noProof/>
                <w:sz w:val="24"/>
                <w:szCs w:val="24"/>
              </w:rPr>
              <w:t>377</w:t>
            </w:r>
          </w:p>
        </w:tc>
        <w:tc>
          <w:tcPr>
            <w:tcW w:w="1560" w:type="dxa"/>
            <w:tcBorders>
              <w:top w:val="nil"/>
              <w:left w:val="nil"/>
              <w:bottom w:val="single" w:sz="4" w:space="0" w:color="auto"/>
              <w:right w:val="nil"/>
            </w:tcBorders>
            <w:hideMark/>
          </w:tcPr>
          <w:p w:rsidR="00072840" w:rsidRPr="00F61E4C" w:rsidRDefault="00072840" w:rsidP="0088538B">
            <w:pPr>
              <w:ind w:left="34"/>
              <w:rPr>
                <w:noProof/>
                <w:sz w:val="24"/>
                <w:szCs w:val="24"/>
              </w:rPr>
            </w:pPr>
            <w:r w:rsidRPr="00F61E4C">
              <w:rPr>
                <w:noProof/>
                <w:sz w:val="24"/>
                <w:szCs w:val="24"/>
              </w:rPr>
              <w:t>0,37</w:t>
            </w:r>
          </w:p>
        </w:tc>
      </w:tr>
    </w:tbl>
    <w:p w:rsidR="00072840" w:rsidRPr="00F61E4C" w:rsidRDefault="00072840" w:rsidP="00CA3A08">
      <w:pPr>
        <w:ind w:left="1134" w:hanging="283"/>
        <w:rPr>
          <w:noProof/>
          <w:sz w:val="24"/>
          <w:szCs w:val="24"/>
        </w:rPr>
      </w:pPr>
      <w:r w:rsidRPr="00F61E4C">
        <w:rPr>
          <w:noProof/>
          <w:sz w:val="24"/>
          <w:szCs w:val="24"/>
          <w:vertAlign w:val="superscript"/>
        </w:rPr>
        <w:t>a</w:t>
      </w:r>
      <w:r w:rsidRPr="00F61E4C">
        <w:rPr>
          <w:noProof/>
          <w:sz w:val="24"/>
          <w:szCs w:val="24"/>
        </w:rPr>
        <w:tab/>
        <w:t>Indlæggelse/behandling på skadestue eller behandling med orale steroider</w:t>
      </w:r>
    </w:p>
    <w:p w:rsidR="00072840" w:rsidRPr="00F61E4C" w:rsidRDefault="00072840" w:rsidP="00CA3A08">
      <w:pPr>
        <w:ind w:left="1134" w:hanging="283"/>
        <w:rPr>
          <w:noProof/>
          <w:sz w:val="24"/>
          <w:szCs w:val="24"/>
        </w:rPr>
      </w:pPr>
      <w:r w:rsidRPr="00F61E4C">
        <w:rPr>
          <w:noProof/>
          <w:sz w:val="24"/>
          <w:szCs w:val="24"/>
          <w:vertAlign w:val="superscript"/>
        </w:rPr>
        <w:t>b</w:t>
      </w:r>
      <w:r w:rsidRPr="00F61E4C">
        <w:rPr>
          <w:noProof/>
          <w:sz w:val="24"/>
          <w:szCs w:val="24"/>
        </w:rPr>
        <w:tab/>
        <w:t>Reduktion af eksacerbationsrate er statistisk signifikant (P</w:t>
      </w:r>
      <w:r w:rsidRPr="00F61E4C">
        <w:rPr>
          <w:noProof/>
          <w:sz w:val="24"/>
          <w:szCs w:val="24"/>
        </w:rPr>
        <w:noBreakHyphen/>
        <w:t>værdi &lt;0,01) for begge sammenligninger</w:t>
      </w:r>
    </w:p>
    <w:p w:rsidR="00072840" w:rsidRPr="00F61E4C" w:rsidRDefault="00072840" w:rsidP="00072840">
      <w:pPr>
        <w:ind w:left="851"/>
        <w:rPr>
          <w:noProof/>
          <w:sz w:val="24"/>
          <w:szCs w:val="24"/>
        </w:rPr>
      </w:pPr>
    </w:p>
    <w:p w:rsidR="00072840" w:rsidRPr="00F61E4C" w:rsidRDefault="00072840" w:rsidP="00072840">
      <w:pPr>
        <w:ind w:left="851"/>
        <w:rPr>
          <w:noProof/>
          <w:sz w:val="24"/>
          <w:szCs w:val="24"/>
        </w:rPr>
      </w:pPr>
      <w:r w:rsidRPr="00F61E4C">
        <w:rPr>
          <w:noProof/>
          <w:sz w:val="24"/>
          <w:szCs w:val="24"/>
        </w:rPr>
        <w:t xml:space="preserve">Der blev påvist sammenlignelig virkning og sikkerhed hos unge og voksne i 6 dobbeltblindede studier, som omfattede de 5 ovennævnte studier og et yderligere studie med anvendelse af en højere vedligeholdelsesdosis på 160/4,5 mikrogram, med to inhalationer to gange </w:t>
      </w:r>
      <w:r w:rsidR="00CA3A08" w:rsidRPr="00F61E4C">
        <w:rPr>
          <w:noProof/>
          <w:sz w:val="24"/>
          <w:szCs w:val="24"/>
        </w:rPr>
        <w:t>daglig</w:t>
      </w:r>
      <w:r w:rsidRPr="00F61E4C">
        <w:rPr>
          <w:noProof/>
          <w:sz w:val="24"/>
          <w:szCs w:val="24"/>
        </w:rPr>
        <w:t>. Disse vurderinger var baseret på i alt 14.385 astmapatienter, hvoraf 1.847 var unge. Antallet af unge patienter, der tog mere end 8 inhalationer på mindst en dag som en del af vedligeholdelsesdosis og behovsbehandling med budesonid/formoterol, var begrænset, og sådan anvendelse forekom sjældent.</w:t>
      </w:r>
    </w:p>
    <w:p w:rsidR="00072840" w:rsidRPr="00F61E4C" w:rsidRDefault="00072840" w:rsidP="00072840">
      <w:pPr>
        <w:ind w:left="851"/>
        <w:rPr>
          <w:noProof/>
          <w:sz w:val="24"/>
          <w:szCs w:val="24"/>
        </w:rPr>
      </w:pPr>
    </w:p>
    <w:p w:rsidR="00072840" w:rsidRPr="00F61E4C" w:rsidRDefault="00072840" w:rsidP="00072840">
      <w:pPr>
        <w:ind w:left="851"/>
        <w:rPr>
          <w:noProof/>
          <w:sz w:val="24"/>
          <w:szCs w:val="24"/>
        </w:rPr>
      </w:pPr>
      <w:r w:rsidRPr="00F61E4C">
        <w:rPr>
          <w:noProof/>
          <w:sz w:val="24"/>
          <w:szCs w:val="24"/>
        </w:rPr>
        <w:t>I 2 andre studier med patienter, der søgte lægehjælp på grund af akutte astmasymptomer, gav budesonid/formoterol (Turbuhaler) hurtig og effektiv lindring af bronkokonstriktion svarende til salbutamol og formoterol.</w:t>
      </w:r>
    </w:p>
    <w:p w:rsidR="00072840" w:rsidRPr="00F61E4C" w:rsidRDefault="00072840" w:rsidP="00072840">
      <w:pPr>
        <w:ind w:left="851"/>
        <w:rPr>
          <w:noProof/>
          <w:sz w:val="24"/>
          <w:szCs w:val="24"/>
        </w:rPr>
      </w:pPr>
    </w:p>
    <w:p w:rsidR="00072840" w:rsidRPr="00F61E4C" w:rsidRDefault="00072840" w:rsidP="00072840">
      <w:pPr>
        <w:ind w:left="851"/>
        <w:rPr>
          <w:noProof/>
          <w:sz w:val="24"/>
          <w:szCs w:val="24"/>
        </w:rPr>
      </w:pPr>
      <w:r w:rsidRPr="00F61E4C">
        <w:rPr>
          <w:noProof/>
          <w:sz w:val="24"/>
          <w:szCs w:val="24"/>
        </w:rPr>
        <w:t>Se pkt. 4.2 for information om pædiatrisk brug.</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5.2</w:t>
      </w:r>
      <w:r w:rsidRPr="00F61E4C">
        <w:rPr>
          <w:b/>
          <w:sz w:val="24"/>
          <w:szCs w:val="24"/>
        </w:rPr>
        <w:tab/>
      </w:r>
      <w:proofErr w:type="spellStart"/>
      <w:r w:rsidRPr="00F61E4C">
        <w:rPr>
          <w:b/>
          <w:sz w:val="24"/>
          <w:szCs w:val="24"/>
        </w:rPr>
        <w:t>Farmakokinetiske</w:t>
      </w:r>
      <w:proofErr w:type="spellEnd"/>
      <w:r w:rsidRPr="00F61E4C">
        <w:rPr>
          <w:b/>
          <w:sz w:val="24"/>
          <w:szCs w:val="24"/>
        </w:rPr>
        <w:t xml:space="preserve"> egenskaber</w:t>
      </w:r>
    </w:p>
    <w:p w:rsidR="009260DE" w:rsidRPr="00F61E4C" w:rsidRDefault="009260DE" w:rsidP="009260DE">
      <w:pPr>
        <w:tabs>
          <w:tab w:val="left" w:pos="851"/>
        </w:tabs>
        <w:ind w:left="851"/>
        <w:rPr>
          <w:sz w:val="24"/>
          <w:szCs w:val="24"/>
        </w:rPr>
      </w:pPr>
    </w:p>
    <w:p w:rsidR="00CA3A08" w:rsidRPr="00F61E4C" w:rsidRDefault="00CA3A08" w:rsidP="00CA3A08">
      <w:pPr>
        <w:tabs>
          <w:tab w:val="left" w:pos="851"/>
        </w:tabs>
        <w:ind w:left="851"/>
        <w:rPr>
          <w:sz w:val="24"/>
          <w:szCs w:val="24"/>
          <w:u w:val="single"/>
        </w:rPr>
      </w:pPr>
      <w:r w:rsidRPr="00F61E4C">
        <w:rPr>
          <w:sz w:val="24"/>
          <w:szCs w:val="24"/>
          <w:u w:val="single"/>
        </w:rPr>
        <w:t>Absorption</w:t>
      </w:r>
    </w:p>
    <w:p w:rsidR="00CA3A08" w:rsidRPr="00F61E4C" w:rsidRDefault="00CA3A08" w:rsidP="00CA3A08">
      <w:pPr>
        <w:tabs>
          <w:tab w:val="left" w:pos="851"/>
        </w:tabs>
        <w:ind w:left="851"/>
        <w:rPr>
          <w:sz w:val="24"/>
          <w:szCs w:val="24"/>
        </w:rPr>
      </w:pPr>
      <w:r w:rsidRPr="00F61E4C">
        <w:rPr>
          <w:sz w:val="24"/>
          <w:szCs w:val="24"/>
        </w:rPr>
        <w:t xml:space="preserve">I et enkeltdosisstudie blev der administreret 8 inhalationer af </w:t>
      </w:r>
      <w:proofErr w:type="spellStart"/>
      <w:r w:rsidRPr="00F61E4C">
        <w:rPr>
          <w:sz w:val="24"/>
          <w:szCs w:val="24"/>
        </w:rPr>
        <w:t>Symbicort</w:t>
      </w:r>
      <w:proofErr w:type="spellEnd"/>
      <w:r w:rsidRPr="00F61E4C">
        <w:rPr>
          <w:sz w:val="24"/>
          <w:szCs w:val="24"/>
        </w:rPr>
        <w:t xml:space="preserve"> (inhalationsspray, suspension) 160 mikrogram/4,5 mikrogram (samlet dosis 1.280/36 mikrogram) til raske forsøgspersoner. </w:t>
      </w:r>
      <w:proofErr w:type="spellStart"/>
      <w:r w:rsidRPr="00F61E4C">
        <w:rPr>
          <w:sz w:val="24"/>
          <w:szCs w:val="24"/>
        </w:rPr>
        <w:t>Budesonid</w:t>
      </w:r>
      <w:proofErr w:type="spellEnd"/>
      <w:r w:rsidRPr="00F61E4C">
        <w:rPr>
          <w:sz w:val="24"/>
          <w:szCs w:val="24"/>
        </w:rPr>
        <w:t xml:space="preserve"> og </w:t>
      </w:r>
      <w:proofErr w:type="spellStart"/>
      <w:r w:rsidRPr="00F61E4C">
        <w:rPr>
          <w:sz w:val="24"/>
          <w:szCs w:val="24"/>
        </w:rPr>
        <w:t>formoterol</w:t>
      </w:r>
      <w:proofErr w:type="spellEnd"/>
      <w:r w:rsidRPr="00F61E4C">
        <w:rPr>
          <w:sz w:val="24"/>
          <w:szCs w:val="24"/>
        </w:rPr>
        <w:t xml:space="preserve"> blev hurtigt absorberet med maksimale plasmakoncentrationer opnået henholdsvis 15 og 6 minutter efter inhalation. </w:t>
      </w:r>
      <w:proofErr w:type="spellStart"/>
      <w:r w:rsidRPr="00F61E4C">
        <w:rPr>
          <w:sz w:val="24"/>
          <w:szCs w:val="24"/>
        </w:rPr>
        <w:t>Symbicort</w:t>
      </w:r>
      <w:proofErr w:type="spellEnd"/>
      <w:r w:rsidRPr="00F61E4C">
        <w:rPr>
          <w:sz w:val="24"/>
          <w:szCs w:val="24"/>
        </w:rPr>
        <w:t xml:space="preserve"> (inhalationsspray, suspension) afgav en sammenlignelig mængde aktivt stof til det systemiske kredsløb som </w:t>
      </w:r>
      <w:proofErr w:type="spellStart"/>
      <w:r w:rsidRPr="00F61E4C">
        <w:rPr>
          <w:sz w:val="24"/>
          <w:szCs w:val="24"/>
        </w:rPr>
        <w:t>Symbicort</w:t>
      </w:r>
      <w:proofErr w:type="spellEnd"/>
      <w:r w:rsidRPr="00F61E4C">
        <w:rPr>
          <w:sz w:val="24"/>
          <w:szCs w:val="24"/>
        </w:rPr>
        <w:t xml:space="preserve"> </w:t>
      </w:r>
      <w:proofErr w:type="spellStart"/>
      <w:r w:rsidRPr="00F61E4C">
        <w:rPr>
          <w:sz w:val="24"/>
          <w:szCs w:val="24"/>
        </w:rPr>
        <w:t>Turbuhaler</w:t>
      </w:r>
      <w:proofErr w:type="spellEnd"/>
      <w:r w:rsidRPr="00F61E4C">
        <w:rPr>
          <w:sz w:val="24"/>
          <w:szCs w:val="24"/>
        </w:rPr>
        <w:t xml:space="preserve"> (total dosis 1.280/36 mikrogram). AUC for </w:t>
      </w:r>
      <w:proofErr w:type="spellStart"/>
      <w:r w:rsidRPr="00F61E4C">
        <w:rPr>
          <w:sz w:val="24"/>
          <w:szCs w:val="24"/>
        </w:rPr>
        <w:t>budesoniddelen</w:t>
      </w:r>
      <w:proofErr w:type="spellEnd"/>
      <w:r w:rsidRPr="00F61E4C">
        <w:rPr>
          <w:sz w:val="24"/>
          <w:szCs w:val="24"/>
        </w:rPr>
        <w:t xml:space="preserve"> i </w:t>
      </w:r>
      <w:proofErr w:type="spellStart"/>
      <w:r w:rsidRPr="00F61E4C">
        <w:rPr>
          <w:sz w:val="24"/>
          <w:szCs w:val="24"/>
        </w:rPr>
        <w:t>Symbicort</w:t>
      </w:r>
      <w:proofErr w:type="spellEnd"/>
      <w:r w:rsidRPr="00F61E4C">
        <w:rPr>
          <w:sz w:val="24"/>
          <w:szCs w:val="24"/>
        </w:rPr>
        <w:t xml:space="preserve"> (inhalationsspray, suspension) var 90 % af </w:t>
      </w:r>
      <w:proofErr w:type="spellStart"/>
      <w:r w:rsidRPr="00F61E4C">
        <w:rPr>
          <w:sz w:val="24"/>
          <w:szCs w:val="24"/>
        </w:rPr>
        <w:t>Turbuhaler-komparatoren</w:t>
      </w:r>
      <w:proofErr w:type="spellEnd"/>
      <w:r w:rsidRPr="00F61E4C">
        <w:rPr>
          <w:sz w:val="24"/>
          <w:szCs w:val="24"/>
        </w:rPr>
        <w:t xml:space="preserve">. AUC for </w:t>
      </w:r>
      <w:proofErr w:type="spellStart"/>
      <w:r w:rsidRPr="00F61E4C">
        <w:rPr>
          <w:sz w:val="24"/>
          <w:szCs w:val="24"/>
        </w:rPr>
        <w:t>formoteroldelen</w:t>
      </w:r>
      <w:proofErr w:type="spellEnd"/>
      <w:r w:rsidRPr="00F61E4C">
        <w:rPr>
          <w:sz w:val="24"/>
          <w:szCs w:val="24"/>
        </w:rPr>
        <w:t xml:space="preserve"> i </w:t>
      </w:r>
      <w:proofErr w:type="spellStart"/>
      <w:r w:rsidRPr="00F61E4C">
        <w:rPr>
          <w:sz w:val="24"/>
          <w:szCs w:val="24"/>
        </w:rPr>
        <w:t>Symbicort</w:t>
      </w:r>
      <w:proofErr w:type="spellEnd"/>
      <w:r w:rsidRPr="00F61E4C">
        <w:rPr>
          <w:sz w:val="24"/>
          <w:szCs w:val="24"/>
        </w:rPr>
        <w:t xml:space="preserve"> (inhalationsspray, suspension) var 116 % af </w:t>
      </w:r>
      <w:proofErr w:type="spellStart"/>
      <w:r w:rsidRPr="00F61E4C">
        <w:rPr>
          <w:sz w:val="24"/>
          <w:szCs w:val="24"/>
        </w:rPr>
        <w:t>Turbuhaler-komparatoren</w:t>
      </w:r>
      <w:proofErr w:type="spellEnd"/>
      <w:r w:rsidRPr="00F61E4C">
        <w:rPr>
          <w:sz w:val="24"/>
          <w:szCs w:val="24"/>
        </w:rPr>
        <w:t>.</w:t>
      </w:r>
    </w:p>
    <w:p w:rsidR="00CA3A08" w:rsidRPr="00F61E4C" w:rsidRDefault="00CA3A08" w:rsidP="00CA3A08">
      <w:pPr>
        <w:tabs>
          <w:tab w:val="left" w:pos="851"/>
        </w:tabs>
        <w:ind w:left="851"/>
        <w:rPr>
          <w:sz w:val="24"/>
          <w:szCs w:val="24"/>
        </w:rPr>
      </w:pPr>
    </w:p>
    <w:p w:rsidR="00CA3A08" w:rsidRPr="00F61E4C" w:rsidRDefault="00CA3A08" w:rsidP="00CA3A08">
      <w:pPr>
        <w:tabs>
          <w:tab w:val="left" w:pos="851"/>
        </w:tabs>
        <w:ind w:left="851"/>
        <w:rPr>
          <w:sz w:val="24"/>
          <w:szCs w:val="24"/>
        </w:rPr>
      </w:pPr>
      <w:r w:rsidRPr="00F61E4C">
        <w:rPr>
          <w:sz w:val="24"/>
          <w:szCs w:val="24"/>
        </w:rPr>
        <w:t xml:space="preserve">Den systemiske eksponering for </w:t>
      </w:r>
      <w:proofErr w:type="spellStart"/>
      <w:r w:rsidRPr="00F61E4C">
        <w:rPr>
          <w:sz w:val="24"/>
          <w:szCs w:val="24"/>
        </w:rPr>
        <w:t>budesonid</w:t>
      </w:r>
      <w:proofErr w:type="spellEnd"/>
      <w:r w:rsidRPr="00F61E4C">
        <w:rPr>
          <w:sz w:val="24"/>
          <w:szCs w:val="24"/>
        </w:rPr>
        <w:t xml:space="preserve"> og </w:t>
      </w:r>
      <w:proofErr w:type="spellStart"/>
      <w:r w:rsidRPr="00F61E4C">
        <w:rPr>
          <w:sz w:val="24"/>
          <w:szCs w:val="24"/>
        </w:rPr>
        <w:t>formoterol</w:t>
      </w:r>
      <w:proofErr w:type="spellEnd"/>
      <w:r w:rsidRPr="00F61E4C">
        <w:rPr>
          <w:sz w:val="24"/>
          <w:szCs w:val="24"/>
        </w:rPr>
        <w:t xml:space="preserve"> fra </w:t>
      </w:r>
      <w:proofErr w:type="spellStart"/>
      <w:r w:rsidRPr="00F61E4C">
        <w:rPr>
          <w:sz w:val="24"/>
          <w:szCs w:val="24"/>
        </w:rPr>
        <w:t>Symbicort</w:t>
      </w:r>
      <w:proofErr w:type="spellEnd"/>
      <w:r w:rsidRPr="00F61E4C">
        <w:rPr>
          <w:sz w:val="24"/>
          <w:szCs w:val="24"/>
        </w:rPr>
        <w:t xml:space="preserve"> (inhalationsspray, suspension) 160 mikrogram/4,5 mikrogram med og uden </w:t>
      </w:r>
      <w:proofErr w:type="spellStart"/>
      <w:r w:rsidRPr="00F61E4C">
        <w:rPr>
          <w:b/>
          <w:bCs/>
          <w:i/>
          <w:iCs/>
          <w:sz w:val="24"/>
          <w:szCs w:val="24"/>
        </w:rPr>
        <w:t>AeroChamber</w:t>
      </w:r>
      <w:proofErr w:type="spellEnd"/>
      <w:r w:rsidRPr="00F61E4C">
        <w:rPr>
          <w:b/>
          <w:bCs/>
          <w:i/>
          <w:iCs/>
          <w:sz w:val="24"/>
          <w:szCs w:val="24"/>
        </w:rPr>
        <w:t xml:space="preserve"> Plus Flow Vu</w:t>
      </w:r>
      <w:r w:rsidRPr="00F61E4C">
        <w:rPr>
          <w:sz w:val="24"/>
          <w:szCs w:val="24"/>
        </w:rPr>
        <w:t>-spacerenheden blev evalueret i et studie udført hos raske frivillige.</w:t>
      </w:r>
    </w:p>
    <w:p w:rsidR="00CA3A08" w:rsidRPr="00F61E4C" w:rsidRDefault="00CA3A08" w:rsidP="00CA3A08">
      <w:pPr>
        <w:tabs>
          <w:tab w:val="left" w:pos="851"/>
        </w:tabs>
        <w:ind w:left="851"/>
        <w:rPr>
          <w:sz w:val="24"/>
          <w:szCs w:val="24"/>
        </w:rPr>
      </w:pPr>
    </w:p>
    <w:p w:rsidR="00CA3A08" w:rsidRPr="00F61E4C" w:rsidRDefault="00CA3A08" w:rsidP="00CA3A08">
      <w:pPr>
        <w:tabs>
          <w:tab w:val="left" w:pos="851"/>
        </w:tabs>
        <w:ind w:left="851"/>
        <w:rPr>
          <w:sz w:val="24"/>
          <w:szCs w:val="24"/>
        </w:rPr>
      </w:pPr>
      <w:r w:rsidRPr="00F61E4C">
        <w:rPr>
          <w:sz w:val="24"/>
          <w:szCs w:val="24"/>
        </w:rPr>
        <w:t xml:space="preserve">Den samlede systemiske eksponering af </w:t>
      </w:r>
      <w:proofErr w:type="spellStart"/>
      <w:r w:rsidRPr="00F61E4C">
        <w:rPr>
          <w:sz w:val="24"/>
          <w:szCs w:val="24"/>
        </w:rPr>
        <w:t>Symbicort</w:t>
      </w:r>
      <w:proofErr w:type="spellEnd"/>
      <w:r w:rsidRPr="00F61E4C">
        <w:rPr>
          <w:sz w:val="24"/>
          <w:szCs w:val="24"/>
        </w:rPr>
        <w:t xml:space="preserve"> (inhalationsspray, suspension) 160 mikrogram/4,5 mikrogram indgivet via </w:t>
      </w:r>
      <w:proofErr w:type="spellStart"/>
      <w:r w:rsidRPr="00F61E4C">
        <w:rPr>
          <w:b/>
          <w:bCs/>
          <w:i/>
          <w:iCs/>
          <w:sz w:val="24"/>
          <w:szCs w:val="24"/>
        </w:rPr>
        <w:t>AeroChamber</w:t>
      </w:r>
      <w:proofErr w:type="spellEnd"/>
      <w:r w:rsidRPr="00F61E4C">
        <w:rPr>
          <w:b/>
          <w:bCs/>
          <w:i/>
          <w:iCs/>
          <w:sz w:val="24"/>
          <w:szCs w:val="24"/>
        </w:rPr>
        <w:t xml:space="preserve"> Plus Flow Vu</w:t>
      </w:r>
      <w:r w:rsidRPr="00F61E4C">
        <w:rPr>
          <w:sz w:val="24"/>
          <w:szCs w:val="24"/>
        </w:rPr>
        <w:t>-</w:t>
      </w:r>
      <w:proofErr w:type="spellStart"/>
      <w:r w:rsidRPr="00F61E4C">
        <w:rPr>
          <w:sz w:val="24"/>
          <w:szCs w:val="24"/>
        </w:rPr>
        <w:t>spacer</w:t>
      </w:r>
      <w:proofErr w:type="spellEnd"/>
      <w:r w:rsidRPr="00F61E4C">
        <w:rPr>
          <w:sz w:val="24"/>
          <w:szCs w:val="24"/>
        </w:rPr>
        <w:t xml:space="preserve"> var højere sammenlignet med ingen </w:t>
      </w:r>
      <w:proofErr w:type="spellStart"/>
      <w:r w:rsidRPr="00F61E4C">
        <w:rPr>
          <w:sz w:val="24"/>
          <w:szCs w:val="24"/>
        </w:rPr>
        <w:t>spacer</w:t>
      </w:r>
      <w:proofErr w:type="spellEnd"/>
      <w:r w:rsidRPr="00F61E4C">
        <w:rPr>
          <w:sz w:val="24"/>
          <w:szCs w:val="24"/>
        </w:rPr>
        <w:t xml:space="preserve">, med gennemsnitligt AUC 68 % og 77 % højere for henholdsvis </w:t>
      </w:r>
      <w:proofErr w:type="spellStart"/>
      <w:r w:rsidRPr="00F61E4C">
        <w:rPr>
          <w:sz w:val="24"/>
          <w:szCs w:val="24"/>
        </w:rPr>
        <w:t>budesonid</w:t>
      </w:r>
      <w:proofErr w:type="spellEnd"/>
      <w:r w:rsidRPr="00F61E4C">
        <w:rPr>
          <w:sz w:val="24"/>
          <w:szCs w:val="24"/>
        </w:rPr>
        <w:t xml:space="preserve"> og </w:t>
      </w:r>
      <w:proofErr w:type="spellStart"/>
      <w:r w:rsidRPr="00F61E4C">
        <w:rPr>
          <w:sz w:val="24"/>
          <w:szCs w:val="24"/>
        </w:rPr>
        <w:t>formoterol</w:t>
      </w:r>
      <w:proofErr w:type="spellEnd"/>
      <w:r w:rsidRPr="00F61E4C">
        <w:rPr>
          <w:sz w:val="24"/>
          <w:szCs w:val="24"/>
        </w:rPr>
        <w:t xml:space="preserve">. De højeste stigninger i eksponering med </w:t>
      </w:r>
      <w:proofErr w:type="spellStart"/>
      <w:r w:rsidRPr="00F61E4C">
        <w:rPr>
          <w:sz w:val="24"/>
          <w:szCs w:val="24"/>
        </w:rPr>
        <w:t>spacer</w:t>
      </w:r>
      <w:proofErr w:type="spellEnd"/>
      <w:r w:rsidRPr="00F61E4C">
        <w:rPr>
          <w:sz w:val="24"/>
          <w:szCs w:val="24"/>
        </w:rPr>
        <w:t xml:space="preserve"> blev imidlertid observeret hos forsøgspersoner med lav eksponering uden </w:t>
      </w:r>
      <w:proofErr w:type="spellStart"/>
      <w:r w:rsidRPr="00F61E4C">
        <w:rPr>
          <w:sz w:val="24"/>
          <w:szCs w:val="24"/>
        </w:rPr>
        <w:t>spacer</w:t>
      </w:r>
      <w:proofErr w:type="spellEnd"/>
      <w:r w:rsidRPr="00F61E4C">
        <w:rPr>
          <w:sz w:val="24"/>
          <w:szCs w:val="24"/>
        </w:rPr>
        <w:t xml:space="preserve"> (sandsynligvis på grund af dårlig inhalationsteknik).</w:t>
      </w:r>
    </w:p>
    <w:p w:rsidR="00CA3A08" w:rsidRPr="00F61E4C" w:rsidRDefault="00CA3A08" w:rsidP="00CA3A08">
      <w:pPr>
        <w:tabs>
          <w:tab w:val="left" w:pos="851"/>
        </w:tabs>
        <w:ind w:left="851"/>
        <w:rPr>
          <w:sz w:val="24"/>
          <w:szCs w:val="24"/>
        </w:rPr>
      </w:pPr>
    </w:p>
    <w:p w:rsidR="00CA3A08" w:rsidRPr="00F61E4C" w:rsidRDefault="00CA3A08" w:rsidP="00CA3A08">
      <w:pPr>
        <w:tabs>
          <w:tab w:val="left" w:pos="851"/>
        </w:tabs>
        <w:ind w:left="851"/>
        <w:rPr>
          <w:sz w:val="24"/>
          <w:szCs w:val="24"/>
          <w:u w:val="single"/>
        </w:rPr>
      </w:pPr>
      <w:r w:rsidRPr="00F61E4C">
        <w:rPr>
          <w:sz w:val="24"/>
          <w:szCs w:val="24"/>
        </w:rPr>
        <w:t xml:space="preserve">Der er intet, som tyder på, at der er </w:t>
      </w:r>
      <w:proofErr w:type="spellStart"/>
      <w:r w:rsidRPr="00F61E4C">
        <w:rPr>
          <w:sz w:val="24"/>
          <w:szCs w:val="24"/>
        </w:rPr>
        <w:t>farmakokinetisk</w:t>
      </w:r>
      <w:proofErr w:type="spellEnd"/>
      <w:r w:rsidRPr="00F61E4C">
        <w:rPr>
          <w:sz w:val="24"/>
          <w:szCs w:val="24"/>
        </w:rPr>
        <w:t xml:space="preserve"> interaktion mellem </w:t>
      </w:r>
      <w:proofErr w:type="spellStart"/>
      <w:r w:rsidRPr="00F61E4C">
        <w:rPr>
          <w:sz w:val="24"/>
          <w:szCs w:val="24"/>
        </w:rPr>
        <w:t>budesonid</w:t>
      </w:r>
      <w:proofErr w:type="spellEnd"/>
      <w:r w:rsidRPr="00F61E4C">
        <w:rPr>
          <w:sz w:val="24"/>
          <w:szCs w:val="24"/>
        </w:rPr>
        <w:t xml:space="preserve"> og </w:t>
      </w:r>
      <w:proofErr w:type="spellStart"/>
      <w:r w:rsidRPr="00F61E4C">
        <w:rPr>
          <w:sz w:val="24"/>
          <w:szCs w:val="24"/>
        </w:rPr>
        <w:t>formoterol</w:t>
      </w:r>
      <w:proofErr w:type="spellEnd"/>
      <w:r w:rsidRPr="00F61E4C">
        <w:rPr>
          <w:sz w:val="24"/>
          <w:szCs w:val="24"/>
        </w:rPr>
        <w:t>.</w:t>
      </w:r>
    </w:p>
    <w:p w:rsidR="00CA3A08" w:rsidRPr="00F61E4C" w:rsidRDefault="00CA3A08" w:rsidP="00CA3A08">
      <w:pPr>
        <w:tabs>
          <w:tab w:val="left" w:pos="851"/>
        </w:tabs>
        <w:ind w:left="851"/>
        <w:rPr>
          <w:sz w:val="24"/>
          <w:szCs w:val="24"/>
        </w:rPr>
      </w:pPr>
    </w:p>
    <w:p w:rsidR="00CA3A08" w:rsidRPr="00F61E4C" w:rsidRDefault="00CA3A08" w:rsidP="00CA3A08">
      <w:pPr>
        <w:tabs>
          <w:tab w:val="left" w:pos="851"/>
        </w:tabs>
        <w:ind w:left="851"/>
        <w:rPr>
          <w:sz w:val="24"/>
          <w:szCs w:val="24"/>
          <w:u w:val="single"/>
        </w:rPr>
      </w:pPr>
      <w:r w:rsidRPr="00F61E4C">
        <w:rPr>
          <w:sz w:val="24"/>
          <w:szCs w:val="24"/>
          <w:u w:val="single"/>
        </w:rPr>
        <w:t>Fordeling og biotransformation</w:t>
      </w:r>
    </w:p>
    <w:p w:rsidR="00CA3A08" w:rsidRPr="00F61E4C" w:rsidRDefault="00CA3A08" w:rsidP="00CA3A08">
      <w:pPr>
        <w:tabs>
          <w:tab w:val="left" w:pos="851"/>
        </w:tabs>
        <w:ind w:left="851"/>
        <w:rPr>
          <w:sz w:val="24"/>
          <w:szCs w:val="24"/>
          <w:u w:val="single"/>
        </w:rPr>
      </w:pPr>
      <w:r w:rsidRPr="00F61E4C">
        <w:rPr>
          <w:sz w:val="24"/>
          <w:szCs w:val="24"/>
        </w:rPr>
        <w:t xml:space="preserve">Plasmaproteinbindingen er ca. 50 % for </w:t>
      </w:r>
      <w:proofErr w:type="spellStart"/>
      <w:r w:rsidRPr="00F61E4C">
        <w:rPr>
          <w:sz w:val="24"/>
          <w:szCs w:val="24"/>
        </w:rPr>
        <w:t>formoterol</w:t>
      </w:r>
      <w:proofErr w:type="spellEnd"/>
      <w:r w:rsidRPr="00F61E4C">
        <w:rPr>
          <w:sz w:val="24"/>
          <w:szCs w:val="24"/>
        </w:rPr>
        <w:t xml:space="preserve"> and 90 % for </w:t>
      </w:r>
      <w:proofErr w:type="spellStart"/>
      <w:r w:rsidRPr="00F61E4C">
        <w:rPr>
          <w:sz w:val="24"/>
          <w:szCs w:val="24"/>
        </w:rPr>
        <w:t>budesonid</w:t>
      </w:r>
      <w:proofErr w:type="spellEnd"/>
      <w:r w:rsidRPr="00F61E4C">
        <w:rPr>
          <w:sz w:val="24"/>
          <w:szCs w:val="24"/>
        </w:rPr>
        <w:t xml:space="preserve">. Fordelingsvoluminet er ca. 4 l/kg for </w:t>
      </w:r>
      <w:proofErr w:type="spellStart"/>
      <w:r w:rsidRPr="00F61E4C">
        <w:rPr>
          <w:sz w:val="24"/>
          <w:szCs w:val="24"/>
        </w:rPr>
        <w:t>formoterol</w:t>
      </w:r>
      <w:proofErr w:type="spellEnd"/>
      <w:r w:rsidRPr="00F61E4C">
        <w:rPr>
          <w:sz w:val="24"/>
          <w:szCs w:val="24"/>
        </w:rPr>
        <w:t xml:space="preserve"> og 3 l/kg for </w:t>
      </w:r>
      <w:proofErr w:type="spellStart"/>
      <w:r w:rsidRPr="00F61E4C">
        <w:rPr>
          <w:sz w:val="24"/>
          <w:szCs w:val="24"/>
        </w:rPr>
        <w:t>budesonid</w:t>
      </w:r>
      <w:proofErr w:type="spellEnd"/>
      <w:r w:rsidRPr="00F61E4C">
        <w:rPr>
          <w:sz w:val="24"/>
          <w:szCs w:val="24"/>
        </w:rPr>
        <w:t xml:space="preserve">. </w:t>
      </w:r>
      <w:proofErr w:type="spellStart"/>
      <w:r w:rsidRPr="00F61E4C">
        <w:rPr>
          <w:sz w:val="24"/>
          <w:szCs w:val="24"/>
        </w:rPr>
        <w:t>Formoterol</w:t>
      </w:r>
      <w:proofErr w:type="spellEnd"/>
      <w:r w:rsidRPr="00F61E4C">
        <w:rPr>
          <w:sz w:val="24"/>
          <w:szCs w:val="24"/>
        </w:rPr>
        <w:t xml:space="preserve"> inaktiveres via </w:t>
      </w:r>
      <w:proofErr w:type="spellStart"/>
      <w:r w:rsidRPr="00F61E4C">
        <w:rPr>
          <w:sz w:val="24"/>
          <w:szCs w:val="24"/>
        </w:rPr>
        <w:t>konjugeringsreaktioner</w:t>
      </w:r>
      <w:proofErr w:type="spellEnd"/>
      <w:r w:rsidRPr="00F61E4C">
        <w:rPr>
          <w:sz w:val="24"/>
          <w:szCs w:val="24"/>
        </w:rPr>
        <w:t xml:space="preserve"> (der dannes aktive O-</w:t>
      </w:r>
      <w:proofErr w:type="spellStart"/>
      <w:r w:rsidRPr="00F61E4C">
        <w:rPr>
          <w:sz w:val="24"/>
          <w:szCs w:val="24"/>
        </w:rPr>
        <w:t>demethylerede</w:t>
      </w:r>
      <w:proofErr w:type="spellEnd"/>
      <w:r w:rsidRPr="00F61E4C">
        <w:rPr>
          <w:sz w:val="24"/>
          <w:szCs w:val="24"/>
        </w:rPr>
        <w:t xml:space="preserve"> og </w:t>
      </w:r>
      <w:proofErr w:type="spellStart"/>
      <w:r w:rsidRPr="00F61E4C">
        <w:rPr>
          <w:sz w:val="24"/>
          <w:szCs w:val="24"/>
        </w:rPr>
        <w:t>deformylerede</w:t>
      </w:r>
      <w:proofErr w:type="spellEnd"/>
      <w:r w:rsidRPr="00F61E4C">
        <w:rPr>
          <w:sz w:val="24"/>
          <w:szCs w:val="24"/>
        </w:rPr>
        <w:t xml:space="preserve"> metabolitter, men de ses hovedsagelig som inaktiverede </w:t>
      </w:r>
      <w:proofErr w:type="spellStart"/>
      <w:r w:rsidRPr="00F61E4C">
        <w:rPr>
          <w:sz w:val="24"/>
          <w:szCs w:val="24"/>
        </w:rPr>
        <w:t>konjugater</w:t>
      </w:r>
      <w:proofErr w:type="spellEnd"/>
      <w:r w:rsidRPr="00F61E4C">
        <w:rPr>
          <w:sz w:val="24"/>
          <w:szCs w:val="24"/>
        </w:rPr>
        <w:t xml:space="preserve">). </w:t>
      </w:r>
      <w:proofErr w:type="spellStart"/>
      <w:r w:rsidRPr="00F61E4C">
        <w:rPr>
          <w:sz w:val="24"/>
          <w:szCs w:val="24"/>
        </w:rPr>
        <w:t>Budesonid</w:t>
      </w:r>
      <w:proofErr w:type="spellEnd"/>
      <w:r w:rsidRPr="00F61E4C">
        <w:rPr>
          <w:sz w:val="24"/>
          <w:szCs w:val="24"/>
        </w:rPr>
        <w:t xml:space="preserve"> biotransformeres i omfattende grad (ca. 90 %) ved første passage gennem leveren til metabolitter med lav </w:t>
      </w:r>
      <w:proofErr w:type="spellStart"/>
      <w:r w:rsidRPr="00F61E4C">
        <w:rPr>
          <w:sz w:val="24"/>
          <w:szCs w:val="24"/>
        </w:rPr>
        <w:t>glukokortikosteroidaktivitet</w:t>
      </w:r>
      <w:proofErr w:type="spellEnd"/>
      <w:r w:rsidRPr="00F61E4C">
        <w:rPr>
          <w:sz w:val="24"/>
          <w:szCs w:val="24"/>
        </w:rPr>
        <w:t xml:space="preserve">. </w:t>
      </w:r>
      <w:proofErr w:type="spellStart"/>
      <w:r w:rsidRPr="00F61E4C">
        <w:rPr>
          <w:sz w:val="24"/>
          <w:szCs w:val="24"/>
        </w:rPr>
        <w:t>Glukokortikosteroidaktiviteten</w:t>
      </w:r>
      <w:proofErr w:type="spellEnd"/>
      <w:r w:rsidRPr="00F61E4C">
        <w:rPr>
          <w:sz w:val="24"/>
          <w:szCs w:val="24"/>
        </w:rPr>
        <w:t xml:space="preserve"> af hovedmetabolitterne 6-beta-hydroxy-budesonid og 16-alfa-hydroxy-prednisolon er mindre end 1 % af </w:t>
      </w:r>
      <w:proofErr w:type="spellStart"/>
      <w:r w:rsidRPr="00F61E4C">
        <w:rPr>
          <w:sz w:val="24"/>
          <w:szCs w:val="24"/>
        </w:rPr>
        <w:t>budesonids</w:t>
      </w:r>
      <w:proofErr w:type="spellEnd"/>
      <w:r w:rsidRPr="00F61E4C">
        <w:rPr>
          <w:sz w:val="24"/>
          <w:szCs w:val="24"/>
        </w:rPr>
        <w:t xml:space="preserve"> </w:t>
      </w:r>
      <w:proofErr w:type="spellStart"/>
      <w:r w:rsidRPr="00F61E4C">
        <w:rPr>
          <w:sz w:val="24"/>
          <w:szCs w:val="24"/>
        </w:rPr>
        <w:t>glukokortikosteroidaktivitet</w:t>
      </w:r>
      <w:proofErr w:type="spellEnd"/>
      <w:r w:rsidRPr="00F61E4C">
        <w:rPr>
          <w:sz w:val="24"/>
          <w:szCs w:val="24"/>
        </w:rPr>
        <w:t xml:space="preserve">. Der er intet, der tyder på metaboliske interaktioner eller fortrængningsreaktioner mellem </w:t>
      </w:r>
      <w:proofErr w:type="spellStart"/>
      <w:r w:rsidRPr="00F61E4C">
        <w:rPr>
          <w:sz w:val="24"/>
          <w:szCs w:val="24"/>
        </w:rPr>
        <w:t>formoterol</w:t>
      </w:r>
      <w:proofErr w:type="spellEnd"/>
      <w:r w:rsidRPr="00F61E4C">
        <w:rPr>
          <w:sz w:val="24"/>
          <w:szCs w:val="24"/>
        </w:rPr>
        <w:t xml:space="preserve"> og </w:t>
      </w:r>
      <w:proofErr w:type="spellStart"/>
      <w:r w:rsidRPr="00F61E4C">
        <w:rPr>
          <w:sz w:val="24"/>
          <w:szCs w:val="24"/>
        </w:rPr>
        <w:t>budesonid</w:t>
      </w:r>
      <w:proofErr w:type="spellEnd"/>
      <w:r w:rsidRPr="00F61E4C">
        <w:rPr>
          <w:sz w:val="24"/>
          <w:szCs w:val="24"/>
        </w:rPr>
        <w:t>.</w:t>
      </w:r>
    </w:p>
    <w:p w:rsidR="00CA3A08" w:rsidRPr="00F61E4C" w:rsidRDefault="00CA3A08" w:rsidP="00CA3A08">
      <w:pPr>
        <w:tabs>
          <w:tab w:val="left" w:pos="851"/>
        </w:tabs>
        <w:ind w:left="851"/>
        <w:rPr>
          <w:sz w:val="24"/>
          <w:szCs w:val="24"/>
        </w:rPr>
      </w:pPr>
    </w:p>
    <w:p w:rsidR="00CA3A08" w:rsidRPr="00F61E4C" w:rsidRDefault="00CA3A08" w:rsidP="00CA3A08">
      <w:pPr>
        <w:tabs>
          <w:tab w:val="left" w:pos="851"/>
        </w:tabs>
        <w:ind w:left="851"/>
        <w:rPr>
          <w:sz w:val="24"/>
          <w:szCs w:val="24"/>
          <w:u w:val="single"/>
        </w:rPr>
      </w:pPr>
      <w:r w:rsidRPr="00F61E4C">
        <w:rPr>
          <w:sz w:val="24"/>
          <w:szCs w:val="24"/>
          <w:u w:val="single"/>
        </w:rPr>
        <w:t>Elimination</w:t>
      </w:r>
    </w:p>
    <w:p w:rsidR="00CA3A08" w:rsidRPr="00F61E4C" w:rsidRDefault="00CA3A08" w:rsidP="00CA3A08">
      <w:pPr>
        <w:tabs>
          <w:tab w:val="left" w:pos="851"/>
        </w:tabs>
        <w:ind w:left="851"/>
        <w:rPr>
          <w:sz w:val="24"/>
          <w:szCs w:val="24"/>
        </w:rPr>
      </w:pPr>
      <w:r w:rsidRPr="00F61E4C">
        <w:rPr>
          <w:sz w:val="24"/>
          <w:szCs w:val="24"/>
        </w:rPr>
        <w:t xml:space="preserve">Størstedelen af en dosis </w:t>
      </w:r>
      <w:proofErr w:type="spellStart"/>
      <w:r w:rsidRPr="00F61E4C">
        <w:rPr>
          <w:sz w:val="24"/>
          <w:szCs w:val="24"/>
        </w:rPr>
        <w:t>formoterol</w:t>
      </w:r>
      <w:proofErr w:type="spellEnd"/>
      <w:r w:rsidRPr="00F61E4C">
        <w:rPr>
          <w:sz w:val="24"/>
          <w:szCs w:val="24"/>
        </w:rPr>
        <w:t xml:space="preserve"> transformeres ved </w:t>
      </w:r>
      <w:proofErr w:type="spellStart"/>
      <w:r w:rsidRPr="00F61E4C">
        <w:rPr>
          <w:sz w:val="24"/>
          <w:szCs w:val="24"/>
        </w:rPr>
        <w:t>metabolisering</w:t>
      </w:r>
      <w:proofErr w:type="spellEnd"/>
      <w:r w:rsidRPr="00F61E4C">
        <w:rPr>
          <w:sz w:val="24"/>
          <w:szCs w:val="24"/>
        </w:rPr>
        <w:t xml:space="preserve"> i leveren efterfulgt af eliminering via nyrerne. Efter inhalation udskilles 8 % til 13 % af afgivet dosis </w:t>
      </w:r>
      <w:proofErr w:type="spellStart"/>
      <w:r w:rsidRPr="00F61E4C">
        <w:rPr>
          <w:sz w:val="24"/>
          <w:szCs w:val="24"/>
        </w:rPr>
        <w:t>uomdannet</w:t>
      </w:r>
      <w:proofErr w:type="spellEnd"/>
      <w:r w:rsidRPr="00F61E4C">
        <w:rPr>
          <w:sz w:val="24"/>
          <w:szCs w:val="24"/>
        </w:rPr>
        <w:t xml:space="preserve"> i urinen. </w:t>
      </w:r>
      <w:proofErr w:type="spellStart"/>
      <w:r w:rsidRPr="00F61E4C">
        <w:rPr>
          <w:sz w:val="24"/>
          <w:szCs w:val="24"/>
        </w:rPr>
        <w:t>Formoterol</w:t>
      </w:r>
      <w:proofErr w:type="spellEnd"/>
      <w:r w:rsidRPr="00F61E4C">
        <w:rPr>
          <w:sz w:val="24"/>
          <w:szCs w:val="24"/>
        </w:rPr>
        <w:t xml:space="preserve"> har en høj systemisk </w:t>
      </w:r>
      <w:proofErr w:type="spellStart"/>
      <w:r w:rsidRPr="00F61E4C">
        <w:rPr>
          <w:sz w:val="24"/>
          <w:szCs w:val="24"/>
        </w:rPr>
        <w:t>clearance</w:t>
      </w:r>
      <w:proofErr w:type="spellEnd"/>
      <w:r w:rsidRPr="00F61E4C">
        <w:rPr>
          <w:sz w:val="24"/>
          <w:szCs w:val="24"/>
        </w:rPr>
        <w:t xml:space="preserve"> (ca. 1,4 l/min), og den terminale elimineringshalveringstid er gennemsnitlig 17 timer.</w:t>
      </w:r>
    </w:p>
    <w:p w:rsidR="00CA3A08" w:rsidRPr="00F61E4C" w:rsidRDefault="00CA3A08" w:rsidP="00CA3A08">
      <w:pPr>
        <w:tabs>
          <w:tab w:val="left" w:pos="851"/>
        </w:tabs>
        <w:ind w:left="851"/>
        <w:rPr>
          <w:sz w:val="24"/>
          <w:szCs w:val="24"/>
        </w:rPr>
      </w:pPr>
    </w:p>
    <w:p w:rsidR="00CA3A08" w:rsidRPr="00F61E4C" w:rsidRDefault="00CA3A08" w:rsidP="00CA3A08">
      <w:pPr>
        <w:tabs>
          <w:tab w:val="left" w:pos="851"/>
        </w:tabs>
        <w:ind w:left="851"/>
        <w:rPr>
          <w:sz w:val="24"/>
          <w:szCs w:val="24"/>
        </w:rPr>
      </w:pPr>
      <w:proofErr w:type="spellStart"/>
      <w:r w:rsidRPr="00F61E4C">
        <w:rPr>
          <w:sz w:val="24"/>
          <w:szCs w:val="24"/>
        </w:rPr>
        <w:t>Budesonid</w:t>
      </w:r>
      <w:proofErr w:type="spellEnd"/>
      <w:r w:rsidRPr="00F61E4C">
        <w:rPr>
          <w:sz w:val="24"/>
          <w:szCs w:val="24"/>
        </w:rPr>
        <w:t xml:space="preserve"> elimineres ved </w:t>
      </w:r>
      <w:proofErr w:type="spellStart"/>
      <w:r w:rsidRPr="00F61E4C">
        <w:rPr>
          <w:sz w:val="24"/>
          <w:szCs w:val="24"/>
        </w:rPr>
        <w:t>metabolisering</w:t>
      </w:r>
      <w:proofErr w:type="spellEnd"/>
      <w:r w:rsidRPr="00F61E4C">
        <w:rPr>
          <w:sz w:val="24"/>
          <w:szCs w:val="24"/>
        </w:rPr>
        <w:t xml:space="preserve"> hovedsagelig katalyseret af enzymet CYP3A4. </w:t>
      </w:r>
      <w:proofErr w:type="spellStart"/>
      <w:r w:rsidRPr="00F61E4C">
        <w:rPr>
          <w:sz w:val="24"/>
          <w:szCs w:val="24"/>
        </w:rPr>
        <w:t>Budesonids</w:t>
      </w:r>
      <w:proofErr w:type="spellEnd"/>
      <w:r w:rsidRPr="00F61E4C">
        <w:rPr>
          <w:sz w:val="24"/>
          <w:szCs w:val="24"/>
        </w:rPr>
        <w:t xml:space="preserve"> metabolitter udskilles i urinen som sådan eller i konjugeret form. Kun ubetydelige mængder af </w:t>
      </w:r>
      <w:proofErr w:type="spellStart"/>
      <w:r w:rsidRPr="00F61E4C">
        <w:rPr>
          <w:sz w:val="24"/>
          <w:szCs w:val="24"/>
        </w:rPr>
        <w:t>uomdannet</w:t>
      </w:r>
      <w:proofErr w:type="spellEnd"/>
      <w:r w:rsidRPr="00F61E4C">
        <w:rPr>
          <w:sz w:val="24"/>
          <w:szCs w:val="24"/>
        </w:rPr>
        <w:t xml:space="preserve"> </w:t>
      </w:r>
      <w:proofErr w:type="spellStart"/>
      <w:r w:rsidRPr="00F61E4C">
        <w:rPr>
          <w:sz w:val="24"/>
          <w:szCs w:val="24"/>
        </w:rPr>
        <w:t>budesonid</w:t>
      </w:r>
      <w:proofErr w:type="spellEnd"/>
      <w:r w:rsidRPr="00F61E4C">
        <w:rPr>
          <w:sz w:val="24"/>
          <w:szCs w:val="24"/>
        </w:rPr>
        <w:t xml:space="preserve"> er fundet i urinen. </w:t>
      </w:r>
      <w:proofErr w:type="spellStart"/>
      <w:r w:rsidRPr="00F61E4C">
        <w:rPr>
          <w:sz w:val="24"/>
          <w:szCs w:val="24"/>
        </w:rPr>
        <w:t>Budesonid</w:t>
      </w:r>
      <w:proofErr w:type="spellEnd"/>
      <w:r w:rsidRPr="00F61E4C">
        <w:rPr>
          <w:sz w:val="24"/>
          <w:szCs w:val="24"/>
        </w:rPr>
        <w:t xml:space="preserve"> har en høj systemisk </w:t>
      </w:r>
      <w:proofErr w:type="spellStart"/>
      <w:r w:rsidRPr="00F61E4C">
        <w:rPr>
          <w:sz w:val="24"/>
          <w:szCs w:val="24"/>
        </w:rPr>
        <w:t>clearance</w:t>
      </w:r>
      <w:proofErr w:type="spellEnd"/>
      <w:r w:rsidRPr="00F61E4C">
        <w:rPr>
          <w:sz w:val="24"/>
          <w:szCs w:val="24"/>
        </w:rPr>
        <w:t xml:space="preserve"> (ca. 1,2 l/minut), og plasmaeliminationshalveringstiden efter </w:t>
      </w:r>
      <w:proofErr w:type="spellStart"/>
      <w:r w:rsidRPr="00F61E4C">
        <w:rPr>
          <w:sz w:val="24"/>
          <w:szCs w:val="24"/>
        </w:rPr>
        <w:t>i.v</w:t>
      </w:r>
      <w:proofErr w:type="spellEnd"/>
      <w:r w:rsidRPr="00F61E4C">
        <w:rPr>
          <w:sz w:val="24"/>
          <w:szCs w:val="24"/>
        </w:rPr>
        <w:t>. indgivelse er gennemsnitligt 4 timer.</w:t>
      </w:r>
    </w:p>
    <w:p w:rsidR="00CA3A08" w:rsidRPr="00F61E4C" w:rsidRDefault="00CA3A08" w:rsidP="00CA3A08">
      <w:pPr>
        <w:tabs>
          <w:tab w:val="left" w:pos="851"/>
        </w:tabs>
        <w:ind w:left="851"/>
        <w:rPr>
          <w:sz w:val="24"/>
          <w:szCs w:val="24"/>
        </w:rPr>
      </w:pPr>
      <w:r w:rsidRPr="00F61E4C">
        <w:rPr>
          <w:sz w:val="24"/>
          <w:szCs w:val="24"/>
        </w:rPr>
        <w:fldChar w:fldCharType="begin"/>
      </w:r>
      <w:r w:rsidRPr="00F61E4C">
        <w:rPr>
          <w:sz w:val="24"/>
          <w:szCs w:val="24"/>
        </w:rPr>
        <w:instrText xml:space="preserve">  </w:instrText>
      </w:r>
      <w:r w:rsidRPr="00F61E4C">
        <w:rPr>
          <w:sz w:val="24"/>
          <w:szCs w:val="24"/>
        </w:rPr>
        <w:fldChar w:fldCharType="end"/>
      </w:r>
    </w:p>
    <w:p w:rsidR="00CA3A08" w:rsidRPr="00F61E4C" w:rsidRDefault="00CA3A08" w:rsidP="00CA3A08">
      <w:pPr>
        <w:tabs>
          <w:tab w:val="left" w:pos="851"/>
        </w:tabs>
        <w:ind w:left="851"/>
        <w:rPr>
          <w:sz w:val="24"/>
          <w:szCs w:val="24"/>
        </w:rPr>
      </w:pPr>
      <w:proofErr w:type="spellStart"/>
      <w:r w:rsidRPr="00F61E4C">
        <w:rPr>
          <w:sz w:val="24"/>
          <w:szCs w:val="24"/>
        </w:rPr>
        <w:t>Budesonids</w:t>
      </w:r>
      <w:proofErr w:type="spellEnd"/>
      <w:r w:rsidRPr="00F61E4C">
        <w:rPr>
          <w:sz w:val="24"/>
          <w:szCs w:val="24"/>
        </w:rPr>
        <w:t xml:space="preserve"> og </w:t>
      </w:r>
      <w:proofErr w:type="spellStart"/>
      <w:r w:rsidRPr="00F61E4C">
        <w:rPr>
          <w:sz w:val="24"/>
          <w:szCs w:val="24"/>
        </w:rPr>
        <w:t>formoterols</w:t>
      </w:r>
      <w:proofErr w:type="spellEnd"/>
      <w:r w:rsidRPr="00F61E4C">
        <w:rPr>
          <w:sz w:val="24"/>
          <w:szCs w:val="24"/>
        </w:rPr>
        <w:t xml:space="preserve"> farmakokinetik hos patienter med nyresvigt er ukendt. </w:t>
      </w:r>
      <w:proofErr w:type="spellStart"/>
      <w:r w:rsidRPr="00F61E4C">
        <w:rPr>
          <w:sz w:val="24"/>
          <w:szCs w:val="24"/>
        </w:rPr>
        <w:t>Budesonids</w:t>
      </w:r>
      <w:proofErr w:type="spellEnd"/>
      <w:r w:rsidRPr="00F61E4C">
        <w:rPr>
          <w:sz w:val="24"/>
          <w:szCs w:val="24"/>
        </w:rPr>
        <w:t xml:space="preserve"> og </w:t>
      </w:r>
      <w:proofErr w:type="spellStart"/>
      <w:r w:rsidRPr="00F61E4C">
        <w:rPr>
          <w:sz w:val="24"/>
          <w:szCs w:val="24"/>
        </w:rPr>
        <w:t>formoterols</w:t>
      </w:r>
      <w:proofErr w:type="spellEnd"/>
      <w:r w:rsidRPr="00F61E4C">
        <w:rPr>
          <w:sz w:val="24"/>
          <w:szCs w:val="24"/>
        </w:rPr>
        <w:t xml:space="preserve"> eksponering kan være øget hos patienter med leversygdomme.</w:t>
      </w:r>
    </w:p>
    <w:p w:rsidR="00CA3A08" w:rsidRPr="00F61E4C" w:rsidRDefault="00CA3A08" w:rsidP="00CA3A08">
      <w:pPr>
        <w:tabs>
          <w:tab w:val="left" w:pos="851"/>
        </w:tabs>
        <w:ind w:left="851"/>
        <w:rPr>
          <w:sz w:val="24"/>
          <w:szCs w:val="24"/>
        </w:rPr>
      </w:pPr>
    </w:p>
    <w:p w:rsidR="00CA3A08" w:rsidRPr="00F61E4C" w:rsidRDefault="00CA3A08" w:rsidP="00CA3A08">
      <w:pPr>
        <w:tabs>
          <w:tab w:val="left" w:pos="851"/>
        </w:tabs>
        <w:ind w:left="851"/>
        <w:rPr>
          <w:sz w:val="24"/>
          <w:szCs w:val="24"/>
          <w:u w:val="single"/>
        </w:rPr>
      </w:pPr>
      <w:r w:rsidRPr="00F61E4C">
        <w:rPr>
          <w:sz w:val="24"/>
          <w:szCs w:val="24"/>
          <w:u w:val="single"/>
        </w:rPr>
        <w:t>Linearitet/non-linearitet</w:t>
      </w:r>
    </w:p>
    <w:p w:rsidR="00CA3A08" w:rsidRPr="00F61E4C" w:rsidRDefault="00CA3A08" w:rsidP="00CA3A08">
      <w:pPr>
        <w:tabs>
          <w:tab w:val="left" w:pos="851"/>
        </w:tabs>
        <w:ind w:left="851"/>
        <w:rPr>
          <w:sz w:val="24"/>
          <w:szCs w:val="24"/>
        </w:rPr>
      </w:pPr>
      <w:r w:rsidRPr="00F61E4C">
        <w:rPr>
          <w:sz w:val="24"/>
          <w:szCs w:val="24"/>
        </w:rPr>
        <w:t xml:space="preserve">Systemisk eksponering for </w:t>
      </w:r>
      <w:proofErr w:type="spellStart"/>
      <w:r w:rsidRPr="00F61E4C">
        <w:rPr>
          <w:sz w:val="24"/>
          <w:szCs w:val="24"/>
        </w:rPr>
        <w:t>budesonid</w:t>
      </w:r>
      <w:proofErr w:type="spellEnd"/>
      <w:r w:rsidRPr="00F61E4C">
        <w:rPr>
          <w:sz w:val="24"/>
          <w:szCs w:val="24"/>
        </w:rPr>
        <w:t xml:space="preserve"> og </w:t>
      </w:r>
      <w:proofErr w:type="spellStart"/>
      <w:r w:rsidRPr="00F61E4C">
        <w:rPr>
          <w:sz w:val="24"/>
          <w:szCs w:val="24"/>
        </w:rPr>
        <w:t>formoterol</w:t>
      </w:r>
      <w:proofErr w:type="spellEnd"/>
      <w:r w:rsidRPr="00F61E4C">
        <w:rPr>
          <w:sz w:val="24"/>
          <w:szCs w:val="24"/>
        </w:rPr>
        <w:t xml:space="preserve"> korrelerer på lineær vis med den administrerede dosis.</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5.3</w:t>
      </w:r>
      <w:r w:rsidRPr="00F61E4C">
        <w:rPr>
          <w:b/>
          <w:sz w:val="24"/>
          <w:szCs w:val="24"/>
        </w:rPr>
        <w:tab/>
      </w:r>
      <w:r w:rsidR="00D87A05">
        <w:rPr>
          <w:b/>
          <w:sz w:val="24"/>
          <w:szCs w:val="24"/>
        </w:rPr>
        <w:t>Non-</w:t>
      </w:r>
      <w:r w:rsidRPr="00F61E4C">
        <w:rPr>
          <w:b/>
          <w:sz w:val="24"/>
          <w:szCs w:val="24"/>
        </w:rPr>
        <w:t>kliniske sikkerhedsdata</w:t>
      </w:r>
    </w:p>
    <w:p w:rsidR="00BA4E43" w:rsidRPr="00F61E4C" w:rsidRDefault="00BA4E43" w:rsidP="00BA4E43">
      <w:pPr>
        <w:ind w:left="851"/>
        <w:rPr>
          <w:sz w:val="24"/>
          <w:szCs w:val="24"/>
        </w:rPr>
      </w:pPr>
      <w:r w:rsidRPr="00F61E4C">
        <w:rPr>
          <w:sz w:val="24"/>
          <w:szCs w:val="24"/>
        </w:rPr>
        <w:t xml:space="preserve">Den observerede toksicitet af </w:t>
      </w:r>
      <w:proofErr w:type="spellStart"/>
      <w:r w:rsidRPr="00F61E4C">
        <w:rPr>
          <w:sz w:val="24"/>
          <w:szCs w:val="24"/>
        </w:rPr>
        <w:t>budesonid</w:t>
      </w:r>
      <w:proofErr w:type="spellEnd"/>
      <w:r w:rsidRPr="00F61E4C">
        <w:rPr>
          <w:sz w:val="24"/>
          <w:szCs w:val="24"/>
        </w:rPr>
        <w:t xml:space="preserve"> og </w:t>
      </w:r>
      <w:proofErr w:type="spellStart"/>
      <w:r w:rsidRPr="00F61E4C">
        <w:rPr>
          <w:sz w:val="24"/>
          <w:szCs w:val="24"/>
        </w:rPr>
        <w:t>formoterol</w:t>
      </w:r>
      <w:proofErr w:type="spellEnd"/>
      <w:r w:rsidRPr="00F61E4C">
        <w:rPr>
          <w:sz w:val="24"/>
          <w:szCs w:val="24"/>
        </w:rPr>
        <w:t xml:space="preserve"> i dyrestudier, givet i kombination eller separat, var effekter forbundet med en forøget farmakologisk aktivitet.</w:t>
      </w:r>
    </w:p>
    <w:p w:rsidR="00BA4E43" w:rsidRPr="00F61E4C" w:rsidRDefault="00BA4E43" w:rsidP="00BA4E43">
      <w:pPr>
        <w:ind w:left="851"/>
        <w:rPr>
          <w:sz w:val="24"/>
          <w:szCs w:val="24"/>
        </w:rPr>
      </w:pPr>
    </w:p>
    <w:p w:rsidR="00BA4E43" w:rsidRPr="00F61E4C" w:rsidRDefault="00BA4E43" w:rsidP="00BA4E43">
      <w:pPr>
        <w:ind w:left="851"/>
        <w:rPr>
          <w:sz w:val="24"/>
          <w:szCs w:val="24"/>
        </w:rPr>
      </w:pPr>
      <w:r w:rsidRPr="00F61E4C">
        <w:rPr>
          <w:sz w:val="24"/>
          <w:szCs w:val="24"/>
        </w:rPr>
        <w:t xml:space="preserve">I dyrereproduktionsstudier er der set misdannelser (ganespalte, knogledeformiteter) efter administration af </w:t>
      </w:r>
      <w:proofErr w:type="spellStart"/>
      <w:r w:rsidRPr="00F61E4C">
        <w:rPr>
          <w:sz w:val="24"/>
          <w:szCs w:val="24"/>
        </w:rPr>
        <w:t>kortikosteroider</w:t>
      </w:r>
      <w:proofErr w:type="spellEnd"/>
      <w:r w:rsidRPr="00F61E4C">
        <w:rPr>
          <w:sz w:val="24"/>
          <w:szCs w:val="24"/>
        </w:rPr>
        <w:t xml:space="preserve"> såsom </w:t>
      </w:r>
      <w:proofErr w:type="spellStart"/>
      <w:r w:rsidRPr="00F61E4C">
        <w:rPr>
          <w:sz w:val="24"/>
          <w:szCs w:val="24"/>
        </w:rPr>
        <w:t>budesonid</w:t>
      </w:r>
      <w:proofErr w:type="spellEnd"/>
      <w:r w:rsidRPr="00F61E4C">
        <w:rPr>
          <w:sz w:val="24"/>
          <w:szCs w:val="24"/>
        </w:rPr>
        <w:t xml:space="preserve">. Disse </w:t>
      </w:r>
      <w:proofErr w:type="spellStart"/>
      <w:r w:rsidRPr="00F61E4C">
        <w:rPr>
          <w:sz w:val="24"/>
          <w:szCs w:val="24"/>
        </w:rPr>
        <w:t>dyreeksperimentielle</w:t>
      </w:r>
      <w:proofErr w:type="spellEnd"/>
      <w:r w:rsidRPr="00F61E4C">
        <w:rPr>
          <w:sz w:val="24"/>
          <w:szCs w:val="24"/>
        </w:rPr>
        <w:t xml:space="preserve"> resultater synes dog ikke at være relevante for mennesker ved den anbefalede dosering. I dyrereproduktionsstudier med </w:t>
      </w:r>
      <w:proofErr w:type="spellStart"/>
      <w:r w:rsidRPr="00F61E4C">
        <w:rPr>
          <w:sz w:val="24"/>
          <w:szCs w:val="24"/>
        </w:rPr>
        <w:t>formoterol</w:t>
      </w:r>
      <w:proofErr w:type="spellEnd"/>
      <w:r w:rsidRPr="00F61E4C">
        <w:rPr>
          <w:sz w:val="24"/>
          <w:szCs w:val="24"/>
        </w:rPr>
        <w:t xml:space="preserve"> er der ved høj systemisk eksponering set en noget nedsat fertilitet hos hanrotter og implantationstab såvel som nedsat tidlig </w:t>
      </w:r>
      <w:proofErr w:type="spellStart"/>
      <w:r w:rsidRPr="00F61E4C">
        <w:rPr>
          <w:sz w:val="24"/>
          <w:szCs w:val="24"/>
        </w:rPr>
        <w:t>postnatal</w:t>
      </w:r>
      <w:proofErr w:type="spellEnd"/>
      <w:r w:rsidRPr="00F61E4C">
        <w:rPr>
          <w:sz w:val="24"/>
          <w:szCs w:val="24"/>
        </w:rPr>
        <w:t xml:space="preserve"> overlevelse og fødselsvægt ved en endnu højere systemisk eksponering end der opnås ved klinisk anvendelse. Disse </w:t>
      </w:r>
      <w:proofErr w:type="spellStart"/>
      <w:r w:rsidRPr="00F61E4C">
        <w:rPr>
          <w:sz w:val="24"/>
          <w:szCs w:val="24"/>
        </w:rPr>
        <w:t>dyreeksperimentielle</w:t>
      </w:r>
      <w:proofErr w:type="spellEnd"/>
      <w:r w:rsidRPr="00F61E4C">
        <w:rPr>
          <w:sz w:val="24"/>
          <w:szCs w:val="24"/>
        </w:rPr>
        <w:t xml:space="preserve"> resultater synes dog ikke at være relevante for mennesker.</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6.</w:t>
      </w:r>
      <w:r w:rsidRPr="00F61E4C">
        <w:rPr>
          <w:b/>
          <w:sz w:val="24"/>
          <w:szCs w:val="24"/>
        </w:rPr>
        <w:tab/>
        <w:t>FARMACEUTISKE OPLYSNINGER</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6.1</w:t>
      </w:r>
      <w:r w:rsidRPr="00F61E4C">
        <w:rPr>
          <w:b/>
          <w:sz w:val="24"/>
          <w:szCs w:val="24"/>
        </w:rPr>
        <w:tab/>
        <w:t>Hjælpestoffer</w:t>
      </w:r>
    </w:p>
    <w:p w:rsidR="004F476A" w:rsidRPr="00F61E4C" w:rsidRDefault="004F476A" w:rsidP="004F476A">
      <w:pPr>
        <w:ind w:left="851"/>
        <w:rPr>
          <w:sz w:val="24"/>
          <w:szCs w:val="24"/>
        </w:rPr>
      </w:pPr>
      <w:proofErr w:type="spellStart"/>
      <w:r w:rsidRPr="00F61E4C">
        <w:rPr>
          <w:sz w:val="24"/>
          <w:szCs w:val="24"/>
        </w:rPr>
        <w:t>Apafluran</w:t>
      </w:r>
      <w:proofErr w:type="spellEnd"/>
      <w:r w:rsidRPr="00F61E4C">
        <w:rPr>
          <w:sz w:val="24"/>
          <w:szCs w:val="24"/>
        </w:rPr>
        <w:t xml:space="preserve"> (HFA 227)</w:t>
      </w:r>
    </w:p>
    <w:p w:rsidR="004F476A" w:rsidRPr="00F61E4C" w:rsidRDefault="004F476A" w:rsidP="004F476A">
      <w:pPr>
        <w:ind w:left="851"/>
        <w:rPr>
          <w:sz w:val="24"/>
          <w:szCs w:val="24"/>
        </w:rPr>
      </w:pPr>
      <w:proofErr w:type="spellStart"/>
      <w:r w:rsidRPr="00F61E4C">
        <w:rPr>
          <w:sz w:val="24"/>
          <w:szCs w:val="24"/>
        </w:rPr>
        <w:t>Povidon</w:t>
      </w:r>
      <w:proofErr w:type="spellEnd"/>
    </w:p>
    <w:p w:rsidR="004F476A" w:rsidRPr="00F61E4C" w:rsidRDefault="004F476A" w:rsidP="004F476A">
      <w:pPr>
        <w:ind w:left="851"/>
        <w:rPr>
          <w:sz w:val="24"/>
          <w:szCs w:val="24"/>
        </w:rPr>
      </w:pPr>
      <w:proofErr w:type="spellStart"/>
      <w:r w:rsidRPr="00F61E4C">
        <w:rPr>
          <w:sz w:val="24"/>
          <w:szCs w:val="24"/>
        </w:rPr>
        <w:t>Macrogol</w:t>
      </w:r>
      <w:proofErr w:type="spellEnd"/>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6.2</w:t>
      </w:r>
      <w:r w:rsidRPr="00F61E4C">
        <w:rPr>
          <w:b/>
          <w:sz w:val="24"/>
          <w:szCs w:val="24"/>
        </w:rPr>
        <w:tab/>
        <w:t>Uforligeligheder</w:t>
      </w:r>
    </w:p>
    <w:p w:rsidR="004F476A" w:rsidRPr="00F61E4C" w:rsidRDefault="004F476A" w:rsidP="004F476A">
      <w:pPr>
        <w:ind w:left="851"/>
        <w:rPr>
          <w:sz w:val="24"/>
          <w:szCs w:val="24"/>
        </w:rPr>
      </w:pPr>
      <w:r w:rsidRPr="00F61E4C">
        <w:rPr>
          <w:sz w:val="24"/>
          <w:szCs w:val="24"/>
        </w:rPr>
        <w:t>Ikke relevant.</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6.3</w:t>
      </w:r>
      <w:r w:rsidRPr="00F61E4C">
        <w:rPr>
          <w:b/>
          <w:sz w:val="24"/>
          <w:szCs w:val="24"/>
        </w:rPr>
        <w:tab/>
        <w:t>Opbevaringstid</w:t>
      </w:r>
    </w:p>
    <w:p w:rsidR="003B1878" w:rsidRPr="00F61E4C" w:rsidRDefault="003B1878" w:rsidP="003B1878">
      <w:pPr>
        <w:ind w:left="851"/>
        <w:rPr>
          <w:sz w:val="24"/>
          <w:szCs w:val="24"/>
        </w:rPr>
      </w:pPr>
      <w:r w:rsidRPr="00F61E4C">
        <w:rPr>
          <w:sz w:val="24"/>
          <w:szCs w:val="24"/>
        </w:rPr>
        <w:t>2 år.</w:t>
      </w:r>
    </w:p>
    <w:p w:rsidR="003B1878" w:rsidRPr="00F61E4C" w:rsidRDefault="003B1878" w:rsidP="003B1878">
      <w:pPr>
        <w:ind w:left="851"/>
        <w:rPr>
          <w:sz w:val="24"/>
          <w:szCs w:val="24"/>
        </w:rPr>
      </w:pPr>
      <w:r w:rsidRPr="00F61E4C">
        <w:rPr>
          <w:sz w:val="24"/>
          <w:szCs w:val="24"/>
        </w:rPr>
        <w:t>Efter anbrud: 3 måneder.</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6.4</w:t>
      </w:r>
      <w:r w:rsidRPr="00F61E4C">
        <w:rPr>
          <w:b/>
          <w:sz w:val="24"/>
          <w:szCs w:val="24"/>
        </w:rPr>
        <w:tab/>
        <w:t>Særlige opbevaringsforhold</w:t>
      </w:r>
    </w:p>
    <w:p w:rsidR="003B1878" w:rsidRPr="00F61E4C" w:rsidRDefault="003B1878" w:rsidP="003B1878">
      <w:pPr>
        <w:ind w:left="851"/>
        <w:rPr>
          <w:noProof/>
          <w:sz w:val="24"/>
          <w:szCs w:val="24"/>
        </w:rPr>
      </w:pPr>
      <w:r w:rsidRPr="00F61E4C">
        <w:rPr>
          <w:noProof/>
          <w:sz w:val="24"/>
          <w:szCs w:val="24"/>
        </w:rPr>
        <w:t>Denne medicin skal opbevares ved stuetemperatur inden anvendelse, for de bedste resultater.</w:t>
      </w:r>
    </w:p>
    <w:p w:rsidR="003B1878" w:rsidRPr="00F61E4C" w:rsidRDefault="003B1878" w:rsidP="003B1878">
      <w:pPr>
        <w:ind w:left="851"/>
        <w:rPr>
          <w:noProof/>
          <w:sz w:val="24"/>
          <w:szCs w:val="24"/>
        </w:rPr>
      </w:pPr>
      <w:r w:rsidRPr="00F61E4C">
        <w:rPr>
          <w:noProof/>
          <w:sz w:val="24"/>
          <w:szCs w:val="24"/>
        </w:rPr>
        <w:t>Må ikke opbevares i køleskab eller nedfryses.</w:t>
      </w:r>
    </w:p>
    <w:p w:rsidR="003B1878" w:rsidRPr="00F61E4C" w:rsidRDefault="003B1878" w:rsidP="003B1878">
      <w:pPr>
        <w:ind w:left="851"/>
        <w:rPr>
          <w:noProof/>
          <w:sz w:val="24"/>
          <w:szCs w:val="24"/>
        </w:rPr>
      </w:pPr>
      <w:r w:rsidRPr="00F61E4C">
        <w:rPr>
          <w:noProof/>
          <w:sz w:val="24"/>
          <w:szCs w:val="24"/>
        </w:rPr>
        <w:t>Beskyttes mod frost og direkte sollys.</w:t>
      </w:r>
    </w:p>
    <w:p w:rsidR="003B1878" w:rsidRPr="00F61E4C" w:rsidRDefault="003B1878" w:rsidP="003B1878">
      <w:pPr>
        <w:ind w:left="851"/>
        <w:rPr>
          <w:noProof/>
          <w:sz w:val="24"/>
          <w:szCs w:val="24"/>
        </w:rPr>
      </w:pPr>
    </w:p>
    <w:p w:rsidR="003B1878" w:rsidRPr="00F61E4C" w:rsidRDefault="003B1878" w:rsidP="003B1878">
      <w:pPr>
        <w:ind w:left="851"/>
        <w:rPr>
          <w:noProof/>
          <w:sz w:val="24"/>
          <w:szCs w:val="24"/>
        </w:rPr>
      </w:pPr>
      <w:r w:rsidRPr="00F61E4C">
        <w:rPr>
          <w:noProof/>
          <w:sz w:val="24"/>
          <w:szCs w:val="24"/>
        </w:rPr>
        <w:t>Sæt mundstykkets hætte godt på, og klik det på plads efter brug.</w:t>
      </w:r>
    </w:p>
    <w:p w:rsidR="003B1878" w:rsidRPr="00F61E4C" w:rsidRDefault="003B1878" w:rsidP="003B1878">
      <w:pPr>
        <w:ind w:left="851"/>
        <w:rPr>
          <w:noProof/>
          <w:sz w:val="24"/>
          <w:szCs w:val="24"/>
        </w:rPr>
      </w:pPr>
    </w:p>
    <w:p w:rsidR="003B1878" w:rsidRPr="00F61E4C" w:rsidRDefault="003B1878" w:rsidP="003B1878">
      <w:pPr>
        <w:ind w:left="851"/>
        <w:rPr>
          <w:noProof/>
          <w:sz w:val="24"/>
          <w:szCs w:val="24"/>
        </w:rPr>
      </w:pPr>
      <w:r w:rsidRPr="00F61E4C">
        <w:rPr>
          <w:noProof/>
          <w:sz w:val="24"/>
          <w:szCs w:val="24"/>
        </w:rPr>
        <w:lastRenderedPageBreak/>
        <w:t xml:space="preserve">Som det er tilfældet med de fleste inhalationslægemidler i beholdere under tryk, reduceres den terapeutiske effekt af dette lægemiddel, hvis beholderen er kold. Denne medicin skal opbevares ved stuetemperatur inden anvendelse. </w:t>
      </w:r>
    </w:p>
    <w:p w:rsidR="003B1878" w:rsidRPr="00F61E4C" w:rsidRDefault="003B1878" w:rsidP="003B1878">
      <w:pPr>
        <w:ind w:left="851"/>
        <w:rPr>
          <w:noProof/>
          <w:sz w:val="24"/>
          <w:szCs w:val="24"/>
        </w:rPr>
      </w:pPr>
      <w:r w:rsidRPr="00F61E4C">
        <w:rPr>
          <w:noProof/>
          <w:sz w:val="24"/>
          <w:szCs w:val="24"/>
        </w:rPr>
        <w:t>Beholderen indeholder en væske under tryk. Må ikke udsættes for temperaturer over 50 °C. Beholderen må ikke perforeres. Beholderen må ikke ødelægges, punkteres eller brændes, heller ikke når den føles tom.</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6.5</w:t>
      </w:r>
      <w:r w:rsidRPr="00F61E4C">
        <w:rPr>
          <w:b/>
          <w:sz w:val="24"/>
          <w:szCs w:val="24"/>
        </w:rPr>
        <w:tab/>
        <w:t>Emballagetype og pakningsstørrelser</w:t>
      </w:r>
    </w:p>
    <w:p w:rsidR="00BC682F" w:rsidRPr="00F61E4C" w:rsidRDefault="003B1878" w:rsidP="003B1878">
      <w:pPr>
        <w:tabs>
          <w:tab w:val="left" w:pos="851"/>
        </w:tabs>
        <w:ind w:left="851"/>
        <w:rPr>
          <w:sz w:val="24"/>
          <w:szCs w:val="24"/>
        </w:rPr>
      </w:pPr>
      <w:r w:rsidRPr="00F61E4C">
        <w:rPr>
          <w:sz w:val="24"/>
          <w:szCs w:val="24"/>
        </w:rPr>
        <w:t>Beholder under tryk, der indeholder en indvendigt belagt aluminiumsdåse, forseglet med en doseringsventil og fastgjort til en dosisindikator.</w:t>
      </w:r>
    </w:p>
    <w:p w:rsidR="00BC682F" w:rsidRPr="00F61E4C" w:rsidRDefault="003B1878" w:rsidP="003B1878">
      <w:pPr>
        <w:tabs>
          <w:tab w:val="left" w:pos="851"/>
        </w:tabs>
        <w:ind w:left="851"/>
        <w:rPr>
          <w:sz w:val="24"/>
          <w:szCs w:val="24"/>
        </w:rPr>
      </w:pPr>
      <w:r w:rsidRPr="00F61E4C">
        <w:rPr>
          <w:sz w:val="24"/>
          <w:szCs w:val="24"/>
        </w:rPr>
        <w:t xml:space="preserve">Beholderen er indsat i en rød </w:t>
      </w:r>
      <w:proofErr w:type="spellStart"/>
      <w:r w:rsidRPr="00F61E4C">
        <w:rPr>
          <w:sz w:val="24"/>
          <w:szCs w:val="24"/>
        </w:rPr>
        <w:t>plastikaktuator</w:t>
      </w:r>
      <w:proofErr w:type="spellEnd"/>
      <w:r w:rsidRPr="00F61E4C">
        <w:rPr>
          <w:sz w:val="24"/>
          <w:szCs w:val="24"/>
        </w:rPr>
        <w:t xml:space="preserve"> med et hvidt plastikmundstykke og integreret grå støvhætte af plastik.</w:t>
      </w:r>
    </w:p>
    <w:p w:rsidR="007D0F14" w:rsidRPr="00F61E4C" w:rsidRDefault="007D0F14" w:rsidP="003B1878">
      <w:pPr>
        <w:tabs>
          <w:tab w:val="left" w:pos="851"/>
        </w:tabs>
        <w:ind w:left="851"/>
        <w:rPr>
          <w:sz w:val="24"/>
          <w:szCs w:val="24"/>
        </w:rPr>
      </w:pPr>
    </w:p>
    <w:p w:rsidR="00BC682F" w:rsidRPr="00F61E4C" w:rsidRDefault="003B1878" w:rsidP="003B1878">
      <w:pPr>
        <w:tabs>
          <w:tab w:val="left" w:pos="851"/>
        </w:tabs>
        <w:ind w:left="851"/>
        <w:rPr>
          <w:sz w:val="24"/>
          <w:szCs w:val="24"/>
        </w:rPr>
      </w:pPr>
      <w:r w:rsidRPr="00F61E4C">
        <w:rPr>
          <w:sz w:val="24"/>
          <w:szCs w:val="24"/>
        </w:rPr>
        <w:t xml:space="preserve">Hver inhalator afgiver 60 eller 120 pust </w:t>
      </w:r>
      <w:proofErr w:type="spellStart"/>
      <w:r w:rsidRPr="00F61E4C">
        <w:rPr>
          <w:sz w:val="24"/>
          <w:szCs w:val="24"/>
        </w:rPr>
        <w:t>budesonid</w:t>
      </w:r>
      <w:proofErr w:type="spellEnd"/>
      <w:r w:rsidRPr="00F61E4C">
        <w:rPr>
          <w:sz w:val="24"/>
          <w:szCs w:val="24"/>
        </w:rPr>
        <w:t>/</w:t>
      </w:r>
      <w:proofErr w:type="spellStart"/>
      <w:r w:rsidRPr="00F61E4C">
        <w:rPr>
          <w:sz w:val="24"/>
          <w:szCs w:val="24"/>
        </w:rPr>
        <w:t>formoterolfumaratdihydrat</w:t>
      </w:r>
      <w:proofErr w:type="spellEnd"/>
      <w:r w:rsidRPr="00F61E4C">
        <w:rPr>
          <w:sz w:val="24"/>
          <w:szCs w:val="24"/>
        </w:rPr>
        <w:t xml:space="preserve"> 80/2,25 mikrogram efter første klargøring.</w:t>
      </w:r>
    </w:p>
    <w:p w:rsidR="003B1878" w:rsidRPr="00F61E4C" w:rsidRDefault="003B1878" w:rsidP="003B1878">
      <w:pPr>
        <w:tabs>
          <w:tab w:val="left" w:pos="851"/>
        </w:tabs>
        <w:ind w:left="851"/>
        <w:rPr>
          <w:sz w:val="24"/>
          <w:szCs w:val="24"/>
        </w:rPr>
      </w:pPr>
      <w:r w:rsidRPr="00F61E4C">
        <w:rPr>
          <w:sz w:val="24"/>
          <w:szCs w:val="24"/>
        </w:rPr>
        <w:t>Hver inhalator er pakket individuelt i en folielamineret pose, der indeholder et tørremiddel.</w:t>
      </w:r>
    </w:p>
    <w:p w:rsidR="003B1878" w:rsidRPr="00F61E4C" w:rsidRDefault="003B1878" w:rsidP="003B1878">
      <w:pPr>
        <w:tabs>
          <w:tab w:val="left" w:pos="851"/>
        </w:tabs>
        <w:ind w:left="851"/>
        <w:rPr>
          <w:sz w:val="24"/>
          <w:szCs w:val="24"/>
        </w:rPr>
      </w:pPr>
    </w:p>
    <w:p w:rsidR="003B1878" w:rsidRPr="00F61E4C" w:rsidRDefault="003B1878" w:rsidP="003B1878">
      <w:pPr>
        <w:tabs>
          <w:tab w:val="left" w:pos="851"/>
        </w:tabs>
        <w:ind w:left="851"/>
        <w:rPr>
          <w:sz w:val="24"/>
          <w:szCs w:val="24"/>
        </w:rPr>
      </w:pPr>
      <w:r w:rsidRPr="00F61E4C">
        <w:rPr>
          <w:sz w:val="24"/>
          <w:szCs w:val="24"/>
        </w:rPr>
        <w:t>Ikke alle pakningsstørrelser er nødvendigvis markedsført.</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6.6</w:t>
      </w:r>
      <w:r w:rsidRPr="00F61E4C">
        <w:rPr>
          <w:b/>
          <w:sz w:val="24"/>
          <w:szCs w:val="24"/>
        </w:rPr>
        <w:tab/>
        <w:t xml:space="preserve">Regler for </w:t>
      </w:r>
      <w:r w:rsidR="00D87A05">
        <w:rPr>
          <w:b/>
          <w:sz w:val="24"/>
          <w:szCs w:val="24"/>
        </w:rPr>
        <w:t>bortskaffelse</w:t>
      </w:r>
      <w:r w:rsidRPr="00F61E4C">
        <w:rPr>
          <w:b/>
          <w:sz w:val="24"/>
          <w:szCs w:val="24"/>
        </w:rPr>
        <w:t xml:space="preserve"> og anden håndtering</w:t>
      </w:r>
    </w:p>
    <w:p w:rsidR="007D0F14" w:rsidRPr="00F61E4C" w:rsidRDefault="007D0F14" w:rsidP="007D0F14">
      <w:pPr>
        <w:ind w:left="851"/>
        <w:rPr>
          <w:sz w:val="24"/>
          <w:szCs w:val="24"/>
        </w:rPr>
      </w:pPr>
      <w:r w:rsidRPr="00F61E4C">
        <w:rPr>
          <w:sz w:val="24"/>
          <w:szCs w:val="24"/>
        </w:rPr>
        <w:t>Ikke anvendt lægemiddel samt affald heraf skal bortskaffes i henhold til lokale retningslinjer.</w:t>
      </w:r>
    </w:p>
    <w:p w:rsidR="009260DE" w:rsidRPr="00F61E4C" w:rsidRDefault="009260DE" w:rsidP="009260DE">
      <w:pPr>
        <w:tabs>
          <w:tab w:val="left" w:pos="851"/>
        </w:tabs>
        <w:ind w:left="851"/>
        <w:jc w:val="both"/>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7.</w:t>
      </w:r>
      <w:r w:rsidRPr="00F61E4C">
        <w:rPr>
          <w:b/>
          <w:sz w:val="24"/>
          <w:szCs w:val="24"/>
        </w:rPr>
        <w:tab/>
        <w:t>INDEHAVER AF MARKEDSFØRINGSTILLADELSEN</w:t>
      </w:r>
    </w:p>
    <w:p w:rsidR="00686279" w:rsidRPr="00F61E4C" w:rsidRDefault="00686279" w:rsidP="00686279">
      <w:pPr>
        <w:tabs>
          <w:tab w:val="left" w:pos="851"/>
        </w:tabs>
        <w:ind w:left="851"/>
        <w:rPr>
          <w:sz w:val="24"/>
          <w:szCs w:val="24"/>
        </w:rPr>
      </w:pPr>
      <w:r w:rsidRPr="00F61E4C">
        <w:rPr>
          <w:sz w:val="24"/>
          <w:szCs w:val="24"/>
        </w:rPr>
        <w:t>AstraZeneca A/S</w:t>
      </w:r>
    </w:p>
    <w:p w:rsidR="00D87A05" w:rsidRPr="00996088" w:rsidRDefault="00D87A05" w:rsidP="00D87A05">
      <w:pPr>
        <w:tabs>
          <w:tab w:val="left" w:pos="0"/>
          <w:tab w:val="left" w:pos="1152"/>
          <w:tab w:val="left" w:pos="1440"/>
        </w:tabs>
        <w:suppressAutoHyphens/>
        <w:ind w:left="851"/>
        <w:rPr>
          <w:sz w:val="24"/>
          <w:szCs w:val="24"/>
          <w:lang w:val="en-US"/>
        </w:rPr>
      </w:pPr>
      <w:r w:rsidRPr="00996088">
        <w:rPr>
          <w:sz w:val="24"/>
          <w:szCs w:val="24"/>
          <w:lang w:val="en-US"/>
        </w:rPr>
        <w:t xml:space="preserve">Johanne </w:t>
      </w:r>
      <w:proofErr w:type="spellStart"/>
      <w:r w:rsidRPr="00996088">
        <w:rPr>
          <w:sz w:val="24"/>
          <w:szCs w:val="24"/>
          <w:lang w:val="en-US"/>
        </w:rPr>
        <w:t>Møllers</w:t>
      </w:r>
      <w:proofErr w:type="spellEnd"/>
      <w:r w:rsidRPr="00996088">
        <w:rPr>
          <w:sz w:val="24"/>
          <w:szCs w:val="24"/>
          <w:lang w:val="en-US"/>
        </w:rPr>
        <w:t xml:space="preserve"> Passage 1, 4.</w:t>
      </w:r>
    </w:p>
    <w:p w:rsidR="00D87A05" w:rsidRDefault="00D87A05" w:rsidP="00D87A05">
      <w:pPr>
        <w:tabs>
          <w:tab w:val="left" w:pos="0"/>
          <w:tab w:val="left" w:pos="1152"/>
          <w:tab w:val="left" w:pos="1440"/>
        </w:tabs>
        <w:suppressAutoHyphens/>
        <w:ind w:left="851"/>
        <w:rPr>
          <w:sz w:val="24"/>
          <w:szCs w:val="24"/>
          <w:lang w:val="en-US"/>
        </w:rPr>
      </w:pPr>
      <w:r w:rsidRPr="00996088">
        <w:rPr>
          <w:sz w:val="24"/>
          <w:szCs w:val="24"/>
          <w:lang w:val="en-US"/>
        </w:rPr>
        <w:t xml:space="preserve">1799 </w:t>
      </w:r>
      <w:proofErr w:type="spellStart"/>
      <w:r>
        <w:rPr>
          <w:sz w:val="24"/>
          <w:szCs w:val="24"/>
          <w:lang w:val="en-US"/>
        </w:rPr>
        <w:t>København</w:t>
      </w:r>
      <w:proofErr w:type="spellEnd"/>
      <w:r w:rsidRPr="00996088">
        <w:rPr>
          <w:sz w:val="24"/>
          <w:szCs w:val="24"/>
          <w:lang w:val="en-US"/>
        </w:rPr>
        <w:t xml:space="preserve"> V</w:t>
      </w:r>
    </w:p>
    <w:p w:rsidR="00686279" w:rsidRPr="00F61E4C" w:rsidRDefault="00686279" w:rsidP="00686279">
      <w:pPr>
        <w:tabs>
          <w:tab w:val="left" w:pos="851"/>
        </w:tabs>
        <w:ind w:left="851"/>
        <w:rPr>
          <w:sz w:val="24"/>
          <w:szCs w:val="24"/>
        </w:rPr>
      </w:pPr>
    </w:p>
    <w:p w:rsidR="00686279" w:rsidRPr="00F61E4C" w:rsidRDefault="00686279" w:rsidP="00686279">
      <w:pPr>
        <w:tabs>
          <w:tab w:val="left" w:pos="851"/>
        </w:tabs>
        <w:ind w:left="851"/>
        <w:rPr>
          <w:b/>
          <w:sz w:val="24"/>
          <w:szCs w:val="24"/>
        </w:rPr>
      </w:pPr>
      <w:r w:rsidRPr="00F61E4C">
        <w:rPr>
          <w:b/>
          <w:sz w:val="24"/>
          <w:szCs w:val="24"/>
        </w:rPr>
        <w:t>Repræsentant</w:t>
      </w:r>
    </w:p>
    <w:p w:rsidR="00686279" w:rsidRPr="00F61E4C" w:rsidRDefault="00686279" w:rsidP="00686279">
      <w:pPr>
        <w:tabs>
          <w:tab w:val="left" w:pos="851"/>
        </w:tabs>
        <w:ind w:left="851"/>
        <w:rPr>
          <w:sz w:val="24"/>
          <w:szCs w:val="24"/>
        </w:rPr>
      </w:pPr>
      <w:r w:rsidRPr="00F61E4C">
        <w:rPr>
          <w:sz w:val="24"/>
          <w:szCs w:val="24"/>
        </w:rPr>
        <w:t>AstraZeneca AB</w:t>
      </w:r>
    </w:p>
    <w:p w:rsidR="00686279" w:rsidRPr="00F61E4C" w:rsidRDefault="00686279" w:rsidP="00686279">
      <w:pPr>
        <w:tabs>
          <w:tab w:val="left" w:pos="851"/>
        </w:tabs>
        <w:ind w:left="851"/>
        <w:rPr>
          <w:sz w:val="24"/>
          <w:szCs w:val="24"/>
        </w:rPr>
      </w:pPr>
      <w:proofErr w:type="spellStart"/>
      <w:r w:rsidRPr="00F61E4C">
        <w:rPr>
          <w:sz w:val="24"/>
          <w:szCs w:val="24"/>
        </w:rPr>
        <w:t>Astraallén</w:t>
      </w:r>
      <w:proofErr w:type="spellEnd"/>
    </w:p>
    <w:p w:rsidR="00686279" w:rsidRPr="00F61E4C" w:rsidRDefault="00686279" w:rsidP="00686279">
      <w:pPr>
        <w:tabs>
          <w:tab w:val="left" w:pos="851"/>
        </w:tabs>
        <w:ind w:left="851"/>
        <w:rPr>
          <w:sz w:val="24"/>
          <w:szCs w:val="24"/>
        </w:rPr>
      </w:pPr>
      <w:proofErr w:type="spellStart"/>
      <w:r w:rsidRPr="00F61E4C">
        <w:rPr>
          <w:sz w:val="24"/>
          <w:szCs w:val="24"/>
        </w:rPr>
        <w:t>Gärtuna</w:t>
      </w:r>
      <w:proofErr w:type="spellEnd"/>
      <w:r w:rsidRPr="00F61E4C">
        <w:rPr>
          <w:sz w:val="24"/>
          <w:szCs w:val="24"/>
        </w:rPr>
        <w:t>, Karlebyhus</w:t>
      </w:r>
    </w:p>
    <w:p w:rsidR="00686279" w:rsidRPr="00F61E4C" w:rsidRDefault="00686279" w:rsidP="00686279">
      <w:pPr>
        <w:tabs>
          <w:tab w:val="left" w:pos="851"/>
        </w:tabs>
        <w:ind w:left="851"/>
        <w:rPr>
          <w:sz w:val="24"/>
          <w:szCs w:val="24"/>
        </w:rPr>
      </w:pPr>
      <w:r w:rsidRPr="00F61E4C">
        <w:rPr>
          <w:sz w:val="24"/>
          <w:szCs w:val="24"/>
        </w:rPr>
        <w:t>151 85 Södertälje</w:t>
      </w:r>
    </w:p>
    <w:p w:rsidR="00686279" w:rsidRPr="00F61E4C" w:rsidRDefault="00686279" w:rsidP="00686279">
      <w:pPr>
        <w:tabs>
          <w:tab w:val="left" w:pos="851"/>
        </w:tabs>
        <w:ind w:left="851"/>
        <w:rPr>
          <w:sz w:val="24"/>
          <w:szCs w:val="24"/>
        </w:rPr>
      </w:pPr>
      <w:r w:rsidRPr="00F61E4C">
        <w:rPr>
          <w:sz w:val="24"/>
          <w:szCs w:val="24"/>
        </w:rPr>
        <w:t>Sverige</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8.</w:t>
      </w:r>
      <w:r w:rsidRPr="00F61E4C">
        <w:rPr>
          <w:b/>
          <w:sz w:val="24"/>
          <w:szCs w:val="24"/>
        </w:rPr>
        <w:tab/>
        <w:t>MARKEDSFØRINGSTILLADELSESNUMMER (</w:t>
      </w:r>
      <w:r w:rsidR="00D87A05">
        <w:rPr>
          <w:b/>
          <w:sz w:val="24"/>
          <w:szCs w:val="24"/>
        </w:rPr>
        <w:t>-</w:t>
      </w:r>
      <w:r w:rsidRPr="00F61E4C">
        <w:rPr>
          <w:b/>
          <w:sz w:val="24"/>
          <w:szCs w:val="24"/>
        </w:rPr>
        <w:t>NUMRE)</w:t>
      </w:r>
    </w:p>
    <w:p w:rsidR="009260DE" w:rsidRPr="00F61E4C" w:rsidRDefault="00D17906" w:rsidP="009260DE">
      <w:pPr>
        <w:tabs>
          <w:tab w:val="left" w:pos="851"/>
        </w:tabs>
        <w:ind w:left="851"/>
        <w:rPr>
          <w:sz w:val="24"/>
          <w:szCs w:val="24"/>
        </w:rPr>
      </w:pPr>
      <w:r w:rsidRPr="00F61E4C">
        <w:rPr>
          <w:sz w:val="24"/>
          <w:szCs w:val="24"/>
        </w:rPr>
        <w:t>62626</w:t>
      </w:r>
    </w:p>
    <w:p w:rsidR="009260DE" w:rsidRPr="00F61E4C" w:rsidRDefault="009260DE" w:rsidP="009260DE">
      <w:pPr>
        <w:tabs>
          <w:tab w:val="left" w:pos="851"/>
        </w:tabs>
        <w:ind w:left="851"/>
        <w:jc w:val="both"/>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9.</w:t>
      </w:r>
      <w:r w:rsidRPr="00F61E4C">
        <w:rPr>
          <w:b/>
          <w:sz w:val="24"/>
          <w:szCs w:val="24"/>
        </w:rPr>
        <w:tab/>
        <w:t>DATO FOR FØRSTE MARKEDSFØRINGSTILLADELSE</w:t>
      </w:r>
    </w:p>
    <w:p w:rsidR="002B3B95" w:rsidRPr="00F61E4C" w:rsidRDefault="002B3B95" w:rsidP="002B3B95">
      <w:pPr>
        <w:ind w:left="851"/>
        <w:rPr>
          <w:sz w:val="24"/>
          <w:szCs w:val="24"/>
        </w:rPr>
      </w:pPr>
      <w:r w:rsidRPr="00F61E4C">
        <w:rPr>
          <w:sz w:val="24"/>
          <w:szCs w:val="24"/>
        </w:rPr>
        <w:t>8. januar 2001 (</w:t>
      </w:r>
      <w:proofErr w:type="spellStart"/>
      <w:r w:rsidRPr="00F61E4C">
        <w:rPr>
          <w:sz w:val="24"/>
          <w:szCs w:val="24"/>
        </w:rPr>
        <w:t>Symbicort</w:t>
      </w:r>
      <w:proofErr w:type="spellEnd"/>
      <w:r w:rsidRPr="00F61E4C">
        <w:rPr>
          <w:sz w:val="24"/>
          <w:szCs w:val="24"/>
        </w:rPr>
        <w:t xml:space="preserve"> </w:t>
      </w:r>
      <w:proofErr w:type="spellStart"/>
      <w:r w:rsidRPr="00F61E4C">
        <w:rPr>
          <w:sz w:val="24"/>
          <w:szCs w:val="24"/>
        </w:rPr>
        <w:t>Turbuhaler</w:t>
      </w:r>
      <w:proofErr w:type="spellEnd"/>
      <w:r w:rsidRPr="00F61E4C">
        <w:rPr>
          <w:sz w:val="24"/>
          <w:szCs w:val="24"/>
        </w:rPr>
        <w:t xml:space="preserve"> og </w:t>
      </w:r>
      <w:proofErr w:type="spellStart"/>
      <w:r w:rsidRPr="00F61E4C">
        <w:rPr>
          <w:sz w:val="24"/>
          <w:szCs w:val="24"/>
        </w:rPr>
        <w:t>Symbicort</w:t>
      </w:r>
      <w:proofErr w:type="spellEnd"/>
      <w:r w:rsidRPr="00F61E4C">
        <w:rPr>
          <w:sz w:val="24"/>
          <w:szCs w:val="24"/>
        </w:rPr>
        <w:t xml:space="preserve"> </w:t>
      </w:r>
      <w:proofErr w:type="spellStart"/>
      <w:r w:rsidRPr="00F61E4C">
        <w:rPr>
          <w:sz w:val="24"/>
          <w:szCs w:val="24"/>
        </w:rPr>
        <w:t>Mite</w:t>
      </w:r>
      <w:proofErr w:type="spellEnd"/>
      <w:r w:rsidRPr="00F61E4C">
        <w:rPr>
          <w:sz w:val="24"/>
          <w:szCs w:val="24"/>
        </w:rPr>
        <w:t xml:space="preserve"> </w:t>
      </w:r>
      <w:proofErr w:type="spellStart"/>
      <w:r w:rsidRPr="00F61E4C">
        <w:rPr>
          <w:sz w:val="24"/>
          <w:szCs w:val="24"/>
        </w:rPr>
        <w:t>Turbuhaler</w:t>
      </w:r>
      <w:proofErr w:type="spellEnd"/>
      <w:r w:rsidRPr="00F61E4C">
        <w:rPr>
          <w:sz w:val="24"/>
          <w:szCs w:val="24"/>
        </w:rPr>
        <w:t>)</w:t>
      </w:r>
    </w:p>
    <w:p w:rsidR="009260DE" w:rsidRPr="00F61E4C" w:rsidRDefault="009260DE" w:rsidP="009260DE">
      <w:pPr>
        <w:tabs>
          <w:tab w:val="left" w:pos="851"/>
        </w:tabs>
        <w:ind w:left="851"/>
        <w:rPr>
          <w:sz w:val="24"/>
          <w:szCs w:val="24"/>
        </w:rPr>
      </w:pPr>
    </w:p>
    <w:p w:rsidR="009260DE" w:rsidRPr="00F61E4C" w:rsidRDefault="009260DE" w:rsidP="009260DE">
      <w:pPr>
        <w:tabs>
          <w:tab w:val="left" w:pos="851"/>
        </w:tabs>
        <w:ind w:left="851" w:hanging="851"/>
        <w:rPr>
          <w:b/>
          <w:sz w:val="24"/>
          <w:szCs w:val="24"/>
        </w:rPr>
      </w:pPr>
      <w:r w:rsidRPr="00F61E4C">
        <w:rPr>
          <w:b/>
          <w:sz w:val="24"/>
          <w:szCs w:val="24"/>
        </w:rPr>
        <w:t>10.</w:t>
      </w:r>
      <w:r w:rsidRPr="00F61E4C">
        <w:rPr>
          <w:b/>
          <w:sz w:val="24"/>
          <w:szCs w:val="24"/>
        </w:rPr>
        <w:tab/>
        <w:t>DATO FOR ÆNDRING AF TEKSTEN</w:t>
      </w:r>
    </w:p>
    <w:p w:rsidR="009260DE" w:rsidRPr="00F61E4C" w:rsidRDefault="00D87A05" w:rsidP="009260DE">
      <w:pPr>
        <w:tabs>
          <w:tab w:val="left" w:pos="851"/>
        </w:tabs>
        <w:ind w:left="851"/>
        <w:rPr>
          <w:sz w:val="24"/>
          <w:szCs w:val="24"/>
        </w:rPr>
      </w:pPr>
      <w:r>
        <w:rPr>
          <w:sz w:val="24"/>
          <w:szCs w:val="24"/>
        </w:rPr>
        <w:t>14. december 2023</w:t>
      </w:r>
    </w:p>
    <w:sectPr w:rsidR="009260DE" w:rsidRPr="00F61E4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682F" w:rsidRDefault="00BC682F">
      <w:r>
        <w:separator/>
      </w:r>
    </w:p>
  </w:endnote>
  <w:endnote w:type="continuationSeparator" w:id="0">
    <w:p w:rsidR="00BC682F" w:rsidRDefault="00BC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82F" w:rsidRDefault="00BC682F">
    <w:pPr>
      <w:pStyle w:val="Sidefod"/>
      <w:pBdr>
        <w:bottom w:val="single" w:sz="6" w:space="1" w:color="auto"/>
      </w:pBdr>
    </w:pPr>
  </w:p>
  <w:p w:rsidR="00BC682F" w:rsidRDefault="00BC682F" w:rsidP="00C42586">
    <w:pPr>
      <w:pStyle w:val="Sidefod"/>
      <w:tabs>
        <w:tab w:val="clear" w:pos="4819"/>
        <w:tab w:val="left" w:pos="8505"/>
      </w:tabs>
      <w:rPr>
        <w:i/>
        <w:sz w:val="18"/>
        <w:szCs w:val="18"/>
      </w:rPr>
    </w:pPr>
  </w:p>
  <w:p w:rsidR="00BC682F" w:rsidRPr="00B373D7" w:rsidRDefault="00BC682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A5A31">
      <w:rPr>
        <w:i/>
        <w:noProof/>
        <w:sz w:val="18"/>
        <w:szCs w:val="18"/>
      </w:rPr>
      <w:t>Symbicort, inhalationsspray, suspension 2,25+80 mikrog-dosis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682F" w:rsidRDefault="00BC682F">
      <w:r>
        <w:separator/>
      </w:r>
    </w:p>
  </w:footnote>
  <w:footnote w:type="continuationSeparator" w:id="0">
    <w:p w:rsidR="00BC682F" w:rsidRDefault="00BC6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4E83486"/>
    <w:multiLevelType w:val="hybridMultilevel"/>
    <w:tmpl w:val="03BE0E5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A4B5DAF"/>
    <w:multiLevelType w:val="hybridMultilevel"/>
    <w:tmpl w:val="A2A2C5C0"/>
    <w:lvl w:ilvl="0" w:tplc="0406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738"/>
    <w:rsid w:val="000019BC"/>
    <w:rsid w:val="000259B9"/>
    <w:rsid w:val="00041491"/>
    <w:rsid w:val="00050D16"/>
    <w:rsid w:val="00072840"/>
    <w:rsid w:val="00074F2A"/>
    <w:rsid w:val="000A1CA8"/>
    <w:rsid w:val="000A466B"/>
    <w:rsid w:val="000B058C"/>
    <w:rsid w:val="000E4EE6"/>
    <w:rsid w:val="001454E2"/>
    <w:rsid w:val="00191A18"/>
    <w:rsid w:val="00195211"/>
    <w:rsid w:val="001E2753"/>
    <w:rsid w:val="00206CE8"/>
    <w:rsid w:val="0021526C"/>
    <w:rsid w:val="00216994"/>
    <w:rsid w:val="00223920"/>
    <w:rsid w:val="002457DD"/>
    <w:rsid w:val="00283A2B"/>
    <w:rsid w:val="002B30AD"/>
    <w:rsid w:val="002B3B95"/>
    <w:rsid w:val="002C2C01"/>
    <w:rsid w:val="00326390"/>
    <w:rsid w:val="003A0FD6"/>
    <w:rsid w:val="003A29AE"/>
    <w:rsid w:val="003A32D7"/>
    <w:rsid w:val="003B1878"/>
    <w:rsid w:val="003B4074"/>
    <w:rsid w:val="003C769A"/>
    <w:rsid w:val="003F1838"/>
    <w:rsid w:val="00451F57"/>
    <w:rsid w:val="0045746C"/>
    <w:rsid w:val="0049104B"/>
    <w:rsid w:val="004E3B12"/>
    <w:rsid w:val="004F476A"/>
    <w:rsid w:val="00532310"/>
    <w:rsid w:val="00565F0F"/>
    <w:rsid w:val="00594A86"/>
    <w:rsid w:val="00596D86"/>
    <w:rsid w:val="00637F5A"/>
    <w:rsid w:val="006560B1"/>
    <w:rsid w:val="006756DD"/>
    <w:rsid w:val="00686279"/>
    <w:rsid w:val="006B563D"/>
    <w:rsid w:val="00737275"/>
    <w:rsid w:val="00740EEC"/>
    <w:rsid w:val="0078011A"/>
    <w:rsid w:val="00782AF4"/>
    <w:rsid w:val="00790EE7"/>
    <w:rsid w:val="007A08EB"/>
    <w:rsid w:val="007B6649"/>
    <w:rsid w:val="007D0F14"/>
    <w:rsid w:val="007D5537"/>
    <w:rsid w:val="00807B3D"/>
    <w:rsid w:val="008178EE"/>
    <w:rsid w:val="0082576E"/>
    <w:rsid w:val="00866BA0"/>
    <w:rsid w:val="0088538B"/>
    <w:rsid w:val="008C4142"/>
    <w:rsid w:val="00907F75"/>
    <w:rsid w:val="00925FAC"/>
    <w:rsid w:val="009260DE"/>
    <w:rsid w:val="0093258A"/>
    <w:rsid w:val="00974C7D"/>
    <w:rsid w:val="009A0F09"/>
    <w:rsid w:val="009A2BFF"/>
    <w:rsid w:val="009C7BA3"/>
    <w:rsid w:val="009D1F5A"/>
    <w:rsid w:val="009F36BF"/>
    <w:rsid w:val="00A04996"/>
    <w:rsid w:val="00B003BF"/>
    <w:rsid w:val="00B373D7"/>
    <w:rsid w:val="00BA39D0"/>
    <w:rsid w:val="00BA4E43"/>
    <w:rsid w:val="00BC682F"/>
    <w:rsid w:val="00BF0636"/>
    <w:rsid w:val="00C36276"/>
    <w:rsid w:val="00C42586"/>
    <w:rsid w:val="00C531C6"/>
    <w:rsid w:val="00C60CCD"/>
    <w:rsid w:val="00C84483"/>
    <w:rsid w:val="00C95551"/>
    <w:rsid w:val="00CA3A08"/>
    <w:rsid w:val="00CA5A31"/>
    <w:rsid w:val="00CB20D7"/>
    <w:rsid w:val="00D020B0"/>
    <w:rsid w:val="00D11748"/>
    <w:rsid w:val="00D17906"/>
    <w:rsid w:val="00D366CF"/>
    <w:rsid w:val="00D36B73"/>
    <w:rsid w:val="00D87A05"/>
    <w:rsid w:val="00DE54E8"/>
    <w:rsid w:val="00E0173B"/>
    <w:rsid w:val="00E108AA"/>
    <w:rsid w:val="00E3749A"/>
    <w:rsid w:val="00E54F25"/>
    <w:rsid w:val="00E7437F"/>
    <w:rsid w:val="00E75738"/>
    <w:rsid w:val="00E865B8"/>
    <w:rsid w:val="00E87959"/>
    <w:rsid w:val="00EC0B9B"/>
    <w:rsid w:val="00ED5E9F"/>
    <w:rsid w:val="00EF0FFA"/>
    <w:rsid w:val="00EF7E45"/>
    <w:rsid w:val="00F3776B"/>
    <w:rsid w:val="00F61E4C"/>
    <w:rsid w:val="00F66D4F"/>
    <w:rsid w:val="00FB6D01"/>
    <w:rsid w:val="00FD28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9C5FA6"/>
  <w15:chartTrackingRefBased/>
  <w15:docId w15:val="{E2A79BEA-897D-47B7-9EA8-15849F59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216994"/>
    <w:rPr>
      <w:color w:val="0000FF"/>
      <w:u w:val="single"/>
    </w:rPr>
  </w:style>
  <w:style w:type="paragraph" w:styleId="Brdtekstindrykning">
    <w:name w:val="Body Text Indent"/>
    <w:basedOn w:val="Normal"/>
    <w:link w:val="BrdtekstindrykningTegn"/>
    <w:rsid w:val="00223920"/>
    <w:pPr>
      <w:tabs>
        <w:tab w:val="left" w:pos="0"/>
        <w:tab w:val="left" w:pos="1152"/>
        <w:tab w:val="left" w:pos="1440"/>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223920"/>
    <w:rPr>
      <w:spacing w:val="-3"/>
      <w:sz w:val="24"/>
    </w:rPr>
  </w:style>
  <w:style w:type="character" w:styleId="Ulstomtale">
    <w:name w:val="Unresolved Mention"/>
    <w:basedOn w:val="Standardskrifttypeiafsnit"/>
    <w:uiPriority w:val="99"/>
    <w:semiHidden/>
    <w:unhideWhenUsed/>
    <w:rsid w:val="002239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68571">
      <w:bodyDiv w:val="1"/>
      <w:marLeft w:val="0"/>
      <w:marRight w:val="0"/>
      <w:marTop w:val="0"/>
      <w:marBottom w:val="0"/>
      <w:divBdr>
        <w:top w:val="none" w:sz="0" w:space="0" w:color="auto"/>
        <w:left w:val="none" w:sz="0" w:space="0" w:color="auto"/>
        <w:bottom w:val="none" w:sz="0" w:space="0" w:color="auto"/>
        <w:right w:val="none" w:sz="0" w:space="0" w:color="auto"/>
      </w:divBdr>
    </w:div>
    <w:div w:id="1345651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9704707">
      <w:bodyDiv w:val="1"/>
      <w:marLeft w:val="0"/>
      <w:marRight w:val="0"/>
      <w:marTop w:val="0"/>
      <w:marBottom w:val="0"/>
      <w:divBdr>
        <w:top w:val="none" w:sz="0" w:space="0" w:color="auto"/>
        <w:left w:val="none" w:sz="0" w:space="0" w:color="auto"/>
        <w:bottom w:val="none" w:sz="0" w:space="0" w:color="auto"/>
        <w:right w:val="none" w:sz="0" w:space="0" w:color="auto"/>
      </w:divBdr>
    </w:div>
    <w:div w:id="228657420">
      <w:bodyDiv w:val="1"/>
      <w:marLeft w:val="0"/>
      <w:marRight w:val="0"/>
      <w:marTop w:val="0"/>
      <w:marBottom w:val="0"/>
      <w:divBdr>
        <w:top w:val="none" w:sz="0" w:space="0" w:color="auto"/>
        <w:left w:val="none" w:sz="0" w:space="0" w:color="auto"/>
        <w:bottom w:val="none" w:sz="0" w:space="0" w:color="auto"/>
        <w:right w:val="none" w:sz="0" w:space="0" w:color="auto"/>
      </w:divBdr>
    </w:div>
    <w:div w:id="237786907">
      <w:bodyDiv w:val="1"/>
      <w:marLeft w:val="0"/>
      <w:marRight w:val="0"/>
      <w:marTop w:val="0"/>
      <w:marBottom w:val="0"/>
      <w:divBdr>
        <w:top w:val="none" w:sz="0" w:space="0" w:color="auto"/>
        <w:left w:val="none" w:sz="0" w:space="0" w:color="auto"/>
        <w:bottom w:val="none" w:sz="0" w:space="0" w:color="auto"/>
        <w:right w:val="none" w:sz="0" w:space="0" w:color="auto"/>
      </w:divBdr>
    </w:div>
    <w:div w:id="343820338">
      <w:bodyDiv w:val="1"/>
      <w:marLeft w:val="0"/>
      <w:marRight w:val="0"/>
      <w:marTop w:val="0"/>
      <w:marBottom w:val="0"/>
      <w:divBdr>
        <w:top w:val="none" w:sz="0" w:space="0" w:color="auto"/>
        <w:left w:val="none" w:sz="0" w:space="0" w:color="auto"/>
        <w:bottom w:val="none" w:sz="0" w:space="0" w:color="auto"/>
        <w:right w:val="none" w:sz="0" w:space="0" w:color="auto"/>
      </w:divBdr>
    </w:div>
    <w:div w:id="421222342">
      <w:bodyDiv w:val="1"/>
      <w:marLeft w:val="0"/>
      <w:marRight w:val="0"/>
      <w:marTop w:val="0"/>
      <w:marBottom w:val="0"/>
      <w:divBdr>
        <w:top w:val="none" w:sz="0" w:space="0" w:color="auto"/>
        <w:left w:val="none" w:sz="0" w:space="0" w:color="auto"/>
        <w:bottom w:val="none" w:sz="0" w:space="0" w:color="auto"/>
        <w:right w:val="none" w:sz="0" w:space="0" w:color="auto"/>
      </w:divBdr>
    </w:div>
    <w:div w:id="467865259">
      <w:bodyDiv w:val="1"/>
      <w:marLeft w:val="0"/>
      <w:marRight w:val="0"/>
      <w:marTop w:val="0"/>
      <w:marBottom w:val="0"/>
      <w:divBdr>
        <w:top w:val="none" w:sz="0" w:space="0" w:color="auto"/>
        <w:left w:val="none" w:sz="0" w:space="0" w:color="auto"/>
        <w:bottom w:val="none" w:sz="0" w:space="0" w:color="auto"/>
        <w:right w:val="none" w:sz="0" w:space="0" w:color="auto"/>
      </w:divBdr>
    </w:div>
    <w:div w:id="478229665">
      <w:bodyDiv w:val="1"/>
      <w:marLeft w:val="0"/>
      <w:marRight w:val="0"/>
      <w:marTop w:val="0"/>
      <w:marBottom w:val="0"/>
      <w:divBdr>
        <w:top w:val="none" w:sz="0" w:space="0" w:color="auto"/>
        <w:left w:val="none" w:sz="0" w:space="0" w:color="auto"/>
        <w:bottom w:val="none" w:sz="0" w:space="0" w:color="auto"/>
        <w:right w:val="none" w:sz="0" w:space="0" w:color="auto"/>
      </w:divBdr>
    </w:div>
    <w:div w:id="574243668">
      <w:bodyDiv w:val="1"/>
      <w:marLeft w:val="0"/>
      <w:marRight w:val="0"/>
      <w:marTop w:val="0"/>
      <w:marBottom w:val="0"/>
      <w:divBdr>
        <w:top w:val="none" w:sz="0" w:space="0" w:color="auto"/>
        <w:left w:val="none" w:sz="0" w:space="0" w:color="auto"/>
        <w:bottom w:val="none" w:sz="0" w:space="0" w:color="auto"/>
        <w:right w:val="none" w:sz="0" w:space="0" w:color="auto"/>
      </w:divBdr>
    </w:div>
    <w:div w:id="666131364">
      <w:bodyDiv w:val="1"/>
      <w:marLeft w:val="0"/>
      <w:marRight w:val="0"/>
      <w:marTop w:val="0"/>
      <w:marBottom w:val="0"/>
      <w:divBdr>
        <w:top w:val="none" w:sz="0" w:space="0" w:color="auto"/>
        <w:left w:val="none" w:sz="0" w:space="0" w:color="auto"/>
        <w:bottom w:val="none" w:sz="0" w:space="0" w:color="auto"/>
        <w:right w:val="none" w:sz="0" w:space="0" w:color="auto"/>
      </w:divBdr>
    </w:div>
    <w:div w:id="689642537">
      <w:bodyDiv w:val="1"/>
      <w:marLeft w:val="0"/>
      <w:marRight w:val="0"/>
      <w:marTop w:val="0"/>
      <w:marBottom w:val="0"/>
      <w:divBdr>
        <w:top w:val="none" w:sz="0" w:space="0" w:color="auto"/>
        <w:left w:val="none" w:sz="0" w:space="0" w:color="auto"/>
        <w:bottom w:val="none" w:sz="0" w:space="0" w:color="auto"/>
        <w:right w:val="none" w:sz="0" w:space="0" w:color="auto"/>
      </w:divBdr>
    </w:div>
    <w:div w:id="782531893">
      <w:bodyDiv w:val="1"/>
      <w:marLeft w:val="0"/>
      <w:marRight w:val="0"/>
      <w:marTop w:val="0"/>
      <w:marBottom w:val="0"/>
      <w:divBdr>
        <w:top w:val="none" w:sz="0" w:space="0" w:color="auto"/>
        <w:left w:val="none" w:sz="0" w:space="0" w:color="auto"/>
        <w:bottom w:val="none" w:sz="0" w:space="0" w:color="auto"/>
        <w:right w:val="none" w:sz="0" w:space="0" w:color="auto"/>
      </w:divBdr>
    </w:div>
    <w:div w:id="793984385">
      <w:bodyDiv w:val="1"/>
      <w:marLeft w:val="0"/>
      <w:marRight w:val="0"/>
      <w:marTop w:val="0"/>
      <w:marBottom w:val="0"/>
      <w:divBdr>
        <w:top w:val="none" w:sz="0" w:space="0" w:color="auto"/>
        <w:left w:val="none" w:sz="0" w:space="0" w:color="auto"/>
        <w:bottom w:val="none" w:sz="0" w:space="0" w:color="auto"/>
        <w:right w:val="none" w:sz="0" w:space="0" w:color="auto"/>
      </w:divBdr>
    </w:div>
    <w:div w:id="796485529">
      <w:bodyDiv w:val="1"/>
      <w:marLeft w:val="0"/>
      <w:marRight w:val="0"/>
      <w:marTop w:val="0"/>
      <w:marBottom w:val="0"/>
      <w:divBdr>
        <w:top w:val="none" w:sz="0" w:space="0" w:color="auto"/>
        <w:left w:val="none" w:sz="0" w:space="0" w:color="auto"/>
        <w:bottom w:val="none" w:sz="0" w:space="0" w:color="auto"/>
        <w:right w:val="none" w:sz="0" w:space="0" w:color="auto"/>
      </w:divBdr>
    </w:div>
    <w:div w:id="942762803">
      <w:bodyDiv w:val="1"/>
      <w:marLeft w:val="0"/>
      <w:marRight w:val="0"/>
      <w:marTop w:val="0"/>
      <w:marBottom w:val="0"/>
      <w:divBdr>
        <w:top w:val="none" w:sz="0" w:space="0" w:color="auto"/>
        <w:left w:val="none" w:sz="0" w:space="0" w:color="auto"/>
        <w:bottom w:val="none" w:sz="0" w:space="0" w:color="auto"/>
        <w:right w:val="none" w:sz="0" w:space="0" w:color="auto"/>
      </w:divBdr>
    </w:div>
    <w:div w:id="975724169">
      <w:bodyDiv w:val="1"/>
      <w:marLeft w:val="0"/>
      <w:marRight w:val="0"/>
      <w:marTop w:val="0"/>
      <w:marBottom w:val="0"/>
      <w:divBdr>
        <w:top w:val="none" w:sz="0" w:space="0" w:color="auto"/>
        <w:left w:val="none" w:sz="0" w:space="0" w:color="auto"/>
        <w:bottom w:val="none" w:sz="0" w:space="0" w:color="auto"/>
        <w:right w:val="none" w:sz="0" w:space="0" w:color="auto"/>
      </w:divBdr>
    </w:div>
    <w:div w:id="1060861056">
      <w:bodyDiv w:val="1"/>
      <w:marLeft w:val="0"/>
      <w:marRight w:val="0"/>
      <w:marTop w:val="0"/>
      <w:marBottom w:val="0"/>
      <w:divBdr>
        <w:top w:val="none" w:sz="0" w:space="0" w:color="auto"/>
        <w:left w:val="none" w:sz="0" w:space="0" w:color="auto"/>
        <w:bottom w:val="none" w:sz="0" w:space="0" w:color="auto"/>
        <w:right w:val="none" w:sz="0" w:space="0" w:color="auto"/>
      </w:divBdr>
    </w:div>
    <w:div w:id="1075201978">
      <w:bodyDiv w:val="1"/>
      <w:marLeft w:val="0"/>
      <w:marRight w:val="0"/>
      <w:marTop w:val="0"/>
      <w:marBottom w:val="0"/>
      <w:divBdr>
        <w:top w:val="none" w:sz="0" w:space="0" w:color="auto"/>
        <w:left w:val="none" w:sz="0" w:space="0" w:color="auto"/>
        <w:bottom w:val="none" w:sz="0" w:space="0" w:color="auto"/>
        <w:right w:val="none" w:sz="0" w:space="0" w:color="auto"/>
      </w:divBdr>
    </w:div>
    <w:div w:id="1108237308">
      <w:bodyDiv w:val="1"/>
      <w:marLeft w:val="0"/>
      <w:marRight w:val="0"/>
      <w:marTop w:val="0"/>
      <w:marBottom w:val="0"/>
      <w:divBdr>
        <w:top w:val="none" w:sz="0" w:space="0" w:color="auto"/>
        <w:left w:val="none" w:sz="0" w:space="0" w:color="auto"/>
        <w:bottom w:val="none" w:sz="0" w:space="0" w:color="auto"/>
        <w:right w:val="none" w:sz="0" w:space="0" w:color="auto"/>
      </w:divBdr>
    </w:div>
    <w:div w:id="1133254962">
      <w:bodyDiv w:val="1"/>
      <w:marLeft w:val="0"/>
      <w:marRight w:val="0"/>
      <w:marTop w:val="0"/>
      <w:marBottom w:val="0"/>
      <w:divBdr>
        <w:top w:val="none" w:sz="0" w:space="0" w:color="auto"/>
        <w:left w:val="none" w:sz="0" w:space="0" w:color="auto"/>
        <w:bottom w:val="none" w:sz="0" w:space="0" w:color="auto"/>
        <w:right w:val="none" w:sz="0" w:space="0" w:color="auto"/>
      </w:divBdr>
    </w:div>
    <w:div w:id="1137606084">
      <w:bodyDiv w:val="1"/>
      <w:marLeft w:val="0"/>
      <w:marRight w:val="0"/>
      <w:marTop w:val="0"/>
      <w:marBottom w:val="0"/>
      <w:divBdr>
        <w:top w:val="none" w:sz="0" w:space="0" w:color="auto"/>
        <w:left w:val="none" w:sz="0" w:space="0" w:color="auto"/>
        <w:bottom w:val="none" w:sz="0" w:space="0" w:color="auto"/>
        <w:right w:val="none" w:sz="0" w:space="0" w:color="auto"/>
      </w:divBdr>
    </w:div>
    <w:div w:id="1170607974">
      <w:bodyDiv w:val="1"/>
      <w:marLeft w:val="0"/>
      <w:marRight w:val="0"/>
      <w:marTop w:val="0"/>
      <w:marBottom w:val="0"/>
      <w:divBdr>
        <w:top w:val="none" w:sz="0" w:space="0" w:color="auto"/>
        <w:left w:val="none" w:sz="0" w:space="0" w:color="auto"/>
        <w:bottom w:val="none" w:sz="0" w:space="0" w:color="auto"/>
        <w:right w:val="none" w:sz="0" w:space="0" w:color="auto"/>
      </w:divBdr>
    </w:div>
    <w:div w:id="1210991563">
      <w:bodyDiv w:val="1"/>
      <w:marLeft w:val="0"/>
      <w:marRight w:val="0"/>
      <w:marTop w:val="0"/>
      <w:marBottom w:val="0"/>
      <w:divBdr>
        <w:top w:val="none" w:sz="0" w:space="0" w:color="auto"/>
        <w:left w:val="none" w:sz="0" w:space="0" w:color="auto"/>
        <w:bottom w:val="none" w:sz="0" w:space="0" w:color="auto"/>
        <w:right w:val="none" w:sz="0" w:space="0" w:color="auto"/>
      </w:divBdr>
    </w:div>
    <w:div w:id="1288467508">
      <w:bodyDiv w:val="1"/>
      <w:marLeft w:val="0"/>
      <w:marRight w:val="0"/>
      <w:marTop w:val="0"/>
      <w:marBottom w:val="0"/>
      <w:divBdr>
        <w:top w:val="none" w:sz="0" w:space="0" w:color="auto"/>
        <w:left w:val="none" w:sz="0" w:space="0" w:color="auto"/>
        <w:bottom w:val="none" w:sz="0" w:space="0" w:color="auto"/>
        <w:right w:val="none" w:sz="0" w:space="0" w:color="auto"/>
      </w:divBdr>
    </w:div>
    <w:div w:id="1341471419">
      <w:bodyDiv w:val="1"/>
      <w:marLeft w:val="0"/>
      <w:marRight w:val="0"/>
      <w:marTop w:val="0"/>
      <w:marBottom w:val="0"/>
      <w:divBdr>
        <w:top w:val="none" w:sz="0" w:space="0" w:color="auto"/>
        <w:left w:val="none" w:sz="0" w:space="0" w:color="auto"/>
        <w:bottom w:val="none" w:sz="0" w:space="0" w:color="auto"/>
        <w:right w:val="none" w:sz="0" w:space="0" w:color="auto"/>
      </w:divBdr>
    </w:div>
    <w:div w:id="1353528420">
      <w:bodyDiv w:val="1"/>
      <w:marLeft w:val="0"/>
      <w:marRight w:val="0"/>
      <w:marTop w:val="0"/>
      <w:marBottom w:val="0"/>
      <w:divBdr>
        <w:top w:val="none" w:sz="0" w:space="0" w:color="auto"/>
        <w:left w:val="none" w:sz="0" w:space="0" w:color="auto"/>
        <w:bottom w:val="none" w:sz="0" w:space="0" w:color="auto"/>
        <w:right w:val="none" w:sz="0" w:space="0" w:color="auto"/>
      </w:divBdr>
    </w:div>
    <w:div w:id="1353997001">
      <w:bodyDiv w:val="1"/>
      <w:marLeft w:val="0"/>
      <w:marRight w:val="0"/>
      <w:marTop w:val="0"/>
      <w:marBottom w:val="0"/>
      <w:divBdr>
        <w:top w:val="none" w:sz="0" w:space="0" w:color="auto"/>
        <w:left w:val="none" w:sz="0" w:space="0" w:color="auto"/>
        <w:bottom w:val="none" w:sz="0" w:space="0" w:color="auto"/>
        <w:right w:val="none" w:sz="0" w:space="0" w:color="auto"/>
      </w:divBdr>
    </w:div>
    <w:div w:id="1395162439">
      <w:bodyDiv w:val="1"/>
      <w:marLeft w:val="0"/>
      <w:marRight w:val="0"/>
      <w:marTop w:val="0"/>
      <w:marBottom w:val="0"/>
      <w:divBdr>
        <w:top w:val="none" w:sz="0" w:space="0" w:color="auto"/>
        <w:left w:val="none" w:sz="0" w:space="0" w:color="auto"/>
        <w:bottom w:val="none" w:sz="0" w:space="0" w:color="auto"/>
        <w:right w:val="none" w:sz="0" w:space="0" w:color="auto"/>
      </w:divBdr>
    </w:div>
    <w:div w:id="1456212366">
      <w:bodyDiv w:val="1"/>
      <w:marLeft w:val="0"/>
      <w:marRight w:val="0"/>
      <w:marTop w:val="0"/>
      <w:marBottom w:val="0"/>
      <w:divBdr>
        <w:top w:val="none" w:sz="0" w:space="0" w:color="auto"/>
        <w:left w:val="none" w:sz="0" w:space="0" w:color="auto"/>
        <w:bottom w:val="none" w:sz="0" w:space="0" w:color="auto"/>
        <w:right w:val="none" w:sz="0" w:space="0" w:color="auto"/>
      </w:divBdr>
    </w:div>
    <w:div w:id="1713116224">
      <w:bodyDiv w:val="1"/>
      <w:marLeft w:val="0"/>
      <w:marRight w:val="0"/>
      <w:marTop w:val="0"/>
      <w:marBottom w:val="0"/>
      <w:divBdr>
        <w:top w:val="none" w:sz="0" w:space="0" w:color="auto"/>
        <w:left w:val="none" w:sz="0" w:space="0" w:color="auto"/>
        <w:bottom w:val="none" w:sz="0" w:space="0" w:color="auto"/>
        <w:right w:val="none" w:sz="0" w:space="0" w:color="auto"/>
      </w:divBdr>
    </w:div>
    <w:div w:id="1754431305">
      <w:bodyDiv w:val="1"/>
      <w:marLeft w:val="0"/>
      <w:marRight w:val="0"/>
      <w:marTop w:val="0"/>
      <w:marBottom w:val="0"/>
      <w:divBdr>
        <w:top w:val="none" w:sz="0" w:space="0" w:color="auto"/>
        <w:left w:val="none" w:sz="0" w:space="0" w:color="auto"/>
        <w:bottom w:val="none" w:sz="0" w:space="0" w:color="auto"/>
        <w:right w:val="none" w:sz="0" w:space="0" w:color="auto"/>
      </w:divBdr>
    </w:div>
    <w:div w:id="1878156334">
      <w:bodyDiv w:val="1"/>
      <w:marLeft w:val="0"/>
      <w:marRight w:val="0"/>
      <w:marTop w:val="0"/>
      <w:marBottom w:val="0"/>
      <w:divBdr>
        <w:top w:val="none" w:sz="0" w:space="0" w:color="auto"/>
        <w:left w:val="none" w:sz="0" w:space="0" w:color="auto"/>
        <w:bottom w:val="none" w:sz="0" w:space="0" w:color="auto"/>
        <w:right w:val="none" w:sz="0" w:space="0" w:color="auto"/>
      </w:divBdr>
    </w:div>
    <w:div w:id="1930917730">
      <w:bodyDiv w:val="1"/>
      <w:marLeft w:val="0"/>
      <w:marRight w:val="0"/>
      <w:marTop w:val="0"/>
      <w:marBottom w:val="0"/>
      <w:divBdr>
        <w:top w:val="none" w:sz="0" w:space="0" w:color="auto"/>
        <w:left w:val="none" w:sz="0" w:space="0" w:color="auto"/>
        <w:bottom w:val="none" w:sz="0" w:space="0" w:color="auto"/>
        <w:right w:val="none" w:sz="0" w:space="0" w:color="auto"/>
      </w:divBdr>
    </w:div>
    <w:div w:id="2103529739">
      <w:bodyDiv w:val="1"/>
      <w:marLeft w:val="0"/>
      <w:marRight w:val="0"/>
      <w:marTop w:val="0"/>
      <w:marBottom w:val="0"/>
      <w:divBdr>
        <w:top w:val="none" w:sz="0" w:space="0" w:color="auto"/>
        <w:left w:val="none" w:sz="0" w:space="0" w:color="auto"/>
        <w:bottom w:val="none" w:sz="0" w:space="0" w:color="auto"/>
        <w:right w:val="none" w:sz="0" w:space="0" w:color="auto"/>
      </w:divBdr>
    </w:div>
    <w:div w:id="214022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5359</Words>
  <Characters>36045</Characters>
  <Application>Microsoft Office Word</Application>
  <DocSecurity>0</DocSecurity>
  <Lines>300</Lines>
  <Paragraphs>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2023094211_x000d_
Ændring af MAH adresse</dc:description>
  <cp:lastModifiedBy>Marianne Ott Jensen</cp:lastModifiedBy>
  <cp:revision>4</cp:revision>
  <cp:lastPrinted>2020-07-02T11:04:00Z</cp:lastPrinted>
  <dcterms:created xsi:type="dcterms:W3CDTF">2023-12-14T10:20:00Z</dcterms:created>
  <dcterms:modified xsi:type="dcterms:W3CDTF">2023-12-14T10:24:00Z</dcterms:modified>
</cp:coreProperties>
</file>