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56F3D" w14:textId="6A53E460" w:rsidR="009260DE" w:rsidRPr="00C84483" w:rsidRDefault="0021526C" w:rsidP="001157CF">
      <w:pPr>
        <w:rPr>
          <w:b/>
          <w:szCs w:val="24"/>
        </w:rPr>
      </w:pPr>
      <w:r w:rsidRPr="009260DE">
        <w:rPr>
          <w:noProof/>
          <w:sz w:val="24"/>
          <w:szCs w:val="24"/>
          <w:lang w:eastAsia="da-DK"/>
        </w:rPr>
        <w:drawing>
          <wp:anchor distT="0" distB="0" distL="114300" distR="114300" simplePos="0" relativeHeight="251658240" behindDoc="0" locked="0" layoutInCell="1" allowOverlap="1" wp14:anchorId="2E6962A5" wp14:editId="1BFA1582">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02694C0F" w14:textId="02262964"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4A4F6D">
        <w:rPr>
          <w:szCs w:val="24"/>
        </w:rPr>
        <w:t>15. september 2026</w:t>
      </w:r>
    </w:p>
    <w:p w14:paraId="1C978736" w14:textId="77777777" w:rsidR="009260DE" w:rsidRPr="00C84483" w:rsidRDefault="009260DE" w:rsidP="009260DE">
      <w:pPr>
        <w:pStyle w:val="Titel"/>
        <w:tabs>
          <w:tab w:val="left" w:pos="8222"/>
        </w:tabs>
        <w:jc w:val="left"/>
        <w:rPr>
          <w:b w:val="0"/>
          <w:szCs w:val="24"/>
        </w:rPr>
      </w:pPr>
    </w:p>
    <w:p w14:paraId="7C2AD917" w14:textId="77777777" w:rsidR="009260DE" w:rsidRPr="00C84483" w:rsidRDefault="009260DE" w:rsidP="009260DE">
      <w:pPr>
        <w:pStyle w:val="Titel"/>
        <w:jc w:val="left"/>
        <w:rPr>
          <w:b w:val="0"/>
          <w:szCs w:val="24"/>
        </w:rPr>
      </w:pPr>
    </w:p>
    <w:p w14:paraId="12D73A39" w14:textId="77777777" w:rsidR="009260DE" w:rsidRPr="00C84483" w:rsidRDefault="009260DE" w:rsidP="009260DE">
      <w:pPr>
        <w:pStyle w:val="Titel"/>
        <w:jc w:val="left"/>
        <w:rPr>
          <w:b w:val="0"/>
          <w:szCs w:val="24"/>
        </w:rPr>
      </w:pPr>
    </w:p>
    <w:p w14:paraId="65E161B7" w14:textId="77777777" w:rsidR="009260DE" w:rsidRPr="00C84483" w:rsidRDefault="009260DE" w:rsidP="009260DE">
      <w:pPr>
        <w:jc w:val="center"/>
        <w:rPr>
          <w:b/>
          <w:sz w:val="24"/>
          <w:szCs w:val="24"/>
        </w:rPr>
      </w:pPr>
      <w:r w:rsidRPr="00C84483">
        <w:rPr>
          <w:b/>
          <w:sz w:val="24"/>
          <w:szCs w:val="24"/>
        </w:rPr>
        <w:t>PRODUKTRESUMÉ</w:t>
      </w:r>
    </w:p>
    <w:p w14:paraId="126E8E7D" w14:textId="77777777" w:rsidR="009260DE" w:rsidRPr="00C84483" w:rsidRDefault="009260DE" w:rsidP="009260DE">
      <w:pPr>
        <w:jc w:val="center"/>
        <w:rPr>
          <w:b/>
          <w:sz w:val="24"/>
          <w:szCs w:val="24"/>
        </w:rPr>
      </w:pPr>
    </w:p>
    <w:p w14:paraId="365CFF31" w14:textId="77777777" w:rsidR="009260DE" w:rsidRDefault="009260DE" w:rsidP="009260DE">
      <w:pPr>
        <w:jc w:val="center"/>
        <w:rPr>
          <w:b/>
          <w:sz w:val="24"/>
          <w:szCs w:val="24"/>
        </w:rPr>
      </w:pPr>
      <w:r w:rsidRPr="00C84483">
        <w:rPr>
          <w:b/>
          <w:sz w:val="24"/>
          <w:szCs w:val="24"/>
        </w:rPr>
        <w:t>for</w:t>
      </w:r>
    </w:p>
    <w:p w14:paraId="28B6D3F8" w14:textId="77777777" w:rsidR="000B058C" w:rsidRPr="00C84483" w:rsidRDefault="000B058C" w:rsidP="009260DE">
      <w:pPr>
        <w:jc w:val="center"/>
        <w:rPr>
          <w:b/>
          <w:sz w:val="24"/>
          <w:szCs w:val="24"/>
        </w:rPr>
      </w:pPr>
    </w:p>
    <w:p w14:paraId="08EE8A6B" w14:textId="634D38A6" w:rsidR="009260DE" w:rsidRPr="00C84483" w:rsidRDefault="00014003" w:rsidP="009260DE">
      <w:pPr>
        <w:jc w:val="center"/>
        <w:rPr>
          <w:b/>
          <w:sz w:val="24"/>
          <w:szCs w:val="24"/>
        </w:rPr>
      </w:pPr>
      <w:r>
        <w:rPr>
          <w:b/>
          <w:sz w:val="24"/>
          <w:szCs w:val="24"/>
        </w:rPr>
        <w:t>Tacrolimus "EQL Pharma", hårde kapsler</w:t>
      </w:r>
    </w:p>
    <w:p w14:paraId="4240DCA0" w14:textId="77777777" w:rsidR="009260DE" w:rsidRPr="00C84483" w:rsidRDefault="009260DE" w:rsidP="009260DE">
      <w:pPr>
        <w:jc w:val="both"/>
        <w:rPr>
          <w:sz w:val="24"/>
          <w:szCs w:val="24"/>
        </w:rPr>
      </w:pPr>
    </w:p>
    <w:p w14:paraId="4D5CB0FA" w14:textId="77777777" w:rsidR="009260DE" w:rsidRPr="00C84483" w:rsidRDefault="009260DE" w:rsidP="009260DE">
      <w:pPr>
        <w:jc w:val="both"/>
        <w:rPr>
          <w:sz w:val="24"/>
          <w:szCs w:val="24"/>
        </w:rPr>
      </w:pPr>
    </w:p>
    <w:p w14:paraId="77FE5244"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72A6E6AC" w14:textId="64BCE58C" w:rsidR="009260DE" w:rsidRPr="00C84483" w:rsidRDefault="00014003" w:rsidP="009260DE">
      <w:pPr>
        <w:tabs>
          <w:tab w:val="left" w:pos="851"/>
        </w:tabs>
        <w:ind w:left="851"/>
        <w:rPr>
          <w:sz w:val="24"/>
          <w:szCs w:val="24"/>
        </w:rPr>
      </w:pPr>
      <w:r>
        <w:rPr>
          <w:sz w:val="24"/>
          <w:szCs w:val="24"/>
        </w:rPr>
        <w:t>35038</w:t>
      </w:r>
    </w:p>
    <w:p w14:paraId="07EC4AF3" w14:textId="77777777" w:rsidR="009260DE" w:rsidRPr="00C84483" w:rsidRDefault="009260DE" w:rsidP="009260DE">
      <w:pPr>
        <w:tabs>
          <w:tab w:val="left" w:pos="851"/>
        </w:tabs>
        <w:ind w:left="851"/>
        <w:rPr>
          <w:sz w:val="24"/>
          <w:szCs w:val="24"/>
        </w:rPr>
      </w:pPr>
    </w:p>
    <w:p w14:paraId="0F04068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287A1526" w14:textId="0E14C5DB" w:rsidR="009260DE" w:rsidRPr="00C84483" w:rsidRDefault="00014003" w:rsidP="009260DE">
      <w:pPr>
        <w:tabs>
          <w:tab w:val="left" w:pos="851"/>
        </w:tabs>
        <w:ind w:left="851"/>
        <w:rPr>
          <w:sz w:val="24"/>
          <w:szCs w:val="24"/>
        </w:rPr>
      </w:pPr>
      <w:r>
        <w:rPr>
          <w:sz w:val="24"/>
          <w:szCs w:val="24"/>
        </w:rPr>
        <w:t>Tacrolimus "EQL Pharma"</w:t>
      </w:r>
    </w:p>
    <w:p w14:paraId="6E8A1291" w14:textId="77777777" w:rsidR="009260DE" w:rsidRPr="00C84483" w:rsidRDefault="009260DE" w:rsidP="009260DE">
      <w:pPr>
        <w:tabs>
          <w:tab w:val="left" w:pos="851"/>
        </w:tabs>
        <w:ind w:left="851"/>
        <w:rPr>
          <w:sz w:val="24"/>
          <w:szCs w:val="24"/>
        </w:rPr>
      </w:pPr>
    </w:p>
    <w:p w14:paraId="41F7349E"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725C61BC" w14:textId="77777777" w:rsidR="00A863D6" w:rsidRDefault="00A863D6" w:rsidP="001157CF">
      <w:pPr>
        <w:ind w:left="851"/>
        <w:rPr>
          <w:sz w:val="24"/>
          <w:szCs w:val="24"/>
          <w:u w:val="single"/>
        </w:rPr>
      </w:pPr>
    </w:p>
    <w:p w14:paraId="3290F6D2" w14:textId="3D61F763" w:rsidR="00C2340B" w:rsidRPr="00C2340B" w:rsidRDefault="00C2340B" w:rsidP="001157CF">
      <w:pPr>
        <w:ind w:left="851"/>
        <w:rPr>
          <w:sz w:val="24"/>
          <w:szCs w:val="24"/>
          <w:u w:val="single"/>
        </w:rPr>
      </w:pPr>
      <w:r w:rsidRPr="00C2340B">
        <w:rPr>
          <w:sz w:val="24"/>
          <w:szCs w:val="24"/>
          <w:u w:val="single"/>
        </w:rPr>
        <w:t xml:space="preserve">Tacrolimus </w:t>
      </w:r>
      <w:r w:rsidR="00A863D6">
        <w:rPr>
          <w:sz w:val="24"/>
          <w:szCs w:val="24"/>
          <w:u w:val="single"/>
        </w:rPr>
        <w:t>"EQL Pharma"</w:t>
      </w:r>
      <w:r w:rsidRPr="00C2340B">
        <w:rPr>
          <w:sz w:val="24"/>
          <w:szCs w:val="24"/>
          <w:u w:val="single"/>
        </w:rPr>
        <w:t xml:space="preserve"> 0,5 mg hårde kapsler</w:t>
      </w:r>
    </w:p>
    <w:p w14:paraId="7E59AC27" w14:textId="77777777" w:rsidR="00C2340B" w:rsidRPr="00C2340B" w:rsidRDefault="00C2340B" w:rsidP="001157CF">
      <w:pPr>
        <w:ind w:left="851"/>
        <w:rPr>
          <w:sz w:val="24"/>
          <w:szCs w:val="24"/>
        </w:rPr>
      </w:pPr>
      <w:r w:rsidRPr="00C2340B">
        <w:rPr>
          <w:sz w:val="24"/>
          <w:szCs w:val="24"/>
        </w:rPr>
        <w:t xml:space="preserve">Hver kapsel indeholder 0,5 mg </w:t>
      </w:r>
      <w:bookmarkStart w:id="0" w:name="_Hlk240287287"/>
      <w:r w:rsidRPr="00C2340B">
        <w:rPr>
          <w:sz w:val="24"/>
          <w:szCs w:val="24"/>
        </w:rPr>
        <w:t>tacrolimus (som monohydrat)</w:t>
      </w:r>
      <w:bookmarkEnd w:id="0"/>
      <w:r w:rsidRPr="00C2340B">
        <w:rPr>
          <w:sz w:val="24"/>
          <w:szCs w:val="24"/>
        </w:rPr>
        <w:t>.</w:t>
      </w:r>
    </w:p>
    <w:p w14:paraId="512E5A84" w14:textId="77777777" w:rsidR="00C2340B" w:rsidRPr="00C2340B" w:rsidRDefault="00C2340B" w:rsidP="001157CF">
      <w:pPr>
        <w:ind w:left="851"/>
        <w:rPr>
          <w:sz w:val="24"/>
          <w:szCs w:val="24"/>
        </w:rPr>
      </w:pPr>
      <w:r w:rsidRPr="00C2340B">
        <w:rPr>
          <w:sz w:val="24"/>
          <w:szCs w:val="24"/>
        </w:rPr>
        <w:t>Hjælpestoffer, som behandleren skal være opmærksom på: Hver kapsel indeholder 64,355 mg lactose</w:t>
      </w:r>
    </w:p>
    <w:p w14:paraId="7A5347A7" w14:textId="77777777" w:rsidR="00C2340B" w:rsidRPr="00C2340B" w:rsidRDefault="00C2340B" w:rsidP="001157CF">
      <w:pPr>
        <w:ind w:left="851"/>
        <w:rPr>
          <w:sz w:val="24"/>
          <w:szCs w:val="24"/>
        </w:rPr>
      </w:pPr>
      <w:r w:rsidRPr="00C2340B">
        <w:rPr>
          <w:sz w:val="24"/>
          <w:szCs w:val="24"/>
        </w:rPr>
        <w:t>Hver kapsel indeholder mindre end 1 mmol (23 mg) natrium</w:t>
      </w:r>
    </w:p>
    <w:p w14:paraId="67F0B95E" w14:textId="77777777" w:rsidR="00C2340B" w:rsidRPr="00C2340B" w:rsidRDefault="00C2340B" w:rsidP="001157CF">
      <w:pPr>
        <w:ind w:left="851"/>
        <w:rPr>
          <w:sz w:val="24"/>
          <w:szCs w:val="24"/>
        </w:rPr>
      </w:pPr>
    </w:p>
    <w:p w14:paraId="190433FA" w14:textId="569FC1AF" w:rsidR="00C2340B" w:rsidRPr="00C2340B" w:rsidRDefault="00C2340B" w:rsidP="001157CF">
      <w:pPr>
        <w:ind w:left="851"/>
        <w:rPr>
          <w:sz w:val="24"/>
          <w:szCs w:val="24"/>
          <w:u w:val="single"/>
        </w:rPr>
      </w:pPr>
      <w:r w:rsidRPr="00C2340B">
        <w:rPr>
          <w:sz w:val="24"/>
          <w:szCs w:val="24"/>
          <w:u w:val="single"/>
        </w:rPr>
        <w:t xml:space="preserve">Tacrolimus </w:t>
      </w:r>
      <w:r w:rsidR="00A863D6">
        <w:rPr>
          <w:sz w:val="24"/>
          <w:szCs w:val="24"/>
          <w:u w:val="single"/>
        </w:rPr>
        <w:t>"EQL Pharma"</w:t>
      </w:r>
      <w:r w:rsidRPr="00C2340B">
        <w:rPr>
          <w:sz w:val="24"/>
          <w:szCs w:val="24"/>
          <w:u w:val="single"/>
        </w:rPr>
        <w:t xml:space="preserve"> 1 mg hårde kapsler</w:t>
      </w:r>
    </w:p>
    <w:p w14:paraId="514AB5B7" w14:textId="77777777" w:rsidR="00C2340B" w:rsidRPr="00C2340B" w:rsidRDefault="00C2340B" w:rsidP="001157CF">
      <w:pPr>
        <w:ind w:left="851"/>
        <w:rPr>
          <w:sz w:val="24"/>
          <w:szCs w:val="24"/>
        </w:rPr>
      </w:pPr>
      <w:r w:rsidRPr="00C2340B">
        <w:rPr>
          <w:sz w:val="24"/>
          <w:szCs w:val="24"/>
        </w:rPr>
        <w:t>Hver kapsel indeholder 1 mg tacrolimus (som monohydrat).</w:t>
      </w:r>
    </w:p>
    <w:p w14:paraId="3A2A1AA7" w14:textId="77777777" w:rsidR="00C2340B" w:rsidRPr="00C2340B" w:rsidRDefault="00C2340B" w:rsidP="001157CF">
      <w:pPr>
        <w:ind w:left="851"/>
        <w:rPr>
          <w:sz w:val="24"/>
          <w:szCs w:val="24"/>
        </w:rPr>
      </w:pPr>
      <w:r w:rsidRPr="00C2340B">
        <w:rPr>
          <w:sz w:val="24"/>
          <w:szCs w:val="24"/>
        </w:rPr>
        <w:t>Hjælpestoffer, som behandleren skal være opmærksom på: Hver kapsel indeholder 63,845 mg lactose</w:t>
      </w:r>
    </w:p>
    <w:p w14:paraId="7C4D4517" w14:textId="77777777" w:rsidR="00C2340B" w:rsidRPr="00C2340B" w:rsidRDefault="00C2340B" w:rsidP="001157CF">
      <w:pPr>
        <w:ind w:left="851"/>
        <w:rPr>
          <w:sz w:val="24"/>
          <w:szCs w:val="24"/>
        </w:rPr>
      </w:pPr>
      <w:r w:rsidRPr="00C2340B">
        <w:rPr>
          <w:sz w:val="24"/>
          <w:szCs w:val="24"/>
        </w:rPr>
        <w:t>Hver kapsel indeholder mindre end 1 mmol (23 mg) natrium</w:t>
      </w:r>
    </w:p>
    <w:p w14:paraId="3B608E0C" w14:textId="77777777" w:rsidR="00C2340B" w:rsidRPr="00C2340B" w:rsidRDefault="00C2340B" w:rsidP="001157CF">
      <w:pPr>
        <w:ind w:left="851"/>
        <w:rPr>
          <w:sz w:val="24"/>
          <w:szCs w:val="24"/>
        </w:rPr>
      </w:pPr>
    </w:p>
    <w:p w14:paraId="02364498" w14:textId="3A2B973F" w:rsidR="00C2340B" w:rsidRPr="00C2340B" w:rsidRDefault="00C2340B" w:rsidP="001157CF">
      <w:pPr>
        <w:ind w:left="851"/>
        <w:rPr>
          <w:sz w:val="24"/>
          <w:szCs w:val="24"/>
          <w:u w:val="single"/>
        </w:rPr>
      </w:pPr>
      <w:r w:rsidRPr="00C2340B">
        <w:rPr>
          <w:sz w:val="24"/>
          <w:szCs w:val="24"/>
          <w:u w:val="single"/>
        </w:rPr>
        <w:t xml:space="preserve">Tacrolimus </w:t>
      </w:r>
      <w:r w:rsidR="00A863D6">
        <w:rPr>
          <w:sz w:val="24"/>
          <w:szCs w:val="24"/>
          <w:u w:val="single"/>
        </w:rPr>
        <w:t>"EQL Pharma"</w:t>
      </w:r>
      <w:r w:rsidRPr="00C2340B">
        <w:rPr>
          <w:sz w:val="24"/>
          <w:szCs w:val="24"/>
          <w:u w:val="single"/>
        </w:rPr>
        <w:t xml:space="preserve"> 5 mg hårde kapsler</w:t>
      </w:r>
    </w:p>
    <w:p w14:paraId="76F233B6" w14:textId="77777777" w:rsidR="00C2340B" w:rsidRPr="00C2340B" w:rsidRDefault="00C2340B" w:rsidP="001157CF">
      <w:pPr>
        <w:ind w:left="851"/>
        <w:rPr>
          <w:sz w:val="24"/>
          <w:szCs w:val="24"/>
        </w:rPr>
      </w:pPr>
      <w:r w:rsidRPr="00C2340B">
        <w:rPr>
          <w:sz w:val="24"/>
          <w:szCs w:val="24"/>
        </w:rPr>
        <w:t>Hver kapsel indeholder 5 mg tacrolimus (som monohydrat).</w:t>
      </w:r>
    </w:p>
    <w:p w14:paraId="44B6CBAC" w14:textId="77777777" w:rsidR="00C2340B" w:rsidRPr="00C2340B" w:rsidRDefault="00C2340B" w:rsidP="001157CF">
      <w:pPr>
        <w:ind w:left="851"/>
        <w:rPr>
          <w:sz w:val="24"/>
          <w:szCs w:val="24"/>
        </w:rPr>
      </w:pPr>
      <w:r w:rsidRPr="00C2340B">
        <w:rPr>
          <w:sz w:val="24"/>
          <w:szCs w:val="24"/>
        </w:rPr>
        <w:t>Hjælpestoffer, som behandleren skal være opmærksom på: Hver kapsel indeholder 124,63 mg lactose</w:t>
      </w:r>
    </w:p>
    <w:p w14:paraId="33B06E4F" w14:textId="77777777" w:rsidR="00C2340B" w:rsidRPr="00C2340B" w:rsidRDefault="00C2340B" w:rsidP="001157CF">
      <w:pPr>
        <w:ind w:left="851"/>
        <w:rPr>
          <w:sz w:val="24"/>
          <w:szCs w:val="24"/>
        </w:rPr>
      </w:pPr>
      <w:r w:rsidRPr="00C2340B">
        <w:rPr>
          <w:sz w:val="24"/>
          <w:szCs w:val="24"/>
        </w:rPr>
        <w:t>Hver kapsel indeholder mindre end 1 mmol (23 mg) natrium</w:t>
      </w:r>
    </w:p>
    <w:p w14:paraId="1284AAF6" w14:textId="77777777" w:rsidR="00C2340B" w:rsidRPr="00C2340B" w:rsidRDefault="00C2340B" w:rsidP="001157CF">
      <w:pPr>
        <w:ind w:left="851"/>
        <w:rPr>
          <w:sz w:val="24"/>
          <w:szCs w:val="24"/>
        </w:rPr>
      </w:pPr>
    </w:p>
    <w:p w14:paraId="069F662E" w14:textId="77777777" w:rsidR="00C2340B" w:rsidRPr="00C2340B" w:rsidRDefault="00C2340B" w:rsidP="001157CF">
      <w:pPr>
        <w:ind w:left="851"/>
        <w:rPr>
          <w:sz w:val="24"/>
          <w:szCs w:val="24"/>
        </w:rPr>
      </w:pPr>
      <w:r w:rsidRPr="00C2340B">
        <w:rPr>
          <w:sz w:val="24"/>
          <w:szCs w:val="24"/>
        </w:rPr>
        <w:t>Alle hjælpestoffer er anført under pkt. 6.1.</w:t>
      </w:r>
    </w:p>
    <w:p w14:paraId="7E08BBFF" w14:textId="77777777" w:rsidR="009260DE" w:rsidRPr="00C84483" w:rsidRDefault="009260DE" w:rsidP="009260DE">
      <w:pPr>
        <w:tabs>
          <w:tab w:val="left" w:pos="851"/>
        </w:tabs>
        <w:ind w:left="851"/>
        <w:rPr>
          <w:sz w:val="24"/>
          <w:szCs w:val="24"/>
        </w:rPr>
      </w:pPr>
    </w:p>
    <w:p w14:paraId="302133C7"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E92B9E2" w14:textId="5D1E6228" w:rsidR="00C2340B" w:rsidRPr="00C2340B" w:rsidRDefault="00C2340B" w:rsidP="001157CF">
      <w:pPr>
        <w:ind w:left="851"/>
        <w:rPr>
          <w:sz w:val="24"/>
          <w:szCs w:val="24"/>
        </w:rPr>
      </w:pPr>
      <w:r w:rsidRPr="00C2340B">
        <w:rPr>
          <w:sz w:val="24"/>
          <w:szCs w:val="24"/>
        </w:rPr>
        <w:t>Hårde kapsler</w:t>
      </w:r>
    </w:p>
    <w:p w14:paraId="1DF1DB43" w14:textId="77777777" w:rsidR="00C2340B" w:rsidRPr="00C2340B" w:rsidRDefault="00C2340B" w:rsidP="001157CF">
      <w:pPr>
        <w:ind w:left="851"/>
        <w:rPr>
          <w:sz w:val="24"/>
          <w:szCs w:val="24"/>
        </w:rPr>
      </w:pPr>
    </w:p>
    <w:p w14:paraId="627549BE" w14:textId="465C51F2" w:rsidR="00C2340B" w:rsidRPr="00C2340B" w:rsidRDefault="00C2340B" w:rsidP="001157CF">
      <w:pPr>
        <w:ind w:left="851"/>
        <w:rPr>
          <w:sz w:val="24"/>
          <w:szCs w:val="24"/>
          <w:u w:val="single"/>
        </w:rPr>
      </w:pPr>
      <w:r w:rsidRPr="00C2340B">
        <w:rPr>
          <w:sz w:val="24"/>
          <w:szCs w:val="24"/>
          <w:u w:val="single"/>
        </w:rPr>
        <w:t xml:space="preserve">Tacrolimus </w:t>
      </w:r>
      <w:r w:rsidR="00A863D6">
        <w:rPr>
          <w:sz w:val="24"/>
          <w:szCs w:val="24"/>
          <w:u w:val="single"/>
        </w:rPr>
        <w:t>"EQL Pharma"</w:t>
      </w:r>
      <w:r w:rsidRPr="00C2340B">
        <w:rPr>
          <w:sz w:val="24"/>
          <w:szCs w:val="24"/>
          <w:u w:val="single"/>
        </w:rPr>
        <w:t xml:space="preserve"> 0,5 mg hårde kapsler</w:t>
      </w:r>
    </w:p>
    <w:p w14:paraId="489AE4E6" w14:textId="77777777" w:rsidR="00C2340B" w:rsidRPr="00C2340B" w:rsidRDefault="00C2340B" w:rsidP="001157CF">
      <w:pPr>
        <w:ind w:left="851"/>
        <w:rPr>
          <w:sz w:val="24"/>
          <w:szCs w:val="24"/>
        </w:rPr>
      </w:pPr>
      <w:r w:rsidRPr="00C2340B">
        <w:rPr>
          <w:sz w:val="24"/>
          <w:szCs w:val="24"/>
        </w:rPr>
        <w:t>Hvidt til råhvidt pulver indeholdt i størrelse “5” hårde gelatinekapsler (11 mm lange) med gul hætte/gul krop, påtrykt “0.5 mg” på hætten og “Tacro” på kroppen med rødt printblæk.</w:t>
      </w:r>
    </w:p>
    <w:p w14:paraId="794C3473" w14:textId="77777777" w:rsidR="00C2340B" w:rsidRPr="00C2340B" w:rsidRDefault="00C2340B" w:rsidP="001157CF">
      <w:pPr>
        <w:ind w:left="851"/>
        <w:rPr>
          <w:sz w:val="24"/>
          <w:szCs w:val="24"/>
        </w:rPr>
      </w:pPr>
    </w:p>
    <w:p w14:paraId="7B852B5E" w14:textId="1E32C1C9" w:rsidR="00C2340B" w:rsidRPr="00C2340B" w:rsidRDefault="00C2340B" w:rsidP="001157CF">
      <w:pPr>
        <w:ind w:left="851"/>
        <w:rPr>
          <w:sz w:val="24"/>
          <w:szCs w:val="24"/>
          <w:u w:val="single"/>
        </w:rPr>
      </w:pPr>
      <w:r w:rsidRPr="00C2340B">
        <w:rPr>
          <w:sz w:val="24"/>
          <w:szCs w:val="24"/>
          <w:u w:val="single"/>
        </w:rPr>
        <w:lastRenderedPageBreak/>
        <w:t xml:space="preserve">Tacrolimus </w:t>
      </w:r>
      <w:r w:rsidR="00A863D6">
        <w:rPr>
          <w:sz w:val="24"/>
          <w:szCs w:val="24"/>
          <w:u w:val="single"/>
        </w:rPr>
        <w:t>"EQL Pharma"</w:t>
      </w:r>
      <w:r w:rsidRPr="00C2340B">
        <w:rPr>
          <w:sz w:val="24"/>
          <w:szCs w:val="24"/>
          <w:u w:val="single"/>
        </w:rPr>
        <w:t xml:space="preserve"> 1 mg hårde kapsler</w:t>
      </w:r>
    </w:p>
    <w:p w14:paraId="3EDD9E46" w14:textId="77777777" w:rsidR="00C2340B" w:rsidRPr="00C2340B" w:rsidRDefault="00C2340B" w:rsidP="001157CF">
      <w:pPr>
        <w:ind w:left="851"/>
        <w:rPr>
          <w:sz w:val="24"/>
          <w:szCs w:val="24"/>
        </w:rPr>
      </w:pPr>
      <w:r w:rsidRPr="00C2340B">
        <w:rPr>
          <w:sz w:val="24"/>
          <w:szCs w:val="24"/>
        </w:rPr>
        <w:t>Hvidt til råhvidt pulver indeholdt i størrelse “5” hårde gelatinekapsler (11 mm lange) med hvid hætte/hvid krop, påtrykt “1 mg” på hætten og “Tacro” på kroppen med rødt printblæk.</w:t>
      </w:r>
    </w:p>
    <w:p w14:paraId="570DB746" w14:textId="77777777" w:rsidR="00C2340B" w:rsidRPr="00C2340B" w:rsidRDefault="00C2340B" w:rsidP="001157CF">
      <w:pPr>
        <w:ind w:left="851"/>
        <w:rPr>
          <w:sz w:val="24"/>
          <w:szCs w:val="24"/>
        </w:rPr>
      </w:pPr>
    </w:p>
    <w:p w14:paraId="443CDC16" w14:textId="0292686A" w:rsidR="00C2340B" w:rsidRPr="00C2340B" w:rsidRDefault="00C2340B" w:rsidP="001157CF">
      <w:pPr>
        <w:ind w:left="851"/>
        <w:rPr>
          <w:sz w:val="24"/>
          <w:szCs w:val="24"/>
          <w:u w:val="single"/>
        </w:rPr>
      </w:pPr>
      <w:r w:rsidRPr="00C2340B">
        <w:rPr>
          <w:sz w:val="24"/>
          <w:szCs w:val="24"/>
          <w:u w:val="single"/>
        </w:rPr>
        <w:t xml:space="preserve">Tacrolimus </w:t>
      </w:r>
      <w:r w:rsidR="00A863D6">
        <w:rPr>
          <w:sz w:val="24"/>
          <w:szCs w:val="24"/>
          <w:u w:val="single"/>
        </w:rPr>
        <w:t>"EQL Pharma"</w:t>
      </w:r>
      <w:r w:rsidRPr="00C2340B">
        <w:rPr>
          <w:sz w:val="24"/>
          <w:szCs w:val="24"/>
          <w:u w:val="single"/>
        </w:rPr>
        <w:t xml:space="preserve"> 5 mg hårde kapsler</w:t>
      </w:r>
    </w:p>
    <w:p w14:paraId="6DD401CB" w14:textId="77777777" w:rsidR="00C2340B" w:rsidRPr="00C2340B" w:rsidRDefault="00C2340B" w:rsidP="001157CF">
      <w:pPr>
        <w:ind w:left="851"/>
        <w:rPr>
          <w:sz w:val="24"/>
          <w:szCs w:val="24"/>
        </w:rPr>
      </w:pPr>
      <w:r w:rsidRPr="00C2340B">
        <w:rPr>
          <w:sz w:val="24"/>
          <w:szCs w:val="24"/>
        </w:rPr>
        <w:t>Hvidt til råhvidt pulver indeholdt i størrelse “4” hårde gelatinekapsler (14 mm lange) med grårød hætte/grårød krop, påtrykt “5 mg” på hætten og “Tacro” på kroppen med hvidt printblæk.</w:t>
      </w:r>
    </w:p>
    <w:p w14:paraId="265FCD38" w14:textId="77777777" w:rsidR="009260DE" w:rsidRPr="00C84483" w:rsidRDefault="009260DE" w:rsidP="009260DE">
      <w:pPr>
        <w:tabs>
          <w:tab w:val="left" w:pos="851"/>
        </w:tabs>
        <w:ind w:left="851"/>
        <w:rPr>
          <w:sz w:val="24"/>
          <w:szCs w:val="24"/>
        </w:rPr>
      </w:pPr>
    </w:p>
    <w:p w14:paraId="4450A068" w14:textId="77777777" w:rsidR="009260DE" w:rsidRPr="00C84483" w:rsidRDefault="009260DE" w:rsidP="009260DE">
      <w:pPr>
        <w:tabs>
          <w:tab w:val="left" w:pos="851"/>
        </w:tabs>
        <w:ind w:left="851"/>
        <w:rPr>
          <w:sz w:val="24"/>
          <w:szCs w:val="24"/>
        </w:rPr>
      </w:pPr>
    </w:p>
    <w:p w14:paraId="64267F0F"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33E55504" w14:textId="77777777" w:rsidR="009260DE" w:rsidRPr="00C84483" w:rsidRDefault="009260DE" w:rsidP="009260DE">
      <w:pPr>
        <w:tabs>
          <w:tab w:val="left" w:pos="851"/>
        </w:tabs>
        <w:ind w:left="851"/>
        <w:rPr>
          <w:b/>
          <w:sz w:val="24"/>
          <w:szCs w:val="24"/>
        </w:rPr>
      </w:pPr>
    </w:p>
    <w:p w14:paraId="7FFB49E0"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841B34D" w14:textId="77777777" w:rsidR="00C2340B" w:rsidRPr="00C2340B" w:rsidRDefault="00C2340B" w:rsidP="001157CF">
      <w:pPr>
        <w:ind w:left="851"/>
        <w:rPr>
          <w:sz w:val="24"/>
          <w:szCs w:val="24"/>
        </w:rPr>
      </w:pPr>
      <w:r w:rsidRPr="00C2340B">
        <w:rPr>
          <w:sz w:val="24"/>
          <w:szCs w:val="24"/>
        </w:rPr>
        <w:t>Profylakse af transplantatafstødning til nyre, lever og hjerte allotransplantat recipienter.</w:t>
      </w:r>
    </w:p>
    <w:p w14:paraId="6B8879DF" w14:textId="77777777" w:rsidR="00C2340B" w:rsidRPr="00C2340B" w:rsidRDefault="00C2340B" w:rsidP="001157CF">
      <w:pPr>
        <w:ind w:left="851"/>
        <w:rPr>
          <w:sz w:val="24"/>
          <w:szCs w:val="24"/>
        </w:rPr>
      </w:pPr>
    </w:p>
    <w:p w14:paraId="6DB8453D" w14:textId="77777777" w:rsidR="00C2340B" w:rsidRPr="00C2340B" w:rsidRDefault="00C2340B" w:rsidP="001157CF">
      <w:pPr>
        <w:ind w:left="851"/>
        <w:rPr>
          <w:sz w:val="24"/>
          <w:szCs w:val="24"/>
        </w:rPr>
      </w:pPr>
      <w:r w:rsidRPr="00C2340B">
        <w:rPr>
          <w:sz w:val="24"/>
          <w:szCs w:val="24"/>
        </w:rPr>
        <w:t>Behandling af allotransplantat afstødning, der er resistent for behandling med andre immunsuppressive lægemidler.</w:t>
      </w:r>
    </w:p>
    <w:p w14:paraId="5A1E9C08" w14:textId="77777777" w:rsidR="009260DE" w:rsidRPr="00C84483" w:rsidRDefault="009260DE" w:rsidP="001157CF">
      <w:pPr>
        <w:ind w:left="851"/>
        <w:rPr>
          <w:sz w:val="24"/>
          <w:szCs w:val="24"/>
        </w:rPr>
      </w:pPr>
    </w:p>
    <w:p w14:paraId="6354CCC0"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3B83669" w14:textId="685CC7FA" w:rsidR="00C2340B" w:rsidRPr="00C2340B" w:rsidRDefault="00C2340B" w:rsidP="001157CF">
      <w:pPr>
        <w:ind w:left="851"/>
        <w:rPr>
          <w:sz w:val="24"/>
          <w:szCs w:val="24"/>
        </w:rPr>
      </w:pPr>
      <w:r w:rsidRPr="00C2340B">
        <w:rPr>
          <w:sz w:val="24"/>
          <w:szCs w:val="24"/>
        </w:rPr>
        <w:t xml:space="preserve">Behandling med Tacrolimus </w:t>
      </w:r>
      <w:r w:rsidR="00A863D6">
        <w:rPr>
          <w:sz w:val="24"/>
          <w:szCs w:val="24"/>
        </w:rPr>
        <w:t>"EQL Pharma"</w:t>
      </w:r>
      <w:r w:rsidRPr="00C2340B">
        <w:rPr>
          <w:sz w:val="24"/>
          <w:szCs w:val="24"/>
        </w:rPr>
        <w:t xml:space="preserve"> kræver omhyggelig overvågning af velkvalificeret og specielt uddannet personale. Kun læger med erfaring i immunsuppressiv behandling og behandling af organtransplanterede patienter bør ordinere dette lægemiddel og initiere ændringer i den immunsuppressive behandling.</w:t>
      </w:r>
    </w:p>
    <w:p w14:paraId="2D0C587A" w14:textId="77777777" w:rsidR="00C2340B" w:rsidRPr="00C2340B" w:rsidRDefault="00C2340B" w:rsidP="001157CF">
      <w:pPr>
        <w:ind w:left="851"/>
        <w:rPr>
          <w:sz w:val="24"/>
          <w:szCs w:val="24"/>
        </w:rPr>
      </w:pPr>
    </w:p>
    <w:p w14:paraId="4DAAFD3D" w14:textId="77777777" w:rsidR="00C2340B" w:rsidRPr="00C2340B" w:rsidRDefault="00C2340B" w:rsidP="001157CF">
      <w:pPr>
        <w:ind w:left="851"/>
        <w:rPr>
          <w:sz w:val="24"/>
          <w:szCs w:val="24"/>
        </w:rPr>
      </w:pPr>
      <w:r w:rsidRPr="00C2340B">
        <w:rPr>
          <w:sz w:val="24"/>
          <w:szCs w:val="24"/>
        </w:rPr>
        <w:t>Utilsigtet, uforsætlig eller uovervåget substitution af umiddelbart udløste eller depotformuleringer af tacrolimus er farligt. Dette kan føre til transplantatafstødning eller øget forekomst af bivirkninger, herunder under</w:t>
      </w:r>
      <w:r w:rsidRPr="00C2340B">
        <w:rPr>
          <w:sz w:val="24"/>
          <w:szCs w:val="24"/>
        </w:rPr>
        <w:noBreakHyphen/>
        <w:t xml:space="preserve"> og overimmunsuppression på grund af klinisk relevante forskelle i systemisk eksponering for tacrolimus. Patienter bør fastholdes på én lægemiddelform af tacrolimus med det tilsvarende daglige dosisregime; ændringer i lægemiddelform eller regime bør kun ske under nøje supervision fra en transplantationsspecialist (se pkt. 4.4 og 4.8). Ved skift til andre lægemiddelformer uanset type bør terapeutisk overvågning og dosisjusteringer finde sted for at sikre, at systemisk eksponering for tacrolimus opretholdes.</w:t>
      </w:r>
    </w:p>
    <w:p w14:paraId="33C1DA7D" w14:textId="77777777" w:rsidR="00C2340B" w:rsidRPr="00C2340B" w:rsidRDefault="00C2340B" w:rsidP="001157CF">
      <w:pPr>
        <w:ind w:left="851"/>
        <w:rPr>
          <w:sz w:val="24"/>
          <w:szCs w:val="24"/>
        </w:rPr>
      </w:pPr>
    </w:p>
    <w:p w14:paraId="2EE7B245" w14:textId="77777777" w:rsidR="00C2340B" w:rsidRPr="00C2340B" w:rsidRDefault="00C2340B" w:rsidP="001157CF">
      <w:pPr>
        <w:ind w:left="851"/>
        <w:rPr>
          <w:b/>
          <w:bCs/>
          <w:sz w:val="24"/>
          <w:szCs w:val="24"/>
        </w:rPr>
      </w:pPr>
      <w:r w:rsidRPr="00C2340B">
        <w:rPr>
          <w:b/>
          <w:bCs/>
          <w:sz w:val="24"/>
          <w:szCs w:val="24"/>
        </w:rPr>
        <w:t>Generelle overvejelser</w:t>
      </w:r>
    </w:p>
    <w:p w14:paraId="09AED823" w14:textId="5DB44CB1" w:rsidR="00C2340B" w:rsidRPr="00C2340B" w:rsidRDefault="00C2340B" w:rsidP="001157CF">
      <w:pPr>
        <w:ind w:left="851"/>
        <w:rPr>
          <w:sz w:val="24"/>
          <w:szCs w:val="24"/>
        </w:rPr>
      </w:pPr>
      <w:r w:rsidRPr="00C2340B">
        <w:rPr>
          <w:sz w:val="24"/>
          <w:szCs w:val="24"/>
        </w:rPr>
        <w:t xml:space="preserve">Den anbefalede initiale dosering angivet nedenfor er kun vejledende. Tacrolimus </w:t>
      </w:r>
      <w:r w:rsidR="00A863D6">
        <w:rPr>
          <w:sz w:val="24"/>
          <w:szCs w:val="24"/>
        </w:rPr>
        <w:t>"EQL Pharma"</w:t>
      </w:r>
      <w:r w:rsidRPr="00C2340B">
        <w:rPr>
          <w:sz w:val="24"/>
          <w:szCs w:val="24"/>
        </w:rPr>
        <w:t>-dosis skal primært baseres på klinisk bedømmelse af afstødning og tolerabilitet for hver enkelt patient vejledt af målinger af blodkoncentration (de anbefalede værdier for fuldblodsdalkoncentrationer er angivet nedenfor). I tilfælde af tydelige kliniske tegn på afstødning, bør ændring af det immunsuppressive regime overvejes.</w:t>
      </w:r>
    </w:p>
    <w:p w14:paraId="13A66CBE" w14:textId="38452976" w:rsidR="00C2340B" w:rsidRPr="00C2340B" w:rsidRDefault="00C2340B" w:rsidP="001157CF">
      <w:pPr>
        <w:ind w:left="851"/>
        <w:rPr>
          <w:sz w:val="24"/>
          <w:szCs w:val="24"/>
        </w:rPr>
      </w:pPr>
      <w:r w:rsidRPr="00C2340B">
        <w:rPr>
          <w:sz w:val="24"/>
          <w:szCs w:val="24"/>
        </w:rPr>
        <w:t xml:space="preserve">Tacrolimus </w:t>
      </w:r>
      <w:r w:rsidR="00A863D6">
        <w:rPr>
          <w:sz w:val="24"/>
          <w:szCs w:val="24"/>
        </w:rPr>
        <w:t>"EQL Pharma"</w:t>
      </w:r>
      <w:r w:rsidRPr="00C2340B">
        <w:rPr>
          <w:sz w:val="24"/>
          <w:szCs w:val="24"/>
        </w:rPr>
        <w:t xml:space="preserve"> kan administreres intravenøst eller oralt. Sædvanligvis kan doseringen begynde oralt; om nødvendigt ved at administrere kapselindholdet suspenderet i vand via nasogastrisk sonde.</w:t>
      </w:r>
    </w:p>
    <w:p w14:paraId="72A66713" w14:textId="513399E3" w:rsidR="00C2340B" w:rsidRPr="00C2340B" w:rsidRDefault="00C2340B" w:rsidP="001157CF">
      <w:pPr>
        <w:ind w:left="851"/>
        <w:rPr>
          <w:sz w:val="24"/>
          <w:szCs w:val="24"/>
        </w:rPr>
      </w:pPr>
      <w:r w:rsidRPr="00C2340B">
        <w:rPr>
          <w:sz w:val="24"/>
          <w:szCs w:val="24"/>
        </w:rPr>
        <w:t xml:space="preserve">Tacrolimus </w:t>
      </w:r>
      <w:r w:rsidR="00A863D6">
        <w:rPr>
          <w:sz w:val="24"/>
          <w:szCs w:val="24"/>
        </w:rPr>
        <w:t>"EQL Pharma"</w:t>
      </w:r>
      <w:r w:rsidRPr="00C2340B">
        <w:rPr>
          <w:sz w:val="24"/>
          <w:szCs w:val="24"/>
        </w:rPr>
        <w:t xml:space="preserve"> administreres rutinemæssigt med andre immunsuppressive midler i den første postoperative periode. Doseringen af Tacrolimus </w:t>
      </w:r>
      <w:r w:rsidR="00A863D6">
        <w:rPr>
          <w:sz w:val="24"/>
          <w:szCs w:val="24"/>
        </w:rPr>
        <w:t>"EQL Pharma"</w:t>
      </w:r>
      <w:r w:rsidRPr="00C2340B">
        <w:rPr>
          <w:sz w:val="24"/>
          <w:szCs w:val="24"/>
        </w:rPr>
        <w:t xml:space="preserve"> kan variere afhængig af det valgte immunsuppressive regime.</w:t>
      </w:r>
    </w:p>
    <w:p w14:paraId="74CD2AA0" w14:textId="75DE30D4" w:rsidR="00BF02EF" w:rsidRDefault="00BF02EF">
      <w:pPr>
        <w:rPr>
          <w:sz w:val="24"/>
          <w:szCs w:val="24"/>
        </w:rPr>
      </w:pPr>
      <w:r>
        <w:rPr>
          <w:sz w:val="24"/>
          <w:szCs w:val="24"/>
        </w:rPr>
        <w:br w:type="page"/>
      </w:r>
    </w:p>
    <w:p w14:paraId="6804246F" w14:textId="77777777" w:rsidR="00C2340B" w:rsidRPr="00C2340B" w:rsidRDefault="00C2340B" w:rsidP="001157CF">
      <w:pPr>
        <w:ind w:left="851"/>
        <w:rPr>
          <w:sz w:val="24"/>
          <w:szCs w:val="24"/>
        </w:rPr>
      </w:pPr>
    </w:p>
    <w:p w14:paraId="7DE93D86" w14:textId="77777777" w:rsidR="00C2340B" w:rsidRPr="00C2340B" w:rsidRDefault="00C2340B" w:rsidP="001157CF">
      <w:pPr>
        <w:ind w:left="851"/>
        <w:rPr>
          <w:sz w:val="24"/>
          <w:szCs w:val="24"/>
          <w:u w:val="single"/>
        </w:rPr>
      </w:pPr>
      <w:r w:rsidRPr="00C2340B">
        <w:rPr>
          <w:b/>
          <w:sz w:val="24"/>
          <w:szCs w:val="24"/>
        </w:rPr>
        <w:t>Dosering</w:t>
      </w:r>
    </w:p>
    <w:p w14:paraId="77EA3231" w14:textId="77777777" w:rsidR="00C2340B" w:rsidRPr="00C2340B" w:rsidRDefault="00C2340B" w:rsidP="001157CF">
      <w:pPr>
        <w:ind w:left="851"/>
        <w:rPr>
          <w:bCs/>
          <w:sz w:val="24"/>
          <w:szCs w:val="24"/>
        </w:rPr>
      </w:pPr>
    </w:p>
    <w:p w14:paraId="6E946D05" w14:textId="77777777" w:rsidR="00C2340B" w:rsidRPr="00C2340B" w:rsidRDefault="00C2340B" w:rsidP="001157CF">
      <w:pPr>
        <w:ind w:left="851"/>
        <w:rPr>
          <w:sz w:val="24"/>
          <w:szCs w:val="24"/>
        </w:rPr>
      </w:pPr>
      <w:r w:rsidRPr="00C2340B">
        <w:rPr>
          <w:b/>
          <w:sz w:val="24"/>
          <w:szCs w:val="24"/>
        </w:rPr>
        <w:t>Doseringsvejledning – Levertransplantation</w:t>
      </w:r>
    </w:p>
    <w:p w14:paraId="4F275652" w14:textId="77777777" w:rsidR="00C2340B" w:rsidRPr="00C2340B" w:rsidRDefault="00C2340B" w:rsidP="001157CF">
      <w:pPr>
        <w:ind w:left="851"/>
        <w:rPr>
          <w:sz w:val="24"/>
          <w:szCs w:val="24"/>
        </w:rPr>
      </w:pPr>
    </w:p>
    <w:p w14:paraId="33276B38" w14:textId="77777777" w:rsidR="00C2340B" w:rsidRPr="00C2340B" w:rsidRDefault="00C2340B" w:rsidP="001157CF">
      <w:pPr>
        <w:ind w:left="851"/>
        <w:rPr>
          <w:sz w:val="24"/>
          <w:szCs w:val="24"/>
          <w:u w:val="single"/>
        </w:rPr>
      </w:pPr>
      <w:r w:rsidRPr="00C2340B">
        <w:rPr>
          <w:sz w:val="24"/>
          <w:szCs w:val="24"/>
          <w:u w:val="single"/>
        </w:rPr>
        <w:t>Profylakse af transplantatafstødning – voksne</w:t>
      </w:r>
    </w:p>
    <w:p w14:paraId="0A491E9C" w14:textId="6F7A354B" w:rsidR="00C2340B" w:rsidRPr="00C2340B" w:rsidRDefault="00C2340B" w:rsidP="001157CF">
      <w:pPr>
        <w:ind w:left="851"/>
        <w:rPr>
          <w:sz w:val="24"/>
          <w:szCs w:val="24"/>
        </w:rPr>
      </w:pPr>
      <w:r w:rsidRPr="00C2340B">
        <w:rPr>
          <w:sz w:val="24"/>
          <w:szCs w:val="24"/>
        </w:rPr>
        <w:t xml:space="preserve">Initialt benyttes en oral dosering af Tacrolimus </w:t>
      </w:r>
      <w:r w:rsidR="00A863D6">
        <w:rPr>
          <w:sz w:val="24"/>
          <w:szCs w:val="24"/>
        </w:rPr>
        <w:t>"EQL Pharma"</w:t>
      </w:r>
      <w:r w:rsidRPr="00C2340B">
        <w:rPr>
          <w:sz w:val="24"/>
          <w:szCs w:val="24"/>
        </w:rPr>
        <w:t xml:space="preserve"> på 0,10</w:t>
      </w:r>
      <w:r w:rsidRPr="00C2340B">
        <w:rPr>
          <w:sz w:val="24"/>
          <w:szCs w:val="24"/>
        </w:rPr>
        <w:noBreakHyphen/>
        <w:t>0,20 mg/kg/dag, fordelt på to doser (f.eks. morgen og aften). Administrationen skal indledes ca. 12 timer efter indgrebet.</w:t>
      </w:r>
    </w:p>
    <w:p w14:paraId="3228034A" w14:textId="77777777" w:rsidR="00C2340B" w:rsidRPr="00C2340B" w:rsidRDefault="00C2340B" w:rsidP="001157CF">
      <w:pPr>
        <w:ind w:left="851"/>
        <w:rPr>
          <w:sz w:val="24"/>
          <w:szCs w:val="24"/>
        </w:rPr>
      </w:pPr>
      <w:r w:rsidRPr="00C2340B">
        <w:rPr>
          <w:sz w:val="24"/>
          <w:szCs w:val="24"/>
        </w:rPr>
        <w:t>Hvis den kliniske tilstand ikke tillader oral behandling, gives en intravenøs dosis på 0,01</w:t>
      </w:r>
      <w:r w:rsidRPr="00C2340B">
        <w:rPr>
          <w:sz w:val="24"/>
          <w:szCs w:val="24"/>
        </w:rPr>
        <w:noBreakHyphen/>
        <w:t>0,05 mg/kg/dag som kontinuerlig infusion over 24 timer.</w:t>
      </w:r>
    </w:p>
    <w:p w14:paraId="441305B3" w14:textId="77777777" w:rsidR="00C2340B" w:rsidRPr="00C2340B" w:rsidRDefault="00C2340B" w:rsidP="001157CF">
      <w:pPr>
        <w:ind w:left="851"/>
        <w:rPr>
          <w:sz w:val="24"/>
          <w:szCs w:val="24"/>
          <w:u w:val="single"/>
        </w:rPr>
      </w:pPr>
    </w:p>
    <w:p w14:paraId="28CE795F" w14:textId="77777777" w:rsidR="00C2340B" w:rsidRPr="00C2340B" w:rsidRDefault="00C2340B" w:rsidP="001157CF">
      <w:pPr>
        <w:ind w:left="851"/>
        <w:rPr>
          <w:sz w:val="24"/>
          <w:szCs w:val="24"/>
          <w:u w:val="single"/>
        </w:rPr>
      </w:pPr>
      <w:r w:rsidRPr="00C2340B">
        <w:rPr>
          <w:sz w:val="24"/>
          <w:szCs w:val="24"/>
          <w:u w:val="single"/>
        </w:rPr>
        <w:t>Profylakse af transplantatafstødning – børn</w:t>
      </w:r>
    </w:p>
    <w:p w14:paraId="14130715" w14:textId="77777777" w:rsidR="00C2340B" w:rsidRPr="00C2340B" w:rsidRDefault="00C2340B" w:rsidP="001157CF">
      <w:pPr>
        <w:ind w:left="851"/>
        <w:rPr>
          <w:sz w:val="24"/>
          <w:szCs w:val="24"/>
        </w:rPr>
      </w:pPr>
      <w:r w:rsidRPr="00C2340B">
        <w:rPr>
          <w:sz w:val="24"/>
          <w:szCs w:val="24"/>
        </w:rPr>
        <w:t>Der skal gives en initial oral dosis på 0,30 mg/kg/dag, fordelt på 2 doser (f.eks. morgen og aften).</w:t>
      </w:r>
    </w:p>
    <w:p w14:paraId="390374BD" w14:textId="77777777" w:rsidR="00C2340B" w:rsidRPr="00C2340B" w:rsidRDefault="00C2340B" w:rsidP="001157CF">
      <w:pPr>
        <w:ind w:left="851"/>
        <w:rPr>
          <w:sz w:val="24"/>
          <w:szCs w:val="24"/>
        </w:rPr>
      </w:pPr>
      <w:r w:rsidRPr="00C2340B">
        <w:rPr>
          <w:sz w:val="24"/>
          <w:szCs w:val="24"/>
        </w:rPr>
        <w:t>Hvis den kliniske tilstand ikke tillader oral behandling, gives en intravenøs dosis på 0,05 mg/kg/dag som kontinuerlig infusion over 24 timer.</w:t>
      </w:r>
    </w:p>
    <w:p w14:paraId="54A254C5" w14:textId="77777777" w:rsidR="00C2340B" w:rsidRPr="00C2340B" w:rsidRDefault="00C2340B" w:rsidP="001157CF">
      <w:pPr>
        <w:ind w:left="851"/>
        <w:rPr>
          <w:sz w:val="24"/>
          <w:szCs w:val="24"/>
          <w:u w:val="single"/>
        </w:rPr>
      </w:pPr>
    </w:p>
    <w:p w14:paraId="729AE8CC" w14:textId="77777777" w:rsidR="00C2340B" w:rsidRPr="00C2340B" w:rsidRDefault="00C2340B" w:rsidP="001157CF">
      <w:pPr>
        <w:ind w:left="851"/>
        <w:rPr>
          <w:sz w:val="24"/>
          <w:szCs w:val="24"/>
          <w:u w:val="single"/>
        </w:rPr>
      </w:pPr>
      <w:r w:rsidRPr="00C2340B">
        <w:rPr>
          <w:sz w:val="24"/>
          <w:szCs w:val="24"/>
          <w:u w:val="single"/>
        </w:rPr>
        <w:t>Dosisjustering i perioden efter transplantation hos voksne og børn</w:t>
      </w:r>
    </w:p>
    <w:p w14:paraId="3BE1D524" w14:textId="2FF8FBE3" w:rsidR="00C2340B" w:rsidRPr="00C2340B" w:rsidRDefault="00C2340B" w:rsidP="001157CF">
      <w:pPr>
        <w:ind w:left="851"/>
        <w:rPr>
          <w:sz w:val="24"/>
          <w:szCs w:val="24"/>
        </w:rPr>
      </w:pPr>
      <w:r w:rsidRPr="00C2340B">
        <w:rPr>
          <w:sz w:val="24"/>
          <w:szCs w:val="24"/>
        </w:rPr>
        <w:t xml:space="preserve">Dosis af Tacrolimus </w:t>
      </w:r>
      <w:r w:rsidR="00A863D6">
        <w:rPr>
          <w:sz w:val="24"/>
          <w:szCs w:val="24"/>
        </w:rPr>
        <w:t>"EQL Pharma"</w:t>
      </w:r>
      <w:r w:rsidRPr="00C2340B">
        <w:rPr>
          <w:sz w:val="24"/>
          <w:szCs w:val="24"/>
        </w:rPr>
        <w:t xml:space="preserve"> reduceres sædvanligvis i perioden efter transplantationen. Det er i nogle tilfælde muligt at seponere anden immunsuppressiv behandling, </w:t>
      </w:r>
      <w:proofErr w:type="gramStart"/>
      <w:r w:rsidRPr="00C2340B">
        <w:rPr>
          <w:sz w:val="24"/>
          <w:szCs w:val="24"/>
        </w:rPr>
        <w:t>således at</w:t>
      </w:r>
      <w:proofErr w:type="gramEnd"/>
      <w:r w:rsidRPr="00C2340B">
        <w:rPr>
          <w:sz w:val="24"/>
          <w:szCs w:val="24"/>
        </w:rPr>
        <w:t xml:space="preserve"> Tacrolimus </w:t>
      </w:r>
      <w:r w:rsidR="00A863D6">
        <w:rPr>
          <w:sz w:val="24"/>
          <w:szCs w:val="24"/>
        </w:rPr>
        <w:t>"EQL Pharma"</w:t>
      </w:r>
      <w:r w:rsidRPr="00C2340B">
        <w:rPr>
          <w:sz w:val="24"/>
          <w:szCs w:val="24"/>
        </w:rPr>
        <w:t xml:space="preserve"> anvendes som monoterapi. Forbedring af patientens tilstand i perioden efter transplantation kan medføre ændret farmakokinetik for tacrolimus, hvilket kan nødvendiggøre yderligere dosisjusteringer.</w:t>
      </w:r>
    </w:p>
    <w:p w14:paraId="61BAA9CE" w14:textId="77777777" w:rsidR="00C2340B" w:rsidRPr="00C2340B" w:rsidRDefault="00C2340B" w:rsidP="001157CF">
      <w:pPr>
        <w:ind w:left="851"/>
        <w:rPr>
          <w:sz w:val="24"/>
          <w:szCs w:val="24"/>
          <w:u w:val="single"/>
        </w:rPr>
      </w:pPr>
    </w:p>
    <w:p w14:paraId="51113AF9" w14:textId="77777777" w:rsidR="00C2340B" w:rsidRPr="00C2340B" w:rsidRDefault="00C2340B" w:rsidP="001157CF">
      <w:pPr>
        <w:ind w:left="851"/>
        <w:rPr>
          <w:sz w:val="24"/>
          <w:szCs w:val="24"/>
        </w:rPr>
      </w:pPr>
      <w:r w:rsidRPr="00C2340B">
        <w:rPr>
          <w:sz w:val="24"/>
          <w:szCs w:val="24"/>
          <w:u w:val="single"/>
        </w:rPr>
        <w:t>Behandling af afstødning – voksne og børn</w:t>
      </w:r>
    </w:p>
    <w:p w14:paraId="1D1034F5" w14:textId="35D970C7" w:rsidR="00C2340B" w:rsidRPr="00C2340B" w:rsidRDefault="00C2340B" w:rsidP="001157CF">
      <w:pPr>
        <w:ind w:left="851"/>
        <w:rPr>
          <w:sz w:val="24"/>
          <w:szCs w:val="24"/>
        </w:rPr>
      </w:pPr>
      <w:r w:rsidRPr="00C2340B">
        <w:rPr>
          <w:sz w:val="24"/>
          <w:szCs w:val="24"/>
        </w:rPr>
        <w:t xml:space="preserve">Øgede doser af Tacrolimus </w:t>
      </w:r>
      <w:r w:rsidR="00A863D6">
        <w:rPr>
          <w:sz w:val="24"/>
          <w:szCs w:val="24"/>
        </w:rPr>
        <w:t>"EQL Pharma"</w:t>
      </w:r>
      <w:r w:rsidRPr="00C2340B">
        <w:rPr>
          <w:sz w:val="24"/>
          <w:szCs w:val="24"/>
        </w:rPr>
        <w:t>, supplerende kortikosteroid-behandling og indsættelse af korte behandlingsperioder med mono</w:t>
      </w:r>
      <w:r w:rsidRPr="00C2340B">
        <w:rPr>
          <w:sz w:val="24"/>
          <w:szCs w:val="24"/>
        </w:rPr>
        <w:noBreakHyphen/>
        <w:t xml:space="preserve">/polyklonale antistoffer er blevet benyttet til at behandle afstødningsepisoder. Hvis man ser tegn på toksicitet (f.eks. udtalte bivirkninger, se pkt. 4.8), kan det være nødvendigt at reducere doseringen af Tacrolimus </w:t>
      </w:r>
      <w:r w:rsidR="00A863D6">
        <w:rPr>
          <w:sz w:val="24"/>
          <w:szCs w:val="24"/>
        </w:rPr>
        <w:t>"EQL Pharma"</w:t>
      </w:r>
      <w:r w:rsidRPr="00C2340B">
        <w:rPr>
          <w:sz w:val="24"/>
          <w:szCs w:val="24"/>
        </w:rPr>
        <w:t>.</w:t>
      </w:r>
    </w:p>
    <w:p w14:paraId="11CC4DF5" w14:textId="2E835606" w:rsidR="00C2340B" w:rsidRPr="00C2340B" w:rsidRDefault="00C2340B" w:rsidP="001157CF">
      <w:pPr>
        <w:ind w:left="851"/>
        <w:rPr>
          <w:sz w:val="24"/>
          <w:szCs w:val="24"/>
        </w:rPr>
      </w:pPr>
      <w:r w:rsidRPr="00C2340B">
        <w:rPr>
          <w:sz w:val="24"/>
          <w:szCs w:val="24"/>
        </w:rPr>
        <w:t xml:space="preserve">Ved konvertering til Tacrolimus </w:t>
      </w:r>
      <w:r w:rsidR="00A863D6">
        <w:rPr>
          <w:sz w:val="24"/>
          <w:szCs w:val="24"/>
        </w:rPr>
        <w:t>"EQL Pharma"</w:t>
      </w:r>
      <w:r w:rsidRPr="00C2340B">
        <w:rPr>
          <w:sz w:val="24"/>
          <w:szCs w:val="24"/>
        </w:rPr>
        <w:t xml:space="preserve"> bør behandlingen starte med den anbefalede initiale orale dosis for primær immunsuppression.</w:t>
      </w:r>
    </w:p>
    <w:p w14:paraId="65D77742" w14:textId="77777777" w:rsidR="00C2340B" w:rsidRPr="00C2340B" w:rsidRDefault="00C2340B" w:rsidP="001157CF">
      <w:pPr>
        <w:ind w:left="851"/>
        <w:rPr>
          <w:sz w:val="24"/>
          <w:szCs w:val="24"/>
        </w:rPr>
      </w:pPr>
    </w:p>
    <w:p w14:paraId="16071537" w14:textId="1F1D5802" w:rsidR="00C2340B" w:rsidRPr="00C2340B" w:rsidRDefault="00C2340B" w:rsidP="001157CF">
      <w:pPr>
        <w:ind w:left="851"/>
        <w:rPr>
          <w:sz w:val="24"/>
          <w:szCs w:val="24"/>
        </w:rPr>
      </w:pPr>
      <w:r w:rsidRPr="00C2340B">
        <w:rPr>
          <w:sz w:val="24"/>
          <w:szCs w:val="24"/>
        </w:rPr>
        <w:t xml:space="preserve">Information om skift fra ciclosporin til Tacrolimus </w:t>
      </w:r>
      <w:r w:rsidR="00A863D6">
        <w:rPr>
          <w:sz w:val="24"/>
          <w:szCs w:val="24"/>
        </w:rPr>
        <w:t>"EQL Pharma"</w:t>
      </w:r>
      <w:r w:rsidRPr="00C2340B">
        <w:rPr>
          <w:sz w:val="24"/>
          <w:szCs w:val="24"/>
        </w:rPr>
        <w:t xml:space="preserve"> findes under “Dosisjustering hos særlige patientpopulationer”.</w:t>
      </w:r>
    </w:p>
    <w:p w14:paraId="28C5AA96" w14:textId="77777777" w:rsidR="00C2340B" w:rsidRPr="00C2340B" w:rsidRDefault="00C2340B" w:rsidP="001157CF">
      <w:pPr>
        <w:ind w:left="851"/>
        <w:rPr>
          <w:sz w:val="24"/>
          <w:szCs w:val="24"/>
        </w:rPr>
      </w:pPr>
    </w:p>
    <w:p w14:paraId="422DFA88" w14:textId="77777777" w:rsidR="00C2340B" w:rsidRPr="00C2340B" w:rsidRDefault="00C2340B" w:rsidP="001157CF">
      <w:pPr>
        <w:ind w:left="851"/>
        <w:rPr>
          <w:b/>
          <w:sz w:val="24"/>
          <w:szCs w:val="24"/>
        </w:rPr>
      </w:pPr>
      <w:r w:rsidRPr="00C2340B">
        <w:rPr>
          <w:b/>
          <w:sz w:val="24"/>
          <w:szCs w:val="24"/>
        </w:rPr>
        <w:t>Doseringsvejledning – Nyretransplantation</w:t>
      </w:r>
    </w:p>
    <w:p w14:paraId="78F11C87" w14:textId="77777777" w:rsidR="00C2340B" w:rsidRPr="00C2340B" w:rsidRDefault="00C2340B" w:rsidP="001157CF">
      <w:pPr>
        <w:ind w:left="851"/>
        <w:rPr>
          <w:sz w:val="24"/>
          <w:szCs w:val="24"/>
          <w:u w:val="single"/>
        </w:rPr>
      </w:pPr>
    </w:p>
    <w:p w14:paraId="54E0612D" w14:textId="77777777" w:rsidR="00C2340B" w:rsidRPr="00C2340B" w:rsidRDefault="00C2340B" w:rsidP="001157CF">
      <w:pPr>
        <w:ind w:left="851"/>
        <w:rPr>
          <w:sz w:val="24"/>
          <w:szCs w:val="24"/>
          <w:u w:val="single"/>
        </w:rPr>
      </w:pPr>
      <w:r w:rsidRPr="00C2340B">
        <w:rPr>
          <w:sz w:val="24"/>
          <w:szCs w:val="24"/>
          <w:u w:val="single"/>
        </w:rPr>
        <w:t>Profylakse af transplantatafstødning – voksne</w:t>
      </w:r>
    </w:p>
    <w:p w14:paraId="3EFCD82F" w14:textId="1F3C98A1" w:rsidR="00C2340B" w:rsidRPr="00C2340B" w:rsidRDefault="00C2340B" w:rsidP="001157CF">
      <w:pPr>
        <w:ind w:left="851"/>
        <w:rPr>
          <w:sz w:val="24"/>
          <w:szCs w:val="24"/>
        </w:rPr>
      </w:pPr>
      <w:r w:rsidRPr="00C2340B">
        <w:rPr>
          <w:sz w:val="24"/>
          <w:szCs w:val="24"/>
        </w:rPr>
        <w:t xml:space="preserve">Oral behandling med Tacrolimus </w:t>
      </w:r>
      <w:r w:rsidR="00A863D6">
        <w:rPr>
          <w:sz w:val="24"/>
          <w:szCs w:val="24"/>
        </w:rPr>
        <w:t>"EQL Pharma"</w:t>
      </w:r>
      <w:r w:rsidRPr="00C2340B">
        <w:rPr>
          <w:sz w:val="24"/>
          <w:szCs w:val="24"/>
        </w:rPr>
        <w:t xml:space="preserve"> bør starte med 0,20</w:t>
      </w:r>
      <w:r w:rsidRPr="00C2340B">
        <w:rPr>
          <w:sz w:val="24"/>
          <w:szCs w:val="24"/>
        </w:rPr>
        <w:noBreakHyphen/>
        <w:t>0,30 mg/kg/dag fordelt på 2 doser (f.eks. morgen og aften). Administrationen skal indledes inden 24 timer efter indgrebet.</w:t>
      </w:r>
    </w:p>
    <w:p w14:paraId="04FE5EF1" w14:textId="77777777" w:rsidR="00C2340B" w:rsidRPr="00C2340B" w:rsidRDefault="00C2340B" w:rsidP="001157CF">
      <w:pPr>
        <w:ind w:left="851"/>
        <w:rPr>
          <w:sz w:val="24"/>
          <w:szCs w:val="24"/>
        </w:rPr>
      </w:pPr>
      <w:r w:rsidRPr="00C2340B">
        <w:rPr>
          <w:sz w:val="24"/>
          <w:szCs w:val="24"/>
        </w:rPr>
        <w:t>Hvis den kliniske tilstand ikke tillader oral behandling, gives en intravenøs dosis på 0,05</w:t>
      </w:r>
      <w:r w:rsidRPr="00C2340B">
        <w:rPr>
          <w:sz w:val="24"/>
          <w:szCs w:val="24"/>
        </w:rPr>
        <w:noBreakHyphen/>
        <w:t>0,10 mg/kg/dag som kontinuerlig infusion over 24 timer.</w:t>
      </w:r>
    </w:p>
    <w:p w14:paraId="2D8CEB30" w14:textId="77777777" w:rsidR="00C2340B" w:rsidRPr="00C2340B" w:rsidRDefault="00C2340B" w:rsidP="001157CF">
      <w:pPr>
        <w:ind w:left="851"/>
        <w:rPr>
          <w:sz w:val="24"/>
          <w:szCs w:val="24"/>
          <w:u w:val="single"/>
        </w:rPr>
      </w:pPr>
    </w:p>
    <w:p w14:paraId="12276DA7" w14:textId="77777777" w:rsidR="00C2340B" w:rsidRPr="00C2340B" w:rsidRDefault="00C2340B" w:rsidP="001157CF">
      <w:pPr>
        <w:ind w:left="851"/>
        <w:rPr>
          <w:sz w:val="24"/>
          <w:szCs w:val="24"/>
          <w:u w:val="single"/>
        </w:rPr>
      </w:pPr>
      <w:r w:rsidRPr="00C2340B">
        <w:rPr>
          <w:sz w:val="24"/>
          <w:szCs w:val="24"/>
          <w:u w:val="single"/>
        </w:rPr>
        <w:t>Profylakse af transplantatafstødning – børn</w:t>
      </w:r>
    </w:p>
    <w:p w14:paraId="0DA651A6" w14:textId="77777777" w:rsidR="00C2340B" w:rsidRPr="00C2340B" w:rsidRDefault="00C2340B" w:rsidP="001157CF">
      <w:pPr>
        <w:ind w:left="851"/>
        <w:rPr>
          <w:sz w:val="24"/>
          <w:szCs w:val="24"/>
        </w:rPr>
      </w:pPr>
      <w:r w:rsidRPr="00C2340B">
        <w:rPr>
          <w:sz w:val="24"/>
          <w:szCs w:val="24"/>
        </w:rPr>
        <w:t>Initialt benyttes en oral dosis på 0,30 mg/kg/dag fordelt på 2 doser (f.eks. morgen og aften).</w:t>
      </w:r>
    </w:p>
    <w:p w14:paraId="409706B3" w14:textId="77777777" w:rsidR="00C2340B" w:rsidRPr="00C2340B" w:rsidRDefault="00C2340B" w:rsidP="001157CF">
      <w:pPr>
        <w:ind w:left="851"/>
        <w:rPr>
          <w:sz w:val="24"/>
          <w:szCs w:val="24"/>
        </w:rPr>
      </w:pPr>
      <w:r w:rsidRPr="00C2340B">
        <w:rPr>
          <w:sz w:val="24"/>
          <w:szCs w:val="24"/>
        </w:rPr>
        <w:t>Hvis den kliniske tilstand ikke tillader oral behandling, gives en intravenøs dosis på 0,075</w:t>
      </w:r>
      <w:r w:rsidRPr="00C2340B">
        <w:rPr>
          <w:sz w:val="24"/>
          <w:szCs w:val="24"/>
        </w:rPr>
        <w:noBreakHyphen/>
        <w:t>0,100 mg/kg/dag som kontinuerlig infusion over 24 timer.</w:t>
      </w:r>
    </w:p>
    <w:p w14:paraId="7CE8E01C" w14:textId="77777777" w:rsidR="00C2340B" w:rsidRPr="00C2340B" w:rsidRDefault="00C2340B" w:rsidP="001157CF">
      <w:pPr>
        <w:ind w:left="851"/>
        <w:rPr>
          <w:sz w:val="24"/>
          <w:szCs w:val="24"/>
          <w:u w:val="single"/>
        </w:rPr>
      </w:pPr>
    </w:p>
    <w:p w14:paraId="0CEA7F45" w14:textId="77777777" w:rsidR="00C2340B" w:rsidRPr="00C2340B" w:rsidRDefault="00C2340B" w:rsidP="001157CF">
      <w:pPr>
        <w:ind w:left="851"/>
        <w:rPr>
          <w:sz w:val="24"/>
          <w:szCs w:val="24"/>
          <w:u w:val="single"/>
        </w:rPr>
      </w:pPr>
      <w:r w:rsidRPr="00C2340B">
        <w:rPr>
          <w:sz w:val="24"/>
          <w:szCs w:val="24"/>
          <w:u w:val="single"/>
        </w:rPr>
        <w:t>Dosisjustering i perioden efter transplantation hos voksne og børn</w:t>
      </w:r>
    </w:p>
    <w:p w14:paraId="1B213F87" w14:textId="7B8960EF" w:rsidR="00C2340B" w:rsidRPr="00C2340B" w:rsidRDefault="00C2340B" w:rsidP="001157CF">
      <w:pPr>
        <w:ind w:left="851"/>
        <w:rPr>
          <w:sz w:val="24"/>
          <w:szCs w:val="24"/>
        </w:rPr>
      </w:pPr>
      <w:r w:rsidRPr="00C2340B">
        <w:rPr>
          <w:sz w:val="24"/>
          <w:szCs w:val="24"/>
        </w:rPr>
        <w:t xml:space="preserve">Dosis for Tacrolimus </w:t>
      </w:r>
      <w:r w:rsidR="00A863D6">
        <w:rPr>
          <w:sz w:val="24"/>
          <w:szCs w:val="24"/>
        </w:rPr>
        <w:t>"EQL Pharma"</w:t>
      </w:r>
      <w:r w:rsidRPr="00C2340B">
        <w:rPr>
          <w:sz w:val="24"/>
          <w:szCs w:val="24"/>
        </w:rPr>
        <w:t xml:space="preserve"> reduceres sædvanligvis i perioden efter transplantationen. Det er i visse tilfælde muligt at seponere anden samtidig immunsuppressiv behandling, resulterende i Tacrolimus </w:t>
      </w:r>
      <w:r w:rsidR="00A863D6">
        <w:rPr>
          <w:sz w:val="24"/>
          <w:szCs w:val="24"/>
        </w:rPr>
        <w:t>"EQL Pharma"</w:t>
      </w:r>
      <w:r w:rsidRPr="00C2340B">
        <w:rPr>
          <w:sz w:val="24"/>
          <w:szCs w:val="24"/>
        </w:rPr>
        <w:t>-baseret behandling med 2 lægemidler. Forbedring i perioden efter transplantation af patientens tilstand kan medføre ændret farmakokinetik for tacrolimus, hvilket kan nødvendiggøre yderligere dosisjusteringer.</w:t>
      </w:r>
    </w:p>
    <w:p w14:paraId="658EE021" w14:textId="77777777" w:rsidR="00C2340B" w:rsidRPr="00C2340B" w:rsidRDefault="00C2340B" w:rsidP="001157CF">
      <w:pPr>
        <w:ind w:left="851"/>
        <w:rPr>
          <w:sz w:val="24"/>
          <w:szCs w:val="24"/>
          <w:u w:val="single"/>
        </w:rPr>
      </w:pPr>
    </w:p>
    <w:p w14:paraId="353933C5" w14:textId="77777777" w:rsidR="00C2340B" w:rsidRPr="00C2340B" w:rsidRDefault="00C2340B" w:rsidP="001157CF">
      <w:pPr>
        <w:ind w:left="851"/>
        <w:rPr>
          <w:sz w:val="24"/>
          <w:szCs w:val="24"/>
        </w:rPr>
      </w:pPr>
      <w:r w:rsidRPr="00C2340B">
        <w:rPr>
          <w:sz w:val="24"/>
          <w:szCs w:val="24"/>
          <w:u w:val="single"/>
        </w:rPr>
        <w:t>Behandling af afstødning – voksne og børn</w:t>
      </w:r>
    </w:p>
    <w:p w14:paraId="6E83E7FA" w14:textId="661E56A5" w:rsidR="00C2340B" w:rsidRPr="00C2340B" w:rsidRDefault="00C2340B" w:rsidP="001157CF">
      <w:pPr>
        <w:ind w:left="851"/>
        <w:rPr>
          <w:sz w:val="24"/>
          <w:szCs w:val="24"/>
        </w:rPr>
      </w:pPr>
      <w:r w:rsidRPr="00C2340B">
        <w:rPr>
          <w:sz w:val="24"/>
          <w:szCs w:val="24"/>
        </w:rPr>
        <w:t xml:space="preserve">Øgede doser af Tacrolimus </w:t>
      </w:r>
      <w:r w:rsidR="00A863D6">
        <w:rPr>
          <w:sz w:val="24"/>
          <w:szCs w:val="24"/>
        </w:rPr>
        <w:t>"EQL Pharma"</w:t>
      </w:r>
      <w:r w:rsidRPr="00C2340B">
        <w:rPr>
          <w:sz w:val="24"/>
          <w:szCs w:val="24"/>
        </w:rPr>
        <w:t>, supplerende kortikosteroid-behandling, indsættelse af korte behandlingsperioder med mono</w:t>
      </w:r>
      <w:r w:rsidRPr="00C2340B">
        <w:rPr>
          <w:sz w:val="24"/>
          <w:szCs w:val="24"/>
        </w:rPr>
        <w:noBreakHyphen/>
        <w:t xml:space="preserve">/polyklonale antistoffer er blevet benyttet til at behandle afstødningsepisoder. Hvis man ser tegn på toksicitet (f.eks. udtalte bivirkninger, se pkt. 4.8) kan det være nødvendigt at reducere dosis af Tacrolimus </w:t>
      </w:r>
      <w:r w:rsidR="00A863D6">
        <w:rPr>
          <w:sz w:val="24"/>
          <w:szCs w:val="24"/>
        </w:rPr>
        <w:t>"EQL Pharma"</w:t>
      </w:r>
      <w:r w:rsidRPr="00C2340B">
        <w:rPr>
          <w:sz w:val="24"/>
          <w:szCs w:val="24"/>
        </w:rPr>
        <w:t>.</w:t>
      </w:r>
    </w:p>
    <w:p w14:paraId="556752BC" w14:textId="4ABBC2C4" w:rsidR="00C2340B" w:rsidRPr="00C2340B" w:rsidRDefault="00C2340B" w:rsidP="001157CF">
      <w:pPr>
        <w:ind w:left="851"/>
        <w:rPr>
          <w:sz w:val="24"/>
          <w:szCs w:val="24"/>
        </w:rPr>
      </w:pPr>
      <w:r w:rsidRPr="00C2340B">
        <w:rPr>
          <w:sz w:val="24"/>
          <w:szCs w:val="24"/>
        </w:rPr>
        <w:t xml:space="preserve">Ved skift til Tacrolimus </w:t>
      </w:r>
      <w:r w:rsidR="00A863D6">
        <w:rPr>
          <w:sz w:val="24"/>
          <w:szCs w:val="24"/>
        </w:rPr>
        <w:t>"EQL Pharma"</w:t>
      </w:r>
      <w:r w:rsidRPr="00C2340B">
        <w:rPr>
          <w:sz w:val="24"/>
          <w:szCs w:val="24"/>
        </w:rPr>
        <w:t>, bør behandlingen indledes med den initiale orale dosis, der anbefales til primær immunsuppression.</w:t>
      </w:r>
    </w:p>
    <w:p w14:paraId="77DDEC4E" w14:textId="77777777" w:rsidR="00C2340B" w:rsidRPr="00C2340B" w:rsidRDefault="00C2340B" w:rsidP="001157CF">
      <w:pPr>
        <w:ind w:left="851"/>
        <w:rPr>
          <w:sz w:val="24"/>
          <w:szCs w:val="24"/>
        </w:rPr>
      </w:pPr>
    </w:p>
    <w:p w14:paraId="17BF6FC3" w14:textId="46F964BF" w:rsidR="00C2340B" w:rsidRPr="00C2340B" w:rsidRDefault="00C2340B" w:rsidP="001157CF">
      <w:pPr>
        <w:ind w:left="851"/>
        <w:rPr>
          <w:sz w:val="24"/>
          <w:szCs w:val="24"/>
        </w:rPr>
      </w:pPr>
      <w:r w:rsidRPr="00C2340B">
        <w:rPr>
          <w:sz w:val="24"/>
          <w:szCs w:val="24"/>
        </w:rPr>
        <w:t xml:space="preserve">Information om skift fra ciclosporin til Tacrolimus </w:t>
      </w:r>
      <w:r w:rsidR="00A863D6">
        <w:rPr>
          <w:sz w:val="24"/>
          <w:szCs w:val="24"/>
        </w:rPr>
        <w:t>"EQL Pharma"</w:t>
      </w:r>
      <w:r w:rsidRPr="00C2340B">
        <w:rPr>
          <w:sz w:val="24"/>
          <w:szCs w:val="24"/>
        </w:rPr>
        <w:t xml:space="preserve"> findes under “Dosisjustering hos særlige patientpopulationer”.</w:t>
      </w:r>
    </w:p>
    <w:p w14:paraId="262F5665" w14:textId="77777777" w:rsidR="00C2340B" w:rsidRPr="00C2340B" w:rsidRDefault="00C2340B" w:rsidP="001157CF">
      <w:pPr>
        <w:ind w:left="851"/>
        <w:rPr>
          <w:sz w:val="24"/>
          <w:szCs w:val="24"/>
        </w:rPr>
      </w:pPr>
    </w:p>
    <w:p w14:paraId="01123045" w14:textId="77777777" w:rsidR="00C2340B" w:rsidRPr="00C2340B" w:rsidRDefault="00C2340B" w:rsidP="001157CF">
      <w:pPr>
        <w:ind w:left="851"/>
        <w:rPr>
          <w:b/>
          <w:sz w:val="24"/>
          <w:szCs w:val="24"/>
        </w:rPr>
      </w:pPr>
      <w:r w:rsidRPr="00C2340B">
        <w:rPr>
          <w:b/>
          <w:sz w:val="24"/>
          <w:szCs w:val="24"/>
        </w:rPr>
        <w:t>Doseringsvejledning – Hjertetransplantation</w:t>
      </w:r>
    </w:p>
    <w:p w14:paraId="31D276CC" w14:textId="77777777" w:rsidR="00C2340B" w:rsidRPr="00C2340B" w:rsidRDefault="00C2340B" w:rsidP="001157CF">
      <w:pPr>
        <w:ind w:left="851"/>
        <w:rPr>
          <w:sz w:val="24"/>
          <w:szCs w:val="24"/>
          <w:u w:val="single"/>
        </w:rPr>
      </w:pPr>
    </w:p>
    <w:p w14:paraId="72243EA2" w14:textId="77777777" w:rsidR="00C2340B" w:rsidRPr="00C2340B" w:rsidRDefault="00C2340B" w:rsidP="001157CF">
      <w:pPr>
        <w:ind w:left="851"/>
        <w:rPr>
          <w:sz w:val="24"/>
          <w:szCs w:val="24"/>
          <w:u w:val="single"/>
        </w:rPr>
      </w:pPr>
      <w:r w:rsidRPr="00C2340B">
        <w:rPr>
          <w:sz w:val="24"/>
          <w:szCs w:val="24"/>
          <w:u w:val="single"/>
        </w:rPr>
        <w:t>Profylakse af transplantatafstødning – voksne</w:t>
      </w:r>
    </w:p>
    <w:p w14:paraId="7383BFFA" w14:textId="6F008195" w:rsidR="00C2340B" w:rsidRPr="00C2340B" w:rsidRDefault="00C2340B" w:rsidP="001157CF">
      <w:pPr>
        <w:ind w:left="851"/>
        <w:rPr>
          <w:sz w:val="24"/>
          <w:szCs w:val="24"/>
        </w:rPr>
      </w:pPr>
      <w:r w:rsidRPr="00C2340B">
        <w:rPr>
          <w:sz w:val="24"/>
          <w:szCs w:val="24"/>
        </w:rPr>
        <w:t xml:space="preserve">Tacrolimus </w:t>
      </w:r>
      <w:r w:rsidR="00A863D6">
        <w:rPr>
          <w:sz w:val="24"/>
          <w:szCs w:val="24"/>
        </w:rPr>
        <w:t>"EQL Pharma"</w:t>
      </w:r>
      <w:r w:rsidRPr="00C2340B">
        <w:rPr>
          <w:sz w:val="24"/>
          <w:szCs w:val="24"/>
        </w:rPr>
        <w:t xml:space="preserve"> kan anvendes med antistofinduktion (hvilket muliggør forsinket start af Tacrolimus </w:t>
      </w:r>
      <w:r w:rsidR="00A863D6">
        <w:rPr>
          <w:sz w:val="24"/>
          <w:szCs w:val="24"/>
        </w:rPr>
        <w:t>"EQL Pharma"</w:t>
      </w:r>
      <w:r w:rsidRPr="00C2340B">
        <w:rPr>
          <w:sz w:val="24"/>
          <w:szCs w:val="24"/>
        </w:rPr>
        <w:t>-behandling) eller alternativt hos klinisk stabile patienter uden antistofinduktion.</w:t>
      </w:r>
    </w:p>
    <w:p w14:paraId="2068CA71" w14:textId="7A658312" w:rsidR="00C2340B" w:rsidRPr="00C2340B" w:rsidRDefault="00C2340B" w:rsidP="001157CF">
      <w:pPr>
        <w:ind w:left="851"/>
        <w:rPr>
          <w:sz w:val="24"/>
          <w:szCs w:val="24"/>
        </w:rPr>
      </w:pPr>
      <w:r w:rsidRPr="00C2340B">
        <w:rPr>
          <w:sz w:val="24"/>
          <w:szCs w:val="24"/>
        </w:rPr>
        <w:t xml:space="preserve">Efter antistofinduktion bør oral Tacrolimus </w:t>
      </w:r>
      <w:r w:rsidR="00A863D6">
        <w:rPr>
          <w:sz w:val="24"/>
          <w:szCs w:val="24"/>
        </w:rPr>
        <w:t>"EQL Pharma"</w:t>
      </w:r>
      <w:r w:rsidRPr="00C2340B">
        <w:rPr>
          <w:sz w:val="24"/>
          <w:szCs w:val="24"/>
        </w:rPr>
        <w:t>-behandling begynde med en dosis på 0,075 mg/kg/dag fordelt på 2 doser (f.eks. morgen og aften). Administrationen bør begynde inden 5 dage efter operationen og så snart patienten er stabil.</w:t>
      </w:r>
    </w:p>
    <w:p w14:paraId="6F2B04D3" w14:textId="77777777" w:rsidR="00C2340B" w:rsidRPr="00C2340B" w:rsidRDefault="00C2340B" w:rsidP="001157CF">
      <w:pPr>
        <w:ind w:left="851"/>
        <w:rPr>
          <w:sz w:val="24"/>
          <w:szCs w:val="24"/>
        </w:rPr>
      </w:pPr>
      <w:r w:rsidRPr="00C2340B">
        <w:rPr>
          <w:sz w:val="24"/>
          <w:szCs w:val="24"/>
        </w:rPr>
        <w:t>Hvis den kliniske tilstand ikke tillader oral behandling, gives en intravenøs dosis på 0,01</w:t>
      </w:r>
      <w:r w:rsidRPr="00C2340B">
        <w:rPr>
          <w:sz w:val="24"/>
          <w:szCs w:val="24"/>
        </w:rPr>
        <w:noBreakHyphen/>
        <w:t>0,02 mg/kg/dag som kontinuerlig infusion over 24 timer. En alternativ strategi er publiceret hvor oral tacrolimus givet indenfor 12 timer efter transplantationen. Denne fremgangsmåde blev anvendt til patienter uden organsvigt (f.eks. nyresvigt). I dette tilfælde er en initial oral tacrolimus-dosis på 2</w:t>
      </w:r>
      <w:r w:rsidRPr="00C2340B">
        <w:rPr>
          <w:sz w:val="24"/>
          <w:szCs w:val="24"/>
        </w:rPr>
        <w:noBreakHyphen/>
        <w:t>4 mg/dag givet sammen med mycophenolat mofetil og kortikosteroider eller sammen med sirolimus og kortikosteroider.</w:t>
      </w:r>
    </w:p>
    <w:p w14:paraId="60650032" w14:textId="77777777" w:rsidR="00C2340B" w:rsidRPr="00C2340B" w:rsidRDefault="00C2340B" w:rsidP="001157CF">
      <w:pPr>
        <w:ind w:left="851"/>
        <w:rPr>
          <w:sz w:val="24"/>
          <w:szCs w:val="24"/>
          <w:u w:val="single"/>
        </w:rPr>
      </w:pPr>
    </w:p>
    <w:p w14:paraId="1DC56D96" w14:textId="77777777" w:rsidR="00C2340B" w:rsidRPr="00C2340B" w:rsidRDefault="00C2340B" w:rsidP="001157CF">
      <w:pPr>
        <w:ind w:left="851"/>
        <w:rPr>
          <w:sz w:val="24"/>
          <w:szCs w:val="24"/>
          <w:u w:val="single"/>
        </w:rPr>
      </w:pPr>
      <w:r w:rsidRPr="00C2340B">
        <w:rPr>
          <w:sz w:val="24"/>
          <w:szCs w:val="24"/>
          <w:u w:val="single"/>
        </w:rPr>
        <w:t>Profylakse af transplantatafstødning – børn</w:t>
      </w:r>
    </w:p>
    <w:p w14:paraId="3A09CACA" w14:textId="09AE9E07" w:rsidR="00C2340B" w:rsidRPr="00C2340B" w:rsidRDefault="00C2340B" w:rsidP="001157CF">
      <w:pPr>
        <w:ind w:left="851"/>
        <w:rPr>
          <w:sz w:val="24"/>
          <w:szCs w:val="24"/>
        </w:rPr>
      </w:pPr>
      <w:r w:rsidRPr="00C2340B">
        <w:rPr>
          <w:sz w:val="24"/>
          <w:szCs w:val="24"/>
        </w:rPr>
        <w:t xml:space="preserve">Tacrolimus </w:t>
      </w:r>
      <w:r w:rsidR="00A863D6">
        <w:rPr>
          <w:sz w:val="24"/>
          <w:szCs w:val="24"/>
        </w:rPr>
        <w:t>"EQL Pharma"</w:t>
      </w:r>
      <w:r w:rsidRPr="00C2340B">
        <w:rPr>
          <w:sz w:val="24"/>
          <w:szCs w:val="24"/>
        </w:rPr>
        <w:t xml:space="preserve"> er blevet benyttet med og uden antistofinduktion til hjertetransplanterede børn.</w:t>
      </w:r>
    </w:p>
    <w:p w14:paraId="24B5832C" w14:textId="5F7A88ED" w:rsidR="00C2340B" w:rsidRPr="00C2340B" w:rsidRDefault="00C2340B" w:rsidP="001157CF">
      <w:pPr>
        <w:ind w:left="851"/>
        <w:rPr>
          <w:sz w:val="24"/>
          <w:szCs w:val="24"/>
        </w:rPr>
      </w:pPr>
      <w:r w:rsidRPr="00C2340B">
        <w:rPr>
          <w:sz w:val="24"/>
          <w:szCs w:val="24"/>
        </w:rPr>
        <w:t xml:space="preserve">Hvis Tacrolimus </w:t>
      </w:r>
      <w:r w:rsidR="00A863D6">
        <w:rPr>
          <w:sz w:val="24"/>
          <w:szCs w:val="24"/>
        </w:rPr>
        <w:t>"EQL Pharma"</w:t>
      </w:r>
      <w:r w:rsidRPr="00C2340B">
        <w:rPr>
          <w:sz w:val="24"/>
          <w:szCs w:val="24"/>
        </w:rPr>
        <w:t>-behandling er initieret intravenøst til patienter uden antistofinduktion, er den anbefalede startdosis 0,03</w:t>
      </w:r>
      <w:r w:rsidRPr="00C2340B">
        <w:rPr>
          <w:sz w:val="24"/>
          <w:szCs w:val="24"/>
        </w:rPr>
        <w:noBreakHyphen/>
        <w:t>0,05 mg/kg/dag som en kontinuerlig infusion over 24 timer, idet man forsøger at opnå tacrolimus fuldblodskoncentrationer på 15</w:t>
      </w:r>
      <w:r w:rsidRPr="00C2340B">
        <w:rPr>
          <w:sz w:val="24"/>
          <w:szCs w:val="24"/>
        </w:rPr>
        <w:noBreakHyphen/>
        <w:t>25 ng/ml. Patienten skal overgå til oral behandling så snart tilstanden tillader det. Den første orale dosis bør være 0,30 mg/kg/dag med start 8</w:t>
      </w:r>
      <w:r w:rsidRPr="00C2340B">
        <w:rPr>
          <w:sz w:val="24"/>
          <w:szCs w:val="24"/>
        </w:rPr>
        <w:noBreakHyphen/>
        <w:t>12 timer efter afslutning af den intravenøse behandling.</w:t>
      </w:r>
    </w:p>
    <w:p w14:paraId="6275F604" w14:textId="13F302E6" w:rsidR="00C2340B" w:rsidRPr="00C2340B" w:rsidRDefault="00C2340B" w:rsidP="001157CF">
      <w:pPr>
        <w:ind w:left="851"/>
        <w:rPr>
          <w:sz w:val="24"/>
          <w:szCs w:val="24"/>
        </w:rPr>
      </w:pPr>
      <w:r w:rsidRPr="00C2340B">
        <w:rPr>
          <w:sz w:val="24"/>
          <w:szCs w:val="24"/>
        </w:rPr>
        <w:t xml:space="preserve">Hvis Tacrolimus </w:t>
      </w:r>
      <w:r w:rsidR="00A863D6">
        <w:rPr>
          <w:sz w:val="24"/>
          <w:szCs w:val="24"/>
        </w:rPr>
        <w:t>"EQL Pharma"</w:t>
      </w:r>
      <w:r w:rsidRPr="00C2340B">
        <w:rPr>
          <w:sz w:val="24"/>
          <w:szCs w:val="24"/>
        </w:rPr>
        <w:t>-behandling er initieret oralt efter antistofinduktion er den anbefalede startdosis 0,10</w:t>
      </w:r>
      <w:r w:rsidRPr="00C2340B">
        <w:rPr>
          <w:sz w:val="24"/>
          <w:szCs w:val="24"/>
        </w:rPr>
        <w:noBreakHyphen/>
        <w:t>0,30 mg/kg/dag fordelt på 2 doser (f.eks. morgen og aften).</w:t>
      </w:r>
    </w:p>
    <w:p w14:paraId="626BD8C8" w14:textId="01F69410" w:rsidR="00BF02EF" w:rsidRDefault="00BF02EF">
      <w:pPr>
        <w:rPr>
          <w:sz w:val="24"/>
          <w:szCs w:val="24"/>
          <w:u w:val="single"/>
        </w:rPr>
      </w:pPr>
      <w:r>
        <w:rPr>
          <w:sz w:val="24"/>
          <w:szCs w:val="24"/>
          <w:u w:val="single"/>
        </w:rPr>
        <w:br w:type="page"/>
      </w:r>
    </w:p>
    <w:p w14:paraId="6B9AE634" w14:textId="77777777" w:rsidR="00C2340B" w:rsidRPr="00C2340B" w:rsidRDefault="00C2340B" w:rsidP="001157CF">
      <w:pPr>
        <w:ind w:left="851"/>
        <w:rPr>
          <w:sz w:val="24"/>
          <w:szCs w:val="24"/>
          <w:u w:val="single"/>
        </w:rPr>
      </w:pPr>
    </w:p>
    <w:p w14:paraId="5E686EFC" w14:textId="77777777" w:rsidR="00C2340B" w:rsidRPr="00C2340B" w:rsidRDefault="00C2340B" w:rsidP="001157CF">
      <w:pPr>
        <w:ind w:left="851"/>
        <w:rPr>
          <w:sz w:val="24"/>
          <w:szCs w:val="24"/>
          <w:u w:val="single"/>
        </w:rPr>
      </w:pPr>
      <w:r w:rsidRPr="00C2340B">
        <w:rPr>
          <w:sz w:val="24"/>
          <w:szCs w:val="24"/>
          <w:u w:val="single"/>
        </w:rPr>
        <w:t>Dosisjustering i perioden efter transplantation hos voksne og børn</w:t>
      </w:r>
    </w:p>
    <w:p w14:paraId="67769CD3" w14:textId="0DC79F56" w:rsidR="00C2340B" w:rsidRPr="00C2340B" w:rsidRDefault="00C2340B" w:rsidP="001157CF">
      <w:pPr>
        <w:ind w:left="851"/>
        <w:rPr>
          <w:sz w:val="24"/>
          <w:szCs w:val="24"/>
        </w:rPr>
      </w:pPr>
      <w:r w:rsidRPr="00C2340B">
        <w:rPr>
          <w:sz w:val="24"/>
          <w:szCs w:val="24"/>
        </w:rPr>
        <w:t xml:space="preserve">Dosis for Tacrolimus </w:t>
      </w:r>
      <w:r w:rsidR="00A863D6">
        <w:rPr>
          <w:sz w:val="24"/>
          <w:szCs w:val="24"/>
        </w:rPr>
        <w:t>"EQL Pharma"</w:t>
      </w:r>
      <w:r w:rsidRPr="00C2340B">
        <w:rPr>
          <w:sz w:val="24"/>
          <w:szCs w:val="24"/>
        </w:rPr>
        <w:t xml:space="preserve"> reduceres sædvanligvis i perioden efter transplantationen. Forbedring af patientens tilstand i perioden efter transplantation kan medføre ændret farmakokinetik for tacrolimus og nødvendiggøre yderligere dosisjusteringer.</w:t>
      </w:r>
    </w:p>
    <w:p w14:paraId="4C6B3E57" w14:textId="77777777" w:rsidR="00C2340B" w:rsidRPr="00C2340B" w:rsidRDefault="00C2340B" w:rsidP="001157CF">
      <w:pPr>
        <w:ind w:left="851"/>
        <w:rPr>
          <w:sz w:val="24"/>
          <w:szCs w:val="24"/>
          <w:u w:val="single"/>
        </w:rPr>
      </w:pPr>
    </w:p>
    <w:p w14:paraId="49437AD4" w14:textId="77777777" w:rsidR="00C2340B" w:rsidRPr="00C2340B" w:rsidRDefault="00C2340B" w:rsidP="001157CF">
      <w:pPr>
        <w:ind w:left="851"/>
        <w:rPr>
          <w:sz w:val="24"/>
          <w:szCs w:val="24"/>
          <w:u w:val="single"/>
        </w:rPr>
      </w:pPr>
      <w:r w:rsidRPr="00C2340B">
        <w:rPr>
          <w:sz w:val="24"/>
          <w:szCs w:val="24"/>
          <w:u w:val="single"/>
        </w:rPr>
        <w:t>Behandling af afstødning – voksne og børn</w:t>
      </w:r>
    </w:p>
    <w:p w14:paraId="3CCBEE15" w14:textId="15CD9760" w:rsidR="00C2340B" w:rsidRPr="00C2340B" w:rsidRDefault="00C2340B" w:rsidP="001157CF">
      <w:pPr>
        <w:ind w:left="851"/>
        <w:rPr>
          <w:sz w:val="24"/>
          <w:szCs w:val="24"/>
        </w:rPr>
      </w:pPr>
      <w:r w:rsidRPr="00C2340B">
        <w:rPr>
          <w:sz w:val="24"/>
          <w:szCs w:val="24"/>
        </w:rPr>
        <w:t xml:space="preserve">Øgede Tacrolimus </w:t>
      </w:r>
      <w:r w:rsidR="00A863D6">
        <w:rPr>
          <w:sz w:val="24"/>
          <w:szCs w:val="24"/>
        </w:rPr>
        <w:t>"EQL Pharma"</w:t>
      </w:r>
      <w:r w:rsidRPr="00C2340B">
        <w:rPr>
          <w:sz w:val="24"/>
          <w:szCs w:val="24"/>
        </w:rPr>
        <w:t>-doser, supplerende kortikosteroid-behandling og indsættelse af korte behandlingsperioder med mono</w:t>
      </w:r>
      <w:r w:rsidRPr="00C2340B">
        <w:rPr>
          <w:sz w:val="24"/>
          <w:szCs w:val="24"/>
        </w:rPr>
        <w:noBreakHyphen/>
        <w:t>/polyklonale antistoffer er blevet benyttet til at behandle afstødningsepisoder.</w:t>
      </w:r>
    </w:p>
    <w:p w14:paraId="76797803" w14:textId="0CB971BA" w:rsidR="00C2340B" w:rsidRPr="00C2340B" w:rsidRDefault="00C2340B" w:rsidP="001157CF">
      <w:pPr>
        <w:ind w:left="851"/>
        <w:rPr>
          <w:sz w:val="24"/>
          <w:szCs w:val="24"/>
        </w:rPr>
      </w:pPr>
      <w:r w:rsidRPr="00C2340B">
        <w:rPr>
          <w:sz w:val="24"/>
          <w:szCs w:val="24"/>
        </w:rPr>
        <w:t xml:space="preserve">Voksne patienter, der overgår til Tacrolimus </w:t>
      </w:r>
      <w:r w:rsidR="00A863D6">
        <w:rPr>
          <w:sz w:val="24"/>
          <w:szCs w:val="24"/>
        </w:rPr>
        <w:t>"EQL Pharma"</w:t>
      </w:r>
      <w:r w:rsidRPr="00C2340B">
        <w:rPr>
          <w:sz w:val="24"/>
          <w:szCs w:val="24"/>
        </w:rPr>
        <w:t>-behandling, bør initialt få orale doser på 0,15 mg/kg/dag fordelt på 2 doser (f.eks. morgen og aften).</w:t>
      </w:r>
    </w:p>
    <w:p w14:paraId="2CFE09DF" w14:textId="35EF23A6" w:rsidR="00C2340B" w:rsidRPr="00C2340B" w:rsidRDefault="00C2340B" w:rsidP="001157CF">
      <w:pPr>
        <w:ind w:left="851"/>
        <w:rPr>
          <w:sz w:val="24"/>
          <w:szCs w:val="24"/>
        </w:rPr>
      </w:pPr>
      <w:r w:rsidRPr="00C2340B">
        <w:rPr>
          <w:sz w:val="24"/>
          <w:szCs w:val="24"/>
        </w:rPr>
        <w:t xml:space="preserve">Børn, der overgår til Tacrolimus </w:t>
      </w:r>
      <w:r w:rsidR="00A863D6">
        <w:rPr>
          <w:sz w:val="24"/>
          <w:szCs w:val="24"/>
        </w:rPr>
        <w:t>"EQL Pharma"</w:t>
      </w:r>
      <w:r w:rsidRPr="00C2340B">
        <w:rPr>
          <w:sz w:val="24"/>
          <w:szCs w:val="24"/>
        </w:rPr>
        <w:t>-behandling, bør initialt få orale doser på 0,20</w:t>
      </w:r>
      <w:r w:rsidRPr="00C2340B">
        <w:rPr>
          <w:sz w:val="24"/>
          <w:szCs w:val="24"/>
        </w:rPr>
        <w:noBreakHyphen/>
        <w:t>0,30 mg/kg/dag fordelt på 2 doser (f.eks. morgen og aften).</w:t>
      </w:r>
    </w:p>
    <w:p w14:paraId="28CD7060" w14:textId="1469A534" w:rsidR="00C2340B" w:rsidRPr="00C2340B" w:rsidRDefault="00C2340B" w:rsidP="001157CF">
      <w:pPr>
        <w:ind w:left="851"/>
        <w:rPr>
          <w:b/>
          <w:sz w:val="24"/>
          <w:szCs w:val="24"/>
        </w:rPr>
      </w:pPr>
      <w:r w:rsidRPr="00C2340B">
        <w:rPr>
          <w:sz w:val="24"/>
          <w:szCs w:val="24"/>
        </w:rPr>
        <w:t xml:space="preserve">Information om skift fra ciclosporin til Tacrolimus </w:t>
      </w:r>
      <w:r w:rsidR="00A863D6">
        <w:rPr>
          <w:sz w:val="24"/>
          <w:szCs w:val="24"/>
        </w:rPr>
        <w:t>"EQL Pharma"</w:t>
      </w:r>
      <w:r w:rsidRPr="00C2340B">
        <w:rPr>
          <w:sz w:val="24"/>
          <w:szCs w:val="24"/>
        </w:rPr>
        <w:t xml:space="preserve"> findes under “Dosisjustering hos særlige patientpopulationer”.</w:t>
      </w:r>
    </w:p>
    <w:p w14:paraId="6C5CEDD6" w14:textId="77777777" w:rsidR="00C2340B" w:rsidRPr="00C2340B" w:rsidRDefault="00C2340B" w:rsidP="001157CF">
      <w:pPr>
        <w:ind w:left="851"/>
        <w:rPr>
          <w:b/>
          <w:sz w:val="24"/>
          <w:szCs w:val="24"/>
        </w:rPr>
      </w:pPr>
    </w:p>
    <w:p w14:paraId="441D1836" w14:textId="77777777" w:rsidR="00C2340B" w:rsidRPr="00C2340B" w:rsidRDefault="00C2340B" w:rsidP="001157CF">
      <w:pPr>
        <w:ind w:left="851"/>
        <w:rPr>
          <w:sz w:val="24"/>
          <w:szCs w:val="24"/>
        </w:rPr>
      </w:pPr>
      <w:r w:rsidRPr="00C2340B">
        <w:rPr>
          <w:b/>
          <w:sz w:val="24"/>
          <w:szCs w:val="24"/>
        </w:rPr>
        <w:t>Doseringsvejledning – Behandling af afstødning, andre allotransplantater</w:t>
      </w:r>
    </w:p>
    <w:p w14:paraId="2B36B7FE" w14:textId="77777777" w:rsidR="00C2340B" w:rsidRPr="00C2340B" w:rsidRDefault="00C2340B" w:rsidP="001157CF">
      <w:pPr>
        <w:ind w:left="851"/>
        <w:rPr>
          <w:sz w:val="24"/>
          <w:szCs w:val="24"/>
        </w:rPr>
      </w:pPr>
    </w:p>
    <w:p w14:paraId="6D3D6616" w14:textId="1C7A4108" w:rsidR="00C2340B" w:rsidRPr="00C2340B" w:rsidRDefault="00C2340B" w:rsidP="001157CF">
      <w:pPr>
        <w:ind w:left="851"/>
        <w:rPr>
          <w:sz w:val="24"/>
          <w:szCs w:val="24"/>
        </w:rPr>
      </w:pPr>
      <w:r w:rsidRPr="00C2340B">
        <w:rPr>
          <w:sz w:val="24"/>
          <w:szCs w:val="24"/>
        </w:rPr>
        <w:t>Dosisanbefalingerne for lunge-, pancreas</w:t>
      </w:r>
      <w:r w:rsidRPr="00C2340B">
        <w:rPr>
          <w:sz w:val="24"/>
          <w:szCs w:val="24"/>
        </w:rPr>
        <w:noBreakHyphen/>
        <w:t xml:space="preserve"> og intestinaltransplantationer er baseret på begrænsede prospektive kliniske data. Hos lungetransplanterede patienter er Tacrolimus </w:t>
      </w:r>
      <w:r w:rsidR="00A863D6">
        <w:rPr>
          <w:sz w:val="24"/>
          <w:szCs w:val="24"/>
        </w:rPr>
        <w:t>"EQL Pharma"</w:t>
      </w:r>
      <w:r w:rsidRPr="00C2340B">
        <w:rPr>
          <w:sz w:val="24"/>
          <w:szCs w:val="24"/>
        </w:rPr>
        <w:t xml:space="preserve"> blevet brugt med en initial oral dosis på 0,10</w:t>
      </w:r>
      <w:r w:rsidRPr="00C2340B">
        <w:rPr>
          <w:sz w:val="24"/>
          <w:szCs w:val="24"/>
        </w:rPr>
        <w:noBreakHyphen/>
        <w:t>0,15 mg/kg/dag, hos pancreastransplanterede patienter med en initial oral dosis på 0,2 mg/kg/dag og ved intestinaltransplantation med en initial oral dosis på 0,3 mg/kg/dag.</w:t>
      </w:r>
    </w:p>
    <w:p w14:paraId="67823986" w14:textId="77777777" w:rsidR="00C2340B" w:rsidRPr="00C2340B" w:rsidRDefault="00C2340B" w:rsidP="001157CF">
      <w:pPr>
        <w:ind w:left="851"/>
        <w:rPr>
          <w:sz w:val="24"/>
          <w:szCs w:val="24"/>
        </w:rPr>
      </w:pPr>
    </w:p>
    <w:p w14:paraId="09E5BA4D" w14:textId="77777777" w:rsidR="00C2340B" w:rsidRPr="00C2340B" w:rsidRDefault="00C2340B" w:rsidP="001157CF">
      <w:pPr>
        <w:ind w:left="851"/>
        <w:rPr>
          <w:sz w:val="24"/>
          <w:szCs w:val="24"/>
        </w:rPr>
      </w:pPr>
      <w:r w:rsidRPr="00C2340B">
        <w:rPr>
          <w:b/>
          <w:sz w:val="24"/>
          <w:szCs w:val="24"/>
        </w:rPr>
        <w:t>Dosisjustering hos særlige patientpopulationer</w:t>
      </w:r>
    </w:p>
    <w:p w14:paraId="4D28CFAC" w14:textId="77777777" w:rsidR="00C2340B" w:rsidRPr="00C2340B" w:rsidRDefault="00C2340B" w:rsidP="001157CF">
      <w:pPr>
        <w:ind w:left="851"/>
        <w:rPr>
          <w:sz w:val="24"/>
          <w:szCs w:val="24"/>
          <w:u w:val="single"/>
        </w:rPr>
      </w:pPr>
    </w:p>
    <w:p w14:paraId="31B3E010" w14:textId="77777777" w:rsidR="00C2340B" w:rsidRPr="00C2340B" w:rsidRDefault="00C2340B" w:rsidP="001157CF">
      <w:pPr>
        <w:ind w:left="851"/>
        <w:rPr>
          <w:sz w:val="24"/>
          <w:szCs w:val="24"/>
        </w:rPr>
      </w:pPr>
      <w:r w:rsidRPr="00C2340B">
        <w:rPr>
          <w:sz w:val="24"/>
          <w:szCs w:val="24"/>
          <w:u w:val="single"/>
        </w:rPr>
        <w:t>Patienter med nedsat leverfunktion</w:t>
      </w:r>
    </w:p>
    <w:p w14:paraId="5CA792D6" w14:textId="77777777" w:rsidR="00C2340B" w:rsidRPr="00C2340B" w:rsidRDefault="00C2340B" w:rsidP="001157CF">
      <w:pPr>
        <w:ind w:left="851"/>
        <w:rPr>
          <w:sz w:val="24"/>
          <w:szCs w:val="24"/>
        </w:rPr>
      </w:pPr>
      <w:r w:rsidRPr="00C2340B">
        <w:rPr>
          <w:sz w:val="24"/>
          <w:szCs w:val="24"/>
        </w:rPr>
        <w:t>Dosisreduktion kan være nødvendig hos patienter med svært nedsat leverfunktion for at holde bloddal-koncentrationerne inden for de anbefalede grænser.</w:t>
      </w:r>
    </w:p>
    <w:p w14:paraId="23B91175" w14:textId="77777777" w:rsidR="00C2340B" w:rsidRPr="00C2340B" w:rsidRDefault="00C2340B" w:rsidP="001157CF">
      <w:pPr>
        <w:ind w:left="851"/>
        <w:rPr>
          <w:sz w:val="24"/>
          <w:szCs w:val="24"/>
          <w:u w:val="single"/>
        </w:rPr>
      </w:pPr>
    </w:p>
    <w:p w14:paraId="0DDF76B2" w14:textId="77777777" w:rsidR="00C2340B" w:rsidRPr="00C2340B" w:rsidRDefault="00C2340B" w:rsidP="001157CF">
      <w:pPr>
        <w:ind w:left="851"/>
        <w:rPr>
          <w:sz w:val="24"/>
          <w:szCs w:val="24"/>
          <w:u w:val="single"/>
        </w:rPr>
      </w:pPr>
      <w:r w:rsidRPr="00C2340B">
        <w:rPr>
          <w:sz w:val="24"/>
          <w:szCs w:val="24"/>
          <w:u w:val="single"/>
        </w:rPr>
        <w:t>Patienter med nedsat nyrefunktion</w:t>
      </w:r>
    </w:p>
    <w:p w14:paraId="50D93F30" w14:textId="77777777" w:rsidR="00C2340B" w:rsidRPr="00C2340B" w:rsidRDefault="00C2340B" w:rsidP="001157CF">
      <w:pPr>
        <w:ind w:left="851"/>
        <w:rPr>
          <w:sz w:val="24"/>
          <w:szCs w:val="24"/>
        </w:rPr>
      </w:pPr>
      <w:r w:rsidRPr="00C2340B">
        <w:rPr>
          <w:sz w:val="24"/>
          <w:szCs w:val="24"/>
        </w:rPr>
        <w:t>Da tacrolimus’ farmakokinetik er uafhængig af nyrefunktionen, bør dosisjustering ikke være nødvendig. Imidlertid anbefales omhyggelig overvågning af nyrefunktionen på grund af den potentielle nefrotoksicitet (herunder målinger af serumkreatinin-koncentrationer, beregning af kreatininclearance og kontrol af diurese).</w:t>
      </w:r>
    </w:p>
    <w:p w14:paraId="3959FAF1" w14:textId="77777777" w:rsidR="00C2340B" w:rsidRPr="00C2340B" w:rsidRDefault="00C2340B" w:rsidP="001157CF">
      <w:pPr>
        <w:ind w:left="851"/>
        <w:rPr>
          <w:sz w:val="24"/>
          <w:szCs w:val="24"/>
          <w:u w:val="single"/>
        </w:rPr>
      </w:pPr>
    </w:p>
    <w:p w14:paraId="4BFCB59C" w14:textId="77777777" w:rsidR="00C2340B" w:rsidRPr="00C2340B" w:rsidRDefault="00C2340B" w:rsidP="001157CF">
      <w:pPr>
        <w:ind w:left="851"/>
        <w:rPr>
          <w:sz w:val="24"/>
          <w:szCs w:val="24"/>
        </w:rPr>
      </w:pPr>
      <w:r w:rsidRPr="00C2340B">
        <w:rPr>
          <w:sz w:val="24"/>
          <w:szCs w:val="24"/>
          <w:u w:val="single"/>
        </w:rPr>
        <w:t>Pædiatrisk population</w:t>
      </w:r>
    </w:p>
    <w:p w14:paraId="38CFF525" w14:textId="77777777" w:rsidR="00C2340B" w:rsidRPr="00C2340B" w:rsidRDefault="00C2340B" w:rsidP="001157CF">
      <w:pPr>
        <w:ind w:left="851"/>
        <w:rPr>
          <w:sz w:val="24"/>
          <w:szCs w:val="24"/>
        </w:rPr>
      </w:pPr>
      <w:r w:rsidRPr="00C2340B">
        <w:rPr>
          <w:sz w:val="24"/>
          <w:szCs w:val="24"/>
        </w:rPr>
        <w:t>Generelt behøver børn en dosering, der er 1½</w:t>
      </w:r>
      <w:r w:rsidRPr="00C2340B">
        <w:rPr>
          <w:sz w:val="24"/>
          <w:szCs w:val="24"/>
        </w:rPr>
        <w:noBreakHyphen/>
        <w:t>2 gange højere end doseringen for voksne for at opnå samme blodkoncentrationer.</w:t>
      </w:r>
    </w:p>
    <w:p w14:paraId="1CFC4D42" w14:textId="77777777" w:rsidR="00C2340B" w:rsidRPr="00C2340B" w:rsidRDefault="00C2340B" w:rsidP="001157CF">
      <w:pPr>
        <w:ind w:left="851"/>
        <w:rPr>
          <w:sz w:val="24"/>
          <w:szCs w:val="24"/>
          <w:u w:val="single"/>
        </w:rPr>
      </w:pPr>
    </w:p>
    <w:p w14:paraId="162C9507" w14:textId="77777777" w:rsidR="00C2340B" w:rsidRPr="00C2340B" w:rsidRDefault="00C2340B" w:rsidP="001157CF">
      <w:pPr>
        <w:ind w:left="851"/>
        <w:rPr>
          <w:sz w:val="24"/>
          <w:szCs w:val="24"/>
        </w:rPr>
      </w:pPr>
      <w:r w:rsidRPr="00C2340B">
        <w:rPr>
          <w:sz w:val="24"/>
          <w:szCs w:val="24"/>
          <w:u w:val="single"/>
        </w:rPr>
        <w:t>Ældre patienter</w:t>
      </w:r>
    </w:p>
    <w:p w14:paraId="475DDBEC" w14:textId="77777777" w:rsidR="00C2340B" w:rsidRPr="00C2340B" w:rsidRDefault="00C2340B" w:rsidP="001157CF">
      <w:pPr>
        <w:ind w:left="851"/>
        <w:rPr>
          <w:sz w:val="24"/>
          <w:szCs w:val="24"/>
        </w:rPr>
      </w:pPr>
      <w:r w:rsidRPr="00C2340B">
        <w:rPr>
          <w:sz w:val="24"/>
          <w:szCs w:val="24"/>
        </w:rPr>
        <w:t>På nuværende tidspunkt er der intet der tyder på, at doseringen skal justeres hos ældre patienter.</w:t>
      </w:r>
    </w:p>
    <w:p w14:paraId="76CAD748" w14:textId="77777777" w:rsidR="00C2340B" w:rsidRPr="00C2340B" w:rsidRDefault="00C2340B" w:rsidP="001157CF">
      <w:pPr>
        <w:ind w:left="851"/>
        <w:rPr>
          <w:sz w:val="24"/>
          <w:szCs w:val="24"/>
          <w:u w:val="single"/>
        </w:rPr>
      </w:pPr>
    </w:p>
    <w:p w14:paraId="5EB1CA3C" w14:textId="77777777" w:rsidR="00C2340B" w:rsidRPr="00C2340B" w:rsidRDefault="00C2340B" w:rsidP="001157CF">
      <w:pPr>
        <w:ind w:left="851"/>
        <w:rPr>
          <w:sz w:val="24"/>
          <w:szCs w:val="24"/>
          <w:u w:val="single"/>
        </w:rPr>
      </w:pPr>
      <w:r w:rsidRPr="00C2340B">
        <w:rPr>
          <w:sz w:val="24"/>
          <w:szCs w:val="24"/>
          <w:u w:val="single"/>
        </w:rPr>
        <w:t>Skift fra behandling med ciclosporin</w:t>
      </w:r>
    </w:p>
    <w:p w14:paraId="65A83AFC" w14:textId="1A6F2EC2" w:rsidR="00C2340B" w:rsidRPr="00C2340B" w:rsidRDefault="00C2340B" w:rsidP="001157CF">
      <w:pPr>
        <w:ind w:left="851"/>
        <w:rPr>
          <w:sz w:val="24"/>
          <w:szCs w:val="24"/>
        </w:rPr>
      </w:pPr>
      <w:r w:rsidRPr="00C2340B">
        <w:rPr>
          <w:sz w:val="24"/>
          <w:szCs w:val="24"/>
        </w:rPr>
        <w:t xml:space="preserve">Der bør udvises forsigtighed, når patienter skifter fra behandling med ciclosporin til Tacrolimus </w:t>
      </w:r>
      <w:r w:rsidR="00A863D6">
        <w:rPr>
          <w:sz w:val="24"/>
          <w:szCs w:val="24"/>
        </w:rPr>
        <w:t>"EQL Pharma"</w:t>
      </w:r>
      <w:r w:rsidRPr="00C2340B">
        <w:rPr>
          <w:sz w:val="24"/>
          <w:szCs w:val="24"/>
        </w:rPr>
        <w:t xml:space="preserve">-baseret behandling (se pkt. 4.4 og 4.5). Før der indledes behandling med Tacrolimus </w:t>
      </w:r>
      <w:r w:rsidR="00A863D6">
        <w:rPr>
          <w:sz w:val="24"/>
          <w:szCs w:val="24"/>
        </w:rPr>
        <w:t>"EQL Pharma"</w:t>
      </w:r>
      <w:r w:rsidRPr="00C2340B">
        <w:rPr>
          <w:sz w:val="24"/>
          <w:szCs w:val="24"/>
        </w:rPr>
        <w:t xml:space="preserve">, skal ciclosporin blodkoncentrationerne og patientens tilstand vurderes. Dosering bør udsættes i tilfælde af forhøjede ciclosporin </w:t>
      </w:r>
      <w:r w:rsidRPr="00C2340B">
        <w:rPr>
          <w:sz w:val="24"/>
          <w:szCs w:val="24"/>
        </w:rPr>
        <w:lastRenderedPageBreak/>
        <w:t xml:space="preserve">blodkoncentrationer. Sædvanligvis kan behandling med Tacrolimus </w:t>
      </w:r>
      <w:r w:rsidR="00A863D6">
        <w:rPr>
          <w:sz w:val="24"/>
          <w:szCs w:val="24"/>
        </w:rPr>
        <w:t>"EQL Pharma"</w:t>
      </w:r>
      <w:r w:rsidRPr="00C2340B">
        <w:rPr>
          <w:sz w:val="24"/>
          <w:szCs w:val="24"/>
        </w:rPr>
        <w:t xml:space="preserve"> starte 12</w:t>
      </w:r>
      <w:r w:rsidRPr="00C2340B">
        <w:rPr>
          <w:sz w:val="24"/>
          <w:szCs w:val="24"/>
        </w:rPr>
        <w:noBreakHyphen/>
        <w:t xml:space="preserve">24 timer efter ophør af ciclosporin-behandlingen. Målinger af ciclosporin blodkoncentrationer bør fortsætte efter skift til Tacrolimus </w:t>
      </w:r>
      <w:r w:rsidR="00A863D6">
        <w:rPr>
          <w:sz w:val="24"/>
          <w:szCs w:val="24"/>
        </w:rPr>
        <w:t>"EQL Pharma"</w:t>
      </w:r>
      <w:r w:rsidRPr="00C2340B">
        <w:rPr>
          <w:sz w:val="24"/>
          <w:szCs w:val="24"/>
        </w:rPr>
        <w:t>, da ciclosporins clearance kan være påvirket.</w:t>
      </w:r>
    </w:p>
    <w:p w14:paraId="01EBB190" w14:textId="77777777" w:rsidR="00C2340B" w:rsidRPr="00C2340B" w:rsidRDefault="00C2340B" w:rsidP="001157CF">
      <w:pPr>
        <w:ind w:left="851"/>
        <w:rPr>
          <w:sz w:val="24"/>
          <w:szCs w:val="24"/>
        </w:rPr>
      </w:pPr>
    </w:p>
    <w:p w14:paraId="4A0796E3" w14:textId="77777777" w:rsidR="00C2340B" w:rsidRPr="00C2340B" w:rsidRDefault="00C2340B" w:rsidP="001157CF">
      <w:pPr>
        <w:ind w:left="851"/>
        <w:rPr>
          <w:sz w:val="24"/>
          <w:szCs w:val="24"/>
        </w:rPr>
      </w:pPr>
      <w:r w:rsidRPr="00C2340B">
        <w:rPr>
          <w:b/>
          <w:sz w:val="24"/>
          <w:szCs w:val="24"/>
        </w:rPr>
        <w:t>Anbefalede fuldblodsdalkoncentrationer</w:t>
      </w:r>
    </w:p>
    <w:p w14:paraId="20345770" w14:textId="77777777" w:rsidR="00C2340B" w:rsidRPr="00C2340B" w:rsidRDefault="00C2340B" w:rsidP="001157CF">
      <w:pPr>
        <w:ind w:left="851"/>
        <w:rPr>
          <w:sz w:val="24"/>
          <w:szCs w:val="24"/>
        </w:rPr>
      </w:pPr>
      <w:r w:rsidRPr="00C2340B">
        <w:rPr>
          <w:sz w:val="24"/>
          <w:szCs w:val="24"/>
        </w:rPr>
        <w:t>Dosering skal baseres primært på kliniske vurderinger af afstødning og tolerabilitet hos den enkelte patient.</w:t>
      </w:r>
    </w:p>
    <w:p w14:paraId="130B2D6C" w14:textId="77777777" w:rsidR="00C2340B" w:rsidRPr="00C2340B" w:rsidRDefault="00C2340B" w:rsidP="001157CF">
      <w:pPr>
        <w:ind w:left="851"/>
        <w:rPr>
          <w:sz w:val="24"/>
          <w:szCs w:val="24"/>
        </w:rPr>
      </w:pPr>
      <w:r w:rsidRPr="00C2340B">
        <w:rPr>
          <w:sz w:val="24"/>
          <w:szCs w:val="24"/>
        </w:rPr>
        <w:t>Som en hjælp til at optimere doseringen findes der adskillige immunassays til bestemmelse af fuldblodskoncentrationen af tacrolimus, blandt andet et semi-automatiseret mikropartikel enzym immunassay (MEIA). Man skal være varsom med at sammenligne koncentrationer nævnt i publiceret litteratur med individuelle værdier i klinikken, uden at vide hvilket assay og hvilken metode, der blev benyttet. I nuværende klinisk praksis måles fuldblodskoncentrationer med immunassay-metoder.</w:t>
      </w:r>
    </w:p>
    <w:p w14:paraId="2EDA3185" w14:textId="55C8C6B5" w:rsidR="00C2340B" w:rsidRPr="00C2340B" w:rsidRDefault="00C2340B" w:rsidP="001157CF">
      <w:pPr>
        <w:ind w:left="851"/>
        <w:rPr>
          <w:sz w:val="24"/>
          <w:szCs w:val="24"/>
        </w:rPr>
      </w:pPr>
      <w:r w:rsidRPr="00C2340B">
        <w:rPr>
          <w:sz w:val="24"/>
          <w:szCs w:val="24"/>
        </w:rPr>
        <w:t xml:space="preserve">Bloddal-koncentrationer af tacrolimus bør måles under den postoperative fase. Ved oral dosering bør blodprøverne tages ca. 12 timer efter kapselindtagelse, umiddelbart før næste dosis. Hyppigheden af målinger afhænger af det kliniske behov. Da Tacrolimus </w:t>
      </w:r>
      <w:r w:rsidR="00A863D6">
        <w:rPr>
          <w:sz w:val="24"/>
          <w:szCs w:val="24"/>
        </w:rPr>
        <w:t>"EQL Pharma"</w:t>
      </w:r>
      <w:r w:rsidRPr="00C2340B">
        <w:rPr>
          <w:sz w:val="24"/>
          <w:szCs w:val="24"/>
        </w:rPr>
        <w:t xml:space="preserve"> er et lægemiddel med lav clearance, kan det tage adskillige dage før en dosisændring afspejles i ændret blodkoncentration. Dalkoncentrationerne bør måles ca. 2 gange om ugen i den første tid efter operationen og derefter regelmæssigt med længere intervaller under vedligeholdelsesbehandlingen. Tacrolimus dalkoncentrationer bør også måles ved dosisjustering, ændring i immunsuppressionen eller ved samtidig administration af stoffer, der kan ændre koncentrationerne af tacrolimus (se pkt. 4.5).</w:t>
      </w:r>
    </w:p>
    <w:p w14:paraId="03AA9862" w14:textId="77777777" w:rsidR="00C2340B" w:rsidRPr="00C2340B" w:rsidRDefault="00C2340B" w:rsidP="001157CF">
      <w:pPr>
        <w:ind w:left="851"/>
        <w:rPr>
          <w:sz w:val="24"/>
          <w:szCs w:val="24"/>
        </w:rPr>
      </w:pPr>
      <w:r w:rsidRPr="00C2340B">
        <w:rPr>
          <w:sz w:val="24"/>
          <w:szCs w:val="24"/>
        </w:rPr>
        <w:t>Kliniske studier tyder på, at behandlingen af de fleste patienter forløber godt, hvis bloddalkoncentrationerne holdes under 20 ng/ml. Det er imidlertid også nødvendigt at tage den kliniske tilstand i betragtning ved vurdering af fuldblodkoncentrationerne.</w:t>
      </w:r>
    </w:p>
    <w:p w14:paraId="42A48BA4" w14:textId="77777777" w:rsidR="00C2340B" w:rsidRPr="00C2340B" w:rsidRDefault="00C2340B" w:rsidP="001157CF">
      <w:pPr>
        <w:ind w:left="851"/>
        <w:rPr>
          <w:sz w:val="24"/>
          <w:szCs w:val="24"/>
        </w:rPr>
      </w:pPr>
      <w:r w:rsidRPr="00C2340B">
        <w:rPr>
          <w:sz w:val="24"/>
          <w:szCs w:val="24"/>
        </w:rPr>
        <w:t>I klinisk praksis har fuldblodsdalkoncentrationerne generelt ligget fra 5</w:t>
      </w:r>
      <w:r w:rsidRPr="00C2340B">
        <w:rPr>
          <w:sz w:val="24"/>
          <w:szCs w:val="24"/>
        </w:rPr>
        <w:noBreakHyphen/>
        <w:t>20 ng/ml for levertransplanterede og fra 10</w:t>
      </w:r>
      <w:r w:rsidRPr="00C2340B">
        <w:rPr>
          <w:sz w:val="24"/>
          <w:szCs w:val="24"/>
        </w:rPr>
        <w:noBreakHyphen/>
        <w:t>20 ng/ml for nyre</w:t>
      </w:r>
      <w:r w:rsidRPr="00C2340B">
        <w:rPr>
          <w:sz w:val="24"/>
          <w:szCs w:val="24"/>
        </w:rPr>
        <w:noBreakHyphen/>
        <w:t xml:space="preserve"> og hjertetransplanterede i den tidlige postoperative periode. Efterfølgende har fuldblodskoncentrationerne generelt ligget på 5</w:t>
      </w:r>
      <w:r w:rsidRPr="00C2340B">
        <w:rPr>
          <w:sz w:val="24"/>
          <w:szCs w:val="24"/>
        </w:rPr>
        <w:noBreakHyphen/>
        <w:t>15 ng/ml for lever</w:t>
      </w:r>
      <w:r w:rsidRPr="00C2340B">
        <w:rPr>
          <w:sz w:val="24"/>
          <w:szCs w:val="24"/>
        </w:rPr>
        <w:noBreakHyphen/>
        <w:t>, nyre</w:t>
      </w:r>
      <w:r w:rsidRPr="00C2340B">
        <w:rPr>
          <w:sz w:val="24"/>
          <w:szCs w:val="24"/>
        </w:rPr>
        <w:noBreakHyphen/>
        <w:t xml:space="preserve"> og hjertetransplanterede ved vedligeholdelsesbehandling.</w:t>
      </w:r>
    </w:p>
    <w:p w14:paraId="3D8DFA94" w14:textId="77777777" w:rsidR="00C2340B" w:rsidRPr="00C2340B" w:rsidRDefault="00C2340B" w:rsidP="001157CF">
      <w:pPr>
        <w:ind w:left="851"/>
        <w:rPr>
          <w:b/>
          <w:sz w:val="24"/>
          <w:szCs w:val="24"/>
        </w:rPr>
      </w:pPr>
    </w:p>
    <w:p w14:paraId="0AD2DE1B" w14:textId="77777777" w:rsidR="00C2340B" w:rsidRPr="00C2340B" w:rsidRDefault="00C2340B" w:rsidP="001157CF">
      <w:pPr>
        <w:ind w:left="851"/>
        <w:rPr>
          <w:sz w:val="24"/>
          <w:szCs w:val="24"/>
        </w:rPr>
      </w:pPr>
      <w:r w:rsidRPr="00C2340B">
        <w:rPr>
          <w:b/>
          <w:sz w:val="24"/>
          <w:szCs w:val="24"/>
        </w:rPr>
        <w:t>Administrationsmåde</w:t>
      </w:r>
    </w:p>
    <w:p w14:paraId="569F5938" w14:textId="77777777" w:rsidR="00C2340B" w:rsidRPr="00C2340B" w:rsidRDefault="00C2340B" w:rsidP="001157CF">
      <w:pPr>
        <w:ind w:left="851"/>
        <w:rPr>
          <w:sz w:val="24"/>
          <w:szCs w:val="24"/>
        </w:rPr>
      </w:pPr>
      <w:r w:rsidRPr="00C2340B">
        <w:rPr>
          <w:sz w:val="24"/>
          <w:szCs w:val="24"/>
        </w:rPr>
        <w:t>Det anbefales, at den daglige orale dosis fordeles på 2 doser (f.eks. morgen og aften). Kapslerne skal tages umiddelbart efter de er fjernet fra blisterkortet. Patienterne bør informeres om at tørremidlet ikke må synkes. Kapslerne skal indtages med væske (helst vand).</w:t>
      </w:r>
    </w:p>
    <w:p w14:paraId="3A2EA803" w14:textId="77777777" w:rsidR="00C2340B" w:rsidRPr="00C2340B" w:rsidRDefault="00C2340B" w:rsidP="001157CF">
      <w:pPr>
        <w:ind w:left="851"/>
        <w:rPr>
          <w:sz w:val="24"/>
          <w:szCs w:val="24"/>
        </w:rPr>
      </w:pPr>
      <w:r w:rsidRPr="00C2340B">
        <w:rPr>
          <w:sz w:val="24"/>
          <w:szCs w:val="24"/>
        </w:rPr>
        <w:t>Kapslerne bør som regel tages på tom mave eller mindst 1 time før eller 2 til 3 timer efter et måltid for at opnå maksimal absorption (se pkt. 5.2).</w:t>
      </w:r>
    </w:p>
    <w:p w14:paraId="2AF05FCC" w14:textId="77777777" w:rsidR="00C2340B" w:rsidRPr="00C2340B" w:rsidRDefault="00C2340B" w:rsidP="001157CF">
      <w:pPr>
        <w:ind w:left="851"/>
        <w:rPr>
          <w:sz w:val="24"/>
          <w:szCs w:val="24"/>
        </w:rPr>
      </w:pPr>
    </w:p>
    <w:p w14:paraId="6297CD61" w14:textId="77777777" w:rsidR="00C2340B" w:rsidRPr="00C2340B" w:rsidRDefault="00C2340B" w:rsidP="001157CF">
      <w:pPr>
        <w:ind w:left="851"/>
        <w:rPr>
          <w:sz w:val="24"/>
          <w:szCs w:val="24"/>
        </w:rPr>
      </w:pPr>
      <w:r w:rsidRPr="00C2340B">
        <w:rPr>
          <w:b/>
          <w:sz w:val="24"/>
          <w:szCs w:val="24"/>
        </w:rPr>
        <w:t>Behandlingsvarighed</w:t>
      </w:r>
    </w:p>
    <w:p w14:paraId="74AEEBE2" w14:textId="77777777" w:rsidR="00C2340B" w:rsidRPr="00C2340B" w:rsidRDefault="00C2340B" w:rsidP="001157CF">
      <w:pPr>
        <w:ind w:left="851"/>
        <w:rPr>
          <w:sz w:val="24"/>
          <w:szCs w:val="24"/>
        </w:rPr>
      </w:pPr>
      <w:r w:rsidRPr="00C2340B">
        <w:rPr>
          <w:sz w:val="24"/>
          <w:szCs w:val="24"/>
        </w:rPr>
        <w:t>For at undertrykke transplantatafstødning skal immunsuppression vedligeholdes, man kan derfor ikke angive nogen tidsbegrænsning for den orale behandling.</w:t>
      </w:r>
    </w:p>
    <w:p w14:paraId="74B00EA5" w14:textId="77777777" w:rsidR="009260DE" w:rsidRPr="00C84483" w:rsidRDefault="009260DE" w:rsidP="009260DE">
      <w:pPr>
        <w:tabs>
          <w:tab w:val="left" w:pos="851"/>
        </w:tabs>
        <w:ind w:left="851"/>
        <w:rPr>
          <w:sz w:val="24"/>
          <w:szCs w:val="24"/>
        </w:rPr>
      </w:pPr>
    </w:p>
    <w:p w14:paraId="212EB579"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1F814FC1" w14:textId="77777777" w:rsidR="00C2340B" w:rsidRPr="00C2340B" w:rsidRDefault="00C2340B" w:rsidP="001157CF">
      <w:pPr>
        <w:ind w:left="851"/>
        <w:rPr>
          <w:sz w:val="24"/>
          <w:szCs w:val="24"/>
        </w:rPr>
      </w:pPr>
      <w:r w:rsidRPr="00C2340B">
        <w:rPr>
          <w:sz w:val="24"/>
          <w:szCs w:val="24"/>
        </w:rPr>
        <w:t>Overfølsomhed over for tacrolimus eller andre makrolider.</w:t>
      </w:r>
    </w:p>
    <w:p w14:paraId="3EDD70C9" w14:textId="77777777" w:rsidR="00C2340B" w:rsidRPr="00C2340B" w:rsidRDefault="00C2340B" w:rsidP="001157CF">
      <w:pPr>
        <w:ind w:left="851"/>
        <w:rPr>
          <w:sz w:val="24"/>
          <w:szCs w:val="24"/>
        </w:rPr>
      </w:pPr>
      <w:r w:rsidRPr="00C2340B">
        <w:rPr>
          <w:sz w:val="24"/>
          <w:szCs w:val="24"/>
        </w:rPr>
        <w:t>Overfølsomhed over for et eller flere af hjælpestofferne anført i pkt. 6.1.</w:t>
      </w:r>
    </w:p>
    <w:p w14:paraId="1DF3E9B9" w14:textId="77777777" w:rsidR="009260DE" w:rsidRPr="00C84483" w:rsidRDefault="009260DE" w:rsidP="009260DE">
      <w:pPr>
        <w:tabs>
          <w:tab w:val="left" w:pos="851"/>
        </w:tabs>
        <w:ind w:left="851"/>
        <w:rPr>
          <w:sz w:val="24"/>
          <w:szCs w:val="24"/>
        </w:rPr>
      </w:pPr>
    </w:p>
    <w:p w14:paraId="315A1608"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1A2FFE9" w14:textId="77777777" w:rsidR="00C2340B" w:rsidRPr="00C2340B" w:rsidRDefault="00C2340B" w:rsidP="001157CF">
      <w:pPr>
        <w:ind w:left="851"/>
        <w:rPr>
          <w:sz w:val="24"/>
          <w:szCs w:val="24"/>
        </w:rPr>
      </w:pPr>
      <w:r w:rsidRPr="00C2340B">
        <w:rPr>
          <w:sz w:val="24"/>
          <w:szCs w:val="24"/>
        </w:rPr>
        <w:t xml:space="preserve">Medicineringsfejl, herunder utilsigtet, uforsætlig eller uovervåget substitution af umiddelbart udløste eller depotformuleringer af tacrolimus, er set. Dette har ført til alvorlige bivirkninger, herunder transplantatafstødning eller andre bivirkninger, som mulig </w:t>
      </w:r>
      <w:r w:rsidRPr="00C2340B">
        <w:rPr>
          <w:sz w:val="24"/>
          <w:szCs w:val="24"/>
        </w:rPr>
        <w:lastRenderedPageBreak/>
        <w:t>konsekvens af enten over</w:t>
      </w:r>
      <w:r w:rsidRPr="00C2340B">
        <w:rPr>
          <w:sz w:val="24"/>
          <w:szCs w:val="24"/>
        </w:rPr>
        <w:noBreakHyphen/>
        <w:t xml:space="preserve"> eller undereksponering for tacrolimus. Patienter bør fastholdes på én lægemiddelform af tacrolimus med det tilsvarende daglige dosisregime; ændringer i lægemiddelform eller regime bør kun ske under nøje supervision fra en transplantationsspecialist (se </w:t>
      </w:r>
      <w:r w:rsidRPr="00C2340B">
        <w:rPr>
          <w:sz w:val="24"/>
          <w:szCs w:val="24"/>
          <w:lang w:val="nl-BE"/>
        </w:rPr>
        <w:t>pkt. 4.2 og 4.8</w:t>
      </w:r>
      <w:r w:rsidRPr="00C2340B">
        <w:rPr>
          <w:sz w:val="24"/>
          <w:szCs w:val="24"/>
        </w:rPr>
        <w:t>).</w:t>
      </w:r>
    </w:p>
    <w:p w14:paraId="7540757E" w14:textId="77777777" w:rsidR="00C2340B" w:rsidRPr="00C2340B" w:rsidRDefault="00C2340B" w:rsidP="001157CF">
      <w:pPr>
        <w:ind w:left="851"/>
        <w:rPr>
          <w:sz w:val="24"/>
          <w:szCs w:val="24"/>
        </w:rPr>
      </w:pPr>
    </w:p>
    <w:p w14:paraId="44E85989" w14:textId="77777777" w:rsidR="00C2340B" w:rsidRPr="00C2340B" w:rsidRDefault="00C2340B" w:rsidP="001157CF">
      <w:pPr>
        <w:ind w:left="851"/>
        <w:rPr>
          <w:sz w:val="24"/>
          <w:szCs w:val="24"/>
        </w:rPr>
      </w:pPr>
      <w:r w:rsidRPr="00C2340B">
        <w:rPr>
          <w:sz w:val="24"/>
          <w:szCs w:val="24"/>
        </w:rPr>
        <w:t>I den første postoperative periode skal der regelmæssigt kontrolleres: blodtryk, EKG, neurologisk og visuel status, fastende blodsukker, elektrolytter (specielt kalium), lever</w:t>
      </w:r>
      <w:r w:rsidRPr="00C2340B">
        <w:rPr>
          <w:sz w:val="24"/>
          <w:szCs w:val="24"/>
        </w:rPr>
        <w:noBreakHyphen/>
        <w:t xml:space="preserve"> og nyrefunktion, hæmatologiske parametre, koagulationsstatus og plasmaprotein. Forekommer der klinisk relevante ændringer, skal justering af den immunsuppressive behandling overvejes.</w:t>
      </w:r>
    </w:p>
    <w:p w14:paraId="20BFB2DD" w14:textId="77777777" w:rsidR="00C2340B" w:rsidRPr="00C2340B" w:rsidRDefault="00C2340B" w:rsidP="001157CF">
      <w:pPr>
        <w:ind w:left="851"/>
        <w:rPr>
          <w:sz w:val="24"/>
          <w:szCs w:val="24"/>
        </w:rPr>
      </w:pPr>
    </w:p>
    <w:p w14:paraId="753D96CF" w14:textId="77777777" w:rsidR="00C2340B" w:rsidRPr="00C2340B" w:rsidRDefault="00C2340B" w:rsidP="001157CF">
      <w:pPr>
        <w:ind w:left="851"/>
        <w:rPr>
          <w:sz w:val="24"/>
          <w:szCs w:val="24"/>
          <w:u w:val="single"/>
        </w:rPr>
      </w:pPr>
      <w:r w:rsidRPr="00C2340B">
        <w:rPr>
          <w:sz w:val="24"/>
          <w:szCs w:val="24"/>
          <w:u w:val="single"/>
        </w:rPr>
        <w:t>Lægemidler med interaktionspotentiale</w:t>
      </w:r>
    </w:p>
    <w:p w14:paraId="56CF6AD3" w14:textId="77777777" w:rsidR="00C2340B" w:rsidRPr="00C2340B" w:rsidRDefault="00C2340B" w:rsidP="001157CF">
      <w:pPr>
        <w:ind w:left="851"/>
        <w:rPr>
          <w:sz w:val="24"/>
          <w:szCs w:val="24"/>
        </w:rPr>
      </w:pPr>
      <w:r w:rsidRPr="00C2340B">
        <w:rPr>
          <w:iCs/>
          <w:sz w:val="24"/>
          <w:szCs w:val="24"/>
        </w:rPr>
        <w:t>CYP3A4</w:t>
      </w:r>
      <w:r w:rsidRPr="00C2340B">
        <w:rPr>
          <w:iCs/>
          <w:sz w:val="24"/>
          <w:szCs w:val="24"/>
        </w:rPr>
        <w:noBreakHyphen/>
        <w:t xml:space="preserve">hæmmere eller </w:t>
      </w:r>
      <w:r w:rsidRPr="00C2340B">
        <w:rPr>
          <w:iCs/>
          <w:sz w:val="24"/>
          <w:szCs w:val="24"/>
        </w:rPr>
        <w:noBreakHyphen/>
        <w:t xml:space="preserve">inducere må kun administreres sammen med tacrolimus efter konsultation med en transplantationsspecialist på grund af </w:t>
      </w:r>
      <w:r w:rsidRPr="00C2340B">
        <w:rPr>
          <w:sz w:val="24"/>
          <w:szCs w:val="24"/>
        </w:rPr>
        <w:t xml:space="preserve">risikoen for lægemiddelinteraktioner, som kan medføre alvorlige bivirkninger, herunder afstødning eller toksicitet </w:t>
      </w:r>
      <w:r w:rsidRPr="00C2340B">
        <w:rPr>
          <w:iCs/>
          <w:sz w:val="24"/>
          <w:szCs w:val="24"/>
        </w:rPr>
        <w:t>(se pkt. 4.5)</w:t>
      </w:r>
      <w:r w:rsidRPr="00C2340B">
        <w:rPr>
          <w:sz w:val="24"/>
          <w:szCs w:val="24"/>
        </w:rPr>
        <w:t>.</w:t>
      </w:r>
    </w:p>
    <w:p w14:paraId="6E420295" w14:textId="77777777" w:rsidR="00C2340B" w:rsidRPr="00C2340B" w:rsidRDefault="00C2340B" w:rsidP="001157CF">
      <w:pPr>
        <w:ind w:left="851"/>
        <w:rPr>
          <w:sz w:val="24"/>
          <w:szCs w:val="24"/>
        </w:rPr>
      </w:pPr>
    </w:p>
    <w:p w14:paraId="7569F77A" w14:textId="77777777" w:rsidR="00C2340B" w:rsidRPr="00C2340B" w:rsidRDefault="00C2340B" w:rsidP="001157CF">
      <w:pPr>
        <w:ind w:left="851"/>
        <w:rPr>
          <w:sz w:val="24"/>
          <w:szCs w:val="24"/>
          <w:u w:val="single"/>
        </w:rPr>
      </w:pPr>
      <w:r w:rsidRPr="00C2340B">
        <w:rPr>
          <w:bCs/>
          <w:i/>
          <w:iCs/>
          <w:sz w:val="24"/>
          <w:szCs w:val="24"/>
          <w:u w:val="single"/>
        </w:rPr>
        <w:t>CYP3A4</w:t>
      </w:r>
      <w:r w:rsidRPr="00C2340B">
        <w:rPr>
          <w:bCs/>
          <w:i/>
          <w:iCs/>
          <w:sz w:val="24"/>
          <w:szCs w:val="24"/>
          <w:u w:val="single"/>
        </w:rPr>
        <w:noBreakHyphen/>
        <w:t>hæmmere</w:t>
      </w:r>
    </w:p>
    <w:p w14:paraId="7D47EC24" w14:textId="77777777" w:rsidR="00C2340B" w:rsidRPr="00C2340B" w:rsidRDefault="00C2340B" w:rsidP="001157CF">
      <w:pPr>
        <w:ind w:left="851"/>
        <w:rPr>
          <w:sz w:val="24"/>
          <w:szCs w:val="24"/>
        </w:rPr>
      </w:pPr>
      <w:r w:rsidRPr="00C2340B">
        <w:rPr>
          <w:bCs/>
          <w:iCs/>
          <w:sz w:val="24"/>
          <w:szCs w:val="24"/>
        </w:rPr>
        <w:t>Samtidig brug af CYP3A4</w:t>
      </w:r>
      <w:r w:rsidRPr="00C2340B">
        <w:rPr>
          <w:bCs/>
          <w:iCs/>
          <w:sz w:val="24"/>
          <w:szCs w:val="24"/>
        </w:rPr>
        <w:noBreakHyphen/>
        <w:t>hæmmere kan øge blodkoncentrationen af tacrolimus, hvilket kan medføre alvorlige bivirkninger, herunder nefrotoksicitet, neurotoksicitet og QT</w:t>
      </w:r>
      <w:r w:rsidRPr="00C2340B">
        <w:rPr>
          <w:bCs/>
          <w:iCs/>
          <w:sz w:val="24"/>
          <w:szCs w:val="24"/>
        </w:rPr>
        <w:noBreakHyphen/>
        <w:t xml:space="preserve">forlængelse. Det </w:t>
      </w:r>
      <w:bookmarkStart w:id="1" w:name="_Hlk83904248"/>
      <w:r w:rsidRPr="00C2340B">
        <w:rPr>
          <w:bCs/>
          <w:iCs/>
          <w:sz w:val="24"/>
          <w:szCs w:val="24"/>
        </w:rPr>
        <w:t>anbefales, at samtidig brug</w:t>
      </w:r>
      <w:bookmarkEnd w:id="1"/>
      <w:r w:rsidRPr="00C2340B">
        <w:rPr>
          <w:bCs/>
          <w:iCs/>
          <w:sz w:val="24"/>
          <w:szCs w:val="24"/>
        </w:rPr>
        <w:t xml:space="preserve"> af stærke CYP3A4</w:t>
      </w:r>
      <w:r w:rsidRPr="00C2340B">
        <w:rPr>
          <w:bCs/>
          <w:iCs/>
          <w:sz w:val="24"/>
          <w:szCs w:val="24"/>
        </w:rPr>
        <w:noBreakHyphen/>
        <w:t xml:space="preserve">hæmmere (såsom ritonavir, cobicistat, ketoconazol, itraconazol, posaconazol, voriconazol, telithromycin, clarithromycin eller josamycin) og tacrolimus undgås. </w:t>
      </w:r>
      <w:bookmarkStart w:id="2" w:name="_Hlk83895221"/>
      <w:r w:rsidRPr="00C2340B">
        <w:rPr>
          <w:bCs/>
          <w:iCs/>
          <w:sz w:val="24"/>
          <w:szCs w:val="24"/>
        </w:rPr>
        <w:t>Hvis det ikke kan undgås,</w:t>
      </w:r>
      <w:bookmarkEnd w:id="2"/>
      <w:r w:rsidRPr="00C2340B">
        <w:rPr>
          <w:bCs/>
          <w:iCs/>
          <w:sz w:val="24"/>
          <w:szCs w:val="24"/>
        </w:rPr>
        <w:t xml:space="preserve"> </w:t>
      </w:r>
      <w:r w:rsidRPr="00C2340B">
        <w:rPr>
          <w:sz w:val="24"/>
          <w:szCs w:val="24"/>
        </w:rPr>
        <w:t xml:space="preserve">skal blodkoncentration af tacrolimus overvåges hyppigt med start inden for de første dage efter samtidig administration </w:t>
      </w:r>
      <w:bookmarkStart w:id="3" w:name="_Hlk83895268"/>
      <w:r w:rsidRPr="00C2340B">
        <w:rPr>
          <w:sz w:val="24"/>
          <w:szCs w:val="24"/>
        </w:rPr>
        <w:t>under supervision af en transplantationsspecialist</w:t>
      </w:r>
      <w:bookmarkEnd w:id="3"/>
      <w:r w:rsidRPr="00C2340B">
        <w:rPr>
          <w:sz w:val="24"/>
          <w:szCs w:val="24"/>
        </w:rPr>
        <w:t xml:space="preserve">, </w:t>
      </w:r>
      <w:proofErr w:type="gramStart"/>
      <w:r w:rsidRPr="00C2340B">
        <w:rPr>
          <w:sz w:val="24"/>
          <w:szCs w:val="24"/>
        </w:rPr>
        <w:t>således at</w:t>
      </w:r>
      <w:proofErr w:type="gramEnd"/>
      <w:r w:rsidRPr="00C2340B">
        <w:rPr>
          <w:sz w:val="24"/>
          <w:szCs w:val="24"/>
        </w:rPr>
        <w:t xml:space="preserve"> dosis af tacrolimus om nødvendigt kan justeres for at opretholde en konstant tacrolimus-eksponering. Nyrefunktion, EKG, herunder QT</w:t>
      </w:r>
      <w:r w:rsidRPr="00C2340B">
        <w:rPr>
          <w:sz w:val="24"/>
          <w:szCs w:val="24"/>
        </w:rPr>
        <w:noBreakHyphen/>
        <w:t>interval, og patientens kliniske tilstand skal også overvåges nøje.</w:t>
      </w:r>
    </w:p>
    <w:p w14:paraId="4B3B25C7" w14:textId="77777777" w:rsidR="00C2340B" w:rsidRPr="00C2340B" w:rsidRDefault="00C2340B" w:rsidP="001157CF">
      <w:pPr>
        <w:ind w:left="851"/>
        <w:rPr>
          <w:sz w:val="24"/>
          <w:szCs w:val="24"/>
        </w:rPr>
      </w:pPr>
      <w:r w:rsidRPr="00C2340B">
        <w:rPr>
          <w:sz w:val="24"/>
          <w:szCs w:val="24"/>
        </w:rPr>
        <w:t>En dosisjustering skal baseres på den enkelte patients situation. Der kan være behov for en øjeblikkelig dosisreduktion på det tidspunkt, hvor behandlingen indledes (se pkt. 4.5).</w:t>
      </w:r>
    </w:p>
    <w:p w14:paraId="37251125" w14:textId="77777777" w:rsidR="00C2340B" w:rsidRPr="00C2340B" w:rsidRDefault="00C2340B" w:rsidP="001157CF">
      <w:pPr>
        <w:ind w:left="851"/>
        <w:rPr>
          <w:sz w:val="24"/>
          <w:szCs w:val="24"/>
        </w:rPr>
      </w:pPr>
    </w:p>
    <w:p w14:paraId="240F87B8" w14:textId="77777777" w:rsidR="00C2340B" w:rsidRPr="00C2340B" w:rsidRDefault="00C2340B" w:rsidP="001157CF">
      <w:pPr>
        <w:ind w:left="851"/>
        <w:rPr>
          <w:sz w:val="24"/>
          <w:szCs w:val="24"/>
        </w:rPr>
      </w:pPr>
      <w:r w:rsidRPr="00C2340B">
        <w:rPr>
          <w:sz w:val="24"/>
          <w:szCs w:val="24"/>
        </w:rPr>
        <w:t>Ligeledes kan seponering af CYP3A4</w:t>
      </w:r>
      <w:r w:rsidRPr="00C2340B">
        <w:rPr>
          <w:sz w:val="24"/>
          <w:szCs w:val="24"/>
        </w:rPr>
        <w:noBreakHyphen/>
        <w:t>hæmmere påvirke metaboliseringshastigheden for tacrolimus og dermed medføre subterapeutiske blodkoncentrationer af tacrolimus, og dette kræver derfor tæt overvågning samt supervision fra en transplantationsspecialist.</w:t>
      </w:r>
    </w:p>
    <w:p w14:paraId="02D65811" w14:textId="77777777" w:rsidR="00C2340B" w:rsidRPr="00C2340B" w:rsidRDefault="00C2340B" w:rsidP="001157CF">
      <w:pPr>
        <w:ind w:left="851"/>
        <w:rPr>
          <w:sz w:val="24"/>
          <w:szCs w:val="24"/>
        </w:rPr>
      </w:pPr>
    </w:p>
    <w:p w14:paraId="73FD3CD2" w14:textId="77777777" w:rsidR="00C2340B" w:rsidRPr="00C2340B" w:rsidRDefault="00C2340B" w:rsidP="001157CF">
      <w:pPr>
        <w:ind w:left="851"/>
        <w:rPr>
          <w:bCs/>
          <w:i/>
          <w:iCs/>
          <w:sz w:val="24"/>
          <w:szCs w:val="24"/>
          <w:u w:val="single"/>
        </w:rPr>
      </w:pPr>
      <w:r w:rsidRPr="00C2340B">
        <w:rPr>
          <w:bCs/>
          <w:i/>
          <w:iCs/>
          <w:sz w:val="24"/>
          <w:szCs w:val="24"/>
          <w:u w:val="single"/>
        </w:rPr>
        <w:t>CYP3A4</w:t>
      </w:r>
      <w:r w:rsidRPr="00C2340B">
        <w:rPr>
          <w:bCs/>
          <w:i/>
          <w:iCs/>
          <w:sz w:val="24"/>
          <w:szCs w:val="24"/>
          <w:u w:val="single"/>
        </w:rPr>
        <w:noBreakHyphen/>
        <w:t>inducere</w:t>
      </w:r>
    </w:p>
    <w:p w14:paraId="55132A6B" w14:textId="77777777" w:rsidR="00C2340B" w:rsidRPr="00C2340B" w:rsidRDefault="00C2340B" w:rsidP="001157CF">
      <w:pPr>
        <w:ind w:left="851"/>
        <w:rPr>
          <w:sz w:val="24"/>
          <w:szCs w:val="24"/>
        </w:rPr>
      </w:pPr>
      <w:r w:rsidRPr="00C2340B">
        <w:rPr>
          <w:bCs/>
          <w:iCs/>
          <w:sz w:val="24"/>
          <w:szCs w:val="24"/>
        </w:rPr>
        <w:t>Samtidig brug af CYP3A4</w:t>
      </w:r>
      <w:r w:rsidRPr="00C2340B">
        <w:rPr>
          <w:bCs/>
          <w:iCs/>
          <w:sz w:val="24"/>
          <w:szCs w:val="24"/>
        </w:rPr>
        <w:noBreakHyphen/>
        <w:t xml:space="preserve">inducere kan reducere blodkoncentrationen af tacrolimus, hvilket potentielt kan øge risikoen for transplantatafstødning. </w:t>
      </w:r>
      <w:bookmarkStart w:id="4" w:name="_Hlk83895325"/>
      <w:r w:rsidRPr="00C2340B">
        <w:rPr>
          <w:sz w:val="24"/>
          <w:szCs w:val="24"/>
        </w:rPr>
        <w:t xml:space="preserve">Det </w:t>
      </w:r>
      <w:bookmarkStart w:id="5" w:name="_Hlk83904405"/>
      <w:r w:rsidRPr="00C2340B">
        <w:rPr>
          <w:bCs/>
          <w:iCs/>
          <w:sz w:val="24"/>
          <w:szCs w:val="24"/>
        </w:rPr>
        <w:t>anbefales, at samtidig bru</w:t>
      </w:r>
      <w:bookmarkEnd w:id="4"/>
      <w:r w:rsidRPr="00C2340B">
        <w:rPr>
          <w:bCs/>
          <w:iCs/>
          <w:sz w:val="24"/>
          <w:szCs w:val="24"/>
        </w:rPr>
        <w:t xml:space="preserve">g </w:t>
      </w:r>
      <w:bookmarkEnd w:id="5"/>
      <w:r w:rsidRPr="00C2340B">
        <w:rPr>
          <w:bCs/>
          <w:iCs/>
          <w:sz w:val="24"/>
          <w:szCs w:val="24"/>
        </w:rPr>
        <w:t xml:space="preserve">af </w:t>
      </w:r>
      <w:r w:rsidRPr="00C2340B">
        <w:rPr>
          <w:sz w:val="24"/>
          <w:szCs w:val="24"/>
        </w:rPr>
        <w:t>stærke CYP3A4</w:t>
      </w:r>
      <w:r w:rsidRPr="00C2340B">
        <w:rPr>
          <w:sz w:val="24"/>
          <w:szCs w:val="24"/>
        </w:rPr>
        <w:noBreakHyphen/>
        <w:t xml:space="preserve">inducere (såsom rifampicin, phenytoin, carbamazepin) </w:t>
      </w:r>
      <w:bookmarkStart w:id="6" w:name="_Hlk83895365"/>
      <w:r w:rsidRPr="00C2340B">
        <w:rPr>
          <w:sz w:val="24"/>
          <w:szCs w:val="24"/>
        </w:rPr>
        <w:t>og tacrolimus undgås. Hvis det ikke kan undgås,</w:t>
      </w:r>
      <w:bookmarkEnd w:id="6"/>
      <w:r w:rsidRPr="00C2340B">
        <w:rPr>
          <w:sz w:val="24"/>
          <w:szCs w:val="24"/>
        </w:rPr>
        <w:t xml:space="preserve"> skal blodkoncentrationen af tacrolimus overvåges hyppigt med start inden for de første dage efter samtidig administration </w:t>
      </w:r>
      <w:bookmarkStart w:id="7" w:name="_Hlk83895389"/>
      <w:r w:rsidRPr="00C2340B">
        <w:rPr>
          <w:sz w:val="24"/>
          <w:szCs w:val="24"/>
        </w:rPr>
        <w:t>under supervision af en transplantationsspecialist</w:t>
      </w:r>
      <w:bookmarkEnd w:id="7"/>
      <w:r w:rsidRPr="00C2340B">
        <w:rPr>
          <w:sz w:val="24"/>
          <w:szCs w:val="24"/>
        </w:rPr>
        <w:t xml:space="preserve">, </w:t>
      </w:r>
      <w:proofErr w:type="gramStart"/>
      <w:r w:rsidRPr="00C2340B">
        <w:rPr>
          <w:sz w:val="24"/>
          <w:szCs w:val="24"/>
        </w:rPr>
        <w:t>således at</w:t>
      </w:r>
      <w:proofErr w:type="gramEnd"/>
      <w:r w:rsidRPr="00C2340B">
        <w:rPr>
          <w:sz w:val="24"/>
          <w:szCs w:val="24"/>
        </w:rPr>
        <w:t xml:space="preserve"> dosis af tacrolimus om nødvendigt kan justeres for at opretholde en konstant tacrolimus-eksponering. Transplantatfunktionen skal også overvåges nøje (se pkt. 4.5).</w:t>
      </w:r>
    </w:p>
    <w:p w14:paraId="5B4F2B74" w14:textId="77777777" w:rsidR="00C2340B" w:rsidRPr="00C2340B" w:rsidRDefault="00C2340B" w:rsidP="001157CF">
      <w:pPr>
        <w:ind w:left="851"/>
        <w:rPr>
          <w:sz w:val="24"/>
          <w:szCs w:val="24"/>
        </w:rPr>
      </w:pPr>
    </w:p>
    <w:p w14:paraId="0742E027" w14:textId="77777777" w:rsidR="00C2340B" w:rsidRPr="00C2340B" w:rsidRDefault="00C2340B" w:rsidP="001157CF">
      <w:pPr>
        <w:ind w:left="851"/>
        <w:rPr>
          <w:sz w:val="24"/>
          <w:szCs w:val="24"/>
        </w:rPr>
      </w:pPr>
      <w:r w:rsidRPr="00C2340B">
        <w:rPr>
          <w:sz w:val="24"/>
          <w:szCs w:val="24"/>
        </w:rPr>
        <w:t>Ligeledes kan seponering af CYP3A4</w:t>
      </w:r>
      <w:r w:rsidRPr="00C2340B">
        <w:rPr>
          <w:sz w:val="24"/>
          <w:szCs w:val="24"/>
        </w:rPr>
        <w:noBreakHyphen/>
        <w:t>inducere påvirke metaboliseringshastigheden for tacrolimus og dermed medføre supraterapeutiske blodkoncentrationer af tacrolimus, og dette kræver derfor tæt overvågning samt supervision fra en transplantationsspecialist.</w:t>
      </w:r>
    </w:p>
    <w:p w14:paraId="2B9DF7EF" w14:textId="307E422B" w:rsidR="00BF02EF" w:rsidRDefault="00BF02EF">
      <w:pPr>
        <w:rPr>
          <w:sz w:val="24"/>
          <w:szCs w:val="24"/>
        </w:rPr>
      </w:pPr>
      <w:r>
        <w:rPr>
          <w:sz w:val="24"/>
          <w:szCs w:val="24"/>
        </w:rPr>
        <w:br w:type="page"/>
      </w:r>
    </w:p>
    <w:p w14:paraId="76BD3DF7" w14:textId="77777777" w:rsidR="00C2340B" w:rsidRPr="00C2340B" w:rsidRDefault="00C2340B" w:rsidP="001157CF">
      <w:pPr>
        <w:ind w:left="851"/>
        <w:rPr>
          <w:sz w:val="24"/>
          <w:szCs w:val="24"/>
        </w:rPr>
      </w:pPr>
    </w:p>
    <w:p w14:paraId="663D5567" w14:textId="77777777" w:rsidR="00C2340B" w:rsidRPr="00C2340B" w:rsidRDefault="00C2340B" w:rsidP="001157CF">
      <w:pPr>
        <w:ind w:left="851"/>
        <w:rPr>
          <w:sz w:val="24"/>
          <w:szCs w:val="24"/>
          <w:u w:val="single"/>
        </w:rPr>
      </w:pPr>
      <w:r w:rsidRPr="00C2340B">
        <w:rPr>
          <w:i/>
          <w:iCs/>
          <w:sz w:val="24"/>
          <w:szCs w:val="24"/>
          <w:u w:val="single"/>
        </w:rPr>
        <w:t>P-glykoprotein</w:t>
      </w:r>
    </w:p>
    <w:p w14:paraId="5A02387E" w14:textId="77777777" w:rsidR="00C2340B" w:rsidRPr="00C2340B" w:rsidRDefault="00C2340B" w:rsidP="001157CF">
      <w:pPr>
        <w:ind w:left="851"/>
        <w:rPr>
          <w:sz w:val="24"/>
          <w:szCs w:val="24"/>
        </w:rPr>
      </w:pPr>
      <w:r w:rsidRPr="00C2340B">
        <w:rPr>
          <w:sz w:val="24"/>
          <w:szCs w:val="24"/>
        </w:rPr>
        <w:t>Der bør udvises forsigtighed ved samtidig administration af tacrolimus med lægemidler, der hæmmer P</w:t>
      </w:r>
      <w:r w:rsidRPr="00C2340B">
        <w:rPr>
          <w:sz w:val="24"/>
          <w:szCs w:val="24"/>
        </w:rPr>
        <w:noBreakHyphen/>
        <w:t>glykoprotein, da dette kan medføre en stigning i indholdet af tacrolimus. Indholdet af tacrolimus i fuldblod og patientens kliniske tilstand bør overvåges tæt. Det kan være nødvendigt at justere dosen af tacrolimus (se pkt. 4.5).</w:t>
      </w:r>
    </w:p>
    <w:p w14:paraId="223E1F14" w14:textId="77777777" w:rsidR="00C2340B" w:rsidRPr="00C2340B" w:rsidRDefault="00C2340B" w:rsidP="001157CF">
      <w:pPr>
        <w:ind w:left="851"/>
        <w:rPr>
          <w:sz w:val="24"/>
          <w:szCs w:val="24"/>
        </w:rPr>
      </w:pPr>
    </w:p>
    <w:p w14:paraId="443B0BEC" w14:textId="77777777" w:rsidR="00C2340B" w:rsidRPr="00C2340B" w:rsidRDefault="00C2340B" w:rsidP="001157CF">
      <w:pPr>
        <w:ind w:left="851"/>
        <w:rPr>
          <w:sz w:val="24"/>
          <w:szCs w:val="24"/>
          <w:u w:val="single"/>
        </w:rPr>
      </w:pPr>
      <w:r w:rsidRPr="00C2340B">
        <w:rPr>
          <w:i/>
          <w:iCs/>
          <w:sz w:val="24"/>
          <w:szCs w:val="24"/>
          <w:u w:val="single"/>
        </w:rPr>
        <w:t>Naturlægemidler</w:t>
      </w:r>
    </w:p>
    <w:p w14:paraId="2845256B" w14:textId="3778F7FE" w:rsidR="00C2340B" w:rsidRPr="00C2340B" w:rsidRDefault="00C2340B" w:rsidP="001157CF">
      <w:pPr>
        <w:ind w:left="851"/>
        <w:rPr>
          <w:sz w:val="24"/>
          <w:szCs w:val="24"/>
        </w:rPr>
      </w:pPr>
      <w:r w:rsidRPr="00C2340B">
        <w:rPr>
          <w:sz w:val="24"/>
          <w:szCs w:val="24"/>
        </w:rPr>
        <w:t xml:space="preserve">Naturlægemidler indeholdende prikbladet perikon eller andre naturlægemidler bør undgås ved behandling med Tacrolimus </w:t>
      </w:r>
      <w:r w:rsidR="00A863D6">
        <w:rPr>
          <w:sz w:val="24"/>
          <w:szCs w:val="24"/>
        </w:rPr>
        <w:t>"EQL Pharma"</w:t>
      </w:r>
      <w:r w:rsidRPr="00C2340B">
        <w:rPr>
          <w:sz w:val="24"/>
          <w:szCs w:val="24"/>
        </w:rPr>
        <w:t xml:space="preserve"> pga. risikoen for interaktioner, som kan medføre enten et fald i blodkoncentrationen af tacrolimus og nedsat klinisk effekt af tacrolimus, eller en stigning i blodkoncentrationen af tacrolimus og risiko for toksicitet af tacrolimus (se pkt. 4.5).</w:t>
      </w:r>
    </w:p>
    <w:p w14:paraId="7FB934B0" w14:textId="77777777" w:rsidR="00C2340B" w:rsidRPr="00C2340B" w:rsidRDefault="00C2340B" w:rsidP="001157CF">
      <w:pPr>
        <w:ind w:left="851"/>
        <w:rPr>
          <w:sz w:val="24"/>
          <w:szCs w:val="24"/>
        </w:rPr>
      </w:pPr>
    </w:p>
    <w:p w14:paraId="7F273454" w14:textId="77777777" w:rsidR="00C2340B" w:rsidRPr="00C2340B" w:rsidRDefault="00C2340B" w:rsidP="001157CF">
      <w:pPr>
        <w:ind w:left="851"/>
        <w:rPr>
          <w:sz w:val="24"/>
          <w:szCs w:val="24"/>
          <w:u w:val="single"/>
        </w:rPr>
      </w:pPr>
      <w:r w:rsidRPr="00C2340B">
        <w:rPr>
          <w:i/>
          <w:iCs/>
          <w:sz w:val="24"/>
          <w:szCs w:val="24"/>
          <w:u w:val="single"/>
        </w:rPr>
        <w:t>Andre interaktioner</w:t>
      </w:r>
    </w:p>
    <w:p w14:paraId="1E0F660A" w14:textId="77777777" w:rsidR="00C2340B" w:rsidRPr="00C2340B" w:rsidRDefault="00C2340B" w:rsidP="001157CF">
      <w:pPr>
        <w:ind w:left="851"/>
        <w:rPr>
          <w:sz w:val="24"/>
          <w:szCs w:val="24"/>
        </w:rPr>
      </w:pPr>
      <w:r w:rsidRPr="00C2340B">
        <w:rPr>
          <w:sz w:val="24"/>
          <w:szCs w:val="24"/>
        </w:rPr>
        <w:t>Kombinationsbehandling med ciclosporin og tacrolimus bør undgås, og der skal udvises forsigtighed ved behandling af patienter med tacrolimus, som tidligere har fået ciclosporin (se pkt. 4.2 og 4.5).</w:t>
      </w:r>
    </w:p>
    <w:p w14:paraId="4FCA5A49" w14:textId="77777777" w:rsidR="00C2340B" w:rsidRPr="00C2340B" w:rsidRDefault="00C2340B" w:rsidP="001157CF">
      <w:pPr>
        <w:ind w:left="851"/>
        <w:rPr>
          <w:sz w:val="24"/>
          <w:szCs w:val="24"/>
        </w:rPr>
      </w:pPr>
    </w:p>
    <w:p w14:paraId="20F67564" w14:textId="77777777" w:rsidR="00C2340B" w:rsidRPr="00C2340B" w:rsidRDefault="00C2340B" w:rsidP="001157CF">
      <w:pPr>
        <w:ind w:left="851"/>
        <w:rPr>
          <w:sz w:val="24"/>
          <w:szCs w:val="24"/>
        </w:rPr>
      </w:pPr>
      <w:r w:rsidRPr="00C2340B">
        <w:rPr>
          <w:sz w:val="24"/>
          <w:szCs w:val="24"/>
        </w:rPr>
        <w:t>Undgå høj kaliumindtagelse eller kaliumbesparende diuretika (se pkt. 4.5).</w:t>
      </w:r>
    </w:p>
    <w:p w14:paraId="2A02531F" w14:textId="77777777" w:rsidR="00C2340B" w:rsidRPr="00C2340B" w:rsidRDefault="00C2340B" w:rsidP="001157CF">
      <w:pPr>
        <w:ind w:left="851"/>
        <w:rPr>
          <w:sz w:val="24"/>
          <w:szCs w:val="24"/>
        </w:rPr>
      </w:pPr>
    </w:p>
    <w:p w14:paraId="363BA547" w14:textId="77777777" w:rsidR="00C2340B" w:rsidRPr="00C2340B" w:rsidRDefault="00C2340B" w:rsidP="001157CF">
      <w:pPr>
        <w:ind w:left="851"/>
        <w:rPr>
          <w:sz w:val="24"/>
          <w:szCs w:val="24"/>
        </w:rPr>
      </w:pPr>
      <w:r w:rsidRPr="00C2340B">
        <w:rPr>
          <w:sz w:val="24"/>
          <w:szCs w:val="24"/>
        </w:rPr>
        <w:t>Visse kombinationer af tacrolimus og lægemidler, der er kendt for at have neurotoksisk effekt kan øge risikoen for disse bivirkninger (se pkt. 4.5).</w:t>
      </w:r>
    </w:p>
    <w:p w14:paraId="2940668B" w14:textId="77777777" w:rsidR="00C2340B" w:rsidRPr="00C2340B" w:rsidRDefault="00C2340B" w:rsidP="001157CF">
      <w:pPr>
        <w:ind w:left="851"/>
        <w:rPr>
          <w:sz w:val="24"/>
          <w:szCs w:val="24"/>
        </w:rPr>
      </w:pPr>
    </w:p>
    <w:p w14:paraId="26AA9C7E" w14:textId="77777777" w:rsidR="00C2340B" w:rsidRPr="00C2340B" w:rsidRDefault="00C2340B" w:rsidP="001157CF">
      <w:pPr>
        <w:ind w:left="851"/>
        <w:rPr>
          <w:sz w:val="24"/>
          <w:szCs w:val="24"/>
          <w:u w:val="single"/>
        </w:rPr>
      </w:pPr>
      <w:bookmarkStart w:id="8" w:name="_Hlk83904631"/>
      <w:r w:rsidRPr="00C2340B">
        <w:rPr>
          <w:sz w:val="24"/>
          <w:szCs w:val="24"/>
          <w:u w:val="single"/>
        </w:rPr>
        <w:t>Vaccination</w:t>
      </w:r>
    </w:p>
    <w:bookmarkEnd w:id="8"/>
    <w:p w14:paraId="7A4257E0" w14:textId="77777777" w:rsidR="00C2340B" w:rsidRPr="00C2340B" w:rsidRDefault="00C2340B" w:rsidP="001157CF">
      <w:pPr>
        <w:ind w:left="851"/>
        <w:rPr>
          <w:sz w:val="24"/>
          <w:szCs w:val="24"/>
        </w:rPr>
      </w:pPr>
      <w:r w:rsidRPr="00C2340B">
        <w:rPr>
          <w:sz w:val="24"/>
          <w:szCs w:val="24"/>
        </w:rPr>
        <w:t>Immunsuppressiva kan påvirke responset på vaccination, og under behandling med tacrolimus kan vaccinationen være mindre effektiv. Brug af levende, svækkede vacciner skal undgås.</w:t>
      </w:r>
    </w:p>
    <w:p w14:paraId="5E321EDD" w14:textId="77777777" w:rsidR="00C2340B" w:rsidRPr="00C2340B" w:rsidRDefault="00C2340B" w:rsidP="001157CF">
      <w:pPr>
        <w:ind w:left="851"/>
        <w:rPr>
          <w:sz w:val="24"/>
          <w:szCs w:val="24"/>
        </w:rPr>
      </w:pPr>
    </w:p>
    <w:p w14:paraId="43D6F31B" w14:textId="77777777" w:rsidR="00C2340B" w:rsidRPr="00C2340B" w:rsidRDefault="00C2340B" w:rsidP="001157CF">
      <w:pPr>
        <w:ind w:left="851"/>
        <w:rPr>
          <w:sz w:val="24"/>
          <w:szCs w:val="24"/>
          <w:u w:val="single"/>
        </w:rPr>
      </w:pPr>
      <w:bookmarkStart w:id="9" w:name="_Hlk83895456"/>
      <w:r w:rsidRPr="00C2340B">
        <w:rPr>
          <w:sz w:val="24"/>
          <w:szCs w:val="24"/>
          <w:u w:val="single"/>
        </w:rPr>
        <w:t>Nefrotoksicitet</w:t>
      </w:r>
    </w:p>
    <w:p w14:paraId="28391F16" w14:textId="77777777" w:rsidR="00C2340B" w:rsidRPr="00C2340B" w:rsidRDefault="00C2340B" w:rsidP="001157CF">
      <w:pPr>
        <w:ind w:left="851"/>
        <w:rPr>
          <w:sz w:val="24"/>
          <w:szCs w:val="24"/>
        </w:rPr>
      </w:pPr>
      <w:r w:rsidRPr="00C2340B">
        <w:rPr>
          <w:sz w:val="24"/>
          <w:szCs w:val="24"/>
        </w:rPr>
        <w:t>Tacrolimus kan medføre nedsat nyrefunktion hos patienter efter transplantation. Akut nyreinsufficiens uden aktiv indgriben kan udvikle sig til kronisk nyreinsufficiens. Patienter med nedsat nyrefunktion bør overvåges tæt, da det kan være nødvendigt at reducere tacrolimus-dosis. Risikoen for nefrotoksicitet kan øges, når tacrolimus administreres samtidig med lægemidler, der forbindes med nefrotoksicitet (se pkt. 4.5). Samtidig brug af tacrolimus og lægemidler, som vides at have nefrotoksiske effekter, skal undgås. Når samtidig administration ikke kan undgås, skal blodniveauet for tacrolimus og nyrefunktionen overvåges tæt, og en dosisreduktion skal overvejes, hvis der forekommer nefrotoksicitet.</w:t>
      </w:r>
    </w:p>
    <w:bookmarkEnd w:id="9"/>
    <w:p w14:paraId="326A6563" w14:textId="77777777" w:rsidR="00C2340B" w:rsidRPr="00C2340B" w:rsidRDefault="00C2340B" w:rsidP="001157CF">
      <w:pPr>
        <w:ind w:left="851"/>
        <w:rPr>
          <w:sz w:val="24"/>
          <w:szCs w:val="24"/>
        </w:rPr>
      </w:pPr>
    </w:p>
    <w:p w14:paraId="36C04B00" w14:textId="77777777" w:rsidR="00C2340B" w:rsidRPr="00C2340B" w:rsidRDefault="00C2340B" w:rsidP="001157CF">
      <w:pPr>
        <w:ind w:left="851"/>
        <w:rPr>
          <w:sz w:val="24"/>
          <w:szCs w:val="24"/>
          <w:u w:val="single"/>
        </w:rPr>
      </w:pPr>
      <w:r w:rsidRPr="00C2340B">
        <w:rPr>
          <w:sz w:val="24"/>
          <w:szCs w:val="24"/>
          <w:u w:val="single"/>
        </w:rPr>
        <w:t>Gastrointestinale tilstande</w:t>
      </w:r>
    </w:p>
    <w:p w14:paraId="0A0A1625" w14:textId="77777777" w:rsidR="00C2340B" w:rsidRPr="00C2340B" w:rsidRDefault="00C2340B" w:rsidP="001157CF">
      <w:pPr>
        <w:ind w:left="851"/>
        <w:rPr>
          <w:sz w:val="24"/>
          <w:szCs w:val="24"/>
        </w:rPr>
      </w:pPr>
      <w:r w:rsidRPr="00C2340B">
        <w:rPr>
          <w:sz w:val="24"/>
          <w:szCs w:val="24"/>
        </w:rPr>
        <w:t>Gastrointestinal perforation er rapporteret hos patienter behandlet med tacrolimus. Da gastrointestinal perforation er en væsentlig klinisk hændelse, der kan føre til en livstruende eller alvorlig tilstand, bør passende behandling overvejes umiddelbart efter at mistænkte symptomer eller tegn opstår.</w:t>
      </w:r>
    </w:p>
    <w:p w14:paraId="4000466F" w14:textId="77777777" w:rsidR="00C2340B" w:rsidRPr="00C2340B" w:rsidRDefault="00C2340B" w:rsidP="001157CF">
      <w:pPr>
        <w:ind w:left="851"/>
        <w:rPr>
          <w:sz w:val="24"/>
          <w:szCs w:val="24"/>
        </w:rPr>
      </w:pPr>
    </w:p>
    <w:p w14:paraId="659AE49E" w14:textId="77777777" w:rsidR="00C2340B" w:rsidRPr="00C2340B" w:rsidRDefault="00C2340B" w:rsidP="001157CF">
      <w:pPr>
        <w:ind w:left="851"/>
        <w:rPr>
          <w:sz w:val="24"/>
          <w:szCs w:val="24"/>
        </w:rPr>
      </w:pPr>
      <w:r w:rsidRPr="00C2340B">
        <w:rPr>
          <w:sz w:val="24"/>
          <w:szCs w:val="24"/>
        </w:rPr>
        <w:t>Da blodets indhold af tacrolimus kan ændres signifikant under diarré, anbefales ekstra overvågning af tacrolimus-koncentrationerne i forbindelse med diarré.</w:t>
      </w:r>
    </w:p>
    <w:p w14:paraId="02416881" w14:textId="54FF1E78" w:rsidR="00BF02EF" w:rsidRDefault="00BF02EF">
      <w:pPr>
        <w:rPr>
          <w:sz w:val="24"/>
          <w:szCs w:val="24"/>
        </w:rPr>
      </w:pPr>
      <w:r>
        <w:rPr>
          <w:sz w:val="24"/>
          <w:szCs w:val="24"/>
        </w:rPr>
        <w:br w:type="page"/>
      </w:r>
    </w:p>
    <w:p w14:paraId="5A40D79B" w14:textId="77777777" w:rsidR="00C2340B" w:rsidRPr="00C2340B" w:rsidRDefault="00C2340B" w:rsidP="001157CF">
      <w:pPr>
        <w:ind w:left="851"/>
        <w:rPr>
          <w:sz w:val="24"/>
          <w:szCs w:val="24"/>
        </w:rPr>
      </w:pPr>
    </w:p>
    <w:p w14:paraId="2252CDF2" w14:textId="77777777" w:rsidR="00C2340B" w:rsidRPr="00C2340B" w:rsidRDefault="00C2340B" w:rsidP="001157CF">
      <w:pPr>
        <w:ind w:left="851"/>
        <w:rPr>
          <w:sz w:val="24"/>
          <w:szCs w:val="24"/>
          <w:u w:val="single"/>
        </w:rPr>
      </w:pPr>
      <w:r w:rsidRPr="00C2340B">
        <w:rPr>
          <w:sz w:val="24"/>
          <w:szCs w:val="24"/>
          <w:u w:val="single"/>
        </w:rPr>
        <w:t>Hjertesygdomme</w:t>
      </w:r>
    </w:p>
    <w:p w14:paraId="5DB36F6B" w14:textId="313C543A" w:rsidR="00C2340B" w:rsidRPr="00C2340B" w:rsidRDefault="00C2340B" w:rsidP="001157CF">
      <w:pPr>
        <w:ind w:left="851"/>
        <w:rPr>
          <w:sz w:val="24"/>
          <w:szCs w:val="24"/>
        </w:rPr>
      </w:pPr>
      <w:r w:rsidRPr="00C2340B">
        <w:rPr>
          <w:sz w:val="24"/>
          <w:szCs w:val="24"/>
        </w:rPr>
        <w:t>Ventrikulær hypertrofi eller hypertrofi af septum er i enkelte tilfælde blevet rapporteret som kardiomyopati. De fleste tilfælde har været reversible og er primært set hos børn, der har haft langt højere bloddalkoncentrationer af tacrolimus end den anbefalede maksimale koncentration. Andre faktorer, der kan øge risikoen for disse kliniske tilstande, er tidligere eller nuværende hjertelidelse, behandling med kortikosteroider, hypertension, nedsat nyre</w:t>
      </w:r>
      <w:r w:rsidRPr="00C2340B">
        <w:rPr>
          <w:sz w:val="24"/>
          <w:szCs w:val="24"/>
        </w:rPr>
        <w:noBreakHyphen/>
        <w:t xml:space="preserve"> eller leverfunktion, infektioner, væskeretention og ødem. Derfor skal patienter i risikogruppen, specielt små børn og patienter i intensiv immunsuppression, kontrolleres med f.eks. ekkokardiografi eller EKG før og efter transplantation (f.eks. initialt, efter 3 måneder og igen efter 9</w:t>
      </w:r>
      <w:r w:rsidRPr="00C2340B">
        <w:rPr>
          <w:sz w:val="24"/>
          <w:szCs w:val="24"/>
        </w:rPr>
        <w:noBreakHyphen/>
        <w:t xml:space="preserve">12 måneder). Ved tegn på anomalier bør Tacrolimus </w:t>
      </w:r>
      <w:r w:rsidR="00A863D6">
        <w:rPr>
          <w:sz w:val="24"/>
          <w:szCs w:val="24"/>
        </w:rPr>
        <w:t>"EQL Pharma"</w:t>
      </w:r>
      <w:r w:rsidRPr="00C2340B">
        <w:rPr>
          <w:sz w:val="24"/>
          <w:szCs w:val="24"/>
        </w:rPr>
        <w:t>-dosis reduceres, eller skift til anden immunsuppressiv behandling overvejes. Tacrolimus kan forlænge QT</w:t>
      </w:r>
      <w:r w:rsidRPr="00C2340B">
        <w:rPr>
          <w:sz w:val="24"/>
          <w:szCs w:val="24"/>
        </w:rPr>
        <w:noBreakHyphen/>
        <w:t xml:space="preserve">intervallet og forårsage </w:t>
      </w:r>
      <w:r w:rsidRPr="00C2340B">
        <w:rPr>
          <w:i/>
          <w:sz w:val="24"/>
          <w:szCs w:val="24"/>
        </w:rPr>
        <w:t>Torsades de pointes</w:t>
      </w:r>
      <w:r w:rsidRPr="00C2340B">
        <w:rPr>
          <w:sz w:val="24"/>
          <w:szCs w:val="24"/>
        </w:rPr>
        <w:t>. Der skal udvises forsigtighed hos patienter med risikofaktorer for QT</w:t>
      </w:r>
      <w:r w:rsidRPr="00C2340B">
        <w:rPr>
          <w:sz w:val="24"/>
          <w:szCs w:val="24"/>
        </w:rPr>
        <w:noBreakHyphen/>
        <w:t>forlængelse, herunder patienter med en personlig eller familiær disposition for QT</w:t>
      </w:r>
      <w:r w:rsidRPr="00C2340B">
        <w:rPr>
          <w:sz w:val="24"/>
          <w:szCs w:val="24"/>
        </w:rPr>
        <w:noBreakHyphen/>
        <w:t>forlængelse, kongestiv hjerteinsufficiens, bradyarytmier og elektrolytforstyrrelser. Forsigtighed bør også udvises hos patienter, som er diagnosticeret med eller mistænkes for at have medfødt langt QT</w:t>
      </w:r>
      <w:r w:rsidRPr="00C2340B">
        <w:rPr>
          <w:sz w:val="24"/>
          <w:szCs w:val="24"/>
        </w:rPr>
        <w:noBreakHyphen/>
        <w:t>syndrom eller erhvervet QT</w:t>
      </w:r>
      <w:r w:rsidRPr="00C2340B">
        <w:rPr>
          <w:sz w:val="24"/>
          <w:szCs w:val="24"/>
        </w:rPr>
        <w:noBreakHyphen/>
        <w:t>forlængelse, eller patienter, som samtidig får behandling med lægemidler, som er kendt for at forlænge QT</w:t>
      </w:r>
      <w:r w:rsidRPr="00C2340B">
        <w:rPr>
          <w:sz w:val="24"/>
          <w:szCs w:val="24"/>
        </w:rPr>
        <w:noBreakHyphen/>
        <w:t>intervallet, inducere elektrolytforstyrrelser eller øge tacrolimus-eksponeringen (se pkt. 4.5).</w:t>
      </w:r>
    </w:p>
    <w:p w14:paraId="47C636AF" w14:textId="77777777" w:rsidR="00C2340B" w:rsidRPr="00C2340B" w:rsidRDefault="00C2340B" w:rsidP="001157CF">
      <w:pPr>
        <w:ind w:left="851"/>
        <w:rPr>
          <w:sz w:val="24"/>
          <w:szCs w:val="24"/>
        </w:rPr>
      </w:pPr>
    </w:p>
    <w:p w14:paraId="1A2CB71C" w14:textId="77777777" w:rsidR="00C2340B" w:rsidRPr="00C2340B" w:rsidRDefault="00C2340B" w:rsidP="001157CF">
      <w:pPr>
        <w:ind w:left="851"/>
        <w:rPr>
          <w:sz w:val="24"/>
          <w:szCs w:val="24"/>
        </w:rPr>
      </w:pPr>
      <w:r w:rsidRPr="00C2340B">
        <w:rPr>
          <w:sz w:val="24"/>
          <w:szCs w:val="24"/>
          <w:u w:val="single"/>
        </w:rPr>
        <w:t>Lymfoproliferative tilstande og maligniteter</w:t>
      </w:r>
    </w:p>
    <w:p w14:paraId="4079775A" w14:textId="3839F99E" w:rsidR="00C2340B" w:rsidRPr="00C2340B" w:rsidRDefault="00C2340B" w:rsidP="001157CF">
      <w:pPr>
        <w:ind w:left="851"/>
        <w:rPr>
          <w:sz w:val="24"/>
          <w:szCs w:val="24"/>
        </w:rPr>
      </w:pPr>
      <w:r w:rsidRPr="00C2340B">
        <w:rPr>
          <w:sz w:val="24"/>
          <w:szCs w:val="24"/>
        </w:rPr>
        <w:t xml:space="preserve">Hos patienter i behandling med Tacrolimus </w:t>
      </w:r>
      <w:r w:rsidR="00A863D6">
        <w:rPr>
          <w:sz w:val="24"/>
          <w:szCs w:val="24"/>
        </w:rPr>
        <w:t>"EQL Pharma"</w:t>
      </w:r>
      <w:r w:rsidRPr="00C2340B">
        <w:rPr>
          <w:sz w:val="24"/>
          <w:szCs w:val="24"/>
        </w:rPr>
        <w:t xml:space="preserve"> er der set Epstein-Barr-Virus (EBV)-associerede lymfoproliferative lidelser og andre maligniteter, herunder hudcancer og Kaposis sarkom (se pkt. 4.8). Patienter, der overgår til behandling med Tacrolimus </w:t>
      </w:r>
      <w:r w:rsidR="00A863D6">
        <w:rPr>
          <w:sz w:val="24"/>
          <w:szCs w:val="24"/>
        </w:rPr>
        <w:t>"EQL Pharma"</w:t>
      </w:r>
      <w:r w:rsidRPr="00C2340B">
        <w:rPr>
          <w:sz w:val="24"/>
          <w:szCs w:val="24"/>
        </w:rPr>
        <w:t>, bør ikke samtidigt få antilymfocyt-behandling. Det er rapporteret, at små (&lt; 2 år) EBV-VCA-negative børn har en øget risiko for at udvikle lymfoproliferative lidelser. Man skal derfor kende EBV-VCA-serologien hos disse, før man starter behandlingen. Under behandlingen anbefales hyppig kontrol med EBV-PCR. Positiv EBV-PCR kan vedvare i måneder, og er ikke som sådan en indikation på lymfoproliferativ lidelse eller lymfom.</w:t>
      </w:r>
    </w:p>
    <w:p w14:paraId="0EE48ACB" w14:textId="77777777" w:rsidR="00C2340B" w:rsidRPr="00C2340B" w:rsidRDefault="00C2340B" w:rsidP="001157CF">
      <w:pPr>
        <w:ind w:left="851"/>
        <w:rPr>
          <w:sz w:val="24"/>
          <w:szCs w:val="24"/>
        </w:rPr>
      </w:pPr>
    </w:p>
    <w:p w14:paraId="70AD5214" w14:textId="77777777" w:rsidR="00C2340B" w:rsidRPr="00C2340B" w:rsidRDefault="00C2340B" w:rsidP="001157CF">
      <w:pPr>
        <w:ind w:left="851"/>
        <w:rPr>
          <w:sz w:val="24"/>
          <w:szCs w:val="24"/>
        </w:rPr>
      </w:pPr>
      <w:r w:rsidRPr="00C2340B">
        <w:rPr>
          <w:sz w:val="24"/>
          <w:szCs w:val="24"/>
        </w:rPr>
        <w:t>Der er rapporteret om Kaposis sarkom, herunder tilfælde med aggressive sygdomsformer og dødeligt udfald, hos patienter, som fik tacrolimus. I nogle tilfælde er der observeret regression af Kaposis sarkom efter reduktion af immunsuppressionens intensitet.</w:t>
      </w:r>
    </w:p>
    <w:p w14:paraId="4432BC48" w14:textId="77777777" w:rsidR="00C2340B" w:rsidRPr="00C2340B" w:rsidRDefault="00C2340B" w:rsidP="001157CF">
      <w:pPr>
        <w:ind w:left="851"/>
        <w:rPr>
          <w:sz w:val="24"/>
          <w:szCs w:val="24"/>
        </w:rPr>
      </w:pPr>
    </w:p>
    <w:p w14:paraId="696DE91A" w14:textId="77777777" w:rsidR="00C2340B" w:rsidRPr="00C2340B" w:rsidRDefault="00C2340B" w:rsidP="001157CF">
      <w:pPr>
        <w:ind w:left="851"/>
        <w:rPr>
          <w:sz w:val="24"/>
          <w:szCs w:val="24"/>
        </w:rPr>
      </w:pPr>
      <w:r w:rsidRPr="00C2340B">
        <w:rPr>
          <w:sz w:val="24"/>
          <w:szCs w:val="24"/>
        </w:rPr>
        <w:t>Da behandling med immunsuppressive midler øger risikoen for maligne hudlidelser, bør eksponering for sollys eller UV-lys begrænses ved at benytte passende beskyttende beklædning og ved brug af solbeskyttelse med høj faktorværdi.</w:t>
      </w:r>
    </w:p>
    <w:p w14:paraId="38946735" w14:textId="77777777" w:rsidR="00C2340B" w:rsidRPr="00C2340B" w:rsidRDefault="00C2340B" w:rsidP="001157CF">
      <w:pPr>
        <w:ind w:left="851"/>
        <w:rPr>
          <w:sz w:val="24"/>
          <w:szCs w:val="24"/>
        </w:rPr>
      </w:pPr>
    </w:p>
    <w:p w14:paraId="30483126" w14:textId="77777777" w:rsidR="00C2340B" w:rsidRPr="00C2340B" w:rsidRDefault="00C2340B" w:rsidP="001157CF">
      <w:pPr>
        <w:ind w:left="851"/>
        <w:rPr>
          <w:sz w:val="24"/>
          <w:szCs w:val="24"/>
        </w:rPr>
      </w:pPr>
      <w:r w:rsidRPr="00C2340B">
        <w:rPr>
          <w:sz w:val="24"/>
          <w:szCs w:val="24"/>
        </w:rPr>
        <w:t>Som ved andre potente immunsuppressive midler er risikoen for sekundær cancer ukendt.</w:t>
      </w:r>
    </w:p>
    <w:p w14:paraId="5C9250ED" w14:textId="77777777" w:rsidR="00C2340B" w:rsidRPr="00C2340B" w:rsidRDefault="00C2340B" w:rsidP="001157CF">
      <w:pPr>
        <w:ind w:left="851"/>
        <w:rPr>
          <w:sz w:val="24"/>
          <w:szCs w:val="24"/>
        </w:rPr>
      </w:pPr>
    </w:p>
    <w:p w14:paraId="743770EE" w14:textId="77777777" w:rsidR="00C2340B" w:rsidRPr="00C2340B" w:rsidRDefault="00C2340B" w:rsidP="001157CF">
      <w:pPr>
        <w:ind w:left="851"/>
        <w:rPr>
          <w:sz w:val="24"/>
          <w:szCs w:val="24"/>
          <w:u w:val="single"/>
        </w:rPr>
      </w:pPr>
      <w:r w:rsidRPr="00C2340B">
        <w:rPr>
          <w:sz w:val="24"/>
          <w:szCs w:val="24"/>
          <w:u w:val="single"/>
        </w:rPr>
        <w:t xml:space="preserve">Posterior </w:t>
      </w:r>
      <w:proofErr w:type="gramStart"/>
      <w:r w:rsidRPr="00C2340B">
        <w:rPr>
          <w:sz w:val="24"/>
          <w:szCs w:val="24"/>
          <w:u w:val="single"/>
        </w:rPr>
        <w:t>reversibel encefalopatisyndrom</w:t>
      </w:r>
      <w:proofErr w:type="gramEnd"/>
      <w:r w:rsidRPr="00C2340B">
        <w:rPr>
          <w:sz w:val="24"/>
          <w:szCs w:val="24"/>
          <w:u w:val="single"/>
        </w:rPr>
        <w:t xml:space="preserve"> (PRES)</w:t>
      </w:r>
    </w:p>
    <w:p w14:paraId="0DF45CB1" w14:textId="662738F5" w:rsidR="00C2340B" w:rsidRPr="00C2340B" w:rsidRDefault="00C2340B" w:rsidP="001157CF">
      <w:pPr>
        <w:ind w:left="851"/>
        <w:rPr>
          <w:sz w:val="24"/>
          <w:szCs w:val="24"/>
        </w:rPr>
      </w:pPr>
      <w:r w:rsidRPr="00C2340B">
        <w:rPr>
          <w:sz w:val="24"/>
          <w:szCs w:val="24"/>
        </w:rPr>
        <w:t xml:space="preserve">Det er rapporteret at patienter, der får behandling med tacrolimus, udvikler posterior </w:t>
      </w:r>
      <w:proofErr w:type="gramStart"/>
      <w:r w:rsidRPr="00C2340B">
        <w:rPr>
          <w:sz w:val="24"/>
          <w:szCs w:val="24"/>
        </w:rPr>
        <w:t>reversibel encefalopatisyndrom</w:t>
      </w:r>
      <w:proofErr w:type="gramEnd"/>
      <w:r w:rsidRPr="00C2340B">
        <w:rPr>
          <w:sz w:val="24"/>
          <w:szCs w:val="24"/>
        </w:rPr>
        <w:t xml:space="preserve"> (PRES). Hvis patienter, der tager tacrolimus, får symptomer der indikerer PRES, såsom hovedpine, forandret mentaltilstand, krampeanfald og synsforstyrrelser, bør der udføres en radiologisk undersøgelse (f.eks. MR-skanning). Hvis PRES diagnosticeres, tilrådes det, at der udføres passende blodtryks</w:t>
      </w:r>
      <w:r w:rsidRPr="00C2340B">
        <w:rPr>
          <w:sz w:val="24"/>
          <w:szCs w:val="24"/>
        </w:rPr>
        <w:noBreakHyphen/>
        <w:t xml:space="preserve"> og anfaldskontrol, samt at systemisk tacrolimus omgående seponeres. De fleste patienter kommer sig fuldstændigt, efter at der er truffet passende foranstaltninger.</w:t>
      </w:r>
    </w:p>
    <w:p w14:paraId="72949A16" w14:textId="77777777" w:rsidR="00C2340B" w:rsidRPr="00C2340B" w:rsidRDefault="00C2340B" w:rsidP="001157CF">
      <w:pPr>
        <w:ind w:left="851"/>
        <w:rPr>
          <w:sz w:val="24"/>
          <w:szCs w:val="24"/>
        </w:rPr>
      </w:pPr>
    </w:p>
    <w:p w14:paraId="49E82924" w14:textId="77777777" w:rsidR="00C2340B" w:rsidRPr="00C2340B" w:rsidRDefault="00C2340B" w:rsidP="001157CF">
      <w:pPr>
        <w:ind w:left="851"/>
        <w:rPr>
          <w:sz w:val="24"/>
          <w:szCs w:val="24"/>
          <w:u w:val="single"/>
        </w:rPr>
      </w:pPr>
      <w:r w:rsidRPr="00C2340B">
        <w:rPr>
          <w:sz w:val="24"/>
          <w:szCs w:val="24"/>
          <w:u w:val="single"/>
        </w:rPr>
        <w:lastRenderedPageBreak/>
        <w:t>Øjensygdomme</w:t>
      </w:r>
    </w:p>
    <w:p w14:paraId="6A7F1A53" w14:textId="77777777" w:rsidR="00C2340B" w:rsidRPr="00C2340B" w:rsidRDefault="00C2340B" w:rsidP="001157CF">
      <w:pPr>
        <w:ind w:left="851"/>
        <w:rPr>
          <w:sz w:val="24"/>
          <w:szCs w:val="24"/>
        </w:rPr>
      </w:pPr>
      <w:r w:rsidRPr="00C2340B">
        <w:rPr>
          <w:sz w:val="24"/>
          <w:szCs w:val="24"/>
        </w:rPr>
        <w:t>Øjensygdomme, der i nogle tilfælde udvikler sig til synstab, er rapporteret hos patienter i behandling med tacrolimus. I nogle tilfælde er der rapporteret, at det gik over ved skift til alternativ immunsuppression. Patienterne bør rådes til at indberette ændringer i synets skarphed, ændringer i farvesynet, sløret syn eller defekter i synsfeltet, og i sådanne tilfælde anbefales hurtig vurdering med henvisning til en øjenlæge efter behov.</w:t>
      </w:r>
    </w:p>
    <w:p w14:paraId="2921D099" w14:textId="77777777" w:rsidR="00C2340B" w:rsidRPr="00C2340B" w:rsidRDefault="00C2340B" w:rsidP="001157CF">
      <w:pPr>
        <w:ind w:left="851"/>
        <w:rPr>
          <w:sz w:val="24"/>
          <w:szCs w:val="24"/>
        </w:rPr>
      </w:pPr>
    </w:p>
    <w:p w14:paraId="114C4D62" w14:textId="09C10120" w:rsidR="00C2340B" w:rsidRPr="00C2340B" w:rsidRDefault="00C2340B" w:rsidP="001157CF">
      <w:pPr>
        <w:ind w:left="851"/>
        <w:rPr>
          <w:sz w:val="24"/>
          <w:szCs w:val="24"/>
        </w:rPr>
      </w:pPr>
      <w:r w:rsidRPr="00C2340B">
        <w:rPr>
          <w:sz w:val="24"/>
          <w:szCs w:val="24"/>
          <w:u w:val="single"/>
        </w:rPr>
        <w:t>Infektioner, herunder opportunistiske infektioner</w:t>
      </w:r>
    </w:p>
    <w:p w14:paraId="37416D3D" w14:textId="1B852FEE" w:rsidR="00C2340B" w:rsidRPr="00C2340B" w:rsidRDefault="00C2340B" w:rsidP="001157CF">
      <w:pPr>
        <w:ind w:left="851"/>
        <w:rPr>
          <w:sz w:val="24"/>
          <w:szCs w:val="24"/>
        </w:rPr>
      </w:pPr>
      <w:r w:rsidRPr="00C2340B">
        <w:rPr>
          <w:sz w:val="24"/>
          <w:szCs w:val="24"/>
        </w:rPr>
        <w:t xml:space="preserve">Patienter behandlet med immunsuppressiva, herunder Tacrolimus </w:t>
      </w:r>
      <w:r w:rsidR="00A863D6">
        <w:rPr>
          <w:sz w:val="24"/>
          <w:szCs w:val="24"/>
        </w:rPr>
        <w:t>"EQL Pharma"</w:t>
      </w:r>
      <w:r w:rsidRPr="00C2340B">
        <w:rPr>
          <w:sz w:val="24"/>
          <w:szCs w:val="24"/>
        </w:rPr>
        <w:t>, har en øget risiko for infektioner, herunder opportunistiske infektioner (bakteriel, svampe, viral og protozoal), såsom CMV-infektion, BK-virus associeret nefropati og JC-virus associeret progressiv multifokal leukoencefalopati (PML). Patienterne har desuden en øget risiko for infektion med viral hepatitis (f.eks. reaktivering af infektion og de novo-infektion med hepatitis B og C samt hepatitis E, som kan blive kronisk). Disse infektioner er ofte forbundet med en høj total immunsuppressiv belastning og kan føre til alvorlige eller fatale tilstande, herunder transplantatafstødning, som lægerne bør overveje hos patienter med forringet lever</w:t>
      </w:r>
      <w:r w:rsidRPr="00C2340B">
        <w:rPr>
          <w:sz w:val="24"/>
          <w:szCs w:val="24"/>
        </w:rPr>
        <w:noBreakHyphen/>
        <w:t xml:space="preserve"> eller nyrefunktion eller neurologiske symptomer. Forebyggelse og håndtering bør være i overensstemmelse med passende klinisk vejledning.</w:t>
      </w:r>
    </w:p>
    <w:p w14:paraId="64087F52" w14:textId="77777777" w:rsidR="00C2340B" w:rsidRPr="00C2340B" w:rsidRDefault="00C2340B" w:rsidP="001157CF">
      <w:pPr>
        <w:ind w:left="851"/>
        <w:rPr>
          <w:sz w:val="24"/>
          <w:szCs w:val="24"/>
        </w:rPr>
      </w:pPr>
    </w:p>
    <w:p w14:paraId="3509558A" w14:textId="77777777" w:rsidR="00C2340B" w:rsidRPr="00C2340B" w:rsidRDefault="00C2340B" w:rsidP="001157CF">
      <w:pPr>
        <w:ind w:left="851"/>
        <w:rPr>
          <w:sz w:val="24"/>
          <w:szCs w:val="24"/>
          <w:u w:val="single"/>
        </w:rPr>
      </w:pPr>
      <w:r w:rsidRPr="00C2340B">
        <w:rPr>
          <w:sz w:val="24"/>
          <w:szCs w:val="24"/>
          <w:u w:val="single"/>
        </w:rPr>
        <w:t>Trombotisk mikroangiopati (TMA) (herunder hæmolytisk uræmisk syndrom (HUS) og trombotisk trombocytopenisk purpura (TTP))</w:t>
      </w:r>
    </w:p>
    <w:p w14:paraId="4223666D" w14:textId="77777777" w:rsidR="00C2340B" w:rsidRPr="00C2340B" w:rsidRDefault="00C2340B" w:rsidP="001157CF">
      <w:pPr>
        <w:ind w:left="851"/>
        <w:rPr>
          <w:sz w:val="24"/>
          <w:szCs w:val="24"/>
        </w:rPr>
      </w:pPr>
      <w:r w:rsidRPr="00C2340B">
        <w:rPr>
          <w:sz w:val="24"/>
          <w:szCs w:val="24"/>
        </w:rPr>
        <w:t>Diagnosen af TMA, herunder trombotisk trombocytopenisk purpura (TTP) og hæmolytisk uræmisk syndrom (HUS), der undertiden medfører nyresvigt eller fatalt udfald, bør overvejes hos patienter, der udviser hæmolytisk anæmi, trombocytopeni, træthed, fluktuerende neurologiske symptomer, nedsat nyrefunktion og feber. Hvis TMA diagnosticeres, er omgående behandling nødvendig, og seponering af tacrolimus bør overvejes efter den behandlende lægens skøn.</w:t>
      </w:r>
    </w:p>
    <w:p w14:paraId="631D2E86" w14:textId="77777777" w:rsidR="00C2340B" w:rsidRPr="00C2340B" w:rsidRDefault="00C2340B" w:rsidP="001157CF">
      <w:pPr>
        <w:ind w:left="851"/>
        <w:rPr>
          <w:sz w:val="24"/>
          <w:szCs w:val="24"/>
        </w:rPr>
      </w:pPr>
    </w:p>
    <w:p w14:paraId="718EBD18" w14:textId="77777777" w:rsidR="00C2340B" w:rsidRPr="00C2340B" w:rsidRDefault="00C2340B" w:rsidP="001157CF">
      <w:pPr>
        <w:ind w:left="851"/>
        <w:rPr>
          <w:sz w:val="24"/>
          <w:szCs w:val="24"/>
        </w:rPr>
      </w:pPr>
      <w:r w:rsidRPr="00C2340B">
        <w:rPr>
          <w:sz w:val="24"/>
          <w:szCs w:val="24"/>
        </w:rPr>
        <w:t xml:space="preserve">Samtidig administration af tacrolimus og </w:t>
      </w:r>
      <w:r w:rsidRPr="00C2340B">
        <w:rPr>
          <w:i/>
          <w:sz w:val="24"/>
          <w:szCs w:val="24"/>
        </w:rPr>
        <w:t>mammalian target of rapamycin</w:t>
      </w:r>
      <w:r w:rsidRPr="00C2340B">
        <w:rPr>
          <w:sz w:val="24"/>
          <w:szCs w:val="24"/>
        </w:rPr>
        <w:t xml:space="preserve"> (mTOR)-hæmmere (f.eks. sirolimus og everolimus) kan øge risikoen for trombotisk mikroangiopati (herunder hæmolytisk uræmisk syndrom og trombotisk trombocytopenisk purpura).</w:t>
      </w:r>
    </w:p>
    <w:p w14:paraId="0BF92993" w14:textId="77777777" w:rsidR="00C2340B" w:rsidRPr="00C2340B" w:rsidRDefault="00C2340B" w:rsidP="001157CF">
      <w:pPr>
        <w:ind w:left="851"/>
        <w:rPr>
          <w:sz w:val="24"/>
          <w:szCs w:val="24"/>
        </w:rPr>
      </w:pPr>
    </w:p>
    <w:p w14:paraId="70BC9696" w14:textId="77777777" w:rsidR="00C2340B" w:rsidRPr="00C2340B" w:rsidRDefault="00C2340B" w:rsidP="001157CF">
      <w:pPr>
        <w:ind w:left="851"/>
        <w:rPr>
          <w:i/>
          <w:iCs/>
          <w:sz w:val="24"/>
          <w:szCs w:val="24"/>
          <w:u w:val="single"/>
        </w:rPr>
      </w:pPr>
      <w:r w:rsidRPr="00C2340B">
        <w:rPr>
          <w:i/>
          <w:iCs/>
          <w:sz w:val="24"/>
          <w:szCs w:val="24"/>
          <w:u w:val="single"/>
        </w:rPr>
        <w:t>Pure Red Cell Aplasia</w:t>
      </w:r>
    </w:p>
    <w:p w14:paraId="0DE9DC73" w14:textId="77777777" w:rsidR="00C2340B" w:rsidRPr="00C2340B" w:rsidRDefault="00C2340B" w:rsidP="001157CF">
      <w:pPr>
        <w:ind w:left="851"/>
        <w:rPr>
          <w:sz w:val="24"/>
          <w:szCs w:val="24"/>
        </w:rPr>
      </w:pPr>
      <w:r w:rsidRPr="00C2340B">
        <w:rPr>
          <w:sz w:val="24"/>
          <w:szCs w:val="24"/>
        </w:rPr>
        <w:t xml:space="preserve">Tilfælde af </w:t>
      </w:r>
      <w:r w:rsidRPr="00C2340B">
        <w:rPr>
          <w:i/>
          <w:iCs/>
          <w:sz w:val="24"/>
          <w:szCs w:val="24"/>
        </w:rPr>
        <w:t>Pure Red Cell Aplasia</w:t>
      </w:r>
      <w:r w:rsidRPr="00C2340B">
        <w:rPr>
          <w:sz w:val="24"/>
          <w:szCs w:val="24"/>
        </w:rPr>
        <w:t xml:space="preserve"> (PRCA) er blevet rapporteret hos patienter i behandling med tacrolimus. Alle patienter rapporterede risikofaktorerne for PRCA såsom parvovirus B19</w:t>
      </w:r>
      <w:r w:rsidRPr="00C2340B">
        <w:rPr>
          <w:sz w:val="24"/>
          <w:szCs w:val="24"/>
        </w:rPr>
        <w:noBreakHyphen/>
        <w:t>infektion, underliggende sygdom eller samtidig behandling med lægemidler i forbindelse med PRCA.</w:t>
      </w:r>
    </w:p>
    <w:p w14:paraId="5FBAE73D" w14:textId="77777777" w:rsidR="00C2340B" w:rsidRPr="00C2340B" w:rsidRDefault="00C2340B" w:rsidP="001157CF">
      <w:pPr>
        <w:ind w:left="851"/>
        <w:rPr>
          <w:sz w:val="24"/>
          <w:szCs w:val="24"/>
        </w:rPr>
      </w:pPr>
    </w:p>
    <w:p w14:paraId="20460998" w14:textId="77777777" w:rsidR="00C2340B" w:rsidRPr="00C2340B" w:rsidRDefault="00C2340B" w:rsidP="001157CF">
      <w:pPr>
        <w:ind w:left="851"/>
        <w:rPr>
          <w:sz w:val="24"/>
          <w:szCs w:val="24"/>
          <w:u w:val="single"/>
        </w:rPr>
      </w:pPr>
      <w:r w:rsidRPr="00C2340B">
        <w:rPr>
          <w:sz w:val="24"/>
          <w:szCs w:val="24"/>
          <w:u w:val="single"/>
        </w:rPr>
        <w:t>Hjælpestoffer</w:t>
      </w:r>
    </w:p>
    <w:p w14:paraId="39EADE6A" w14:textId="2DD7AAB1" w:rsidR="00C2340B" w:rsidRPr="00C2340B" w:rsidRDefault="00C2340B" w:rsidP="001157CF">
      <w:pPr>
        <w:ind w:left="851"/>
        <w:rPr>
          <w:sz w:val="24"/>
          <w:szCs w:val="24"/>
        </w:rPr>
      </w:pPr>
      <w:r w:rsidRPr="00C2340B">
        <w:rPr>
          <w:sz w:val="24"/>
          <w:szCs w:val="24"/>
        </w:rPr>
        <w:t xml:space="preserve">Da Tacrolimus </w:t>
      </w:r>
      <w:r w:rsidR="00A863D6">
        <w:rPr>
          <w:sz w:val="24"/>
          <w:szCs w:val="24"/>
        </w:rPr>
        <w:t>"EQL Pharma"</w:t>
      </w:r>
      <w:r w:rsidRPr="00C2340B">
        <w:rPr>
          <w:sz w:val="24"/>
          <w:szCs w:val="24"/>
        </w:rPr>
        <w:t xml:space="preserve"> indeholder lactose, bør det ikke anvendes til patienter med hereditær galactoseintolerans, total lactasemangel eller glucose/galactosemalabsorption.</w:t>
      </w:r>
    </w:p>
    <w:p w14:paraId="02636C51" w14:textId="77777777" w:rsidR="00C2340B" w:rsidRPr="00C2340B" w:rsidRDefault="00C2340B" w:rsidP="001157CF">
      <w:pPr>
        <w:ind w:left="851"/>
        <w:rPr>
          <w:sz w:val="24"/>
          <w:szCs w:val="24"/>
        </w:rPr>
      </w:pPr>
    </w:p>
    <w:p w14:paraId="3B3F10CE" w14:textId="77777777" w:rsidR="00C2340B" w:rsidRPr="00C2340B" w:rsidRDefault="00C2340B" w:rsidP="001157CF">
      <w:pPr>
        <w:ind w:left="851"/>
        <w:rPr>
          <w:sz w:val="24"/>
          <w:szCs w:val="24"/>
        </w:rPr>
      </w:pPr>
      <w:r w:rsidRPr="00C2340B">
        <w:rPr>
          <w:sz w:val="24"/>
          <w:szCs w:val="24"/>
        </w:rPr>
        <w:t>Dette lægemiddel indeholder mindre end 1 mmol (23 mg) natrium pr. kapsel, dvs. det er i det væsentlige natriumfrit.</w:t>
      </w:r>
    </w:p>
    <w:p w14:paraId="2D1F9FF0" w14:textId="77777777" w:rsidR="009260DE" w:rsidRPr="00C84483" w:rsidRDefault="009260DE" w:rsidP="009260DE">
      <w:pPr>
        <w:tabs>
          <w:tab w:val="left" w:pos="851"/>
        </w:tabs>
        <w:ind w:left="851"/>
        <w:rPr>
          <w:sz w:val="24"/>
          <w:szCs w:val="24"/>
        </w:rPr>
      </w:pPr>
    </w:p>
    <w:p w14:paraId="314777C8"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6C78DB0A" w14:textId="77777777" w:rsidR="00A863D6" w:rsidRDefault="00A863D6" w:rsidP="001157CF">
      <w:pPr>
        <w:ind w:left="851"/>
        <w:rPr>
          <w:sz w:val="24"/>
          <w:szCs w:val="24"/>
          <w:u w:val="single"/>
        </w:rPr>
      </w:pPr>
    </w:p>
    <w:p w14:paraId="75BC1B43" w14:textId="4C54CE3D" w:rsidR="00C2340B" w:rsidRPr="00C2340B" w:rsidRDefault="00C2340B" w:rsidP="001157CF">
      <w:pPr>
        <w:ind w:left="851"/>
        <w:rPr>
          <w:sz w:val="24"/>
          <w:szCs w:val="24"/>
          <w:u w:val="single"/>
        </w:rPr>
      </w:pPr>
      <w:r w:rsidRPr="00C2340B">
        <w:rPr>
          <w:sz w:val="24"/>
          <w:szCs w:val="24"/>
          <w:u w:val="single"/>
        </w:rPr>
        <w:t>Metaboliske interaktioner</w:t>
      </w:r>
    </w:p>
    <w:p w14:paraId="4C6EDE1D" w14:textId="73780983" w:rsidR="00C2340B" w:rsidRPr="00C2340B" w:rsidRDefault="00C2340B" w:rsidP="001157CF">
      <w:pPr>
        <w:ind w:left="851"/>
        <w:rPr>
          <w:sz w:val="24"/>
          <w:szCs w:val="24"/>
        </w:rPr>
      </w:pPr>
      <w:r w:rsidRPr="00C2340B">
        <w:rPr>
          <w:sz w:val="24"/>
          <w:szCs w:val="24"/>
        </w:rPr>
        <w:t xml:space="preserve">Systemisk tilgængeligt tacrolimus metaboliseres via hepatisk CYP3A4. Der er også vist gastrointestinal metabolisme via CYP3A4 i tarmvæggen. Samtidig brug af lægemidler og naturlægemidler, der vides at hæmme eller inducere CYP3A4, kan påvirke metabolismen </w:t>
      </w:r>
      <w:r w:rsidRPr="00C2340B">
        <w:rPr>
          <w:sz w:val="24"/>
          <w:szCs w:val="24"/>
        </w:rPr>
        <w:lastRenderedPageBreak/>
        <w:t>af tacrolimus, og derved nedsætte eller øge blodkoncentrationerne af tacrolimus. Ligeledes kan seponering af sådanne lægemidler eller naturlægemidler påvirke metaboliserings</w:t>
      </w:r>
      <w:r w:rsidR="00A863D6">
        <w:rPr>
          <w:sz w:val="24"/>
          <w:szCs w:val="24"/>
        </w:rPr>
        <w:softHyphen/>
      </w:r>
      <w:r w:rsidRPr="00C2340B">
        <w:rPr>
          <w:sz w:val="24"/>
          <w:szCs w:val="24"/>
        </w:rPr>
        <w:t>hastigheden for tacrolimus og dermed blodkoncentrationen af tacrolimus.</w:t>
      </w:r>
    </w:p>
    <w:p w14:paraId="544BD347" w14:textId="77777777" w:rsidR="00C2340B" w:rsidRPr="00C2340B" w:rsidRDefault="00C2340B" w:rsidP="001157CF">
      <w:pPr>
        <w:ind w:left="851"/>
        <w:rPr>
          <w:sz w:val="24"/>
          <w:szCs w:val="24"/>
        </w:rPr>
      </w:pPr>
    </w:p>
    <w:p w14:paraId="7BF53556" w14:textId="77777777" w:rsidR="00C2340B" w:rsidRPr="00C2340B" w:rsidRDefault="00C2340B" w:rsidP="001157CF">
      <w:pPr>
        <w:ind w:left="851"/>
        <w:rPr>
          <w:sz w:val="24"/>
          <w:szCs w:val="24"/>
        </w:rPr>
      </w:pPr>
      <w:r w:rsidRPr="00C2340B">
        <w:rPr>
          <w:sz w:val="24"/>
          <w:szCs w:val="24"/>
        </w:rPr>
        <w:t>Farmakokinetiske studier har vist, at stigningen i blodkoncentrationen af tacrolimus ved samtidig administration af CYP3A4</w:t>
      </w:r>
      <w:r w:rsidRPr="00C2340B">
        <w:rPr>
          <w:sz w:val="24"/>
          <w:szCs w:val="24"/>
        </w:rPr>
        <w:noBreakHyphen/>
        <w:t>hæmmere hovedsageligt skyldes den øgede orale biotilgængelighed af tacrolimus på grund af hæmning af gastrointestinal metabolisme. Effekten på leverclearance er mindre udtalt.</w:t>
      </w:r>
    </w:p>
    <w:p w14:paraId="090C2FB0" w14:textId="77777777" w:rsidR="00C2340B" w:rsidRPr="00C2340B" w:rsidRDefault="00C2340B" w:rsidP="001157CF">
      <w:pPr>
        <w:ind w:left="851"/>
        <w:rPr>
          <w:sz w:val="24"/>
          <w:szCs w:val="24"/>
        </w:rPr>
      </w:pPr>
    </w:p>
    <w:p w14:paraId="338E27C3" w14:textId="77777777" w:rsidR="00C2340B" w:rsidRPr="00C2340B" w:rsidRDefault="00C2340B" w:rsidP="001157CF">
      <w:pPr>
        <w:ind w:left="851"/>
        <w:rPr>
          <w:sz w:val="24"/>
          <w:szCs w:val="24"/>
        </w:rPr>
      </w:pPr>
      <w:r w:rsidRPr="00C2340B">
        <w:rPr>
          <w:sz w:val="24"/>
          <w:szCs w:val="24"/>
        </w:rPr>
        <w:t>Det anbefales derfor kraftigt at overvåge tacrolimus’ blodkoncentration nøje under supervision af en transplantationsspecialist, såvel som at overvåge for transplantatfunktion, QT</w:t>
      </w:r>
      <w:r w:rsidRPr="00C2340B">
        <w:rPr>
          <w:sz w:val="24"/>
          <w:szCs w:val="24"/>
        </w:rPr>
        <w:noBreakHyphen/>
        <w:t>forlængelse (med EKG), nyrefunktion og andre bivirkninger, herunder neurotoksicitet, ved samtidig brug af lægemidler, som kan ændre CYP3A4-metaboliseringen, og, om nødvendigt, at justere eller afbryde tacrolimus-dosis, for at opretholde en konstant tacrolimus-eksponering (se pkt. 4.2 og 4.4). Ligeledes skal patienterne overvåges tæt, når de bruger tacrolimus samtidig med flere stoffer, der påvirker CYP3A4, da indvirkningen på eksponering for tacrolimus kan forstærkes eller modvirkes.</w:t>
      </w:r>
    </w:p>
    <w:p w14:paraId="6F983FD9" w14:textId="77777777" w:rsidR="00C2340B" w:rsidRPr="00C2340B" w:rsidRDefault="00C2340B" w:rsidP="001157CF">
      <w:pPr>
        <w:ind w:left="851"/>
        <w:rPr>
          <w:sz w:val="24"/>
          <w:szCs w:val="24"/>
          <w:u w:val="single"/>
        </w:rPr>
      </w:pPr>
    </w:p>
    <w:p w14:paraId="3ED66A22" w14:textId="77777777" w:rsidR="00C2340B" w:rsidRPr="00C2340B" w:rsidRDefault="00C2340B" w:rsidP="001157CF">
      <w:pPr>
        <w:ind w:left="851"/>
        <w:rPr>
          <w:sz w:val="24"/>
          <w:szCs w:val="24"/>
          <w:u w:val="single"/>
        </w:rPr>
      </w:pPr>
      <w:r w:rsidRPr="00C2340B">
        <w:rPr>
          <w:sz w:val="24"/>
          <w:szCs w:val="24"/>
        </w:rPr>
        <w:t>De lægemidler, der har indvirkning på tacrolimus, er angivet i tabellen nedenfor. Eksemplerne på lægemiddelinteraktioner er ikke altomfattende eller udtømmende, og derfor skal produktinformationen for alle lægemidler, der administreres sammen med tacrolimus, konsulteres for information om metabolisering, interaktioner, potentielle risici og særlige forsigtighedsregler, der skal overholdes i forbindelse med samtidig administration.</w:t>
      </w:r>
    </w:p>
    <w:p w14:paraId="42B26F65" w14:textId="77777777" w:rsidR="00C2340B" w:rsidRPr="00C2340B" w:rsidRDefault="00C2340B" w:rsidP="001157CF">
      <w:pPr>
        <w:ind w:left="851"/>
        <w:rPr>
          <w:sz w:val="24"/>
          <w:szCs w:val="24"/>
          <w:u w:val="single"/>
        </w:rPr>
      </w:pPr>
    </w:p>
    <w:p w14:paraId="526855C0" w14:textId="77777777" w:rsidR="00C2340B" w:rsidRPr="00C2340B" w:rsidRDefault="00C2340B" w:rsidP="001157CF">
      <w:pPr>
        <w:ind w:left="851"/>
        <w:rPr>
          <w:sz w:val="24"/>
          <w:szCs w:val="24"/>
        </w:rPr>
      </w:pPr>
      <w:r w:rsidRPr="00C2340B">
        <w:rPr>
          <w:sz w:val="24"/>
          <w:szCs w:val="24"/>
        </w:rPr>
        <w:t>Lægemidler med indvirkning på tacrolimus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13"/>
        <w:gridCol w:w="3181"/>
        <w:gridCol w:w="3234"/>
      </w:tblGrid>
      <w:tr w:rsidR="00C2340B" w:rsidRPr="00097420" w14:paraId="7AA2C85A"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07AE7B59" w14:textId="77777777" w:rsidR="00C2340B" w:rsidRPr="00097420" w:rsidRDefault="00C2340B" w:rsidP="001157CF">
            <w:pPr>
              <w:ind w:left="32"/>
              <w:rPr>
                <w:sz w:val="24"/>
                <w:szCs w:val="24"/>
              </w:rPr>
            </w:pPr>
            <w:r w:rsidRPr="00097420">
              <w:rPr>
                <w:sz w:val="24"/>
                <w:szCs w:val="24"/>
              </w:rPr>
              <w:t>Klassificering eller navn af lægemiddel/aktivt stof</w:t>
            </w:r>
          </w:p>
        </w:tc>
        <w:tc>
          <w:tcPr>
            <w:tcW w:w="1616" w:type="pct"/>
            <w:tcBorders>
              <w:top w:val="single" w:sz="4" w:space="0" w:color="auto"/>
              <w:left w:val="single" w:sz="4" w:space="0" w:color="auto"/>
              <w:bottom w:val="single" w:sz="4" w:space="0" w:color="auto"/>
              <w:right w:val="single" w:sz="4" w:space="0" w:color="auto"/>
            </w:tcBorders>
            <w:hideMark/>
          </w:tcPr>
          <w:p w14:paraId="4BBEBB94" w14:textId="77777777" w:rsidR="00C2340B" w:rsidRPr="00097420" w:rsidRDefault="00C2340B" w:rsidP="001157CF">
            <w:pPr>
              <w:ind w:left="32"/>
              <w:rPr>
                <w:sz w:val="24"/>
                <w:szCs w:val="24"/>
              </w:rPr>
            </w:pPr>
            <w:r w:rsidRPr="00097420">
              <w:rPr>
                <w:sz w:val="24"/>
                <w:szCs w:val="24"/>
              </w:rPr>
              <w:t>Interaktion med lægemidlet</w:t>
            </w:r>
          </w:p>
        </w:tc>
        <w:tc>
          <w:tcPr>
            <w:tcW w:w="1692" w:type="pct"/>
            <w:tcBorders>
              <w:top w:val="single" w:sz="4" w:space="0" w:color="auto"/>
              <w:left w:val="single" w:sz="4" w:space="0" w:color="auto"/>
              <w:bottom w:val="single" w:sz="4" w:space="0" w:color="auto"/>
              <w:right w:val="single" w:sz="4" w:space="0" w:color="auto"/>
            </w:tcBorders>
            <w:hideMark/>
          </w:tcPr>
          <w:p w14:paraId="6F2F0A15" w14:textId="77777777" w:rsidR="00C2340B" w:rsidRPr="00097420" w:rsidRDefault="00C2340B" w:rsidP="001157CF">
            <w:pPr>
              <w:ind w:left="32"/>
              <w:rPr>
                <w:sz w:val="24"/>
                <w:szCs w:val="24"/>
              </w:rPr>
            </w:pPr>
            <w:r w:rsidRPr="00097420">
              <w:rPr>
                <w:sz w:val="24"/>
                <w:szCs w:val="24"/>
              </w:rPr>
              <w:t>Anbefalinger vedrørende samtidig administration</w:t>
            </w:r>
          </w:p>
        </w:tc>
      </w:tr>
      <w:tr w:rsidR="00C2340B" w:rsidRPr="00097420" w14:paraId="3E051479"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51ED274B" w14:textId="77777777" w:rsidR="00C2340B" w:rsidRPr="00097420" w:rsidRDefault="00C2340B" w:rsidP="001157CF">
            <w:pPr>
              <w:ind w:left="32"/>
              <w:rPr>
                <w:sz w:val="24"/>
                <w:szCs w:val="24"/>
              </w:rPr>
            </w:pPr>
            <w:r w:rsidRPr="00097420">
              <w:rPr>
                <w:sz w:val="24"/>
                <w:szCs w:val="24"/>
              </w:rPr>
              <w:t>Grapefrugt eller grapefrugtjuice</w:t>
            </w:r>
          </w:p>
        </w:tc>
        <w:tc>
          <w:tcPr>
            <w:tcW w:w="1616" w:type="pct"/>
            <w:tcBorders>
              <w:top w:val="single" w:sz="4" w:space="0" w:color="auto"/>
              <w:left w:val="single" w:sz="4" w:space="0" w:color="auto"/>
              <w:bottom w:val="single" w:sz="4" w:space="0" w:color="auto"/>
              <w:right w:val="single" w:sz="4" w:space="0" w:color="auto"/>
            </w:tcBorders>
            <w:hideMark/>
          </w:tcPr>
          <w:p w14:paraId="1209592B" w14:textId="1B9304A6" w:rsidR="00C2340B" w:rsidRPr="00097420" w:rsidRDefault="00C2340B" w:rsidP="001157CF">
            <w:pPr>
              <w:ind w:left="32"/>
              <w:rPr>
                <w:sz w:val="24"/>
                <w:szCs w:val="24"/>
              </w:rPr>
            </w:pPr>
            <w:r w:rsidRPr="00097420">
              <w:rPr>
                <w:sz w:val="24"/>
                <w:szCs w:val="24"/>
              </w:rPr>
              <w:t>Kan øge fuldblodsdal</w:t>
            </w:r>
            <w:r w:rsidR="001157CF" w:rsidRPr="00097420">
              <w:rPr>
                <w:sz w:val="24"/>
                <w:szCs w:val="24"/>
              </w:rPr>
              <w:softHyphen/>
            </w:r>
            <w:r w:rsidRPr="00097420">
              <w:rPr>
                <w:sz w:val="24"/>
                <w:szCs w:val="24"/>
              </w:rPr>
              <w:t>koncentrationerne af tacrolimus og øge risikoen for alvorlige bivirkninger (f.eks. neurotoksicitet, QT</w:t>
            </w:r>
            <w:r w:rsidRPr="00097420">
              <w:rPr>
                <w:sz w:val="24"/>
                <w:szCs w:val="24"/>
              </w:rPr>
              <w:noBreakHyphen/>
              <w:t xml:space="preserve">forlængelse) </w:t>
            </w:r>
            <w:r w:rsidRPr="00097420">
              <w:rPr>
                <w:i/>
                <w:iCs/>
                <w:sz w:val="24"/>
                <w:szCs w:val="24"/>
              </w:rPr>
              <w:t>[se pkt. 4.4].</w:t>
            </w:r>
          </w:p>
        </w:tc>
        <w:tc>
          <w:tcPr>
            <w:tcW w:w="1692" w:type="pct"/>
            <w:tcBorders>
              <w:top w:val="single" w:sz="4" w:space="0" w:color="auto"/>
              <w:left w:val="single" w:sz="4" w:space="0" w:color="auto"/>
              <w:bottom w:val="single" w:sz="4" w:space="0" w:color="auto"/>
              <w:right w:val="single" w:sz="4" w:space="0" w:color="auto"/>
            </w:tcBorders>
            <w:hideMark/>
          </w:tcPr>
          <w:p w14:paraId="0BAE6FD6" w14:textId="77777777" w:rsidR="00C2340B" w:rsidRPr="00097420" w:rsidRDefault="00C2340B" w:rsidP="001157CF">
            <w:pPr>
              <w:ind w:left="32"/>
              <w:rPr>
                <w:sz w:val="24"/>
                <w:szCs w:val="24"/>
              </w:rPr>
            </w:pPr>
            <w:r w:rsidRPr="00097420">
              <w:rPr>
                <w:sz w:val="24"/>
                <w:szCs w:val="24"/>
              </w:rPr>
              <w:t>Undgå grapefrugt eller grapefrugtjuice</w:t>
            </w:r>
          </w:p>
        </w:tc>
      </w:tr>
      <w:tr w:rsidR="00C2340B" w:rsidRPr="00097420" w14:paraId="66D18BF7"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63EF347B" w14:textId="77777777" w:rsidR="00C2340B" w:rsidRPr="00097420" w:rsidRDefault="00C2340B" w:rsidP="001157CF">
            <w:pPr>
              <w:ind w:left="32"/>
              <w:rPr>
                <w:sz w:val="24"/>
                <w:szCs w:val="24"/>
              </w:rPr>
            </w:pPr>
            <w:r w:rsidRPr="00097420">
              <w:rPr>
                <w:sz w:val="24"/>
                <w:szCs w:val="24"/>
              </w:rPr>
              <w:t>Ciclosporin</w:t>
            </w:r>
          </w:p>
        </w:tc>
        <w:tc>
          <w:tcPr>
            <w:tcW w:w="1616" w:type="pct"/>
            <w:tcBorders>
              <w:top w:val="single" w:sz="4" w:space="0" w:color="auto"/>
              <w:left w:val="single" w:sz="4" w:space="0" w:color="auto"/>
              <w:bottom w:val="single" w:sz="4" w:space="0" w:color="auto"/>
              <w:right w:val="single" w:sz="4" w:space="0" w:color="auto"/>
            </w:tcBorders>
            <w:hideMark/>
          </w:tcPr>
          <w:p w14:paraId="6ABD3A4F" w14:textId="77777777" w:rsidR="00C2340B" w:rsidRPr="00097420" w:rsidRDefault="00C2340B" w:rsidP="001157CF">
            <w:pPr>
              <w:ind w:left="32"/>
              <w:rPr>
                <w:sz w:val="24"/>
                <w:szCs w:val="24"/>
              </w:rPr>
            </w:pPr>
            <w:r w:rsidRPr="00097420">
              <w:rPr>
                <w:sz w:val="24"/>
                <w:szCs w:val="24"/>
              </w:rPr>
              <w:t>Kan øge fuldblodsdalkoncentrationerne af tacrolimus. Derudover kan der forekomme synergistisk/additiv nefrotoksicitet.</w:t>
            </w:r>
          </w:p>
        </w:tc>
        <w:tc>
          <w:tcPr>
            <w:tcW w:w="1692" w:type="pct"/>
            <w:tcBorders>
              <w:top w:val="single" w:sz="4" w:space="0" w:color="auto"/>
              <w:left w:val="single" w:sz="4" w:space="0" w:color="auto"/>
              <w:bottom w:val="single" w:sz="4" w:space="0" w:color="auto"/>
              <w:right w:val="single" w:sz="4" w:space="0" w:color="auto"/>
            </w:tcBorders>
            <w:hideMark/>
          </w:tcPr>
          <w:p w14:paraId="7872CA8D" w14:textId="77777777" w:rsidR="00C2340B" w:rsidRPr="00097420" w:rsidRDefault="00C2340B" w:rsidP="001157CF">
            <w:pPr>
              <w:ind w:left="32"/>
              <w:rPr>
                <w:sz w:val="24"/>
                <w:szCs w:val="24"/>
              </w:rPr>
            </w:pPr>
            <w:r w:rsidRPr="00097420">
              <w:rPr>
                <w:bCs/>
                <w:sz w:val="24"/>
                <w:szCs w:val="24"/>
              </w:rPr>
              <w:t xml:space="preserve">Samtidig anvendelse af ciclosporin og tacrolimus skal undgås </w:t>
            </w:r>
            <w:r w:rsidRPr="00097420">
              <w:rPr>
                <w:i/>
                <w:sz w:val="24"/>
                <w:szCs w:val="24"/>
              </w:rPr>
              <w:t>[se pkt. 4.4</w:t>
            </w:r>
            <w:r w:rsidRPr="00097420">
              <w:rPr>
                <w:i/>
                <w:iCs/>
                <w:sz w:val="24"/>
                <w:szCs w:val="24"/>
              </w:rPr>
              <w:t>].</w:t>
            </w:r>
          </w:p>
        </w:tc>
      </w:tr>
      <w:tr w:rsidR="00C2340B" w:rsidRPr="00097420" w14:paraId="2F174F9F"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0FF36F9B" w14:textId="77777777" w:rsidR="00C2340B" w:rsidRPr="00097420" w:rsidRDefault="00C2340B" w:rsidP="001157CF">
            <w:pPr>
              <w:ind w:left="32"/>
              <w:rPr>
                <w:sz w:val="24"/>
                <w:szCs w:val="24"/>
                <w:u w:val="single"/>
              </w:rPr>
            </w:pPr>
            <w:r w:rsidRPr="00097420">
              <w:rPr>
                <w:sz w:val="24"/>
                <w:szCs w:val="24"/>
              </w:rPr>
              <w:t>Lægemidler med kendt nefrotoksisk eller neurotoksisk effekt:</w:t>
            </w:r>
          </w:p>
          <w:p w14:paraId="090D3DDE" w14:textId="77777777" w:rsidR="00C2340B" w:rsidRPr="00097420" w:rsidRDefault="00C2340B" w:rsidP="001157CF">
            <w:pPr>
              <w:ind w:left="32"/>
              <w:rPr>
                <w:sz w:val="24"/>
                <w:szCs w:val="24"/>
              </w:rPr>
            </w:pPr>
            <w:r w:rsidRPr="00097420">
              <w:rPr>
                <w:sz w:val="24"/>
                <w:szCs w:val="24"/>
              </w:rPr>
              <w:t xml:space="preserve">aminoglycosider, gyrasehæmmere, vancomycin, sulfamethoxazol + trimethoprim, NSAID, ganciclovir, aciclovir, </w:t>
            </w:r>
            <w:r w:rsidRPr="00097420">
              <w:rPr>
                <w:sz w:val="24"/>
                <w:szCs w:val="24"/>
              </w:rPr>
              <w:lastRenderedPageBreak/>
              <w:t>amfotericin B, ibuprofen, cidofovir, foscarnet</w:t>
            </w:r>
          </w:p>
        </w:tc>
        <w:tc>
          <w:tcPr>
            <w:tcW w:w="1616" w:type="pct"/>
            <w:tcBorders>
              <w:top w:val="single" w:sz="4" w:space="0" w:color="auto"/>
              <w:left w:val="single" w:sz="4" w:space="0" w:color="auto"/>
              <w:bottom w:val="single" w:sz="4" w:space="0" w:color="auto"/>
              <w:right w:val="single" w:sz="4" w:space="0" w:color="auto"/>
            </w:tcBorders>
            <w:hideMark/>
          </w:tcPr>
          <w:p w14:paraId="5C0B15BC" w14:textId="77777777" w:rsidR="00C2340B" w:rsidRPr="00097420" w:rsidRDefault="00C2340B" w:rsidP="001157CF">
            <w:pPr>
              <w:ind w:left="32"/>
              <w:rPr>
                <w:sz w:val="24"/>
                <w:szCs w:val="24"/>
              </w:rPr>
            </w:pPr>
            <w:r w:rsidRPr="00097420">
              <w:rPr>
                <w:sz w:val="24"/>
                <w:szCs w:val="24"/>
              </w:rPr>
              <w:lastRenderedPageBreak/>
              <w:t>Kan forstærke den nefrotoksiske eller neurotoksiske effekt af tacrolimus.</w:t>
            </w:r>
          </w:p>
        </w:tc>
        <w:tc>
          <w:tcPr>
            <w:tcW w:w="1692" w:type="pct"/>
            <w:tcBorders>
              <w:top w:val="single" w:sz="4" w:space="0" w:color="auto"/>
              <w:left w:val="single" w:sz="4" w:space="0" w:color="auto"/>
              <w:bottom w:val="single" w:sz="4" w:space="0" w:color="auto"/>
              <w:right w:val="single" w:sz="4" w:space="0" w:color="auto"/>
            </w:tcBorders>
            <w:hideMark/>
          </w:tcPr>
          <w:p w14:paraId="304DADF5" w14:textId="77777777" w:rsidR="00C2340B" w:rsidRPr="00097420" w:rsidRDefault="00C2340B" w:rsidP="001157CF">
            <w:pPr>
              <w:ind w:left="32"/>
              <w:rPr>
                <w:sz w:val="24"/>
                <w:szCs w:val="24"/>
              </w:rPr>
            </w:pPr>
            <w:r w:rsidRPr="00097420">
              <w:rPr>
                <w:sz w:val="24"/>
                <w:szCs w:val="24"/>
              </w:rPr>
              <w:t>Samtidig anvendelse af tacrolimus og lægemidler, der vides at have nefrotoksiske effekter, skal undgås. Hvis samtidig anvendelse ikke kan undgås, skal nyrefunktionen og andre bivirkninger overvåges og tacrolimus-dosis justeres efter behov.</w:t>
            </w:r>
          </w:p>
        </w:tc>
      </w:tr>
      <w:tr w:rsidR="00C2340B" w:rsidRPr="00097420" w14:paraId="722B47E5"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2C564268" w14:textId="77777777" w:rsidR="00C2340B" w:rsidRPr="00097420" w:rsidRDefault="00C2340B" w:rsidP="001157CF">
            <w:pPr>
              <w:ind w:left="32"/>
              <w:rPr>
                <w:sz w:val="24"/>
                <w:szCs w:val="24"/>
              </w:rPr>
            </w:pPr>
            <w:r w:rsidRPr="00097420">
              <w:rPr>
                <w:sz w:val="24"/>
                <w:szCs w:val="24"/>
              </w:rPr>
              <w:t>Stærke CYP3A4</w:t>
            </w:r>
            <w:r w:rsidRPr="00097420">
              <w:rPr>
                <w:sz w:val="24"/>
                <w:szCs w:val="24"/>
              </w:rPr>
              <w:noBreakHyphen/>
              <w:t>hæmmere:</w:t>
            </w:r>
          </w:p>
          <w:p w14:paraId="043E59BD" w14:textId="77777777" w:rsidR="00C2340B" w:rsidRPr="00097420" w:rsidRDefault="00C2340B" w:rsidP="001157CF">
            <w:pPr>
              <w:ind w:left="32"/>
              <w:rPr>
                <w:sz w:val="24"/>
                <w:szCs w:val="24"/>
              </w:rPr>
            </w:pPr>
            <w:r w:rsidRPr="00097420">
              <w:rPr>
                <w:sz w:val="24"/>
                <w:szCs w:val="24"/>
              </w:rPr>
              <w:t>svampemidler (f.eks. ketoconazol, itraconazol, posaconazol, voriconazol), makrolider (antibiotika) (f.eks. telithromycin, troleandomycin, clarithromycin, josamycin), hiv</w:t>
            </w:r>
            <w:r w:rsidRPr="00097420">
              <w:rPr>
                <w:sz w:val="24"/>
                <w:szCs w:val="24"/>
              </w:rPr>
              <w:noBreakHyphen/>
              <w:t>proteasehæmmere (f.eks. ritonavir, nelfinavir, saquinavir), HCV</w:t>
            </w:r>
            <w:r w:rsidRPr="00097420">
              <w:rPr>
                <w:sz w:val="24"/>
                <w:szCs w:val="24"/>
              </w:rPr>
              <w:noBreakHyphen/>
              <w:t>proteasehæmmere (f.eks. telaprevir, boceprevir og kombinationen af ombitasvir og paritaprevir sammen med ritonavir, når det anvendes med og uden dasabuvir), nefazodon,</w:t>
            </w:r>
            <w:r w:rsidRPr="00097420">
              <w:rPr>
                <w:iCs/>
                <w:sz w:val="24"/>
                <w:szCs w:val="24"/>
              </w:rPr>
              <w:t xml:space="preserve"> den farmakokinetiske forstærker cobicistat </w:t>
            </w:r>
            <w:r w:rsidRPr="00097420">
              <w:rPr>
                <w:sz w:val="24"/>
                <w:szCs w:val="24"/>
              </w:rPr>
              <w:t>og kinasehæmmerne idelalisib, ceritinib.</w:t>
            </w:r>
          </w:p>
          <w:p w14:paraId="670565D9" w14:textId="77777777" w:rsidR="00C2340B" w:rsidRPr="00097420" w:rsidRDefault="00C2340B" w:rsidP="001157CF">
            <w:pPr>
              <w:ind w:left="32"/>
              <w:rPr>
                <w:sz w:val="24"/>
                <w:szCs w:val="24"/>
              </w:rPr>
            </w:pPr>
            <w:r w:rsidRPr="00097420">
              <w:rPr>
                <w:sz w:val="24"/>
                <w:szCs w:val="24"/>
              </w:rPr>
              <w:t>Stærke interaktioner er også observeret med makrolidantibiotikummet erythromycin.</w:t>
            </w:r>
          </w:p>
        </w:tc>
        <w:tc>
          <w:tcPr>
            <w:tcW w:w="1616" w:type="pct"/>
            <w:tcBorders>
              <w:top w:val="single" w:sz="4" w:space="0" w:color="auto"/>
              <w:left w:val="single" w:sz="4" w:space="0" w:color="auto"/>
              <w:bottom w:val="single" w:sz="4" w:space="0" w:color="auto"/>
              <w:right w:val="single" w:sz="4" w:space="0" w:color="auto"/>
            </w:tcBorders>
            <w:hideMark/>
          </w:tcPr>
          <w:p w14:paraId="55212CE4" w14:textId="72262227" w:rsidR="00C2340B" w:rsidRPr="00097420" w:rsidRDefault="00C2340B" w:rsidP="001157CF">
            <w:pPr>
              <w:ind w:left="32"/>
              <w:rPr>
                <w:i/>
                <w:iCs/>
                <w:sz w:val="24"/>
                <w:szCs w:val="24"/>
              </w:rPr>
            </w:pPr>
            <w:r w:rsidRPr="00097420">
              <w:rPr>
                <w:sz w:val="24"/>
                <w:szCs w:val="24"/>
              </w:rPr>
              <w:t>Kan øge fuldblodsdal</w:t>
            </w:r>
            <w:r w:rsidR="001157CF" w:rsidRPr="00097420">
              <w:rPr>
                <w:sz w:val="24"/>
                <w:szCs w:val="24"/>
              </w:rPr>
              <w:softHyphen/>
            </w:r>
            <w:r w:rsidRPr="00097420">
              <w:rPr>
                <w:sz w:val="24"/>
                <w:szCs w:val="24"/>
              </w:rPr>
              <w:t>koncentrationerne af tacrolimus og øge risikoen for alvorlige bivirkninger (f.eks. nefrotoksicitet, neurotoksicitet, QT</w:t>
            </w:r>
            <w:r w:rsidRPr="00097420">
              <w:rPr>
                <w:sz w:val="24"/>
                <w:szCs w:val="24"/>
              </w:rPr>
              <w:noBreakHyphen/>
              <w:t xml:space="preserve">forlængelse), hvilket kræver tæt overvågning </w:t>
            </w:r>
            <w:r w:rsidRPr="00097420">
              <w:rPr>
                <w:i/>
                <w:iCs/>
                <w:sz w:val="24"/>
                <w:szCs w:val="24"/>
              </w:rPr>
              <w:t>[se pkt. 4.4]</w:t>
            </w:r>
          </w:p>
          <w:p w14:paraId="74C418B7" w14:textId="77777777" w:rsidR="00C2340B" w:rsidRPr="00097420" w:rsidRDefault="00C2340B" w:rsidP="001157CF">
            <w:pPr>
              <w:ind w:left="32"/>
              <w:rPr>
                <w:iCs/>
                <w:sz w:val="24"/>
                <w:szCs w:val="24"/>
              </w:rPr>
            </w:pPr>
            <w:r w:rsidRPr="00097420">
              <w:rPr>
                <w:sz w:val="24"/>
                <w:szCs w:val="24"/>
              </w:rPr>
              <w:t>Der kan forekomme hurtige og skarpe stigninger i tacrolimus-niveauet, allerede inden for 1</w:t>
            </w:r>
            <w:r w:rsidRPr="00097420">
              <w:rPr>
                <w:sz w:val="24"/>
                <w:szCs w:val="24"/>
              </w:rPr>
              <w:noBreakHyphen/>
              <w:t xml:space="preserve">3 dage efter samtidig administration, på trods af øjeblikkelig reduktion af tacrolimus-dosis. Den samlede eksponering for tacrolimus kan stige &gt; 5 gange. Når der administreres kombinationer med </w:t>
            </w:r>
            <w:r w:rsidRPr="00097420">
              <w:rPr>
                <w:iCs/>
                <w:sz w:val="24"/>
                <w:szCs w:val="24"/>
              </w:rPr>
              <w:t>ritonavir samtidig, kan tacrolimus-eksponeringen stige &gt; 50 gange. Næsten alle patienter kan have brug for en reduktion i tacrolimus-dosis, og midlertidig afbrydelse af behandling med tacrolimus kan også være nødvendig.</w:t>
            </w:r>
          </w:p>
          <w:p w14:paraId="21F52848" w14:textId="77777777" w:rsidR="00C2340B" w:rsidRPr="00097420" w:rsidRDefault="00C2340B" w:rsidP="001157CF">
            <w:pPr>
              <w:ind w:left="32"/>
              <w:rPr>
                <w:sz w:val="24"/>
                <w:szCs w:val="24"/>
              </w:rPr>
            </w:pPr>
            <w:r w:rsidRPr="00097420">
              <w:rPr>
                <w:sz w:val="24"/>
                <w:szCs w:val="24"/>
              </w:rPr>
              <w:t>Indvirkningen på blodkoncentrationerne af tacrolimus kan vare ved i flere dage efter afslutning af den samtidige administration</w:t>
            </w:r>
          </w:p>
        </w:tc>
        <w:tc>
          <w:tcPr>
            <w:tcW w:w="1692" w:type="pct"/>
            <w:tcBorders>
              <w:top w:val="single" w:sz="4" w:space="0" w:color="auto"/>
              <w:left w:val="single" w:sz="4" w:space="0" w:color="auto"/>
              <w:bottom w:val="single" w:sz="4" w:space="0" w:color="auto"/>
              <w:right w:val="single" w:sz="4" w:space="0" w:color="auto"/>
            </w:tcBorders>
            <w:hideMark/>
          </w:tcPr>
          <w:p w14:paraId="5517191D" w14:textId="77777777" w:rsidR="00C2340B" w:rsidRPr="00097420" w:rsidRDefault="00C2340B" w:rsidP="001157CF">
            <w:pPr>
              <w:ind w:left="32"/>
              <w:rPr>
                <w:iCs/>
                <w:sz w:val="24"/>
                <w:szCs w:val="24"/>
              </w:rPr>
            </w:pPr>
            <w:r w:rsidRPr="00097420">
              <w:rPr>
                <w:iCs/>
                <w:sz w:val="24"/>
                <w:szCs w:val="24"/>
              </w:rPr>
              <w:t>Det anbefales at undgå samtidig anvendelse. Hvis samtidig administration af en stærk CYP3A4</w:t>
            </w:r>
            <w:r w:rsidRPr="00097420">
              <w:rPr>
                <w:iCs/>
                <w:sz w:val="24"/>
                <w:szCs w:val="24"/>
              </w:rPr>
              <w:noBreakHyphen/>
              <w:t>hæmmer ikke kan undgås, skal det overvejes at springe tacrolimus-dosis over på dagen, hvor den stærke CYP3A4</w:t>
            </w:r>
            <w:r w:rsidRPr="00097420">
              <w:rPr>
                <w:iCs/>
                <w:sz w:val="24"/>
                <w:szCs w:val="24"/>
              </w:rPr>
              <w:noBreakHyphen/>
              <w:t>hæmmer initieres. Genoptag tacrolimus den næste dag i nedsat dosis, baseret på blodkoncentrationerne af tacrolimus. Ændringer i både tacrolimus-dosis og/eller doseringsfrekvens individualiseres og justeres efter behov på baggrund af tacrolimus-dalkoncentrationer, som skal vurderes ved start, overvåges hyppigt i hele forløbet (begyndende inden for de første dage) og vurderes igen ved og efter afslutning af CYP3A4-hæmmeren. Efter afslutningen skal dosis og doseringshyppighed for tacrolimus baseres på blodkoncentrationerne af tacrolimus. Nyrefunktionen, EKG mht. QT</w:t>
            </w:r>
            <w:r w:rsidRPr="00097420">
              <w:rPr>
                <w:iCs/>
                <w:sz w:val="24"/>
                <w:szCs w:val="24"/>
              </w:rPr>
              <w:noBreakHyphen/>
              <w:t>forlængelse og andre bivirkninger skal overvåges tæt.</w:t>
            </w:r>
          </w:p>
        </w:tc>
      </w:tr>
      <w:tr w:rsidR="00C2340B" w:rsidRPr="00097420" w14:paraId="14570760"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01721EA5" w14:textId="77777777" w:rsidR="00C2340B" w:rsidRPr="00097420" w:rsidRDefault="00C2340B" w:rsidP="001157CF">
            <w:pPr>
              <w:ind w:left="32"/>
              <w:rPr>
                <w:sz w:val="24"/>
                <w:szCs w:val="24"/>
              </w:rPr>
            </w:pPr>
            <w:r w:rsidRPr="00097420">
              <w:rPr>
                <w:sz w:val="24"/>
                <w:szCs w:val="24"/>
              </w:rPr>
              <w:t>Moderate eller svage CYP3A4</w:t>
            </w:r>
            <w:r w:rsidRPr="00097420">
              <w:rPr>
                <w:sz w:val="24"/>
                <w:szCs w:val="24"/>
              </w:rPr>
              <w:noBreakHyphen/>
              <w:t>hæmmere:</w:t>
            </w:r>
          </w:p>
          <w:p w14:paraId="120E5C90" w14:textId="77777777" w:rsidR="00C2340B" w:rsidRPr="00097420" w:rsidRDefault="00C2340B" w:rsidP="001157CF">
            <w:pPr>
              <w:ind w:left="32"/>
              <w:rPr>
                <w:sz w:val="24"/>
                <w:szCs w:val="24"/>
              </w:rPr>
            </w:pPr>
            <w:r w:rsidRPr="00097420">
              <w:rPr>
                <w:sz w:val="24"/>
                <w:szCs w:val="24"/>
              </w:rPr>
              <w:t>svampemidler (f.eks. fluconazol, isavuconazol, clotrimazol, miconazol), makrolider (antibiotika) (f.eks. azithromycin), calciumkanalblokkere (f.eks. nifedipin, nicardipin, diltiazem, verapamil), amiodaron, danazol, ethinylestradiol, lansoprazol, omeprazol, de HCV</w:t>
            </w:r>
            <w:r w:rsidRPr="00097420">
              <w:rPr>
                <w:sz w:val="24"/>
                <w:szCs w:val="24"/>
              </w:rPr>
              <w:noBreakHyphen/>
              <w:t xml:space="preserve">antivirale midler elbasvir/grazoprevir og glecaprevir/pibrentasvir, det </w:t>
            </w:r>
            <w:r w:rsidRPr="00097420">
              <w:rPr>
                <w:sz w:val="24"/>
                <w:szCs w:val="24"/>
              </w:rPr>
              <w:lastRenderedPageBreak/>
              <w:t>CMV</w:t>
            </w:r>
            <w:r w:rsidRPr="00097420">
              <w:rPr>
                <w:sz w:val="24"/>
                <w:szCs w:val="24"/>
              </w:rPr>
              <w:noBreakHyphen/>
              <w:t xml:space="preserve">antivirale middel letermovir </w:t>
            </w:r>
            <w:r w:rsidRPr="00097420">
              <w:rPr>
                <w:iCs/>
                <w:sz w:val="24"/>
                <w:szCs w:val="24"/>
              </w:rPr>
              <w:t xml:space="preserve">og tyrosinkinasehæmmerne </w:t>
            </w:r>
            <w:r w:rsidRPr="00097420">
              <w:rPr>
                <w:sz w:val="24"/>
                <w:szCs w:val="24"/>
              </w:rPr>
              <w:t>nilotinib, crizotinib,</w:t>
            </w:r>
            <w:r w:rsidRPr="00097420">
              <w:rPr>
                <w:iCs/>
                <w:sz w:val="24"/>
                <w:szCs w:val="24"/>
              </w:rPr>
              <w:t xml:space="preserve"> imatinib</w:t>
            </w:r>
            <w:r w:rsidRPr="00097420">
              <w:rPr>
                <w:sz w:val="24"/>
                <w:szCs w:val="24"/>
              </w:rPr>
              <w:t xml:space="preserve"> samt (kinesisk) naturlægemidler indeholdende ekstrakt af </w:t>
            </w:r>
            <w:r w:rsidRPr="00097420">
              <w:rPr>
                <w:i/>
                <w:sz w:val="24"/>
                <w:szCs w:val="24"/>
              </w:rPr>
              <w:t>Schisandra sphenanthera.</w:t>
            </w:r>
          </w:p>
        </w:tc>
        <w:tc>
          <w:tcPr>
            <w:tcW w:w="1616" w:type="pct"/>
            <w:tcBorders>
              <w:top w:val="single" w:sz="4" w:space="0" w:color="auto"/>
              <w:left w:val="single" w:sz="4" w:space="0" w:color="auto"/>
              <w:bottom w:val="single" w:sz="4" w:space="0" w:color="auto"/>
              <w:right w:val="single" w:sz="4" w:space="0" w:color="auto"/>
            </w:tcBorders>
            <w:hideMark/>
          </w:tcPr>
          <w:p w14:paraId="4C01B1C4" w14:textId="3BF927CE" w:rsidR="00C2340B" w:rsidRPr="00097420" w:rsidRDefault="00C2340B" w:rsidP="001157CF">
            <w:pPr>
              <w:ind w:left="32"/>
              <w:rPr>
                <w:sz w:val="24"/>
                <w:szCs w:val="24"/>
              </w:rPr>
            </w:pPr>
            <w:r w:rsidRPr="00097420">
              <w:rPr>
                <w:sz w:val="24"/>
                <w:szCs w:val="24"/>
              </w:rPr>
              <w:lastRenderedPageBreak/>
              <w:t>Kan øge fuldblodsdal</w:t>
            </w:r>
            <w:r w:rsidR="001157CF" w:rsidRPr="00097420">
              <w:rPr>
                <w:sz w:val="24"/>
                <w:szCs w:val="24"/>
              </w:rPr>
              <w:softHyphen/>
            </w:r>
            <w:r w:rsidRPr="00097420">
              <w:rPr>
                <w:sz w:val="24"/>
                <w:szCs w:val="24"/>
              </w:rPr>
              <w:t>koncentrationerne af tacrolimus og øge risikoen for alvorlige bivirkninger (f.eks. neurotoksicitet, QT</w:t>
            </w:r>
            <w:r w:rsidRPr="00097420">
              <w:rPr>
                <w:sz w:val="24"/>
                <w:szCs w:val="24"/>
              </w:rPr>
              <w:noBreakHyphen/>
              <w:t>forlængelse)</w:t>
            </w:r>
            <w:r w:rsidRPr="00097420">
              <w:rPr>
                <w:i/>
                <w:iCs/>
                <w:sz w:val="24"/>
                <w:szCs w:val="24"/>
              </w:rPr>
              <w:t xml:space="preserve"> [se pkt. 4.4].</w:t>
            </w:r>
            <w:r w:rsidRPr="00097420">
              <w:rPr>
                <w:sz w:val="24"/>
                <w:szCs w:val="24"/>
              </w:rPr>
              <w:t xml:space="preserve"> Der kan forekomme en hurtig stigning i tacrolimus-niveauet.</w:t>
            </w:r>
          </w:p>
        </w:tc>
        <w:tc>
          <w:tcPr>
            <w:tcW w:w="1692" w:type="pct"/>
            <w:tcBorders>
              <w:top w:val="single" w:sz="4" w:space="0" w:color="auto"/>
              <w:left w:val="single" w:sz="4" w:space="0" w:color="auto"/>
              <w:bottom w:val="single" w:sz="4" w:space="0" w:color="auto"/>
              <w:right w:val="single" w:sz="4" w:space="0" w:color="auto"/>
            </w:tcBorders>
            <w:hideMark/>
          </w:tcPr>
          <w:p w14:paraId="780D8D0B" w14:textId="77777777" w:rsidR="00C2340B" w:rsidRPr="00097420" w:rsidRDefault="00C2340B" w:rsidP="001157CF">
            <w:pPr>
              <w:ind w:left="32"/>
              <w:rPr>
                <w:i/>
                <w:iCs/>
                <w:sz w:val="24"/>
                <w:szCs w:val="24"/>
              </w:rPr>
            </w:pPr>
            <w:r w:rsidRPr="00097420">
              <w:rPr>
                <w:sz w:val="24"/>
                <w:szCs w:val="24"/>
              </w:rPr>
              <w:t xml:space="preserve">Fuldblodsdalkoncentrationerne af tacrolimus skal overvåges hyppigt med start inden for de første dage efter den samtidige administration. Reducér tacrolimus-dosis efter behov </w:t>
            </w:r>
            <w:r w:rsidRPr="00097420">
              <w:rPr>
                <w:i/>
                <w:sz w:val="24"/>
                <w:szCs w:val="24"/>
              </w:rPr>
              <w:t>[se pkt. 4.2</w:t>
            </w:r>
            <w:r w:rsidRPr="00097420">
              <w:rPr>
                <w:i/>
                <w:iCs/>
                <w:sz w:val="24"/>
                <w:szCs w:val="24"/>
              </w:rPr>
              <w:t>].</w:t>
            </w:r>
          </w:p>
          <w:p w14:paraId="3AE8E99D" w14:textId="77777777" w:rsidR="00C2340B" w:rsidRPr="00097420" w:rsidRDefault="00C2340B" w:rsidP="001157CF">
            <w:pPr>
              <w:ind w:left="32"/>
              <w:rPr>
                <w:sz w:val="24"/>
                <w:szCs w:val="24"/>
              </w:rPr>
            </w:pPr>
            <w:r w:rsidRPr="00097420">
              <w:rPr>
                <w:sz w:val="24"/>
                <w:szCs w:val="24"/>
              </w:rPr>
              <w:t>Nyrefunktionen, EKG mht. QT</w:t>
            </w:r>
            <w:r w:rsidRPr="00097420">
              <w:rPr>
                <w:sz w:val="24"/>
                <w:szCs w:val="24"/>
              </w:rPr>
              <w:noBreakHyphen/>
              <w:t>forlængelse og andre bivirkninger skal overvåges tæt.</w:t>
            </w:r>
          </w:p>
        </w:tc>
      </w:tr>
      <w:tr w:rsidR="00C2340B" w:rsidRPr="00097420" w14:paraId="207A1F83"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69C2B175" w14:textId="77777777" w:rsidR="00C2340B" w:rsidRPr="00097420" w:rsidRDefault="00C2340B" w:rsidP="001157CF">
            <w:pPr>
              <w:ind w:left="32"/>
              <w:rPr>
                <w:sz w:val="24"/>
                <w:szCs w:val="24"/>
              </w:rPr>
            </w:pPr>
            <w:r w:rsidRPr="00097420">
              <w:rPr>
                <w:sz w:val="24"/>
                <w:szCs w:val="24"/>
              </w:rPr>
              <w:t xml:space="preserve">Det er påvist </w:t>
            </w:r>
            <w:r w:rsidRPr="00097420">
              <w:rPr>
                <w:i/>
                <w:sz w:val="24"/>
                <w:szCs w:val="24"/>
              </w:rPr>
              <w:t>in vitro</w:t>
            </w:r>
            <w:r w:rsidRPr="00097420">
              <w:rPr>
                <w:sz w:val="24"/>
                <w:szCs w:val="24"/>
              </w:rPr>
              <w:t>, at de følgende stoffer er potentielle hæmmere af tacrolimus’ metabolisme: bromocriptin, kortison, dapson, ergotamin, gestoden, lidocain, mephenytoin, midazolam, nilvadipin, norethisteron, quinidin, tamoxifen.</w:t>
            </w:r>
          </w:p>
        </w:tc>
        <w:tc>
          <w:tcPr>
            <w:tcW w:w="1616" w:type="pct"/>
            <w:tcBorders>
              <w:top w:val="single" w:sz="4" w:space="0" w:color="auto"/>
              <w:left w:val="single" w:sz="4" w:space="0" w:color="auto"/>
              <w:bottom w:val="single" w:sz="4" w:space="0" w:color="auto"/>
              <w:right w:val="single" w:sz="4" w:space="0" w:color="auto"/>
            </w:tcBorders>
            <w:hideMark/>
          </w:tcPr>
          <w:p w14:paraId="6D1ECF8F" w14:textId="6078EA91" w:rsidR="00C2340B" w:rsidRPr="00097420" w:rsidRDefault="00C2340B" w:rsidP="001157CF">
            <w:pPr>
              <w:ind w:left="32"/>
              <w:rPr>
                <w:sz w:val="24"/>
                <w:szCs w:val="24"/>
              </w:rPr>
            </w:pPr>
            <w:r w:rsidRPr="00097420">
              <w:rPr>
                <w:sz w:val="24"/>
                <w:szCs w:val="24"/>
              </w:rPr>
              <w:t>Kan øge fuldblodsdal</w:t>
            </w:r>
            <w:r w:rsidR="001157CF" w:rsidRPr="00097420">
              <w:rPr>
                <w:sz w:val="24"/>
                <w:szCs w:val="24"/>
              </w:rPr>
              <w:softHyphen/>
            </w:r>
            <w:r w:rsidRPr="00097420">
              <w:rPr>
                <w:sz w:val="24"/>
                <w:szCs w:val="24"/>
              </w:rPr>
              <w:t>koncentrationerne af tacrolimus og øge risikoen for alvorlige bivirkninger (f.eks. neurotoksicitet, QT</w:t>
            </w:r>
            <w:r w:rsidRPr="00097420">
              <w:rPr>
                <w:sz w:val="24"/>
                <w:szCs w:val="24"/>
              </w:rPr>
              <w:noBreakHyphen/>
              <w:t xml:space="preserve">forlængelse) </w:t>
            </w:r>
            <w:r w:rsidRPr="00097420">
              <w:rPr>
                <w:i/>
                <w:iCs/>
                <w:sz w:val="24"/>
                <w:szCs w:val="24"/>
              </w:rPr>
              <w:t>[se pkt. 4.4].</w:t>
            </w:r>
          </w:p>
        </w:tc>
        <w:tc>
          <w:tcPr>
            <w:tcW w:w="1692" w:type="pct"/>
            <w:tcBorders>
              <w:top w:val="single" w:sz="4" w:space="0" w:color="auto"/>
              <w:left w:val="single" w:sz="4" w:space="0" w:color="auto"/>
              <w:bottom w:val="single" w:sz="4" w:space="0" w:color="auto"/>
              <w:right w:val="single" w:sz="4" w:space="0" w:color="auto"/>
            </w:tcBorders>
            <w:hideMark/>
          </w:tcPr>
          <w:p w14:paraId="520D9D08" w14:textId="77777777" w:rsidR="00C2340B" w:rsidRPr="00097420" w:rsidRDefault="00C2340B" w:rsidP="001157CF">
            <w:pPr>
              <w:ind w:left="32"/>
              <w:rPr>
                <w:i/>
                <w:sz w:val="24"/>
                <w:szCs w:val="24"/>
              </w:rPr>
            </w:pPr>
            <w:r w:rsidRPr="00097420">
              <w:rPr>
                <w:sz w:val="24"/>
                <w:szCs w:val="24"/>
              </w:rPr>
              <w:t xml:space="preserve">Fuldblodsdalkoncentrationerne af tacrolimus skal overvåges og tacrolimus-dosis reduceres efter behov </w:t>
            </w:r>
            <w:r w:rsidRPr="00097420">
              <w:rPr>
                <w:i/>
                <w:sz w:val="24"/>
                <w:szCs w:val="24"/>
              </w:rPr>
              <w:t>[se pkt. 4.2</w:t>
            </w:r>
            <w:r w:rsidRPr="00097420">
              <w:rPr>
                <w:i/>
                <w:iCs/>
                <w:sz w:val="24"/>
                <w:szCs w:val="24"/>
              </w:rPr>
              <w:t>].</w:t>
            </w:r>
          </w:p>
          <w:p w14:paraId="6F4E0DF3" w14:textId="77777777" w:rsidR="00C2340B" w:rsidRPr="00097420" w:rsidRDefault="00C2340B" w:rsidP="001157CF">
            <w:pPr>
              <w:ind w:left="32"/>
              <w:rPr>
                <w:sz w:val="24"/>
                <w:szCs w:val="24"/>
              </w:rPr>
            </w:pPr>
            <w:r w:rsidRPr="00097420">
              <w:rPr>
                <w:sz w:val="24"/>
                <w:szCs w:val="24"/>
              </w:rPr>
              <w:t>Nyrefunktionen, EKG mht. QT</w:t>
            </w:r>
            <w:r w:rsidRPr="00097420">
              <w:rPr>
                <w:sz w:val="24"/>
                <w:szCs w:val="24"/>
              </w:rPr>
              <w:noBreakHyphen/>
              <w:t>forlængelse og andre bivirkninger skal overvåges tæt.</w:t>
            </w:r>
          </w:p>
        </w:tc>
      </w:tr>
      <w:tr w:rsidR="00C2340B" w:rsidRPr="00097420" w14:paraId="1152BEE2"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08179E5D" w14:textId="77777777" w:rsidR="00C2340B" w:rsidRPr="00097420" w:rsidRDefault="00C2340B" w:rsidP="001157CF">
            <w:pPr>
              <w:ind w:left="32"/>
              <w:rPr>
                <w:sz w:val="24"/>
                <w:szCs w:val="24"/>
              </w:rPr>
            </w:pPr>
            <w:r w:rsidRPr="00097420">
              <w:rPr>
                <w:sz w:val="24"/>
                <w:szCs w:val="24"/>
              </w:rPr>
              <w:t>Stærke CYP3A4</w:t>
            </w:r>
            <w:r w:rsidRPr="00097420">
              <w:rPr>
                <w:sz w:val="24"/>
                <w:szCs w:val="24"/>
              </w:rPr>
              <w:noBreakHyphen/>
              <w:t>inducere:</w:t>
            </w:r>
          </w:p>
          <w:p w14:paraId="0D230AFD" w14:textId="77777777" w:rsidR="00C2340B" w:rsidRPr="00097420" w:rsidRDefault="00C2340B" w:rsidP="001157CF">
            <w:pPr>
              <w:ind w:left="32"/>
              <w:rPr>
                <w:sz w:val="24"/>
                <w:szCs w:val="24"/>
              </w:rPr>
            </w:pPr>
            <w:r w:rsidRPr="00097420">
              <w:rPr>
                <w:sz w:val="24"/>
                <w:szCs w:val="24"/>
              </w:rPr>
              <w:t>rifampicin, phenytoin, carbamazepin, apalutamid, enzalutamid, mitotan eller perikon (</w:t>
            </w:r>
            <w:r w:rsidRPr="00097420">
              <w:rPr>
                <w:i/>
                <w:sz w:val="24"/>
                <w:szCs w:val="24"/>
              </w:rPr>
              <w:t>Hypericum perforatum</w:t>
            </w:r>
            <w:r w:rsidRPr="00097420">
              <w:rPr>
                <w:sz w:val="24"/>
                <w:szCs w:val="24"/>
              </w:rPr>
              <w:t>)</w:t>
            </w:r>
          </w:p>
        </w:tc>
        <w:tc>
          <w:tcPr>
            <w:tcW w:w="1616" w:type="pct"/>
            <w:tcBorders>
              <w:top w:val="single" w:sz="4" w:space="0" w:color="auto"/>
              <w:left w:val="single" w:sz="4" w:space="0" w:color="auto"/>
              <w:bottom w:val="single" w:sz="4" w:space="0" w:color="auto"/>
              <w:right w:val="single" w:sz="4" w:space="0" w:color="auto"/>
            </w:tcBorders>
            <w:hideMark/>
          </w:tcPr>
          <w:p w14:paraId="14693E0A" w14:textId="19CBA9A0" w:rsidR="00C2340B" w:rsidRPr="00097420" w:rsidRDefault="00C2340B" w:rsidP="001157CF">
            <w:pPr>
              <w:ind w:left="32"/>
              <w:rPr>
                <w:sz w:val="24"/>
                <w:szCs w:val="24"/>
              </w:rPr>
            </w:pPr>
            <w:r w:rsidRPr="00097420">
              <w:rPr>
                <w:sz w:val="24"/>
                <w:szCs w:val="24"/>
              </w:rPr>
              <w:t>Kan reducere fuldblodsdal</w:t>
            </w:r>
            <w:r w:rsidR="001157CF" w:rsidRPr="00097420">
              <w:rPr>
                <w:sz w:val="24"/>
                <w:szCs w:val="24"/>
              </w:rPr>
              <w:softHyphen/>
            </w:r>
            <w:r w:rsidRPr="00097420">
              <w:rPr>
                <w:sz w:val="24"/>
                <w:szCs w:val="24"/>
              </w:rPr>
              <w:t>koncentrationerne af tacrolimus og øge risikoen for afstødning</w:t>
            </w:r>
            <w:r w:rsidRPr="00097420">
              <w:rPr>
                <w:i/>
                <w:iCs/>
                <w:sz w:val="24"/>
                <w:szCs w:val="24"/>
              </w:rPr>
              <w:t xml:space="preserve"> [se pkt. 4.4].</w:t>
            </w:r>
          </w:p>
          <w:p w14:paraId="247DCCF7" w14:textId="77777777" w:rsidR="00C2340B" w:rsidRPr="00097420" w:rsidRDefault="00C2340B" w:rsidP="001157CF">
            <w:pPr>
              <w:ind w:left="32"/>
              <w:rPr>
                <w:sz w:val="24"/>
                <w:szCs w:val="24"/>
              </w:rPr>
            </w:pPr>
            <w:r w:rsidRPr="00097420">
              <w:rPr>
                <w:sz w:val="24"/>
                <w:szCs w:val="24"/>
              </w:rPr>
              <w:t>Den maksimale påvirkning af blodkoncentrationerne af tacrolimus kan opnås 1</w:t>
            </w:r>
            <w:r w:rsidRPr="00097420">
              <w:rPr>
                <w:sz w:val="24"/>
                <w:szCs w:val="24"/>
              </w:rPr>
              <w:noBreakHyphen/>
              <w:t>2 uger efter samtidig administration. Påvirkningen kan vare ved i 1</w:t>
            </w:r>
            <w:r w:rsidRPr="00097420">
              <w:rPr>
                <w:sz w:val="24"/>
                <w:szCs w:val="24"/>
              </w:rPr>
              <w:noBreakHyphen/>
              <w:t>2 uger efter afslutning af behandlingen.</w:t>
            </w:r>
          </w:p>
        </w:tc>
        <w:tc>
          <w:tcPr>
            <w:tcW w:w="1692" w:type="pct"/>
            <w:tcBorders>
              <w:top w:val="single" w:sz="4" w:space="0" w:color="auto"/>
              <w:left w:val="single" w:sz="4" w:space="0" w:color="auto"/>
              <w:bottom w:val="single" w:sz="4" w:space="0" w:color="auto"/>
              <w:right w:val="single" w:sz="4" w:space="0" w:color="auto"/>
            </w:tcBorders>
            <w:hideMark/>
          </w:tcPr>
          <w:p w14:paraId="092CF693" w14:textId="77777777" w:rsidR="00C2340B" w:rsidRPr="00097420" w:rsidRDefault="00C2340B" w:rsidP="001157CF">
            <w:pPr>
              <w:ind w:left="32"/>
              <w:rPr>
                <w:sz w:val="24"/>
                <w:szCs w:val="24"/>
              </w:rPr>
            </w:pPr>
            <w:r w:rsidRPr="00097420">
              <w:rPr>
                <w:sz w:val="24"/>
                <w:szCs w:val="24"/>
              </w:rPr>
              <w:t>Det anbefales at undgå samtidig anvendelse. Hvis det ikke kan undgås, kan patienter kræve en øget tacrolimus-dosis. Ændringer i tacrolimus-dosis skal individualiseres og justeres efter behov på baggrund af tacrolimus-dalkoncentrationerne, som skal vurderes ved initiering, overvåges hyppigt under hele behandlingen (begyndende inden for de første dage) og igen vurderes ved og efter afslutningen af CYP3A4</w:t>
            </w:r>
            <w:r w:rsidRPr="00097420">
              <w:rPr>
                <w:sz w:val="24"/>
                <w:szCs w:val="24"/>
              </w:rPr>
              <w:noBreakHyphen/>
              <w:t>induceren. Når brugen af CYP3A4</w:t>
            </w:r>
            <w:r w:rsidRPr="00097420">
              <w:rPr>
                <w:sz w:val="24"/>
                <w:szCs w:val="24"/>
              </w:rPr>
              <w:noBreakHyphen/>
              <w:t>inducer er afsluttet, kan det være nødvendigt at justere tacrolimus-dosis gradvist.</w:t>
            </w:r>
          </w:p>
          <w:p w14:paraId="1CFC2CE3" w14:textId="77777777" w:rsidR="00C2340B" w:rsidRPr="00097420" w:rsidRDefault="00C2340B" w:rsidP="001157CF">
            <w:pPr>
              <w:ind w:left="32"/>
              <w:rPr>
                <w:sz w:val="24"/>
                <w:szCs w:val="24"/>
              </w:rPr>
            </w:pPr>
            <w:r w:rsidRPr="00097420">
              <w:rPr>
                <w:sz w:val="24"/>
                <w:szCs w:val="24"/>
              </w:rPr>
              <w:t>Transplantatfunktionen skal overvåges tæt.</w:t>
            </w:r>
          </w:p>
        </w:tc>
      </w:tr>
      <w:tr w:rsidR="00C2340B" w:rsidRPr="00097420" w14:paraId="6C31AF75"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2E71A358" w14:textId="77777777" w:rsidR="00C2340B" w:rsidRPr="00097420" w:rsidRDefault="00C2340B" w:rsidP="001157CF">
            <w:pPr>
              <w:ind w:left="32"/>
              <w:rPr>
                <w:sz w:val="24"/>
                <w:szCs w:val="24"/>
              </w:rPr>
            </w:pPr>
            <w:r w:rsidRPr="00097420">
              <w:rPr>
                <w:sz w:val="24"/>
                <w:szCs w:val="24"/>
              </w:rPr>
              <w:t>Moderate CYP3A4</w:t>
            </w:r>
            <w:r w:rsidRPr="00097420">
              <w:rPr>
                <w:sz w:val="24"/>
                <w:szCs w:val="24"/>
              </w:rPr>
              <w:noBreakHyphen/>
              <w:t>inducere:</w:t>
            </w:r>
          </w:p>
          <w:p w14:paraId="58942622" w14:textId="77777777" w:rsidR="00C2340B" w:rsidRPr="00097420" w:rsidRDefault="00C2340B" w:rsidP="001157CF">
            <w:pPr>
              <w:ind w:left="32"/>
              <w:rPr>
                <w:sz w:val="24"/>
                <w:szCs w:val="24"/>
              </w:rPr>
            </w:pPr>
            <w:r w:rsidRPr="00097420">
              <w:rPr>
                <w:sz w:val="24"/>
                <w:szCs w:val="24"/>
              </w:rPr>
              <w:t xml:space="preserve">metamizol, phenobarbital, isoniazid, rifabutin, efavirenz, etravirin, nevirapin; svage </w:t>
            </w:r>
            <w:r w:rsidRPr="00097420">
              <w:rPr>
                <w:bCs/>
                <w:iCs/>
                <w:sz w:val="24"/>
                <w:szCs w:val="24"/>
              </w:rPr>
              <w:t>CYP3A4</w:t>
            </w:r>
            <w:r w:rsidRPr="00097420">
              <w:rPr>
                <w:bCs/>
                <w:iCs/>
                <w:sz w:val="24"/>
                <w:szCs w:val="24"/>
              </w:rPr>
              <w:noBreakHyphen/>
            </w:r>
            <w:r w:rsidRPr="00097420">
              <w:rPr>
                <w:sz w:val="24"/>
                <w:szCs w:val="24"/>
              </w:rPr>
              <w:t>induktorer</w:t>
            </w:r>
            <w:r w:rsidRPr="00097420">
              <w:rPr>
                <w:bCs/>
                <w:iCs/>
                <w:sz w:val="24"/>
                <w:szCs w:val="24"/>
              </w:rPr>
              <w:t>: flucloxacillin</w:t>
            </w:r>
          </w:p>
        </w:tc>
        <w:tc>
          <w:tcPr>
            <w:tcW w:w="1616" w:type="pct"/>
            <w:tcBorders>
              <w:top w:val="single" w:sz="4" w:space="0" w:color="auto"/>
              <w:left w:val="single" w:sz="4" w:space="0" w:color="auto"/>
              <w:bottom w:val="single" w:sz="4" w:space="0" w:color="auto"/>
              <w:right w:val="single" w:sz="4" w:space="0" w:color="auto"/>
            </w:tcBorders>
            <w:hideMark/>
          </w:tcPr>
          <w:p w14:paraId="4687C4E9" w14:textId="353716A6" w:rsidR="00C2340B" w:rsidRPr="00097420" w:rsidRDefault="00C2340B" w:rsidP="001157CF">
            <w:pPr>
              <w:ind w:left="32"/>
              <w:rPr>
                <w:sz w:val="24"/>
                <w:szCs w:val="24"/>
              </w:rPr>
            </w:pPr>
            <w:r w:rsidRPr="00097420">
              <w:rPr>
                <w:sz w:val="24"/>
                <w:szCs w:val="24"/>
              </w:rPr>
              <w:t>Kan reducere fuldblodsdal</w:t>
            </w:r>
            <w:r w:rsidR="001157CF" w:rsidRPr="00097420">
              <w:rPr>
                <w:sz w:val="24"/>
                <w:szCs w:val="24"/>
              </w:rPr>
              <w:softHyphen/>
            </w:r>
            <w:r w:rsidRPr="00097420">
              <w:rPr>
                <w:sz w:val="24"/>
                <w:szCs w:val="24"/>
              </w:rPr>
              <w:t>koncentrationerne af tacrolimus og øge risikoen for afstødning</w:t>
            </w:r>
            <w:r w:rsidRPr="00097420">
              <w:rPr>
                <w:i/>
                <w:iCs/>
                <w:sz w:val="24"/>
                <w:szCs w:val="24"/>
              </w:rPr>
              <w:t xml:space="preserve"> [se pkt. 4.4].</w:t>
            </w:r>
          </w:p>
        </w:tc>
        <w:tc>
          <w:tcPr>
            <w:tcW w:w="1692" w:type="pct"/>
            <w:tcBorders>
              <w:top w:val="single" w:sz="4" w:space="0" w:color="auto"/>
              <w:left w:val="single" w:sz="4" w:space="0" w:color="auto"/>
              <w:bottom w:val="single" w:sz="4" w:space="0" w:color="auto"/>
              <w:right w:val="single" w:sz="4" w:space="0" w:color="auto"/>
            </w:tcBorders>
            <w:hideMark/>
          </w:tcPr>
          <w:p w14:paraId="619A0153" w14:textId="77777777" w:rsidR="00C2340B" w:rsidRPr="00097420" w:rsidRDefault="00C2340B" w:rsidP="001157CF">
            <w:pPr>
              <w:ind w:left="32"/>
              <w:rPr>
                <w:sz w:val="24"/>
                <w:szCs w:val="24"/>
              </w:rPr>
            </w:pPr>
            <w:r w:rsidRPr="00097420">
              <w:rPr>
                <w:sz w:val="24"/>
                <w:szCs w:val="24"/>
              </w:rPr>
              <w:t xml:space="preserve">Fuldblodsdalkoncentrationer af tacrolimus skal overvåges og tacrolimus-dosis øges efter behov </w:t>
            </w:r>
            <w:r w:rsidRPr="00097420">
              <w:rPr>
                <w:i/>
                <w:sz w:val="24"/>
                <w:szCs w:val="24"/>
              </w:rPr>
              <w:t>[se pkt. 4.2</w:t>
            </w:r>
            <w:r w:rsidRPr="00097420">
              <w:rPr>
                <w:i/>
                <w:iCs/>
                <w:sz w:val="24"/>
                <w:szCs w:val="24"/>
              </w:rPr>
              <w:t>].</w:t>
            </w:r>
            <w:r w:rsidRPr="00097420">
              <w:rPr>
                <w:sz w:val="24"/>
                <w:szCs w:val="24"/>
              </w:rPr>
              <w:t xml:space="preserve"> Transplantatfunktionen skal overvåges tæt.</w:t>
            </w:r>
          </w:p>
        </w:tc>
      </w:tr>
      <w:tr w:rsidR="00C2340B" w:rsidRPr="00097420" w14:paraId="791350A6"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49250155" w14:textId="77777777" w:rsidR="00C2340B" w:rsidRPr="00097420" w:rsidRDefault="00C2340B" w:rsidP="001157CF">
            <w:pPr>
              <w:ind w:left="32"/>
              <w:rPr>
                <w:sz w:val="24"/>
                <w:szCs w:val="24"/>
              </w:rPr>
            </w:pPr>
            <w:r w:rsidRPr="00097420">
              <w:rPr>
                <w:sz w:val="24"/>
                <w:szCs w:val="24"/>
              </w:rPr>
              <w:t>Caspofungin</w:t>
            </w:r>
          </w:p>
        </w:tc>
        <w:tc>
          <w:tcPr>
            <w:tcW w:w="1616" w:type="pct"/>
            <w:tcBorders>
              <w:top w:val="single" w:sz="4" w:space="0" w:color="auto"/>
              <w:left w:val="single" w:sz="4" w:space="0" w:color="auto"/>
              <w:bottom w:val="single" w:sz="4" w:space="0" w:color="auto"/>
              <w:right w:val="single" w:sz="4" w:space="0" w:color="auto"/>
            </w:tcBorders>
            <w:hideMark/>
          </w:tcPr>
          <w:p w14:paraId="2BB0EE06" w14:textId="6C8E2FE2" w:rsidR="00C2340B" w:rsidRPr="00097420" w:rsidRDefault="00C2340B" w:rsidP="001157CF">
            <w:pPr>
              <w:ind w:left="32"/>
              <w:rPr>
                <w:sz w:val="24"/>
                <w:szCs w:val="24"/>
              </w:rPr>
            </w:pPr>
            <w:r w:rsidRPr="00097420">
              <w:rPr>
                <w:sz w:val="24"/>
                <w:szCs w:val="24"/>
              </w:rPr>
              <w:t>Kan reducere fuldblodsdal</w:t>
            </w:r>
            <w:r w:rsidR="001157CF" w:rsidRPr="00097420">
              <w:rPr>
                <w:sz w:val="24"/>
                <w:szCs w:val="24"/>
              </w:rPr>
              <w:softHyphen/>
            </w:r>
            <w:r w:rsidRPr="00097420">
              <w:rPr>
                <w:sz w:val="24"/>
                <w:szCs w:val="24"/>
              </w:rPr>
              <w:t xml:space="preserve">koncentrationerne af tacrolimus og øge risikoen for </w:t>
            </w:r>
            <w:r w:rsidRPr="00097420">
              <w:rPr>
                <w:sz w:val="24"/>
                <w:szCs w:val="24"/>
              </w:rPr>
              <w:lastRenderedPageBreak/>
              <w:t>afstødning. Interaktions</w:t>
            </w:r>
            <w:r w:rsidR="001157CF" w:rsidRPr="00097420">
              <w:rPr>
                <w:sz w:val="24"/>
                <w:szCs w:val="24"/>
              </w:rPr>
              <w:softHyphen/>
            </w:r>
            <w:r w:rsidRPr="00097420">
              <w:rPr>
                <w:sz w:val="24"/>
                <w:szCs w:val="24"/>
              </w:rPr>
              <w:t>mekanismen er ikke fastlagt.</w:t>
            </w:r>
          </w:p>
        </w:tc>
        <w:tc>
          <w:tcPr>
            <w:tcW w:w="1692" w:type="pct"/>
            <w:tcBorders>
              <w:top w:val="single" w:sz="4" w:space="0" w:color="auto"/>
              <w:left w:val="single" w:sz="4" w:space="0" w:color="auto"/>
              <w:bottom w:val="single" w:sz="4" w:space="0" w:color="auto"/>
              <w:right w:val="single" w:sz="4" w:space="0" w:color="auto"/>
            </w:tcBorders>
            <w:hideMark/>
          </w:tcPr>
          <w:p w14:paraId="3DA83558" w14:textId="77777777" w:rsidR="00C2340B" w:rsidRPr="00097420" w:rsidRDefault="00C2340B" w:rsidP="001157CF">
            <w:pPr>
              <w:ind w:left="32"/>
              <w:rPr>
                <w:sz w:val="24"/>
                <w:szCs w:val="24"/>
              </w:rPr>
            </w:pPr>
            <w:r w:rsidRPr="00097420">
              <w:rPr>
                <w:sz w:val="24"/>
                <w:szCs w:val="24"/>
              </w:rPr>
              <w:lastRenderedPageBreak/>
              <w:t xml:space="preserve">Fuldblodsdalkoncentrationer af tacrolimus skal overvåges, og tacrolimus-dosis øges efter behov </w:t>
            </w:r>
            <w:r w:rsidRPr="00097420">
              <w:rPr>
                <w:i/>
                <w:sz w:val="24"/>
                <w:szCs w:val="24"/>
              </w:rPr>
              <w:t>[se pkt. 4.2</w:t>
            </w:r>
            <w:r w:rsidRPr="00097420">
              <w:rPr>
                <w:i/>
                <w:iCs/>
                <w:sz w:val="24"/>
                <w:szCs w:val="24"/>
              </w:rPr>
              <w:t xml:space="preserve">]. </w:t>
            </w:r>
            <w:r w:rsidRPr="00097420">
              <w:rPr>
                <w:sz w:val="24"/>
                <w:szCs w:val="24"/>
              </w:rPr>
              <w:lastRenderedPageBreak/>
              <w:t>Transplantatfunktionen skal overvåges tæt.</w:t>
            </w:r>
          </w:p>
        </w:tc>
      </w:tr>
      <w:tr w:rsidR="00C2340B" w:rsidRPr="00097420" w14:paraId="6A922958"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7509EEC8" w14:textId="77777777" w:rsidR="00C2340B" w:rsidRPr="00097420" w:rsidRDefault="00C2340B" w:rsidP="001157CF">
            <w:pPr>
              <w:ind w:left="32"/>
              <w:rPr>
                <w:sz w:val="24"/>
                <w:szCs w:val="24"/>
              </w:rPr>
            </w:pPr>
            <w:r w:rsidRPr="00097420">
              <w:rPr>
                <w:sz w:val="24"/>
                <w:szCs w:val="24"/>
              </w:rPr>
              <w:lastRenderedPageBreak/>
              <w:t>Cannabidiol (Pgp-hæmmer)</w:t>
            </w:r>
          </w:p>
        </w:tc>
        <w:tc>
          <w:tcPr>
            <w:tcW w:w="1616" w:type="pct"/>
            <w:tcBorders>
              <w:top w:val="single" w:sz="4" w:space="0" w:color="auto"/>
              <w:left w:val="single" w:sz="4" w:space="0" w:color="auto"/>
              <w:bottom w:val="single" w:sz="4" w:space="0" w:color="auto"/>
              <w:right w:val="single" w:sz="4" w:space="0" w:color="auto"/>
            </w:tcBorders>
            <w:hideMark/>
          </w:tcPr>
          <w:p w14:paraId="191A5FE0" w14:textId="77777777" w:rsidR="00C2340B" w:rsidRPr="00097420" w:rsidRDefault="00C2340B" w:rsidP="001157CF">
            <w:pPr>
              <w:ind w:left="32"/>
              <w:rPr>
                <w:sz w:val="24"/>
                <w:szCs w:val="24"/>
              </w:rPr>
            </w:pPr>
            <w:r w:rsidRPr="00097420">
              <w:rPr>
                <w:sz w:val="24"/>
                <w:szCs w:val="24"/>
              </w:rPr>
              <w:t>Ved samtidig anvendelse af tacrolimus med cannabidiol er der rapporteret om forhøjet indhold af tacrolimus i blodet. Dette kan skyldes øget biotilgængelighed af tacrolimus som følge af hæmning af det intestinale P</w:t>
            </w:r>
            <w:r w:rsidRPr="00097420">
              <w:rPr>
                <w:sz w:val="24"/>
                <w:szCs w:val="24"/>
              </w:rPr>
              <w:noBreakHyphen/>
              <w:t>glykoprotein.</w:t>
            </w:r>
          </w:p>
        </w:tc>
        <w:tc>
          <w:tcPr>
            <w:tcW w:w="1692" w:type="pct"/>
            <w:tcBorders>
              <w:top w:val="single" w:sz="4" w:space="0" w:color="auto"/>
              <w:left w:val="single" w:sz="4" w:space="0" w:color="auto"/>
              <w:bottom w:val="single" w:sz="4" w:space="0" w:color="auto"/>
              <w:right w:val="single" w:sz="4" w:space="0" w:color="auto"/>
            </w:tcBorders>
            <w:hideMark/>
          </w:tcPr>
          <w:p w14:paraId="23DCD989" w14:textId="77777777" w:rsidR="00C2340B" w:rsidRPr="00097420" w:rsidRDefault="00C2340B" w:rsidP="001157CF">
            <w:pPr>
              <w:ind w:left="32"/>
              <w:rPr>
                <w:sz w:val="24"/>
                <w:szCs w:val="24"/>
              </w:rPr>
            </w:pPr>
            <w:r w:rsidRPr="00097420">
              <w:rPr>
                <w:sz w:val="24"/>
                <w:szCs w:val="24"/>
              </w:rPr>
              <w:t xml:space="preserve">Ved samtidig administration af tacrolimus og cannabidiol bør der udvises forsigtighed, og bivirkningerne bør overvåges nøje. Overvåg fuldblodsdalkoncentrationerne af tacrolimus, og juster om nødvendigt dosen af tacrolimus </w:t>
            </w:r>
            <w:r w:rsidRPr="00097420">
              <w:rPr>
                <w:i/>
                <w:sz w:val="24"/>
                <w:szCs w:val="24"/>
              </w:rPr>
              <w:t>[</w:t>
            </w:r>
            <w:r w:rsidRPr="00097420">
              <w:rPr>
                <w:i/>
                <w:iCs/>
                <w:sz w:val="24"/>
                <w:szCs w:val="24"/>
              </w:rPr>
              <w:t>se pkt. 4.2 og 4.4]</w:t>
            </w:r>
            <w:r w:rsidRPr="00097420">
              <w:rPr>
                <w:sz w:val="24"/>
                <w:szCs w:val="24"/>
              </w:rPr>
              <w:t>.</w:t>
            </w:r>
          </w:p>
        </w:tc>
      </w:tr>
      <w:tr w:rsidR="00C2340B" w:rsidRPr="00097420" w14:paraId="21F6BFC0"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0449073D" w14:textId="77777777" w:rsidR="00C2340B" w:rsidRPr="00097420" w:rsidRDefault="00C2340B" w:rsidP="001157CF">
            <w:pPr>
              <w:ind w:left="32"/>
              <w:rPr>
                <w:i/>
                <w:sz w:val="24"/>
                <w:szCs w:val="24"/>
              </w:rPr>
            </w:pPr>
            <w:r w:rsidRPr="00097420">
              <w:rPr>
                <w:sz w:val="24"/>
                <w:szCs w:val="24"/>
              </w:rPr>
              <w:t>Lægemidler med kendt høj affinitet for plasmaproteiner, f.eks.: NSAID, orale antikoagulantia, orale antidiabetika</w:t>
            </w:r>
          </w:p>
        </w:tc>
        <w:tc>
          <w:tcPr>
            <w:tcW w:w="1616" w:type="pct"/>
            <w:tcBorders>
              <w:top w:val="single" w:sz="4" w:space="0" w:color="auto"/>
              <w:left w:val="single" w:sz="4" w:space="0" w:color="auto"/>
              <w:bottom w:val="single" w:sz="4" w:space="0" w:color="auto"/>
              <w:right w:val="single" w:sz="4" w:space="0" w:color="auto"/>
            </w:tcBorders>
            <w:hideMark/>
          </w:tcPr>
          <w:p w14:paraId="00A762B7" w14:textId="77777777" w:rsidR="00C2340B" w:rsidRPr="00097420" w:rsidRDefault="00C2340B" w:rsidP="001157CF">
            <w:pPr>
              <w:ind w:left="32"/>
              <w:rPr>
                <w:sz w:val="24"/>
                <w:szCs w:val="24"/>
              </w:rPr>
            </w:pPr>
            <w:r w:rsidRPr="00097420">
              <w:rPr>
                <w:sz w:val="24"/>
                <w:szCs w:val="24"/>
              </w:rPr>
              <w:t>Tacrolimus er i høj grad bundet til plasmaproteiner. Mulige interaktioner med andre aktive stoffer med kendt høj affinitet for plasmaproteiner skal tages i betragtning.</w:t>
            </w:r>
          </w:p>
        </w:tc>
        <w:tc>
          <w:tcPr>
            <w:tcW w:w="1692" w:type="pct"/>
            <w:tcBorders>
              <w:top w:val="single" w:sz="4" w:space="0" w:color="auto"/>
              <w:left w:val="single" w:sz="4" w:space="0" w:color="auto"/>
              <w:bottom w:val="single" w:sz="4" w:space="0" w:color="auto"/>
              <w:right w:val="single" w:sz="4" w:space="0" w:color="auto"/>
            </w:tcBorders>
            <w:hideMark/>
          </w:tcPr>
          <w:p w14:paraId="3082B8C2" w14:textId="77777777" w:rsidR="00C2340B" w:rsidRPr="00097420" w:rsidRDefault="00C2340B" w:rsidP="001157CF">
            <w:pPr>
              <w:ind w:left="32"/>
              <w:rPr>
                <w:i/>
                <w:sz w:val="24"/>
                <w:szCs w:val="24"/>
              </w:rPr>
            </w:pPr>
            <w:r w:rsidRPr="00097420">
              <w:rPr>
                <w:sz w:val="24"/>
                <w:szCs w:val="24"/>
              </w:rPr>
              <w:t xml:space="preserve">Fuldblodsdalkoncentrationerne af tacrolimus skal overvåges og tacrolimus-dosis justeres efter behov </w:t>
            </w:r>
            <w:r w:rsidRPr="00097420">
              <w:rPr>
                <w:i/>
                <w:sz w:val="24"/>
                <w:szCs w:val="24"/>
              </w:rPr>
              <w:t>[se pkt. 4.2</w:t>
            </w:r>
            <w:r w:rsidRPr="00097420">
              <w:rPr>
                <w:i/>
                <w:iCs/>
                <w:sz w:val="24"/>
                <w:szCs w:val="24"/>
              </w:rPr>
              <w:t>].</w:t>
            </w:r>
          </w:p>
        </w:tc>
      </w:tr>
      <w:tr w:rsidR="00C2340B" w:rsidRPr="00097420" w14:paraId="1455F18F"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1226DC7E" w14:textId="77777777" w:rsidR="00C2340B" w:rsidRPr="00097420" w:rsidRDefault="00C2340B" w:rsidP="001157CF">
            <w:pPr>
              <w:ind w:left="32"/>
              <w:rPr>
                <w:i/>
                <w:sz w:val="24"/>
                <w:szCs w:val="24"/>
              </w:rPr>
            </w:pPr>
            <w:r w:rsidRPr="00097420">
              <w:rPr>
                <w:sz w:val="24"/>
                <w:szCs w:val="24"/>
              </w:rPr>
              <w:t>Prokinetiske midler: metoclopramid, cimetidin og magnesium</w:t>
            </w:r>
            <w:r w:rsidRPr="00097420">
              <w:rPr>
                <w:sz w:val="24"/>
                <w:szCs w:val="24"/>
              </w:rPr>
              <w:noBreakHyphen/>
              <w:t>aluminium-hydroxid</w:t>
            </w:r>
          </w:p>
        </w:tc>
        <w:tc>
          <w:tcPr>
            <w:tcW w:w="1616" w:type="pct"/>
            <w:tcBorders>
              <w:top w:val="single" w:sz="4" w:space="0" w:color="auto"/>
              <w:left w:val="single" w:sz="4" w:space="0" w:color="auto"/>
              <w:bottom w:val="single" w:sz="4" w:space="0" w:color="auto"/>
              <w:right w:val="single" w:sz="4" w:space="0" w:color="auto"/>
            </w:tcBorders>
            <w:hideMark/>
          </w:tcPr>
          <w:p w14:paraId="77E57E49" w14:textId="25CFD38F" w:rsidR="00C2340B" w:rsidRPr="00097420" w:rsidRDefault="00C2340B" w:rsidP="001157CF">
            <w:pPr>
              <w:ind w:left="32"/>
              <w:rPr>
                <w:sz w:val="24"/>
                <w:szCs w:val="24"/>
              </w:rPr>
            </w:pPr>
            <w:r w:rsidRPr="00097420">
              <w:rPr>
                <w:sz w:val="24"/>
                <w:szCs w:val="24"/>
              </w:rPr>
              <w:t>Kan øge fuldblodsdal</w:t>
            </w:r>
            <w:r w:rsidR="001157CF" w:rsidRPr="00097420">
              <w:rPr>
                <w:sz w:val="24"/>
                <w:szCs w:val="24"/>
              </w:rPr>
              <w:softHyphen/>
            </w:r>
            <w:r w:rsidRPr="00097420">
              <w:rPr>
                <w:sz w:val="24"/>
                <w:szCs w:val="24"/>
              </w:rPr>
              <w:t>koncentrationerne af tacrolimus og øge risikoen for alvorlige bivirkninger (f.eks. neurotoksicitet, QT</w:t>
            </w:r>
            <w:r w:rsidRPr="00097420">
              <w:rPr>
                <w:sz w:val="24"/>
                <w:szCs w:val="24"/>
              </w:rPr>
              <w:noBreakHyphen/>
              <w:t>forlængelse).</w:t>
            </w:r>
          </w:p>
        </w:tc>
        <w:tc>
          <w:tcPr>
            <w:tcW w:w="1692" w:type="pct"/>
            <w:tcBorders>
              <w:top w:val="single" w:sz="4" w:space="0" w:color="auto"/>
              <w:left w:val="single" w:sz="4" w:space="0" w:color="auto"/>
              <w:bottom w:val="single" w:sz="4" w:space="0" w:color="auto"/>
              <w:right w:val="single" w:sz="4" w:space="0" w:color="auto"/>
            </w:tcBorders>
            <w:hideMark/>
          </w:tcPr>
          <w:p w14:paraId="3A2ABB08" w14:textId="77777777" w:rsidR="00C2340B" w:rsidRPr="00097420" w:rsidRDefault="00C2340B" w:rsidP="001157CF">
            <w:pPr>
              <w:ind w:left="32"/>
              <w:rPr>
                <w:i/>
                <w:sz w:val="24"/>
                <w:szCs w:val="24"/>
              </w:rPr>
            </w:pPr>
            <w:r w:rsidRPr="00097420">
              <w:rPr>
                <w:sz w:val="24"/>
                <w:szCs w:val="24"/>
              </w:rPr>
              <w:t xml:space="preserve">Fuldblodsdalkoncentrationerne af tacrolimus skal overvåges og tacrolimus-dosis reduceres efter behov </w:t>
            </w:r>
            <w:r w:rsidRPr="00097420">
              <w:rPr>
                <w:i/>
                <w:sz w:val="24"/>
                <w:szCs w:val="24"/>
              </w:rPr>
              <w:t>[se pkt. 4.2</w:t>
            </w:r>
            <w:r w:rsidRPr="00097420">
              <w:rPr>
                <w:i/>
                <w:iCs/>
                <w:sz w:val="24"/>
                <w:szCs w:val="24"/>
              </w:rPr>
              <w:t>].</w:t>
            </w:r>
            <w:r w:rsidRPr="00097420">
              <w:rPr>
                <w:i/>
                <w:sz w:val="24"/>
                <w:szCs w:val="24"/>
              </w:rPr>
              <w:t xml:space="preserve"> </w:t>
            </w:r>
            <w:r w:rsidRPr="00097420">
              <w:rPr>
                <w:sz w:val="24"/>
                <w:szCs w:val="24"/>
              </w:rPr>
              <w:t>Nyrefunktionen skal overvåges tæt, og der skal overvåges for QT</w:t>
            </w:r>
            <w:r w:rsidRPr="00097420">
              <w:rPr>
                <w:sz w:val="24"/>
                <w:szCs w:val="24"/>
              </w:rPr>
              <w:noBreakHyphen/>
              <w:t>forlængelse med EKG og for andre bivirkninger.</w:t>
            </w:r>
          </w:p>
        </w:tc>
      </w:tr>
      <w:tr w:rsidR="00C2340B" w:rsidRPr="00097420" w14:paraId="0CBE4474"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4020B1A6" w14:textId="77777777" w:rsidR="00C2340B" w:rsidRPr="00097420" w:rsidRDefault="00C2340B" w:rsidP="001157CF">
            <w:pPr>
              <w:ind w:left="32"/>
              <w:rPr>
                <w:sz w:val="24"/>
                <w:szCs w:val="24"/>
              </w:rPr>
            </w:pPr>
            <w:r w:rsidRPr="00097420">
              <w:rPr>
                <w:sz w:val="24"/>
                <w:szCs w:val="24"/>
              </w:rPr>
              <w:t>Vedligeholdelsesdoser af kortikosteroider</w:t>
            </w:r>
          </w:p>
        </w:tc>
        <w:tc>
          <w:tcPr>
            <w:tcW w:w="1616" w:type="pct"/>
            <w:tcBorders>
              <w:top w:val="single" w:sz="4" w:space="0" w:color="auto"/>
              <w:left w:val="single" w:sz="4" w:space="0" w:color="auto"/>
              <w:bottom w:val="single" w:sz="4" w:space="0" w:color="auto"/>
              <w:right w:val="single" w:sz="4" w:space="0" w:color="auto"/>
            </w:tcBorders>
            <w:hideMark/>
          </w:tcPr>
          <w:p w14:paraId="414BF7B5" w14:textId="30F3E280" w:rsidR="00C2340B" w:rsidRPr="00097420" w:rsidRDefault="00C2340B" w:rsidP="001157CF">
            <w:pPr>
              <w:ind w:left="32"/>
              <w:rPr>
                <w:sz w:val="24"/>
                <w:szCs w:val="24"/>
              </w:rPr>
            </w:pPr>
            <w:r w:rsidRPr="00097420">
              <w:rPr>
                <w:sz w:val="24"/>
                <w:szCs w:val="24"/>
              </w:rPr>
              <w:t>Kan reducere fuldblodsdal</w:t>
            </w:r>
            <w:r w:rsidR="001157CF" w:rsidRPr="00097420">
              <w:rPr>
                <w:sz w:val="24"/>
                <w:szCs w:val="24"/>
              </w:rPr>
              <w:softHyphen/>
            </w:r>
            <w:r w:rsidRPr="00097420">
              <w:rPr>
                <w:sz w:val="24"/>
                <w:szCs w:val="24"/>
              </w:rPr>
              <w:t>koncentrationerne af tacrolimus og øge risikoen for afstødning</w:t>
            </w:r>
            <w:r w:rsidRPr="00097420">
              <w:rPr>
                <w:i/>
                <w:iCs/>
                <w:sz w:val="24"/>
                <w:szCs w:val="24"/>
              </w:rPr>
              <w:t xml:space="preserve"> [se pkt. 4.4].</w:t>
            </w:r>
          </w:p>
        </w:tc>
        <w:tc>
          <w:tcPr>
            <w:tcW w:w="1692" w:type="pct"/>
            <w:tcBorders>
              <w:top w:val="single" w:sz="4" w:space="0" w:color="auto"/>
              <w:left w:val="single" w:sz="4" w:space="0" w:color="auto"/>
              <w:bottom w:val="single" w:sz="4" w:space="0" w:color="auto"/>
              <w:right w:val="single" w:sz="4" w:space="0" w:color="auto"/>
            </w:tcBorders>
            <w:hideMark/>
          </w:tcPr>
          <w:p w14:paraId="1A6AC2C2" w14:textId="77777777" w:rsidR="00C2340B" w:rsidRPr="00097420" w:rsidRDefault="00C2340B" w:rsidP="001157CF">
            <w:pPr>
              <w:ind w:left="32"/>
              <w:rPr>
                <w:sz w:val="24"/>
                <w:szCs w:val="24"/>
              </w:rPr>
            </w:pPr>
            <w:r w:rsidRPr="00097420">
              <w:rPr>
                <w:sz w:val="24"/>
                <w:szCs w:val="24"/>
              </w:rPr>
              <w:t xml:space="preserve">Fuldblodsdalkoncentrationer af tacrolimus skal overvåges og tacrolimus-dosis øges efter behov </w:t>
            </w:r>
            <w:r w:rsidRPr="00097420">
              <w:rPr>
                <w:i/>
                <w:sz w:val="24"/>
                <w:szCs w:val="24"/>
              </w:rPr>
              <w:t>[se pkt. 4.2</w:t>
            </w:r>
            <w:r w:rsidRPr="00097420">
              <w:rPr>
                <w:i/>
                <w:iCs/>
                <w:sz w:val="24"/>
                <w:szCs w:val="24"/>
              </w:rPr>
              <w:t>].</w:t>
            </w:r>
            <w:r w:rsidRPr="00097420">
              <w:rPr>
                <w:sz w:val="24"/>
                <w:szCs w:val="24"/>
              </w:rPr>
              <w:t xml:space="preserve"> Transplantatfunktionen skal overvåges tæt.</w:t>
            </w:r>
          </w:p>
        </w:tc>
      </w:tr>
      <w:tr w:rsidR="00C2340B" w:rsidRPr="00097420" w14:paraId="79970AE8"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7A54BD8D" w14:textId="77777777" w:rsidR="00C2340B" w:rsidRPr="00097420" w:rsidRDefault="00C2340B" w:rsidP="001157CF">
            <w:pPr>
              <w:ind w:left="32"/>
              <w:rPr>
                <w:i/>
                <w:sz w:val="24"/>
                <w:szCs w:val="24"/>
              </w:rPr>
            </w:pPr>
            <w:r w:rsidRPr="00097420">
              <w:rPr>
                <w:sz w:val="24"/>
                <w:szCs w:val="24"/>
              </w:rPr>
              <w:t>Høj dosis af prednisolon eller methylprednisolon</w:t>
            </w:r>
          </w:p>
        </w:tc>
        <w:tc>
          <w:tcPr>
            <w:tcW w:w="1616" w:type="pct"/>
            <w:tcBorders>
              <w:top w:val="single" w:sz="4" w:space="0" w:color="auto"/>
              <w:left w:val="single" w:sz="4" w:space="0" w:color="auto"/>
              <w:bottom w:val="single" w:sz="4" w:space="0" w:color="auto"/>
              <w:right w:val="single" w:sz="4" w:space="0" w:color="auto"/>
            </w:tcBorders>
            <w:hideMark/>
          </w:tcPr>
          <w:p w14:paraId="1FF8B8E5" w14:textId="77777777" w:rsidR="00C2340B" w:rsidRPr="00097420" w:rsidRDefault="00C2340B" w:rsidP="001157CF">
            <w:pPr>
              <w:ind w:left="32"/>
              <w:rPr>
                <w:sz w:val="24"/>
                <w:szCs w:val="24"/>
              </w:rPr>
            </w:pPr>
            <w:r w:rsidRPr="00097420">
              <w:rPr>
                <w:sz w:val="24"/>
                <w:szCs w:val="24"/>
              </w:rPr>
              <w:t>Kan påvirke blodkoncentrationen af tacrolimus (stigning eller fald) ved administration til behandling af akut afstødning.</w:t>
            </w:r>
          </w:p>
        </w:tc>
        <w:tc>
          <w:tcPr>
            <w:tcW w:w="1692" w:type="pct"/>
            <w:tcBorders>
              <w:top w:val="single" w:sz="4" w:space="0" w:color="auto"/>
              <w:left w:val="single" w:sz="4" w:space="0" w:color="auto"/>
              <w:bottom w:val="single" w:sz="4" w:space="0" w:color="auto"/>
              <w:right w:val="single" w:sz="4" w:space="0" w:color="auto"/>
            </w:tcBorders>
            <w:hideMark/>
          </w:tcPr>
          <w:p w14:paraId="23D9E79C" w14:textId="77777777" w:rsidR="00C2340B" w:rsidRPr="00097420" w:rsidRDefault="00C2340B" w:rsidP="001157CF">
            <w:pPr>
              <w:ind w:left="32"/>
              <w:rPr>
                <w:sz w:val="24"/>
                <w:szCs w:val="24"/>
              </w:rPr>
            </w:pPr>
            <w:r w:rsidRPr="00097420">
              <w:rPr>
                <w:sz w:val="24"/>
                <w:szCs w:val="24"/>
              </w:rPr>
              <w:t>Fuldblodsdalkoncentrationerne af tacrolimus skal overvåges og tacrolimus-dosis justeres efter behov.</w:t>
            </w:r>
          </w:p>
        </w:tc>
      </w:tr>
      <w:tr w:rsidR="00C2340B" w:rsidRPr="00097420" w14:paraId="4D5D6BB3" w14:textId="77777777" w:rsidTr="001157CF">
        <w:tc>
          <w:tcPr>
            <w:tcW w:w="1692" w:type="pct"/>
            <w:tcBorders>
              <w:top w:val="single" w:sz="4" w:space="0" w:color="auto"/>
              <w:left w:val="single" w:sz="4" w:space="0" w:color="auto"/>
              <w:bottom w:val="single" w:sz="4" w:space="0" w:color="auto"/>
              <w:right w:val="single" w:sz="4" w:space="0" w:color="auto"/>
            </w:tcBorders>
            <w:hideMark/>
          </w:tcPr>
          <w:p w14:paraId="328A722C" w14:textId="77777777" w:rsidR="00C2340B" w:rsidRPr="00097420" w:rsidRDefault="00C2340B" w:rsidP="001157CF">
            <w:pPr>
              <w:ind w:left="32"/>
              <w:rPr>
                <w:sz w:val="24"/>
                <w:szCs w:val="24"/>
              </w:rPr>
            </w:pPr>
            <w:r w:rsidRPr="00097420">
              <w:rPr>
                <w:sz w:val="24"/>
                <w:szCs w:val="24"/>
              </w:rPr>
              <w:t>Direkte virkende antiviral (DAA)</w:t>
            </w:r>
            <w:r w:rsidRPr="00097420">
              <w:rPr>
                <w:sz w:val="24"/>
                <w:szCs w:val="24"/>
              </w:rPr>
              <w:noBreakHyphen/>
              <w:t xml:space="preserve">behandling </w:t>
            </w:r>
          </w:p>
        </w:tc>
        <w:tc>
          <w:tcPr>
            <w:tcW w:w="1616" w:type="pct"/>
            <w:tcBorders>
              <w:top w:val="single" w:sz="4" w:space="0" w:color="auto"/>
              <w:left w:val="single" w:sz="4" w:space="0" w:color="auto"/>
              <w:bottom w:val="single" w:sz="4" w:space="0" w:color="auto"/>
              <w:right w:val="single" w:sz="4" w:space="0" w:color="auto"/>
            </w:tcBorders>
            <w:hideMark/>
          </w:tcPr>
          <w:p w14:paraId="044AE09F" w14:textId="77777777" w:rsidR="00C2340B" w:rsidRPr="00097420" w:rsidRDefault="00C2340B" w:rsidP="001157CF">
            <w:pPr>
              <w:ind w:left="32"/>
              <w:rPr>
                <w:sz w:val="24"/>
                <w:szCs w:val="24"/>
              </w:rPr>
            </w:pPr>
            <w:r w:rsidRPr="00097420">
              <w:rPr>
                <w:sz w:val="24"/>
                <w:szCs w:val="24"/>
              </w:rPr>
              <w:t>Kan påvirke tacrolimus’ farmakokinetik via ændringer i leverfunktionen under DAA</w:t>
            </w:r>
            <w:r w:rsidRPr="00097420">
              <w:rPr>
                <w:sz w:val="24"/>
                <w:szCs w:val="24"/>
              </w:rPr>
              <w:noBreakHyphen/>
              <w:t>behandling, hvilket er relateret til clearance af hepatitisvirus. Der kan forekomme et fald i tacrolimus-blodkoncentrationen.</w:t>
            </w:r>
          </w:p>
          <w:p w14:paraId="4797F70C" w14:textId="77777777" w:rsidR="00C2340B" w:rsidRPr="00097420" w:rsidRDefault="00C2340B" w:rsidP="001157CF">
            <w:pPr>
              <w:ind w:left="32"/>
              <w:rPr>
                <w:sz w:val="24"/>
                <w:szCs w:val="24"/>
              </w:rPr>
            </w:pPr>
            <w:r w:rsidRPr="00097420">
              <w:rPr>
                <w:sz w:val="24"/>
                <w:szCs w:val="24"/>
              </w:rPr>
              <w:lastRenderedPageBreak/>
              <w:t>Det CYP3A4</w:t>
            </w:r>
            <w:r w:rsidRPr="00097420">
              <w:rPr>
                <w:sz w:val="24"/>
                <w:szCs w:val="24"/>
              </w:rPr>
              <w:noBreakHyphen/>
              <w:t>hæmmende potentiale af nogle DAA’er kan imidlertid modvirke denne effekt eller føre til øget blodkoncentration af tacrolimus.</w:t>
            </w:r>
          </w:p>
        </w:tc>
        <w:tc>
          <w:tcPr>
            <w:tcW w:w="1692" w:type="pct"/>
            <w:tcBorders>
              <w:top w:val="single" w:sz="4" w:space="0" w:color="auto"/>
              <w:left w:val="single" w:sz="4" w:space="0" w:color="auto"/>
              <w:bottom w:val="single" w:sz="4" w:space="0" w:color="auto"/>
              <w:right w:val="single" w:sz="4" w:space="0" w:color="auto"/>
            </w:tcBorders>
            <w:hideMark/>
          </w:tcPr>
          <w:p w14:paraId="2BED658C" w14:textId="77777777" w:rsidR="00C2340B" w:rsidRPr="00097420" w:rsidRDefault="00C2340B" w:rsidP="001157CF">
            <w:pPr>
              <w:ind w:left="32"/>
              <w:rPr>
                <w:sz w:val="24"/>
                <w:szCs w:val="24"/>
              </w:rPr>
            </w:pPr>
            <w:r w:rsidRPr="00097420">
              <w:rPr>
                <w:sz w:val="24"/>
                <w:szCs w:val="24"/>
              </w:rPr>
              <w:lastRenderedPageBreak/>
              <w:t>Fuldblodsdalkoncentrationerne af tacrolimus skal overvåges og tacrolimus-dosis justeres efter behov for at sikre fortsat virkning og sikkerhed.</w:t>
            </w:r>
          </w:p>
        </w:tc>
      </w:tr>
    </w:tbl>
    <w:p w14:paraId="13F98294" w14:textId="77777777" w:rsidR="00C2340B" w:rsidRPr="00C2340B" w:rsidRDefault="00C2340B" w:rsidP="00A44660">
      <w:pPr>
        <w:ind w:left="851"/>
        <w:rPr>
          <w:sz w:val="24"/>
          <w:szCs w:val="24"/>
          <w:u w:val="single"/>
        </w:rPr>
      </w:pPr>
    </w:p>
    <w:p w14:paraId="6613255B" w14:textId="77777777" w:rsidR="00C2340B" w:rsidRPr="00C2340B" w:rsidRDefault="00C2340B" w:rsidP="00A44660">
      <w:pPr>
        <w:ind w:left="851"/>
        <w:rPr>
          <w:sz w:val="24"/>
          <w:szCs w:val="24"/>
        </w:rPr>
      </w:pPr>
      <w:r w:rsidRPr="00C2340B">
        <w:rPr>
          <w:sz w:val="24"/>
          <w:szCs w:val="24"/>
        </w:rPr>
        <w:t>Samtidig administration af tacrolimus og mTOR-hæmmere (f.eks. sirolimus og everolimus) kan øge risikoen for trombotisk mikroangiopati (herunder hæmolytisk uræmisk syndrom og trombotisk trombocytopenisk purpura) (se pkt. 4.4).</w:t>
      </w:r>
    </w:p>
    <w:p w14:paraId="078CF9BD" w14:textId="77777777" w:rsidR="00C2340B" w:rsidRPr="00C2340B" w:rsidRDefault="00C2340B" w:rsidP="00A44660">
      <w:pPr>
        <w:ind w:left="851"/>
        <w:rPr>
          <w:sz w:val="24"/>
          <w:szCs w:val="24"/>
          <w:u w:val="single"/>
        </w:rPr>
      </w:pPr>
    </w:p>
    <w:p w14:paraId="46558DCB" w14:textId="77777777" w:rsidR="00C2340B" w:rsidRPr="00C2340B" w:rsidRDefault="00C2340B" w:rsidP="00A44660">
      <w:pPr>
        <w:ind w:left="851"/>
        <w:rPr>
          <w:sz w:val="24"/>
          <w:szCs w:val="24"/>
          <w:u w:val="single"/>
        </w:rPr>
      </w:pPr>
      <w:r w:rsidRPr="00C2340B">
        <w:rPr>
          <w:sz w:val="24"/>
          <w:szCs w:val="24"/>
        </w:rPr>
        <w:t>Da behandling med tacrolimus kan give hyperkaliæmi eller forstærke en allerede eksisterende hyperkaliæmi, bør høj kaliumindtagelse eller kaliumbesparende diuretika (f.eks. amilorid, triameteren eller spironolacton) undgås (se pkt. 4.4). Der skal udvises forsigtighed, når tacrolimus administreres sammen med andre lægemidler, der øger serumkalium, såsom trimethoprim og co-trimoxazol (trimethoprim/sulfamethoxazol), da trimethoprim er kendt for at virke som et kaliumbesparende diuretikum som amilorid. Tæt overvågning af serumkalium anbefales.</w:t>
      </w:r>
    </w:p>
    <w:p w14:paraId="5B2D7F2F" w14:textId="77777777" w:rsidR="00C2340B" w:rsidRPr="00C2340B" w:rsidRDefault="00C2340B" w:rsidP="00A44660">
      <w:pPr>
        <w:ind w:left="851"/>
        <w:rPr>
          <w:sz w:val="24"/>
          <w:szCs w:val="24"/>
          <w:u w:val="single"/>
        </w:rPr>
      </w:pPr>
    </w:p>
    <w:p w14:paraId="7B751120" w14:textId="77777777" w:rsidR="00C2340B" w:rsidRPr="00C2340B" w:rsidRDefault="00C2340B" w:rsidP="00A44660">
      <w:pPr>
        <w:ind w:left="851"/>
        <w:rPr>
          <w:sz w:val="24"/>
          <w:szCs w:val="24"/>
        </w:rPr>
      </w:pPr>
      <w:r w:rsidRPr="00C2340B">
        <w:rPr>
          <w:sz w:val="24"/>
          <w:szCs w:val="24"/>
          <w:u w:val="single"/>
        </w:rPr>
        <w:t>Effekt af tacrolimus på andre lægemidlers metabolisme</w:t>
      </w:r>
    </w:p>
    <w:p w14:paraId="551EFDC6" w14:textId="77777777" w:rsidR="00C2340B" w:rsidRPr="00C2340B" w:rsidRDefault="00C2340B" w:rsidP="00A44660">
      <w:pPr>
        <w:ind w:left="851"/>
        <w:rPr>
          <w:sz w:val="24"/>
          <w:szCs w:val="24"/>
        </w:rPr>
      </w:pPr>
      <w:r w:rsidRPr="00C2340B">
        <w:rPr>
          <w:sz w:val="24"/>
          <w:szCs w:val="24"/>
        </w:rPr>
        <w:t>Da tacrolimus er en kendt CYP3A4-inhibitor, vil samtidig brug af tacrolimus og lægemidler, der metaboliseres via CYP3A4, påvirke metabolismen af disse lægemidler.</w:t>
      </w:r>
    </w:p>
    <w:p w14:paraId="20FA663B" w14:textId="77777777" w:rsidR="00C2340B" w:rsidRPr="00C2340B" w:rsidRDefault="00C2340B" w:rsidP="00A44660">
      <w:pPr>
        <w:ind w:left="851"/>
        <w:rPr>
          <w:sz w:val="24"/>
          <w:szCs w:val="24"/>
        </w:rPr>
      </w:pPr>
      <w:r w:rsidRPr="00C2340B">
        <w:rPr>
          <w:sz w:val="24"/>
          <w:szCs w:val="24"/>
        </w:rPr>
        <w:t>Ciclosporins halveringstid er forlænget ved samtidig administration af tacrolimus. Yderligere kan der forekomme synergistisk/additiv nefrotoksicitet. Af disse grunde frarådes samtidig administration af ciclosporin og tacrolimus, og der bør udvises forsigtighed, når der administreres tacrolimus til patienter, der tidligere er blevet behandlet med ciclosporin (se pkt. 4.2 og 4.4).</w:t>
      </w:r>
    </w:p>
    <w:p w14:paraId="41309BFB" w14:textId="77777777" w:rsidR="00C2340B" w:rsidRPr="00C2340B" w:rsidRDefault="00C2340B" w:rsidP="00A44660">
      <w:pPr>
        <w:ind w:left="851"/>
        <w:rPr>
          <w:sz w:val="24"/>
          <w:szCs w:val="24"/>
        </w:rPr>
      </w:pPr>
      <w:r w:rsidRPr="00C2340B">
        <w:rPr>
          <w:sz w:val="24"/>
          <w:szCs w:val="24"/>
        </w:rPr>
        <w:t>Tacrolimus øger blodkoncentrationen af phenytoin.</w:t>
      </w:r>
    </w:p>
    <w:p w14:paraId="00DCCF05" w14:textId="77777777" w:rsidR="00C2340B" w:rsidRPr="00C2340B" w:rsidRDefault="00C2340B" w:rsidP="00A44660">
      <w:pPr>
        <w:ind w:left="851"/>
        <w:rPr>
          <w:sz w:val="24"/>
          <w:szCs w:val="24"/>
        </w:rPr>
      </w:pPr>
      <w:r w:rsidRPr="00C2340B">
        <w:rPr>
          <w:sz w:val="24"/>
          <w:szCs w:val="24"/>
        </w:rPr>
        <w:t>Tacrolimus kan reducere clearance af steroidbaserede kontraceptiva med øget hormoneksponering til følge. Derfor bør valg af prævention ske med omtanke.</w:t>
      </w:r>
    </w:p>
    <w:p w14:paraId="31FE9655" w14:textId="77777777" w:rsidR="00C2340B" w:rsidRPr="00C2340B" w:rsidRDefault="00C2340B" w:rsidP="00A44660">
      <w:pPr>
        <w:ind w:left="851"/>
        <w:rPr>
          <w:sz w:val="24"/>
          <w:szCs w:val="24"/>
        </w:rPr>
      </w:pPr>
      <w:r w:rsidRPr="00C2340B">
        <w:rPr>
          <w:sz w:val="24"/>
          <w:szCs w:val="24"/>
        </w:rPr>
        <w:t>Der er begrænset erfaring med interaktioner mellem tacrolimus og statiner. Tilgængelige data tyder på, at statinernes farmakokinetik stort set er uændret ved samtidig administration af tacrolimus.</w:t>
      </w:r>
    </w:p>
    <w:p w14:paraId="0EDA1878" w14:textId="77777777" w:rsidR="00C2340B" w:rsidRPr="00C2340B" w:rsidRDefault="00C2340B" w:rsidP="00A44660">
      <w:pPr>
        <w:ind w:left="851"/>
        <w:rPr>
          <w:sz w:val="24"/>
          <w:szCs w:val="24"/>
        </w:rPr>
      </w:pPr>
      <w:r w:rsidRPr="00C2340B">
        <w:rPr>
          <w:sz w:val="24"/>
          <w:szCs w:val="24"/>
        </w:rPr>
        <w:t>Data fra dyrestudier har vist, at tacrolimus potentielt kan nedsætte clearance og forøge halveringstiden af pentobarbital og phenazon.</w:t>
      </w:r>
    </w:p>
    <w:p w14:paraId="5FE96D8D" w14:textId="77777777" w:rsidR="00C2340B" w:rsidRPr="00C2340B" w:rsidRDefault="00C2340B" w:rsidP="00A44660">
      <w:pPr>
        <w:ind w:left="851"/>
        <w:rPr>
          <w:sz w:val="24"/>
          <w:szCs w:val="24"/>
        </w:rPr>
      </w:pPr>
    </w:p>
    <w:p w14:paraId="191C9407" w14:textId="77777777" w:rsidR="00C2340B" w:rsidRPr="00C2340B" w:rsidRDefault="00C2340B" w:rsidP="00A44660">
      <w:pPr>
        <w:ind w:left="851"/>
        <w:rPr>
          <w:sz w:val="24"/>
          <w:szCs w:val="24"/>
        </w:rPr>
      </w:pPr>
      <w:r w:rsidRPr="00C2340B">
        <w:rPr>
          <w:sz w:val="24"/>
          <w:szCs w:val="24"/>
        </w:rPr>
        <w:t>Mycophenolsyre. Der bør udvises forsigtighed ved skift af kombinationsbehandling fra ciclosporin, der interfererer med enterohepatisk recirkulation af mycophenolsyre, til tacrolimus, som ikke har denne effekt, da det kan medføre ændringer i eksponering for mycophenolsyre. Lægemidler, der interfererer med mycophenolsyres enterohepatiske cyklus kan potentielt reducere plasmaniveauet og virkningen af mycophenolsyre. Terapeutisk lægemiddelovervågning af mycophenolsyre kan være relevant ved skift fra ciclosporin til tacrolimus eller vice versa.</w:t>
      </w:r>
    </w:p>
    <w:p w14:paraId="78678B95" w14:textId="77777777" w:rsidR="00C2340B" w:rsidRPr="00C2340B" w:rsidRDefault="00C2340B" w:rsidP="00A44660">
      <w:pPr>
        <w:ind w:left="851"/>
        <w:rPr>
          <w:sz w:val="24"/>
          <w:szCs w:val="24"/>
          <w:u w:val="single"/>
        </w:rPr>
      </w:pPr>
    </w:p>
    <w:p w14:paraId="3762D86D" w14:textId="77777777" w:rsidR="00C2340B" w:rsidRPr="00C2340B" w:rsidRDefault="00C2340B" w:rsidP="00A44660">
      <w:pPr>
        <w:ind w:left="851"/>
        <w:rPr>
          <w:sz w:val="24"/>
          <w:szCs w:val="24"/>
        </w:rPr>
      </w:pPr>
      <w:r w:rsidRPr="00C2340B">
        <w:rPr>
          <w:sz w:val="24"/>
          <w:szCs w:val="24"/>
        </w:rPr>
        <w:t>Immunsuppressive lægemidler kan påvirke responset på vaccination, og vaccination under behandling med tacrolimus kan være mindre effektiv. Brug af levende, svækkede vacciner skal undgås (se pkt. 4.4).</w:t>
      </w:r>
    </w:p>
    <w:p w14:paraId="0DD80098" w14:textId="049C3260" w:rsidR="00BF02EF" w:rsidRDefault="00BF02EF">
      <w:pPr>
        <w:rPr>
          <w:sz w:val="24"/>
          <w:szCs w:val="24"/>
        </w:rPr>
      </w:pPr>
      <w:r>
        <w:rPr>
          <w:sz w:val="24"/>
          <w:szCs w:val="24"/>
        </w:rPr>
        <w:br w:type="page"/>
      </w:r>
    </w:p>
    <w:p w14:paraId="774530EA" w14:textId="77777777" w:rsidR="009260DE" w:rsidRPr="00C84483" w:rsidRDefault="009260DE" w:rsidP="009260DE">
      <w:pPr>
        <w:tabs>
          <w:tab w:val="left" w:pos="851"/>
        </w:tabs>
        <w:ind w:left="851"/>
        <w:rPr>
          <w:sz w:val="24"/>
          <w:szCs w:val="24"/>
        </w:rPr>
      </w:pPr>
    </w:p>
    <w:p w14:paraId="329B7B4C"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4C2ED2BC" w14:textId="77777777" w:rsidR="00A863D6" w:rsidRDefault="00A863D6" w:rsidP="00A44660">
      <w:pPr>
        <w:ind w:left="851"/>
        <w:rPr>
          <w:sz w:val="24"/>
          <w:szCs w:val="24"/>
          <w:u w:val="single"/>
        </w:rPr>
      </w:pPr>
    </w:p>
    <w:p w14:paraId="552707C3" w14:textId="5F11E298" w:rsidR="00C2340B" w:rsidRPr="00C2340B" w:rsidRDefault="00C2340B" w:rsidP="00A44660">
      <w:pPr>
        <w:ind w:left="851"/>
        <w:rPr>
          <w:sz w:val="24"/>
          <w:szCs w:val="24"/>
          <w:u w:val="single"/>
        </w:rPr>
      </w:pPr>
      <w:r w:rsidRPr="00C2340B">
        <w:rPr>
          <w:sz w:val="24"/>
          <w:szCs w:val="24"/>
          <w:u w:val="single"/>
        </w:rPr>
        <w:t>Graviditet</w:t>
      </w:r>
    </w:p>
    <w:p w14:paraId="5561A9BC" w14:textId="77777777" w:rsidR="00C2340B" w:rsidRPr="00C2340B" w:rsidRDefault="00C2340B" w:rsidP="00A44660">
      <w:pPr>
        <w:ind w:left="851"/>
        <w:rPr>
          <w:sz w:val="24"/>
          <w:szCs w:val="24"/>
        </w:rPr>
      </w:pPr>
      <w:r w:rsidRPr="00C2340B">
        <w:rPr>
          <w:sz w:val="24"/>
          <w:szCs w:val="24"/>
        </w:rPr>
        <w:t xml:space="preserve">Humane data viser, at tacrolimus passerer placenta. Begrænsede data fra organtransplanterede patienter viser ingen tegn på øget risiko for bivirkninger på graviditetsforløb eller </w:t>
      </w:r>
      <w:r w:rsidRPr="00C2340B">
        <w:rPr>
          <w:sz w:val="24"/>
          <w:szCs w:val="24"/>
        </w:rPr>
        <w:noBreakHyphen/>
        <w:t>udfald under behandling med tacrolimus sammenlignet med andre immunsuppressive lægemidler. Der er dog rapporteret tilfælde af spontan abort. Der foreligger på nuværende tidspunkt ingen andre relevante epidemiologiske data. På grund af behandlingsbehovet kan tacrolimus anvendes til gravide kvinder, når der ikke findes et sikrere alternativ, og når den forventede fordel for moderen vurderes at opveje den potentielle risiko for fosteret. Ved intrauterin eksponering anbefales overvågning af det nyfødte barn for mulige bivirkninger af tacrolimus (især påvirkning af nyrefunktionen). Der er risiko for tidlig fødsel (&lt; 37 uger) samt for hyperkaliæmi hos det nyfødte barn, hvilket dog normaliseres spontant.</w:t>
      </w:r>
    </w:p>
    <w:p w14:paraId="1EB981C4" w14:textId="77777777" w:rsidR="00C2340B" w:rsidRPr="00C2340B" w:rsidRDefault="00C2340B" w:rsidP="00A44660">
      <w:pPr>
        <w:ind w:left="851"/>
        <w:rPr>
          <w:sz w:val="24"/>
          <w:szCs w:val="24"/>
        </w:rPr>
      </w:pPr>
      <w:r w:rsidRPr="00C2340B">
        <w:rPr>
          <w:sz w:val="24"/>
          <w:szCs w:val="24"/>
        </w:rPr>
        <w:t>Hos rotter og kaniner har tacrolimus forårsaget embryoføtal toksicitet ved doser, der medførte maternel toksicitet (se pkt. 5.3).</w:t>
      </w:r>
    </w:p>
    <w:p w14:paraId="4DB40854" w14:textId="77777777" w:rsidR="00C2340B" w:rsidRPr="00C2340B" w:rsidRDefault="00C2340B" w:rsidP="00A44660">
      <w:pPr>
        <w:ind w:left="851"/>
        <w:rPr>
          <w:sz w:val="24"/>
          <w:szCs w:val="24"/>
        </w:rPr>
      </w:pPr>
    </w:p>
    <w:p w14:paraId="0EB06D57" w14:textId="77777777" w:rsidR="00C2340B" w:rsidRPr="00C2340B" w:rsidRDefault="00C2340B" w:rsidP="00A44660">
      <w:pPr>
        <w:ind w:left="851"/>
        <w:rPr>
          <w:sz w:val="24"/>
          <w:szCs w:val="24"/>
          <w:u w:val="single"/>
        </w:rPr>
      </w:pPr>
      <w:r w:rsidRPr="00C2340B">
        <w:rPr>
          <w:sz w:val="24"/>
          <w:szCs w:val="24"/>
          <w:u w:val="single"/>
        </w:rPr>
        <w:t>Amning</w:t>
      </w:r>
    </w:p>
    <w:p w14:paraId="215F4885" w14:textId="5B62C8AD" w:rsidR="00C2340B" w:rsidRPr="00C2340B" w:rsidRDefault="00C2340B" w:rsidP="00A44660">
      <w:pPr>
        <w:ind w:left="851"/>
        <w:rPr>
          <w:sz w:val="24"/>
          <w:szCs w:val="24"/>
        </w:rPr>
      </w:pPr>
      <w:r w:rsidRPr="00C2340B">
        <w:rPr>
          <w:sz w:val="24"/>
          <w:szCs w:val="24"/>
        </w:rPr>
        <w:t xml:space="preserve">Humane data viser, at tacrolimus udskilles i modermælk. Da der ikke kan udelukkes skadelige virkninger hos den nyfødte, bør kvinder ikke amme under behandlingen med Tacrolimus </w:t>
      </w:r>
      <w:r w:rsidR="00A863D6">
        <w:rPr>
          <w:sz w:val="24"/>
          <w:szCs w:val="24"/>
        </w:rPr>
        <w:t>"EQL Pharma"</w:t>
      </w:r>
      <w:r w:rsidRPr="00C2340B">
        <w:rPr>
          <w:sz w:val="24"/>
          <w:szCs w:val="24"/>
        </w:rPr>
        <w:t>.</w:t>
      </w:r>
    </w:p>
    <w:p w14:paraId="5F6DECB5" w14:textId="77777777" w:rsidR="00C2340B" w:rsidRPr="00C2340B" w:rsidRDefault="00C2340B" w:rsidP="00A44660">
      <w:pPr>
        <w:ind w:left="851"/>
        <w:rPr>
          <w:sz w:val="24"/>
          <w:szCs w:val="24"/>
        </w:rPr>
      </w:pPr>
    </w:p>
    <w:p w14:paraId="171EC628" w14:textId="77777777" w:rsidR="00C2340B" w:rsidRPr="00C2340B" w:rsidRDefault="00C2340B" w:rsidP="00A44660">
      <w:pPr>
        <w:ind w:left="851"/>
        <w:rPr>
          <w:sz w:val="24"/>
          <w:szCs w:val="24"/>
          <w:u w:val="single"/>
        </w:rPr>
      </w:pPr>
      <w:r w:rsidRPr="00C2340B">
        <w:rPr>
          <w:sz w:val="24"/>
          <w:szCs w:val="24"/>
          <w:u w:val="single"/>
        </w:rPr>
        <w:t>Fertilitet</w:t>
      </w:r>
    </w:p>
    <w:p w14:paraId="12A49D50" w14:textId="77777777" w:rsidR="00C2340B" w:rsidRPr="00C2340B" w:rsidRDefault="00C2340B" w:rsidP="00A44660">
      <w:pPr>
        <w:ind w:left="851"/>
        <w:rPr>
          <w:sz w:val="24"/>
          <w:szCs w:val="24"/>
        </w:rPr>
      </w:pPr>
      <w:r w:rsidRPr="00C2340B">
        <w:rPr>
          <w:sz w:val="24"/>
          <w:szCs w:val="24"/>
        </w:rPr>
        <w:t xml:space="preserve">Der blev observeret en negativ effekt af tacrolimus på den hanlige fertilitet i form af reduceret spermantal og </w:t>
      </w:r>
      <w:r w:rsidRPr="00C2340B">
        <w:rPr>
          <w:sz w:val="24"/>
          <w:szCs w:val="24"/>
        </w:rPr>
        <w:noBreakHyphen/>
        <w:t>motilitet hos rotter (se pkt. 5.3).</w:t>
      </w:r>
    </w:p>
    <w:p w14:paraId="527E9BC2" w14:textId="77777777" w:rsidR="009260DE" w:rsidRPr="00C84483" w:rsidRDefault="009260DE" w:rsidP="009260DE">
      <w:pPr>
        <w:tabs>
          <w:tab w:val="left" w:pos="851"/>
        </w:tabs>
        <w:ind w:left="851"/>
        <w:rPr>
          <w:sz w:val="24"/>
          <w:szCs w:val="24"/>
        </w:rPr>
      </w:pPr>
    </w:p>
    <w:p w14:paraId="5E2A32B3"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4E04BD15" w14:textId="77777777" w:rsidR="00C2340B" w:rsidRPr="00C2340B" w:rsidRDefault="00C2340B" w:rsidP="00A44660">
      <w:pPr>
        <w:ind w:left="851"/>
        <w:rPr>
          <w:sz w:val="24"/>
          <w:szCs w:val="24"/>
        </w:rPr>
      </w:pPr>
      <w:r w:rsidRPr="00C2340B">
        <w:rPr>
          <w:sz w:val="24"/>
          <w:szCs w:val="24"/>
        </w:rPr>
        <w:t>Ikke mærkning.</w:t>
      </w:r>
    </w:p>
    <w:p w14:paraId="26D6A09A" w14:textId="1C2E8684" w:rsidR="00C2340B" w:rsidRPr="00C2340B" w:rsidRDefault="00C2340B" w:rsidP="00A44660">
      <w:pPr>
        <w:ind w:left="851"/>
        <w:rPr>
          <w:sz w:val="24"/>
          <w:szCs w:val="24"/>
        </w:rPr>
      </w:pPr>
      <w:r w:rsidRPr="00C2340B">
        <w:rPr>
          <w:sz w:val="24"/>
          <w:szCs w:val="24"/>
        </w:rPr>
        <w:t xml:space="preserve">Tacrolimus </w:t>
      </w:r>
      <w:r w:rsidR="00A863D6">
        <w:rPr>
          <w:sz w:val="24"/>
          <w:szCs w:val="24"/>
        </w:rPr>
        <w:t>"EQL Pharma"</w:t>
      </w:r>
      <w:r w:rsidRPr="00C2340B">
        <w:rPr>
          <w:sz w:val="24"/>
          <w:szCs w:val="24"/>
        </w:rPr>
        <w:t xml:space="preserve"> kan give visuelle og neurologiske forstyrrelser. Denne effekt kan forstærkes, hvis Tacrolimus </w:t>
      </w:r>
      <w:r w:rsidR="00A863D6">
        <w:rPr>
          <w:sz w:val="24"/>
          <w:szCs w:val="24"/>
        </w:rPr>
        <w:t>"EQL Pharma"</w:t>
      </w:r>
      <w:r w:rsidRPr="00C2340B">
        <w:rPr>
          <w:sz w:val="24"/>
          <w:szCs w:val="24"/>
        </w:rPr>
        <w:t xml:space="preserve"> administreres sammen med alkohol.</w:t>
      </w:r>
    </w:p>
    <w:p w14:paraId="3F955B0C" w14:textId="77777777" w:rsidR="009260DE" w:rsidRPr="00C84483" w:rsidRDefault="009260DE" w:rsidP="009260DE">
      <w:pPr>
        <w:tabs>
          <w:tab w:val="left" w:pos="851"/>
        </w:tabs>
        <w:ind w:left="851"/>
        <w:rPr>
          <w:sz w:val="24"/>
          <w:szCs w:val="24"/>
        </w:rPr>
      </w:pPr>
    </w:p>
    <w:p w14:paraId="5FD2A4DD"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7A29A847" w14:textId="77777777" w:rsidR="00C2340B" w:rsidRPr="00C2340B" w:rsidRDefault="00C2340B" w:rsidP="00A44660">
      <w:pPr>
        <w:ind w:left="851"/>
        <w:rPr>
          <w:sz w:val="24"/>
          <w:szCs w:val="24"/>
          <w:lang w:val="nl-BE"/>
        </w:rPr>
      </w:pPr>
      <w:r w:rsidRPr="00C2340B">
        <w:rPr>
          <w:sz w:val="24"/>
          <w:szCs w:val="24"/>
          <w:lang w:val="nl-BE"/>
        </w:rPr>
        <w:t>Som følge af den tilgrundliggende lidelse og samtidig indtagelse af andre lægemidler, er det ofte vanskeligt at fastslå bivirkningsprofilen ved immunsuppressiv behandling.</w:t>
      </w:r>
    </w:p>
    <w:p w14:paraId="2B29AC12" w14:textId="77777777" w:rsidR="00C2340B" w:rsidRPr="00C2340B" w:rsidRDefault="00C2340B" w:rsidP="00A44660">
      <w:pPr>
        <w:ind w:left="851"/>
        <w:rPr>
          <w:sz w:val="24"/>
          <w:szCs w:val="24"/>
          <w:lang w:val="nl-BE"/>
        </w:rPr>
      </w:pPr>
    </w:p>
    <w:p w14:paraId="78BB072D" w14:textId="77777777" w:rsidR="00C2340B" w:rsidRPr="00C2340B" w:rsidRDefault="00C2340B" w:rsidP="00A44660">
      <w:pPr>
        <w:ind w:left="851"/>
        <w:rPr>
          <w:sz w:val="24"/>
          <w:szCs w:val="24"/>
        </w:rPr>
      </w:pPr>
      <w:r w:rsidRPr="00C2340B">
        <w:rPr>
          <w:sz w:val="24"/>
          <w:szCs w:val="24"/>
        </w:rPr>
        <w:t>Mange af de nedennævnte bivirkninger er reversible og/eller responderer på reduktion af dosis. Oral behandling synes at give anledning til færrest bivirkninger i sammenligning med intravenøs anvendelse. Bivirkningerne nedenfor er anført efter faldende hyppighed: Meget almindelig (≥ 1/10), almindelig (≥ 1/100, &lt; 1/10), ikke almindelig (≥ 1/1.000, &lt; 1/100), sjælden (≥ 1/10.000, &lt; 1/1.000), meget sjælden (&lt; 1/10.000), ikke kendt (kan ikke estimeres ud fra forhåndenværende data).</w:t>
      </w:r>
    </w:p>
    <w:p w14:paraId="3A0F44FB" w14:textId="77777777" w:rsidR="00C2340B" w:rsidRPr="00C2340B" w:rsidRDefault="00C2340B" w:rsidP="00A44660">
      <w:pPr>
        <w:ind w:left="851"/>
        <w:rPr>
          <w:sz w:val="24"/>
          <w:szCs w:val="24"/>
        </w:rPr>
      </w:pPr>
    </w:p>
    <w:p w14:paraId="76D61FEE" w14:textId="77777777" w:rsidR="00C2340B" w:rsidRPr="00C2340B" w:rsidRDefault="00C2340B" w:rsidP="00A44660">
      <w:pPr>
        <w:ind w:left="851"/>
        <w:rPr>
          <w:sz w:val="24"/>
          <w:szCs w:val="24"/>
          <w:u w:val="single"/>
        </w:rPr>
      </w:pPr>
      <w:r w:rsidRPr="00C2340B">
        <w:rPr>
          <w:sz w:val="24"/>
          <w:szCs w:val="24"/>
          <w:u w:val="single"/>
        </w:rPr>
        <w:t>Infektioner og parasitære sygdomme</w:t>
      </w:r>
    </w:p>
    <w:p w14:paraId="0F93E9FF" w14:textId="77777777" w:rsidR="00C2340B" w:rsidRPr="00C2340B" w:rsidRDefault="00C2340B" w:rsidP="00A44660">
      <w:pPr>
        <w:ind w:left="851"/>
        <w:rPr>
          <w:sz w:val="24"/>
          <w:szCs w:val="24"/>
        </w:rPr>
      </w:pPr>
      <w:r w:rsidRPr="00C2340B">
        <w:rPr>
          <w:sz w:val="24"/>
          <w:szCs w:val="24"/>
        </w:rPr>
        <w:t>Som det er tilfældet ved behandling med andre potente immunsuppressive midler, øger behandlingen med tacrolimus patienternes modtagelighed for infektioner (virus, bakterier, svampe, protozoer). Forløbet af eksisterende infektionssygdomme kan forværres. Systemiske såvel som lokale infektioner kan forekomme.</w:t>
      </w:r>
    </w:p>
    <w:p w14:paraId="38848AEB" w14:textId="77777777" w:rsidR="00C2340B" w:rsidRPr="00C2340B" w:rsidRDefault="00C2340B" w:rsidP="00A44660">
      <w:pPr>
        <w:ind w:left="851"/>
        <w:rPr>
          <w:sz w:val="24"/>
          <w:szCs w:val="24"/>
        </w:rPr>
      </w:pPr>
    </w:p>
    <w:p w14:paraId="4FD22473" w14:textId="3BE06FCA" w:rsidR="00C2340B" w:rsidRPr="00C2340B" w:rsidRDefault="00C2340B" w:rsidP="00A44660">
      <w:pPr>
        <w:ind w:left="851"/>
        <w:rPr>
          <w:sz w:val="24"/>
          <w:szCs w:val="24"/>
        </w:rPr>
      </w:pPr>
      <w:r w:rsidRPr="00C2340B">
        <w:rPr>
          <w:sz w:val="24"/>
          <w:szCs w:val="24"/>
        </w:rPr>
        <w:lastRenderedPageBreak/>
        <w:t xml:space="preserve">Tilfælde af CMV-infektion, BK-virusassocieret nefropati samt tilfælde af JC-virusassocieret progressiv multifokal leukoencefalopati (PML) er rapporteret hos patienter, der har fået behandling med immunsuppressiva, herunder Tacrolimus </w:t>
      </w:r>
      <w:r w:rsidR="00A863D6">
        <w:rPr>
          <w:sz w:val="24"/>
          <w:szCs w:val="24"/>
        </w:rPr>
        <w:t>"EQL Pharma"</w:t>
      </w:r>
      <w:r w:rsidRPr="00C2340B">
        <w:rPr>
          <w:sz w:val="24"/>
          <w:szCs w:val="24"/>
        </w:rPr>
        <w:t>.</w:t>
      </w:r>
    </w:p>
    <w:p w14:paraId="4BCD29C4" w14:textId="77777777" w:rsidR="00C2340B" w:rsidRPr="00C2340B" w:rsidRDefault="00C2340B" w:rsidP="00A44660">
      <w:pPr>
        <w:ind w:left="851"/>
        <w:rPr>
          <w:sz w:val="24"/>
          <w:szCs w:val="24"/>
          <w:u w:val="single"/>
        </w:rPr>
      </w:pPr>
    </w:p>
    <w:p w14:paraId="18C823D0" w14:textId="77777777" w:rsidR="00C2340B" w:rsidRPr="00C2340B" w:rsidRDefault="00C2340B" w:rsidP="00A44660">
      <w:pPr>
        <w:ind w:left="851"/>
        <w:rPr>
          <w:sz w:val="24"/>
          <w:szCs w:val="24"/>
          <w:u w:val="single"/>
        </w:rPr>
      </w:pPr>
      <w:r w:rsidRPr="00C2340B">
        <w:rPr>
          <w:sz w:val="24"/>
          <w:szCs w:val="24"/>
          <w:u w:val="single"/>
        </w:rPr>
        <w:t>Benigne, maligne og uspecificerede tumorer (inkl. cyster og polypper)</w:t>
      </w:r>
    </w:p>
    <w:p w14:paraId="5112B3B6" w14:textId="77777777" w:rsidR="00C2340B" w:rsidRPr="00C2340B" w:rsidRDefault="00C2340B" w:rsidP="00A44660">
      <w:pPr>
        <w:ind w:left="851"/>
        <w:rPr>
          <w:sz w:val="24"/>
          <w:szCs w:val="24"/>
        </w:rPr>
      </w:pPr>
      <w:r w:rsidRPr="00C2340B">
        <w:rPr>
          <w:sz w:val="24"/>
          <w:szCs w:val="24"/>
        </w:rPr>
        <w:t>Patienter i immunsuppressiv behandling har en øget risiko for at få maligne lidelser. Benigne og maligne neoplasmer herunder EBV-associerede lymfoproliferative lidelser, maligne hudlidelser og Kaposis sarkom er blevet rapporteret i forbindelse med behandling med tacrolimus.</w:t>
      </w:r>
    </w:p>
    <w:p w14:paraId="55851C17" w14:textId="77777777" w:rsidR="00C2340B" w:rsidRPr="00C2340B" w:rsidRDefault="00C2340B" w:rsidP="00A44660">
      <w:pPr>
        <w:ind w:left="851"/>
        <w:rPr>
          <w:sz w:val="24"/>
          <w:szCs w:val="24"/>
        </w:rPr>
      </w:pPr>
    </w:p>
    <w:p w14:paraId="6E93896D" w14:textId="77777777" w:rsidR="00C2340B" w:rsidRPr="00C2340B" w:rsidRDefault="00C2340B" w:rsidP="00A44660">
      <w:pPr>
        <w:ind w:left="851"/>
        <w:rPr>
          <w:sz w:val="24"/>
          <w:szCs w:val="24"/>
          <w:u w:val="single"/>
        </w:rPr>
      </w:pPr>
      <w:r w:rsidRPr="00C2340B">
        <w:rPr>
          <w:sz w:val="24"/>
          <w:szCs w:val="24"/>
          <w:u w:val="single"/>
        </w:rPr>
        <w:t>Blod og lymfesystem</w:t>
      </w:r>
    </w:p>
    <w:p w14:paraId="2D0C0A18" w14:textId="076ABC55"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anæmi, leukopeni, trombocytopeni, leukocytose, unormale analyser af røde blodlegemer</w:t>
      </w:r>
    </w:p>
    <w:p w14:paraId="41EBF8FC" w14:textId="3125B8F9"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koagulationsforstyrrelser, unormale koagulations</w:t>
      </w:r>
      <w:r w:rsidRPr="00C2340B">
        <w:rPr>
          <w:sz w:val="24"/>
          <w:szCs w:val="24"/>
        </w:rPr>
        <w:noBreakHyphen/>
        <w:t xml:space="preserve"> og blødningsanalyser, pancytopeni, neutropeni, trombotisk mikroangiopati</w:t>
      </w:r>
    </w:p>
    <w:p w14:paraId="14BBB337" w14:textId="3A5A69C7" w:rsidR="00C2340B" w:rsidRPr="00C2340B" w:rsidRDefault="00C2340B" w:rsidP="00A863D6">
      <w:pPr>
        <w:ind w:left="3911" w:hanging="3060"/>
        <w:rPr>
          <w:sz w:val="24"/>
          <w:szCs w:val="24"/>
        </w:rPr>
      </w:pPr>
      <w:r w:rsidRPr="00C2340B">
        <w:rPr>
          <w:sz w:val="24"/>
          <w:szCs w:val="24"/>
        </w:rPr>
        <w:t>Sjælden:</w:t>
      </w:r>
      <w:r w:rsidRPr="00C2340B">
        <w:rPr>
          <w:sz w:val="24"/>
          <w:szCs w:val="24"/>
        </w:rPr>
        <w:tab/>
      </w:r>
      <w:r w:rsidR="00A863D6">
        <w:rPr>
          <w:sz w:val="24"/>
          <w:szCs w:val="24"/>
        </w:rPr>
        <w:tab/>
      </w:r>
      <w:r w:rsidRPr="00C2340B">
        <w:rPr>
          <w:sz w:val="24"/>
          <w:szCs w:val="24"/>
        </w:rPr>
        <w:t>trombotisk trombocytopenisk purpura, hypoprotrombinæmi</w:t>
      </w:r>
    </w:p>
    <w:p w14:paraId="7FD70C62" w14:textId="3F5E45AF" w:rsidR="00C2340B" w:rsidRPr="00C2340B" w:rsidRDefault="00C2340B" w:rsidP="00A863D6">
      <w:pPr>
        <w:ind w:left="3911" w:hanging="3060"/>
        <w:rPr>
          <w:i/>
          <w:sz w:val="24"/>
          <w:szCs w:val="24"/>
          <w:u w:val="single"/>
        </w:rPr>
      </w:pPr>
      <w:r w:rsidRPr="00C2340B">
        <w:rPr>
          <w:sz w:val="24"/>
          <w:szCs w:val="24"/>
        </w:rPr>
        <w:t>Ikke kendt:</w:t>
      </w:r>
      <w:r w:rsidRPr="00C2340B">
        <w:rPr>
          <w:sz w:val="24"/>
          <w:szCs w:val="24"/>
        </w:rPr>
        <w:tab/>
      </w:r>
      <w:r w:rsidR="00A863D6">
        <w:rPr>
          <w:sz w:val="24"/>
          <w:szCs w:val="24"/>
        </w:rPr>
        <w:tab/>
      </w:r>
      <w:r w:rsidRPr="00C2340B">
        <w:rPr>
          <w:i/>
          <w:sz w:val="24"/>
          <w:szCs w:val="24"/>
        </w:rPr>
        <w:t xml:space="preserve">Pure Red Cell Aplasia </w:t>
      </w:r>
      <w:r w:rsidRPr="00C2340B">
        <w:rPr>
          <w:iCs/>
          <w:sz w:val="24"/>
          <w:szCs w:val="24"/>
        </w:rPr>
        <w:t>(erythroblastopeni),</w:t>
      </w:r>
      <w:r w:rsidRPr="00C2340B">
        <w:rPr>
          <w:sz w:val="24"/>
          <w:szCs w:val="24"/>
        </w:rPr>
        <w:t xml:space="preserve"> agranulocytose, hæmolytisk anæmi, febril neutropeni</w:t>
      </w:r>
    </w:p>
    <w:p w14:paraId="78030FC6" w14:textId="77777777" w:rsidR="00C2340B" w:rsidRPr="00C2340B" w:rsidRDefault="00C2340B" w:rsidP="00A44660">
      <w:pPr>
        <w:ind w:left="851"/>
        <w:rPr>
          <w:sz w:val="24"/>
          <w:szCs w:val="24"/>
        </w:rPr>
      </w:pPr>
    </w:p>
    <w:p w14:paraId="288108A8" w14:textId="77777777" w:rsidR="00C2340B" w:rsidRPr="00C2340B" w:rsidRDefault="00C2340B" w:rsidP="00A44660">
      <w:pPr>
        <w:ind w:left="851"/>
        <w:rPr>
          <w:sz w:val="24"/>
          <w:szCs w:val="24"/>
          <w:u w:val="single"/>
        </w:rPr>
      </w:pPr>
      <w:r w:rsidRPr="00C2340B">
        <w:rPr>
          <w:sz w:val="24"/>
          <w:szCs w:val="24"/>
          <w:u w:val="single"/>
        </w:rPr>
        <w:t>Immunsystemet</w:t>
      </w:r>
    </w:p>
    <w:p w14:paraId="7935D3E5" w14:textId="77777777" w:rsidR="00C2340B" w:rsidRPr="00C2340B" w:rsidRDefault="00C2340B" w:rsidP="00A44660">
      <w:pPr>
        <w:ind w:left="851"/>
        <w:rPr>
          <w:sz w:val="24"/>
          <w:szCs w:val="24"/>
        </w:rPr>
      </w:pPr>
      <w:r w:rsidRPr="00C2340B">
        <w:rPr>
          <w:sz w:val="24"/>
          <w:szCs w:val="24"/>
        </w:rPr>
        <w:t>Allergiske og anafylaktoide reaktioner er observeret hos patienter, der fik tacrolimus (se pkt. 4.4).</w:t>
      </w:r>
    </w:p>
    <w:p w14:paraId="210EE13E" w14:textId="77777777" w:rsidR="00C2340B" w:rsidRPr="00C2340B" w:rsidRDefault="00C2340B" w:rsidP="00A44660">
      <w:pPr>
        <w:ind w:left="851"/>
        <w:rPr>
          <w:sz w:val="24"/>
          <w:szCs w:val="24"/>
        </w:rPr>
      </w:pPr>
    </w:p>
    <w:p w14:paraId="52E3D479" w14:textId="77777777" w:rsidR="00C2340B" w:rsidRPr="00C2340B" w:rsidRDefault="00C2340B" w:rsidP="00A44660">
      <w:pPr>
        <w:ind w:left="851"/>
        <w:rPr>
          <w:sz w:val="24"/>
          <w:szCs w:val="24"/>
        </w:rPr>
      </w:pPr>
      <w:r w:rsidRPr="00C2340B">
        <w:rPr>
          <w:sz w:val="24"/>
          <w:szCs w:val="24"/>
          <w:u w:val="single"/>
        </w:rPr>
        <w:t>Det endokrine system</w:t>
      </w:r>
    </w:p>
    <w:p w14:paraId="095B14B4" w14:textId="1EA42EFB" w:rsidR="00C2340B" w:rsidRPr="00C2340B" w:rsidRDefault="00C2340B" w:rsidP="00A44660">
      <w:pPr>
        <w:ind w:left="851"/>
        <w:rPr>
          <w:sz w:val="24"/>
          <w:szCs w:val="24"/>
        </w:rPr>
      </w:pPr>
      <w:r w:rsidRPr="00C2340B">
        <w:rPr>
          <w:sz w:val="24"/>
          <w:szCs w:val="24"/>
        </w:rPr>
        <w:t>Sjælden:</w:t>
      </w:r>
      <w:r w:rsidRPr="00C2340B">
        <w:rPr>
          <w:sz w:val="24"/>
          <w:szCs w:val="24"/>
        </w:rPr>
        <w:tab/>
      </w:r>
      <w:r w:rsidR="00A863D6">
        <w:rPr>
          <w:sz w:val="24"/>
          <w:szCs w:val="24"/>
        </w:rPr>
        <w:tab/>
      </w:r>
      <w:r w:rsidRPr="00C2340B">
        <w:rPr>
          <w:sz w:val="24"/>
          <w:szCs w:val="24"/>
        </w:rPr>
        <w:t>hirsutisme</w:t>
      </w:r>
    </w:p>
    <w:p w14:paraId="063602B4" w14:textId="77777777" w:rsidR="00C2340B" w:rsidRPr="00C2340B" w:rsidRDefault="00C2340B" w:rsidP="00A44660">
      <w:pPr>
        <w:ind w:left="851"/>
        <w:rPr>
          <w:sz w:val="24"/>
          <w:szCs w:val="24"/>
        </w:rPr>
      </w:pPr>
    </w:p>
    <w:p w14:paraId="6112678A" w14:textId="77777777" w:rsidR="00C2340B" w:rsidRPr="00C2340B" w:rsidRDefault="00C2340B" w:rsidP="00A44660">
      <w:pPr>
        <w:ind w:left="851"/>
        <w:rPr>
          <w:sz w:val="24"/>
          <w:szCs w:val="24"/>
          <w:u w:val="single"/>
        </w:rPr>
      </w:pPr>
      <w:r w:rsidRPr="00C2340B">
        <w:rPr>
          <w:sz w:val="24"/>
          <w:szCs w:val="24"/>
          <w:u w:val="single"/>
        </w:rPr>
        <w:t>Metabolisme og ernæring</w:t>
      </w:r>
    </w:p>
    <w:p w14:paraId="1A1B0329"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hyperglykæmi, diabetes mellitus, hyperkaliæmi</w:t>
      </w:r>
    </w:p>
    <w:p w14:paraId="1954F032" w14:textId="1BAB15F2"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hypomagnesiæmi, hypofosfatæmi, hypokaliæmi, hypokalcæmi, hyponatriæmi, hypervolæmi, hyperurikæmi, nedsat appetit, metabolisk acidose, hyperlipidæmi, hyperkolesterolæmi, hypertriglyceridæmi, andre elektrolytforstyrrelser</w:t>
      </w:r>
    </w:p>
    <w:p w14:paraId="6A8F7FC2" w14:textId="0D75B8B0"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dehydrering, hypoproteinæmi, hyperfosfatæmi, hypoglykæmi</w:t>
      </w:r>
    </w:p>
    <w:p w14:paraId="1E252E43" w14:textId="77777777" w:rsidR="00C2340B" w:rsidRPr="00C2340B" w:rsidRDefault="00C2340B" w:rsidP="00A44660">
      <w:pPr>
        <w:ind w:left="851"/>
        <w:rPr>
          <w:sz w:val="24"/>
          <w:szCs w:val="24"/>
        </w:rPr>
      </w:pPr>
    </w:p>
    <w:p w14:paraId="136C92B0" w14:textId="77777777" w:rsidR="00C2340B" w:rsidRPr="00C2340B" w:rsidRDefault="00C2340B" w:rsidP="00A44660">
      <w:pPr>
        <w:ind w:left="851"/>
        <w:rPr>
          <w:sz w:val="24"/>
          <w:szCs w:val="24"/>
        </w:rPr>
      </w:pPr>
      <w:r w:rsidRPr="00C2340B">
        <w:rPr>
          <w:sz w:val="24"/>
          <w:szCs w:val="24"/>
          <w:u w:val="single"/>
        </w:rPr>
        <w:t>Psykiske forstyrrelser</w:t>
      </w:r>
    </w:p>
    <w:p w14:paraId="47443551"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insomni</w:t>
      </w:r>
    </w:p>
    <w:p w14:paraId="1EBE33ED" w14:textId="783AEE42"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angstsymptomer, konfusion og desorientering, depression, nedtrykthed, følelsesmæssig labilitet, mareridt, hallucinationer, mentale lidelser</w:t>
      </w:r>
    </w:p>
    <w:p w14:paraId="01DADA3A" w14:textId="07D34E45"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psykotiske forstyrrelser</w:t>
      </w:r>
    </w:p>
    <w:p w14:paraId="43F28F5A" w14:textId="77777777" w:rsidR="00C2340B" w:rsidRPr="00C2340B" w:rsidRDefault="00C2340B" w:rsidP="00A44660">
      <w:pPr>
        <w:ind w:left="851"/>
        <w:rPr>
          <w:sz w:val="24"/>
          <w:szCs w:val="24"/>
          <w:u w:val="single"/>
        </w:rPr>
      </w:pPr>
    </w:p>
    <w:p w14:paraId="4B7256F3" w14:textId="77777777" w:rsidR="00C2340B" w:rsidRPr="00C2340B" w:rsidRDefault="00C2340B" w:rsidP="00A44660">
      <w:pPr>
        <w:ind w:left="851"/>
        <w:rPr>
          <w:sz w:val="24"/>
          <w:szCs w:val="24"/>
          <w:u w:val="single"/>
        </w:rPr>
      </w:pPr>
      <w:r w:rsidRPr="00C2340B">
        <w:rPr>
          <w:sz w:val="24"/>
          <w:szCs w:val="24"/>
          <w:u w:val="single"/>
        </w:rPr>
        <w:t>Nervesystemet</w:t>
      </w:r>
    </w:p>
    <w:p w14:paraId="7C7E7E4B"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tremor, hovedpine</w:t>
      </w:r>
    </w:p>
    <w:p w14:paraId="1BBFF12B" w14:textId="506E5CF2"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krampeanfald, bevidsthedsforstyrrelser, paræstesier og dysæstesier, perifer neuropati, svimmelhed, nedsat skriveevne, forstyrrelser i nervesystemet</w:t>
      </w:r>
    </w:p>
    <w:p w14:paraId="2D93C415" w14:textId="34F08C60" w:rsidR="00C2340B" w:rsidRPr="00C2340B" w:rsidRDefault="00C2340B" w:rsidP="00A863D6">
      <w:pPr>
        <w:ind w:left="3911" w:hanging="3060"/>
        <w:rPr>
          <w:sz w:val="24"/>
          <w:szCs w:val="24"/>
        </w:rPr>
      </w:pPr>
      <w:r w:rsidRPr="00C2340B">
        <w:rPr>
          <w:sz w:val="24"/>
          <w:szCs w:val="24"/>
        </w:rPr>
        <w:lastRenderedPageBreak/>
        <w:t>Ikke almindelig:</w:t>
      </w:r>
      <w:r w:rsidRPr="00C2340B">
        <w:rPr>
          <w:sz w:val="24"/>
          <w:szCs w:val="24"/>
        </w:rPr>
        <w:tab/>
      </w:r>
      <w:r w:rsidR="00A863D6">
        <w:rPr>
          <w:sz w:val="24"/>
          <w:szCs w:val="24"/>
        </w:rPr>
        <w:tab/>
      </w:r>
      <w:r w:rsidRPr="00C2340B">
        <w:rPr>
          <w:sz w:val="24"/>
          <w:szCs w:val="24"/>
        </w:rPr>
        <w:t>koma, blødning i centralnervesystemet og hjerneblødning, paralyse og parese, encefalopati, tale</w:t>
      </w:r>
      <w:r w:rsidRPr="00C2340B">
        <w:rPr>
          <w:sz w:val="24"/>
          <w:szCs w:val="24"/>
        </w:rPr>
        <w:noBreakHyphen/>
        <w:t xml:space="preserve"> og sprogforstyrrelser, amnesi</w:t>
      </w:r>
    </w:p>
    <w:p w14:paraId="18D61BB8"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hypertoni</w:t>
      </w:r>
    </w:p>
    <w:p w14:paraId="68F21D42"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t>myasteni</w:t>
      </w:r>
    </w:p>
    <w:p w14:paraId="2B596EC1" w14:textId="77777777" w:rsidR="00C2340B" w:rsidRPr="00C2340B" w:rsidRDefault="00C2340B" w:rsidP="00A44660">
      <w:pPr>
        <w:ind w:left="851"/>
        <w:rPr>
          <w:sz w:val="24"/>
          <w:szCs w:val="24"/>
        </w:rPr>
      </w:pPr>
      <w:r w:rsidRPr="00C2340B">
        <w:rPr>
          <w:sz w:val="24"/>
          <w:szCs w:val="24"/>
        </w:rPr>
        <w:t>Ikke kendt:</w:t>
      </w:r>
      <w:r w:rsidRPr="00C2340B">
        <w:rPr>
          <w:sz w:val="24"/>
          <w:szCs w:val="24"/>
        </w:rPr>
        <w:tab/>
      </w:r>
      <w:r w:rsidRPr="00C2340B">
        <w:rPr>
          <w:sz w:val="24"/>
          <w:szCs w:val="24"/>
        </w:rPr>
        <w:tab/>
        <w:t>p</w:t>
      </w:r>
      <w:r w:rsidRPr="00C2340B">
        <w:rPr>
          <w:bCs/>
          <w:iCs/>
          <w:sz w:val="24"/>
          <w:szCs w:val="24"/>
        </w:rPr>
        <w:t xml:space="preserve">osterior </w:t>
      </w:r>
      <w:proofErr w:type="gramStart"/>
      <w:r w:rsidRPr="00C2340B">
        <w:rPr>
          <w:bCs/>
          <w:iCs/>
          <w:sz w:val="24"/>
          <w:szCs w:val="24"/>
        </w:rPr>
        <w:t>reversibel encefalopatisyndrom</w:t>
      </w:r>
      <w:proofErr w:type="gramEnd"/>
      <w:r w:rsidRPr="00C2340B">
        <w:rPr>
          <w:bCs/>
          <w:iCs/>
          <w:sz w:val="24"/>
          <w:szCs w:val="24"/>
        </w:rPr>
        <w:t xml:space="preserve"> (PRES)</w:t>
      </w:r>
    </w:p>
    <w:p w14:paraId="20FAACAB" w14:textId="77777777" w:rsidR="00C2340B" w:rsidRPr="00C2340B" w:rsidRDefault="00C2340B" w:rsidP="00A44660">
      <w:pPr>
        <w:ind w:left="851"/>
        <w:rPr>
          <w:sz w:val="24"/>
          <w:szCs w:val="24"/>
        </w:rPr>
      </w:pPr>
    </w:p>
    <w:p w14:paraId="4BBEEBB2" w14:textId="77777777" w:rsidR="00C2340B" w:rsidRPr="00C2340B" w:rsidRDefault="00C2340B" w:rsidP="00A44660">
      <w:pPr>
        <w:ind w:left="851"/>
        <w:rPr>
          <w:sz w:val="24"/>
          <w:szCs w:val="24"/>
        </w:rPr>
      </w:pPr>
      <w:r w:rsidRPr="00C2340B">
        <w:rPr>
          <w:sz w:val="24"/>
          <w:szCs w:val="24"/>
          <w:u w:val="single"/>
        </w:rPr>
        <w:t>Øjne</w:t>
      </w:r>
    </w:p>
    <w:p w14:paraId="7664E1C1"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sløret syn, fotofobi, øjenlidelser</w:t>
      </w:r>
    </w:p>
    <w:p w14:paraId="17359E01" w14:textId="0B461E43"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katarakt</w:t>
      </w:r>
    </w:p>
    <w:p w14:paraId="7EFB4D9F"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blindhed</w:t>
      </w:r>
    </w:p>
    <w:p w14:paraId="09DDD4FC" w14:textId="77777777" w:rsidR="00C2340B" w:rsidRPr="00C2340B" w:rsidRDefault="00C2340B" w:rsidP="00A44660">
      <w:pPr>
        <w:ind w:left="851"/>
        <w:rPr>
          <w:sz w:val="24"/>
          <w:szCs w:val="24"/>
        </w:rPr>
      </w:pPr>
      <w:r w:rsidRPr="00C2340B">
        <w:rPr>
          <w:sz w:val="24"/>
          <w:szCs w:val="24"/>
        </w:rPr>
        <w:t>Ikke kendt:</w:t>
      </w:r>
      <w:r w:rsidRPr="00C2340B">
        <w:rPr>
          <w:sz w:val="24"/>
          <w:szCs w:val="24"/>
        </w:rPr>
        <w:tab/>
      </w:r>
      <w:r w:rsidRPr="00C2340B">
        <w:rPr>
          <w:sz w:val="24"/>
          <w:szCs w:val="24"/>
        </w:rPr>
        <w:tab/>
        <w:t>optisk neuropati</w:t>
      </w:r>
    </w:p>
    <w:p w14:paraId="1E4083B7" w14:textId="77777777" w:rsidR="00C2340B" w:rsidRPr="00C2340B" w:rsidRDefault="00C2340B" w:rsidP="00A44660">
      <w:pPr>
        <w:ind w:left="851"/>
        <w:rPr>
          <w:sz w:val="24"/>
          <w:szCs w:val="24"/>
        </w:rPr>
      </w:pPr>
    </w:p>
    <w:p w14:paraId="2C09D7DA" w14:textId="77777777" w:rsidR="00C2340B" w:rsidRPr="00C2340B" w:rsidRDefault="00C2340B" w:rsidP="00A44660">
      <w:pPr>
        <w:ind w:left="851"/>
        <w:rPr>
          <w:sz w:val="24"/>
          <w:szCs w:val="24"/>
        </w:rPr>
      </w:pPr>
      <w:r w:rsidRPr="00C2340B">
        <w:rPr>
          <w:sz w:val="24"/>
          <w:szCs w:val="24"/>
          <w:u w:val="single"/>
        </w:rPr>
        <w:t>Øre og labyrint</w:t>
      </w:r>
    </w:p>
    <w:p w14:paraId="10AA8DE8"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tinnitus</w:t>
      </w:r>
    </w:p>
    <w:p w14:paraId="7A12AA3C" w14:textId="1C03AC96"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hypoacusis</w:t>
      </w:r>
    </w:p>
    <w:p w14:paraId="3919BF67"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neurosensorisk døvhed</w:t>
      </w:r>
    </w:p>
    <w:p w14:paraId="2BD092C8"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t>nedsat hørelse</w:t>
      </w:r>
    </w:p>
    <w:p w14:paraId="7B9BDD9E" w14:textId="77777777" w:rsidR="00C2340B" w:rsidRPr="00C2340B" w:rsidRDefault="00C2340B" w:rsidP="00A44660">
      <w:pPr>
        <w:ind w:left="851"/>
        <w:rPr>
          <w:sz w:val="24"/>
          <w:szCs w:val="24"/>
        </w:rPr>
      </w:pPr>
    </w:p>
    <w:p w14:paraId="2591E3DF" w14:textId="77777777" w:rsidR="00C2340B" w:rsidRPr="00C2340B" w:rsidRDefault="00C2340B" w:rsidP="00A44660">
      <w:pPr>
        <w:ind w:left="851"/>
        <w:rPr>
          <w:sz w:val="24"/>
          <w:szCs w:val="24"/>
          <w:u w:val="single"/>
        </w:rPr>
      </w:pPr>
      <w:r w:rsidRPr="00C2340B">
        <w:rPr>
          <w:sz w:val="24"/>
          <w:szCs w:val="24"/>
          <w:u w:val="single"/>
        </w:rPr>
        <w:t>Hjerte</w:t>
      </w:r>
    </w:p>
    <w:p w14:paraId="68DFA405"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iskæmiske koronararterie tilstande, takykardi</w:t>
      </w:r>
    </w:p>
    <w:p w14:paraId="66A454FE" w14:textId="5400AB77"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ventrikulære arytmier og hjertestop, hjertesvigt, kardiomyopati, ventrikulær hypertrofi, supraventrikulær arytmi, palpitationer</w:t>
      </w:r>
    </w:p>
    <w:p w14:paraId="495D73CF"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perikardial ekssudation</w:t>
      </w:r>
    </w:p>
    <w:p w14:paraId="21309661"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r>
      <w:r w:rsidRPr="00C2340B">
        <w:rPr>
          <w:i/>
          <w:sz w:val="24"/>
          <w:szCs w:val="24"/>
        </w:rPr>
        <w:t>Torsades de pointes</w:t>
      </w:r>
    </w:p>
    <w:p w14:paraId="6005DA55" w14:textId="77777777" w:rsidR="00C2340B" w:rsidRPr="00C2340B" w:rsidRDefault="00C2340B" w:rsidP="00A44660">
      <w:pPr>
        <w:ind w:left="851"/>
        <w:rPr>
          <w:sz w:val="24"/>
          <w:szCs w:val="24"/>
          <w:u w:val="single"/>
        </w:rPr>
      </w:pPr>
    </w:p>
    <w:p w14:paraId="5B95D993" w14:textId="77777777" w:rsidR="00C2340B" w:rsidRPr="00C2340B" w:rsidRDefault="00C2340B" w:rsidP="00A44660">
      <w:pPr>
        <w:ind w:left="851"/>
        <w:rPr>
          <w:sz w:val="24"/>
          <w:szCs w:val="24"/>
        </w:rPr>
      </w:pPr>
      <w:r w:rsidRPr="00C2340B">
        <w:rPr>
          <w:sz w:val="24"/>
          <w:szCs w:val="24"/>
          <w:u w:val="single"/>
        </w:rPr>
        <w:t>Vaskulære sygdomme</w:t>
      </w:r>
    </w:p>
    <w:p w14:paraId="1EC8CF6B"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hypertension</w:t>
      </w:r>
    </w:p>
    <w:p w14:paraId="18CA0EBF" w14:textId="38BEDE2E"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blødning, tromboemboliske og iskæmiske tilstande, perifere kredsløbsforstyrrelser, vaskulært betinget nedsat blodtryk</w:t>
      </w:r>
    </w:p>
    <w:p w14:paraId="1AA464D2" w14:textId="0D5E5E69"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infarkt, dyb venetrombose, shock</w:t>
      </w:r>
    </w:p>
    <w:p w14:paraId="2FBC7EF1" w14:textId="77777777" w:rsidR="00C2340B" w:rsidRPr="00C2340B" w:rsidRDefault="00C2340B" w:rsidP="00A44660">
      <w:pPr>
        <w:ind w:left="851"/>
        <w:rPr>
          <w:sz w:val="24"/>
          <w:szCs w:val="24"/>
          <w:u w:val="single"/>
        </w:rPr>
      </w:pPr>
    </w:p>
    <w:p w14:paraId="6D5EB54C" w14:textId="77777777" w:rsidR="00C2340B" w:rsidRPr="00C2340B" w:rsidRDefault="00C2340B" w:rsidP="00A44660">
      <w:pPr>
        <w:ind w:left="851"/>
        <w:rPr>
          <w:sz w:val="24"/>
          <w:szCs w:val="24"/>
          <w:u w:val="single"/>
        </w:rPr>
      </w:pPr>
      <w:r w:rsidRPr="00C2340B">
        <w:rPr>
          <w:sz w:val="24"/>
          <w:szCs w:val="24"/>
          <w:u w:val="single"/>
        </w:rPr>
        <w:t>Luftveje, thorax og mediastinum</w:t>
      </w:r>
    </w:p>
    <w:p w14:paraId="655E04F7" w14:textId="7858917F"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dyspnø, parenkym lungelidelse, pleuraeffusion, pharyngitis, hoste, tilstopning og inflammation i næsen</w:t>
      </w:r>
    </w:p>
    <w:p w14:paraId="62F16859" w14:textId="78D2AD8B"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nedsat åndedrætsfunktion, lidelse i luftvejene, astma</w:t>
      </w:r>
    </w:p>
    <w:p w14:paraId="623CF865"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r>
      <w:r w:rsidRPr="00C2340B">
        <w:rPr>
          <w:sz w:val="24"/>
          <w:szCs w:val="24"/>
          <w:lang w:val="sv-SE"/>
        </w:rPr>
        <w:t xml:space="preserve">akut </w:t>
      </w:r>
      <w:r w:rsidRPr="00C2340B">
        <w:rPr>
          <w:i/>
          <w:iCs/>
          <w:sz w:val="24"/>
          <w:szCs w:val="24"/>
          <w:lang w:val="sv-SE"/>
        </w:rPr>
        <w:t>respiratory distress syndrome</w:t>
      </w:r>
    </w:p>
    <w:p w14:paraId="58122144" w14:textId="77777777" w:rsidR="00C2340B" w:rsidRPr="00C2340B" w:rsidRDefault="00C2340B" w:rsidP="00A44660">
      <w:pPr>
        <w:ind w:left="851"/>
        <w:rPr>
          <w:sz w:val="24"/>
          <w:szCs w:val="24"/>
          <w:lang w:val="sv-SE"/>
        </w:rPr>
      </w:pPr>
    </w:p>
    <w:p w14:paraId="4A932118" w14:textId="77777777" w:rsidR="00C2340B" w:rsidRPr="00C2340B" w:rsidRDefault="00C2340B" w:rsidP="00A44660">
      <w:pPr>
        <w:ind w:left="851"/>
        <w:rPr>
          <w:sz w:val="24"/>
          <w:szCs w:val="24"/>
          <w:u w:val="single"/>
          <w:lang w:val="sv-SE"/>
        </w:rPr>
      </w:pPr>
      <w:r w:rsidRPr="00C2340B">
        <w:rPr>
          <w:sz w:val="24"/>
          <w:szCs w:val="24"/>
          <w:u w:val="single"/>
          <w:lang w:val="sv-SE"/>
        </w:rPr>
        <w:t>Mave-tarm-kanalen</w:t>
      </w:r>
    </w:p>
    <w:p w14:paraId="09696512" w14:textId="77777777" w:rsidR="00C2340B" w:rsidRPr="00C2340B" w:rsidRDefault="00C2340B" w:rsidP="00A44660">
      <w:pPr>
        <w:ind w:left="851"/>
        <w:rPr>
          <w:sz w:val="24"/>
          <w:szCs w:val="24"/>
        </w:rPr>
      </w:pPr>
      <w:r w:rsidRPr="00C2340B">
        <w:rPr>
          <w:sz w:val="24"/>
          <w:szCs w:val="24"/>
        </w:rPr>
        <w:t xml:space="preserve">Meget almindelig: </w:t>
      </w:r>
      <w:r w:rsidRPr="00C2340B">
        <w:rPr>
          <w:sz w:val="24"/>
          <w:szCs w:val="24"/>
        </w:rPr>
        <w:tab/>
        <w:t>diarré, kvalme</w:t>
      </w:r>
    </w:p>
    <w:p w14:paraId="2B5724BA" w14:textId="4558A9CD"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gastrointestinale inflammatoriske tilstande, gastrointestinal ulceration og perforation, gastrointestinal blødning, stomatitis og ulceration, ascites, opkastning, gastrointestinale smerter, smerter i abdomen, tegn eller symptomer på dyspepsi, obstipation, flatulens, oppustet og udspilet, tynd afføring, gastrointestinale tegn og symptomer</w:t>
      </w:r>
    </w:p>
    <w:p w14:paraId="4928CE75" w14:textId="7577047F"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paralytisk ileus, akut og kronisk pancreatitis, gastroøsofageal refluks, nedsat tømning af mavesækken</w:t>
      </w:r>
    </w:p>
    <w:p w14:paraId="3D854502" w14:textId="77777777" w:rsidR="00C2340B" w:rsidRPr="00C2340B" w:rsidRDefault="00C2340B" w:rsidP="00A44660">
      <w:pPr>
        <w:ind w:left="851"/>
        <w:rPr>
          <w:sz w:val="24"/>
          <w:szCs w:val="24"/>
        </w:rPr>
      </w:pPr>
      <w:r w:rsidRPr="00C2340B">
        <w:rPr>
          <w:sz w:val="24"/>
          <w:szCs w:val="24"/>
        </w:rPr>
        <w:lastRenderedPageBreak/>
        <w:t>Sjælden:</w:t>
      </w:r>
      <w:r w:rsidRPr="00C2340B">
        <w:rPr>
          <w:sz w:val="24"/>
          <w:szCs w:val="24"/>
        </w:rPr>
        <w:tab/>
      </w:r>
      <w:r w:rsidRPr="00C2340B">
        <w:rPr>
          <w:sz w:val="24"/>
          <w:szCs w:val="24"/>
        </w:rPr>
        <w:tab/>
        <w:t>subileus, pseudocyster i pancreas</w:t>
      </w:r>
    </w:p>
    <w:p w14:paraId="3CB523C9" w14:textId="77777777" w:rsidR="00C2340B" w:rsidRPr="00C2340B" w:rsidRDefault="00C2340B" w:rsidP="00A44660">
      <w:pPr>
        <w:ind w:left="851"/>
        <w:rPr>
          <w:sz w:val="24"/>
          <w:szCs w:val="24"/>
          <w:u w:val="single"/>
        </w:rPr>
      </w:pPr>
    </w:p>
    <w:p w14:paraId="0C2AA97E" w14:textId="77777777" w:rsidR="00C2340B" w:rsidRPr="00C2340B" w:rsidRDefault="00C2340B" w:rsidP="00A44660">
      <w:pPr>
        <w:ind w:left="851"/>
        <w:rPr>
          <w:sz w:val="24"/>
          <w:szCs w:val="24"/>
        </w:rPr>
      </w:pPr>
      <w:r w:rsidRPr="00C2340B">
        <w:rPr>
          <w:sz w:val="24"/>
          <w:szCs w:val="24"/>
          <w:u w:val="single"/>
        </w:rPr>
        <w:t>Lever og galdeveje</w:t>
      </w:r>
    </w:p>
    <w:p w14:paraId="5BB50796"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cholestase og gulsot, skade på leverceller og hepatitis, cholangitis</w:t>
      </w:r>
    </w:p>
    <w:p w14:paraId="4AF0E3E7"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trombose i leverarterie, veneokklusiv leversygdom</w:t>
      </w:r>
    </w:p>
    <w:p w14:paraId="1663E9AA" w14:textId="77777777" w:rsidR="00C2340B" w:rsidRPr="00C2340B" w:rsidRDefault="00C2340B" w:rsidP="00A44660">
      <w:pPr>
        <w:ind w:left="851"/>
        <w:rPr>
          <w:sz w:val="24"/>
          <w:szCs w:val="24"/>
          <w:u w:val="single"/>
        </w:rPr>
      </w:pPr>
      <w:r w:rsidRPr="00C2340B">
        <w:rPr>
          <w:sz w:val="24"/>
          <w:szCs w:val="24"/>
        </w:rPr>
        <w:t>Meget sjælden:</w:t>
      </w:r>
      <w:r w:rsidRPr="00C2340B">
        <w:rPr>
          <w:sz w:val="24"/>
          <w:szCs w:val="24"/>
        </w:rPr>
        <w:tab/>
      </w:r>
      <w:r w:rsidRPr="00C2340B">
        <w:rPr>
          <w:sz w:val="24"/>
          <w:szCs w:val="24"/>
        </w:rPr>
        <w:tab/>
        <w:t>leversvigt, blokering af galdevejene</w:t>
      </w:r>
    </w:p>
    <w:p w14:paraId="1207E2F2" w14:textId="77777777" w:rsidR="00C2340B" w:rsidRPr="00C2340B" w:rsidRDefault="00C2340B" w:rsidP="00A44660">
      <w:pPr>
        <w:ind w:left="851"/>
        <w:rPr>
          <w:sz w:val="24"/>
          <w:szCs w:val="24"/>
          <w:u w:val="single"/>
        </w:rPr>
      </w:pPr>
    </w:p>
    <w:p w14:paraId="539A1CA1" w14:textId="77777777" w:rsidR="00C2340B" w:rsidRPr="00C2340B" w:rsidRDefault="00C2340B" w:rsidP="00A44660">
      <w:pPr>
        <w:ind w:left="851"/>
        <w:rPr>
          <w:sz w:val="24"/>
          <w:szCs w:val="24"/>
        </w:rPr>
      </w:pPr>
      <w:r w:rsidRPr="00C2340B">
        <w:rPr>
          <w:sz w:val="24"/>
          <w:szCs w:val="24"/>
          <w:u w:val="single"/>
        </w:rPr>
        <w:t>Hud og subkutane væv</w:t>
      </w:r>
    </w:p>
    <w:p w14:paraId="5A49279A"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pruritus, udslæt, alopeci, akne, svedudbrud</w:t>
      </w:r>
    </w:p>
    <w:p w14:paraId="438113FD" w14:textId="71F472F8"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dermatitis, fotosensibilisering</w:t>
      </w:r>
    </w:p>
    <w:p w14:paraId="49E8B0F8"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toksisk epidermal nekrolyse (Lyells syndrom)</w:t>
      </w:r>
    </w:p>
    <w:p w14:paraId="7ED9EEAF"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t>Stevens-Johnsons syndrom</w:t>
      </w:r>
    </w:p>
    <w:p w14:paraId="09A6B28D" w14:textId="77777777" w:rsidR="00C2340B" w:rsidRPr="00C2340B" w:rsidRDefault="00C2340B" w:rsidP="00A44660">
      <w:pPr>
        <w:ind w:left="851"/>
        <w:rPr>
          <w:sz w:val="24"/>
          <w:szCs w:val="24"/>
        </w:rPr>
      </w:pPr>
    </w:p>
    <w:p w14:paraId="5B1C922E" w14:textId="77777777" w:rsidR="00C2340B" w:rsidRPr="00C2340B" w:rsidRDefault="00C2340B" w:rsidP="00A44660">
      <w:pPr>
        <w:ind w:left="851"/>
        <w:rPr>
          <w:sz w:val="24"/>
          <w:szCs w:val="24"/>
          <w:u w:val="single"/>
        </w:rPr>
      </w:pPr>
      <w:r w:rsidRPr="00C2340B">
        <w:rPr>
          <w:sz w:val="24"/>
          <w:szCs w:val="24"/>
          <w:u w:val="single"/>
        </w:rPr>
        <w:t>Knogler, led, muskler og bindevæv</w:t>
      </w:r>
    </w:p>
    <w:p w14:paraId="7220C912"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artralgi, muskelspasmer, smerte i ekstremitet, rygsmerter</w:t>
      </w:r>
    </w:p>
    <w:p w14:paraId="6ECEB9FD" w14:textId="49EB9798"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ledproblemer</w:t>
      </w:r>
    </w:p>
    <w:p w14:paraId="0BC201E5" w14:textId="77777777" w:rsidR="00C2340B" w:rsidRPr="00C2340B" w:rsidRDefault="00C2340B" w:rsidP="00A44660">
      <w:pPr>
        <w:ind w:left="851"/>
        <w:rPr>
          <w:sz w:val="24"/>
          <w:szCs w:val="24"/>
          <w:u w:val="single"/>
        </w:rPr>
      </w:pPr>
      <w:r w:rsidRPr="00C2340B">
        <w:rPr>
          <w:sz w:val="24"/>
          <w:szCs w:val="24"/>
        </w:rPr>
        <w:t>Sjælden:</w:t>
      </w:r>
      <w:r w:rsidRPr="00C2340B">
        <w:rPr>
          <w:sz w:val="24"/>
          <w:szCs w:val="24"/>
        </w:rPr>
        <w:tab/>
      </w:r>
      <w:r w:rsidRPr="00C2340B">
        <w:rPr>
          <w:sz w:val="24"/>
          <w:szCs w:val="24"/>
        </w:rPr>
        <w:tab/>
        <w:t>nedsat bevægelighed</w:t>
      </w:r>
    </w:p>
    <w:p w14:paraId="2CCF5FB8" w14:textId="77777777" w:rsidR="00C2340B" w:rsidRPr="00C2340B" w:rsidRDefault="00C2340B" w:rsidP="00A44660">
      <w:pPr>
        <w:ind w:left="851"/>
        <w:rPr>
          <w:sz w:val="24"/>
          <w:szCs w:val="24"/>
          <w:u w:val="single"/>
        </w:rPr>
      </w:pPr>
    </w:p>
    <w:p w14:paraId="2A97F228" w14:textId="77777777" w:rsidR="00C2340B" w:rsidRPr="00C2340B" w:rsidRDefault="00C2340B" w:rsidP="00A44660">
      <w:pPr>
        <w:ind w:left="851"/>
        <w:rPr>
          <w:sz w:val="24"/>
          <w:szCs w:val="24"/>
          <w:u w:val="single"/>
        </w:rPr>
      </w:pPr>
      <w:r w:rsidRPr="00C2340B">
        <w:rPr>
          <w:sz w:val="24"/>
          <w:szCs w:val="24"/>
          <w:u w:val="single"/>
        </w:rPr>
        <w:t>Nyrer og urinveje</w:t>
      </w:r>
    </w:p>
    <w:p w14:paraId="2231B9FB"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nedsat nyrefunktion</w:t>
      </w:r>
    </w:p>
    <w:p w14:paraId="68B896AA" w14:textId="6E2373AA"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00A863D6">
        <w:rPr>
          <w:sz w:val="24"/>
          <w:szCs w:val="24"/>
        </w:rPr>
        <w:tab/>
      </w:r>
      <w:r w:rsidRPr="00C2340B">
        <w:rPr>
          <w:sz w:val="24"/>
          <w:szCs w:val="24"/>
        </w:rPr>
        <w:t>nyresvigt, akut nyresvigt, oliguri, renal tubulær nekrose, toksisk nefropati, vandladningsproblemer, symptomer fra blære og urinveje</w:t>
      </w:r>
    </w:p>
    <w:p w14:paraId="0C78F8B6" w14:textId="61192B9B" w:rsidR="00C2340B" w:rsidRPr="00C2340B" w:rsidRDefault="00C2340B" w:rsidP="00A44660">
      <w:pPr>
        <w:ind w:left="851"/>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anuri, hæmolytisk uræmisk syndrom</w:t>
      </w:r>
    </w:p>
    <w:p w14:paraId="17EA28C0"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t>nefropati, hæmaturi</w:t>
      </w:r>
    </w:p>
    <w:p w14:paraId="0D29FDEF" w14:textId="77777777" w:rsidR="00C2340B" w:rsidRPr="00C2340B" w:rsidRDefault="00C2340B" w:rsidP="00A44660">
      <w:pPr>
        <w:ind w:left="851"/>
        <w:rPr>
          <w:sz w:val="24"/>
          <w:szCs w:val="24"/>
          <w:u w:val="single"/>
        </w:rPr>
      </w:pPr>
    </w:p>
    <w:p w14:paraId="1EFF656F" w14:textId="77777777" w:rsidR="00C2340B" w:rsidRPr="00C2340B" w:rsidRDefault="00C2340B" w:rsidP="00A44660">
      <w:pPr>
        <w:ind w:left="851"/>
        <w:rPr>
          <w:sz w:val="24"/>
          <w:szCs w:val="24"/>
        </w:rPr>
      </w:pPr>
      <w:r w:rsidRPr="00C2340B">
        <w:rPr>
          <w:sz w:val="24"/>
          <w:szCs w:val="24"/>
          <w:u w:val="single"/>
        </w:rPr>
        <w:t>Det reproduktive system og mammae</w:t>
      </w:r>
    </w:p>
    <w:p w14:paraId="46E32239" w14:textId="1DAAB40D" w:rsidR="00C2340B" w:rsidRPr="00C2340B" w:rsidRDefault="00C2340B" w:rsidP="00A44660">
      <w:pPr>
        <w:ind w:left="851"/>
        <w:rPr>
          <w:sz w:val="24"/>
          <w:szCs w:val="24"/>
          <w:lang w:val="nb-NO"/>
        </w:rPr>
      </w:pPr>
      <w:r w:rsidRPr="00C2340B">
        <w:rPr>
          <w:sz w:val="24"/>
          <w:szCs w:val="24"/>
          <w:lang w:val="nb-NO"/>
        </w:rPr>
        <w:t>Ikke almindelig:</w:t>
      </w:r>
      <w:r w:rsidRPr="00C2340B">
        <w:rPr>
          <w:sz w:val="24"/>
          <w:szCs w:val="24"/>
          <w:lang w:val="nb-NO"/>
        </w:rPr>
        <w:tab/>
      </w:r>
      <w:r w:rsidR="00A863D6">
        <w:rPr>
          <w:sz w:val="24"/>
          <w:szCs w:val="24"/>
          <w:lang w:val="nb-NO"/>
        </w:rPr>
        <w:tab/>
      </w:r>
      <w:r w:rsidRPr="00C2340B">
        <w:rPr>
          <w:sz w:val="24"/>
          <w:szCs w:val="24"/>
          <w:lang w:val="nb-NO"/>
        </w:rPr>
        <w:t>dysmenoré og uterin blødning</w:t>
      </w:r>
    </w:p>
    <w:p w14:paraId="12A4C8D0" w14:textId="77777777" w:rsidR="00C2340B" w:rsidRPr="00C2340B" w:rsidRDefault="00C2340B" w:rsidP="00A44660">
      <w:pPr>
        <w:ind w:left="851"/>
        <w:rPr>
          <w:bCs/>
          <w:sz w:val="24"/>
          <w:szCs w:val="24"/>
          <w:lang w:val="nb-NO"/>
        </w:rPr>
      </w:pPr>
    </w:p>
    <w:p w14:paraId="56B8A0D0" w14:textId="77777777" w:rsidR="00C2340B" w:rsidRPr="00C2340B" w:rsidRDefault="00C2340B" w:rsidP="00A44660">
      <w:pPr>
        <w:ind w:left="851"/>
        <w:rPr>
          <w:sz w:val="24"/>
          <w:szCs w:val="24"/>
          <w:u w:val="single"/>
        </w:rPr>
      </w:pPr>
      <w:r w:rsidRPr="00C2340B">
        <w:rPr>
          <w:sz w:val="24"/>
          <w:szCs w:val="24"/>
          <w:u w:val="single"/>
        </w:rPr>
        <w:t>Almene symptomer og reaktioner på administrationsstedet</w:t>
      </w:r>
    </w:p>
    <w:p w14:paraId="03FE2FD2" w14:textId="77777777" w:rsidR="00C2340B" w:rsidRPr="00C2340B" w:rsidRDefault="00C2340B" w:rsidP="00A863D6">
      <w:pPr>
        <w:ind w:left="3911" w:hanging="3060"/>
        <w:rPr>
          <w:sz w:val="24"/>
          <w:szCs w:val="24"/>
        </w:rPr>
      </w:pPr>
      <w:r w:rsidRPr="00C2340B">
        <w:rPr>
          <w:sz w:val="24"/>
          <w:szCs w:val="24"/>
        </w:rPr>
        <w:t>Almindelig:</w:t>
      </w:r>
      <w:r w:rsidRPr="00C2340B">
        <w:rPr>
          <w:sz w:val="24"/>
          <w:szCs w:val="24"/>
        </w:rPr>
        <w:tab/>
      </w:r>
      <w:r w:rsidRPr="00C2340B">
        <w:rPr>
          <w:sz w:val="24"/>
          <w:szCs w:val="24"/>
        </w:rPr>
        <w:tab/>
        <w:t>asteni, feber, ødem, smerter og ubehag, ændret opfattelse af kropstemperatur</w:t>
      </w:r>
    </w:p>
    <w:p w14:paraId="497D401D" w14:textId="38CA08ED"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multiorgansvigt, influenzalignende symptomer, temperaturintolerans, en følelse af trykken for brystet, nervøsitet, fremmedfølelse</w:t>
      </w:r>
    </w:p>
    <w:p w14:paraId="6511748C" w14:textId="77777777" w:rsidR="00C2340B" w:rsidRPr="00C2340B" w:rsidRDefault="00C2340B" w:rsidP="00A44660">
      <w:pPr>
        <w:ind w:left="851"/>
        <w:rPr>
          <w:sz w:val="24"/>
          <w:szCs w:val="24"/>
        </w:rPr>
      </w:pPr>
      <w:r w:rsidRPr="00C2340B">
        <w:rPr>
          <w:sz w:val="24"/>
          <w:szCs w:val="24"/>
        </w:rPr>
        <w:t>Sjælden:</w:t>
      </w:r>
      <w:r w:rsidRPr="00C2340B">
        <w:rPr>
          <w:sz w:val="24"/>
          <w:szCs w:val="24"/>
        </w:rPr>
        <w:tab/>
      </w:r>
      <w:r w:rsidRPr="00C2340B">
        <w:rPr>
          <w:sz w:val="24"/>
          <w:szCs w:val="24"/>
        </w:rPr>
        <w:tab/>
        <w:t>tørst, fald, trykken for brystet, ulcus</w:t>
      </w:r>
    </w:p>
    <w:p w14:paraId="69B0FACB" w14:textId="77777777" w:rsidR="00C2340B" w:rsidRPr="00C2340B" w:rsidRDefault="00C2340B" w:rsidP="00A44660">
      <w:pPr>
        <w:ind w:left="851"/>
        <w:rPr>
          <w:sz w:val="24"/>
          <w:szCs w:val="24"/>
        </w:rPr>
      </w:pPr>
      <w:r w:rsidRPr="00C2340B">
        <w:rPr>
          <w:sz w:val="24"/>
          <w:szCs w:val="24"/>
        </w:rPr>
        <w:t>Meget sjælden:</w:t>
      </w:r>
      <w:r w:rsidRPr="00C2340B">
        <w:rPr>
          <w:sz w:val="24"/>
          <w:szCs w:val="24"/>
        </w:rPr>
        <w:tab/>
      </w:r>
      <w:r w:rsidRPr="00C2340B">
        <w:rPr>
          <w:sz w:val="24"/>
          <w:szCs w:val="24"/>
        </w:rPr>
        <w:tab/>
        <w:t>øget fedtvæv</w:t>
      </w:r>
    </w:p>
    <w:p w14:paraId="45923914" w14:textId="77777777" w:rsidR="00C2340B" w:rsidRPr="00C2340B" w:rsidRDefault="00C2340B" w:rsidP="00A44660">
      <w:pPr>
        <w:ind w:left="851"/>
        <w:rPr>
          <w:sz w:val="24"/>
          <w:szCs w:val="24"/>
        </w:rPr>
      </w:pPr>
    </w:p>
    <w:p w14:paraId="15A48D5C" w14:textId="77777777" w:rsidR="00C2340B" w:rsidRPr="00C2340B" w:rsidRDefault="00C2340B" w:rsidP="00A44660">
      <w:pPr>
        <w:ind w:left="851"/>
        <w:rPr>
          <w:sz w:val="24"/>
          <w:szCs w:val="24"/>
        </w:rPr>
      </w:pPr>
      <w:r w:rsidRPr="00C2340B">
        <w:rPr>
          <w:sz w:val="24"/>
          <w:szCs w:val="24"/>
          <w:u w:val="single"/>
        </w:rPr>
        <w:t>Undersøgelser</w:t>
      </w:r>
    </w:p>
    <w:p w14:paraId="64CFB4C6" w14:textId="77777777" w:rsidR="00C2340B" w:rsidRPr="00C2340B" w:rsidRDefault="00C2340B" w:rsidP="00A44660">
      <w:pPr>
        <w:ind w:left="851"/>
        <w:rPr>
          <w:sz w:val="24"/>
          <w:szCs w:val="24"/>
        </w:rPr>
      </w:pPr>
      <w:r w:rsidRPr="00C2340B">
        <w:rPr>
          <w:sz w:val="24"/>
          <w:szCs w:val="24"/>
        </w:rPr>
        <w:t>Meget almindelig:</w:t>
      </w:r>
      <w:r w:rsidRPr="00C2340B">
        <w:rPr>
          <w:sz w:val="24"/>
          <w:szCs w:val="24"/>
        </w:rPr>
        <w:tab/>
        <w:t>unormale leverfunktionstests</w:t>
      </w:r>
    </w:p>
    <w:p w14:paraId="0F56EC2B"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stigning i basisk fosfatase, vægtøgning</w:t>
      </w:r>
    </w:p>
    <w:p w14:paraId="14AEF81A" w14:textId="39C53A66" w:rsidR="00C2340B" w:rsidRPr="00C2340B" w:rsidRDefault="00C2340B" w:rsidP="00A863D6">
      <w:pPr>
        <w:ind w:left="3911" w:hanging="3060"/>
        <w:rPr>
          <w:sz w:val="24"/>
          <w:szCs w:val="24"/>
        </w:rPr>
      </w:pPr>
      <w:r w:rsidRPr="00C2340B">
        <w:rPr>
          <w:sz w:val="24"/>
          <w:szCs w:val="24"/>
        </w:rPr>
        <w:t>Ikke almindelig:</w:t>
      </w:r>
      <w:r w:rsidRPr="00C2340B">
        <w:rPr>
          <w:sz w:val="24"/>
          <w:szCs w:val="24"/>
        </w:rPr>
        <w:tab/>
      </w:r>
      <w:r w:rsidR="00A863D6">
        <w:rPr>
          <w:sz w:val="24"/>
          <w:szCs w:val="24"/>
        </w:rPr>
        <w:tab/>
      </w:r>
      <w:r w:rsidRPr="00C2340B">
        <w:rPr>
          <w:sz w:val="24"/>
          <w:szCs w:val="24"/>
        </w:rPr>
        <w:t>øget amylase, EKG-forandringer, forandringer i hjerterytme og puls, vægttab, øget blodlactatdehydrogenase</w:t>
      </w:r>
    </w:p>
    <w:p w14:paraId="1770C60E" w14:textId="77777777" w:rsidR="00C2340B" w:rsidRPr="00C2340B" w:rsidRDefault="00C2340B" w:rsidP="00A44660">
      <w:pPr>
        <w:ind w:left="851"/>
        <w:rPr>
          <w:sz w:val="24"/>
          <w:szCs w:val="24"/>
          <w:u w:val="single"/>
        </w:rPr>
      </w:pPr>
      <w:r w:rsidRPr="00C2340B">
        <w:rPr>
          <w:sz w:val="24"/>
          <w:szCs w:val="24"/>
        </w:rPr>
        <w:t>Meget sjælden:</w:t>
      </w:r>
      <w:r w:rsidRPr="00C2340B">
        <w:rPr>
          <w:sz w:val="24"/>
          <w:szCs w:val="24"/>
        </w:rPr>
        <w:tab/>
      </w:r>
      <w:r w:rsidRPr="00C2340B">
        <w:rPr>
          <w:sz w:val="24"/>
          <w:szCs w:val="24"/>
        </w:rPr>
        <w:tab/>
        <w:t>unormalt ekkokardiogram, elektrokardiogram med QT-forlængelse</w:t>
      </w:r>
    </w:p>
    <w:p w14:paraId="5C6ABAEF" w14:textId="77777777" w:rsidR="00C2340B" w:rsidRPr="00C2340B" w:rsidRDefault="00C2340B" w:rsidP="00A44660">
      <w:pPr>
        <w:ind w:left="851"/>
        <w:rPr>
          <w:sz w:val="24"/>
          <w:szCs w:val="24"/>
          <w:u w:val="single"/>
        </w:rPr>
      </w:pPr>
    </w:p>
    <w:p w14:paraId="05925757" w14:textId="77777777" w:rsidR="00C2340B" w:rsidRPr="00C2340B" w:rsidRDefault="00C2340B" w:rsidP="00A44660">
      <w:pPr>
        <w:ind w:left="851"/>
        <w:rPr>
          <w:sz w:val="24"/>
          <w:szCs w:val="24"/>
          <w:u w:val="single"/>
        </w:rPr>
      </w:pPr>
      <w:r w:rsidRPr="00C2340B">
        <w:rPr>
          <w:sz w:val="24"/>
          <w:szCs w:val="24"/>
          <w:u w:val="single"/>
        </w:rPr>
        <w:t>Traumer, forgiftninger og behandlingskomplikationer</w:t>
      </w:r>
    </w:p>
    <w:p w14:paraId="5A2D6963" w14:textId="77777777" w:rsidR="00C2340B" w:rsidRPr="00C2340B" w:rsidRDefault="00C2340B" w:rsidP="00A44660">
      <w:pPr>
        <w:ind w:left="851"/>
        <w:rPr>
          <w:sz w:val="24"/>
          <w:szCs w:val="24"/>
        </w:rPr>
      </w:pPr>
      <w:r w:rsidRPr="00C2340B">
        <w:rPr>
          <w:sz w:val="24"/>
          <w:szCs w:val="24"/>
        </w:rPr>
        <w:t>Almindelig:</w:t>
      </w:r>
      <w:r w:rsidRPr="00C2340B">
        <w:rPr>
          <w:sz w:val="24"/>
          <w:szCs w:val="24"/>
        </w:rPr>
        <w:tab/>
      </w:r>
      <w:r w:rsidRPr="00C2340B">
        <w:rPr>
          <w:sz w:val="24"/>
          <w:szCs w:val="24"/>
        </w:rPr>
        <w:tab/>
        <w:t>funktionssvigt af primær graft</w:t>
      </w:r>
    </w:p>
    <w:p w14:paraId="1B30F16E" w14:textId="77777777" w:rsidR="00C2340B" w:rsidRPr="00C2340B" w:rsidRDefault="00C2340B" w:rsidP="00A44660">
      <w:pPr>
        <w:ind w:left="851"/>
        <w:rPr>
          <w:sz w:val="24"/>
          <w:szCs w:val="24"/>
        </w:rPr>
      </w:pPr>
    </w:p>
    <w:p w14:paraId="3FAAC31B" w14:textId="77777777" w:rsidR="00C2340B" w:rsidRPr="00C2340B" w:rsidRDefault="00C2340B" w:rsidP="00A44660">
      <w:pPr>
        <w:ind w:left="851"/>
        <w:rPr>
          <w:sz w:val="24"/>
          <w:szCs w:val="24"/>
        </w:rPr>
      </w:pPr>
      <w:r w:rsidRPr="00C2340B">
        <w:rPr>
          <w:sz w:val="24"/>
          <w:szCs w:val="24"/>
        </w:rPr>
        <w:lastRenderedPageBreak/>
        <w:t>Medicineringsfejl, herunder utilsigtet, uforsætlig eller uovervåget substitution af umiddelbart udløste eller depotformuleringer af tacrolimus, er set. Et antal relaterede sager med transplantatafstødning er rapporteret (hyppigheden kan ikke estimeres ud fra forhåndenværende data).</w:t>
      </w:r>
    </w:p>
    <w:p w14:paraId="150BBADA" w14:textId="77777777" w:rsidR="00C2340B" w:rsidRPr="00C2340B" w:rsidRDefault="00C2340B" w:rsidP="00A44660">
      <w:pPr>
        <w:ind w:left="851"/>
        <w:rPr>
          <w:sz w:val="24"/>
          <w:szCs w:val="24"/>
        </w:rPr>
      </w:pPr>
    </w:p>
    <w:p w14:paraId="7E0C0114" w14:textId="77777777" w:rsidR="00C2340B" w:rsidRPr="00C2340B" w:rsidRDefault="00C2340B" w:rsidP="00A44660">
      <w:pPr>
        <w:ind w:left="851"/>
        <w:rPr>
          <w:sz w:val="24"/>
          <w:szCs w:val="24"/>
          <w:u w:val="single"/>
        </w:rPr>
      </w:pPr>
      <w:r w:rsidRPr="00C2340B">
        <w:rPr>
          <w:sz w:val="24"/>
          <w:szCs w:val="24"/>
          <w:u w:val="single"/>
        </w:rPr>
        <w:t>Beskrivelse af udvalgte bivirkninger</w:t>
      </w:r>
    </w:p>
    <w:p w14:paraId="2D924BD6" w14:textId="77777777" w:rsidR="00C2340B" w:rsidRPr="00C2340B" w:rsidRDefault="00C2340B" w:rsidP="00A44660">
      <w:pPr>
        <w:ind w:left="851"/>
        <w:rPr>
          <w:sz w:val="24"/>
          <w:szCs w:val="24"/>
        </w:rPr>
      </w:pPr>
      <w:r w:rsidRPr="00C2340B">
        <w:rPr>
          <w:sz w:val="24"/>
          <w:szCs w:val="24"/>
        </w:rPr>
        <w:t>Smerte i ekstremitet er blevet beskrevet i en række offentliggjorte casestudier som del af Calcineurin-Inhibitor Induced Pain Syndrome (CIPS). Dette fremstår typisk som en bilateral og symmetrisk, svær stigende smerte i underekstremiteterne og kan være associeret med supra-terapeutiske niveauer af tacrolimus. Syndromet kan reagere på reduktion af tacrolimus-dosis. I nogle tilfælde var det nødvendigt at skifte til alternativ immunsuppression.</w:t>
      </w:r>
    </w:p>
    <w:p w14:paraId="6074160D" w14:textId="77777777" w:rsidR="00C2340B" w:rsidRPr="00C2340B" w:rsidRDefault="00C2340B" w:rsidP="00A44660">
      <w:pPr>
        <w:ind w:left="851"/>
        <w:rPr>
          <w:sz w:val="24"/>
          <w:szCs w:val="24"/>
        </w:rPr>
      </w:pPr>
    </w:p>
    <w:p w14:paraId="607ECB3C" w14:textId="77777777" w:rsidR="00C2340B" w:rsidRPr="00C2340B" w:rsidRDefault="00C2340B" w:rsidP="00A44660">
      <w:pPr>
        <w:ind w:left="851"/>
        <w:rPr>
          <w:sz w:val="24"/>
          <w:szCs w:val="24"/>
          <w:u w:val="single"/>
        </w:rPr>
      </w:pPr>
      <w:r w:rsidRPr="00C2340B">
        <w:rPr>
          <w:sz w:val="24"/>
          <w:szCs w:val="24"/>
          <w:u w:val="single"/>
        </w:rPr>
        <w:t>Indberetning af formodede bivirkninger</w:t>
      </w:r>
    </w:p>
    <w:p w14:paraId="7B47A6D1" w14:textId="77777777" w:rsidR="00C2340B" w:rsidRPr="00C2340B" w:rsidRDefault="00C2340B" w:rsidP="00A44660">
      <w:pPr>
        <w:ind w:left="851"/>
        <w:rPr>
          <w:sz w:val="24"/>
          <w:szCs w:val="24"/>
        </w:rPr>
      </w:pPr>
      <w:r w:rsidRPr="00C2340B">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06D7A0F5" w14:textId="77777777" w:rsidR="00C2340B" w:rsidRPr="00C2340B" w:rsidRDefault="00C2340B" w:rsidP="00A44660">
      <w:pPr>
        <w:ind w:left="851"/>
        <w:rPr>
          <w:sz w:val="24"/>
          <w:szCs w:val="24"/>
        </w:rPr>
      </w:pPr>
    </w:p>
    <w:p w14:paraId="19468264" w14:textId="77777777" w:rsidR="00C2340B" w:rsidRPr="00C2340B" w:rsidRDefault="00C2340B" w:rsidP="00A44660">
      <w:pPr>
        <w:ind w:left="851"/>
        <w:rPr>
          <w:sz w:val="24"/>
          <w:szCs w:val="24"/>
        </w:rPr>
      </w:pPr>
      <w:r w:rsidRPr="00C2340B">
        <w:rPr>
          <w:sz w:val="24"/>
          <w:szCs w:val="24"/>
        </w:rPr>
        <w:t>Lægemiddelstyrelsen</w:t>
      </w:r>
    </w:p>
    <w:p w14:paraId="4104F053" w14:textId="77777777" w:rsidR="00C2340B" w:rsidRPr="00C2340B" w:rsidRDefault="00C2340B" w:rsidP="00A44660">
      <w:pPr>
        <w:ind w:left="851"/>
        <w:rPr>
          <w:sz w:val="24"/>
          <w:szCs w:val="24"/>
        </w:rPr>
      </w:pPr>
      <w:r w:rsidRPr="00C2340B">
        <w:rPr>
          <w:sz w:val="24"/>
          <w:szCs w:val="24"/>
        </w:rPr>
        <w:t>Axel Heides Gade 1</w:t>
      </w:r>
    </w:p>
    <w:p w14:paraId="75846A41" w14:textId="77777777" w:rsidR="00C2340B" w:rsidRPr="00C2340B" w:rsidRDefault="00C2340B" w:rsidP="00A44660">
      <w:pPr>
        <w:ind w:left="851"/>
        <w:rPr>
          <w:sz w:val="24"/>
          <w:szCs w:val="24"/>
        </w:rPr>
      </w:pPr>
      <w:r w:rsidRPr="00C2340B">
        <w:rPr>
          <w:sz w:val="24"/>
          <w:szCs w:val="24"/>
        </w:rPr>
        <w:t>DK-2300 København S</w:t>
      </w:r>
    </w:p>
    <w:p w14:paraId="73ED321A" w14:textId="77777777" w:rsidR="00C2340B" w:rsidRPr="00C2340B" w:rsidRDefault="00C2340B" w:rsidP="00A44660">
      <w:pPr>
        <w:ind w:left="851"/>
        <w:rPr>
          <w:sz w:val="24"/>
          <w:szCs w:val="24"/>
          <w:lang w:val="sv-SE"/>
        </w:rPr>
      </w:pPr>
      <w:r w:rsidRPr="00C2340B">
        <w:rPr>
          <w:sz w:val="24"/>
          <w:szCs w:val="24"/>
          <w:lang w:val="sv-SE"/>
        </w:rPr>
        <w:t xml:space="preserve">Websted: </w:t>
      </w:r>
      <w:hyperlink r:id="rId8" w:history="1">
        <w:r w:rsidRPr="00C2340B">
          <w:rPr>
            <w:rStyle w:val="Hyperlink"/>
            <w:sz w:val="24"/>
            <w:szCs w:val="24"/>
            <w:lang w:val="sv-SE"/>
          </w:rPr>
          <w:t>www.meldenbivirkning.dk</w:t>
        </w:r>
      </w:hyperlink>
    </w:p>
    <w:p w14:paraId="6A224CC0" w14:textId="77777777" w:rsidR="009260DE" w:rsidRPr="00C2340B" w:rsidRDefault="009260DE" w:rsidP="00A10294">
      <w:pPr>
        <w:tabs>
          <w:tab w:val="left" w:pos="851"/>
        </w:tabs>
        <w:ind w:left="851"/>
        <w:rPr>
          <w:sz w:val="24"/>
          <w:szCs w:val="24"/>
          <w:lang w:val="sv-SE"/>
        </w:rPr>
      </w:pPr>
    </w:p>
    <w:p w14:paraId="40E75165"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1037047D" w14:textId="77777777" w:rsidR="00C2340B" w:rsidRPr="00C2340B" w:rsidRDefault="00C2340B" w:rsidP="00A44660">
      <w:pPr>
        <w:ind w:left="851"/>
        <w:rPr>
          <w:sz w:val="24"/>
          <w:szCs w:val="24"/>
        </w:rPr>
      </w:pPr>
      <w:r w:rsidRPr="00C2340B">
        <w:rPr>
          <w:sz w:val="24"/>
          <w:szCs w:val="24"/>
        </w:rPr>
        <w:t>Erfaring med overdosering er begrænset. Der er blevet rapporteret adskillige tilfælde af utilsigtet overdosering med tacrolimus som: tremor, hovedpine, kvalme og opkastninger, infektioner, urticaria, letargi, forhøjet blodurinstof samt forhøjet serumkreatinin og øget alaninaminotransferase.</w:t>
      </w:r>
    </w:p>
    <w:p w14:paraId="29B3F326" w14:textId="645BDF35" w:rsidR="00C2340B" w:rsidRPr="00C2340B" w:rsidRDefault="00C2340B" w:rsidP="00A44660">
      <w:pPr>
        <w:ind w:left="851"/>
        <w:rPr>
          <w:sz w:val="24"/>
          <w:szCs w:val="24"/>
        </w:rPr>
      </w:pPr>
      <w:r w:rsidRPr="00C2340B">
        <w:rPr>
          <w:sz w:val="24"/>
          <w:szCs w:val="24"/>
        </w:rPr>
        <w:t xml:space="preserve">Der findes ingen specifik antidot til Tacrolimus </w:t>
      </w:r>
      <w:r w:rsidR="00A863D6">
        <w:rPr>
          <w:sz w:val="24"/>
          <w:szCs w:val="24"/>
        </w:rPr>
        <w:t>"EQL Pharma"</w:t>
      </w:r>
      <w:r w:rsidRPr="00C2340B">
        <w:rPr>
          <w:sz w:val="24"/>
          <w:szCs w:val="24"/>
        </w:rPr>
        <w:t>-behandling. I tilfælde af overdosering må man benytte almene understøttende midler og symptomatisk behandling.</w:t>
      </w:r>
    </w:p>
    <w:p w14:paraId="7783B412" w14:textId="77777777" w:rsidR="00C2340B" w:rsidRPr="00C2340B" w:rsidRDefault="00C2340B" w:rsidP="00A44660">
      <w:pPr>
        <w:ind w:left="851"/>
        <w:rPr>
          <w:sz w:val="24"/>
          <w:szCs w:val="24"/>
        </w:rPr>
      </w:pPr>
      <w:r w:rsidRPr="00C2340B">
        <w:rPr>
          <w:sz w:val="24"/>
          <w:szCs w:val="24"/>
        </w:rPr>
        <w:t>Som følge af den høje molekylevægt, den ringe vandopløselighed og stærke binding til erytrocytter og plasmaprotein er tacrolimus næppe dialysabelt. I nogle få tilfælde med meget høje plasmakoncentrationer har man effektivt kunnet reducere de toksiske koncentrationer med hæmofiltration eller hæmodiafiltration. Ved oral overdosering kan maveskylning og/eller indgift af absorberende stoffer (såsom medicinsk kul) forsøges kort tid efter indtagelse.</w:t>
      </w:r>
    </w:p>
    <w:p w14:paraId="45142F9E" w14:textId="77777777" w:rsidR="009260DE" w:rsidRPr="00C84483" w:rsidRDefault="009260DE" w:rsidP="009260DE">
      <w:pPr>
        <w:tabs>
          <w:tab w:val="left" w:pos="851"/>
        </w:tabs>
        <w:ind w:left="851"/>
        <w:rPr>
          <w:sz w:val="24"/>
          <w:szCs w:val="24"/>
        </w:rPr>
      </w:pPr>
    </w:p>
    <w:p w14:paraId="3273888E"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54A865B" w14:textId="57BC0B3C" w:rsidR="009260DE" w:rsidRPr="00C84483" w:rsidRDefault="00C2340B" w:rsidP="009260DE">
      <w:pPr>
        <w:tabs>
          <w:tab w:val="left" w:pos="851"/>
        </w:tabs>
        <w:ind w:left="851"/>
        <w:rPr>
          <w:sz w:val="24"/>
          <w:szCs w:val="24"/>
        </w:rPr>
      </w:pPr>
      <w:r>
        <w:rPr>
          <w:sz w:val="24"/>
          <w:szCs w:val="24"/>
        </w:rPr>
        <w:t>A</w:t>
      </w:r>
    </w:p>
    <w:p w14:paraId="67111192" w14:textId="77777777" w:rsidR="009260DE" w:rsidRPr="00C84483" w:rsidRDefault="009260DE" w:rsidP="009260DE">
      <w:pPr>
        <w:tabs>
          <w:tab w:val="left" w:pos="851"/>
        </w:tabs>
        <w:ind w:left="851"/>
        <w:rPr>
          <w:sz w:val="24"/>
          <w:szCs w:val="24"/>
        </w:rPr>
      </w:pPr>
    </w:p>
    <w:p w14:paraId="14DBF6F1" w14:textId="77777777" w:rsidR="009260DE" w:rsidRPr="00C84483" w:rsidRDefault="009260DE" w:rsidP="009260DE">
      <w:pPr>
        <w:tabs>
          <w:tab w:val="left" w:pos="851"/>
        </w:tabs>
        <w:ind w:left="851"/>
        <w:rPr>
          <w:sz w:val="24"/>
          <w:szCs w:val="24"/>
        </w:rPr>
      </w:pPr>
    </w:p>
    <w:p w14:paraId="559D3A6A"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0BD6DD90" w14:textId="77777777" w:rsidR="009260DE" w:rsidRPr="00C84483" w:rsidRDefault="009260DE" w:rsidP="009260DE">
      <w:pPr>
        <w:tabs>
          <w:tab w:val="left" w:pos="851"/>
        </w:tabs>
        <w:ind w:left="851"/>
        <w:rPr>
          <w:sz w:val="24"/>
          <w:szCs w:val="24"/>
        </w:rPr>
      </w:pPr>
    </w:p>
    <w:p w14:paraId="4CFE83C0"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043874E9" w14:textId="77777777" w:rsidR="00C2340B" w:rsidRPr="00C2340B" w:rsidRDefault="00C2340B" w:rsidP="00A44660">
      <w:pPr>
        <w:ind w:left="851"/>
        <w:rPr>
          <w:bCs/>
          <w:sz w:val="24"/>
          <w:szCs w:val="24"/>
          <w:lang w:val="nl-BE"/>
        </w:rPr>
      </w:pPr>
      <w:r w:rsidRPr="00C2340B">
        <w:rPr>
          <w:bCs/>
          <w:sz w:val="24"/>
          <w:szCs w:val="24"/>
        </w:rPr>
        <w:t>Farmakoterapeutisk klassifikation: Immunsuppressiva</w:t>
      </w:r>
      <w:r w:rsidRPr="00C2340B">
        <w:rPr>
          <w:bCs/>
          <w:sz w:val="24"/>
          <w:szCs w:val="24"/>
          <w:lang w:val="nl-BE"/>
        </w:rPr>
        <w:t>, calcineurinhæmmere. ATC-kode: L04AD02</w:t>
      </w:r>
    </w:p>
    <w:p w14:paraId="04E9B649" w14:textId="77777777" w:rsidR="00C2340B" w:rsidRPr="00C2340B" w:rsidRDefault="00C2340B" w:rsidP="00A44660">
      <w:pPr>
        <w:ind w:left="851"/>
        <w:rPr>
          <w:bCs/>
          <w:sz w:val="24"/>
          <w:szCs w:val="24"/>
          <w:lang w:val="nl-BE"/>
        </w:rPr>
      </w:pPr>
    </w:p>
    <w:p w14:paraId="1502C55F" w14:textId="77777777" w:rsidR="00C2340B" w:rsidRPr="00C2340B" w:rsidRDefault="00C2340B" w:rsidP="00A44660">
      <w:pPr>
        <w:ind w:left="851"/>
        <w:rPr>
          <w:bCs/>
          <w:sz w:val="24"/>
          <w:szCs w:val="24"/>
          <w:u w:val="single"/>
        </w:rPr>
      </w:pPr>
      <w:r w:rsidRPr="00C2340B">
        <w:rPr>
          <w:bCs/>
          <w:sz w:val="24"/>
          <w:szCs w:val="24"/>
          <w:u w:val="single"/>
        </w:rPr>
        <w:t>Virkningsmekanisme og farmakodynamisk virkning</w:t>
      </w:r>
    </w:p>
    <w:p w14:paraId="265A7F7E" w14:textId="77777777" w:rsidR="00C2340B" w:rsidRPr="00C2340B" w:rsidRDefault="00C2340B" w:rsidP="00A44660">
      <w:pPr>
        <w:ind w:left="851"/>
        <w:rPr>
          <w:bCs/>
          <w:sz w:val="24"/>
          <w:szCs w:val="24"/>
        </w:rPr>
      </w:pPr>
      <w:bookmarkStart w:id="10" w:name="_Hlk211975728"/>
      <w:r w:rsidRPr="00C2340B">
        <w:rPr>
          <w:bCs/>
          <w:sz w:val="24"/>
          <w:szCs w:val="24"/>
        </w:rPr>
        <w:t xml:space="preserve">På molekylært niveau synes virkningen af tacrolimus at være medieret af binding til cytosolprotein (FKBP12), som også er ansvarlig for den intracellulære akkumulering af præparatet. FKBP12-tacrolimus komplekset bindes specifikt og kompetitivt hæmmende til </w:t>
      </w:r>
      <w:r w:rsidRPr="00C2340B">
        <w:rPr>
          <w:bCs/>
          <w:sz w:val="24"/>
          <w:szCs w:val="24"/>
        </w:rPr>
        <w:lastRenderedPageBreak/>
        <w:t>calcineurin, hvilket medfører en calciumafhængig hæmning af T</w:t>
      </w:r>
      <w:r w:rsidRPr="00C2340B">
        <w:rPr>
          <w:bCs/>
          <w:sz w:val="24"/>
          <w:szCs w:val="24"/>
        </w:rPr>
        <w:noBreakHyphen/>
        <w:t xml:space="preserve">cellernes signaltransduktion, </w:t>
      </w:r>
      <w:proofErr w:type="gramStart"/>
      <w:r w:rsidRPr="00C2340B">
        <w:rPr>
          <w:bCs/>
          <w:sz w:val="24"/>
          <w:szCs w:val="24"/>
        </w:rPr>
        <w:t>således at</w:t>
      </w:r>
      <w:proofErr w:type="gramEnd"/>
      <w:r w:rsidRPr="00C2340B">
        <w:rPr>
          <w:bCs/>
          <w:sz w:val="24"/>
          <w:szCs w:val="24"/>
        </w:rPr>
        <w:t xml:space="preserve"> transskriptionen af visse lymfokingener forhindres.</w:t>
      </w:r>
    </w:p>
    <w:p w14:paraId="78D9BE2A" w14:textId="77777777" w:rsidR="00C2340B" w:rsidRPr="00C2340B" w:rsidRDefault="00C2340B" w:rsidP="00A44660">
      <w:pPr>
        <w:ind w:left="851"/>
        <w:rPr>
          <w:bCs/>
          <w:sz w:val="24"/>
          <w:szCs w:val="24"/>
        </w:rPr>
      </w:pPr>
      <w:r w:rsidRPr="00C2340B">
        <w:rPr>
          <w:bCs/>
          <w:sz w:val="24"/>
          <w:szCs w:val="24"/>
        </w:rPr>
        <w:t xml:space="preserve">Tacrolimus er et meget potent immunsuppressivt middel, der har vist aktivitet i både </w:t>
      </w:r>
      <w:r w:rsidRPr="00C2340B">
        <w:rPr>
          <w:bCs/>
          <w:i/>
          <w:sz w:val="24"/>
          <w:szCs w:val="24"/>
        </w:rPr>
        <w:t>in vitro</w:t>
      </w:r>
      <w:r w:rsidRPr="00C2340B">
        <w:rPr>
          <w:bCs/>
          <w:sz w:val="24"/>
          <w:szCs w:val="24"/>
        </w:rPr>
        <w:t xml:space="preserve"> og </w:t>
      </w:r>
      <w:r w:rsidRPr="00C2340B">
        <w:rPr>
          <w:bCs/>
          <w:i/>
          <w:sz w:val="24"/>
          <w:szCs w:val="24"/>
        </w:rPr>
        <w:t>in vivo</w:t>
      </w:r>
      <w:r w:rsidRPr="00C2340B">
        <w:rPr>
          <w:bCs/>
          <w:sz w:val="24"/>
          <w:szCs w:val="24"/>
        </w:rPr>
        <w:t xml:space="preserve"> undersøgelser.</w:t>
      </w:r>
    </w:p>
    <w:p w14:paraId="546156B4" w14:textId="77777777" w:rsidR="00C2340B" w:rsidRPr="00C2340B" w:rsidRDefault="00C2340B" w:rsidP="00A44660">
      <w:pPr>
        <w:ind w:left="851"/>
        <w:rPr>
          <w:bCs/>
          <w:sz w:val="24"/>
          <w:szCs w:val="24"/>
        </w:rPr>
      </w:pPr>
      <w:r w:rsidRPr="00C2340B">
        <w:rPr>
          <w:bCs/>
          <w:sz w:val="24"/>
          <w:szCs w:val="24"/>
        </w:rPr>
        <w:t>Tacrolimus hæmmer specielt dannelsen af cytotoksiske lymfocytter, som er hovedansvarlig for transplantatafstødning. Tacrolimus hæmmer T</w:t>
      </w:r>
      <w:r w:rsidRPr="00C2340B">
        <w:rPr>
          <w:bCs/>
          <w:sz w:val="24"/>
          <w:szCs w:val="24"/>
        </w:rPr>
        <w:noBreakHyphen/>
        <w:t>celleaktivering og T</w:t>
      </w:r>
      <w:r w:rsidRPr="00C2340B">
        <w:rPr>
          <w:bCs/>
          <w:sz w:val="24"/>
          <w:szCs w:val="24"/>
        </w:rPr>
        <w:noBreakHyphen/>
        <w:t>hjælpercelle afhængig B</w:t>
      </w:r>
      <w:r w:rsidRPr="00C2340B">
        <w:rPr>
          <w:bCs/>
          <w:sz w:val="24"/>
          <w:szCs w:val="24"/>
        </w:rPr>
        <w:noBreakHyphen/>
        <w:t>celleproliferation, samt dannelsen af lymfokiner (såsom interleukin</w:t>
      </w:r>
      <w:r w:rsidRPr="00C2340B">
        <w:rPr>
          <w:bCs/>
          <w:sz w:val="24"/>
          <w:szCs w:val="24"/>
        </w:rPr>
        <w:noBreakHyphen/>
        <w:t xml:space="preserve">2 og </w:t>
      </w:r>
      <w:r w:rsidRPr="00C2340B">
        <w:rPr>
          <w:bCs/>
          <w:sz w:val="24"/>
          <w:szCs w:val="24"/>
        </w:rPr>
        <w:noBreakHyphen/>
        <w:t xml:space="preserve">3 og </w:t>
      </w:r>
      <w:r w:rsidRPr="00C2340B">
        <w:rPr>
          <w:bCs/>
          <w:sz w:val="24"/>
          <w:szCs w:val="24"/>
        </w:rPr>
        <w:sym w:font="Symbol" w:char="F067"/>
      </w:r>
      <w:r w:rsidRPr="00C2340B">
        <w:rPr>
          <w:bCs/>
          <w:sz w:val="24"/>
          <w:szCs w:val="24"/>
        </w:rPr>
        <w:noBreakHyphen/>
        <w:t>interferon) og ekspressionen af interleukin</w:t>
      </w:r>
      <w:r w:rsidRPr="00C2340B">
        <w:rPr>
          <w:bCs/>
          <w:sz w:val="24"/>
          <w:szCs w:val="24"/>
        </w:rPr>
        <w:noBreakHyphen/>
        <w:t>2-receptorer.</w:t>
      </w:r>
    </w:p>
    <w:p w14:paraId="35482490" w14:textId="77777777" w:rsidR="00C2340B" w:rsidRPr="00C2340B" w:rsidRDefault="00C2340B" w:rsidP="00A44660">
      <w:pPr>
        <w:ind w:left="851"/>
        <w:rPr>
          <w:bCs/>
          <w:sz w:val="24"/>
          <w:szCs w:val="24"/>
        </w:rPr>
      </w:pPr>
    </w:p>
    <w:p w14:paraId="2BAF74BE" w14:textId="77777777" w:rsidR="00C2340B" w:rsidRPr="00C2340B" w:rsidRDefault="00C2340B" w:rsidP="00A44660">
      <w:pPr>
        <w:ind w:left="851"/>
        <w:rPr>
          <w:bCs/>
          <w:sz w:val="24"/>
          <w:szCs w:val="24"/>
          <w:u w:val="single"/>
        </w:rPr>
      </w:pPr>
      <w:r w:rsidRPr="00C2340B">
        <w:rPr>
          <w:bCs/>
          <w:sz w:val="24"/>
          <w:szCs w:val="24"/>
          <w:u w:val="single"/>
        </w:rPr>
        <w:t>Resultater fra publicerede data fra anden primær organtransplantation</w:t>
      </w:r>
    </w:p>
    <w:p w14:paraId="051E5AFE" w14:textId="77777777" w:rsidR="00C2340B" w:rsidRPr="00C2340B" w:rsidRDefault="00C2340B" w:rsidP="00A44660">
      <w:pPr>
        <w:ind w:left="851"/>
        <w:rPr>
          <w:bCs/>
          <w:sz w:val="24"/>
          <w:szCs w:val="24"/>
        </w:rPr>
      </w:pPr>
      <w:r w:rsidRPr="00C2340B">
        <w:rPr>
          <w:bCs/>
          <w:sz w:val="24"/>
          <w:szCs w:val="24"/>
        </w:rPr>
        <w:t>Tacrolimus er blevet en accepteret behandling som primært immunsuppressivum i forbindelse med pancreas</w:t>
      </w:r>
      <w:r w:rsidRPr="00C2340B">
        <w:rPr>
          <w:bCs/>
          <w:sz w:val="24"/>
          <w:szCs w:val="24"/>
        </w:rPr>
        <w:noBreakHyphen/>
        <w:t>, lunge</w:t>
      </w:r>
      <w:r w:rsidRPr="00C2340B">
        <w:rPr>
          <w:bCs/>
          <w:sz w:val="24"/>
          <w:szCs w:val="24"/>
        </w:rPr>
        <w:noBreakHyphen/>
        <w:t xml:space="preserve"> og intestinal-transplantationer. I publicerede prospektive studier var tacrolimus primært immunsuppressivum hos omkring 175 lungetransplanterede patienter, 475 pancreastransplanterede patienter og 630 intestinaltransplanterede patienter. Den samlede sikkerhedsprofil for tacrolimus i disse publicerede studier svarede til, hvad der blev rapporteret fra store studier, hvor tacrolimus blev benyttet som primær behandling efter lever</w:t>
      </w:r>
      <w:r w:rsidRPr="00C2340B">
        <w:rPr>
          <w:bCs/>
          <w:sz w:val="24"/>
          <w:szCs w:val="24"/>
        </w:rPr>
        <w:noBreakHyphen/>
        <w:t>, nyre</w:t>
      </w:r>
      <w:r w:rsidRPr="00C2340B">
        <w:rPr>
          <w:bCs/>
          <w:sz w:val="24"/>
          <w:szCs w:val="24"/>
        </w:rPr>
        <w:noBreakHyphen/>
        <w:t xml:space="preserve"> og hjertetransplantationer. Virkningsresultaterne i de største studier i hver indikation er opsummeret nedenfor.</w:t>
      </w:r>
    </w:p>
    <w:p w14:paraId="78957E10" w14:textId="77777777" w:rsidR="00C2340B" w:rsidRPr="00C2340B" w:rsidRDefault="00C2340B" w:rsidP="00A44660">
      <w:pPr>
        <w:ind w:left="851"/>
        <w:rPr>
          <w:bCs/>
          <w:sz w:val="24"/>
          <w:szCs w:val="24"/>
          <w:u w:val="single"/>
        </w:rPr>
      </w:pPr>
    </w:p>
    <w:p w14:paraId="1A122A12" w14:textId="77777777" w:rsidR="00C2340B" w:rsidRPr="00C2340B" w:rsidRDefault="00C2340B" w:rsidP="00A44660">
      <w:pPr>
        <w:ind w:left="851"/>
        <w:rPr>
          <w:bCs/>
          <w:sz w:val="24"/>
          <w:szCs w:val="24"/>
          <w:u w:val="single"/>
        </w:rPr>
      </w:pPr>
      <w:r w:rsidRPr="00C2340B">
        <w:rPr>
          <w:bCs/>
          <w:sz w:val="24"/>
          <w:szCs w:val="24"/>
          <w:u w:val="single"/>
        </w:rPr>
        <w:t>Lungetransplantation</w:t>
      </w:r>
    </w:p>
    <w:p w14:paraId="45E4AA90" w14:textId="77777777" w:rsidR="00C2340B" w:rsidRPr="00C2340B" w:rsidRDefault="00C2340B" w:rsidP="00A44660">
      <w:pPr>
        <w:ind w:left="851"/>
        <w:rPr>
          <w:bCs/>
          <w:sz w:val="24"/>
          <w:szCs w:val="24"/>
        </w:rPr>
      </w:pPr>
      <w:r w:rsidRPr="00C2340B">
        <w:rPr>
          <w:bCs/>
          <w:sz w:val="24"/>
          <w:szCs w:val="24"/>
        </w:rPr>
        <w:t>Interimanalysen af et nyligt afsluttet multicenterstudie omfattede 110 patienter, der blev randomiseret i forholdet 1:1 til enten tacrolimus eller ciclosporin. Tacrolimus blev startet som kontinuerlig intravenøs infusion i doser på 0,01</w:t>
      </w:r>
      <w:r w:rsidRPr="00C2340B">
        <w:rPr>
          <w:bCs/>
          <w:sz w:val="24"/>
          <w:szCs w:val="24"/>
        </w:rPr>
        <w:noBreakHyphen/>
        <w:t>0,03 mg/kg/dag, derpå blev oral tacrolimus administreret i doser på 0,05</w:t>
      </w:r>
      <w:r w:rsidRPr="00C2340B">
        <w:rPr>
          <w:bCs/>
          <w:sz w:val="24"/>
          <w:szCs w:val="24"/>
        </w:rPr>
        <w:noBreakHyphen/>
        <w:t>0,3 mg/kg/dag. Det første år efter transplantationen blev der rapporteret om lavere incidens af akutte afstødningsepisoder for tacrolimus</w:t>
      </w:r>
      <w:r w:rsidRPr="00C2340B">
        <w:rPr>
          <w:bCs/>
          <w:sz w:val="24"/>
          <w:szCs w:val="24"/>
        </w:rPr>
        <w:noBreakHyphen/>
        <w:t xml:space="preserve"> </w:t>
      </w:r>
      <w:r w:rsidRPr="00C2340B">
        <w:rPr>
          <w:bCs/>
          <w:i/>
          <w:iCs/>
          <w:sz w:val="24"/>
          <w:szCs w:val="24"/>
        </w:rPr>
        <w:t>versus</w:t>
      </w:r>
      <w:r w:rsidRPr="00C2340B">
        <w:rPr>
          <w:bCs/>
          <w:sz w:val="24"/>
          <w:szCs w:val="24"/>
        </w:rPr>
        <w:t xml:space="preserve"> ciclosporin-behandlede patienter (11,5 % </w:t>
      </w:r>
      <w:r w:rsidRPr="00C2340B">
        <w:rPr>
          <w:bCs/>
          <w:i/>
          <w:iCs/>
          <w:sz w:val="24"/>
          <w:szCs w:val="24"/>
        </w:rPr>
        <w:t>versus</w:t>
      </w:r>
      <w:r w:rsidRPr="00C2340B">
        <w:rPr>
          <w:bCs/>
          <w:sz w:val="24"/>
          <w:szCs w:val="24"/>
        </w:rPr>
        <w:t xml:space="preserve"> 22,6 %) og en lavere incidens af kronisk afstødning, bronchiolitis obliterans syndromet (2,86 % </w:t>
      </w:r>
      <w:r w:rsidRPr="00C2340B">
        <w:rPr>
          <w:bCs/>
          <w:i/>
          <w:iCs/>
          <w:sz w:val="24"/>
          <w:szCs w:val="24"/>
        </w:rPr>
        <w:t>versus</w:t>
      </w:r>
      <w:r w:rsidRPr="00C2340B">
        <w:rPr>
          <w:bCs/>
          <w:sz w:val="24"/>
          <w:szCs w:val="24"/>
        </w:rPr>
        <w:t xml:space="preserve"> 8,57 %). 1-års patientoverlevelsesraten var 80,8 % i tacrolimus-gruppen og 83 % i ciclosporin-gruppen (Treede et al., 3</w:t>
      </w:r>
      <w:r w:rsidRPr="00C2340B">
        <w:rPr>
          <w:bCs/>
          <w:sz w:val="24"/>
          <w:szCs w:val="24"/>
          <w:vertAlign w:val="superscript"/>
        </w:rPr>
        <w:t>rd</w:t>
      </w:r>
      <w:r w:rsidRPr="00C2340B">
        <w:rPr>
          <w:bCs/>
          <w:sz w:val="24"/>
          <w:szCs w:val="24"/>
        </w:rPr>
        <w:t xml:space="preserve"> ICISan Diego; US, 2004, Abstract 22).</w:t>
      </w:r>
    </w:p>
    <w:p w14:paraId="70702EBA" w14:textId="77777777" w:rsidR="00C2340B" w:rsidRPr="00C2340B" w:rsidRDefault="00C2340B" w:rsidP="00A44660">
      <w:pPr>
        <w:ind w:left="851"/>
        <w:rPr>
          <w:bCs/>
          <w:sz w:val="24"/>
          <w:szCs w:val="24"/>
        </w:rPr>
      </w:pPr>
    </w:p>
    <w:p w14:paraId="1ABD7C4D" w14:textId="77777777" w:rsidR="00C2340B" w:rsidRPr="00C2340B" w:rsidRDefault="00C2340B" w:rsidP="00A44660">
      <w:pPr>
        <w:ind w:left="851"/>
        <w:rPr>
          <w:bCs/>
          <w:sz w:val="24"/>
          <w:szCs w:val="24"/>
        </w:rPr>
      </w:pPr>
      <w:r w:rsidRPr="00C2340B">
        <w:rPr>
          <w:bCs/>
          <w:sz w:val="24"/>
          <w:szCs w:val="24"/>
        </w:rPr>
        <w:t xml:space="preserve">Et andet randomiseret studie omfattede 66 patienter på tacrolimus </w:t>
      </w:r>
      <w:r w:rsidRPr="00C2340B">
        <w:rPr>
          <w:bCs/>
          <w:i/>
          <w:iCs/>
          <w:sz w:val="24"/>
          <w:szCs w:val="24"/>
        </w:rPr>
        <w:t>versus</w:t>
      </w:r>
      <w:r w:rsidRPr="00C2340B">
        <w:rPr>
          <w:bCs/>
          <w:sz w:val="24"/>
          <w:szCs w:val="24"/>
        </w:rPr>
        <w:t xml:space="preserve"> 67 patienter på ciclosporin. Tacrolimus blev startet som kontinuerlig intravenøs infusion med doser på 0,025 mg/kg/dag, og oral tacrolimus blev administreret i doser på 0,15 mg/kg/dag med efterfølgende dosisjustering for at nå dalkoncentrationer på 10</w:t>
      </w:r>
      <w:r w:rsidRPr="00C2340B">
        <w:rPr>
          <w:bCs/>
          <w:sz w:val="24"/>
          <w:szCs w:val="24"/>
        </w:rPr>
        <w:noBreakHyphen/>
        <w:t>20 ng/ml. 1-års patientoverlevelsesraten var 83 % i tacrolimus-gruppen og 71 % i ciclosporin-gruppen, 2-års patientoverlevelsen var henholdsvis 76 % og 66 %. Akutte afstødningsepisoder pr. 100 patientdage var numerisk færre i tacrolimus-gruppen (0,85 episoder) mod (1,09 episoder) i ciclosporin-gruppen. Der sås obliterativ bronchiolitis hos 21,7 % af patienterne i tacrolimus-gruppen sammenlignet med 38,0 % af patienterne i ciclosporin-gruppen (p = 0,025). Signifikant flere patienter i ciclosporin-gruppen (n = 13) måtte overføres til tacrolimus i forhold til tacrolimus-behandlede patienter, der måtte overføres til ciclosporin (n = 2) (p = 0,02) (Keenan et al.; Ann Thoracic Surg 1995; 60:580).</w:t>
      </w:r>
    </w:p>
    <w:p w14:paraId="72564AA5" w14:textId="77777777" w:rsidR="00C2340B" w:rsidRPr="00C2340B" w:rsidRDefault="00C2340B" w:rsidP="00A44660">
      <w:pPr>
        <w:ind w:left="851"/>
        <w:rPr>
          <w:bCs/>
          <w:sz w:val="24"/>
          <w:szCs w:val="24"/>
        </w:rPr>
      </w:pPr>
    </w:p>
    <w:p w14:paraId="737A9061" w14:textId="77777777" w:rsidR="00C2340B" w:rsidRPr="00C2340B" w:rsidRDefault="00C2340B" w:rsidP="00A44660">
      <w:pPr>
        <w:ind w:left="851"/>
        <w:rPr>
          <w:bCs/>
          <w:sz w:val="24"/>
          <w:szCs w:val="24"/>
        </w:rPr>
      </w:pPr>
      <w:r w:rsidRPr="00C2340B">
        <w:rPr>
          <w:bCs/>
          <w:sz w:val="24"/>
          <w:szCs w:val="24"/>
        </w:rPr>
        <w:t xml:space="preserve">I et yderligere 2-center studie, blev 26 patienter randomiseret til tacrolimus </w:t>
      </w:r>
      <w:r w:rsidRPr="00C2340B">
        <w:rPr>
          <w:bCs/>
          <w:i/>
          <w:iCs/>
          <w:sz w:val="24"/>
          <w:szCs w:val="24"/>
        </w:rPr>
        <w:t>versus</w:t>
      </w:r>
      <w:r w:rsidRPr="00C2340B">
        <w:rPr>
          <w:bCs/>
          <w:sz w:val="24"/>
          <w:szCs w:val="24"/>
        </w:rPr>
        <w:t xml:space="preserve"> 24 patienter til ciclosporin. Tacrolimus startede som kontinuerlig intravenøs infusion med doser på 0,05 mg/kg/dag hvorefter oral tacrolimus blev administreret i doser på 0,1</w:t>
      </w:r>
      <w:r w:rsidRPr="00C2340B">
        <w:rPr>
          <w:bCs/>
          <w:sz w:val="24"/>
          <w:szCs w:val="24"/>
        </w:rPr>
        <w:noBreakHyphen/>
        <w:t>0,3 mg/kg/dag med efterfølgende dosisjustering for at nå dalkoncentrationer på 12</w:t>
      </w:r>
      <w:r w:rsidRPr="00C2340B">
        <w:rPr>
          <w:bCs/>
          <w:sz w:val="24"/>
          <w:szCs w:val="24"/>
        </w:rPr>
        <w:noBreakHyphen/>
        <w:t xml:space="preserve">15 ng/ml. 1-års overlevelsesrater var 73,1 % i tacrolimus-gruppen </w:t>
      </w:r>
      <w:r w:rsidRPr="00C2340B">
        <w:rPr>
          <w:bCs/>
          <w:i/>
          <w:iCs/>
          <w:sz w:val="24"/>
          <w:szCs w:val="24"/>
        </w:rPr>
        <w:t>versus</w:t>
      </w:r>
      <w:r w:rsidRPr="00C2340B">
        <w:rPr>
          <w:bCs/>
          <w:sz w:val="24"/>
          <w:szCs w:val="24"/>
        </w:rPr>
        <w:t xml:space="preserve"> 79,2 % i ciclosporin-gruppen. Fravær af akut afstødning var højere i tacrolimus-gruppen ved 6 måneder (57,7 % </w:t>
      </w:r>
      <w:r w:rsidRPr="00C2340B">
        <w:rPr>
          <w:bCs/>
          <w:i/>
          <w:iCs/>
          <w:sz w:val="24"/>
          <w:szCs w:val="24"/>
        </w:rPr>
        <w:t>versus</w:t>
      </w:r>
      <w:r w:rsidRPr="00C2340B">
        <w:rPr>
          <w:bCs/>
          <w:sz w:val="24"/>
          <w:szCs w:val="24"/>
        </w:rPr>
        <w:t xml:space="preserve"> 45,8 %) og 1 år efter lungetransplantationen (50 % </w:t>
      </w:r>
      <w:r w:rsidRPr="00C2340B">
        <w:rPr>
          <w:bCs/>
          <w:i/>
          <w:iCs/>
          <w:sz w:val="24"/>
          <w:szCs w:val="24"/>
        </w:rPr>
        <w:t>versus</w:t>
      </w:r>
      <w:r w:rsidRPr="00C2340B">
        <w:rPr>
          <w:bCs/>
          <w:sz w:val="24"/>
          <w:szCs w:val="24"/>
        </w:rPr>
        <w:t xml:space="preserve"> 33,3 %) (Treede et al., J Heart Lung Transplant 2001;20:511).</w:t>
      </w:r>
    </w:p>
    <w:p w14:paraId="4001BD91" w14:textId="77777777" w:rsidR="00C2340B" w:rsidRPr="00C2340B" w:rsidRDefault="00C2340B" w:rsidP="00A44660">
      <w:pPr>
        <w:ind w:left="851"/>
        <w:rPr>
          <w:bCs/>
          <w:sz w:val="24"/>
          <w:szCs w:val="24"/>
        </w:rPr>
      </w:pPr>
    </w:p>
    <w:p w14:paraId="1DD245E9" w14:textId="77777777" w:rsidR="00C2340B" w:rsidRPr="00C2340B" w:rsidRDefault="00C2340B" w:rsidP="00A44660">
      <w:pPr>
        <w:ind w:left="851"/>
        <w:rPr>
          <w:bCs/>
          <w:sz w:val="24"/>
          <w:szCs w:val="24"/>
        </w:rPr>
      </w:pPr>
      <w:r w:rsidRPr="00C2340B">
        <w:rPr>
          <w:bCs/>
          <w:sz w:val="24"/>
          <w:szCs w:val="24"/>
        </w:rPr>
        <w:t>De 3 studier viser ens overlevelsesrater. Incidensen af akut afstødning var numerisk lavere for tacrolimus i alle 3 studier og et af studierne rapporterede signifikant lavere incidens af oblitererende bronchiolitis syndrom for tacrolimus.</w:t>
      </w:r>
    </w:p>
    <w:p w14:paraId="26D0B424" w14:textId="77777777" w:rsidR="00C2340B" w:rsidRPr="00C2340B" w:rsidRDefault="00C2340B" w:rsidP="00A44660">
      <w:pPr>
        <w:ind w:left="851"/>
        <w:rPr>
          <w:bCs/>
          <w:sz w:val="24"/>
          <w:szCs w:val="24"/>
        </w:rPr>
      </w:pPr>
    </w:p>
    <w:p w14:paraId="2F9BA145" w14:textId="77777777" w:rsidR="00C2340B" w:rsidRPr="00C2340B" w:rsidRDefault="00C2340B" w:rsidP="00A44660">
      <w:pPr>
        <w:ind w:left="851"/>
        <w:rPr>
          <w:bCs/>
          <w:sz w:val="24"/>
          <w:szCs w:val="24"/>
          <w:u w:val="single"/>
        </w:rPr>
      </w:pPr>
      <w:r w:rsidRPr="00C2340B">
        <w:rPr>
          <w:bCs/>
          <w:sz w:val="24"/>
          <w:szCs w:val="24"/>
          <w:u w:val="single"/>
        </w:rPr>
        <w:t>Pancreastransplantation</w:t>
      </w:r>
    </w:p>
    <w:p w14:paraId="0086A5E4" w14:textId="77777777" w:rsidR="00C2340B" w:rsidRPr="00C2340B" w:rsidRDefault="00C2340B" w:rsidP="00A44660">
      <w:pPr>
        <w:ind w:left="851"/>
        <w:rPr>
          <w:bCs/>
          <w:sz w:val="24"/>
          <w:szCs w:val="24"/>
        </w:rPr>
      </w:pPr>
      <w:r w:rsidRPr="00C2340B">
        <w:rPr>
          <w:bCs/>
          <w:sz w:val="24"/>
          <w:szCs w:val="24"/>
        </w:rPr>
        <w:t>Et multicenterstudie, hvori der indgik 205 patienter, som gennemgik simultan pancreas-nyretransplantation, blev randomiseret til tacrolimus (n = 103) eller til ciclosporin (n = 102). Den initiale orale pr. protokol dosis af tacrolimus var 0,2 mg/kg/dag med efterfølgende dosisjustering for at opnå dalkoncentrationer på 8</w:t>
      </w:r>
      <w:r w:rsidRPr="00C2340B">
        <w:rPr>
          <w:bCs/>
          <w:sz w:val="24"/>
          <w:szCs w:val="24"/>
        </w:rPr>
        <w:noBreakHyphen/>
        <w:t>15 ng/ml på 5. dagen og 5</w:t>
      </w:r>
      <w:r w:rsidRPr="00C2340B">
        <w:rPr>
          <w:bCs/>
          <w:sz w:val="24"/>
          <w:szCs w:val="24"/>
        </w:rPr>
        <w:noBreakHyphen/>
        <w:t xml:space="preserve">10 ng/ml efter 6. måned. Pancreas overlevelse var efter 1 år signifikant bedre med tacrolimus end med ciclosporin: 91,3 % </w:t>
      </w:r>
      <w:r w:rsidRPr="00C2340B">
        <w:rPr>
          <w:bCs/>
          <w:i/>
          <w:iCs/>
          <w:sz w:val="24"/>
          <w:szCs w:val="24"/>
        </w:rPr>
        <w:t>versus</w:t>
      </w:r>
      <w:r w:rsidRPr="00C2340B">
        <w:rPr>
          <w:bCs/>
          <w:sz w:val="24"/>
          <w:szCs w:val="24"/>
        </w:rPr>
        <w:t xml:space="preserve"> 74,5 % (p &lt; 0,0005) medens overlevelsen for nyretransplantater var ens i de 2 grupper. I alt skiftede 34 patienter behandling fra ciclosporin til tacrolimus, medens kun 6 tacrolimus-patienter havde behov for alternativ behandling (Bechstein et al., Transplantation 2004;77:1221).</w:t>
      </w:r>
    </w:p>
    <w:p w14:paraId="4896DCCA" w14:textId="77777777" w:rsidR="00C2340B" w:rsidRPr="00C2340B" w:rsidRDefault="00C2340B" w:rsidP="00A44660">
      <w:pPr>
        <w:ind w:left="851"/>
        <w:rPr>
          <w:bCs/>
          <w:sz w:val="24"/>
          <w:szCs w:val="24"/>
        </w:rPr>
      </w:pPr>
    </w:p>
    <w:p w14:paraId="5EA11DBB" w14:textId="77777777" w:rsidR="00C2340B" w:rsidRPr="00C2340B" w:rsidRDefault="00C2340B" w:rsidP="00A44660">
      <w:pPr>
        <w:ind w:left="851"/>
        <w:rPr>
          <w:bCs/>
          <w:sz w:val="24"/>
          <w:szCs w:val="24"/>
        </w:rPr>
      </w:pPr>
      <w:r w:rsidRPr="00C2340B">
        <w:rPr>
          <w:bCs/>
          <w:sz w:val="24"/>
          <w:szCs w:val="24"/>
          <w:u w:val="single"/>
        </w:rPr>
        <w:t>Intestinal transplantation</w:t>
      </w:r>
    </w:p>
    <w:p w14:paraId="65FE66E6" w14:textId="77777777" w:rsidR="00C2340B" w:rsidRPr="00C2340B" w:rsidRDefault="00C2340B" w:rsidP="00A44660">
      <w:pPr>
        <w:ind w:left="851"/>
        <w:rPr>
          <w:bCs/>
          <w:sz w:val="24"/>
          <w:szCs w:val="24"/>
        </w:rPr>
      </w:pPr>
      <w:r w:rsidRPr="00C2340B">
        <w:rPr>
          <w:bCs/>
          <w:sz w:val="24"/>
          <w:szCs w:val="24"/>
        </w:rPr>
        <w:t>Publicerede kliniske resultater fra et enkelt center vedrørende brug af tacrolimus som primær behandling efter intestinale transplantationer viste, at overlevelsesraten for 155 patienter (65 intestinal alene, 75 lever og tarm og 25 multivicerale), der fik tacrolimus og prednisolon, var 75 % efter 1 år, 54 % efter 5 år og 42 % efter 10 år. I de første år var den initiale orale dosis af tacrolimus 0,3 mg/kg/dag. Resultaterne blev kontinuerligt forbedrede med øget erfaring over en periode på 11 år. Forskellige innovationer såsom teknik til tidlig diagnose af Epstein-Barr (EBV) og CMV</w:t>
      </w:r>
      <w:r w:rsidRPr="00C2340B">
        <w:rPr>
          <w:bCs/>
          <w:sz w:val="24"/>
          <w:szCs w:val="24"/>
        </w:rPr>
        <w:noBreakHyphen/>
        <w:t>infektioner, knoglemarvsforøgelse, samtidig brug af interleukin</w:t>
      </w:r>
      <w:r w:rsidRPr="00C2340B">
        <w:rPr>
          <w:bCs/>
          <w:sz w:val="24"/>
          <w:szCs w:val="24"/>
        </w:rPr>
        <w:noBreakHyphen/>
        <w:t>2 antagonisten daclizumab, lavere initiale doser af tacrolimus med dalkoncentrationer på 10</w:t>
      </w:r>
      <w:r w:rsidRPr="00C2340B">
        <w:rPr>
          <w:bCs/>
          <w:sz w:val="24"/>
          <w:szCs w:val="24"/>
        </w:rPr>
        <w:noBreakHyphen/>
        <w:t>15 ng/ml og senest allotransplantat bestråling, har bidraget til at forbedre resultaterne for denne indikation (Abu-Elmagd et al., Ann Surg 2001;234:404).</w:t>
      </w:r>
    </w:p>
    <w:bookmarkEnd w:id="10"/>
    <w:p w14:paraId="3F736480" w14:textId="77777777" w:rsidR="009260DE" w:rsidRPr="00C84483" w:rsidRDefault="009260DE" w:rsidP="009260DE">
      <w:pPr>
        <w:tabs>
          <w:tab w:val="left" w:pos="851"/>
        </w:tabs>
        <w:ind w:left="851"/>
        <w:rPr>
          <w:sz w:val="24"/>
          <w:szCs w:val="24"/>
        </w:rPr>
      </w:pPr>
    </w:p>
    <w:p w14:paraId="48E35C44"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07D77403" w14:textId="77777777" w:rsidR="00CA3481" w:rsidRDefault="00CA3481" w:rsidP="00A44660">
      <w:pPr>
        <w:ind w:left="851"/>
        <w:rPr>
          <w:sz w:val="24"/>
          <w:szCs w:val="24"/>
          <w:u w:val="single"/>
        </w:rPr>
      </w:pPr>
    </w:p>
    <w:p w14:paraId="09A3F94A" w14:textId="7B1C4D89" w:rsidR="00C2340B" w:rsidRPr="00C2340B" w:rsidRDefault="00C2340B" w:rsidP="00A44660">
      <w:pPr>
        <w:ind w:left="851"/>
        <w:rPr>
          <w:sz w:val="24"/>
          <w:szCs w:val="24"/>
          <w:u w:val="single"/>
        </w:rPr>
      </w:pPr>
      <w:r w:rsidRPr="00C2340B">
        <w:rPr>
          <w:sz w:val="24"/>
          <w:szCs w:val="24"/>
          <w:u w:val="single"/>
        </w:rPr>
        <w:t>Absorption</w:t>
      </w:r>
    </w:p>
    <w:p w14:paraId="729F48F2" w14:textId="77777777" w:rsidR="00C2340B" w:rsidRPr="00C2340B" w:rsidRDefault="00C2340B" w:rsidP="00A44660">
      <w:pPr>
        <w:ind w:left="851"/>
        <w:rPr>
          <w:sz w:val="24"/>
          <w:szCs w:val="24"/>
        </w:rPr>
      </w:pPr>
      <w:r w:rsidRPr="00C2340B">
        <w:rPr>
          <w:sz w:val="24"/>
          <w:szCs w:val="24"/>
        </w:rPr>
        <w:t>Hos mennesker er det vist, at tacrolimus kan absorberes i hele mave-tarm-kanalen. Efter oral administration af tacrolimus-kapsler ses peak-blodkoncentrationer (C</w:t>
      </w:r>
      <w:r w:rsidRPr="00C2340B">
        <w:rPr>
          <w:sz w:val="24"/>
          <w:szCs w:val="24"/>
          <w:vertAlign w:val="subscript"/>
        </w:rPr>
        <w:t>max</w:t>
      </w:r>
      <w:r w:rsidRPr="00C2340B">
        <w:rPr>
          <w:sz w:val="24"/>
          <w:szCs w:val="24"/>
        </w:rPr>
        <w:t>) for tacrolimus efter cirka 1</w:t>
      </w:r>
      <w:r w:rsidRPr="00C2340B">
        <w:rPr>
          <w:sz w:val="24"/>
          <w:szCs w:val="24"/>
        </w:rPr>
        <w:noBreakHyphen/>
        <w:t>3 timer. Hos nogle patienter synes tacrolimus dog at blive kontinuerligt absorberet over en længere periode, således, at man får en relativ flad absorptionsprofil. Den orale middelbiotilgængelighed ligger mellem 20 %</w:t>
      </w:r>
      <w:r w:rsidRPr="00C2340B">
        <w:rPr>
          <w:sz w:val="24"/>
          <w:szCs w:val="24"/>
        </w:rPr>
        <w:noBreakHyphen/>
        <w:t>25 %.</w:t>
      </w:r>
    </w:p>
    <w:p w14:paraId="63BE6D8A" w14:textId="77777777" w:rsidR="00C2340B" w:rsidRPr="00C2340B" w:rsidRDefault="00C2340B" w:rsidP="00A44660">
      <w:pPr>
        <w:ind w:left="851"/>
        <w:rPr>
          <w:sz w:val="24"/>
          <w:szCs w:val="24"/>
        </w:rPr>
      </w:pPr>
      <w:r w:rsidRPr="00C2340B">
        <w:rPr>
          <w:sz w:val="24"/>
          <w:szCs w:val="24"/>
        </w:rPr>
        <w:t xml:space="preserve">Efter oral administration (0,30 mg/kg/dag) til levertransplanterede patienter opnåede flertallet </w:t>
      </w:r>
      <w:r w:rsidRPr="00C2340B">
        <w:rPr>
          <w:i/>
          <w:iCs/>
          <w:sz w:val="24"/>
          <w:szCs w:val="24"/>
        </w:rPr>
        <w:t>steady</w:t>
      </w:r>
      <w:r w:rsidRPr="00C2340B">
        <w:rPr>
          <w:i/>
          <w:iCs/>
          <w:sz w:val="24"/>
          <w:szCs w:val="24"/>
        </w:rPr>
        <w:noBreakHyphen/>
        <w:t>state</w:t>
      </w:r>
      <w:r w:rsidRPr="00C2340B">
        <w:rPr>
          <w:sz w:val="24"/>
          <w:szCs w:val="24"/>
        </w:rPr>
        <w:t xml:space="preserve"> koncentrationer af tacrolimus i løbet af 3 dage.</w:t>
      </w:r>
    </w:p>
    <w:p w14:paraId="1B7D2A44" w14:textId="77777777" w:rsidR="00C2340B" w:rsidRPr="00C2340B" w:rsidRDefault="00C2340B" w:rsidP="00A44660">
      <w:pPr>
        <w:ind w:left="851"/>
        <w:rPr>
          <w:sz w:val="24"/>
          <w:szCs w:val="24"/>
        </w:rPr>
      </w:pPr>
      <w:r w:rsidRPr="00C2340B">
        <w:rPr>
          <w:sz w:val="24"/>
          <w:szCs w:val="24"/>
        </w:rPr>
        <w:t>Hos raske forsøgspersoner er tacrolimus 0,5 mg, tacrolimus 1 mg og tacrolimus 5 mg hårde kapsler bioækvivalente, når de administreres i ækvivalente doser.</w:t>
      </w:r>
    </w:p>
    <w:p w14:paraId="2BCB3218" w14:textId="77777777" w:rsidR="00C2340B" w:rsidRPr="00C2340B" w:rsidRDefault="00C2340B" w:rsidP="00A44660">
      <w:pPr>
        <w:ind w:left="851"/>
        <w:rPr>
          <w:sz w:val="24"/>
          <w:szCs w:val="24"/>
        </w:rPr>
      </w:pPr>
      <w:r w:rsidRPr="00C2340B">
        <w:rPr>
          <w:sz w:val="24"/>
          <w:szCs w:val="24"/>
        </w:rPr>
        <w:t>Både hastighed og absorberet mængde tacrolimus er størst i fastende tilstand. Fødeindtagelse nedsætter både hastighed og absorberet mængde tacrolimus. Effekten er størst efter et meget fedtholdigt måltid, hvorimod effekten er mindre udtalt efter et kulhydratrigt måltid.</w:t>
      </w:r>
    </w:p>
    <w:p w14:paraId="2D4D8FD2" w14:textId="77777777" w:rsidR="00C2340B" w:rsidRPr="00C2340B" w:rsidRDefault="00C2340B" w:rsidP="00A44660">
      <w:pPr>
        <w:ind w:left="851"/>
        <w:rPr>
          <w:sz w:val="24"/>
          <w:szCs w:val="24"/>
        </w:rPr>
      </w:pPr>
      <w:r w:rsidRPr="00C2340B">
        <w:rPr>
          <w:sz w:val="24"/>
          <w:szCs w:val="24"/>
        </w:rPr>
        <w:t>Hos stabile levertransplanterede patienter er den orale biotilgængelighed reduceret, når tacrolimus administreres efter et måltid med moderat fedtindhold (34 % af kalorierne). Der var et fald i AUC (27 %) og i C</w:t>
      </w:r>
      <w:r w:rsidRPr="00C2340B">
        <w:rPr>
          <w:sz w:val="24"/>
          <w:szCs w:val="24"/>
          <w:vertAlign w:val="subscript"/>
        </w:rPr>
        <w:t>max</w:t>
      </w:r>
      <w:r w:rsidRPr="00C2340B">
        <w:rPr>
          <w:sz w:val="24"/>
          <w:szCs w:val="24"/>
        </w:rPr>
        <w:t xml:space="preserve"> (50 %) og en øgning af t</w:t>
      </w:r>
      <w:r w:rsidRPr="00C2340B">
        <w:rPr>
          <w:sz w:val="24"/>
          <w:szCs w:val="24"/>
          <w:vertAlign w:val="subscript"/>
        </w:rPr>
        <w:t>max</w:t>
      </w:r>
      <w:r w:rsidRPr="00C2340B">
        <w:rPr>
          <w:sz w:val="24"/>
          <w:szCs w:val="24"/>
        </w:rPr>
        <w:t xml:space="preserve"> (173 %) i fuldblod.</w:t>
      </w:r>
    </w:p>
    <w:p w14:paraId="1393419C" w14:textId="77777777" w:rsidR="00C2340B" w:rsidRPr="00C2340B" w:rsidRDefault="00C2340B" w:rsidP="00A44660">
      <w:pPr>
        <w:ind w:left="851"/>
        <w:rPr>
          <w:sz w:val="24"/>
          <w:szCs w:val="24"/>
        </w:rPr>
      </w:pPr>
      <w:r w:rsidRPr="00C2340B">
        <w:rPr>
          <w:sz w:val="24"/>
          <w:szCs w:val="24"/>
        </w:rPr>
        <w:t xml:space="preserve">I et studie med stabile nyretransplanterede patienter var virkningen på oral biotilgængelighed mindre udtalt ved indgift af tacrolimus umiddelbart efter en normal </w:t>
      </w:r>
      <w:r w:rsidRPr="00C2340B">
        <w:rPr>
          <w:sz w:val="24"/>
          <w:szCs w:val="24"/>
        </w:rPr>
        <w:lastRenderedPageBreak/>
        <w:t>kontinental morgenmad. Der var et fald i AUC (2</w:t>
      </w:r>
      <w:r w:rsidRPr="00C2340B">
        <w:rPr>
          <w:sz w:val="24"/>
          <w:szCs w:val="24"/>
        </w:rPr>
        <w:noBreakHyphen/>
        <w:t>12 %) og C</w:t>
      </w:r>
      <w:r w:rsidRPr="00C2340B">
        <w:rPr>
          <w:sz w:val="24"/>
          <w:szCs w:val="24"/>
          <w:vertAlign w:val="subscript"/>
        </w:rPr>
        <w:t>max</w:t>
      </w:r>
      <w:r w:rsidRPr="00C2340B">
        <w:rPr>
          <w:sz w:val="24"/>
          <w:szCs w:val="24"/>
        </w:rPr>
        <w:t xml:space="preserve"> (15</w:t>
      </w:r>
      <w:r w:rsidRPr="00C2340B">
        <w:rPr>
          <w:sz w:val="24"/>
          <w:szCs w:val="24"/>
        </w:rPr>
        <w:noBreakHyphen/>
        <w:t>38 %) og en øgning af t</w:t>
      </w:r>
      <w:r w:rsidRPr="00C2340B">
        <w:rPr>
          <w:sz w:val="24"/>
          <w:szCs w:val="24"/>
          <w:vertAlign w:val="subscript"/>
        </w:rPr>
        <w:t>max</w:t>
      </w:r>
      <w:r w:rsidRPr="00C2340B">
        <w:rPr>
          <w:sz w:val="24"/>
          <w:szCs w:val="24"/>
        </w:rPr>
        <w:t xml:space="preserve"> (38</w:t>
      </w:r>
      <w:r w:rsidRPr="00C2340B">
        <w:rPr>
          <w:sz w:val="24"/>
          <w:szCs w:val="24"/>
        </w:rPr>
        <w:noBreakHyphen/>
        <w:t>80 %) i fuldblod.</w:t>
      </w:r>
    </w:p>
    <w:p w14:paraId="1348BABE" w14:textId="77777777" w:rsidR="00C2340B" w:rsidRPr="00C2340B" w:rsidRDefault="00C2340B" w:rsidP="00A44660">
      <w:pPr>
        <w:ind w:left="851"/>
        <w:rPr>
          <w:sz w:val="24"/>
          <w:szCs w:val="24"/>
        </w:rPr>
      </w:pPr>
    </w:p>
    <w:p w14:paraId="6830BFEC" w14:textId="77777777" w:rsidR="00C2340B" w:rsidRPr="00C2340B" w:rsidRDefault="00C2340B" w:rsidP="00A44660">
      <w:pPr>
        <w:ind w:left="851"/>
        <w:rPr>
          <w:sz w:val="24"/>
          <w:szCs w:val="24"/>
        </w:rPr>
      </w:pPr>
      <w:r w:rsidRPr="00C2340B">
        <w:rPr>
          <w:sz w:val="24"/>
          <w:szCs w:val="24"/>
        </w:rPr>
        <w:t>Galdeflow påvirker ikke absorptionen af tacrolimus.</w:t>
      </w:r>
    </w:p>
    <w:p w14:paraId="313FA3B7" w14:textId="77777777" w:rsidR="00C2340B" w:rsidRPr="00C2340B" w:rsidRDefault="00C2340B" w:rsidP="00A44660">
      <w:pPr>
        <w:ind w:left="851"/>
        <w:rPr>
          <w:sz w:val="24"/>
          <w:szCs w:val="24"/>
        </w:rPr>
      </w:pPr>
      <w:r w:rsidRPr="00C2340B">
        <w:rPr>
          <w:sz w:val="24"/>
          <w:szCs w:val="24"/>
        </w:rPr>
        <w:t xml:space="preserve">Der er god korrelation mellem AUC og fuldblodsdalkoncentrationerne ved </w:t>
      </w:r>
      <w:r w:rsidRPr="00C2340B">
        <w:rPr>
          <w:i/>
          <w:iCs/>
          <w:sz w:val="24"/>
          <w:szCs w:val="24"/>
        </w:rPr>
        <w:t>steady</w:t>
      </w:r>
      <w:r w:rsidRPr="00C2340B">
        <w:rPr>
          <w:i/>
          <w:iCs/>
          <w:sz w:val="24"/>
          <w:szCs w:val="24"/>
        </w:rPr>
        <w:noBreakHyphen/>
        <w:t>state</w:t>
      </w:r>
      <w:r w:rsidRPr="00C2340B">
        <w:rPr>
          <w:sz w:val="24"/>
          <w:szCs w:val="24"/>
        </w:rPr>
        <w:t>. Måling af fuldblodsdalkoncentrationer giver derfor et godt skøn over den systemiske eksponering.</w:t>
      </w:r>
    </w:p>
    <w:p w14:paraId="71787B4B" w14:textId="77777777" w:rsidR="00C2340B" w:rsidRPr="00C2340B" w:rsidRDefault="00C2340B" w:rsidP="00A44660">
      <w:pPr>
        <w:ind w:left="851"/>
        <w:rPr>
          <w:sz w:val="24"/>
          <w:szCs w:val="24"/>
        </w:rPr>
      </w:pPr>
    </w:p>
    <w:p w14:paraId="361EE7F4" w14:textId="77777777" w:rsidR="00C2340B" w:rsidRPr="00C2340B" w:rsidRDefault="00C2340B" w:rsidP="00A44660">
      <w:pPr>
        <w:ind w:left="851"/>
        <w:rPr>
          <w:sz w:val="24"/>
          <w:szCs w:val="24"/>
          <w:u w:val="single"/>
        </w:rPr>
      </w:pPr>
      <w:r w:rsidRPr="00C2340B">
        <w:rPr>
          <w:sz w:val="24"/>
          <w:szCs w:val="24"/>
          <w:u w:val="single"/>
        </w:rPr>
        <w:t>Fordeling og elimination</w:t>
      </w:r>
    </w:p>
    <w:p w14:paraId="5AB55148" w14:textId="77777777" w:rsidR="00C2340B" w:rsidRPr="00C2340B" w:rsidRDefault="00C2340B" w:rsidP="00A44660">
      <w:pPr>
        <w:ind w:left="851"/>
        <w:rPr>
          <w:sz w:val="24"/>
          <w:szCs w:val="24"/>
        </w:rPr>
      </w:pPr>
      <w:r w:rsidRPr="00C2340B">
        <w:rPr>
          <w:sz w:val="24"/>
          <w:szCs w:val="24"/>
        </w:rPr>
        <w:t>Tacrolimus’ farmakokinetik hos mennesker efter intravenøs infusion kan bedst beskrives med en to-kompartment model.</w:t>
      </w:r>
    </w:p>
    <w:p w14:paraId="78FC2898" w14:textId="77777777" w:rsidR="00C2340B" w:rsidRPr="00C2340B" w:rsidRDefault="00C2340B" w:rsidP="00A44660">
      <w:pPr>
        <w:ind w:left="851"/>
        <w:rPr>
          <w:sz w:val="24"/>
          <w:szCs w:val="24"/>
        </w:rPr>
      </w:pPr>
      <w:r w:rsidRPr="00C2340B">
        <w:rPr>
          <w:sz w:val="24"/>
          <w:szCs w:val="24"/>
        </w:rPr>
        <w:t xml:space="preserve">I den systemiske cirkulation er tacrolimus kraftigt bundet til erytrocytterne, </w:t>
      </w:r>
      <w:proofErr w:type="gramStart"/>
      <w:r w:rsidRPr="00C2340B">
        <w:rPr>
          <w:sz w:val="24"/>
          <w:szCs w:val="24"/>
        </w:rPr>
        <w:t>således at</w:t>
      </w:r>
      <w:proofErr w:type="gramEnd"/>
      <w:r w:rsidRPr="00C2340B">
        <w:rPr>
          <w:sz w:val="24"/>
          <w:szCs w:val="24"/>
        </w:rPr>
        <w:t xml:space="preserve"> helblod/plasmakvotienten er ca. 20:1. I plasma er tacrolimus stærkt bundet (&gt; 98,8 %) til plasmaprotein, hovedsageligt til serumalbumin og surt alfa-1-glykoprotein.</w:t>
      </w:r>
    </w:p>
    <w:p w14:paraId="7CAE4F91" w14:textId="77777777" w:rsidR="00C2340B" w:rsidRPr="00C2340B" w:rsidRDefault="00C2340B" w:rsidP="00A44660">
      <w:pPr>
        <w:ind w:left="851"/>
        <w:rPr>
          <w:sz w:val="24"/>
          <w:szCs w:val="24"/>
        </w:rPr>
      </w:pPr>
      <w:r w:rsidRPr="00C2340B">
        <w:rPr>
          <w:sz w:val="24"/>
          <w:szCs w:val="24"/>
        </w:rPr>
        <w:t xml:space="preserve">Tacrolimus er udtalt fordelt i kroppen. På basis af måling af plasmakoncentrationer hos raske forsøgspersoner, fandt man et gennemsnitligt </w:t>
      </w:r>
      <w:r w:rsidRPr="00C2340B">
        <w:rPr>
          <w:i/>
          <w:iCs/>
          <w:sz w:val="24"/>
          <w:szCs w:val="24"/>
        </w:rPr>
        <w:t>steady</w:t>
      </w:r>
      <w:r w:rsidRPr="00C2340B">
        <w:rPr>
          <w:i/>
          <w:iCs/>
          <w:sz w:val="24"/>
          <w:szCs w:val="24"/>
        </w:rPr>
        <w:noBreakHyphen/>
        <w:t>state</w:t>
      </w:r>
      <w:r w:rsidRPr="00C2340B">
        <w:rPr>
          <w:sz w:val="24"/>
          <w:szCs w:val="24"/>
        </w:rPr>
        <w:t xml:space="preserve"> distributionsvolumen på ca. 1.300 l. Det tilsvarende tal baseret på fuldblod var 47,6 l.</w:t>
      </w:r>
    </w:p>
    <w:p w14:paraId="462F73B9" w14:textId="77777777" w:rsidR="00C2340B" w:rsidRPr="00C2340B" w:rsidRDefault="00C2340B" w:rsidP="00A44660">
      <w:pPr>
        <w:ind w:left="851"/>
        <w:rPr>
          <w:sz w:val="24"/>
          <w:szCs w:val="24"/>
        </w:rPr>
      </w:pPr>
      <w:r w:rsidRPr="00C2340B">
        <w:rPr>
          <w:sz w:val="24"/>
          <w:szCs w:val="24"/>
        </w:rPr>
        <w:t>Tacrolimus har en lav clearance. Den gennemsnitlige totale body clearance (TBC) estimeret ud fra fuldblodskoncentrationer, var 2,25 l/time hos raske forsøgspersoner. Hos voksne lever</w:t>
      </w:r>
      <w:r w:rsidRPr="00C2340B">
        <w:rPr>
          <w:sz w:val="24"/>
          <w:szCs w:val="24"/>
        </w:rPr>
        <w:noBreakHyphen/>
        <w:t>, nyre</w:t>
      </w:r>
      <w:r w:rsidRPr="00C2340B">
        <w:rPr>
          <w:sz w:val="24"/>
          <w:szCs w:val="24"/>
        </w:rPr>
        <w:noBreakHyphen/>
        <w:t xml:space="preserve"> og hjertetransplanterede har man set værdier på henholdsvis 4,1 l/time, 6,7 l/time og 3,9 l/time. Levertransplanterede børn har en TBC, der er ca. det dobbelte af værdien hos voksne levertransplanterede. Faktorer, såsom lav hæmatokrit og lavt serumproteinniveau, der giver en øget ubunden fraktion af tacrolimus, samt kortikoidinduceret øget metabolisme, betragtes som hovedårsagerne til den højere clearance, man finder hos transplanterede.</w:t>
      </w:r>
    </w:p>
    <w:p w14:paraId="25775866" w14:textId="77777777" w:rsidR="00C2340B" w:rsidRPr="00C2340B" w:rsidRDefault="00C2340B" w:rsidP="00A44660">
      <w:pPr>
        <w:ind w:left="851"/>
        <w:rPr>
          <w:sz w:val="24"/>
          <w:szCs w:val="24"/>
        </w:rPr>
      </w:pPr>
      <w:r w:rsidRPr="00C2340B">
        <w:rPr>
          <w:sz w:val="24"/>
          <w:szCs w:val="24"/>
        </w:rPr>
        <w:t>Halveringstiden for tacrolimus er lang og varierer fra gruppe til gruppe. Hos raske forsøgspersoner er middelværdien for halveringstiden i fuldblod ca. 43 timer. Hos levertransplanterede voksne og børn var værdien henholdsvis 11,7 timer og 12,4 timer, og hos voksne nyretransplanterede fandt man en værdi på 15,6 timer. Øget clearance medfører kortere halveringstid hos transplanterede patienter.</w:t>
      </w:r>
    </w:p>
    <w:p w14:paraId="6E8712E0" w14:textId="77777777" w:rsidR="00C2340B" w:rsidRPr="00C2340B" w:rsidRDefault="00C2340B" w:rsidP="00A44660">
      <w:pPr>
        <w:ind w:left="851"/>
        <w:rPr>
          <w:sz w:val="24"/>
          <w:szCs w:val="24"/>
        </w:rPr>
      </w:pPr>
    </w:p>
    <w:p w14:paraId="4EEC02B3" w14:textId="77777777" w:rsidR="00C2340B" w:rsidRPr="00C2340B" w:rsidRDefault="00C2340B" w:rsidP="00A44660">
      <w:pPr>
        <w:ind w:left="851"/>
        <w:rPr>
          <w:sz w:val="24"/>
          <w:szCs w:val="24"/>
        </w:rPr>
      </w:pPr>
      <w:r w:rsidRPr="00C2340B">
        <w:rPr>
          <w:sz w:val="24"/>
          <w:szCs w:val="24"/>
          <w:u w:val="single"/>
        </w:rPr>
        <w:t>Metabolisme og biotransformation</w:t>
      </w:r>
    </w:p>
    <w:p w14:paraId="4F307973" w14:textId="77777777" w:rsidR="00C2340B" w:rsidRPr="00C2340B" w:rsidRDefault="00C2340B" w:rsidP="00A44660">
      <w:pPr>
        <w:ind w:left="851"/>
        <w:rPr>
          <w:sz w:val="24"/>
          <w:szCs w:val="24"/>
        </w:rPr>
      </w:pPr>
      <w:r w:rsidRPr="00C2340B">
        <w:rPr>
          <w:sz w:val="24"/>
          <w:szCs w:val="24"/>
        </w:rPr>
        <w:t>Tacrolimus metaboliseres i udstrakt grad i leveren, primært af cytochrom P450</w:t>
      </w:r>
      <w:r w:rsidRPr="00C2340B">
        <w:rPr>
          <w:sz w:val="24"/>
          <w:szCs w:val="24"/>
        </w:rPr>
        <w:noBreakHyphen/>
        <w:t>3A4 (CYP3A4) og cytochrom P450</w:t>
      </w:r>
      <w:r w:rsidRPr="00C2340B">
        <w:rPr>
          <w:sz w:val="24"/>
          <w:szCs w:val="24"/>
        </w:rPr>
        <w:noBreakHyphen/>
        <w:t xml:space="preserve">3A5 (CYP3A5). Tacrolimus metaboliseres også betydeligt i tarmvæggen. Der er identificeret adskillige metabolitter. Kun en af disse er vist </w:t>
      </w:r>
      <w:r w:rsidRPr="00C2340B">
        <w:rPr>
          <w:i/>
          <w:sz w:val="24"/>
          <w:szCs w:val="24"/>
        </w:rPr>
        <w:t>in vitro</w:t>
      </w:r>
      <w:r w:rsidRPr="00C2340B">
        <w:rPr>
          <w:sz w:val="24"/>
          <w:szCs w:val="24"/>
        </w:rPr>
        <w:t xml:space="preserve"> at have immunsuppressiv aktivitet som tacrolimus. De andre metabolitter har kun svag eller ingen immunsuppressiv effekt. I den systemiske cirkulation findes kun en af de inaktive metabolitter i lave koncentrationer. Derfor bidrager metabolitter ikke til den farmakologiske effekt af tacrolimus.</w:t>
      </w:r>
    </w:p>
    <w:p w14:paraId="11B00440" w14:textId="77777777" w:rsidR="00C2340B" w:rsidRPr="00C2340B" w:rsidRDefault="00C2340B" w:rsidP="00A44660">
      <w:pPr>
        <w:ind w:left="851"/>
        <w:rPr>
          <w:sz w:val="24"/>
          <w:szCs w:val="24"/>
        </w:rPr>
      </w:pPr>
    </w:p>
    <w:p w14:paraId="289FCC11" w14:textId="77777777" w:rsidR="00C2340B" w:rsidRPr="00C2340B" w:rsidRDefault="00C2340B" w:rsidP="00A44660">
      <w:pPr>
        <w:ind w:left="851"/>
        <w:rPr>
          <w:sz w:val="24"/>
          <w:szCs w:val="24"/>
          <w:u w:val="single"/>
        </w:rPr>
      </w:pPr>
      <w:r w:rsidRPr="00C2340B">
        <w:rPr>
          <w:sz w:val="24"/>
          <w:szCs w:val="24"/>
          <w:u w:val="single"/>
        </w:rPr>
        <w:t>Udskillelse</w:t>
      </w:r>
    </w:p>
    <w:p w14:paraId="1564603A" w14:textId="77777777" w:rsidR="00C2340B" w:rsidRPr="00C2340B" w:rsidRDefault="00C2340B" w:rsidP="00A44660">
      <w:pPr>
        <w:ind w:left="851"/>
        <w:rPr>
          <w:sz w:val="24"/>
          <w:szCs w:val="24"/>
        </w:rPr>
      </w:pPr>
      <w:r w:rsidRPr="00C2340B">
        <w:rPr>
          <w:sz w:val="24"/>
          <w:szCs w:val="24"/>
        </w:rPr>
        <w:t xml:space="preserve">Efter oral og efter intravenøs administration af </w:t>
      </w:r>
      <w:r w:rsidRPr="00C2340B">
        <w:rPr>
          <w:sz w:val="24"/>
          <w:szCs w:val="24"/>
          <w:vertAlign w:val="superscript"/>
        </w:rPr>
        <w:t>14</w:t>
      </w:r>
      <w:r w:rsidRPr="00C2340B">
        <w:rPr>
          <w:sz w:val="24"/>
          <w:szCs w:val="24"/>
        </w:rPr>
        <w:t>C</w:t>
      </w:r>
      <w:r w:rsidRPr="00C2340B">
        <w:rPr>
          <w:sz w:val="24"/>
          <w:szCs w:val="24"/>
        </w:rPr>
        <w:noBreakHyphen/>
        <w:t>mærket tacrolimus blev størstedelen af radioaktiviteten elimineret i fæces. Ca. 2 % af radioaktiviteten blev elimineret i urinen. Mindre end 1 % af intakt tacrolimus blev fundet i urin og fæces, hvilket indikerer at næsten al tacrolimus metaboliseres før elimination, idet størstedelen bliver elimineret med galden.</w:t>
      </w:r>
    </w:p>
    <w:p w14:paraId="1526DE4B" w14:textId="77777777" w:rsidR="009260DE" w:rsidRPr="00C84483" w:rsidRDefault="009260DE" w:rsidP="009260DE">
      <w:pPr>
        <w:tabs>
          <w:tab w:val="left" w:pos="851"/>
        </w:tabs>
        <w:ind w:left="851"/>
        <w:rPr>
          <w:sz w:val="24"/>
          <w:szCs w:val="24"/>
        </w:rPr>
      </w:pPr>
    </w:p>
    <w:p w14:paraId="0F2AB11A"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07E1348B" w14:textId="77777777" w:rsidR="00C2340B" w:rsidRPr="00C2340B" w:rsidRDefault="00C2340B" w:rsidP="00A44660">
      <w:pPr>
        <w:ind w:left="851"/>
        <w:rPr>
          <w:sz w:val="24"/>
          <w:szCs w:val="24"/>
        </w:rPr>
      </w:pPr>
      <w:r w:rsidRPr="00C2340B">
        <w:rPr>
          <w:sz w:val="24"/>
          <w:szCs w:val="24"/>
        </w:rPr>
        <w:t>Nyrer og pancreas var de primære organer, der blev påvirket i toksicitetsstudier udført hos rotter og bavianer. Hos rotter forårsagede tacrolimus toksiske virkninger på nervesystem og øjne. Der sås reversible kardiotoksiske effekter hos kaniner efter intravenøs administration af tacrolimus.</w:t>
      </w:r>
    </w:p>
    <w:p w14:paraId="65A977E2" w14:textId="77777777" w:rsidR="00C2340B" w:rsidRPr="00C2340B" w:rsidRDefault="00C2340B" w:rsidP="00A44660">
      <w:pPr>
        <w:ind w:left="851"/>
        <w:rPr>
          <w:sz w:val="24"/>
          <w:szCs w:val="24"/>
        </w:rPr>
      </w:pPr>
      <w:r w:rsidRPr="00C2340B">
        <w:rPr>
          <w:sz w:val="24"/>
          <w:szCs w:val="24"/>
        </w:rPr>
        <w:lastRenderedPageBreak/>
        <w:t>Når tacrolimus administreres intravenøst som hurtig infusion/bolusinjektion ved en dosis på 0,1 til 1,0 mg/kg er der hos nogle dyrearter observeret QTc</w:t>
      </w:r>
      <w:r w:rsidRPr="00C2340B">
        <w:rPr>
          <w:sz w:val="24"/>
          <w:szCs w:val="24"/>
        </w:rPr>
        <w:noBreakHyphen/>
        <w:t>forlængelse. Peak-blodkoncentrationer opnået med disse doser var over 150 ng/ml, hvilket er mere end 6 gange højere end gennemsnitlige peak-koncentrationer observeret med tacrolimus i forbindelse med transplantation.</w:t>
      </w:r>
    </w:p>
    <w:p w14:paraId="31690C91" w14:textId="77777777" w:rsidR="00C2340B" w:rsidRPr="00C2340B" w:rsidRDefault="00C2340B" w:rsidP="00A44660">
      <w:pPr>
        <w:ind w:left="851"/>
        <w:rPr>
          <w:sz w:val="24"/>
          <w:szCs w:val="24"/>
        </w:rPr>
      </w:pPr>
    </w:p>
    <w:p w14:paraId="2613ECFF" w14:textId="77777777" w:rsidR="00C2340B" w:rsidRPr="00C2340B" w:rsidRDefault="00C2340B" w:rsidP="00A44660">
      <w:pPr>
        <w:ind w:left="851"/>
        <w:rPr>
          <w:sz w:val="24"/>
          <w:szCs w:val="24"/>
        </w:rPr>
      </w:pPr>
      <w:r w:rsidRPr="00C2340B">
        <w:rPr>
          <w:sz w:val="24"/>
          <w:szCs w:val="24"/>
        </w:rPr>
        <w:t xml:space="preserve">Embryoføtal toksicitet sås hos rotter og kaniner og var begrænset til doser, som forårsagede signifikant toksicitet hos moderdyrene. Hos hunrotter blev den reproduktive funktion herunder fødsel nedsat ved toksiske doser og der sås lavere fødselsvægt, levedygtighed og vækst hos afkommet. </w:t>
      </w:r>
    </w:p>
    <w:p w14:paraId="6577AFB4" w14:textId="77777777" w:rsidR="00C2340B" w:rsidRPr="00C2340B" w:rsidRDefault="00C2340B" w:rsidP="00A44660">
      <w:pPr>
        <w:ind w:left="851"/>
        <w:rPr>
          <w:sz w:val="24"/>
          <w:szCs w:val="24"/>
        </w:rPr>
      </w:pPr>
      <w:r w:rsidRPr="00C2340B">
        <w:rPr>
          <w:sz w:val="24"/>
          <w:szCs w:val="24"/>
        </w:rPr>
        <w:t xml:space="preserve">I rotter havde tacrolimus en negativ effekt på hannernes fertilitet i form af spermtal og </w:t>
      </w:r>
      <w:r w:rsidRPr="00C2340B">
        <w:rPr>
          <w:sz w:val="24"/>
          <w:szCs w:val="24"/>
        </w:rPr>
        <w:noBreakHyphen/>
        <w:t>motilitet.</w:t>
      </w:r>
    </w:p>
    <w:p w14:paraId="616412A4" w14:textId="77777777" w:rsidR="009260DE" w:rsidRPr="00C84483" w:rsidRDefault="009260DE" w:rsidP="009260DE">
      <w:pPr>
        <w:tabs>
          <w:tab w:val="left" w:pos="851"/>
        </w:tabs>
        <w:ind w:left="851"/>
        <w:rPr>
          <w:sz w:val="24"/>
          <w:szCs w:val="24"/>
        </w:rPr>
      </w:pPr>
    </w:p>
    <w:p w14:paraId="572BFCA9" w14:textId="77777777" w:rsidR="009260DE" w:rsidRPr="00C84483" w:rsidRDefault="009260DE" w:rsidP="009260DE">
      <w:pPr>
        <w:tabs>
          <w:tab w:val="left" w:pos="851"/>
        </w:tabs>
        <w:ind w:left="851"/>
        <w:rPr>
          <w:sz w:val="24"/>
          <w:szCs w:val="24"/>
        </w:rPr>
      </w:pPr>
    </w:p>
    <w:p w14:paraId="4D88CC7D"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1419C33C" w14:textId="77777777" w:rsidR="009260DE" w:rsidRPr="00BA09F1" w:rsidRDefault="009260DE" w:rsidP="009260DE">
      <w:pPr>
        <w:tabs>
          <w:tab w:val="left" w:pos="851"/>
        </w:tabs>
        <w:ind w:left="851"/>
        <w:rPr>
          <w:sz w:val="24"/>
          <w:szCs w:val="24"/>
        </w:rPr>
      </w:pPr>
    </w:p>
    <w:p w14:paraId="3B6396E2"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2977D609" w14:textId="77777777" w:rsidR="00CA3481" w:rsidRDefault="00CA3481" w:rsidP="00A44660">
      <w:pPr>
        <w:ind w:left="851"/>
        <w:rPr>
          <w:i/>
          <w:iCs/>
          <w:sz w:val="24"/>
          <w:szCs w:val="24"/>
        </w:rPr>
      </w:pPr>
    </w:p>
    <w:p w14:paraId="448C61C0" w14:textId="6F8A58A6" w:rsidR="00C2340B" w:rsidRPr="00C2340B" w:rsidRDefault="00C2340B" w:rsidP="00A44660">
      <w:pPr>
        <w:ind w:left="851"/>
        <w:rPr>
          <w:i/>
          <w:iCs/>
          <w:sz w:val="24"/>
          <w:szCs w:val="24"/>
        </w:rPr>
      </w:pPr>
      <w:r w:rsidRPr="00C2340B">
        <w:rPr>
          <w:i/>
          <w:iCs/>
          <w:sz w:val="24"/>
          <w:szCs w:val="24"/>
        </w:rPr>
        <w:t>Kapselindhold:</w:t>
      </w:r>
    </w:p>
    <w:p w14:paraId="588EE7E7" w14:textId="77777777" w:rsidR="00C2340B" w:rsidRPr="00C2340B" w:rsidRDefault="00C2340B" w:rsidP="00A44660">
      <w:pPr>
        <w:ind w:left="851"/>
        <w:rPr>
          <w:sz w:val="24"/>
          <w:szCs w:val="24"/>
        </w:rPr>
      </w:pPr>
      <w:r w:rsidRPr="00C2340B">
        <w:rPr>
          <w:sz w:val="24"/>
          <w:szCs w:val="24"/>
        </w:rPr>
        <w:t>Hypromellose (E464)</w:t>
      </w:r>
    </w:p>
    <w:p w14:paraId="7D636AFF" w14:textId="77777777" w:rsidR="00C2340B" w:rsidRPr="00C2340B" w:rsidRDefault="00C2340B" w:rsidP="00A44660">
      <w:pPr>
        <w:ind w:left="851"/>
        <w:rPr>
          <w:sz w:val="24"/>
          <w:szCs w:val="24"/>
          <w:lang w:val="en-US"/>
        </w:rPr>
      </w:pPr>
      <w:r w:rsidRPr="00C2340B">
        <w:rPr>
          <w:sz w:val="24"/>
          <w:szCs w:val="24"/>
          <w:lang w:val="en-US"/>
        </w:rPr>
        <w:t>Croscarmellosenatrium (E468)</w:t>
      </w:r>
    </w:p>
    <w:p w14:paraId="6A0CAFEC" w14:textId="77777777" w:rsidR="00C2340B" w:rsidRPr="00C2340B" w:rsidRDefault="00C2340B" w:rsidP="00A44660">
      <w:pPr>
        <w:ind w:left="851"/>
        <w:rPr>
          <w:sz w:val="24"/>
          <w:szCs w:val="24"/>
          <w:lang w:val="en-US"/>
        </w:rPr>
      </w:pPr>
      <w:r w:rsidRPr="00C2340B">
        <w:rPr>
          <w:sz w:val="24"/>
          <w:szCs w:val="24"/>
          <w:lang w:val="en-US"/>
        </w:rPr>
        <w:t>Lactose, vandfri</w:t>
      </w:r>
    </w:p>
    <w:p w14:paraId="03C5D12C" w14:textId="77777777" w:rsidR="00C2340B" w:rsidRPr="00C2340B" w:rsidRDefault="00C2340B" w:rsidP="00A44660">
      <w:pPr>
        <w:ind w:left="851"/>
        <w:rPr>
          <w:sz w:val="24"/>
          <w:szCs w:val="24"/>
          <w:lang w:val="en-US"/>
        </w:rPr>
      </w:pPr>
      <w:r w:rsidRPr="00C2340B">
        <w:rPr>
          <w:sz w:val="24"/>
          <w:szCs w:val="24"/>
          <w:lang w:val="en-US"/>
        </w:rPr>
        <w:t>Magnesiumstearat (E572)</w:t>
      </w:r>
    </w:p>
    <w:p w14:paraId="56F62FB1" w14:textId="77777777" w:rsidR="00C2340B" w:rsidRPr="00C2340B" w:rsidRDefault="00C2340B" w:rsidP="00A44660">
      <w:pPr>
        <w:ind w:left="851"/>
        <w:rPr>
          <w:sz w:val="24"/>
          <w:szCs w:val="24"/>
          <w:lang w:val="en-US"/>
        </w:rPr>
      </w:pPr>
    </w:p>
    <w:p w14:paraId="3D9087AC" w14:textId="77777777" w:rsidR="00C2340B" w:rsidRPr="00C2340B" w:rsidRDefault="00C2340B" w:rsidP="00A44660">
      <w:pPr>
        <w:ind w:left="851"/>
        <w:rPr>
          <w:i/>
          <w:iCs/>
          <w:sz w:val="24"/>
          <w:szCs w:val="24"/>
        </w:rPr>
      </w:pPr>
      <w:r w:rsidRPr="00C2340B">
        <w:rPr>
          <w:i/>
          <w:iCs/>
          <w:sz w:val="24"/>
          <w:szCs w:val="24"/>
        </w:rPr>
        <w:t>Kapselskal:</w:t>
      </w:r>
    </w:p>
    <w:p w14:paraId="6CB19A50" w14:textId="77777777" w:rsidR="00C2340B" w:rsidRPr="00C2340B" w:rsidRDefault="00C2340B" w:rsidP="00A44660">
      <w:pPr>
        <w:ind w:left="851"/>
        <w:rPr>
          <w:sz w:val="24"/>
          <w:szCs w:val="24"/>
        </w:rPr>
      </w:pPr>
      <w:r w:rsidRPr="00C2340B">
        <w:rPr>
          <w:sz w:val="24"/>
          <w:szCs w:val="24"/>
        </w:rPr>
        <w:t>Gelatine</w:t>
      </w:r>
    </w:p>
    <w:p w14:paraId="7479DE2E" w14:textId="77777777" w:rsidR="00C2340B" w:rsidRPr="00C2340B" w:rsidRDefault="00C2340B" w:rsidP="00A44660">
      <w:pPr>
        <w:ind w:left="851"/>
        <w:rPr>
          <w:sz w:val="24"/>
          <w:szCs w:val="24"/>
        </w:rPr>
      </w:pPr>
      <w:r w:rsidRPr="00C2340B">
        <w:rPr>
          <w:sz w:val="24"/>
          <w:szCs w:val="24"/>
        </w:rPr>
        <w:t>Titandioxid (E171)</w:t>
      </w:r>
    </w:p>
    <w:p w14:paraId="024D72F1" w14:textId="77777777" w:rsidR="00C2340B" w:rsidRPr="00C2340B" w:rsidRDefault="00C2340B" w:rsidP="00A44660">
      <w:pPr>
        <w:ind w:left="851"/>
        <w:rPr>
          <w:sz w:val="24"/>
          <w:szCs w:val="24"/>
        </w:rPr>
      </w:pPr>
      <w:r w:rsidRPr="00C2340B">
        <w:rPr>
          <w:sz w:val="24"/>
          <w:szCs w:val="24"/>
        </w:rPr>
        <w:t xml:space="preserve">Jernoxid, gul (E172) </w:t>
      </w:r>
      <w:r w:rsidRPr="00C2340B">
        <w:rPr>
          <w:i/>
          <w:iCs/>
          <w:sz w:val="24"/>
          <w:szCs w:val="24"/>
        </w:rPr>
        <w:t>(0,5 mg)</w:t>
      </w:r>
    </w:p>
    <w:p w14:paraId="703F2E23" w14:textId="77777777" w:rsidR="00C2340B" w:rsidRPr="00C2340B" w:rsidRDefault="00C2340B" w:rsidP="00A44660">
      <w:pPr>
        <w:ind w:left="851"/>
        <w:rPr>
          <w:sz w:val="24"/>
          <w:szCs w:val="24"/>
          <w:lang w:val="en-US"/>
        </w:rPr>
      </w:pPr>
      <w:r w:rsidRPr="00C2340B">
        <w:rPr>
          <w:sz w:val="24"/>
          <w:szCs w:val="24"/>
          <w:lang w:val="en-US"/>
        </w:rPr>
        <w:t xml:space="preserve">Jernoxid, rød (E172) </w:t>
      </w:r>
      <w:r w:rsidRPr="00C2340B">
        <w:rPr>
          <w:i/>
          <w:iCs/>
          <w:sz w:val="24"/>
          <w:szCs w:val="24"/>
          <w:lang w:val="en-US"/>
        </w:rPr>
        <w:t>(5 mg)</w:t>
      </w:r>
    </w:p>
    <w:p w14:paraId="42D9E376" w14:textId="77777777" w:rsidR="00C2340B" w:rsidRPr="00C2340B" w:rsidRDefault="00C2340B" w:rsidP="00A44660">
      <w:pPr>
        <w:ind w:left="851"/>
        <w:rPr>
          <w:sz w:val="24"/>
          <w:szCs w:val="24"/>
          <w:lang w:val="en-US"/>
        </w:rPr>
      </w:pPr>
      <w:r w:rsidRPr="00C2340B">
        <w:rPr>
          <w:sz w:val="24"/>
          <w:szCs w:val="24"/>
          <w:lang w:val="en-US"/>
        </w:rPr>
        <w:t>Natriumlaurilsulfat</w:t>
      </w:r>
    </w:p>
    <w:p w14:paraId="3BF80241" w14:textId="77777777" w:rsidR="00C2340B" w:rsidRPr="00C2340B" w:rsidRDefault="00C2340B" w:rsidP="00A44660">
      <w:pPr>
        <w:ind w:left="851"/>
        <w:rPr>
          <w:sz w:val="24"/>
          <w:szCs w:val="24"/>
          <w:lang w:val="en-US"/>
        </w:rPr>
      </w:pPr>
    </w:p>
    <w:p w14:paraId="347B5008" w14:textId="77777777" w:rsidR="00C2340B" w:rsidRPr="00C2340B" w:rsidRDefault="00C2340B" w:rsidP="00A44660">
      <w:pPr>
        <w:ind w:left="851"/>
        <w:rPr>
          <w:i/>
          <w:iCs/>
          <w:sz w:val="24"/>
          <w:szCs w:val="24"/>
          <w:lang w:val="en-US"/>
        </w:rPr>
      </w:pPr>
      <w:r w:rsidRPr="00C2340B">
        <w:rPr>
          <w:i/>
          <w:iCs/>
          <w:sz w:val="24"/>
          <w:szCs w:val="24"/>
          <w:lang w:val="en-US"/>
        </w:rPr>
        <w:t>Printblæk:</w:t>
      </w:r>
    </w:p>
    <w:p w14:paraId="79BA0344" w14:textId="77777777" w:rsidR="00C2340B" w:rsidRPr="00C2340B" w:rsidRDefault="00C2340B" w:rsidP="00A44660">
      <w:pPr>
        <w:ind w:left="851"/>
        <w:rPr>
          <w:sz w:val="24"/>
          <w:szCs w:val="24"/>
          <w:lang w:val="en-US"/>
        </w:rPr>
      </w:pPr>
      <w:r w:rsidRPr="00C2340B">
        <w:rPr>
          <w:sz w:val="24"/>
          <w:szCs w:val="24"/>
          <w:lang w:val="en-US"/>
        </w:rPr>
        <w:t>Shellac (E904)</w:t>
      </w:r>
    </w:p>
    <w:p w14:paraId="701C4907" w14:textId="77777777" w:rsidR="00C2340B" w:rsidRPr="00C2340B" w:rsidRDefault="00C2340B" w:rsidP="00A44660">
      <w:pPr>
        <w:ind w:left="851"/>
        <w:rPr>
          <w:sz w:val="24"/>
          <w:szCs w:val="24"/>
          <w:lang w:val="en-US"/>
        </w:rPr>
      </w:pPr>
      <w:r w:rsidRPr="00C2340B">
        <w:rPr>
          <w:sz w:val="24"/>
          <w:szCs w:val="24"/>
          <w:lang w:val="en-US"/>
        </w:rPr>
        <w:t>Propylenglycol (E1520)</w:t>
      </w:r>
    </w:p>
    <w:p w14:paraId="082A7F2B" w14:textId="77777777" w:rsidR="00C2340B" w:rsidRPr="00C2340B" w:rsidRDefault="00C2340B" w:rsidP="00A44660">
      <w:pPr>
        <w:ind w:left="851"/>
        <w:rPr>
          <w:sz w:val="24"/>
          <w:szCs w:val="24"/>
        </w:rPr>
      </w:pPr>
      <w:r w:rsidRPr="00C2340B">
        <w:rPr>
          <w:sz w:val="24"/>
          <w:szCs w:val="24"/>
        </w:rPr>
        <w:t xml:space="preserve">Jernoxid, rød (E172) </w:t>
      </w:r>
      <w:r w:rsidRPr="00C2340B">
        <w:rPr>
          <w:i/>
          <w:iCs/>
          <w:sz w:val="24"/>
          <w:szCs w:val="24"/>
        </w:rPr>
        <w:t>(0,5 mg og 1 mg)</w:t>
      </w:r>
    </w:p>
    <w:p w14:paraId="615D3E34" w14:textId="77777777" w:rsidR="00C2340B" w:rsidRPr="00C2340B" w:rsidRDefault="00C2340B" w:rsidP="00A44660">
      <w:pPr>
        <w:ind w:left="851"/>
        <w:rPr>
          <w:i/>
          <w:iCs/>
          <w:sz w:val="24"/>
          <w:szCs w:val="24"/>
        </w:rPr>
      </w:pPr>
      <w:r w:rsidRPr="00C2340B">
        <w:rPr>
          <w:sz w:val="24"/>
          <w:szCs w:val="24"/>
        </w:rPr>
        <w:t xml:space="preserve">Titandioxid (E171) </w:t>
      </w:r>
      <w:r w:rsidRPr="00C2340B">
        <w:rPr>
          <w:i/>
          <w:iCs/>
          <w:sz w:val="24"/>
          <w:szCs w:val="24"/>
        </w:rPr>
        <w:t>(5 mg)</w:t>
      </w:r>
    </w:p>
    <w:p w14:paraId="512849D3" w14:textId="77777777" w:rsidR="00C2340B" w:rsidRPr="00C2340B" w:rsidRDefault="00C2340B" w:rsidP="00A44660">
      <w:pPr>
        <w:ind w:left="851"/>
        <w:rPr>
          <w:sz w:val="24"/>
          <w:szCs w:val="24"/>
        </w:rPr>
      </w:pPr>
      <w:r w:rsidRPr="00C2340B">
        <w:rPr>
          <w:sz w:val="24"/>
          <w:szCs w:val="24"/>
        </w:rPr>
        <w:t xml:space="preserve">Kaliumhydroxid (E525) </w:t>
      </w:r>
      <w:r w:rsidRPr="00C2340B">
        <w:rPr>
          <w:i/>
          <w:iCs/>
          <w:sz w:val="24"/>
          <w:szCs w:val="24"/>
        </w:rPr>
        <w:t>(5 mg)</w:t>
      </w:r>
    </w:p>
    <w:p w14:paraId="7C72E283" w14:textId="77777777" w:rsidR="009260DE" w:rsidRPr="00C84483" w:rsidRDefault="009260DE" w:rsidP="009260DE">
      <w:pPr>
        <w:tabs>
          <w:tab w:val="left" w:pos="851"/>
        </w:tabs>
        <w:ind w:left="851"/>
        <w:rPr>
          <w:sz w:val="24"/>
          <w:szCs w:val="24"/>
        </w:rPr>
      </w:pPr>
    </w:p>
    <w:p w14:paraId="5E68AC81"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07E3229" w14:textId="0C0BD7C9" w:rsidR="00C2340B" w:rsidRPr="00C2340B" w:rsidRDefault="00C2340B" w:rsidP="00A44660">
      <w:pPr>
        <w:ind w:left="851"/>
        <w:rPr>
          <w:sz w:val="24"/>
          <w:szCs w:val="24"/>
        </w:rPr>
      </w:pPr>
      <w:r w:rsidRPr="00C2340B">
        <w:rPr>
          <w:sz w:val="24"/>
          <w:szCs w:val="24"/>
        </w:rPr>
        <w:t xml:space="preserve">Tacrolimus er uforligelig med PVC. Slanger, sprøjter og andet udstyr, der benyttes til tilberedning eller administration af en suspension af Tacrolimus </w:t>
      </w:r>
      <w:r w:rsidR="00A863D6">
        <w:rPr>
          <w:sz w:val="24"/>
          <w:szCs w:val="24"/>
        </w:rPr>
        <w:t>"EQL Pharma"</w:t>
      </w:r>
      <w:r w:rsidRPr="00C2340B">
        <w:rPr>
          <w:sz w:val="24"/>
          <w:szCs w:val="24"/>
        </w:rPr>
        <w:t>s kapselindhold, må ikke indeholde PVC.</w:t>
      </w:r>
    </w:p>
    <w:p w14:paraId="7C105C6F" w14:textId="77777777" w:rsidR="009260DE" w:rsidRPr="00C84483" w:rsidRDefault="009260DE" w:rsidP="009260DE">
      <w:pPr>
        <w:tabs>
          <w:tab w:val="left" w:pos="851"/>
        </w:tabs>
        <w:ind w:left="851"/>
        <w:rPr>
          <w:sz w:val="24"/>
          <w:szCs w:val="24"/>
        </w:rPr>
      </w:pPr>
    </w:p>
    <w:p w14:paraId="1AB6FF3E"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78E8AB67" w14:textId="77777777" w:rsidR="00C2340B" w:rsidRPr="00C2340B" w:rsidRDefault="00C2340B" w:rsidP="00A44660">
      <w:pPr>
        <w:ind w:left="851"/>
        <w:rPr>
          <w:sz w:val="24"/>
          <w:szCs w:val="24"/>
        </w:rPr>
      </w:pPr>
      <w:r w:rsidRPr="00C2340B">
        <w:rPr>
          <w:sz w:val="24"/>
          <w:szCs w:val="24"/>
        </w:rPr>
        <w:t>2 år</w:t>
      </w:r>
    </w:p>
    <w:p w14:paraId="110490DF" w14:textId="77777777" w:rsidR="00C2340B" w:rsidRPr="00C2340B" w:rsidRDefault="00C2340B" w:rsidP="00A44660">
      <w:pPr>
        <w:ind w:left="851"/>
        <w:rPr>
          <w:sz w:val="24"/>
          <w:szCs w:val="24"/>
        </w:rPr>
      </w:pPr>
    </w:p>
    <w:p w14:paraId="773677A0" w14:textId="77777777" w:rsidR="00C2340B" w:rsidRPr="00C2340B" w:rsidRDefault="00C2340B" w:rsidP="00A44660">
      <w:pPr>
        <w:ind w:left="851"/>
        <w:rPr>
          <w:sz w:val="24"/>
          <w:szCs w:val="24"/>
        </w:rPr>
      </w:pPr>
      <w:r w:rsidRPr="00C2340B">
        <w:rPr>
          <w:sz w:val="24"/>
          <w:szCs w:val="24"/>
        </w:rPr>
        <w:t>Efter åbning af aluminiumsfoliet: 1 år</w:t>
      </w:r>
    </w:p>
    <w:p w14:paraId="7F98334D" w14:textId="77777777" w:rsidR="00C2340B" w:rsidRPr="00C2340B" w:rsidRDefault="00C2340B" w:rsidP="00A44660">
      <w:pPr>
        <w:ind w:left="851"/>
        <w:rPr>
          <w:sz w:val="24"/>
          <w:szCs w:val="24"/>
        </w:rPr>
      </w:pPr>
      <w:r w:rsidRPr="00C2340B">
        <w:rPr>
          <w:sz w:val="24"/>
          <w:szCs w:val="24"/>
        </w:rPr>
        <w:t>Efter åbning af HDPE-beholderen: 3 måneder</w:t>
      </w:r>
    </w:p>
    <w:p w14:paraId="0EE81E0C" w14:textId="77777777" w:rsidR="009260DE" w:rsidRPr="00C84483" w:rsidRDefault="009260DE" w:rsidP="009260DE">
      <w:pPr>
        <w:tabs>
          <w:tab w:val="left" w:pos="851"/>
        </w:tabs>
        <w:ind w:left="851"/>
        <w:rPr>
          <w:sz w:val="24"/>
          <w:szCs w:val="24"/>
        </w:rPr>
      </w:pPr>
    </w:p>
    <w:p w14:paraId="79D57CE9"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0B29E953" w14:textId="77777777" w:rsidR="00C2340B" w:rsidRPr="00C2340B" w:rsidRDefault="00C2340B" w:rsidP="00A44660">
      <w:pPr>
        <w:ind w:left="851"/>
        <w:rPr>
          <w:sz w:val="24"/>
          <w:szCs w:val="24"/>
          <w:lang w:val="nl-BE"/>
        </w:rPr>
      </w:pPr>
      <w:bookmarkStart w:id="11" w:name="OLE_LINK2"/>
      <w:bookmarkStart w:id="12" w:name="OLE_LINK1"/>
      <w:r w:rsidRPr="00C2340B">
        <w:rPr>
          <w:sz w:val="24"/>
          <w:szCs w:val="24"/>
        </w:rPr>
        <w:t>Der er ingen særlige krav vedrørende opbevaringstemperaturer for dette lægemiddel</w:t>
      </w:r>
      <w:r w:rsidRPr="00C2340B">
        <w:rPr>
          <w:sz w:val="24"/>
          <w:szCs w:val="24"/>
          <w:lang w:val="nl-BE"/>
        </w:rPr>
        <w:t>.</w:t>
      </w:r>
      <w:bookmarkEnd w:id="11"/>
      <w:bookmarkEnd w:id="12"/>
    </w:p>
    <w:p w14:paraId="61E8CAF3" w14:textId="77777777" w:rsidR="00C2340B" w:rsidRPr="00C2340B" w:rsidRDefault="00C2340B" w:rsidP="00A44660">
      <w:pPr>
        <w:ind w:left="851"/>
        <w:rPr>
          <w:sz w:val="24"/>
          <w:szCs w:val="24"/>
        </w:rPr>
      </w:pPr>
      <w:r w:rsidRPr="00C2340B">
        <w:rPr>
          <w:sz w:val="24"/>
          <w:szCs w:val="24"/>
        </w:rPr>
        <w:lastRenderedPageBreak/>
        <w:t>Opbevares i den originale yderpakning for at beskytte mod fugt.</w:t>
      </w:r>
    </w:p>
    <w:p w14:paraId="3ABEB627" w14:textId="77777777" w:rsidR="00C2340B" w:rsidRPr="00C2340B" w:rsidRDefault="00C2340B" w:rsidP="00A44660">
      <w:pPr>
        <w:ind w:left="851"/>
        <w:rPr>
          <w:sz w:val="24"/>
          <w:szCs w:val="24"/>
        </w:rPr>
      </w:pPr>
      <w:r w:rsidRPr="00C2340B">
        <w:rPr>
          <w:sz w:val="24"/>
          <w:szCs w:val="24"/>
        </w:rPr>
        <w:t>De hårde kapsler skal indtages umiddelbart efter at de er taget ud af blisterkortet.</w:t>
      </w:r>
    </w:p>
    <w:p w14:paraId="5FF1E65F" w14:textId="77777777" w:rsidR="009260DE" w:rsidRPr="00C84483" w:rsidRDefault="009260DE" w:rsidP="009260DE">
      <w:pPr>
        <w:tabs>
          <w:tab w:val="left" w:pos="851"/>
        </w:tabs>
        <w:ind w:left="851"/>
        <w:rPr>
          <w:sz w:val="24"/>
          <w:szCs w:val="24"/>
        </w:rPr>
      </w:pPr>
    </w:p>
    <w:p w14:paraId="5E1FA6F9"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9A6ABCB" w14:textId="77777777" w:rsidR="00C2340B" w:rsidRPr="00C2340B" w:rsidRDefault="00C2340B" w:rsidP="00A44660">
      <w:pPr>
        <w:ind w:left="851"/>
        <w:rPr>
          <w:sz w:val="24"/>
          <w:szCs w:val="24"/>
        </w:rPr>
      </w:pPr>
      <w:r w:rsidRPr="00C2340B">
        <w:rPr>
          <w:sz w:val="24"/>
          <w:szCs w:val="24"/>
        </w:rPr>
        <w:t>PVdC-aluminium-blisterpakning: 10 kapsler pr. blisterkort. Blisterkort med indlagt tørremiddel i et beskyttende folie.</w:t>
      </w:r>
    </w:p>
    <w:p w14:paraId="0A198628" w14:textId="77777777" w:rsidR="00C2340B" w:rsidRPr="00C2340B" w:rsidRDefault="00C2340B" w:rsidP="00A44660">
      <w:pPr>
        <w:ind w:left="851"/>
        <w:rPr>
          <w:sz w:val="24"/>
          <w:szCs w:val="24"/>
        </w:rPr>
      </w:pPr>
    </w:p>
    <w:p w14:paraId="103C664E" w14:textId="77777777" w:rsidR="00C2340B" w:rsidRPr="00C2340B" w:rsidRDefault="00C2340B" w:rsidP="00A44660">
      <w:pPr>
        <w:ind w:left="851"/>
        <w:rPr>
          <w:sz w:val="24"/>
          <w:szCs w:val="24"/>
          <w:u w:val="single"/>
        </w:rPr>
      </w:pPr>
      <w:r w:rsidRPr="00C2340B">
        <w:rPr>
          <w:sz w:val="24"/>
          <w:szCs w:val="24"/>
          <w:u w:val="single"/>
        </w:rPr>
        <w:t>Blisterkort</w:t>
      </w:r>
    </w:p>
    <w:p w14:paraId="02B62744" w14:textId="77777777" w:rsidR="00C2340B" w:rsidRPr="00C2340B" w:rsidRDefault="00C2340B" w:rsidP="00A44660">
      <w:pPr>
        <w:ind w:left="851"/>
        <w:rPr>
          <w:sz w:val="24"/>
          <w:szCs w:val="24"/>
        </w:rPr>
      </w:pPr>
      <w:r w:rsidRPr="00C2340B">
        <w:rPr>
          <w:sz w:val="24"/>
          <w:szCs w:val="24"/>
        </w:rPr>
        <w:t>Pakningsstørrelser: 20, 30, 50, 60, 90 og 100 hårde kapsler.</w:t>
      </w:r>
    </w:p>
    <w:p w14:paraId="210CFCC0" w14:textId="77777777" w:rsidR="00C2340B" w:rsidRPr="00C2340B" w:rsidRDefault="00C2340B" w:rsidP="00A44660">
      <w:pPr>
        <w:ind w:left="851"/>
        <w:rPr>
          <w:sz w:val="24"/>
          <w:szCs w:val="24"/>
        </w:rPr>
      </w:pPr>
    </w:p>
    <w:p w14:paraId="0A490934" w14:textId="77777777" w:rsidR="00C2340B" w:rsidRPr="00C2340B" w:rsidRDefault="00C2340B" w:rsidP="00A44660">
      <w:pPr>
        <w:ind w:left="851"/>
        <w:rPr>
          <w:sz w:val="24"/>
          <w:szCs w:val="24"/>
          <w:u w:val="single"/>
        </w:rPr>
      </w:pPr>
      <w:r w:rsidRPr="00C2340B">
        <w:rPr>
          <w:sz w:val="24"/>
          <w:szCs w:val="24"/>
          <w:u w:val="single"/>
        </w:rPr>
        <w:t>Perforerede enkeltdosisblisterkort</w:t>
      </w:r>
    </w:p>
    <w:p w14:paraId="3251DDEB" w14:textId="77777777" w:rsidR="00C2340B" w:rsidRPr="00C2340B" w:rsidRDefault="00C2340B" w:rsidP="00A44660">
      <w:pPr>
        <w:ind w:left="851"/>
        <w:rPr>
          <w:sz w:val="24"/>
          <w:szCs w:val="24"/>
        </w:rPr>
      </w:pPr>
      <w:r w:rsidRPr="00C2340B">
        <w:rPr>
          <w:sz w:val="24"/>
          <w:szCs w:val="24"/>
        </w:rPr>
        <w:t xml:space="preserve">Pakningsstørrelser: 20×1, 30×1, 50×1, 60×1, 90×1 og 100×1 hårde kapsler </w:t>
      </w:r>
    </w:p>
    <w:p w14:paraId="09BB3CEB" w14:textId="77777777" w:rsidR="00C2340B" w:rsidRPr="00C2340B" w:rsidRDefault="00C2340B" w:rsidP="00A44660">
      <w:pPr>
        <w:ind w:left="851"/>
        <w:rPr>
          <w:sz w:val="24"/>
          <w:szCs w:val="24"/>
        </w:rPr>
      </w:pPr>
    </w:p>
    <w:p w14:paraId="6F1CADDA" w14:textId="77777777" w:rsidR="00C2340B" w:rsidRPr="00C2340B" w:rsidRDefault="00C2340B" w:rsidP="00A44660">
      <w:pPr>
        <w:ind w:left="851"/>
        <w:rPr>
          <w:sz w:val="24"/>
          <w:szCs w:val="24"/>
          <w:u w:val="single"/>
        </w:rPr>
      </w:pPr>
      <w:r w:rsidRPr="00C2340B">
        <w:rPr>
          <w:sz w:val="24"/>
          <w:szCs w:val="24"/>
          <w:u w:val="single"/>
        </w:rPr>
        <w:t>HDPE-beholder</w:t>
      </w:r>
    </w:p>
    <w:p w14:paraId="3E43AF86" w14:textId="77777777" w:rsidR="00C2340B" w:rsidRPr="00C2340B" w:rsidRDefault="00C2340B" w:rsidP="00A44660">
      <w:pPr>
        <w:ind w:left="851"/>
        <w:rPr>
          <w:sz w:val="24"/>
          <w:szCs w:val="24"/>
        </w:rPr>
      </w:pPr>
      <w:r w:rsidRPr="00C2340B">
        <w:rPr>
          <w:sz w:val="24"/>
          <w:szCs w:val="24"/>
        </w:rPr>
        <w:t>Pakningsstørrelse: 100 hårde kapsler.</w:t>
      </w:r>
    </w:p>
    <w:p w14:paraId="45B17D3F" w14:textId="77777777" w:rsidR="00C2340B" w:rsidRPr="00C2340B" w:rsidRDefault="00C2340B" w:rsidP="00A44660">
      <w:pPr>
        <w:ind w:left="851"/>
        <w:rPr>
          <w:sz w:val="24"/>
          <w:szCs w:val="24"/>
        </w:rPr>
      </w:pPr>
    </w:p>
    <w:p w14:paraId="451EC45C" w14:textId="77777777" w:rsidR="00C2340B" w:rsidRPr="00C2340B" w:rsidRDefault="00C2340B" w:rsidP="00A44660">
      <w:pPr>
        <w:ind w:left="851"/>
        <w:rPr>
          <w:sz w:val="24"/>
          <w:szCs w:val="24"/>
        </w:rPr>
      </w:pPr>
      <w:r w:rsidRPr="00C2340B">
        <w:rPr>
          <w:sz w:val="24"/>
          <w:szCs w:val="24"/>
        </w:rPr>
        <w:t>Ikke alle pakningsstørrelser er nødvendigvis markedsført.</w:t>
      </w:r>
    </w:p>
    <w:p w14:paraId="0DC983B7" w14:textId="77777777" w:rsidR="009260DE" w:rsidRPr="00C84483" w:rsidRDefault="009260DE" w:rsidP="009260DE">
      <w:pPr>
        <w:tabs>
          <w:tab w:val="left" w:pos="851"/>
        </w:tabs>
        <w:ind w:left="851"/>
        <w:rPr>
          <w:sz w:val="24"/>
          <w:szCs w:val="24"/>
        </w:rPr>
      </w:pPr>
    </w:p>
    <w:p w14:paraId="06CEB875"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005BF18" w14:textId="77777777" w:rsidR="00C2340B" w:rsidRPr="00C2340B" w:rsidRDefault="00C2340B" w:rsidP="00A44660">
      <w:pPr>
        <w:ind w:left="851"/>
        <w:rPr>
          <w:sz w:val="24"/>
          <w:szCs w:val="24"/>
        </w:rPr>
      </w:pPr>
      <w:r w:rsidRPr="00C2340B">
        <w:rPr>
          <w:sz w:val="24"/>
          <w:szCs w:val="24"/>
        </w:rPr>
        <w:t>På grund af den immunsupprimerende effekt af tacrolimus skal inhalation eller direkte kontakt med hud eller slimhinder af formuleringerne til infusion, pulver eller granulat undgås under klargøringen. Hvis en sådan kontakt forekommer, skal huden vaskes og det/de ramte øje/øjne skylles.</w:t>
      </w:r>
    </w:p>
    <w:p w14:paraId="32805A0D" w14:textId="77777777" w:rsidR="009260DE" w:rsidRPr="00C84483" w:rsidRDefault="009260DE" w:rsidP="000730CA">
      <w:pPr>
        <w:tabs>
          <w:tab w:val="left" w:pos="851"/>
        </w:tabs>
        <w:ind w:left="851"/>
        <w:rPr>
          <w:sz w:val="24"/>
          <w:szCs w:val="24"/>
        </w:rPr>
      </w:pPr>
    </w:p>
    <w:p w14:paraId="010B7A72"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0F3A33A4" w14:textId="77777777" w:rsidR="00C2340B" w:rsidRPr="00C2340B" w:rsidRDefault="00C2340B" w:rsidP="00A44660">
      <w:pPr>
        <w:ind w:left="851"/>
        <w:rPr>
          <w:sz w:val="24"/>
          <w:szCs w:val="24"/>
        </w:rPr>
      </w:pPr>
      <w:r w:rsidRPr="00C2340B">
        <w:rPr>
          <w:sz w:val="24"/>
          <w:szCs w:val="24"/>
        </w:rPr>
        <w:t>EQL Pharma AB</w:t>
      </w:r>
    </w:p>
    <w:p w14:paraId="46DBD998" w14:textId="77777777" w:rsidR="00C2340B" w:rsidRPr="00C2340B" w:rsidRDefault="00C2340B" w:rsidP="00A44660">
      <w:pPr>
        <w:ind w:left="851"/>
        <w:rPr>
          <w:sz w:val="24"/>
          <w:szCs w:val="24"/>
        </w:rPr>
      </w:pPr>
      <w:r w:rsidRPr="00C2340B">
        <w:rPr>
          <w:sz w:val="24"/>
          <w:szCs w:val="24"/>
        </w:rPr>
        <w:t>Stortorget 1</w:t>
      </w:r>
    </w:p>
    <w:p w14:paraId="7B376CD7" w14:textId="77777777" w:rsidR="00C2340B" w:rsidRPr="00C2340B" w:rsidRDefault="00C2340B" w:rsidP="00A44660">
      <w:pPr>
        <w:ind w:left="851"/>
        <w:rPr>
          <w:sz w:val="24"/>
          <w:szCs w:val="24"/>
        </w:rPr>
      </w:pPr>
      <w:r w:rsidRPr="00C2340B">
        <w:rPr>
          <w:sz w:val="24"/>
          <w:szCs w:val="24"/>
        </w:rPr>
        <w:t>222 23 Lund</w:t>
      </w:r>
    </w:p>
    <w:p w14:paraId="18575F08" w14:textId="77777777" w:rsidR="00C2340B" w:rsidRPr="00C2340B" w:rsidRDefault="00C2340B" w:rsidP="00A44660">
      <w:pPr>
        <w:ind w:left="851"/>
        <w:rPr>
          <w:sz w:val="24"/>
          <w:szCs w:val="24"/>
        </w:rPr>
      </w:pPr>
      <w:r w:rsidRPr="00C2340B">
        <w:rPr>
          <w:sz w:val="24"/>
          <w:szCs w:val="24"/>
        </w:rPr>
        <w:t>Sverige</w:t>
      </w:r>
    </w:p>
    <w:p w14:paraId="6D11FEAD" w14:textId="77777777" w:rsidR="00641C65" w:rsidRPr="00641C65" w:rsidRDefault="00641C65" w:rsidP="009260DE">
      <w:pPr>
        <w:tabs>
          <w:tab w:val="left" w:pos="851"/>
        </w:tabs>
        <w:ind w:left="851"/>
        <w:rPr>
          <w:sz w:val="24"/>
          <w:szCs w:val="24"/>
        </w:rPr>
      </w:pPr>
    </w:p>
    <w:p w14:paraId="666432F9"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2D046BAD" w14:textId="755AE950" w:rsidR="009260DE" w:rsidRDefault="00C2340B" w:rsidP="00CA3481">
      <w:pPr>
        <w:tabs>
          <w:tab w:val="left" w:pos="851"/>
          <w:tab w:val="left" w:pos="1701"/>
        </w:tabs>
        <w:ind w:left="851"/>
        <w:rPr>
          <w:sz w:val="24"/>
          <w:szCs w:val="24"/>
        </w:rPr>
      </w:pPr>
      <w:r>
        <w:rPr>
          <w:sz w:val="24"/>
          <w:szCs w:val="24"/>
        </w:rPr>
        <w:t xml:space="preserve">0,5 mg: </w:t>
      </w:r>
      <w:r w:rsidR="00CA3481">
        <w:rPr>
          <w:sz w:val="24"/>
          <w:szCs w:val="24"/>
        </w:rPr>
        <w:tab/>
      </w:r>
      <w:r>
        <w:rPr>
          <w:sz w:val="24"/>
          <w:szCs w:val="24"/>
        </w:rPr>
        <w:t>75682</w:t>
      </w:r>
    </w:p>
    <w:p w14:paraId="388AA570" w14:textId="3BB59E4B" w:rsidR="00C2340B" w:rsidRDefault="00C2340B" w:rsidP="00CA3481">
      <w:pPr>
        <w:tabs>
          <w:tab w:val="left" w:pos="851"/>
          <w:tab w:val="left" w:pos="1701"/>
        </w:tabs>
        <w:ind w:left="851"/>
        <w:rPr>
          <w:sz w:val="24"/>
          <w:szCs w:val="24"/>
        </w:rPr>
      </w:pPr>
      <w:r>
        <w:rPr>
          <w:sz w:val="24"/>
          <w:szCs w:val="24"/>
        </w:rPr>
        <w:t xml:space="preserve">1 mg: </w:t>
      </w:r>
      <w:r w:rsidR="00CA3481">
        <w:rPr>
          <w:sz w:val="24"/>
          <w:szCs w:val="24"/>
        </w:rPr>
        <w:tab/>
      </w:r>
      <w:r w:rsidRPr="00C2340B">
        <w:rPr>
          <w:sz w:val="24"/>
          <w:szCs w:val="24"/>
        </w:rPr>
        <w:t>7568</w:t>
      </w:r>
      <w:r>
        <w:rPr>
          <w:sz w:val="24"/>
          <w:szCs w:val="24"/>
        </w:rPr>
        <w:t>3</w:t>
      </w:r>
    </w:p>
    <w:p w14:paraId="6001F336" w14:textId="31EED138" w:rsidR="00C2340B" w:rsidRPr="00C84483" w:rsidRDefault="00BF02EF" w:rsidP="00CA3481">
      <w:pPr>
        <w:tabs>
          <w:tab w:val="left" w:pos="851"/>
          <w:tab w:val="left" w:pos="1701"/>
        </w:tabs>
        <w:ind w:left="851"/>
        <w:rPr>
          <w:sz w:val="24"/>
          <w:szCs w:val="24"/>
        </w:rPr>
      </w:pPr>
      <w:r>
        <w:rPr>
          <w:sz w:val="24"/>
          <w:szCs w:val="24"/>
        </w:rPr>
        <w:t>5</w:t>
      </w:r>
      <w:r w:rsidR="00C2340B">
        <w:rPr>
          <w:sz w:val="24"/>
          <w:szCs w:val="24"/>
        </w:rPr>
        <w:t xml:space="preserve"> mg: </w:t>
      </w:r>
      <w:r w:rsidR="00CA3481">
        <w:rPr>
          <w:sz w:val="24"/>
          <w:szCs w:val="24"/>
        </w:rPr>
        <w:tab/>
      </w:r>
      <w:r w:rsidR="00C2340B" w:rsidRPr="00C2340B">
        <w:rPr>
          <w:sz w:val="24"/>
          <w:szCs w:val="24"/>
        </w:rPr>
        <w:t>7568</w:t>
      </w:r>
      <w:r w:rsidR="00C2340B">
        <w:rPr>
          <w:sz w:val="24"/>
          <w:szCs w:val="24"/>
        </w:rPr>
        <w:t>4</w:t>
      </w:r>
    </w:p>
    <w:p w14:paraId="1DA390EF" w14:textId="77777777" w:rsidR="009260DE" w:rsidRPr="00C84483" w:rsidRDefault="009260DE" w:rsidP="009260DE">
      <w:pPr>
        <w:tabs>
          <w:tab w:val="left" w:pos="851"/>
        </w:tabs>
        <w:ind w:left="851"/>
        <w:jc w:val="both"/>
        <w:rPr>
          <w:sz w:val="24"/>
          <w:szCs w:val="24"/>
        </w:rPr>
      </w:pPr>
    </w:p>
    <w:p w14:paraId="26FBE66F"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28C40059" w14:textId="3DA6F3AE" w:rsidR="009260DE" w:rsidRPr="00C84483" w:rsidRDefault="00097420" w:rsidP="009260DE">
      <w:pPr>
        <w:tabs>
          <w:tab w:val="left" w:pos="851"/>
        </w:tabs>
        <w:ind w:left="851"/>
        <w:rPr>
          <w:sz w:val="24"/>
          <w:szCs w:val="24"/>
        </w:rPr>
      </w:pPr>
      <w:r>
        <w:rPr>
          <w:sz w:val="24"/>
          <w:szCs w:val="24"/>
        </w:rPr>
        <w:t>15. september 2026</w:t>
      </w:r>
    </w:p>
    <w:p w14:paraId="024E2FE0" w14:textId="77777777" w:rsidR="009260DE" w:rsidRPr="00C84483" w:rsidRDefault="009260DE" w:rsidP="009260DE">
      <w:pPr>
        <w:tabs>
          <w:tab w:val="left" w:pos="851"/>
        </w:tabs>
        <w:ind w:left="851"/>
        <w:rPr>
          <w:sz w:val="24"/>
          <w:szCs w:val="24"/>
        </w:rPr>
      </w:pPr>
    </w:p>
    <w:p w14:paraId="0C8F5A2D"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28333DC" w14:textId="11C1EB5E" w:rsidR="009260DE" w:rsidRPr="00C84483" w:rsidRDefault="00C2340B"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48A4" w14:textId="77777777" w:rsidR="00B52DA1" w:rsidRDefault="00B52DA1">
      <w:r>
        <w:separator/>
      </w:r>
    </w:p>
  </w:endnote>
  <w:endnote w:type="continuationSeparator" w:id="0">
    <w:p w14:paraId="4AC6B820" w14:textId="77777777" w:rsidR="00B52DA1" w:rsidRDefault="00B52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AA0B" w14:textId="77777777" w:rsidR="000259B9" w:rsidRDefault="000259B9">
    <w:pPr>
      <w:pStyle w:val="Sidefod"/>
      <w:pBdr>
        <w:bottom w:val="single" w:sz="6" w:space="1" w:color="auto"/>
      </w:pBdr>
    </w:pPr>
  </w:p>
  <w:p w14:paraId="46775790" w14:textId="77777777" w:rsidR="000259B9" w:rsidRDefault="000259B9" w:rsidP="00C42586">
    <w:pPr>
      <w:pStyle w:val="Sidefod"/>
      <w:tabs>
        <w:tab w:val="clear" w:pos="4819"/>
        <w:tab w:val="left" w:pos="8505"/>
      </w:tabs>
      <w:rPr>
        <w:i/>
        <w:sz w:val="18"/>
        <w:szCs w:val="18"/>
      </w:rPr>
    </w:pPr>
  </w:p>
  <w:p w14:paraId="6B671AFB" w14:textId="12D4171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A1A54">
      <w:rPr>
        <w:i/>
        <w:noProof/>
        <w:sz w:val="18"/>
        <w:szCs w:val="18"/>
      </w:rPr>
      <w:t>Tacrolimus EQL Pharma, hårde kapsler 0,5 mg, 1 mg og 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DC6C" w14:textId="77777777" w:rsidR="00B52DA1" w:rsidRDefault="00B52DA1">
      <w:r>
        <w:separator/>
      </w:r>
    </w:p>
  </w:footnote>
  <w:footnote w:type="continuationSeparator" w:id="0">
    <w:p w14:paraId="7B9FF727" w14:textId="77777777" w:rsidR="00B52DA1" w:rsidRDefault="00B52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51240439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384132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4016658">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0886040">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378183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AB"/>
    <w:rsid w:val="00014003"/>
    <w:rsid w:val="000259B9"/>
    <w:rsid w:val="00041491"/>
    <w:rsid w:val="00050D16"/>
    <w:rsid w:val="000730CA"/>
    <w:rsid w:val="00074F2A"/>
    <w:rsid w:val="00097420"/>
    <w:rsid w:val="000A1A54"/>
    <w:rsid w:val="000A1CA8"/>
    <w:rsid w:val="000A466B"/>
    <w:rsid w:val="000B058C"/>
    <w:rsid w:val="000D68B0"/>
    <w:rsid w:val="000E4EE6"/>
    <w:rsid w:val="001157CF"/>
    <w:rsid w:val="001454E2"/>
    <w:rsid w:val="0020268C"/>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A4F6D"/>
    <w:rsid w:val="004E3B12"/>
    <w:rsid w:val="00532310"/>
    <w:rsid w:val="00565F0F"/>
    <w:rsid w:val="00594A86"/>
    <w:rsid w:val="00596D86"/>
    <w:rsid w:val="00637F5A"/>
    <w:rsid w:val="00641C65"/>
    <w:rsid w:val="006560B1"/>
    <w:rsid w:val="006756DD"/>
    <w:rsid w:val="0071241E"/>
    <w:rsid w:val="007256AB"/>
    <w:rsid w:val="00737275"/>
    <w:rsid w:val="00740EEC"/>
    <w:rsid w:val="0078011A"/>
    <w:rsid w:val="00782AF4"/>
    <w:rsid w:val="00790EE7"/>
    <w:rsid w:val="007B6649"/>
    <w:rsid w:val="0082576E"/>
    <w:rsid w:val="008511A1"/>
    <w:rsid w:val="0089346F"/>
    <w:rsid w:val="00907F75"/>
    <w:rsid w:val="009260DE"/>
    <w:rsid w:val="0093258A"/>
    <w:rsid w:val="009C7BA3"/>
    <w:rsid w:val="009D1F5A"/>
    <w:rsid w:val="00A10294"/>
    <w:rsid w:val="00A44660"/>
    <w:rsid w:val="00A863D6"/>
    <w:rsid w:val="00B003BF"/>
    <w:rsid w:val="00B373D7"/>
    <w:rsid w:val="00B52DA1"/>
    <w:rsid w:val="00B55271"/>
    <w:rsid w:val="00BD7931"/>
    <w:rsid w:val="00BF02EF"/>
    <w:rsid w:val="00BF6243"/>
    <w:rsid w:val="00C2340B"/>
    <w:rsid w:val="00C36276"/>
    <w:rsid w:val="00C42586"/>
    <w:rsid w:val="00C45F6B"/>
    <w:rsid w:val="00C60CCD"/>
    <w:rsid w:val="00C84483"/>
    <w:rsid w:val="00C95551"/>
    <w:rsid w:val="00CA3481"/>
    <w:rsid w:val="00CB20D7"/>
    <w:rsid w:val="00D020B0"/>
    <w:rsid w:val="00D11748"/>
    <w:rsid w:val="00D237F6"/>
    <w:rsid w:val="00D34D98"/>
    <w:rsid w:val="00D366CF"/>
    <w:rsid w:val="00D702B9"/>
    <w:rsid w:val="00D93992"/>
    <w:rsid w:val="00E108AA"/>
    <w:rsid w:val="00E3749A"/>
    <w:rsid w:val="00E7437F"/>
    <w:rsid w:val="00E865B8"/>
    <w:rsid w:val="00EC0B9B"/>
    <w:rsid w:val="00ED5E9F"/>
    <w:rsid w:val="00F12150"/>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C923B"/>
  <w15:chartTrackingRefBased/>
  <w15:docId w15:val="{7592A593-128B-4418-B0FB-CF452752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2340B"/>
    <w:rPr>
      <w:color w:val="0563C1" w:themeColor="hyperlink"/>
      <w:u w:val="single"/>
    </w:rPr>
  </w:style>
  <w:style w:type="character" w:styleId="Ulstomtale">
    <w:name w:val="Unresolved Mention"/>
    <w:basedOn w:val="Standardskrifttypeiafsnit"/>
    <w:uiPriority w:val="99"/>
    <w:semiHidden/>
    <w:unhideWhenUsed/>
    <w:rsid w:val="00C23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55196">
      <w:bodyDiv w:val="1"/>
      <w:marLeft w:val="0"/>
      <w:marRight w:val="0"/>
      <w:marTop w:val="0"/>
      <w:marBottom w:val="0"/>
      <w:divBdr>
        <w:top w:val="none" w:sz="0" w:space="0" w:color="auto"/>
        <w:left w:val="none" w:sz="0" w:space="0" w:color="auto"/>
        <w:bottom w:val="none" w:sz="0" w:space="0" w:color="auto"/>
        <w:right w:val="none" w:sz="0" w:space="0" w:color="auto"/>
      </w:divBdr>
    </w:div>
    <w:div w:id="76828805">
      <w:bodyDiv w:val="1"/>
      <w:marLeft w:val="0"/>
      <w:marRight w:val="0"/>
      <w:marTop w:val="0"/>
      <w:marBottom w:val="0"/>
      <w:divBdr>
        <w:top w:val="none" w:sz="0" w:space="0" w:color="auto"/>
        <w:left w:val="none" w:sz="0" w:space="0" w:color="auto"/>
        <w:bottom w:val="none" w:sz="0" w:space="0" w:color="auto"/>
        <w:right w:val="none" w:sz="0" w:space="0" w:color="auto"/>
      </w:divBdr>
    </w:div>
    <w:div w:id="98330632">
      <w:bodyDiv w:val="1"/>
      <w:marLeft w:val="0"/>
      <w:marRight w:val="0"/>
      <w:marTop w:val="0"/>
      <w:marBottom w:val="0"/>
      <w:divBdr>
        <w:top w:val="none" w:sz="0" w:space="0" w:color="auto"/>
        <w:left w:val="none" w:sz="0" w:space="0" w:color="auto"/>
        <w:bottom w:val="none" w:sz="0" w:space="0" w:color="auto"/>
        <w:right w:val="none" w:sz="0" w:space="0" w:color="auto"/>
      </w:divBdr>
    </w:div>
    <w:div w:id="140468227">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38249955">
      <w:bodyDiv w:val="1"/>
      <w:marLeft w:val="0"/>
      <w:marRight w:val="0"/>
      <w:marTop w:val="0"/>
      <w:marBottom w:val="0"/>
      <w:divBdr>
        <w:top w:val="none" w:sz="0" w:space="0" w:color="auto"/>
        <w:left w:val="none" w:sz="0" w:space="0" w:color="auto"/>
        <w:bottom w:val="none" w:sz="0" w:space="0" w:color="auto"/>
        <w:right w:val="none" w:sz="0" w:space="0" w:color="auto"/>
      </w:divBdr>
    </w:div>
    <w:div w:id="365642627">
      <w:bodyDiv w:val="1"/>
      <w:marLeft w:val="0"/>
      <w:marRight w:val="0"/>
      <w:marTop w:val="0"/>
      <w:marBottom w:val="0"/>
      <w:divBdr>
        <w:top w:val="none" w:sz="0" w:space="0" w:color="auto"/>
        <w:left w:val="none" w:sz="0" w:space="0" w:color="auto"/>
        <w:bottom w:val="none" w:sz="0" w:space="0" w:color="auto"/>
        <w:right w:val="none" w:sz="0" w:space="0" w:color="auto"/>
      </w:divBdr>
    </w:div>
    <w:div w:id="390466000">
      <w:bodyDiv w:val="1"/>
      <w:marLeft w:val="0"/>
      <w:marRight w:val="0"/>
      <w:marTop w:val="0"/>
      <w:marBottom w:val="0"/>
      <w:divBdr>
        <w:top w:val="none" w:sz="0" w:space="0" w:color="auto"/>
        <w:left w:val="none" w:sz="0" w:space="0" w:color="auto"/>
        <w:bottom w:val="none" w:sz="0" w:space="0" w:color="auto"/>
        <w:right w:val="none" w:sz="0" w:space="0" w:color="auto"/>
      </w:divBdr>
    </w:div>
    <w:div w:id="427849646">
      <w:bodyDiv w:val="1"/>
      <w:marLeft w:val="0"/>
      <w:marRight w:val="0"/>
      <w:marTop w:val="0"/>
      <w:marBottom w:val="0"/>
      <w:divBdr>
        <w:top w:val="none" w:sz="0" w:space="0" w:color="auto"/>
        <w:left w:val="none" w:sz="0" w:space="0" w:color="auto"/>
        <w:bottom w:val="none" w:sz="0" w:space="0" w:color="auto"/>
        <w:right w:val="none" w:sz="0" w:space="0" w:color="auto"/>
      </w:divBdr>
    </w:div>
    <w:div w:id="430129307">
      <w:bodyDiv w:val="1"/>
      <w:marLeft w:val="0"/>
      <w:marRight w:val="0"/>
      <w:marTop w:val="0"/>
      <w:marBottom w:val="0"/>
      <w:divBdr>
        <w:top w:val="none" w:sz="0" w:space="0" w:color="auto"/>
        <w:left w:val="none" w:sz="0" w:space="0" w:color="auto"/>
        <w:bottom w:val="none" w:sz="0" w:space="0" w:color="auto"/>
        <w:right w:val="none" w:sz="0" w:space="0" w:color="auto"/>
      </w:divBdr>
    </w:div>
    <w:div w:id="459694422">
      <w:bodyDiv w:val="1"/>
      <w:marLeft w:val="0"/>
      <w:marRight w:val="0"/>
      <w:marTop w:val="0"/>
      <w:marBottom w:val="0"/>
      <w:divBdr>
        <w:top w:val="none" w:sz="0" w:space="0" w:color="auto"/>
        <w:left w:val="none" w:sz="0" w:space="0" w:color="auto"/>
        <w:bottom w:val="none" w:sz="0" w:space="0" w:color="auto"/>
        <w:right w:val="none" w:sz="0" w:space="0" w:color="auto"/>
      </w:divBdr>
    </w:div>
    <w:div w:id="467893085">
      <w:bodyDiv w:val="1"/>
      <w:marLeft w:val="0"/>
      <w:marRight w:val="0"/>
      <w:marTop w:val="0"/>
      <w:marBottom w:val="0"/>
      <w:divBdr>
        <w:top w:val="none" w:sz="0" w:space="0" w:color="auto"/>
        <w:left w:val="none" w:sz="0" w:space="0" w:color="auto"/>
        <w:bottom w:val="none" w:sz="0" w:space="0" w:color="auto"/>
        <w:right w:val="none" w:sz="0" w:space="0" w:color="auto"/>
      </w:divBdr>
    </w:div>
    <w:div w:id="480118580">
      <w:bodyDiv w:val="1"/>
      <w:marLeft w:val="0"/>
      <w:marRight w:val="0"/>
      <w:marTop w:val="0"/>
      <w:marBottom w:val="0"/>
      <w:divBdr>
        <w:top w:val="none" w:sz="0" w:space="0" w:color="auto"/>
        <w:left w:val="none" w:sz="0" w:space="0" w:color="auto"/>
        <w:bottom w:val="none" w:sz="0" w:space="0" w:color="auto"/>
        <w:right w:val="none" w:sz="0" w:space="0" w:color="auto"/>
      </w:divBdr>
    </w:div>
    <w:div w:id="532114562">
      <w:bodyDiv w:val="1"/>
      <w:marLeft w:val="0"/>
      <w:marRight w:val="0"/>
      <w:marTop w:val="0"/>
      <w:marBottom w:val="0"/>
      <w:divBdr>
        <w:top w:val="none" w:sz="0" w:space="0" w:color="auto"/>
        <w:left w:val="none" w:sz="0" w:space="0" w:color="auto"/>
        <w:bottom w:val="none" w:sz="0" w:space="0" w:color="auto"/>
        <w:right w:val="none" w:sz="0" w:space="0" w:color="auto"/>
      </w:divBdr>
    </w:div>
    <w:div w:id="535194179">
      <w:bodyDiv w:val="1"/>
      <w:marLeft w:val="0"/>
      <w:marRight w:val="0"/>
      <w:marTop w:val="0"/>
      <w:marBottom w:val="0"/>
      <w:divBdr>
        <w:top w:val="none" w:sz="0" w:space="0" w:color="auto"/>
        <w:left w:val="none" w:sz="0" w:space="0" w:color="auto"/>
        <w:bottom w:val="none" w:sz="0" w:space="0" w:color="auto"/>
        <w:right w:val="none" w:sz="0" w:space="0" w:color="auto"/>
      </w:divBdr>
    </w:div>
    <w:div w:id="547376151">
      <w:bodyDiv w:val="1"/>
      <w:marLeft w:val="0"/>
      <w:marRight w:val="0"/>
      <w:marTop w:val="0"/>
      <w:marBottom w:val="0"/>
      <w:divBdr>
        <w:top w:val="none" w:sz="0" w:space="0" w:color="auto"/>
        <w:left w:val="none" w:sz="0" w:space="0" w:color="auto"/>
        <w:bottom w:val="none" w:sz="0" w:space="0" w:color="auto"/>
        <w:right w:val="none" w:sz="0" w:space="0" w:color="auto"/>
      </w:divBdr>
    </w:div>
    <w:div w:id="622225334">
      <w:bodyDiv w:val="1"/>
      <w:marLeft w:val="0"/>
      <w:marRight w:val="0"/>
      <w:marTop w:val="0"/>
      <w:marBottom w:val="0"/>
      <w:divBdr>
        <w:top w:val="none" w:sz="0" w:space="0" w:color="auto"/>
        <w:left w:val="none" w:sz="0" w:space="0" w:color="auto"/>
        <w:bottom w:val="none" w:sz="0" w:space="0" w:color="auto"/>
        <w:right w:val="none" w:sz="0" w:space="0" w:color="auto"/>
      </w:divBdr>
    </w:div>
    <w:div w:id="681130889">
      <w:bodyDiv w:val="1"/>
      <w:marLeft w:val="0"/>
      <w:marRight w:val="0"/>
      <w:marTop w:val="0"/>
      <w:marBottom w:val="0"/>
      <w:divBdr>
        <w:top w:val="none" w:sz="0" w:space="0" w:color="auto"/>
        <w:left w:val="none" w:sz="0" w:space="0" w:color="auto"/>
        <w:bottom w:val="none" w:sz="0" w:space="0" w:color="auto"/>
        <w:right w:val="none" w:sz="0" w:space="0" w:color="auto"/>
      </w:divBdr>
    </w:div>
    <w:div w:id="689063617">
      <w:bodyDiv w:val="1"/>
      <w:marLeft w:val="0"/>
      <w:marRight w:val="0"/>
      <w:marTop w:val="0"/>
      <w:marBottom w:val="0"/>
      <w:divBdr>
        <w:top w:val="none" w:sz="0" w:space="0" w:color="auto"/>
        <w:left w:val="none" w:sz="0" w:space="0" w:color="auto"/>
        <w:bottom w:val="none" w:sz="0" w:space="0" w:color="auto"/>
        <w:right w:val="none" w:sz="0" w:space="0" w:color="auto"/>
      </w:divBdr>
    </w:div>
    <w:div w:id="852186773">
      <w:bodyDiv w:val="1"/>
      <w:marLeft w:val="0"/>
      <w:marRight w:val="0"/>
      <w:marTop w:val="0"/>
      <w:marBottom w:val="0"/>
      <w:divBdr>
        <w:top w:val="none" w:sz="0" w:space="0" w:color="auto"/>
        <w:left w:val="none" w:sz="0" w:space="0" w:color="auto"/>
        <w:bottom w:val="none" w:sz="0" w:space="0" w:color="auto"/>
        <w:right w:val="none" w:sz="0" w:space="0" w:color="auto"/>
      </w:divBdr>
    </w:div>
    <w:div w:id="863446963">
      <w:bodyDiv w:val="1"/>
      <w:marLeft w:val="0"/>
      <w:marRight w:val="0"/>
      <w:marTop w:val="0"/>
      <w:marBottom w:val="0"/>
      <w:divBdr>
        <w:top w:val="none" w:sz="0" w:space="0" w:color="auto"/>
        <w:left w:val="none" w:sz="0" w:space="0" w:color="auto"/>
        <w:bottom w:val="none" w:sz="0" w:space="0" w:color="auto"/>
        <w:right w:val="none" w:sz="0" w:space="0" w:color="auto"/>
      </w:divBdr>
    </w:div>
    <w:div w:id="904218961">
      <w:bodyDiv w:val="1"/>
      <w:marLeft w:val="0"/>
      <w:marRight w:val="0"/>
      <w:marTop w:val="0"/>
      <w:marBottom w:val="0"/>
      <w:divBdr>
        <w:top w:val="none" w:sz="0" w:space="0" w:color="auto"/>
        <w:left w:val="none" w:sz="0" w:space="0" w:color="auto"/>
        <w:bottom w:val="none" w:sz="0" w:space="0" w:color="auto"/>
        <w:right w:val="none" w:sz="0" w:space="0" w:color="auto"/>
      </w:divBdr>
    </w:div>
    <w:div w:id="951327540">
      <w:bodyDiv w:val="1"/>
      <w:marLeft w:val="0"/>
      <w:marRight w:val="0"/>
      <w:marTop w:val="0"/>
      <w:marBottom w:val="0"/>
      <w:divBdr>
        <w:top w:val="none" w:sz="0" w:space="0" w:color="auto"/>
        <w:left w:val="none" w:sz="0" w:space="0" w:color="auto"/>
        <w:bottom w:val="none" w:sz="0" w:space="0" w:color="auto"/>
        <w:right w:val="none" w:sz="0" w:space="0" w:color="auto"/>
      </w:divBdr>
    </w:div>
    <w:div w:id="994533070">
      <w:bodyDiv w:val="1"/>
      <w:marLeft w:val="0"/>
      <w:marRight w:val="0"/>
      <w:marTop w:val="0"/>
      <w:marBottom w:val="0"/>
      <w:divBdr>
        <w:top w:val="none" w:sz="0" w:space="0" w:color="auto"/>
        <w:left w:val="none" w:sz="0" w:space="0" w:color="auto"/>
        <w:bottom w:val="none" w:sz="0" w:space="0" w:color="auto"/>
        <w:right w:val="none" w:sz="0" w:space="0" w:color="auto"/>
      </w:divBdr>
    </w:div>
    <w:div w:id="1031492108">
      <w:bodyDiv w:val="1"/>
      <w:marLeft w:val="0"/>
      <w:marRight w:val="0"/>
      <w:marTop w:val="0"/>
      <w:marBottom w:val="0"/>
      <w:divBdr>
        <w:top w:val="none" w:sz="0" w:space="0" w:color="auto"/>
        <w:left w:val="none" w:sz="0" w:space="0" w:color="auto"/>
        <w:bottom w:val="none" w:sz="0" w:space="0" w:color="auto"/>
        <w:right w:val="none" w:sz="0" w:space="0" w:color="auto"/>
      </w:divBdr>
    </w:div>
    <w:div w:id="1043796235">
      <w:bodyDiv w:val="1"/>
      <w:marLeft w:val="0"/>
      <w:marRight w:val="0"/>
      <w:marTop w:val="0"/>
      <w:marBottom w:val="0"/>
      <w:divBdr>
        <w:top w:val="none" w:sz="0" w:space="0" w:color="auto"/>
        <w:left w:val="none" w:sz="0" w:space="0" w:color="auto"/>
        <w:bottom w:val="none" w:sz="0" w:space="0" w:color="auto"/>
        <w:right w:val="none" w:sz="0" w:space="0" w:color="auto"/>
      </w:divBdr>
    </w:div>
    <w:div w:id="1120537205">
      <w:bodyDiv w:val="1"/>
      <w:marLeft w:val="0"/>
      <w:marRight w:val="0"/>
      <w:marTop w:val="0"/>
      <w:marBottom w:val="0"/>
      <w:divBdr>
        <w:top w:val="none" w:sz="0" w:space="0" w:color="auto"/>
        <w:left w:val="none" w:sz="0" w:space="0" w:color="auto"/>
        <w:bottom w:val="none" w:sz="0" w:space="0" w:color="auto"/>
        <w:right w:val="none" w:sz="0" w:space="0" w:color="auto"/>
      </w:divBdr>
    </w:div>
    <w:div w:id="1158231859">
      <w:bodyDiv w:val="1"/>
      <w:marLeft w:val="0"/>
      <w:marRight w:val="0"/>
      <w:marTop w:val="0"/>
      <w:marBottom w:val="0"/>
      <w:divBdr>
        <w:top w:val="none" w:sz="0" w:space="0" w:color="auto"/>
        <w:left w:val="none" w:sz="0" w:space="0" w:color="auto"/>
        <w:bottom w:val="none" w:sz="0" w:space="0" w:color="auto"/>
        <w:right w:val="none" w:sz="0" w:space="0" w:color="auto"/>
      </w:divBdr>
    </w:div>
    <w:div w:id="1202091298">
      <w:bodyDiv w:val="1"/>
      <w:marLeft w:val="0"/>
      <w:marRight w:val="0"/>
      <w:marTop w:val="0"/>
      <w:marBottom w:val="0"/>
      <w:divBdr>
        <w:top w:val="none" w:sz="0" w:space="0" w:color="auto"/>
        <w:left w:val="none" w:sz="0" w:space="0" w:color="auto"/>
        <w:bottom w:val="none" w:sz="0" w:space="0" w:color="auto"/>
        <w:right w:val="none" w:sz="0" w:space="0" w:color="auto"/>
      </w:divBdr>
    </w:div>
    <w:div w:id="1382441873">
      <w:bodyDiv w:val="1"/>
      <w:marLeft w:val="0"/>
      <w:marRight w:val="0"/>
      <w:marTop w:val="0"/>
      <w:marBottom w:val="0"/>
      <w:divBdr>
        <w:top w:val="none" w:sz="0" w:space="0" w:color="auto"/>
        <w:left w:val="none" w:sz="0" w:space="0" w:color="auto"/>
        <w:bottom w:val="none" w:sz="0" w:space="0" w:color="auto"/>
        <w:right w:val="none" w:sz="0" w:space="0" w:color="auto"/>
      </w:divBdr>
    </w:div>
    <w:div w:id="1449854490">
      <w:bodyDiv w:val="1"/>
      <w:marLeft w:val="0"/>
      <w:marRight w:val="0"/>
      <w:marTop w:val="0"/>
      <w:marBottom w:val="0"/>
      <w:divBdr>
        <w:top w:val="none" w:sz="0" w:space="0" w:color="auto"/>
        <w:left w:val="none" w:sz="0" w:space="0" w:color="auto"/>
        <w:bottom w:val="none" w:sz="0" w:space="0" w:color="auto"/>
        <w:right w:val="none" w:sz="0" w:space="0" w:color="auto"/>
      </w:divBdr>
    </w:div>
    <w:div w:id="1531720853">
      <w:bodyDiv w:val="1"/>
      <w:marLeft w:val="0"/>
      <w:marRight w:val="0"/>
      <w:marTop w:val="0"/>
      <w:marBottom w:val="0"/>
      <w:divBdr>
        <w:top w:val="none" w:sz="0" w:space="0" w:color="auto"/>
        <w:left w:val="none" w:sz="0" w:space="0" w:color="auto"/>
        <w:bottom w:val="none" w:sz="0" w:space="0" w:color="auto"/>
        <w:right w:val="none" w:sz="0" w:space="0" w:color="auto"/>
      </w:divBdr>
    </w:div>
    <w:div w:id="1540630800">
      <w:bodyDiv w:val="1"/>
      <w:marLeft w:val="0"/>
      <w:marRight w:val="0"/>
      <w:marTop w:val="0"/>
      <w:marBottom w:val="0"/>
      <w:divBdr>
        <w:top w:val="none" w:sz="0" w:space="0" w:color="auto"/>
        <w:left w:val="none" w:sz="0" w:space="0" w:color="auto"/>
        <w:bottom w:val="none" w:sz="0" w:space="0" w:color="auto"/>
        <w:right w:val="none" w:sz="0" w:space="0" w:color="auto"/>
      </w:divBdr>
    </w:div>
    <w:div w:id="1547834917">
      <w:bodyDiv w:val="1"/>
      <w:marLeft w:val="0"/>
      <w:marRight w:val="0"/>
      <w:marTop w:val="0"/>
      <w:marBottom w:val="0"/>
      <w:divBdr>
        <w:top w:val="none" w:sz="0" w:space="0" w:color="auto"/>
        <w:left w:val="none" w:sz="0" w:space="0" w:color="auto"/>
        <w:bottom w:val="none" w:sz="0" w:space="0" w:color="auto"/>
        <w:right w:val="none" w:sz="0" w:space="0" w:color="auto"/>
      </w:divBdr>
    </w:div>
    <w:div w:id="1587884795">
      <w:bodyDiv w:val="1"/>
      <w:marLeft w:val="0"/>
      <w:marRight w:val="0"/>
      <w:marTop w:val="0"/>
      <w:marBottom w:val="0"/>
      <w:divBdr>
        <w:top w:val="none" w:sz="0" w:space="0" w:color="auto"/>
        <w:left w:val="none" w:sz="0" w:space="0" w:color="auto"/>
        <w:bottom w:val="none" w:sz="0" w:space="0" w:color="auto"/>
        <w:right w:val="none" w:sz="0" w:space="0" w:color="auto"/>
      </w:divBdr>
    </w:div>
    <w:div w:id="1606762857">
      <w:bodyDiv w:val="1"/>
      <w:marLeft w:val="0"/>
      <w:marRight w:val="0"/>
      <w:marTop w:val="0"/>
      <w:marBottom w:val="0"/>
      <w:divBdr>
        <w:top w:val="none" w:sz="0" w:space="0" w:color="auto"/>
        <w:left w:val="none" w:sz="0" w:space="0" w:color="auto"/>
        <w:bottom w:val="none" w:sz="0" w:space="0" w:color="auto"/>
        <w:right w:val="none" w:sz="0" w:space="0" w:color="auto"/>
      </w:divBdr>
    </w:div>
    <w:div w:id="1613243436">
      <w:bodyDiv w:val="1"/>
      <w:marLeft w:val="0"/>
      <w:marRight w:val="0"/>
      <w:marTop w:val="0"/>
      <w:marBottom w:val="0"/>
      <w:divBdr>
        <w:top w:val="none" w:sz="0" w:space="0" w:color="auto"/>
        <w:left w:val="none" w:sz="0" w:space="0" w:color="auto"/>
        <w:bottom w:val="none" w:sz="0" w:space="0" w:color="auto"/>
        <w:right w:val="none" w:sz="0" w:space="0" w:color="auto"/>
      </w:divBdr>
    </w:div>
    <w:div w:id="1709990432">
      <w:bodyDiv w:val="1"/>
      <w:marLeft w:val="0"/>
      <w:marRight w:val="0"/>
      <w:marTop w:val="0"/>
      <w:marBottom w:val="0"/>
      <w:divBdr>
        <w:top w:val="none" w:sz="0" w:space="0" w:color="auto"/>
        <w:left w:val="none" w:sz="0" w:space="0" w:color="auto"/>
        <w:bottom w:val="none" w:sz="0" w:space="0" w:color="auto"/>
        <w:right w:val="none" w:sz="0" w:space="0" w:color="auto"/>
      </w:divBdr>
    </w:div>
    <w:div w:id="1751002897">
      <w:bodyDiv w:val="1"/>
      <w:marLeft w:val="0"/>
      <w:marRight w:val="0"/>
      <w:marTop w:val="0"/>
      <w:marBottom w:val="0"/>
      <w:divBdr>
        <w:top w:val="none" w:sz="0" w:space="0" w:color="auto"/>
        <w:left w:val="none" w:sz="0" w:space="0" w:color="auto"/>
        <w:bottom w:val="none" w:sz="0" w:space="0" w:color="auto"/>
        <w:right w:val="none" w:sz="0" w:space="0" w:color="auto"/>
      </w:divBdr>
    </w:div>
    <w:div w:id="1833182213">
      <w:bodyDiv w:val="1"/>
      <w:marLeft w:val="0"/>
      <w:marRight w:val="0"/>
      <w:marTop w:val="0"/>
      <w:marBottom w:val="0"/>
      <w:divBdr>
        <w:top w:val="none" w:sz="0" w:space="0" w:color="auto"/>
        <w:left w:val="none" w:sz="0" w:space="0" w:color="auto"/>
        <w:bottom w:val="none" w:sz="0" w:space="0" w:color="auto"/>
        <w:right w:val="none" w:sz="0" w:space="0" w:color="auto"/>
      </w:divBdr>
    </w:div>
    <w:div w:id="1847090986">
      <w:bodyDiv w:val="1"/>
      <w:marLeft w:val="0"/>
      <w:marRight w:val="0"/>
      <w:marTop w:val="0"/>
      <w:marBottom w:val="0"/>
      <w:divBdr>
        <w:top w:val="none" w:sz="0" w:space="0" w:color="auto"/>
        <w:left w:val="none" w:sz="0" w:space="0" w:color="auto"/>
        <w:bottom w:val="none" w:sz="0" w:space="0" w:color="auto"/>
        <w:right w:val="none" w:sz="0" w:space="0" w:color="auto"/>
      </w:divBdr>
    </w:div>
    <w:div w:id="1855072837">
      <w:bodyDiv w:val="1"/>
      <w:marLeft w:val="0"/>
      <w:marRight w:val="0"/>
      <w:marTop w:val="0"/>
      <w:marBottom w:val="0"/>
      <w:divBdr>
        <w:top w:val="none" w:sz="0" w:space="0" w:color="auto"/>
        <w:left w:val="none" w:sz="0" w:space="0" w:color="auto"/>
        <w:bottom w:val="none" w:sz="0" w:space="0" w:color="auto"/>
        <w:right w:val="none" w:sz="0" w:space="0" w:color="auto"/>
      </w:divBdr>
    </w:div>
    <w:div w:id="188240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44</TotalTime>
  <Pages>25</Pages>
  <Words>9262</Words>
  <Characters>56503</Characters>
  <Application>Microsoft Office Word</Application>
  <DocSecurity>0</DocSecurity>
  <Lines>470</Lines>
  <Paragraphs>131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2026021832, MT</dc:description>
  <cp:lastModifiedBy>Gitte Jørgensen</cp:lastModifiedBy>
  <cp:revision>10</cp:revision>
  <cp:lastPrinted>2012-08-22T08:53:00Z</cp:lastPrinted>
  <dcterms:created xsi:type="dcterms:W3CDTF">2026-09-14T11:36:00Z</dcterms:created>
  <dcterms:modified xsi:type="dcterms:W3CDTF">2026-09-15T07:19:00Z</dcterms:modified>
</cp:coreProperties>
</file>