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5DF" w:rsidRPr="007459E2" w:rsidRDefault="004475DF" w:rsidP="004475DF">
      <w:pPr>
        <w:rPr>
          <w:sz w:val="24"/>
          <w:szCs w:val="24"/>
        </w:rPr>
      </w:pPr>
      <w:bookmarkStart w:id="0" w:name="_GoBack"/>
      <w:bookmarkEnd w:id="0"/>
      <w:r w:rsidRPr="007459E2">
        <w:rPr>
          <w:noProof/>
          <w:sz w:val="24"/>
          <w:szCs w:val="24"/>
          <w:lang w:eastAsia="da-DK"/>
        </w:rPr>
        <w:drawing>
          <wp:anchor distT="0" distB="0" distL="114300" distR="114300" simplePos="0" relativeHeight="251659264" behindDoc="0" locked="0" layoutInCell="1" allowOverlap="1" wp14:anchorId="574BEDA6" wp14:editId="16E8D9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459E2">
        <w:rPr>
          <w:sz w:val="24"/>
          <w:szCs w:val="24"/>
        </w:rPr>
        <w:br w:type="textWrapping" w:clear="all"/>
      </w:r>
    </w:p>
    <w:p w:rsidR="004475DF" w:rsidRPr="007459E2" w:rsidRDefault="004475DF" w:rsidP="004475DF">
      <w:pPr>
        <w:pStyle w:val="Titel"/>
        <w:tabs>
          <w:tab w:val="right" w:pos="9356"/>
        </w:tabs>
        <w:jc w:val="left"/>
        <w:rPr>
          <w:b w:val="0"/>
          <w:szCs w:val="24"/>
          <w:lang w:eastAsia="en-US"/>
        </w:rPr>
      </w:pPr>
      <w:r w:rsidRPr="007459E2">
        <w:rPr>
          <w:b w:val="0"/>
          <w:szCs w:val="24"/>
          <w:lang w:eastAsia="en-US"/>
        </w:rPr>
        <w:tab/>
      </w:r>
      <w:r w:rsidR="00D851D4">
        <w:rPr>
          <w:szCs w:val="24"/>
        </w:rPr>
        <w:t>5</w:t>
      </w:r>
      <w:r w:rsidR="00332920">
        <w:rPr>
          <w:szCs w:val="24"/>
        </w:rPr>
        <w:t xml:space="preserve">. </w:t>
      </w:r>
      <w:r w:rsidR="00D851D4">
        <w:rPr>
          <w:szCs w:val="24"/>
        </w:rPr>
        <w:t>marts</w:t>
      </w:r>
      <w:r w:rsidR="00332920">
        <w:rPr>
          <w:szCs w:val="24"/>
        </w:rPr>
        <w:t xml:space="preserve"> 202</w:t>
      </w:r>
      <w:r w:rsidR="00D851D4">
        <w:rPr>
          <w:szCs w:val="24"/>
        </w:rPr>
        <w:t>4</w:t>
      </w:r>
    </w:p>
    <w:p w:rsidR="004475DF" w:rsidRPr="007459E2" w:rsidRDefault="004475DF" w:rsidP="004475DF">
      <w:pPr>
        <w:pStyle w:val="Titel"/>
        <w:tabs>
          <w:tab w:val="left" w:pos="8222"/>
        </w:tabs>
        <w:jc w:val="left"/>
        <w:rPr>
          <w:b w:val="0"/>
          <w:szCs w:val="24"/>
        </w:rPr>
      </w:pPr>
    </w:p>
    <w:p w:rsidR="004475DF" w:rsidRPr="007459E2" w:rsidRDefault="004475DF" w:rsidP="004475DF">
      <w:pPr>
        <w:pStyle w:val="Titel"/>
        <w:jc w:val="left"/>
        <w:rPr>
          <w:b w:val="0"/>
          <w:szCs w:val="24"/>
        </w:rPr>
      </w:pPr>
    </w:p>
    <w:p w:rsidR="004475DF" w:rsidRDefault="004475DF" w:rsidP="004475DF">
      <w:pPr>
        <w:jc w:val="center"/>
        <w:rPr>
          <w:b/>
          <w:sz w:val="24"/>
          <w:szCs w:val="24"/>
        </w:rPr>
      </w:pPr>
    </w:p>
    <w:p w:rsidR="004475DF" w:rsidRPr="007459E2" w:rsidRDefault="004475DF" w:rsidP="004475DF">
      <w:pPr>
        <w:jc w:val="center"/>
        <w:rPr>
          <w:b/>
          <w:sz w:val="24"/>
          <w:szCs w:val="24"/>
        </w:rPr>
      </w:pPr>
      <w:r w:rsidRPr="007459E2">
        <w:rPr>
          <w:b/>
          <w:sz w:val="24"/>
          <w:szCs w:val="24"/>
        </w:rPr>
        <w:t>PRODUKTRESUMÉ</w:t>
      </w:r>
    </w:p>
    <w:p w:rsidR="004475DF" w:rsidRPr="007459E2" w:rsidRDefault="004475DF" w:rsidP="004475DF">
      <w:pPr>
        <w:jc w:val="center"/>
        <w:rPr>
          <w:b/>
          <w:sz w:val="24"/>
          <w:szCs w:val="24"/>
        </w:rPr>
      </w:pPr>
    </w:p>
    <w:p w:rsidR="004475DF" w:rsidRPr="007459E2" w:rsidRDefault="004475DF" w:rsidP="004475DF">
      <w:pPr>
        <w:jc w:val="center"/>
        <w:rPr>
          <w:b/>
          <w:sz w:val="24"/>
          <w:szCs w:val="24"/>
        </w:rPr>
      </w:pPr>
      <w:r w:rsidRPr="007459E2">
        <w:rPr>
          <w:b/>
          <w:sz w:val="24"/>
          <w:szCs w:val="24"/>
        </w:rPr>
        <w:t>for</w:t>
      </w:r>
    </w:p>
    <w:p w:rsidR="004475DF" w:rsidRPr="007459E2" w:rsidRDefault="004475DF" w:rsidP="004475DF">
      <w:pPr>
        <w:jc w:val="center"/>
        <w:rPr>
          <w:b/>
          <w:sz w:val="24"/>
          <w:szCs w:val="24"/>
        </w:rPr>
      </w:pPr>
    </w:p>
    <w:p w:rsidR="004475DF" w:rsidRPr="007459E2" w:rsidRDefault="00332920" w:rsidP="004475DF">
      <w:pPr>
        <w:jc w:val="center"/>
        <w:rPr>
          <w:b/>
          <w:sz w:val="24"/>
          <w:szCs w:val="24"/>
        </w:rPr>
      </w:pPr>
      <w:proofErr w:type="spellStart"/>
      <w:r>
        <w:rPr>
          <w:b/>
          <w:sz w:val="24"/>
          <w:szCs w:val="24"/>
        </w:rPr>
        <w:t>Tacronova</w:t>
      </w:r>
      <w:proofErr w:type="spellEnd"/>
      <w:r w:rsidR="004475DF" w:rsidRPr="007459E2">
        <w:rPr>
          <w:b/>
          <w:sz w:val="24"/>
          <w:szCs w:val="24"/>
        </w:rPr>
        <w:t>, salve</w:t>
      </w:r>
      <w:r>
        <w:rPr>
          <w:b/>
          <w:sz w:val="24"/>
          <w:szCs w:val="24"/>
        </w:rPr>
        <w:t xml:space="preserve"> (</w:t>
      </w:r>
      <w:proofErr w:type="spellStart"/>
      <w:r>
        <w:rPr>
          <w:b/>
          <w:sz w:val="24"/>
          <w:szCs w:val="24"/>
        </w:rPr>
        <w:t>Paranova</w:t>
      </w:r>
      <w:proofErr w:type="spellEnd"/>
      <w:r>
        <w:rPr>
          <w:b/>
          <w:sz w:val="24"/>
          <w:szCs w:val="24"/>
        </w:rPr>
        <w:t>)</w:t>
      </w:r>
    </w:p>
    <w:p w:rsidR="004475DF" w:rsidRPr="007459E2" w:rsidRDefault="004475DF" w:rsidP="004475DF">
      <w:pPr>
        <w:jc w:val="both"/>
        <w:rPr>
          <w:sz w:val="24"/>
          <w:szCs w:val="24"/>
        </w:rPr>
      </w:pPr>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0.</w:t>
      </w:r>
      <w:r w:rsidRPr="007459E2">
        <w:rPr>
          <w:b/>
          <w:sz w:val="24"/>
          <w:szCs w:val="24"/>
        </w:rPr>
        <w:tab/>
        <w:t>D.SP.NR.</w:t>
      </w:r>
    </w:p>
    <w:p w:rsidR="004475DF" w:rsidRPr="007459E2" w:rsidRDefault="004475DF" w:rsidP="004475DF">
      <w:pPr>
        <w:ind w:left="851" w:hanging="851"/>
        <w:rPr>
          <w:sz w:val="24"/>
          <w:szCs w:val="24"/>
        </w:rPr>
      </w:pPr>
      <w:r w:rsidRPr="007459E2">
        <w:rPr>
          <w:sz w:val="24"/>
          <w:szCs w:val="24"/>
        </w:rPr>
        <w:tab/>
        <w:t>29488</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1.</w:t>
      </w:r>
      <w:r w:rsidRPr="007459E2">
        <w:rPr>
          <w:b/>
          <w:sz w:val="24"/>
          <w:szCs w:val="24"/>
        </w:rPr>
        <w:tab/>
        <w:t>LÆGEMIDLETS NAVN</w:t>
      </w:r>
    </w:p>
    <w:p w:rsidR="004475DF" w:rsidRPr="007459E2" w:rsidRDefault="004475DF" w:rsidP="004475DF">
      <w:pPr>
        <w:ind w:left="851" w:hanging="851"/>
        <w:rPr>
          <w:sz w:val="24"/>
          <w:szCs w:val="24"/>
        </w:rPr>
      </w:pPr>
      <w:r w:rsidRPr="007459E2">
        <w:rPr>
          <w:sz w:val="24"/>
          <w:szCs w:val="24"/>
        </w:rPr>
        <w:tab/>
      </w:r>
      <w:proofErr w:type="spellStart"/>
      <w:r w:rsidR="00332920">
        <w:rPr>
          <w:sz w:val="24"/>
          <w:szCs w:val="24"/>
        </w:rPr>
        <w:t>Tacronova</w:t>
      </w:r>
      <w:proofErr w:type="spellEnd"/>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2.</w:t>
      </w:r>
      <w:r w:rsidRPr="007459E2">
        <w:rPr>
          <w:b/>
          <w:sz w:val="24"/>
          <w:szCs w:val="24"/>
        </w:rPr>
        <w:tab/>
        <w:t>KVALITATIV OG KVANTITATIV SAMMENSÆTNING</w:t>
      </w:r>
    </w:p>
    <w:p w:rsidR="004475DF" w:rsidRDefault="004475DF" w:rsidP="004475DF">
      <w:pPr>
        <w:ind w:left="851" w:hanging="851"/>
        <w:rPr>
          <w:sz w:val="24"/>
          <w:szCs w:val="24"/>
        </w:rPr>
      </w:pPr>
      <w:r w:rsidRPr="007459E2">
        <w:rPr>
          <w:sz w:val="24"/>
          <w:szCs w:val="24"/>
        </w:rPr>
        <w:tab/>
        <w:t xml:space="preserve">1 g salve indeholder </w:t>
      </w:r>
      <w:proofErr w:type="spellStart"/>
      <w:r w:rsidRPr="007459E2">
        <w:rPr>
          <w:sz w:val="24"/>
          <w:szCs w:val="24"/>
        </w:rPr>
        <w:t>tacrolimusmonohydrat</w:t>
      </w:r>
      <w:proofErr w:type="spellEnd"/>
      <w:r w:rsidRPr="007459E2">
        <w:rPr>
          <w:sz w:val="24"/>
          <w:szCs w:val="24"/>
        </w:rPr>
        <w:t xml:space="preserve"> svarende til 1,0 mg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hanging="851"/>
        <w:rPr>
          <w:snapToGrid w:val="0"/>
          <w:color w:val="FF0000"/>
          <w:sz w:val="24"/>
          <w:szCs w:val="24"/>
        </w:rPr>
      </w:pPr>
      <w:r w:rsidRPr="007459E2">
        <w:rPr>
          <w:sz w:val="24"/>
          <w:szCs w:val="24"/>
        </w:rPr>
        <w:tab/>
        <w:t>Alle hjælpestoffer er anført under pkt. 6.1.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3.</w:t>
      </w:r>
      <w:r w:rsidRPr="007459E2">
        <w:rPr>
          <w:b/>
          <w:sz w:val="24"/>
          <w:szCs w:val="24"/>
        </w:rPr>
        <w:tab/>
        <w:t>LÆGEMIDDELFORM</w:t>
      </w:r>
    </w:p>
    <w:p w:rsidR="004475DF" w:rsidRDefault="004475DF" w:rsidP="004475DF">
      <w:pPr>
        <w:suppressAutoHyphens/>
        <w:ind w:left="851"/>
        <w:rPr>
          <w:spacing w:val="-3"/>
          <w:sz w:val="24"/>
          <w:szCs w:val="24"/>
        </w:rPr>
      </w:pPr>
      <w:r w:rsidRPr="007459E2">
        <w:rPr>
          <w:spacing w:val="-3"/>
          <w:sz w:val="24"/>
          <w:szCs w:val="24"/>
        </w:rPr>
        <w:t>Salve</w:t>
      </w:r>
      <w:r w:rsidR="00332920">
        <w:rPr>
          <w:spacing w:val="-3"/>
          <w:sz w:val="24"/>
          <w:szCs w:val="24"/>
        </w:rPr>
        <w:t xml:space="preserve"> (Paranova)</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w:t>
      </w:r>
      <w:r w:rsidRPr="007459E2">
        <w:rPr>
          <w:b/>
          <w:sz w:val="24"/>
          <w:szCs w:val="24"/>
        </w:rPr>
        <w:tab/>
        <w:t>KLINISKE OPLYSNINGER</w:t>
      </w:r>
    </w:p>
    <w:p w:rsidR="004475DF" w:rsidRPr="007459E2" w:rsidRDefault="004475DF" w:rsidP="004475DF">
      <w:pPr>
        <w:ind w:left="851" w:hanging="851"/>
        <w:rPr>
          <w:b/>
          <w:sz w:val="24"/>
          <w:szCs w:val="24"/>
        </w:rPr>
      </w:pPr>
    </w:p>
    <w:p w:rsidR="004475DF" w:rsidRPr="007459E2" w:rsidRDefault="004475DF" w:rsidP="004475DF">
      <w:pPr>
        <w:ind w:left="851" w:hanging="851"/>
        <w:rPr>
          <w:b/>
          <w:sz w:val="24"/>
          <w:szCs w:val="24"/>
          <w:u w:val="single"/>
        </w:rPr>
      </w:pPr>
      <w:r w:rsidRPr="007459E2">
        <w:rPr>
          <w:b/>
          <w:sz w:val="24"/>
          <w:szCs w:val="24"/>
        </w:rPr>
        <w:t>4.1</w:t>
      </w:r>
      <w:r w:rsidRPr="007459E2">
        <w:rPr>
          <w:b/>
          <w:sz w:val="24"/>
          <w:szCs w:val="24"/>
        </w:rPr>
        <w:tab/>
        <w:t>Terapeutiske indikationer</w:t>
      </w:r>
    </w:p>
    <w:p w:rsidR="004475DF" w:rsidRPr="007459E2" w:rsidRDefault="00332920" w:rsidP="004475DF">
      <w:pPr>
        <w:ind w:left="851"/>
        <w:rPr>
          <w:sz w:val="24"/>
          <w:szCs w:val="24"/>
        </w:rPr>
      </w:pPr>
      <w:proofErr w:type="spellStart"/>
      <w:r>
        <w:rPr>
          <w:sz w:val="24"/>
          <w:szCs w:val="24"/>
        </w:rPr>
        <w:t>Tacronova</w:t>
      </w:r>
      <w:proofErr w:type="spellEnd"/>
      <w:r w:rsidR="004475DF" w:rsidRPr="007459E2">
        <w:rPr>
          <w:sz w:val="24"/>
          <w:szCs w:val="24"/>
        </w:rPr>
        <w:t xml:space="preserve"> er indiceret til voksne og unge (16 år og derover).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Behandling af eksemudbrud</w:t>
      </w:r>
    </w:p>
    <w:p w:rsidR="004475DF" w:rsidRDefault="004475DF" w:rsidP="004475DF">
      <w:pPr>
        <w:ind w:left="851"/>
        <w:rPr>
          <w:i/>
          <w:iCs/>
          <w:sz w:val="24"/>
          <w:szCs w:val="24"/>
        </w:rPr>
      </w:pPr>
    </w:p>
    <w:p w:rsidR="004475DF" w:rsidRPr="007459E2" w:rsidRDefault="004475DF" w:rsidP="004475DF">
      <w:pPr>
        <w:ind w:left="851"/>
        <w:rPr>
          <w:i/>
          <w:iCs/>
          <w:sz w:val="24"/>
          <w:szCs w:val="24"/>
        </w:rPr>
      </w:pPr>
      <w:r w:rsidRPr="007459E2">
        <w:rPr>
          <w:i/>
          <w:iCs/>
          <w:sz w:val="24"/>
          <w:szCs w:val="24"/>
        </w:rPr>
        <w:t>Voksne og unge (16 år og derover)</w:t>
      </w:r>
    </w:p>
    <w:p w:rsidR="004475DF" w:rsidRPr="007459E2" w:rsidRDefault="004475DF" w:rsidP="004475DF">
      <w:pPr>
        <w:ind w:left="851"/>
        <w:rPr>
          <w:sz w:val="24"/>
          <w:szCs w:val="24"/>
        </w:rPr>
      </w:pPr>
      <w:r w:rsidRPr="007459E2">
        <w:rPr>
          <w:sz w:val="24"/>
          <w:szCs w:val="24"/>
        </w:rPr>
        <w:t xml:space="preserve">Behandling af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hos voksne, der ikke responderer tilfredsstillende på eller ikke tåler konventionelle behandlinger såsom </w:t>
      </w:r>
      <w:proofErr w:type="spellStart"/>
      <w:r w:rsidRPr="007459E2">
        <w:rPr>
          <w:sz w:val="24"/>
          <w:szCs w:val="24"/>
        </w:rPr>
        <w:t>topikale</w:t>
      </w:r>
      <w:proofErr w:type="spellEnd"/>
      <w:r w:rsidRPr="007459E2">
        <w:rPr>
          <w:sz w:val="24"/>
          <w:szCs w:val="24"/>
        </w:rPr>
        <w:t xml:space="preserve"> </w:t>
      </w:r>
      <w:proofErr w:type="spellStart"/>
      <w:r w:rsidRPr="007459E2">
        <w:rPr>
          <w:sz w:val="24"/>
          <w:szCs w:val="24"/>
        </w:rPr>
        <w:t>kortikosteroider</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Vedligeholdelsesbehandling</w:t>
      </w:r>
    </w:p>
    <w:p w:rsidR="004475DF" w:rsidRPr="007459E2" w:rsidRDefault="004475DF" w:rsidP="004475DF">
      <w:pPr>
        <w:ind w:left="851"/>
        <w:rPr>
          <w:sz w:val="24"/>
          <w:szCs w:val="24"/>
        </w:rPr>
      </w:pPr>
      <w:r w:rsidRPr="007459E2">
        <w:rPr>
          <w:sz w:val="24"/>
          <w:szCs w:val="24"/>
        </w:rPr>
        <w:t xml:space="preserve">Behandling af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til forebyggelse af eksemudbrud og forlængelse af sygdomsfrie intervaller hos patienter, som oplever hyppige </w:t>
      </w:r>
      <w:proofErr w:type="spellStart"/>
      <w:r w:rsidRPr="007459E2">
        <w:rPr>
          <w:sz w:val="24"/>
          <w:szCs w:val="24"/>
        </w:rPr>
        <w:t>eksacerbationer</w:t>
      </w:r>
      <w:proofErr w:type="spellEnd"/>
      <w:r w:rsidRPr="007459E2">
        <w:rPr>
          <w:sz w:val="24"/>
          <w:szCs w:val="24"/>
        </w:rPr>
        <w:t xml:space="preserve"> af sygdommen (dvs. forekommer 4 gange eller mere om året), og som har haft et initialt respons på maksimalt 6 ugers behandling med </w:t>
      </w:r>
      <w:proofErr w:type="spellStart"/>
      <w:r w:rsidRPr="007459E2">
        <w:rPr>
          <w:sz w:val="24"/>
          <w:szCs w:val="24"/>
        </w:rPr>
        <w:t>tacrolimus</w:t>
      </w:r>
      <w:proofErr w:type="spellEnd"/>
      <w:r w:rsidRPr="007459E2">
        <w:rPr>
          <w:sz w:val="24"/>
          <w:szCs w:val="24"/>
        </w:rPr>
        <w:t>-salve to gange daglig (læsioner helet, næsten helet eller kun mildt afficeret).</w:t>
      </w:r>
    </w:p>
    <w:p w:rsidR="004475DF" w:rsidRDefault="004475DF" w:rsidP="004475DF">
      <w:pPr>
        <w:ind w:left="851" w:hanging="851"/>
        <w:rPr>
          <w:sz w:val="24"/>
          <w:szCs w:val="24"/>
        </w:rPr>
      </w:pPr>
    </w:p>
    <w:p w:rsidR="00D851D4" w:rsidRPr="007459E2" w:rsidRDefault="00D851D4"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lastRenderedPageBreak/>
        <w:t>4.2</w:t>
      </w:r>
      <w:r w:rsidRPr="007459E2">
        <w:rPr>
          <w:b/>
          <w:sz w:val="24"/>
          <w:szCs w:val="24"/>
        </w:rPr>
        <w:tab/>
        <w:t xml:space="preserve">Dosering og </w:t>
      </w:r>
      <w:r w:rsidR="00D851D4">
        <w:rPr>
          <w:b/>
          <w:sz w:val="24"/>
          <w:szCs w:val="24"/>
        </w:rPr>
        <w:t>administration</w:t>
      </w:r>
    </w:p>
    <w:p w:rsidR="004475DF" w:rsidRPr="007459E2" w:rsidRDefault="004475DF" w:rsidP="004475DF">
      <w:pPr>
        <w:ind w:left="851"/>
        <w:rPr>
          <w:noProof/>
          <w:sz w:val="24"/>
          <w:szCs w:val="24"/>
        </w:rPr>
      </w:pPr>
      <w:r w:rsidRPr="007459E2">
        <w:rPr>
          <w:noProof/>
          <w:sz w:val="24"/>
          <w:szCs w:val="24"/>
        </w:rPr>
        <w:t xml:space="preserve">Behandling med </w:t>
      </w:r>
      <w:r w:rsidR="00332920">
        <w:rPr>
          <w:noProof/>
          <w:sz w:val="24"/>
          <w:szCs w:val="24"/>
        </w:rPr>
        <w:t>Tacronova</w:t>
      </w:r>
      <w:r w:rsidRPr="007459E2">
        <w:rPr>
          <w:noProof/>
          <w:sz w:val="24"/>
          <w:szCs w:val="24"/>
        </w:rPr>
        <w:t xml:space="preserve"> skal initieres af læger med erfaring i diagnosticering og behandling af atopisk dermatitis.</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Tacrolimus findes i to styrker, tacrolimus 0,03 % salve og tacrolimus 0,1 % salve.</w:t>
      </w:r>
    </w:p>
    <w:p w:rsidR="004475DF" w:rsidRPr="007459E2" w:rsidRDefault="004475DF" w:rsidP="004475DF">
      <w:pPr>
        <w:ind w:left="851" w:hanging="851"/>
        <w:rPr>
          <w:i/>
          <w:iCs/>
          <w:noProof/>
          <w:sz w:val="24"/>
          <w:szCs w:val="24"/>
        </w:rPr>
      </w:pPr>
    </w:p>
    <w:p w:rsidR="004475DF" w:rsidRPr="00AA10A8" w:rsidRDefault="004475DF" w:rsidP="004475DF">
      <w:pPr>
        <w:ind w:left="851"/>
        <w:rPr>
          <w:b/>
          <w:iCs/>
          <w:noProof/>
          <w:sz w:val="24"/>
          <w:szCs w:val="24"/>
        </w:rPr>
      </w:pPr>
      <w:r w:rsidRPr="00AA10A8">
        <w:rPr>
          <w:b/>
          <w:iCs/>
          <w:noProof/>
          <w:sz w:val="24"/>
          <w:szCs w:val="24"/>
        </w:rPr>
        <w:t>Dosering</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Behandling af eksemudbrud</w:t>
      </w:r>
    </w:p>
    <w:p w:rsidR="004475DF" w:rsidRPr="007459E2" w:rsidRDefault="00332920" w:rsidP="004475DF">
      <w:pPr>
        <w:ind w:left="851"/>
        <w:rPr>
          <w:noProof/>
          <w:sz w:val="24"/>
          <w:szCs w:val="24"/>
        </w:rPr>
      </w:pPr>
      <w:r>
        <w:rPr>
          <w:noProof/>
          <w:sz w:val="24"/>
          <w:szCs w:val="24"/>
        </w:rPr>
        <w:t>Tacronova</w:t>
      </w:r>
      <w:r w:rsidR="004475DF" w:rsidRPr="007459E2">
        <w:rPr>
          <w:noProof/>
          <w:sz w:val="24"/>
          <w:szCs w:val="24"/>
        </w:rPr>
        <w:t xml:space="preserve"> kan anvendes til korttidsbehandling og intermitterende langtidsbehandling. Behandlingen bør ikke være kontinuerlig i en længerevarende periode.</w:t>
      </w:r>
    </w:p>
    <w:p w:rsidR="004475DF" w:rsidRPr="007459E2" w:rsidRDefault="004475DF" w:rsidP="004475DF">
      <w:pPr>
        <w:ind w:left="851"/>
        <w:rPr>
          <w:noProof/>
          <w:sz w:val="24"/>
          <w:szCs w:val="24"/>
        </w:rPr>
      </w:pPr>
      <w:r w:rsidRPr="007459E2">
        <w:rPr>
          <w:noProof/>
          <w:sz w:val="24"/>
          <w:szCs w:val="24"/>
        </w:rPr>
        <w:t xml:space="preserve">Behandlingen med </w:t>
      </w:r>
      <w:r w:rsidR="00332920">
        <w:rPr>
          <w:noProof/>
          <w:sz w:val="24"/>
          <w:szCs w:val="24"/>
        </w:rPr>
        <w:t>Tacronova</w:t>
      </w:r>
      <w:r w:rsidRPr="007459E2">
        <w:rPr>
          <w:noProof/>
          <w:sz w:val="24"/>
          <w:szCs w:val="24"/>
        </w:rPr>
        <w:t xml:space="preserve"> bør påbegyndes, når de første tegn og symptomer viser sig. Hvert afficeret hudområde bør behandles med </w:t>
      </w:r>
      <w:r w:rsidR="00332920">
        <w:rPr>
          <w:noProof/>
          <w:sz w:val="24"/>
          <w:szCs w:val="24"/>
        </w:rPr>
        <w:t>Tacronova</w:t>
      </w:r>
      <w:r w:rsidRPr="007459E2">
        <w:rPr>
          <w:noProof/>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Voksne og unge (16 år og derover)</w:t>
      </w:r>
    </w:p>
    <w:p w:rsidR="004475DF" w:rsidRPr="007459E2" w:rsidRDefault="004475DF" w:rsidP="004475DF">
      <w:pPr>
        <w:ind w:left="851"/>
        <w:rPr>
          <w:noProof/>
          <w:sz w:val="24"/>
          <w:szCs w:val="24"/>
        </w:rPr>
      </w:pPr>
      <w:r w:rsidRPr="007459E2">
        <w:rPr>
          <w:noProof/>
          <w:sz w:val="24"/>
          <w:szCs w:val="24"/>
        </w:rPr>
        <w:t xml:space="preserve">Behandlingen bør begyndes med </w:t>
      </w:r>
      <w:r w:rsidR="00332920">
        <w:rPr>
          <w:noProof/>
          <w:sz w:val="24"/>
          <w:szCs w:val="24"/>
        </w:rPr>
        <w:t>Tacronova</w:t>
      </w:r>
      <w:r w:rsidRPr="007459E2">
        <w:rPr>
          <w:noProof/>
          <w:sz w:val="24"/>
          <w:szCs w:val="24"/>
        </w:rPr>
        <w:t xml:space="preserve"> 0,1 % to gange om dagen, indtil læsionen er helet. Hvis symptomerne vender tilbage, skal behandlingen med </w:t>
      </w:r>
      <w:r w:rsidR="00332920">
        <w:rPr>
          <w:noProof/>
          <w:sz w:val="24"/>
          <w:szCs w:val="24"/>
        </w:rPr>
        <w:t>Tacronova</w:t>
      </w:r>
      <w:r w:rsidRPr="007459E2">
        <w:rPr>
          <w:noProof/>
          <w:sz w:val="24"/>
          <w:szCs w:val="24"/>
        </w:rPr>
        <w:t xml:space="preserve"> 0,1 % to gange om dagen genoptages. Hvis den kliniske tilstand tillader det, bør man forsøge at reducere applikationsfrekvensen eller benytte den svagere tacrolimus 0,03 % 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Generelt ses forbedring inden for en uge efter behandlingsstart. Hvis der ikke ses tegn på forbedring efter to ugers behandling, bør yderligere behandlingsmuligheder overvejes.</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Ældre personer</w:t>
      </w:r>
    </w:p>
    <w:p w:rsidR="004475DF" w:rsidRPr="007459E2" w:rsidRDefault="004475DF" w:rsidP="004475DF">
      <w:pPr>
        <w:ind w:left="851"/>
        <w:rPr>
          <w:noProof/>
          <w:sz w:val="24"/>
          <w:szCs w:val="24"/>
        </w:rPr>
      </w:pPr>
      <w:r w:rsidRPr="007459E2">
        <w:rPr>
          <w:noProof/>
          <w:sz w:val="24"/>
          <w:szCs w:val="24"/>
        </w:rPr>
        <w:t>Der er ikke foretaget specifikke studier med ældre personer. De kliniske erfaringer, som er tilgængelige for denne patientpopulation, tyder imidlertid ikke på, at dosisjustering er nødvendig.</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Pædiatrisk population</w:t>
      </w:r>
    </w:p>
    <w:p w:rsidR="004475DF" w:rsidRPr="007459E2" w:rsidRDefault="004475DF" w:rsidP="004475DF">
      <w:pPr>
        <w:ind w:left="851"/>
        <w:rPr>
          <w:noProof/>
          <w:sz w:val="24"/>
          <w:szCs w:val="24"/>
        </w:rPr>
      </w:pPr>
      <w:r w:rsidRPr="007459E2">
        <w:rPr>
          <w:noProof/>
          <w:sz w:val="24"/>
          <w:szCs w:val="24"/>
        </w:rPr>
        <w:t>Til børn fra 2 til 16 år bør kun anvendes tacrolimus 0,03 % salve.</w:t>
      </w:r>
    </w:p>
    <w:p w:rsidR="004475DF" w:rsidRPr="007459E2" w:rsidRDefault="00332920" w:rsidP="004475DF">
      <w:pPr>
        <w:ind w:left="851"/>
        <w:rPr>
          <w:noProof/>
          <w:sz w:val="24"/>
          <w:szCs w:val="24"/>
        </w:rPr>
      </w:pPr>
      <w:r>
        <w:rPr>
          <w:noProof/>
          <w:sz w:val="24"/>
          <w:szCs w:val="24"/>
        </w:rPr>
        <w:t>Tacronova</w:t>
      </w:r>
      <w:r w:rsidR="004475DF" w:rsidRPr="007459E2">
        <w:rPr>
          <w:noProof/>
          <w:sz w:val="24"/>
          <w:szCs w:val="24"/>
        </w:rPr>
        <w:t xml:space="preserve"> salve bør ikke anvendes til børn under 2 år, før yderligere data er tilgængelige.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Vedligeholdelsesbehandling</w:t>
      </w:r>
    </w:p>
    <w:p w:rsidR="004475DF" w:rsidRPr="007459E2" w:rsidRDefault="004475DF" w:rsidP="004475DF">
      <w:pPr>
        <w:ind w:left="851"/>
        <w:rPr>
          <w:noProof/>
          <w:sz w:val="24"/>
          <w:szCs w:val="24"/>
        </w:rPr>
      </w:pPr>
      <w:r w:rsidRPr="007459E2">
        <w:rPr>
          <w:noProof/>
          <w:sz w:val="24"/>
          <w:szCs w:val="24"/>
        </w:rPr>
        <w:t>Patienter, som responderer på op til 6 ugers behandling med tacrolimus-salve to gange daglig (helet, næsten helet eller kun mildt afficeret), er egnet til vedligeholdelsesbehandling.</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Voksne og unge (16 år og derover)</w:t>
      </w:r>
    </w:p>
    <w:p w:rsidR="004475DF" w:rsidRPr="007459E2" w:rsidRDefault="004475DF" w:rsidP="004475DF">
      <w:pPr>
        <w:ind w:left="851"/>
        <w:rPr>
          <w:noProof/>
          <w:sz w:val="24"/>
          <w:szCs w:val="24"/>
        </w:rPr>
      </w:pPr>
      <w:r w:rsidRPr="007459E2">
        <w:rPr>
          <w:noProof/>
          <w:sz w:val="24"/>
          <w:szCs w:val="24"/>
        </w:rPr>
        <w:t xml:space="preserve">Voksne patienter (16 år gamle og ældre) bør anvende </w:t>
      </w:r>
      <w:r w:rsidR="00332920">
        <w:rPr>
          <w:noProof/>
          <w:sz w:val="24"/>
          <w:szCs w:val="24"/>
        </w:rPr>
        <w:t>Tacronova</w:t>
      </w:r>
      <w:r w:rsidRPr="007459E2">
        <w:rPr>
          <w:noProof/>
          <w:sz w:val="24"/>
          <w:szCs w:val="24"/>
        </w:rPr>
        <w:t xml:space="preserve"> 0,1 % salve.</w:t>
      </w:r>
    </w:p>
    <w:p w:rsidR="004475DF" w:rsidRPr="007459E2" w:rsidRDefault="004475DF" w:rsidP="004475DF">
      <w:pPr>
        <w:ind w:left="851"/>
        <w:rPr>
          <w:noProof/>
          <w:sz w:val="24"/>
          <w:szCs w:val="24"/>
        </w:rPr>
      </w:pPr>
      <w:r w:rsidRPr="007459E2">
        <w:rPr>
          <w:noProof/>
          <w:sz w:val="24"/>
          <w:szCs w:val="24"/>
        </w:rPr>
        <w:t xml:space="preserve">For at forhindre eksemudbrud bør </w:t>
      </w:r>
      <w:r w:rsidR="00332920">
        <w:rPr>
          <w:noProof/>
          <w:sz w:val="24"/>
          <w:szCs w:val="24"/>
        </w:rPr>
        <w:t>Tacronova</w:t>
      </w:r>
      <w:r w:rsidRPr="007459E2">
        <w:rPr>
          <w:noProof/>
          <w:sz w:val="24"/>
          <w:szCs w:val="24"/>
        </w:rPr>
        <w:t xml:space="preserve"> salve påsmøres en gang daglig to gange om ugen (f.eks. mandag og torsdag) på de områder, som sædvanligvis er afficeret af atopisk dermatitis. </w:t>
      </w:r>
    </w:p>
    <w:p w:rsidR="004475DF" w:rsidRPr="007459E2" w:rsidRDefault="004475DF" w:rsidP="004475DF">
      <w:pPr>
        <w:ind w:left="851"/>
        <w:rPr>
          <w:noProof/>
          <w:sz w:val="24"/>
          <w:szCs w:val="24"/>
        </w:rPr>
      </w:pPr>
      <w:r w:rsidRPr="007459E2">
        <w:rPr>
          <w:noProof/>
          <w:sz w:val="24"/>
          <w:szCs w:val="24"/>
        </w:rPr>
        <w:t xml:space="preserve">Mellem påsmøringerne bør der være 2-3 dage uden </w:t>
      </w:r>
      <w:r w:rsidR="00332920">
        <w:rPr>
          <w:noProof/>
          <w:sz w:val="24"/>
          <w:szCs w:val="24"/>
        </w:rPr>
        <w:t>Tacronova</w:t>
      </w:r>
      <w:r w:rsidRPr="007459E2">
        <w:rPr>
          <w:noProof/>
          <w:sz w:val="24"/>
          <w:szCs w:val="24"/>
        </w:rPr>
        <w:t>-behandling.</w:t>
      </w:r>
    </w:p>
    <w:p w:rsidR="004475DF" w:rsidRPr="007459E2" w:rsidRDefault="004475DF" w:rsidP="004475DF">
      <w:pPr>
        <w:ind w:left="851"/>
        <w:rPr>
          <w:noProof/>
          <w:sz w:val="24"/>
          <w:szCs w:val="24"/>
        </w:rPr>
      </w:pPr>
    </w:p>
    <w:p w:rsidR="004475DF" w:rsidRPr="007459E2" w:rsidRDefault="004475DF" w:rsidP="004475DF">
      <w:pPr>
        <w:ind w:left="851"/>
        <w:rPr>
          <w:noProof/>
          <w:sz w:val="24"/>
          <w:szCs w:val="24"/>
        </w:rPr>
      </w:pPr>
      <w:r w:rsidRPr="007459E2">
        <w:rPr>
          <w:noProof/>
          <w:sz w:val="24"/>
          <w:szCs w:val="24"/>
        </w:rPr>
        <w:t>Efter 12 måneders behandling bør patientens kliniske tilstand vurderes af lægen, og der skal tages stilling til, om vedligeholdelsesbehandlingen skal fortsættes, selv om der ikke findes sikkerhedsdata for vedligeholdelsesbehandling ud over 12 måneder.</w:t>
      </w:r>
    </w:p>
    <w:p w:rsidR="004475DF" w:rsidRPr="007459E2" w:rsidRDefault="004475DF" w:rsidP="004475DF">
      <w:pPr>
        <w:ind w:left="851"/>
        <w:rPr>
          <w:noProof/>
          <w:sz w:val="24"/>
          <w:szCs w:val="24"/>
        </w:rPr>
      </w:pPr>
      <w:r w:rsidRPr="007459E2">
        <w:rPr>
          <w:noProof/>
          <w:sz w:val="24"/>
          <w:szCs w:val="24"/>
        </w:rPr>
        <w:lastRenderedPageBreak/>
        <w:t>Hvis der opstår tegn på et eksemudbrud, bør behandling to gange daglig</w:t>
      </w:r>
      <w:r>
        <w:rPr>
          <w:noProof/>
          <w:sz w:val="24"/>
          <w:szCs w:val="24"/>
        </w:rPr>
        <w:t xml:space="preserve"> genoptages (se "Behandling af eksemudbrud"</w:t>
      </w:r>
      <w:r w:rsidRPr="007459E2">
        <w:rPr>
          <w:noProof/>
          <w:sz w:val="24"/>
          <w:szCs w:val="24"/>
        </w:rPr>
        <w:t xml:space="preserve"> ovenfor).</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Ældre personer</w:t>
      </w:r>
    </w:p>
    <w:p w:rsidR="004475DF" w:rsidRPr="007459E2" w:rsidRDefault="004475DF" w:rsidP="004475DF">
      <w:pPr>
        <w:ind w:left="851"/>
        <w:rPr>
          <w:noProof/>
          <w:sz w:val="24"/>
          <w:szCs w:val="24"/>
        </w:rPr>
      </w:pPr>
      <w:r w:rsidRPr="007459E2">
        <w:rPr>
          <w:noProof/>
          <w:sz w:val="24"/>
          <w:szCs w:val="24"/>
        </w:rPr>
        <w:t xml:space="preserve">Der er ikke foretaget specifikke studier med ældre personer (se </w:t>
      </w:r>
      <w:r>
        <w:rPr>
          <w:noProof/>
          <w:sz w:val="24"/>
          <w:szCs w:val="24"/>
        </w:rPr>
        <w:t>"Behandling af eksemudbrud"</w:t>
      </w:r>
      <w:r w:rsidRPr="007459E2">
        <w:rPr>
          <w:noProof/>
          <w:sz w:val="24"/>
          <w:szCs w:val="24"/>
        </w:rPr>
        <w:t xml:space="preserve"> ovenfor).</w:t>
      </w:r>
    </w:p>
    <w:p w:rsidR="004475DF" w:rsidRPr="007459E2" w:rsidRDefault="004475DF" w:rsidP="004475DF">
      <w:pPr>
        <w:ind w:left="851" w:hanging="851"/>
        <w:rPr>
          <w:i/>
          <w:iCs/>
          <w:noProof/>
          <w:sz w:val="24"/>
          <w:szCs w:val="24"/>
        </w:rPr>
      </w:pPr>
    </w:p>
    <w:p w:rsidR="004475DF" w:rsidRPr="007459E2" w:rsidRDefault="004475DF" w:rsidP="004475DF">
      <w:pPr>
        <w:ind w:left="851"/>
        <w:rPr>
          <w:i/>
          <w:iCs/>
          <w:noProof/>
          <w:sz w:val="24"/>
          <w:szCs w:val="24"/>
        </w:rPr>
      </w:pPr>
      <w:r w:rsidRPr="007459E2">
        <w:rPr>
          <w:i/>
          <w:iCs/>
          <w:noProof/>
          <w:sz w:val="24"/>
          <w:szCs w:val="24"/>
        </w:rPr>
        <w:t>Pædiatrisk population</w:t>
      </w:r>
    </w:p>
    <w:p w:rsidR="004475DF" w:rsidRPr="007459E2" w:rsidRDefault="004475DF" w:rsidP="004475DF">
      <w:pPr>
        <w:ind w:left="851"/>
        <w:rPr>
          <w:noProof/>
          <w:sz w:val="24"/>
          <w:szCs w:val="24"/>
        </w:rPr>
      </w:pPr>
      <w:r w:rsidRPr="007459E2">
        <w:rPr>
          <w:noProof/>
          <w:sz w:val="24"/>
          <w:szCs w:val="24"/>
        </w:rPr>
        <w:t>Til børn fra 2 til 16 år bør kun anvendes tacrolimus 0,03 % salve.</w:t>
      </w:r>
    </w:p>
    <w:p w:rsidR="004475DF" w:rsidRPr="007459E2" w:rsidRDefault="00332920" w:rsidP="004475DF">
      <w:pPr>
        <w:ind w:left="851"/>
        <w:rPr>
          <w:noProof/>
          <w:sz w:val="24"/>
          <w:szCs w:val="24"/>
        </w:rPr>
      </w:pPr>
      <w:r>
        <w:rPr>
          <w:noProof/>
          <w:sz w:val="24"/>
          <w:szCs w:val="24"/>
        </w:rPr>
        <w:t>Tacronova</w:t>
      </w:r>
      <w:r w:rsidR="004475DF" w:rsidRPr="007459E2">
        <w:rPr>
          <w:noProof/>
          <w:sz w:val="24"/>
          <w:szCs w:val="24"/>
        </w:rPr>
        <w:t xml:space="preserve"> salve bør ikke anvendes til børn under 2 år, før der foreligger yderligere data.</w:t>
      </w:r>
    </w:p>
    <w:p w:rsidR="004475DF" w:rsidRPr="007459E2" w:rsidRDefault="004475DF" w:rsidP="004475DF">
      <w:pPr>
        <w:ind w:left="851" w:hanging="851"/>
        <w:rPr>
          <w:i/>
          <w:iCs/>
          <w:noProof/>
          <w:sz w:val="24"/>
          <w:szCs w:val="24"/>
        </w:rPr>
      </w:pPr>
    </w:p>
    <w:p w:rsidR="004475DF" w:rsidRPr="00AA10A8" w:rsidRDefault="004475DF" w:rsidP="004475DF">
      <w:pPr>
        <w:ind w:left="851"/>
        <w:rPr>
          <w:b/>
          <w:iCs/>
          <w:noProof/>
          <w:sz w:val="24"/>
          <w:szCs w:val="24"/>
        </w:rPr>
      </w:pPr>
      <w:r w:rsidRPr="00AA10A8">
        <w:rPr>
          <w:b/>
          <w:iCs/>
          <w:noProof/>
          <w:sz w:val="24"/>
          <w:szCs w:val="24"/>
        </w:rPr>
        <w:t>Administration</w:t>
      </w:r>
    </w:p>
    <w:p w:rsidR="004475DF" w:rsidRPr="007459E2" w:rsidRDefault="00332920" w:rsidP="004475DF">
      <w:pPr>
        <w:ind w:left="851"/>
        <w:rPr>
          <w:noProof/>
          <w:sz w:val="24"/>
          <w:szCs w:val="24"/>
        </w:rPr>
      </w:pPr>
      <w:r>
        <w:rPr>
          <w:noProof/>
          <w:sz w:val="24"/>
          <w:szCs w:val="24"/>
        </w:rPr>
        <w:t>Tacronova</w:t>
      </w:r>
      <w:r w:rsidR="004475DF" w:rsidRPr="007459E2">
        <w:rPr>
          <w:noProof/>
          <w:sz w:val="24"/>
          <w:szCs w:val="24"/>
        </w:rPr>
        <w:t xml:space="preserve"> salve skal påsmøres i et tyndt lag på det afficerede eller sædvanligvis afficerede hudområde. </w:t>
      </w:r>
      <w:r>
        <w:rPr>
          <w:noProof/>
          <w:sz w:val="24"/>
          <w:szCs w:val="24"/>
        </w:rPr>
        <w:t>Tacronova</w:t>
      </w:r>
      <w:r w:rsidR="004475DF" w:rsidRPr="007459E2">
        <w:rPr>
          <w:noProof/>
          <w:sz w:val="24"/>
          <w:szCs w:val="24"/>
        </w:rPr>
        <w:t xml:space="preserve"> salve kan benyttes overalt på kroppen, inklusive ansigt, hals og ekstremiteternes fleksurarealer men ikke på slimhinder. </w:t>
      </w:r>
      <w:r>
        <w:rPr>
          <w:noProof/>
          <w:sz w:val="24"/>
          <w:szCs w:val="24"/>
        </w:rPr>
        <w:t>Tacronova</w:t>
      </w:r>
      <w:r w:rsidR="004475DF" w:rsidRPr="007459E2">
        <w:rPr>
          <w:noProof/>
          <w:sz w:val="24"/>
          <w:szCs w:val="24"/>
        </w:rPr>
        <w:t xml:space="preserve"> salve må ikke benyttes under okklusion, da denne administrationsmåde ikke er undersøgt hos patienter (se pkt. 4.4).</w:t>
      </w:r>
    </w:p>
    <w:p w:rsidR="004475DF" w:rsidRPr="007459E2" w:rsidRDefault="004475DF" w:rsidP="004475DF">
      <w:pPr>
        <w:ind w:left="851"/>
        <w:rPr>
          <w:rFonts w:eastAsia="Calibri"/>
          <w:sz w:val="24"/>
          <w:szCs w:val="24"/>
        </w:rPr>
      </w:pPr>
      <w:r w:rsidRPr="007459E2">
        <w:rPr>
          <w:rFonts w:eastAsia="Calibri"/>
          <w:sz w:val="24"/>
          <w:szCs w:val="24"/>
        </w:rPr>
        <w:t>Patienter bør rådes til ikke bade eller svømme umiddelbart efter påsmøring af salven; vand kan vaske medicinen væk.</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4.3</w:t>
      </w:r>
      <w:r w:rsidRPr="007459E2">
        <w:rPr>
          <w:b/>
          <w:sz w:val="24"/>
          <w:szCs w:val="24"/>
        </w:rPr>
        <w:tab/>
        <w:t>Kontraindikationer</w:t>
      </w:r>
    </w:p>
    <w:p w:rsidR="004475DF" w:rsidRPr="007459E2" w:rsidRDefault="004475DF" w:rsidP="004475DF">
      <w:pPr>
        <w:ind w:left="851"/>
        <w:rPr>
          <w:sz w:val="24"/>
          <w:szCs w:val="24"/>
        </w:rPr>
      </w:pPr>
      <w:r w:rsidRPr="007459E2">
        <w:rPr>
          <w:sz w:val="24"/>
          <w:szCs w:val="24"/>
        </w:rPr>
        <w:t>Overfølsomhed over for det aktive stof, over for makrolider generelt eller over for et eller flere af hjælpestofferne anført i pkt. 6.1.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4.4</w:t>
      </w:r>
      <w:r w:rsidRPr="007459E2">
        <w:rPr>
          <w:b/>
          <w:sz w:val="24"/>
          <w:szCs w:val="24"/>
        </w:rPr>
        <w:tab/>
        <w:t>Særlige advarsler og forsigtighedsregler vedrørende brugen</w:t>
      </w:r>
    </w:p>
    <w:p w:rsidR="004475DF" w:rsidRPr="007459E2" w:rsidRDefault="004475DF" w:rsidP="004475DF">
      <w:pPr>
        <w:ind w:left="851"/>
        <w:rPr>
          <w:sz w:val="24"/>
          <w:szCs w:val="24"/>
        </w:rPr>
      </w:pPr>
      <w:r w:rsidRPr="007459E2">
        <w:rPr>
          <w:sz w:val="24"/>
          <w:szCs w:val="24"/>
        </w:rPr>
        <w:t xml:space="preserve">Under behandling med </w:t>
      </w:r>
      <w:proofErr w:type="spellStart"/>
      <w:r w:rsidR="00332920">
        <w:rPr>
          <w:sz w:val="24"/>
          <w:szCs w:val="24"/>
        </w:rPr>
        <w:t>Tacronova</w:t>
      </w:r>
      <w:proofErr w:type="spellEnd"/>
      <w:r w:rsidRPr="007459E2">
        <w:rPr>
          <w:sz w:val="24"/>
          <w:szCs w:val="24"/>
        </w:rPr>
        <w:t xml:space="preserve"> skal hudens eksponering for sollys minimeres og ultraviolet (UV) lys fra et solarium samt behandling med UVB eller UVA i kombination med </w:t>
      </w:r>
      <w:proofErr w:type="spellStart"/>
      <w:r w:rsidRPr="007459E2">
        <w:rPr>
          <w:sz w:val="24"/>
          <w:szCs w:val="24"/>
        </w:rPr>
        <w:t>psoralener</w:t>
      </w:r>
      <w:proofErr w:type="spellEnd"/>
      <w:r w:rsidRPr="007459E2">
        <w:rPr>
          <w:sz w:val="24"/>
          <w:szCs w:val="24"/>
        </w:rPr>
        <w:t xml:space="preserve"> (PUVA) undgås (se pkt. 5.3). Lægen bør informere patienterne om egnede solbeskyttelsesmetoder, som f.eks. minimering af den tid, der tilbringes i solen, brug af solbeskyttende cremer samt tildækning af huden med passende beklædning. </w:t>
      </w:r>
      <w:proofErr w:type="spellStart"/>
      <w:r w:rsidR="00332920">
        <w:rPr>
          <w:sz w:val="24"/>
          <w:szCs w:val="24"/>
        </w:rPr>
        <w:t>Tacronova</w:t>
      </w:r>
      <w:proofErr w:type="spellEnd"/>
      <w:r w:rsidRPr="007459E2">
        <w:rPr>
          <w:sz w:val="24"/>
          <w:szCs w:val="24"/>
        </w:rPr>
        <w:t xml:space="preserve"> salve må ikke anvendes på læsioner, som bedømmes til at være potentielt maligne eller præmaligne.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Enhver forandring i huden på behandlingsområdet, som er forskellig fra tidligere eksem skal undersøges af en læge.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Det kan ikke anbefales at anvende </w:t>
      </w:r>
      <w:proofErr w:type="spellStart"/>
      <w:r w:rsidRPr="007459E2">
        <w:rPr>
          <w:sz w:val="24"/>
          <w:szCs w:val="24"/>
        </w:rPr>
        <w:t>tacrolimus</w:t>
      </w:r>
      <w:proofErr w:type="spellEnd"/>
      <w:r w:rsidRPr="007459E2">
        <w:rPr>
          <w:sz w:val="24"/>
          <w:szCs w:val="24"/>
        </w:rPr>
        <w:t xml:space="preserve">-salve til patienter med defekt hudbarriere såsom </w:t>
      </w:r>
      <w:proofErr w:type="spellStart"/>
      <w:r w:rsidRPr="007459E2">
        <w:rPr>
          <w:sz w:val="24"/>
          <w:szCs w:val="24"/>
        </w:rPr>
        <w:t>Nethertons</w:t>
      </w:r>
      <w:proofErr w:type="spellEnd"/>
      <w:r w:rsidRPr="007459E2">
        <w:rPr>
          <w:sz w:val="24"/>
          <w:szCs w:val="24"/>
        </w:rPr>
        <w:t xml:space="preserve"> syndrom, lamelløs </w:t>
      </w:r>
      <w:proofErr w:type="spellStart"/>
      <w:r w:rsidRPr="007459E2">
        <w:rPr>
          <w:sz w:val="24"/>
          <w:szCs w:val="24"/>
        </w:rPr>
        <w:t>iktyose</w:t>
      </w:r>
      <w:proofErr w:type="spellEnd"/>
      <w:r w:rsidRPr="007459E2">
        <w:rPr>
          <w:sz w:val="24"/>
          <w:szCs w:val="24"/>
        </w:rPr>
        <w:t xml:space="preserve">, generaliseret </w:t>
      </w:r>
      <w:proofErr w:type="spellStart"/>
      <w:r w:rsidRPr="007459E2">
        <w:rPr>
          <w:sz w:val="24"/>
          <w:szCs w:val="24"/>
        </w:rPr>
        <w:t>erytroderma</w:t>
      </w:r>
      <w:proofErr w:type="spellEnd"/>
      <w:r w:rsidRPr="007459E2">
        <w:rPr>
          <w:sz w:val="24"/>
          <w:szCs w:val="24"/>
        </w:rPr>
        <w:t xml:space="preserve"> eller </w:t>
      </w:r>
      <w:proofErr w:type="spellStart"/>
      <w:r w:rsidRPr="007459E2">
        <w:rPr>
          <w:sz w:val="24"/>
          <w:szCs w:val="24"/>
        </w:rPr>
        <w:t>kutan</w:t>
      </w:r>
      <w:proofErr w:type="spellEnd"/>
      <w:r w:rsidRPr="007459E2">
        <w:rPr>
          <w:sz w:val="24"/>
          <w:szCs w:val="24"/>
        </w:rPr>
        <w:t xml:space="preserve"> </w:t>
      </w:r>
      <w:r w:rsidRPr="007459E2">
        <w:rPr>
          <w:iCs/>
          <w:sz w:val="24"/>
          <w:szCs w:val="24"/>
        </w:rPr>
        <w:t>graft versus host-sygdom</w:t>
      </w:r>
      <w:r w:rsidRPr="007459E2">
        <w:rPr>
          <w:sz w:val="24"/>
          <w:szCs w:val="24"/>
        </w:rPr>
        <w:t xml:space="preserve">. Disse hudsygdomme kan øge den systemiske absorption af </w:t>
      </w:r>
      <w:proofErr w:type="spellStart"/>
      <w:r w:rsidRPr="007459E2">
        <w:rPr>
          <w:sz w:val="24"/>
          <w:szCs w:val="24"/>
        </w:rPr>
        <w:t>tacrolimus</w:t>
      </w:r>
      <w:proofErr w:type="spellEnd"/>
      <w:r w:rsidRPr="007459E2">
        <w:rPr>
          <w:sz w:val="24"/>
          <w:szCs w:val="24"/>
        </w:rPr>
        <w:t xml:space="preserve">. Oral indtagelse af </w:t>
      </w:r>
      <w:proofErr w:type="spellStart"/>
      <w:r w:rsidRPr="007459E2">
        <w:rPr>
          <w:sz w:val="24"/>
          <w:szCs w:val="24"/>
        </w:rPr>
        <w:t>tacrolimus</w:t>
      </w:r>
      <w:proofErr w:type="spellEnd"/>
      <w:r w:rsidRPr="007459E2">
        <w:rPr>
          <w:sz w:val="24"/>
          <w:szCs w:val="24"/>
        </w:rPr>
        <w:t xml:space="preserve"> anbefales heller ikke til behandling af disse hudsygdomme. Efter markedsføringen er der blevet rapporteret tilfælde med øget </w:t>
      </w:r>
      <w:proofErr w:type="spellStart"/>
      <w:r w:rsidRPr="007459E2">
        <w:rPr>
          <w:sz w:val="24"/>
          <w:szCs w:val="24"/>
        </w:rPr>
        <w:t>tacrolimus</w:t>
      </w:r>
      <w:proofErr w:type="spellEnd"/>
      <w:r w:rsidRPr="007459E2">
        <w:rPr>
          <w:sz w:val="24"/>
          <w:szCs w:val="24"/>
        </w:rPr>
        <w:t>-serumkoncentration hos patienter med disse hudsygdomme.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Der skal udvises forsigtighed, hvis </w:t>
      </w:r>
      <w:proofErr w:type="spellStart"/>
      <w:r w:rsidR="00332920">
        <w:rPr>
          <w:sz w:val="24"/>
          <w:szCs w:val="24"/>
        </w:rPr>
        <w:t>Tacronova</w:t>
      </w:r>
      <w:proofErr w:type="spellEnd"/>
      <w:r w:rsidRPr="007459E2">
        <w:rPr>
          <w:sz w:val="24"/>
          <w:szCs w:val="24"/>
        </w:rPr>
        <w:t xml:space="preserve"> anvendes til patienter som skal have et stort hudareal behandlet over en længere tidsperiode, især hvis det drejer sig om børn (se pkt. 4.2).</w:t>
      </w:r>
    </w:p>
    <w:p w:rsidR="004475DF" w:rsidRPr="007459E2" w:rsidRDefault="004475DF" w:rsidP="004475DF">
      <w:pPr>
        <w:ind w:left="851"/>
        <w:rPr>
          <w:sz w:val="24"/>
          <w:szCs w:val="24"/>
        </w:rPr>
      </w:pPr>
      <w:r w:rsidRPr="007459E2">
        <w:rPr>
          <w:sz w:val="24"/>
          <w:szCs w:val="24"/>
        </w:rPr>
        <w:t xml:space="preserve">Patienterne, specielt børn, bør løbende evalueres under behandlingen med </w:t>
      </w:r>
      <w:proofErr w:type="spellStart"/>
      <w:r w:rsidR="00332920">
        <w:rPr>
          <w:sz w:val="24"/>
          <w:szCs w:val="24"/>
        </w:rPr>
        <w:t>Tacronova</w:t>
      </w:r>
      <w:proofErr w:type="spellEnd"/>
      <w:r w:rsidRPr="007459E2">
        <w:rPr>
          <w:sz w:val="24"/>
          <w:szCs w:val="24"/>
        </w:rPr>
        <w:t xml:space="preserve"> med hensyn til behandlingsrespons og behovet for fortsat behandling. Efter 12 måneders behandling bør denne evaluering indbefatte </w:t>
      </w:r>
      <w:proofErr w:type="spellStart"/>
      <w:r w:rsidRPr="007459E2">
        <w:rPr>
          <w:sz w:val="24"/>
          <w:szCs w:val="24"/>
        </w:rPr>
        <w:t>seponering</w:t>
      </w:r>
      <w:proofErr w:type="spellEnd"/>
      <w:r w:rsidRPr="007459E2">
        <w:rPr>
          <w:sz w:val="24"/>
          <w:szCs w:val="24"/>
        </w:rPr>
        <w:t xml:space="preserve"> af </w:t>
      </w:r>
      <w:proofErr w:type="spellStart"/>
      <w:r w:rsidR="00332920">
        <w:rPr>
          <w:sz w:val="24"/>
          <w:szCs w:val="24"/>
        </w:rPr>
        <w:t>Tacronova</w:t>
      </w:r>
      <w:proofErr w:type="spellEnd"/>
      <w:r w:rsidRPr="007459E2">
        <w:rPr>
          <w:sz w:val="24"/>
          <w:szCs w:val="24"/>
        </w:rPr>
        <w:t>-behandlingen hos børn (se pkt. 4.2).</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lastRenderedPageBreak/>
        <w:t xml:space="preserve">Der er risiko for lokal, </w:t>
      </w:r>
      <w:proofErr w:type="spellStart"/>
      <w:r w:rsidRPr="007459E2">
        <w:rPr>
          <w:sz w:val="24"/>
          <w:szCs w:val="24"/>
        </w:rPr>
        <w:t>kutan</w:t>
      </w:r>
      <w:proofErr w:type="spellEnd"/>
      <w:r w:rsidRPr="007459E2">
        <w:rPr>
          <w:sz w:val="24"/>
          <w:szCs w:val="24"/>
        </w:rPr>
        <w:t xml:space="preserve"> immunsuppression, som kan være årsagen til den øgede forekomst af bakterie- og virusinfektioner i huden og de indberettede tilfælde af maligne hudlidelser i forbindelse med behandling med </w:t>
      </w:r>
      <w:proofErr w:type="spellStart"/>
      <w:r w:rsidRPr="007459E2">
        <w:rPr>
          <w:sz w:val="24"/>
          <w:szCs w:val="24"/>
        </w:rPr>
        <w:t>tacrolimus</w:t>
      </w:r>
      <w:proofErr w:type="spellEnd"/>
      <w:r w:rsidRPr="007459E2">
        <w:rPr>
          <w:sz w:val="24"/>
          <w:szCs w:val="24"/>
        </w:rPr>
        <w:t>-salve (se pkt. 5.1). Den ordinerende læge skal være opmærksom på dette og anvende en behandlingsstrategi, der minimerer denne risiko, herunder brug af den laveste styrke, påsmøringshyppighed og behandlingsvarighed, hvormed symptomerne kan kontrolleres.</w:t>
      </w:r>
    </w:p>
    <w:p w:rsidR="004475DF" w:rsidRPr="007459E2" w:rsidRDefault="004475DF" w:rsidP="004475DF">
      <w:pPr>
        <w:ind w:left="851" w:hanging="851"/>
        <w:rPr>
          <w:sz w:val="24"/>
          <w:szCs w:val="24"/>
        </w:rPr>
      </w:pPr>
    </w:p>
    <w:p w:rsidR="004475DF" w:rsidRPr="007459E2" w:rsidRDefault="00332920" w:rsidP="004475DF">
      <w:pPr>
        <w:ind w:left="851"/>
        <w:rPr>
          <w:sz w:val="24"/>
          <w:szCs w:val="24"/>
        </w:rPr>
      </w:pPr>
      <w:proofErr w:type="spellStart"/>
      <w:r>
        <w:rPr>
          <w:sz w:val="24"/>
          <w:szCs w:val="24"/>
        </w:rPr>
        <w:t>Tacronova</w:t>
      </w:r>
      <w:proofErr w:type="spellEnd"/>
      <w:r w:rsidR="004475DF" w:rsidRPr="007459E2">
        <w:rPr>
          <w:sz w:val="24"/>
          <w:szCs w:val="24"/>
        </w:rPr>
        <w:t xml:space="preserve"> indeholder den aktive substans </w:t>
      </w:r>
      <w:proofErr w:type="spellStart"/>
      <w:r w:rsidR="004475DF" w:rsidRPr="007459E2">
        <w:rPr>
          <w:sz w:val="24"/>
          <w:szCs w:val="24"/>
        </w:rPr>
        <w:t>tacrolimus</w:t>
      </w:r>
      <w:proofErr w:type="spellEnd"/>
      <w:r w:rsidR="004475DF" w:rsidRPr="007459E2">
        <w:rPr>
          <w:sz w:val="24"/>
          <w:szCs w:val="24"/>
        </w:rPr>
        <w:t xml:space="preserve">, som er en </w:t>
      </w:r>
      <w:proofErr w:type="spellStart"/>
      <w:r w:rsidR="004475DF" w:rsidRPr="007459E2">
        <w:rPr>
          <w:sz w:val="24"/>
          <w:szCs w:val="24"/>
        </w:rPr>
        <w:t>calcineurinhæmmer</w:t>
      </w:r>
      <w:proofErr w:type="spellEnd"/>
      <w:r w:rsidR="004475DF" w:rsidRPr="007459E2">
        <w:rPr>
          <w:sz w:val="24"/>
          <w:szCs w:val="24"/>
        </w:rPr>
        <w:t xml:space="preserve">. Hos transplantationspatienter er langvarig systemisk og intens immunsuppression efter systemisk administration af </w:t>
      </w:r>
      <w:proofErr w:type="spellStart"/>
      <w:r w:rsidR="004475DF" w:rsidRPr="007459E2">
        <w:rPr>
          <w:sz w:val="24"/>
          <w:szCs w:val="24"/>
        </w:rPr>
        <w:t>calcineurinhæmmere</w:t>
      </w:r>
      <w:proofErr w:type="spellEnd"/>
      <w:r w:rsidR="004475DF" w:rsidRPr="007459E2">
        <w:rPr>
          <w:sz w:val="24"/>
          <w:szCs w:val="24"/>
        </w:rPr>
        <w:t xml:space="preserve"> associeret med en øget risiko for udvikling af </w:t>
      </w:r>
      <w:proofErr w:type="spellStart"/>
      <w:r w:rsidR="004475DF" w:rsidRPr="007459E2">
        <w:rPr>
          <w:sz w:val="24"/>
          <w:szCs w:val="24"/>
        </w:rPr>
        <w:t>lymfomer</w:t>
      </w:r>
      <w:proofErr w:type="spellEnd"/>
      <w:r w:rsidR="004475DF" w:rsidRPr="007459E2">
        <w:rPr>
          <w:sz w:val="24"/>
          <w:szCs w:val="24"/>
        </w:rPr>
        <w:t xml:space="preserve"> og </w:t>
      </w:r>
      <w:proofErr w:type="spellStart"/>
      <w:r w:rsidR="004475DF" w:rsidRPr="007459E2">
        <w:rPr>
          <w:sz w:val="24"/>
          <w:szCs w:val="24"/>
        </w:rPr>
        <w:t>hudmaligniteter</w:t>
      </w:r>
      <w:proofErr w:type="spellEnd"/>
      <w:r w:rsidR="004475DF" w:rsidRPr="007459E2">
        <w:rPr>
          <w:sz w:val="24"/>
          <w:szCs w:val="24"/>
        </w:rPr>
        <w:t xml:space="preserve">. Der er rapporteret tilfælde af </w:t>
      </w:r>
      <w:proofErr w:type="spellStart"/>
      <w:r w:rsidR="004475DF" w:rsidRPr="007459E2">
        <w:rPr>
          <w:sz w:val="24"/>
          <w:szCs w:val="24"/>
        </w:rPr>
        <w:t>maligniteter</w:t>
      </w:r>
      <w:proofErr w:type="spellEnd"/>
      <w:r w:rsidR="004475DF" w:rsidRPr="007459E2">
        <w:rPr>
          <w:sz w:val="24"/>
          <w:szCs w:val="24"/>
        </w:rPr>
        <w:t xml:space="preserve">, inkl. </w:t>
      </w:r>
      <w:proofErr w:type="spellStart"/>
      <w:r w:rsidR="004475DF" w:rsidRPr="007459E2">
        <w:rPr>
          <w:sz w:val="24"/>
          <w:szCs w:val="24"/>
        </w:rPr>
        <w:t>kutane</w:t>
      </w:r>
      <w:proofErr w:type="spellEnd"/>
      <w:r w:rsidR="004475DF" w:rsidRPr="007459E2">
        <w:rPr>
          <w:sz w:val="24"/>
          <w:szCs w:val="24"/>
        </w:rPr>
        <w:t xml:space="preserve"> (f.eks. </w:t>
      </w:r>
      <w:proofErr w:type="spellStart"/>
      <w:r w:rsidR="004475DF" w:rsidRPr="007459E2">
        <w:rPr>
          <w:sz w:val="24"/>
          <w:szCs w:val="24"/>
        </w:rPr>
        <w:t>kutan</w:t>
      </w:r>
      <w:proofErr w:type="spellEnd"/>
      <w:r w:rsidR="004475DF" w:rsidRPr="007459E2">
        <w:rPr>
          <w:sz w:val="24"/>
          <w:szCs w:val="24"/>
        </w:rPr>
        <w:t xml:space="preserve"> T-celle </w:t>
      </w:r>
      <w:proofErr w:type="spellStart"/>
      <w:r w:rsidR="004475DF" w:rsidRPr="007459E2">
        <w:rPr>
          <w:sz w:val="24"/>
          <w:szCs w:val="24"/>
        </w:rPr>
        <w:t>lymfom</w:t>
      </w:r>
      <w:proofErr w:type="spellEnd"/>
      <w:r w:rsidR="004475DF" w:rsidRPr="007459E2">
        <w:rPr>
          <w:sz w:val="24"/>
          <w:szCs w:val="24"/>
        </w:rPr>
        <w:t xml:space="preserve">) og andre typer </w:t>
      </w:r>
      <w:proofErr w:type="spellStart"/>
      <w:r w:rsidR="004475DF" w:rsidRPr="007459E2">
        <w:rPr>
          <w:sz w:val="24"/>
          <w:szCs w:val="24"/>
        </w:rPr>
        <w:t>lymfomer</w:t>
      </w:r>
      <w:proofErr w:type="spellEnd"/>
      <w:r w:rsidR="004475DF" w:rsidRPr="007459E2">
        <w:rPr>
          <w:sz w:val="24"/>
          <w:szCs w:val="24"/>
        </w:rPr>
        <w:t xml:space="preserve"> og hudkræft hos patienter, som bruger </w:t>
      </w:r>
      <w:proofErr w:type="spellStart"/>
      <w:r w:rsidR="004475DF" w:rsidRPr="007459E2">
        <w:rPr>
          <w:sz w:val="24"/>
          <w:szCs w:val="24"/>
        </w:rPr>
        <w:t>tacrolimus</w:t>
      </w:r>
      <w:proofErr w:type="spellEnd"/>
      <w:r w:rsidR="004475DF" w:rsidRPr="007459E2">
        <w:rPr>
          <w:sz w:val="24"/>
          <w:szCs w:val="24"/>
        </w:rPr>
        <w:t xml:space="preserve">-salve (se pkt. 4.8). </w:t>
      </w:r>
      <w:proofErr w:type="spellStart"/>
      <w:r>
        <w:rPr>
          <w:sz w:val="24"/>
          <w:szCs w:val="24"/>
        </w:rPr>
        <w:t>Tacronova</w:t>
      </w:r>
      <w:proofErr w:type="spellEnd"/>
      <w:r w:rsidR="004475DF" w:rsidRPr="007459E2">
        <w:rPr>
          <w:sz w:val="24"/>
          <w:szCs w:val="24"/>
        </w:rPr>
        <w:t xml:space="preserve"> bør ikke anvendes til patienter med medfødt eller erhvervet immundefekt eller til patienter i behandling med lægemidler, som forårsager immunsuppression.</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w:t>
      </w:r>
      <w:proofErr w:type="spellEnd"/>
      <w:r w:rsidRPr="007459E2">
        <w:rPr>
          <w:sz w:val="24"/>
          <w:szCs w:val="24"/>
        </w:rPr>
        <w:t xml:space="preserve"> behandlet med </w:t>
      </w:r>
      <w:proofErr w:type="spellStart"/>
      <w:r w:rsidRPr="007459E2">
        <w:rPr>
          <w:sz w:val="24"/>
          <w:szCs w:val="24"/>
        </w:rPr>
        <w:t>tacrolimus</w:t>
      </w:r>
      <w:proofErr w:type="spellEnd"/>
      <w:r w:rsidRPr="007459E2">
        <w:rPr>
          <w:sz w:val="24"/>
          <w:szCs w:val="24"/>
        </w:rPr>
        <w:t xml:space="preserve"> er ikke set at have signifikante systemiske </w:t>
      </w:r>
      <w:proofErr w:type="spellStart"/>
      <w:r w:rsidRPr="007459E2">
        <w:rPr>
          <w:sz w:val="24"/>
          <w:szCs w:val="24"/>
        </w:rPr>
        <w:t>tacrolimusniveauer</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Lymfadenopati</w:t>
      </w:r>
      <w:proofErr w:type="spellEnd"/>
      <w:r w:rsidRPr="007459E2">
        <w:rPr>
          <w:sz w:val="24"/>
          <w:szCs w:val="24"/>
        </w:rPr>
        <w:t xml:space="preserve"> er i sjældne tilfælde (0,8 %) set i kliniske afprøvninger. Flertallet af disse har været relateret til infektioner (hud, luftveje, tænder) og svandt ved behandling med antibiotika. Transplanterede patienter, der får immunsuppressiv behandling (f.eks. systemisk </w:t>
      </w:r>
      <w:proofErr w:type="spellStart"/>
      <w:r w:rsidRPr="007459E2">
        <w:rPr>
          <w:sz w:val="24"/>
          <w:szCs w:val="24"/>
        </w:rPr>
        <w:t>tacrolimus</w:t>
      </w:r>
      <w:proofErr w:type="spellEnd"/>
      <w:r w:rsidRPr="007459E2">
        <w:rPr>
          <w:sz w:val="24"/>
          <w:szCs w:val="24"/>
        </w:rPr>
        <w:t xml:space="preserve">) har en øget risiko for at udvikle </w:t>
      </w:r>
      <w:proofErr w:type="spellStart"/>
      <w:r w:rsidRPr="007459E2">
        <w:rPr>
          <w:sz w:val="24"/>
          <w:szCs w:val="24"/>
        </w:rPr>
        <w:t>lymfomer</w:t>
      </w:r>
      <w:proofErr w:type="spellEnd"/>
      <w:r w:rsidRPr="007459E2">
        <w:rPr>
          <w:sz w:val="24"/>
          <w:szCs w:val="24"/>
        </w:rPr>
        <w:t xml:space="preserve">, hvorfor patienter, der behandles med </w:t>
      </w:r>
      <w:proofErr w:type="spellStart"/>
      <w:r w:rsidR="00332920">
        <w:rPr>
          <w:sz w:val="24"/>
          <w:szCs w:val="24"/>
        </w:rPr>
        <w:t>Tacronova</w:t>
      </w:r>
      <w:proofErr w:type="spellEnd"/>
      <w:r w:rsidRPr="007459E2">
        <w:rPr>
          <w:sz w:val="24"/>
          <w:szCs w:val="24"/>
        </w:rPr>
        <w:t xml:space="preserve"> og udvikle </w:t>
      </w:r>
      <w:proofErr w:type="spellStart"/>
      <w:r w:rsidRPr="007459E2">
        <w:rPr>
          <w:sz w:val="24"/>
          <w:szCs w:val="24"/>
        </w:rPr>
        <w:t>lymfadenopati</w:t>
      </w:r>
      <w:proofErr w:type="spellEnd"/>
      <w:r w:rsidRPr="007459E2">
        <w:rPr>
          <w:sz w:val="24"/>
          <w:szCs w:val="24"/>
        </w:rPr>
        <w:t xml:space="preserve">, bør følges nøje for at sikre, at </w:t>
      </w:r>
      <w:proofErr w:type="spellStart"/>
      <w:r w:rsidRPr="007459E2">
        <w:rPr>
          <w:sz w:val="24"/>
          <w:szCs w:val="24"/>
        </w:rPr>
        <w:t>lymfadenopatien</w:t>
      </w:r>
      <w:proofErr w:type="spellEnd"/>
      <w:r w:rsidRPr="007459E2">
        <w:rPr>
          <w:sz w:val="24"/>
          <w:szCs w:val="24"/>
        </w:rPr>
        <w:t xml:space="preserve"> helbredes. </w:t>
      </w:r>
      <w:proofErr w:type="spellStart"/>
      <w:r w:rsidRPr="007459E2">
        <w:rPr>
          <w:sz w:val="24"/>
          <w:szCs w:val="24"/>
        </w:rPr>
        <w:t>Lymfadenopati</w:t>
      </w:r>
      <w:proofErr w:type="spellEnd"/>
      <w:r w:rsidRPr="007459E2">
        <w:rPr>
          <w:sz w:val="24"/>
          <w:szCs w:val="24"/>
        </w:rPr>
        <w:t xml:space="preserve"> som er kendt ved initiering af behandlingen, skal undersøges og holdes under observation. I tilfælde af persisterende </w:t>
      </w:r>
      <w:proofErr w:type="spellStart"/>
      <w:r w:rsidRPr="007459E2">
        <w:rPr>
          <w:sz w:val="24"/>
          <w:szCs w:val="24"/>
        </w:rPr>
        <w:t>lymfadenopati</w:t>
      </w:r>
      <w:proofErr w:type="spellEnd"/>
      <w:r w:rsidRPr="007459E2">
        <w:rPr>
          <w:sz w:val="24"/>
          <w:szCs w:val="24"/>
        </w:rPr>
        <w:t xml:space="preserve"> bør man forsøge at klarlægge </w:t>
      </w:r>
      <w:proofErr w:type="spellStart"/>
      <w:r w:rsidRPr="007459E2">
        <w:rPr>
          <w:sz w:val="24"/>
          <w:szCs w:val="24"/>
        </w:rPr>
        <w:t>lymfadenopatiens</w:t>
      </w:r>
      <w:proofErr w:type="spellEnd"/>
      <w:r w:rsidRPr="007459E2">
        <w:rPr>
          <w:sz w:val="24"/>
          <w:szCs w:val="24"/>
        </w:rPr>
        <w:t xml:space="preserve"> ætiologi. Hvis man ikke kan finde en klar årsag til </w:t>
      </w:r>
      <w:proofErr w:type="spellStart"/>
      <w:r w:rsidRPr="007459E2">
        <w:rPr>
          <w:sz w:val="24"/>
          <w:szCs w:val="24"/>
        </w:rPr>
        <w:t>lymfadenopatien</w:t>
      </w:r>
      <w:proofErr w:type="spellEnd"/>
      <w:r w:rsidRPr="007459E2">
        <w:rPr>
          <w:sz w:val="24"/>
          <w:szCs w:val="24"/>
        </w:rPr>
        <w:t xml:space="preserve">, eller i tilfælde af akut infektiøs </w:t>
      </w:r>
      <w:proofErr w:type="spellStart"/>
      <w:r w:rsidRPr="007459E2">
        <w:rPr>
          <w:sz w:val="24"/>
          <w:szCs w:val="24"/>
        </w:rPr>
        <w:t>mononucleose</w:t>
      </w:r>
      <w:proofErr w:type="spellEnd"/>
      <w:r w:rsidRPr="007459E2">
        <w:rPr>
          <w:sz w:val="24"/>
          <w:szCs w:val="24"/>
        </w:rPr>
        <w:t xml:space="preserve"> bør det overvejes at seponere behandlingen med </w:t>
      </w:r>
      <w:proofErr w:type="spellStart"/>
      <w:r w:rsidR="00332920">
        <w:rPr>
          <w:sz w:val="24"/>
          <w:szCs w:val="24"/>
        </w:rPr>
        <w:t>Tacronova</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xml:space="preserve">-salve er ikke blevet afprøvet for virkning og sikkerhed ved behandling af klinisk inficeret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Før man starter behandling med </w:t>
      </w:r>
      <w:proofErr w:type="spellStart"/>
      <w:r w:rsidR="00332920">
        <w:rPr>
          <w:sz w:val="24"/>
          <w:szCs w:val="24"/>
        </w:rPr>
        <w:t>Tacronova</w:t>
      </w:r>
      <w:proofErr w:type="spellEnd"/>
      <w:r w:rsidRPr="007459E2">
        <w:rPr>
          <w:sz w:val="24"/>
          <w:szCs w:val="24"/>
        </w:rPr>
        <w:t xml:space="preserve"> salve, skal alle områder med klinisk inficeret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være helede.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prædisponerede for </w:t>
      </w:r>
      <w:proofErr w:type="spellStart"/>
      <w:r w:rsidRPr="007459E2">
        <w:rPr>
          <w:sz w:val="24"/>
          <w:szCs w:val="24"/>
        </w:rPr>
        <w:t>superficielle</w:t>
      </w:r>
      <w:proofErr w:type="spellEnd"/>
      <w:r w:rsidRPr="007459E2">
        <w:rPr>
          <w:sz w:val="24"/>
          <w:szCs w:val="24"/>
        </w:rPr>
        <w:t xml:space="preserve"> hudinfektioner. Behandling med </w:t>
      </w:r>
      <w:proofErr w:type="spellStart"/>
      <w:r w:rsidR="00332920">
        <w:rPr>
          <w:sz w:val="24"/>
          <w:szCs w:val="24"/>
        </w:rPr>
        <w:t>Tacronova</w:t>
      </w:r>
      <w:proofErr w:type="spellEnd"/>
      <w:r w:rsidRPr="007459E2">
        <w:rPr>
          <w:sz w:val="24"/>
          <w:szCs w:val="24"/>
        </w:rPr>
        <w:t xml:space="preserve"> kan øge risikoen for </w:t>
      </w:r>
      <w:proofErr w:type="spellStart"/>
      <w:r w:rsidRPr="007459E2">
        <w:rPr>
          <w:sz w:val="24"/>
          <w:szCs w:val="24"/>
        </w:rPr>
        <w:t>follikulitis</w:t>
      </w:r>
      <w:proofErr w:type="spellEnd"/>
      <w:r w:rsidRPr="007459E2">
        <w:rPr>
          <w:sz w:val="24"/>
          <w:szCs w:val="24"/>
        </w:rPr>
        <w:t xml:space="preserve"> og infektion med herpes virus (herpes </w:t>
      </w:r>
      <w:proofErr w:type="spellStart"/>
      <w:r w:rsidRPr="007459E2">
        <w:rPr>
          <w:sz w:val="24"/>
          <w:szCs w:val="24"/>
        </w:rPr>
        <w:t>simplex</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w:t>
      </w:r>
      <w:proofErr w:type="spellStart"/>
      <w:r w:rsidRPr="007459E2">
        <w:rPr>
          <w:sz w:val="24"/>
          <w:szCs w:val="24"/>
        </w:rPr>
        <w:t>eczema</w:t>
      </w:r>
      <w:proofErr w:type="spellEnd"/>
      <w:r w:rsidRPr="007459E2">
        <w:rPr>
          <w:sz w:val="24"/>
          <w:szCs w:val="24"/>
        </w:rPr>
        <w:t xml:space="preserve"> </w:t>
      </w:r>
      <w:proofErr w:type="spellStart"/>
      <w:r w:rsidRPr="007459E2">
        <w:rPr>
          <w:sz w:val="24"/>
          <w:szCs w:val="24"/>
        </w:rPr>
        <w:t>herpeticum</w:t>
      </w:r>
      <w:proofErr w:type="spellEnd"/>
      <w:r w:rsidRPr="007459E2">
        <w:rPr>
          <w:sz w:val="24"/>
          <w:szCs w:val="24"/>
        </w:rPr>
        <w:t xml:space="preserve">], herpes </w:t>
      </w:r>
      <w:proofErr w:type="spellStart"/>
      <w:r w:rsidRPr="007459E2">
        <w:rPr>
          <w:sz w:val="24"/>
          <w:szCs w:val="24"/>
        </w:rPr>
        <w:t>simplex</w:t>
      </w:r>
      <w:proofErr w:type="spellEnd"/>
      <w:r w:rsidRPr="007459E2">
        <w:rPr>
          <w:sz w:val="24"/>
          <w:szCs w:val="24"/>
        </w:rPr>
        <w:t xml:space="preserve"> [forkølelsessår], </w:t>
      </w:r>
      <w:proofErr w:type="spellStart"/>
      <w:r w:rsidRPr="007459E2">
        <w:rPr>
          <w:sz w:val="24"/>
          <w:szCs w:val="24"/>
        </w:rPr>
        <w:t>Kaposis</w:t>
      </w:r>
      <w:proofErr w:type="spellEnd"/>
      <w:r w:rsidRPr="007459E2">
        <w:rPr>
          <w:sz w:val="24"/>
          <w:szCs w:val="24"/>
        </w:rPr>
        <w:t xml:space="preserve"> </w:t>
      </w:r>
      <w:proofErr w:type="spellStart"/>
      <w:r w:rsidRPr="007459E2">
        <w:rPr>
          <w:sz w:val="24"/>
          <w:szCs w:val="24"/>
        </w:rPr>
        <w:t>varicelliforme</w:t>
      </w:r>
      <w:proofErr w:type="spellEnd"/>
      <w:r w:rsidRPr="007459E2">
        <w:rPr>
          <w:sz w:val="24"/>
          <w:szCs w:val="24"/>
        </w:rPr>
        <w:t xml:space="preserve"> eruption) (se pkt. 4.8). Man bør tage disse infektioner i betragtning når man vurderer risici og fordele ved </w:t>
      </w:r>
      <w:proofErr w:type="spellStart"/>
      <w:r w:rsidR="00332920">
        <w:rPr>
          <w:sz w:val="24"/>
          <w:szCs w:val="24"/>
        </w:rPr>
        <w:t>Tacronova</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Blødgørende cremer bør ikke benyttes på et behandlet hudområde fra 2 timer før til 2 timer efter påsmøring af </w:t>
      </w:r>
      <w:proofErr w:type="spellStart"/>
      <w:r w:rsidR="00332920">
        <w:rPr>
          <w:sz w:val="24"/>
          <w:szCs w:val="24"/>
        </w:rPr>
        <w:t>Tacronova</w:t>
      </w:r>
      <w:proofErr w:type="spellEnd"/>
      <w:r w:rsidRPr="007459E2">
        <w:rPr>
          <w:sz w:val="24"/>
          <w:szCs w:val="24"/>
        </w:rPr>
        <w:t xml:space="preserve"> salve. Samtidig behandling med andre hudmidler er ikke blevet undersøgt. Der er ingen erfaring med samtidig behandling med systemiske steroider eller immunsuppressive lægemidler.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Man skal undgå kontakt med øjne eller slimhinder. Hvis salven ved et uheld appliceres på disse områder, skal salven tørres grundigt af og/eller skylles af med vand.</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Brug af </w:t>
      </w:r>
      <w:proofErr w:type="spellStart"/>
      <w:r w:rsidRPr="007459E2">
        <w:rPr>
          <w:sz w:val="24"/>
          <w:szCs w:val="24"/>
        </w:rPr>
        <w:t>tacrolimus</w:t>
      </w:r>
      <w:proofErr w:type="spellEnd"/>
      <w:r w:rsidRPr="007459E2">
        <w:rPr>
          <w:sz w:val="24"/>
          <w:szCs w:val="24"/>
        </w:rPr>
        <w:t xml:space="preserve">-salve under </w:t>
      </w:r>
      <w:proofErr w:type="spellStart"/>
      <w:r w:rsidRPr="007459E2">
        <w:rPr>
          <w:sz w:val="24"/>
          <w:szCs w:val="24"/>
        </w:rPr>
        <w:t>okklusion</w:t>
      </w:r>
      <w:proofErr w:type="spellEnd"/>
      <w:r w:rsidRPr="007459E2">
        <w:rPr>
          <w:sz w:val="24"/>
          <w:szCs w:val="24"/>
        </w:rPr>
        <w:t xml:space="preserve"> er ikke undersøgt på patienter. </w:t>
      </w:r>
      <w:proofErr w:type="spellStart"/>
      <w:r w:rsidRPr="007459E2">
        <w:rPr>
          <w:sz w:val="24"/>
          <w:szCs w:val="24"/>
        </w:rPr>
        <w:t>Okklusionsforbinding</w:t>
      </w:r>
      <w:proofErr w:type="spellEnd"/>
      <w:r w:rsidRPr="007459E2">
        <w:rPr>
          <w:sz w:val="24"/>
          <w:szCs w:val="24"/>
        </w:rPr>
        <w:t xml:space="preserve"> anbefales ikke.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lastRenderedPageBreak/>
        <w:t>Som ved alle andre topiske lægemidler skal patienten vaske hænder efter påsmøring, med mindre man også ønsker at behandle hænderne.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xml:space="preserve"> </w:t>
      </w:r>
      <w:proofErr w:type="spellStart"/>
      <w:r w:rsidRPr="007459E2">
        <w:rPr>
          <w:sz w:val="24"/>
          <w:szCs w:val="24"/>
        </w:rPr>
        <w:t>metaboliseres</w:t>
      </w:r>
      <w:proofErr w:type="spellEnd"/>
      <w:r w:rsidRPr="007459E2">
        <w:rPr>
          <w:sz w:val="24"/>
          <w:szCs w:val="24"/>
        </w:rPr>
        <w:t xml:space="preserve"> i udstrakt grad i leveren, og selv om blodkoncentrationen er lav i forbindelse med lokalbehandling, skal der udvises forsigtighed ved brug af salven til patienter med leverinsufficiens (se pkt. 5.2).</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4.5</w:t>
      </w:r>
      <w:r w:rsidRPr="007459E2">
        <w:rPr>
          <w:b/>
          <w:sz w:val="24"/>
          <w:szCs w:val="24"/>
        </w:rPr>
        <w:tab/>
        <w:t>Interaktion med andre lægemidler og andre former for interaktion</w:t>
      </w:r>
    </w:p>
    <w:p w:rsidR="004475DF" w:rsidRPr="007459E2" w:rsidRDefault="004475DF" w:rsidP="004475DF">
      <w:pPr>
        <w:ind w:left="851"/>
        <w:rPr>
          <w:noProof/>
          <w:sz w:val="24"/>
          <w:szCs w:val="24"/>
        </w:rPr>
      </w:pPr>
      <w:r w:rsidRPr="007459E2">
        <w:rPr>
          <w:noProof/>
          <w:sz w:val="24"/>
          <w:szCs w:val="24"/>
        </w:rPr>
        <w:t>Der er ikke udført formelle lokale interaktionsstudier med tacrolimus-salve.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Da tacrolimus ikke metaboliseres i huden, er der intet potentiale for perkutane interaktioner, der ville kunne påvirke metabolismen af tacrolimus.</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Systemisk tilgængeligt tacrolimus metaboliseres via hepatisk Cytochrom P450 3A4 (CYP3A4). Den systemiske eksponering fra lokal anvendelse af tacrolimus er lav (&lt; 1,0 ng/ml) og påvirkes næppe ved samtidig brug af kendte inhibitorer of CYP3A4. Da muligheden for interaktioner imidlertid ikke helt kan udelukkes, bør samtidig administration af kendte CYP3A4 inhibitorer (f.eks. erythromycin, itraconazol, ketoconazol og diltiazem) til patienter med udbredte og/eller erythrodermiske lidelser ske med forsigtighed.</w:t>
      </w:r>
    </w:p>
    <w:p w:rsidR="004475DF" w:rsidRPr="007459E2" w:rsidRDefault="004475DF" w:rsidP="004475DF">
      <w:pPr>
        <w:ind w:left="851" w:hanging="851"/>
        <w:rPr>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Pædiatrisk population</w:t>
      </w:r>
    </w:p>
    <w:p w:rsidR="004475DF" w:rsidRPr="007459E2" w:rsidRDefault="004475DF" w:rsidP="004475DF">
      <w:pPr>
        <w:ind w:left="851"/>
        <w:rPr>
          <w:noProof/>
          <w:sz w:val="24"/>
          <w:szCs w:val="24"/>
        </w:rPr>
      </w:pPr>
      <w:r w:rsidRPr="007459E2">
        <w:rPr>
          <w:noProof/>
          <w:sz w:val="24"/>
          <w:szCs w:val="24"/>
        </w:rPr>
        <w:t xml:space="preserve">Et interaktionsstudie med en proteinkonjugeret vaccine mod </w:t>
      </w:r>
      <w:r w:rsidRPr="007459E2">
        <w:rPr>
          <w:iCs/>
          <w:noProof/>
          <w:sz w:val="24"/>
          <w:szCs w:val="24"/>
        </w:rPr>
        <w:t>Neisseria meningitidi</w:t>
      </w:r>
      <w:r w:rsidRPr="007459E2">
        <w:rPr>
          <w:noProof/>
          <w:sz w:val="24"/>
          <w:szCs w:val="24"/>
        </w:rPr>
        <w:t>s serogruppe C er blevet udført hos børn i alderen 2-11 år. Der er ikke observeret nogen virkning på umiddelbart vaccinerespons, generering af immunhukommelse eller humoral og cellemedieret immunitet (se pkt. 5.1).</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4.6</w:t>
      </w:r>
      <w:r w:rsidRPr="007459E2">
        <w:rPr>
          <w:b/>
          <w:sz w:val="24"/>
          <w:szCs w:val="24"/>
        </w:rPr>
        <w:tab/>
      </w:r>
      <w:r w:rsidR="00D851D4">
        <w:rPr>
          <w:b/>
          <w:sz w:val="24"/>
          <w:szCs w:val="24"/>
        </w:rPr>
        <w:t>Fertilitet, g</w:t>
      </w:r>
      <w:r w:rsidRPr="007459E2">
        <w:rPr>
          <w:b/>
          <w:sz w:val="24"/>
          <w:szCs w:val="24"/>
        </w:rPr>
        <w:t>raviditet og amning</w:t>
      </w:r>
    </w:p>
    <w:p w:rsidR="004475DF" w:rsidRPr="0002430E" w:rsidRDefault="004475DF" w:rsidP="004475DF">
      <w:pPr>
        <w:ind w:left="851" w:hanging="851"/>
        <w:rPr>
          <w:i/>
          <w:iCs/>
          <w:noProof/>
          <w:sz w:val="24"/>
          <w:szCs w:val="24"/>
          <w:u w:val="single"/>
        </w:rPr>
      </w:pPr>
    </w:p>
    <w:p w:rsidR="004475DF" w:rsidRPr="000560E0" w:rsidRDefault="004475DF" w:rsidP="004475DF">
      <w:pPr>
        <w:ind w:left="851"/>
        <w:rPr>
          <w:iCs/>
          <w:noProof/>
          <w:sz w:val="24"/>
          <w:szCs w:val="24"/>
          <w:u w:val="single"/>
        </w:rPr>
      </w:pPr>
      <w:r w:rsidRPr="000560E0">
        <w:rPr>
          <w:iCs/>
          <w:noProof/>
          <w:sz w:val="24"/>
          <w:szCs w:val="24"/>
          <w:u w:val="single"/>
        </w:rPr>
        <w:t>Fertilitet</w:t>
      </w:r>
    </w:p>
    <w:p w:rsidR="004475DF" w:rsidRPr="0002430E" w:rsidRDefault="004475DF" w:rsidP="004475DF">
      <w:pPr>
        <w:ind w:left="851"/>
        <w:rPr>
          <w:noProof/>
          <w:sz w:val="24"/>
          <w:szCs w:val="24"/>
        </w:rPr>
      </w:pPr>
      <w:r w:rsidRPr="0002430E">
        <w:rPr>
          <w:noProof/>
          <w:sz w:val="24"/>
          <w:szCs w:val="24"/>
        </w:rPr>
        <w:t>Der foreligger ingen fertilitetsdata.</w:t>
      </w:r>
    </w:p>
    <w:p w:rsidR="004475DF" w:rsidRPr="0002430E" w:rsidRDefault="004475DF" w:rsidP="004475DF">
      <w:pPr>
        <w:ind w:left="851" w:hanging="851"/>
        <w:rPr>
          <w:i/>
          <w:iCs/>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Graviditet</w:t>
      </w:r>
    </w:p>
    <w:p w:rsidR="004475DF" w:rsidRPr="0002430E" w:rsidRDefault="004475DF" w:rsidP="004475DF">
      <w:pPr>
        <w:ind w:left="851"/>
        <w:rPr>
          <w:noProof/>
          <w:sz w:val="24"/>
          <w:szCs w:val="24"/>
        </w:rPr>
      </w:pPr>
      <w:r w:rsidRPr="0002430E">
        <w:rPr>
          <w:noProof/>
          <w:sz w:val="24"/>
          <w:szCs w:val="24"/>
        </w:rPr>
        <w:t>Der er utilstrækkelige data fra anvendelse af tacrolimus til gravide kvinder. Dyreforsøg har påvist reproduktionstoksicitet ved systemisk administration (se pkt. 5.3). Den potentielle risiko for mennesker er ukendt.</w:t>
      </w:r>
    </w:p>
    <w:p w:rsidR="004475DF" w:rsidRPr="0002430E" w:rsidRDefault="004475DF" w:rsidP="004475DF">
      <w:pPr>
        <w:ind w:left="851" w:hanging="851"/>
        <w:rPr>
          <w:noProof/>
          <w:sz w:val="24"/>
          <w:szCs w:val="24"/>
        </w:rPr>
      </w:pPr>
    </w:p>
    <w:p w:rsidR="004475DF" w:rsidRPr="0002430E" w:rsidRDefault="00332920" w:rsidP="004475DF">
      <w:pPr>
        <w:ind w:left="851"/>
        <w:rPr>
          <w:noProof/>
          <w:sz w:val="24"/>
          <w:szCs w:val="24"/>
        </w:rPr>
      </w:pPr>
      <w:r>
        <w:rPr>
          <w:noProof/>
          <w:sz w:val="24"/>
          <w:szCs w:val="24"/>
        </w:rPr>
        <w:t>Tacronova</w:t>
      </w:r>
      <w:r w:rsidR="004475DF" w:rsidRPr="0002430E">
        <w:rPr>
          <w:noProof/>
          <w:sz w:val="24"/>
          <w:szCs w:val="24"/>
        </w:rPr>
        <w:t xml:space="preserve"> salve bør kun anvendes til gravide på tvingende indikation.</w:t>
      </w:r>
    </w:p>
    <w:p w:rsidR="004475DF" w:rsidRPr="0002430E" w:rsidRDefault="004475DF" w:rsidP="004475DF">
      <w:pPr>
        <w:ind w:left="851" w:hanging="851"/>
        <w:rPr>
          <w:i/>
          <w:iCs/>
          <w:noProof/>
          <w:sz w:val="24"/>
          <w:szCs w:val="24"/>
        </w:rPr>
      </w:pPr>
    </w:p>
    <w:p w:rsidR="004475DF" w:rsidRPr="000560E0" w:rsidRDefault="004475DF" w:rsidP="004475DF">
      <w:pPr>
        <w:ind w:left="851"/>
        <w:rPr>
          <w:iCs/>
          <w:noProof/>
          <w:sz w:val="24"/>
          <w:szCs w:val="24"/>
          <w:u w:val="single"/>
        </w:rPr>
      </w:pPr>
      <w:r w:rsidRPr="000560E0">
        <w:rPr>
          <w:iCs/>
          <w:noProof/>
          <w:sz w:val="24"/>
          <w:szCs w:val="24"/>
          <w:u w:val="single"/>
        </w:rPr>
        <w:t>Amning</w:t>
      </w:r>
    </w:p>
    <w:p w:rsidR="004475DF" w:rsidRPr="0002430E" w:rsidRDefault="004475DF" w:rsidP="004475DF">
      <w:pPr>
        <w:ind w:left="851"/>
        <w:rPr>
          <w:noProof/>
          <w:sz w:val="24"/>
          <w:szCs w:val="24"/>
        </w:rPr>
      </w:pPr>
      <w:r w:rsidRPr="0002430E">
        <w:rPr>
          <w:noProof/>
          <w:sz w:val="24"/>
          <w:szCs w:val="24"/>
        </w:rPr>
        <w:t xml:space="preserve">Data viser, at tacrolimus udskilles i human mælk efter systemisk administration. Selvom kliniske data har vist, at den systemiske eksponering er lav ved brug af tacrolimus-salve, anbefales det ikke at amme under behandling med </w:t>
      </w:r>
      <w:r w:rsidR="00332920">
        <w:rPr>
          <w:noProof/>
          <w:sz w:val="24"/>
          <w:szCs w:val="24"/>
        </w:rPr>
        <w:t>Tacronova</w:t>
      </w:r>
      <w:r w:rsidRPr="0002430E">
        <w:rPr>
          <w:noProof/>
          <w:sz w:val="24"/>
          <w:szCs w:val="24"/>
        </w:rPr>
        <w:t xml:space="preserve"> salve.</w:t>
      </w:r>
    </w:p>
    <w:p w:rsidR="004475DF" w:rsidRPr="0002430E"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4.7</w:t>
      </w:r>
      <w:r w:rsidRPr="007459E2">
        <w:rPr>
          <w:b/>
          <w:sz w:val="24"/>
          <w:szCs w:val="24"/>
        </w:rPr>
        <w:tab/>
        <w:t xml:space="preserve">Virkning på evnen til at føre motorkøretøj </w:t>
      </w:r>
      <w:r w:rsidR="00D851D4">
        <w:rPr>
          <w:b/>
          <w:sz w:val="24"/>
          <w:szCs w:val="24"/>
        </w:rPr>
        <w:t>og</w:t>
      </w:r>
      <w:r w:rsidRPr="007459E2">
        <w:rPr>
          <w:b/>
          <w:sz w:val="24"/>
          <w:szCs w:val="24"/>
        </w:rPr>
        <w:t xml:space="preserve"> betjene maskiner</w:t>
      </w:r>
    </w:p>
    <w:p w:rsidR="004475DF" w:rsidRPr="007459E2" w:rsidRDefault="004475DF" w:rsidP="004475DF">
      <w:pPr>
        <w:ind w:left="851"/>
        <w:rPr>
          <w:noProof/>
          <w:sz w:val="24"/>
          <w:szCs w:val="24"/>
        </w:rPr>
      </w:pPr>
      <w:r w:rsidRPr="007459E2">
        <w:rPr>
          <w:sz w:val="24"/>
          <w:szCs w:val="24"/>
        </w:rPr>
        <w:t>Ikke m</w:t>
      </w:r>
      <w:r w:rsidRPr="007459E2">
        <w:rPr>
          <w:noProof/>
          <w:sz w:val="24"/>
          <w:szCs w:val="24"/>
        </w:rPr>
        <w:t>ærkning.</w:t>
      </w:r>
    </w:p>
    <w:p w:rsidR="004475DF" w:rsidRPr="007459E2" w:rsidRDefault="00332920" w:rsidP="004475DF">
      <w:pPr>
        <w:ind w:left="851"/>
        <w:rPr>
          <w:sz w:val="24"/>
          <w:szCs w:val="24"/>
        </w:rPr>
      </w:pPr>
      <w:proofErr w:type="spellStart"/>
      <w:r>
        <w:rPr>
          <w:sz w:val="24"/>
          <w:szCs w:val="24"/>
        </w:rPr>
        <w:t>Tacronova</w:t>
      </w:r>
      <w:proofErr w:type="spellEnd"/>
      <w:r w:rsidR="004475DF" w:rsidRPr="007459E2">
        <w:rPr>
          <w:sz w:val="24"/>
          <w:szCs w:val="24"/>
        </w:rPr>
        <w:t xml:space="preserve"> salve påvirker ikke eller kun i ubetydelig grad evnen til at føre motorkøretøj og betjene maskiner.</w:t>
      </w:r>
    </w:p>
    <w:p w:rsidR="004475DF" w:rsidRDefault="004475DF" w:rsidP="004475DF">
      <w:pPr>
        <w:rPr>
          <w:sz w:val="24"/>
          <w:szCs w:val="24"/>
        </w:rPr>
      </w:pPr>
      <w:r>
        <w:rPr>
          <w:sz w:val="24"/>
          <w:szCs w:val="24"/>
        </w:rPr>
        <w:br w:type="page"/>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4.8</w:t>
      </w:r>
      <w:r w:rsidRPr="007459E2">
        <w:rPr>
          <w:b/>
          <w:sz w:val="24"/>
          <w:szCs w:val="24"/>
        </w:rPr>
        <w:tab/>
        <w:t>Bivirkninger</w:t>
      </w:r>
    </w:p>
    <w:p w:rsidR="004475DF" w:rsidRPr="007459E2" w:rsidRDefault="004475DF" w:rsidP="004475DF">
      <w:pPr>
        <w:ind w:left="851"/>
        <w:rPr>
          <w:noProof/>
          <w:sz w:val="24"/>
          <w:szCs w:val="24"/>
        </w:rPr>
      </w:pPr>
      <w:r w:rsidRPr="007459E2">
        <w:rPr>
          <w:noProof/>
          <w:sz w:val="24"/>
          <w:szCs w:val="24"/>
        </w:rPr>
        <w:t>I kliniske studier oplever omkring 50 % af patienter en eller anden form for hudirritation på applikationsstedet. Brændende følelse og kløe forekommer meget almindelig, sædvanligvis af let til moderat intensitet. Dette svinder sædvanligvis i løbet af en uge efter behandlingens start. Erytem er en almindeligt rapporteret bivirkning. Varmefølelse, smerte, paræstesi og udslæt på applikationsstedet er ligeledes almindeligt forekommende. Alkohol intolerance (flushing eller hudirritation efter indtagelse af en alkoholisk drik) er også almindelig.</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Patienterne har muligvis en forhøjet risiko for folliculitis, akne og herpesvirusinfektioner.</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rPr>
      </w:pPr>
      <w:r w:rsidRPr="007459E2">
        <w:rPr>
          <w:noProof/>
          <w:sz w:val="24"/>
          <w:szCs w:val="24"/>
        </w:rPr>
        <w:t>Bivirkninger, der formodes at være relaterede til behandlingen, er angivet nedenfor efter systemorganklasser. Hyppigheden er defineret som meget almindelig (≥ 1/10), almindelig (≥ 1/100 til &lt; 1/10) og ikke almindelig (≥ 1/1.000 til &lt; 1/100). Inden for hver enkelt frekvensgruppe er bivirkningerne opstillet efter, hvor alvorlige de er. De alvorligste bivirkninger er anført først.</w:t>
      </w:r>
    </w:p>
    <w:p w:rsidR="004475DF" w:rsidRPr="007459E2" w:rsidRDefault="004475DF" w:rsidP="004475DF">
      <w:pPr>
        <w:ind w:left="851" w:hanging="851"/>
        <w:rPr>
          <w:noProof/>
          <w:sz w:val="24"/>
          <w:szCs w:val="24"/>
        </w:rPr>
      </w:pPr>
    </w:p>
    <w:tbl>
      <w:tblPr>
        <w:tblW w:w="52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36"/>
        <w:gridCol w:w="1442"/>
        <w:gridCol w:w="2137"/>
        <w:gridCol w:w="1347"/>
        <w:gridCol w:w="2200"/>
        <w:gridCol w:w="1315"/>
      </w:tblGrid>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z w:val="22"/>
                <w:szCs w:val="22"/>
              </w:rPr>
              <w:t>Systemorgan-klasse</w:t>
            </w:r>
          </w:p>
        </w:tc>
        <w:tc>
          <w:tcPr>
            <w:tcW w:w="70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Meget 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w:t>
            </w: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 til</w:t>
            </w:r>
          </w:p>
          <w:p w:rsidR="004475DF" w:rsidRPr="007459E2" w:rsidRDefault="004475DF" w:rsidP="003B4BCE">
            <w:pPr>
              <w:ind w:left="142" w:right="153"/>
              <w:rPr>
                <w:rFonts w:eastAsia="Calibri"/>
                <w:b/>
                <w:sz w:val="22"/>
                <w:szCs w:val="22"/>
              </w:rPr>
            </w:pPr>
            <w:r w:rsidRPr="007459E2">
              <w:rPr>
                <w:rFonts w:eastAsia="Calibri"/>
                <w:b/>
                <w:spacing w:val="-1"/>
                <w:sz w:val="22"/>
                <w:szCs w:val="22"/>
              </w:rPr>
              <w:t>&lt;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w:t>
            </w:r>
          </w:p>
        </w:tc>
        <w:tc>
          <w:tcPr>
            <w:tcW w:w="66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sidRPr="007459E2">
              <w:rPr>
                <w:rFonts w:eastAsia="Calibri"/>
                <w:b/>
                <w:spacing w:val="-1"/>
                <w:sz w:val="22"/>
                <w:szCs w:val="22"/>
              </w:rPr>
              <w:t>Ikke almindelig</w:t>
            </w:r>
          </w:p>
          <w:p w:rsidR="004475DF" w:rsidRPr="007459E2" w:rsidRDefault="004475DF" w:rsidP="003B4BCE">
            <w:pPr>
              <w:ind w:left="142" w:right="153"/>
              <w:rPr>
                <w:rFonts w:eastAsia="Calibri"/>
                <w:b/>
                <w:sz w:val="22"/>
                <w:szCs w:val="22"/>
              </w:rPr>
            </w:pPr>
            <w:r w:rsidRPr="007459E2">
              <w:rPr>
                <w:rFonts w:eastAsia="Calibri"/>
                <w:b/>
                <w:spacing w:val="1"/>
                <w:sz w:val="22"/>
                <w:szCs w:val="22"/>
              </w:rPr>
              <w: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1000 til</w:t>
            </w:r>
          </w:p>
          <w:p w:rsidR="004475DF" w:rsidRPr="007459E2" w:rsidRDefault="004475DF" w:rsidP="003B4BCE">
            <w:pPr>
              <w:ind w:left="142" w:right="153"/>
              <w:rPr>
                <w:rFonts w:eastAsia="Calibri"/>
                <w:b/>
                <w:sz w:val="22"/>
                <w:szCs w:val="22"/>
              </w:rPr>
            </w:pPr>
            <w:r w:rsidRPr="007459E2">
              <w:rPr>
                <w:rFonts w:eastAsia="Calibri"/>
                <w:b/>
                <w:spacing w:val="-1"/>
                <w:sz w:val="22"/>
                <w:szCs w:val="22"/>
              </w:rPr>
              <w:t>&lt; </w:t>
            </w:r>
            <w:r w:rsidRPr="007459E2">
              <w:rPr>
                <w:rFonts w:eastAsia="Calibri"/>
                <w:b/>
                <w:sz w:val="22"/>
                <w:szCs w:val="22"/>
              </w:rPr>
              <w:t>1</w:t>
            </w:r>
            <w:r w:rsidRPr="007459E2">
              <w:rPr>
                <w:rFonts w:eastAsia="Calibri"/>
                <w:b/>
                <w:spacing w:val="1"/>
                <w:sz w:val="22"/>
                <w:szCs w:val="22"/>
              </w:rPr>
              <w:t>/</w:t>
            </w:r>
            <w:r w:rsidRPr="007459E2">
              <w:rPr>
                <w:rFonts w:eastAsia="Calibri"/>
                <w:b/>
                <w:sz w:val="22"/>
                <w:szCs w:val="22"/>
              </w:rPr>
              <w:t>100</w:t>
            </w: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b/>
                <w:sz w:val="22"/>
                <w:szCs w:val="22"/>
              </w:rPr>
            </w:pPr>
            <w:r>
              <w:rPr>
                <w:rFonts w:eastAsia="Calibri"/>
                <w:b/>
                <w:spacing w:val="-1"/>
                <w:sz w:val="22"/>
                <w:szCs w:val="22"/>
              </w:rPr>
              <w:t>I</w:t>
            </w:r>
            <w:r w:rsidRPr="007459E2">
              <w:rPr>
                <w:rFonts w:eastAsia="Calibri"/>
                <w:b/>
                <w:spacing w:val="-1"/>
                <w:sz w:val="22"/>
                <w:szCs w:val="22"/>
              </w:rPr>
              <w:t xml:space="preserve">kke kendt (kan ikke estimeres ud fra </w:t>
            </w:r>
            <w:proofErr w:type="spellStart"/>
            <w:r w:rsidRPr="007459E2">
              <w:rPr>
                <w:rFonts w:eastAsia="Calibri"/>
                <w:b/>
                <w:spacing w:val="-1"/>
                <w:sz w:val="22"/>
                <w:szCs w:val="22"/>
              </w:rPr>
              <w:t>forhånden-værende</w:t>
            </w:r>
            <w:proofErr w:type="spellEnd"/>
            <w:r w:rsidRPr="007459E2">
              <w:rPr>
                <w:rFonts w:eastAsia="Calibri"/>
                <w:b/>
                <w:spacing w:val="-1"/>
                <w:sz w:val="22"/>
                <w:szCs w:val="22"/>
              </w:rPr>
              <w:t xml:space="preserve"> data)</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4"/>
                <w:sz w:val="22"/>
                <w:szCs w:val="22"/>
              </w:rPr>
              <w:t>Infektioner og parasitære sygdomme</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Lokale hudinfektioner uanset specifik ætiologi herunder, men ikke begrænset til:</w:t>
            </w:r>
          </w:p>
          <w:p w:rsidR="004475DF" w:rsidRPr="0002430E" w:rsidRDefault="004475DF" w:rsidP="003B4BCE">
            <w:pPr>
              <w:ind w:left="142" w:right="153"/>
              <w:rPr>
                <w:rFonts w:eastAsia="Calibri"/>
                <w:sz w:val="22"/>
                <w:szCs w:val="22"/>
                <w:lang w:val="en-US"/>
              </w:rPr>
            </w:pPr>
            <w:r w:rsidRPr="0002430E">
              <w:rPr>
                <w:rFonts w:eastAsia="Calibri"/>
                <w:sz w:val="22"/>
                <w:szCs w:val="22"/>
                <w:lang w:val="en-US"/>
              </w:rPr>
              <w:t xml:space="preserve">Eczema </w:t>
            </w:r>
            <w:proofErr w:type="spellStart"/>
            <w:r w:rsidRPr="0002430E">
              <w:rPr>
                <w:rFonts w:eastAsia="Calibri"/>
                <w:sz w:val="22"/>
                <w:szCs w:val="22"/>
                <w:lang w:val="en-US"/>
              </w:rPr>
              <w:t>herpeticum</w:t>
            </w:r>
            <w:proofErr w:type="spellEnd"/>
            <w:r w:rsidRPr="0002430E">
              <w:rPr>
                <w:rFonts w:eastAsia="Calibri"/>
                <w:sz w:val="22"/>
                <w:szCs w:val="22"/>
                <w:lang w:val="en-US"/>
              </w:rPr>
              <w:t>,</w:t>
            </w:r>
          </w:p>
          <w:p w:rsidR="004475DF" w:rsidRPr="0002430E" w:rsidRDefault="004475DF" w:rsidP="003B4BCE">
            <w:pPr>
              <w:ind w:left="142" w:right="153"/>
              <w:rPr>
                <w:rFonts w:eastAsia="Calibri"/>
                <w:sz w:val="22"/>
                <w:szCs w:val="22"/>
                <w:lang w:val="en-US"/>
              </w:rPr>
            </w:pPr>
            <w:proofErr w:type="spellStart"/>
            <w:r w:rsidRPr="0002430E">
              <w:rPr>
                <w:rFonts w:eastAsia="Calibri"/>
                <w:sz w:val="22"/>
                <w:szCs w:val="22"/>
                <w:lang w:val="en-US"/>
              </w:rPr>
              <w:t>Follikulitis</w:t>
            </w:r>
            <w:proofErr w:type="spellEnd"/>
            <w:r w:rsidRPr="0002430E">
              <w:rPr>
                <w:rFonts w:eastAsia="Calibri"/>
                <w:sz w:val="22"/>
                <w:szCs w:val="22"/>
                <w:lang w:val="en-US"/>
              </w:rPr>
              <w:t>,</w:t>
            </w:r>
          </w:p>
          <w:p w:rsidR="004475DF" w:rsidRPr="0002430E" w:rsidRDefault="004475DF" w:rsidP="003B4BCE">
            <w:pPr>
              <w:ind w:left="142" w:right="153"/>
              <w:rPr>
                <w:rFonts w:eastAsia="Calibri"/>
                <w:sz w:val="22"/>
                <w:szCs w:val="22"/>
                <w:lang w:val="en-US"/>
              </w:rPr>
            </w:pPr>
            <w:r w:rsidRPr="0002430E">
              <w:rPr>
                <w:rFonts w:eastAsia="Calibri"/>
                <w:sz w:val="22"/>
                <w:szCs w:val="22"/>
                <w:lang w:val="en-US"/>
              </w:rPr>
              <w:t>Herpes simplex,</w:t>
            </w:r>
          </w:p>
          <w:p w:rsidR="004475DF" w:rsidRPr="007459E2" w:rsidRDefault="004475DF" w:rsidP="003B4BCE">
            <w:pPr>
              <w:ind w:left="142" w:right="153"/>
              <w:rPr>
                <w:rFonts w:eastAsia="Calibri"/>
                <w:sz w:val="22"/>
                <w:szCs w:val="22"/>
              </w:rPr>
            </w:pPr>
            <w:r w:rsidRPr="007459E2">
              <w:rPr>
                <w:rFonts w:eastAsia="Calibri"/>
                <w:sz w:val="22"/>
                <w:szCs w:val="22"/>
              </w:rPr>
              <w:t xml:space="preserve">Herpes </w:t>
            </w:r>
            <w:proofErr w:type="gramStart"/>
            <w:r w:rsidRPr="007459E2">
              <w:rPr>
                <w:rFonts w:eastAsia="Calibri"/>
                <w:sz w:val="22"/>
                <w:szCs w:val="22"/>
              </w:rPr>
              <w:t>virus infektion</w:t>
            </w:r>
            <w:proofErr w:type="gramEnd"/>
            <w:r w:rsidRPr="007459E2">
              <w:rPr>
                <w:rFonts w:eastAsia="Calibri"/>
                <w:sz w:val="22"/>
                <w:szCs w:val="22"/>
              </w:rPr>
              <w:t>,</w:t>
            </w:r>
          </w:p>
          <w:p w:rsidR="004475DF" w:rsidRPr="007459E2" w:rsidRDefault="004475DF" w:rsidP="003B4BCE">
            <w:pPr>
              <w:ind w:left="142" w:right="153"/>
              <w:rPr>
                <w:rFonts w:eastAsia="Calibri"/>
                <w:sz w:val="22"/>
                <w:szCs w:val="22"/>
              </w:rPr>
            </w:pPr>
            <w:proofErr w:type="spellStart"/>
            <w:r w:rsidRPr="007459E2">
              <w:rPr>
                <w:rFonts w:eastAsia="Calibri"/>
                <w:sz w:val="22"/>
                <w:szCs w:val="22"/>
              </w:rPr>
              <w:t>Kaposis</w:t>
            </w:r>
            <w:proofErr w:type="spellEnd"/>
            <w:r w:rsidRPr="007459E2">
              <w:rPr>
                <w:rFonts w:eastAsia="Calibri"/>
                <w:sz w:val="22"/>
                <w:szCs w:val="22"/>
              </w:rPr>
              <w:t xml:space="preserve"> </w:t>
            </w:r>
            <w:proofErr w:type="spellStart"/>
            <w:r w:rsidRPr="007459E2">
              <w:rPr>
                <w:rFonts w:eastAsia="Calibri"/>
                <w:sz w:val="22"/>
                <w:szCs w:val="22"/>
              </w:rPr>
              <w:t>varicelliforme</w:t>
            </w:r>
            <w:proofErr w:type="spellEnd"/>
          </w:p>
          <w:p w:rsidR="004475DF" w:rsidRPr="007459E2" w:rsidRDefault="004475DF" w:rsidP="003B4BCE">
            <w:pPr>
              <w:ind w:left="142" w:right="153"/>
              <w:rPr>
                <w:rFonts w:eastAsia="Calibri"/>
                <w:sz w:val="22"/>
                <w:szCs w:val="22"/>
              </w:rPr>
            </w:pPr>
            <w:r w:rsidRPr="007459E2">
              <w:rPr>
                <w:rFonts w:eastAsia="Calibri"/>
                <w:sz w:val="22"/>
                <w:szCs w:val="22"/>
              </w:rPr>
              <w:t>eruption*</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roofErr w:type="spellStart"/>
            <w:r w:rsidRPr="007459E2">
              <w:rPr>
                <w:rFonts w:eastAsia="Calibri"/>
                <w:sz w:val="22"/>
                <w:szCs w:val="22"/>
              </w:rPr>
              <w:t>Oftalmisk</w:t>
            </w:r>
            <w:proofErr w:type="spellEnd"/>
          </w:p>
          <w:p w:rsidR="004475DF" w:rsidRPr="007459E2" w:rsidRDefault="004475DF" w:rsidP="003B4BCE">
            <w:pPr>
              <w:ind w:left="142" w:right="153"/>
              <w:rPr>
                <w:rFonts w:eastAsia="Calibri"/>
                <w:sz w:val="22"/>
                <w:szCs w:val="22"/>
              </w:rPr>
            </w:pPr>
            <w:r w:rsidRPr="007459E2">
              <w:rPr>
                <w:rFonts w:eastAsia="Calibri"/>
                <w:sz w:val="22"/>
                <w:szCs w:val="22"/>
              </w:rPr>
              <w:t>herpesinfektion*</w:t>
            </w:r>
          </w:p>
        </w:tc>
      </w:tr>
      <w:tr w:rsidR="004475DF" w:rsidRPr="007459E2" w:rsidTr="003B4BCE">
        <w:trPr>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 xml:space="preserve">Metabolisme og ernæring  </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r w:rsidRPr="007459E2">
              <w:rPr>
                <w:rFonts w:eastAsia="Calibri"/>
                <w:spacing w:val="-1"/>
                <w:sz w:val="22"/>
                <w:szCs w:val="22"/>
              </w:rPr>
              <w:t>Alkoholintolerance</w:t>
            </w:r>
          </w:p>
          <w:p w:rsidR="004475DF" w:rsidRPr="007459E2" w:rsidRDefault="004475DF" w:rsidP="003B4BCE">
            <w:pPr>
              <w:ind w:left="142" w:right="153"/>
              <w:rPr>
                <w:rFonts w:eastAsia="Calibri"/>
                <w:sz w:val="22"/>
                <w:szCs w:val="22"/>
              </w:rPr>
            </w:pPr>
            <w:r w:rsidRPr="007459E2">
              <w:rPr>
                <w:rFonts w:eastAsia="Calibri"/>
                <w:spacing w:val="-1"/>
                <w:sz w:val="22"/>
                <w:szCs w:val="22"/>
              </w:rPr>
              <w:t>(</w:t>
            </w:r>
            <w:proofErr w:type="spellStart"/>
            <w:r w:rsidRPr="007459E2">
              <w:rPr>
                <w:rFonts w:eastAsia="Calibri"/>
                <w:spacing w:val="-1"/>
                <w:sz w:val="22"/>
                <w:szCs w:val="22"/>
              </w:rPr>
              <w:t>flushing</w:t>
            </w:r>
            <w:proofErr w:type="spellEnd"/>
            <w:r w:rsidRPr="007459E2">
              <w:rPr>
                <w:rFonts w:eastAsia="Calibri"/>
                <w:spacing w:val="-1"/>
                <w:sz w:val="22"/>
                <w:szCs w:val="22"/>
              </w:rPr>
              <w:t xml:space="preserve"> eller hudirritation efter indtagelse af alkohol)</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64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sz w:val="22"/>
                <w:szCs w:val="22"/>
              </w:rPr>
            </w:pPr>
            <w:r w:rsidRPr="007459E2">
              <w:rPr>
                <w:rFonts w:eastAsia="Calibri"/>
                <w:sz w:val="22"/>
                <w:szCs w:val="22"/>
              </w:rPr>
              <w:tab/>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1"/>
                <w:sz w:val="22"/>
                <w:szCs w:val="22"/>
              </w:rPr>
              <w:t>Nervesystemet</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z w:val="22"/>
                <w:szCs w:val="22"/>
              </w:rPr>
              <w:t>Paræstesi</w:t>
            </w:r>
            <w:proofErr w:type="spellEnd"/>
            <w:r w:rsidRPr="007459E2">
              <w:rPr>
                <w:rFonts w:eastAsia="Calibri"/>
                <w:sz w:val="22"/>
                <w:szCs w:val="22"/>
              </w:rPr>
              <w:t xml:space="preserve"> og </w:t>
            </w:r>
            <w:proofErr w:type="spellStart"/>
            <w:r w:rsidRPr="007459E2">
              <w:rPr>
                <w:rFonts w:eastAsia="Calibri"/>
                <w:sz w:val="22"/>
                <w:szCs w:val="22"/>
              </w:rPr>
              <w:t>dysæstesi</w:t>
            </w:r>
            <w:proofErr w:type="spellEnd"/>
          </w:p>
          <w:p w:rsidR="004475DF" w:rsidRPr="007459E2" w:rsidRDefault="004475DF" w:rsidP="003B4BCE">
            <w:pPr>
              <w:ind w:left="142" w:right="153"/>
              <w:rPr>
                <w:rFonts w:eastAsia="Calibri"/>
                <w:sz w:val="22"/>
                <w:szCs w:val="22"/>
              </w:rPr>
            </w:pPr>
            <w:r w:rsidRPr="007459E2">
              <w:rPr>
                <w:rFonts w:eastAsia="Calibri"/>
                <w:sz w:val="22"/>
                <w:szCs w:val="22"/>
              </w:rPr>
              <w:t>(</w:t>
            </w:r>
            <w:proofErr w:type="spellStart"/>
            <w:r w:rsidRPr="007459E2">
              <w:rPr>
                <w:rFonts w:eastAsia="Calibri"/>
                <w:sz w:val="22"/>
                <w:szCs w:val="22"/>
              </w:rPr>
              <w:t>hyperæstesi</w:t>
            </w:r>
            <w:proofErr w:type="spellEnd"/>
            <w:r w:rsidRPr="007459E2">
              <w:rPr>
                <w:rFonts w:eastAsia="Calibri"/>
                <w:sz w:val="22"/>
                <w:szCs w:val="22"/>
              </w:rPr>
              <w:t>, brændende</w:t>
            </w:r>
          </w:p>
          <w:p w:rsidR="004475DF" w:rsidRPr="007459E2" w:rsidRDefault="004475DF" w:rsidP="003B4BCE">
            <w:pPr>
              <w:ind w:left="142" w:right="153"/>
              <w:rPr>
                <w:rFonts w:eastAsia="Calibri"/>
                <w:sz w:val="22"/>
                <w:szCs w:val="22"/>
              </w:rPr>
            </w:pPr>
            <w:r w:rsidRPr="007459E2">
              <w:rPr>
                <w:rFonts w:eastAsia="Calibri"/>
                <w:sz w:val="22"/>
                <w:szCs w:val="22"/>
              </w:rPr>
              <w:t>følelse)</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z w:val="22"/>
                <w:szCs w:val="22"/>
              </w:rPr>
              <w:t>Hud og subkutane væv</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z w:val="22"/>
                <w:szCs w:val="22"/>
              </w:rPr>
              <w:t>Pru</w:t>
            </w:r>
            <w:r w:rsidRPr="007459E2">
              <w:rPr>
                <w:rFonts w:eastAsia="Calibri"/>
                <w:spacing w:val="-1"/>
                <w:sz w:val="22"/>
                <w:szCs w:val="22"/>
              </w:rPr>
              <w:t>r</w:t>
            </w:r>
            <w:r w:rsidRPr="007459E2">
              <w:rPr>
                <w:rFonts w:eastAsia="Calibri"/>
                <w:spacing w:val="1"/>
                <w:sz w:val="22"/>
                <w:szCs w:val="22"/>
              </w:rPr>
              <w:t>it</w:t>
            </w:r>
            <w:r w:rsidRPr="007459E2">
              <w:rPr>
                <w:rFonts w:eastAsia="Calibri"/>
                <w:spacing w:val="-2"/>
                <w:sz w:val="22"/>
                <w:szCs w:val="22"/>
              </w:rPr>
              <w:t>u</w:t>
            </w:r>
            <w:r w:rsidRPr="007459E2">
              <w:rPr>
                <w:rFonts w:eastAsia="Calibri"/>
                <w:sz w:val="22"/>
                <w:szCs w:val="22"/>
              </w:rPr>
              <w:t>s</w:t>
            </w:r>
            <w:proofErr w:type="spellEnd"/>
            <w:r w:rsidRPr="007459E2">
              <w:rPr>
                <w:rFonts w:eastAsia="Calibri"/>
                <w:sz w:val="22"/>
                <w:szCs w:val="22"/>
              </w:rPr>
              <w:t>,</w:t>
            </w:r>
          </w:p>
          <w:p w:rsidR="004475DF" w:rsidRPr="007459E2" w:rsidRDefault="004475DF" w:rsidP="003B4BCE">
            <w:pPr>
              <w:ind w:left="142" w:right="153"/>
              <w:rPr>
                <w:rFonts w:eastAsia="Calibri"/>
                <w:sz w:val="22"/>
                <w:szCs w:val="22"/>
              </w:rPr>
            </w:pPr>
            <w:r w:rsidRPr="007459E2">
              <w:rPr>
                <w:rFonts w:eastAsia="Calibri"/>
                <w:sz w:val="22"/>
                <w:szCs w:val="22"/>
              </w:rPr>
              <w:t>Hudirritation</w:t>
            </w:r>
            <w:r w:rsidRPr="007459E2">
              <w:rPr>
                <w:rFonts w:eastAsia="Calibri"/>
                <w:sz w:val="22"/>
                <w:szCs w:val="22"/>
                <w:vertAlign w:val="superscript"/>
              </w:rPr>
              <w:t>$</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roofErr w:type="spellStart"/>
            <w:r w:rsidRPr="007459E2">
              <w:rPr>
                <w:rFonts w:eastAsia="Calibri"/>
                <w:spacing w:val="-1"/>
                <w:sz w:val="22"/>
                <w:szCs w:val="22"/>
              </w:rPr>
              <w:t>A</w:t>
            </w:r>
            <w:r w:rsidRPr="007459E2">
              <w:rPr>
                <w:rFonts w:eastAsia="Calibri"/>
                <w:sz w:val="22"/>
                <w:szCs w:val="22"/>
              </w:rPr>
              <w:t>cn</w:t>
            </w:r>
            <w:r w:rsidRPr="007459E2">
              <w:rPr>
                <w:rFonts w:eastAsia="Calibri"/>
                <w:spacing w:val="1"/>
                <w:sz w:val="22"/>
                <w:szCs w:val="22"/>
              </w:rPr>
              <w:t>e</w:t>
            </w:r>
            <w:proofErr w:type="spellEnd"/>
            <w:r w:rsidRPr="007459E2">
              <w:rPr>
                <w:rFonts w:eastAsia="Calibri"/>
                <w:sz w:val="22"/>
                <w:szCs w:val="22"/>
              </w:rPr>
              <w:t>*</w:t>
            </w: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proofErr w:type="spellStart"/>
            <w:r w:rsidRPr="007459E2">
              <w:rPr>
                <w:rFonts w:eastAsia="Calibri"/>
                <w:spacing w:val="-1"/>
                <w:sz w:val="22"/>
                <w:szCs w:val="22"/>
              </w:rPr>
              <w:t>R</w:t>
            </w:r>
            <w:r w:rsidRPr="007459E2">
              <w:rPr>
                <w:rFonts w:eastAsia="Calibri"/>
                <w:sz w:val="22"/>
                <w:szCs w:val="22"/>
              </w:rPr>
              <w:t>os</w:t>
            </w:r>
            <w:r w:rsidRPr="007459E2">
              <w:rPr>
                <w:rFonts w:eastAsia="Calibri"/>
                <w:spacing w:val="1"/>
                <w:sz w:val="22"/>
                <w:szCs w:val="22"/>
              </w:rPr>
              <w:t>a</w:t>
            </w:r>
            <w:r w:rsidRPr="007459E2">
              <w:rPr>
                <w:rFonts w:eastAsia="Calibri"/>
                <w:sz w:val="22"/>
                <w:szCs w:val="22"/>
              </w:rPr>
              <w:t>c</w:t>
            </w:r>
            <w:r w:rsidRPr="007459E2">
              <w:rPr>
                <w:rFonts w:eastAsia="Calibri"/>
                <w:spacing w:val="-2"/>
                <w:sz w:val="22"/>
                <w:szCs w:val="22"/>
              </w:rPr>
              <w:t>e</w:t>
            </w:r>
            <w:r w:rsidRPr="007459E2">
              <w:rPr>
                <w:rFonts w:eastAsia="Calibri"/>
                <w:sz w:val="22"/>
                <w:szCs w:val="22"/>
              </w:rPr>
              <w:t>a</w:t>
            </w:r>
            <w:proofErr w:type="spellEnd"/>
            <w:r w:rsidRPr="007459E2">
              <w:rPr>
                <w:rFonts w:eastAsia="Calibri"/>
                <w:sz w:val="22"/>
                <w:szCs w:val="22"/>
              </w:rPr>
              <w:t>*</w:t>
            </w:r>
          </w:p>
          <w:p w:rsidR="004475DF" w:rsidRPr="007459E2" w:rsidRDefault="004475DF" w:rsidP="003B4BCE">
            <w:pPr>
              <w:ind w:left="142" w:right="153"/>
              <w:rPr>
                <w:rFonts w:eastAsia="Calibri"/>
                <w:sz w:val="22"/>
                <w:szCs w:val="22"/>
              </w:rPr>
            </w:pPr>
            <w:proofErr w:type="spellStart"/>
            <w:r w:rsidRPr="007459E2">
              <w:rPr>
                <w:rFonts w:eastAsia="Calibri"/>
                <w:sz w:val="22"/>
                <w:szCs w:val="22"/>
              </w:rPr>
              <w:t>Lentigo</w:t>
            </w:r>
            <w:proofErr w:type="spellEnd"/>
            <w:r w:rsidRPr="007459E2">
              <w:rPr>
                <w:rFonts w:eastAsia="Calibri"/>
                <w:sz w:val="22"/>
                <w:szCs w:val="22"/>
              </w:rPr>
              <w:t>*</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sz w:val="22"/>
                <w:szCs w:val="22"/>
              </w:rPr>
            </w:pPr>
            <w:r w:rsidRPr="007459E2">
              <w:rPr>
                <w:sz w:val="22"/>
                <w:szCs w:val="22"/>
              </w:rPr>
              <w:t>Almene symptomer og reaktioner på administrations-stedet</w:t>
            </w:r>
          </w:p>
        </w:tc>
        <w:tc>
          <w:tcPr>
            <w:tcW w:w="70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Brænden</w:t>
            </w:r>
            <w:proofErr w:type="spellEnd"/>
            <w:r w:rsidRPr="007459E2">
              <w:rPr>
                <w:rFonts w:eastAsia="Calibri"/>
                <w:spacing w:val="-1"/>
                <w:sz w:val="22"/>
                <w:szCs w:val="22"/>
              </w:rPr>
              <w:t xml:space="preserve"> på 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Kløe på applikations-stedet</w:t>
            </w:r>
          </w:p>
        </w:tc>
        <w:tc>
          <w:tcPr>
            <w:tcW w:w="105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pacing w:val="-1"/>
                <w:sz w:val="22"/>
                <w:szCs w:val="22"/>
              </w:rPr>
            </w:pPr>
            <w:r w:rsidRPr="007459E2">
              <w:rPr>
                <w:rFonts w:eastAsia="Calibri"/>
                <w:spacing w:val="-1"/>
                <w:sz w:val="22"/>
                <w:szCs w:val="22"/>
              </w:rPr>
              <w:t>Varme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Erytem</w:t>
            </w:r>
            <w:proofErr w:type="spellEnd"/>
            <w:r w:rsidRPr="007459E2">
              <w:rPr>
                <w:rFonts w:eastAsia="Calibri"/>
                <w:spacing w:val="-1"/>
                <w:sz w:val="22"/>
                <w:szCs w:val="22"/>
              </w:rPr>
              <w:t xml:space="preserv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Smerte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lastRenderedPageBreak/>
              <w:t>Irritation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proofErr w:type="spellStart"/>
            <w:r w:rsidRPr="007459E2">
              <w:rPr>
                <w:rFonts w:eastAsia="Calibri"/>
                <w:spacing w:val="-1"/>
                <w:sz w:val="22"/>
                <w:szCs w:val="22"/>
              </w:rPr>
              <w:t>Paræstesi</w:t>
            </w:r>
            <w:proofErr w:type="spellEnd"/>
            <w:r w:rsidRPr="007459E2">
              <w:rPr>
                <w:rFonts w:eastAsia="Calibri"/>
                <w:spacing w:val="-1"/>
                <w:sz w:val="22"/>
                <w:szCs w:val="22"/>
              </w:rPr>
              <w:t xml:space="preserve"> på</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applikationsstedet,</w:t>
            </w:r>
          </w:p>
          <w:p w:rsidR="004475DF" w:rsidRPr="007459E2" w:rsidRDefault="004475DF" w:rsidP="003B4BCE">
            <w:pPr>
              <w:ind w:left="142" w:right="153"/>
              <w:rPr>
                <w:rFonts w:eastAsia="Calibri"/>
                <w:spacing w:val="-1"/>
                <w:sz w:val="22"/>
                <w:szCs w:val="22"/>
              </w:rPr>
            </w:pPr>
            <w:r w:rsidRPr="007459E2">
              <w:rPr>
                <w:rFonts w:eastAsia="Calibri"/>
                <w:spacing w:val="-1"/>
                <w:sz w:val="22"/>
                <w:szCs w:val="22"/>
              </w:rPr>
              <w:t>Udslæt på</w:t>
            </w:r>
          </w:p>
          <w:p w:rsidR="004475DF" w:rsidRPr="007459E2" w:rsidRDefault="004475DF" w:rsidP="003B4BCE">
            <w:pPr>
              <w:ind w:left="142" w:right="153"/>
              <w:rPr>
                <w:sz w:val="22"/>
                <w:szCs w:val="22"/>
              </w:rPr>
            </w:pPr>
            <w:r w:rsidRPr="007459E2">
              <w:rPr>
                <w:rFonts w:eastAsia="Calibri"/>
                <w:spacing w:val="-1"/>
                <w:sz w:val="22"/>
                <w:szCs w:val="22"/>
              </w:rPr>
              <w:t>applikationsstedet</w:t>
            </w:r>
            <w:r w:rsidRPr="007459E2">
              <w:rPr>
                <w:sz w:val="22"/>
                <w:szCs w:val="22"/>
              </w:rPr>
              <w:t xml:space="preserve">, </w:t>
            </w:r>
          </w:p>
          <w:p w:rsidR="004475DF" w:rsidRPr="007459E2" w:rsidRDefault="004475DF" w:rsidP="003B4BCE">
            <w:pPr>
              <w:ind w:left="142" w:right="153"/>
              <w:rPr>
                <w:sz w:val="22"/>
                <w:szCs w:val="22"/>
              </w:rPr>
            </w:pPr>
            <w:r w:rsidRPr="007459E2">
              <w:rPr>
                <w:sz w:val="22"/>
                <w:szCs w:val="22"/>
              </w:rPr>
              <w:t>Overfølsomhed på applikationsstedet</w:t>
            </w:r>
            <w:r w:rsidRPr="007459E2">
              <w:rPr>
                <w:sz w:val="22"/>
                <w:szCs w:val="22"/>
                <w:vertAlign w:val="superscript"/>
              </w:rPr>
              <w:t>$</w:t>
            </w: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1"/>
                <w:sz w:val="22"/>
                <w:szCs w:val="22"/>
              </w:rPr>
              <w:t>Ødem på applikationsstedet*</w:t>
            </w:r>
          </w:p>
        </w:tc>
      </w:tr>
      <w:tr w:rsidR="004475DF" w:rsidRPr="007459E2" w:rsidTr="003B4BCE">
        <w:trPr>
          <w:gridAfter w:val="1"/>
          <w:wAfter w:w="646" w:type="pct"/>
          <w:trHeight w:val="20"/>
        </w:trPr>
        <w:tc>
          <w:tcPr>
            <w:tcW w:w="85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rFonts w:eastAsia="Calibri"/>
                <w:spacing w:val="-4"/>
                <w:sz w:val="22"/>
                <w:szCs w:val="22"/>
              </w:rPr>
              <w:t>Undersøgelser</w:t>
            </w:r>
          </w:p>
        </w:tc>
        <w:tc>
          <w:tcPr>
            <w:tcW w:w="70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50"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662"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42" w:right="153"/>
              <w:rPr>
                <w:rFonts w:eastAsia="Calibri"/>
                <w:sz w:val="22"/>
                <w:szCs w:val="22"/>
              </w:rPr>
            </w:pPr>
          </w:p>
        </w:tc>
        <w:tc>
          <w:tcPr>
            <w:tcW w:w="108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42" w:right="153"/>
              <w:rPr>
                <w:rFonts w:eastAsia="Calibri"/>
                <w:sz w:val="22"/>
                <w:szCs w:val="22"/>
              </w:rPr>
            </w:pPr>
            <w:r w:rsidRPr="007459E2">
              <w:rPr>
                <w:sz w:val="22"/>
                <w:szCs w:val="22"/>
              </w:rPr>
              <w:t>Øget medicin-koncentration* (se pkt. 4.4)</w:t>
            </w:r>
          </w:p>
        </w:tc>
      </w:tr>
    </w:tbl>
    <w:p w:rsidR="004475DF" w:rsidRPr="00C73FB9" w:rsidRDefault="004475DF" w:rsidP="004475DF">
      <w:pPr>
        <w:ind w:left="993" w:hanging="142"/>
        <w:rPr>
          <w:noProof/>
          <w:sz w:val="22"/>
          <w:szCs w:val="22"/>
        </w:rPr>
      </w:pPr>
      <w:r w:rsidRPr="00C73FB9">
        <w:rPr>
          <w:noProof/>
          <w:sz w:val="22"/>
          <w:szCs w:val="22"/>
        </w:rPr>
        <w:t>*</w:t>
      </w:r>
      <w:r w:rsidRPr="00C73FB9">
        <w:rPr>
          <w:noProof/>
          <w:sz w:val="22"/>
          <w:szCs w:val="22"/>
        </w:rPr>
        <w:tab/>
        <w:t>Bivirkningen er blevet rapporteret i forbindelse med erfaringer efter markedsføringen</w:t>
      </w:r>
    </w:p>
    <w:p w:rsidR="004475DF" w:rsidRPr="00C73FB9" w:rsidRDefault="004475DF" w:rsidP="004475DF">
      <w:pPr>
        <w:ind w:left="993" w:hanging="142"/>
        <w:rPr>
          <w:noProof/>
          <w:sz w:val="22"/>
          <w:szCs w:val="22"/>
        </w:rPr>
      </w:pPr>
      <w:r w:rsidRPr="00C73FB9">
        <w:rPr>
          <w:noProof/>
          <w:sz w:val="22"/>
          <w:szCs w:val="22"/>
          <w:vertAlign w:val="superscript"/>
        </w:rPr>
        <w:t>$</w:t>
      </w:r>
      <w:r w:rsidRPr="00C73FB9">
        <w:rPr>
          <w:noProof/>
          <w:sz w:val="22"/>
          <w:szCs w:val="22"/>
        </w:rPr>
        <w:tab/>
        <w:t xml:space="preserve">Bivirkningen er blevet rapporteret i forbindelse med et klinisk fase III-forsøg med </w:t>
      </w:r>
      <w:r w:rsidR="00332920">
        <w:rPr>
          <w:noProof/>
          <w:sz w:val="22"/>
          <w:szCs w:val="22"/>
        </w:rPr>
        <w:t>Tacronova</w:t>
      </w:r>
      <w:r w:rsidRPr="00C73FB9">
        <w:rPr>
          <w:noProof/>
          <w:sz w:val="22"/>
          <w:szCs w:val="22"/>
        </w:rPr>
        <w:t xml:space="preserve"> 0,1 % salve</w:t>
      </w:r>
    </w:p>
    <w:p w:rsidR="004475DF" w:rsidRPr="007459E2" w:rsidRDefault="004475DF" w:rsidP="004475DF">
      <w:pPr>
        <w:ind w:left="851" w:hanging="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Postmarketing</w:t>
      </w:r>
    </w:p>
    <w:p w:rsidR="004475DF" w:rsidRPr="007459E2" w:rsidRDefault="004475DF" w:rsidP="004475DF">
      <w:pPr>
        <w:ind w:left="851"/>
        <w:rPr>
          <w:noProof/>
          <w:sz w:val="24"/>
          <w:szCs w:val="24"/>
        </w:rPr>
      </w:pPr>
      <w:r w:rsidRPr="007459E2">
        <w:rPr>
          <w:noProof/>
          <w:sz w:val="24"/>
          <w:szCs w:val="24"/>
        </w:rPr>
        <w:t>Der er rapporteret maligniteter inkl</w:t>
      </w:r>
      <w:r>
        <w:rPr>
          <w:noProof/>
          <w:sz w:val="24"/>
          <w:szCs w:val="24"/>
        </w:rPr>
        <w:t>usive</w:t>
      </w:r>
      <w:r w:rsidRPr="007459E2">
        <w:rPr>
          <w:noProof/>
          <w:sz w:val="24"/>
          <w:szCs w:val="24"/>
        </w:rPr>
        <w:t xml:space="preserve"> kutane (f.eks. kutan T-celle lymfom) og andre typer lymfomer og hudcancere hos patienter behandlet med tacrolimus-salve (se pkt. 4.4).</w:t>
      </w:r>
    </w:p>
    <w:p w:rsidR="004475DF" w:rsidRPr="007459E2" w:rsidRDefault="004475DF" w:rsidP="004475DF">
      <w:pPr>
        <w:ind w:left="851"/>
        <w:rPr>
          <w:noProof/>
          <w:sz w:val="24"/>
          <w:szCs w:val="24"/>
        </w:rPr>
      </w:pPr>
    </w:p>
    <w:p w:rsidR="004475DF" w:rsidRPr="007459E2" w:rsidRDefault="004475DF" w:rsidP="004475DF">
      <w:pPr>
        <w:ind w:left="851"/>
        <w:rPr>
          <w:noProof/>
          <w:sz w:val="24"/>
          <w:szCs w:val="24"/>
          <w:u w:val="single"/>
        </w:rPr>
      </w:pPr>
      <w:r w:rsidRPr="007459E2">
        <w:rPr>
          <w:noProof/>
          <w:sz w:val="24"/>
          <w:szCs w:val="24"/>
          <w:u w:val="single"/>
        </w:rPr>
        <w:t>Vedligeholdelsesbehandling</w:t>
      </w:r>
    </w:p>
    <w:p w:rsidR="004475DF" w:rsidRPr="007459E2" w:rsidRDefault="004475DF" w:rsidP="004475DF">
      <w:pPr>
        <w:ind w:left="851"/>
        <w:rPr>
          <w:i/>
          <w:noProof/>
          <w:sz w:val="24"/>
          <w:szCs w:val="24"/>
        </w:rPr>
      </w:pPr>
      <w:r w:rsidRPr="007459E2">
        <w:rPr>
          <w:noProof/>
          <w:sz w:val="24"/>
          <w:szCs w:val="24"/>
        </w:rPr>
        <w:t>I et studie med vedligeholdelsesbehandling (behandling to gange ugentlig) hos voksne og børn med moderat til svær atopisk dermatitis forekom følgende bivirkninger oftere end i kontrolgruppen: impetigo på applikationsstedet (7,7 % hos børn) og infektioner på applikationsstedet (6,4 % hos børn og 6,3 % hos voksne).</w:t>
      </w:r>
    </w:p>
    <w:p w:rsidR="004475DF" w:rsidRPr="007459E2" w:rsidRDefault="004475DF" w:rsidP="004475DF">
      <w:pPr>
        <w:ind w:left="851"/>
        <w:rPr>
          <w:i/>
          <w:noProof/>
          <w:sz w:val="24"/>
          <w:szCs w:val="24"/>
        </w:rPr>
      </w:pPr>
    </w:p>
    <w:p w:rsidR="00332920" w:rsidRPr="008F49E1" w:rsidRDefault="00332920"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32920" w:rsidRPr="008F49E1" w:rsidRDefault="00332920"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332920" w:rsidRPr="008F49E1" w:rsidRDefault="00332920" w:rsidP="002A1420">
      <w:pPr>
        <w:ind w:left="851"/>
        <w:rPr>
          <w:sz w:val="24"/>
          <w:szCs w:val="24"/>
          <w:lang w:eastAsia="da-DK"/>
        </w:rPr>
      </w:pPr>
    </w:p>
    <w:p w:rsidR="00332920" w:rsidRPr="007A276A" w:rsidRDefault="00332920" w:rsidP="002A1420">
      <w:pPr>
        <w:ind w:left="851"/>
        <w:rPr>
          <w:sz w:val="24"/>
          <w:szCs w:val="24"/>
          <w:lang w:eastAsia="da-DK"/>
        </w:rPr>
      </w:pPr>
      <w:r w:rsidRPr="007A276A">
        <w:rPr>
          <w:sz w:val="24"/>
          <w:szCs w:val="24"/>
          <w:lang w:eastAsia="da-DK"/>
        </w:rPr>
        <w:t>Lægemiddelstyrelsen</w:t>
      </w:r>
    </w:p>
    <w:p w:rsidR="00332920" w:rsidRPr="007A276A" w:rsidRDefault="00332920" w:rsidP="002A1420">
      <w:pPr>
        <w:ind w:left="851"/>
        <w:rPr>
          <w:sz w:val="24"/>
          <w:szCs w:val="24"/>
          <w:lang w:eastAsia="da-DK"/>
        </w:rPr>
      </w:pPr>
      <w:r w:rsidRPr="007A276A">
        <w:rPr>
          <w:sz w:val="24"/>
          <w:szCs w:val="24"/>
          <w:lang w:eastAsia="da-DK"/>
        </w:rPr>
        <w:t>Axel Heides Gade 1</w:t>
      </w:r>
    </w:p>
    <w:p w:rsidR="00332920" w:rsidRPr="007A276A" w:rsidRDefault="00332920" w:rsidP="002A1420">
      <w:pPr>
        <w:ind w:left="851"/>
        <w:rPr>
          <w:sz w:val="24"/>
          <w:szCs w:val="24"/>
          <w:lang w:eastAsia="da-DK"/>
        </w:rPr>
      </w:pPr>
      <w:r w:rsidRPr="007A276A">
        <w:rPr>
          <w:sz w:val="24"/>
          <w:szCs w:val="24"/>
          <w:lang w:eastAsia="da-DK"/>
        </w:rPr>
        <w:t>DK-2300 København S</w:t>
      </w:r>
    </w:p>
    <w:p w:rsidR="00332920" w:rsidRPr="00332920" w:rsidRDefault="00332920" w:rsidP="002A1420">
      <w:pPr>
        <w:ind w:left="851"/>
        <w:rPr>
          <w:sz w:val="24"/>
          <w:szCs w:val="24"/>
          <w:lang w:eastAsia="da-DK"/>
        </w:rPr>
      </w:pPr>
      <w:r w:rsidRPr="00332920">
        <w:rPr>
          <w:sz w:val="24"/>
          <w:szCs w:val="24"/>
          <w:lang w:eastAsia="da-DK"/>
        </w:rPr>
        <w:t xml:space="preserve">Websted: </w:t>
      </w:r>
      <w:hyperlink r:id="rId8" w:history="1">
        <w:r w:rsidRPr="009C0807">
          <w:rPr>
            <w:rStyle w:val="Hyperlink"/>
            <w:sz w:val="24"/>
            <w:lang w:eastAsia="da-DK"/>
          </w:rPr>
          <w:t>www.meldenbivirkning.dk</w:t>
        </w:r>
      </w:hyperlink>
      <w:r>
        <w:rPr>
          <w:sz w:val="24"/>
          <w:lang w:eastAsia="da-DK"/>
        </w:rPr>
        <w:t xml:space="preserve"> </w:t>
      </w:r>
    </w:p>
    <w:p w:rsidR="004475DF" w:rsidRPr="00332920" w:rsidRDefault="004475DF" w:rsidP="004475DF">
      <w:pPr>
        <w:pStyle w:val="Sidehoved"/>
        <w:tabs>
          <w:tab w:val="clear" w:pos="4819"/>
          <w:tab w:val="clear" w:pos="9638"/>
        </w:tabs>
        <w:ind w:left="851" w:hanging="851"/>
        <w:rPr>
          <w:szCs w:val="24"/>
        </w:rPr>
      </w:pPr>
    </w:p>
    <w:p w:rsidR="004475DF" w:rsidRPr="007459E2" w:rsidRDefault="004475DF" w:rsidP="004475DF">
      <w:pPr>
        <w:ind w:left="851" w:hanging="851"/>
        <w:rPr>
          <w:b/>
          <w:sz w:val="24"/>
          <w:szCs w:val="24"/>
        </w:rPr>
      </w:pPr>
      <w:r w:rsidRPr="007459E2">
        <w:rPr>
          <w:b/>
          <w:sz w:val="24"/>
          <w:szCs w:val="24"/>
        </w:rPr>
        <w:t>4.9</w:t>
      </w:r>
      <w:r w:rsidRPr="007459E2">
        <w:rPr>
          <w:b/>
          <w:sz w:val="24"/>
          <w:szCs w:val="24"/>
        </w:rPr>
        <w:tab/>
        <w:t>Overdosering</w:t>
      </w:r>
    </w:p>
    <w:p w:rsidR="004475DF" w:rsidRPr="007459E2" w:rsidRDefault="004475DF" w:rsidP="004475DF">
      <w:pPr>
        <w:ind w:left="851"/>
        <w:rPr>
          <w:noProof/>
          <w:sz w:val="24"/>
          <w:szCs w:val="24"/>
        </w:rPr>
      </w:pPr>
      <w:r w:rsidRPr="007459E2">
        <w:rPr>
          <w:noProof/>
          <w:sz w:val="24"/>
          <w:szCs w:val="24"/>
        </w:rPr>
        <w:t>Overdosering som følge af lokal applikation er usandsynlig.</w:t>
      </w:r>
    </w:p>
    <w:p w:rsidR="004475DF" w:rsidRPr="007459E2" w:rsidRDefault="004475DF" w:rsidP="004475DF">
      <w:pPr>
        <w:ind w:left="851"/>
        <w:rPr>
          <w:noProof/>
          <w:sz w:val="24"/>
          <w:szCs w:val="24"/>
        </w:rPr>
      </w:pPr>
      <w:r w:rsidRPr="007459E2">
        <w:rPr>
          <w:noProof/>
          <w:sz w:val="24"/>
          <w:szCs w:val="24"/>
        </w:rPr>
        <w:t>Hvis salven indtages oralt kan almindelige støtteforanstaltninger komme på tale. Disse kan omfatte måling af vitale tegn samt observation af klinisk status. På grund af salve</w:t>
      </w:r>
      <w:r w:rsidRPr="007459E2">
        <w:rPr>
          <w:noProof/>
          <w:sz w:val="24"/>
          <w:szCs w:val="24"/>
        </w:rPr>
        <w:softHyphen/>
        <w:t>grundlagets sammensætning kan provokation af opkastning eller maveskylning ikke anbefales.</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4.10</w:t>
      </w:r>
      <w:r w:rsidRPr="007459E2">
        <w:rPr>
          <w:b/>
          <w:sz w:val="24"/>
          <w:szCs w:val="24"/>
        </w:rPr>
        <w:tab/>
        <w:t>Udlevering</w:t>
      </w:r>
    </w:p>
    <w:p w:rsidR="004475DF" w:rsidRPr="007459E2" w:rsidRDefault="004475DF" w:rsidP="004475DF">
      <w:pPr>
        <w:ind w:left="851"/>
        <w:rPr>
          <w:sz w:val="24"/>
          <w:szCs w:val="24"/>
        </w:rPr>
      </w:pPr>
      <w:r w:rsidRPr="007459E2">
        <w:rPr>
          <w:sz w:val="24"/>
          <w:szCs w:val="24"/>
        </w:rPr>
        <w:t>A</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w:t>
      </w:r>
      <w:r w:rsidRPr="007459E2">
        <w:rPr>
          <w:b/>
          <w:sz w:val="24"/>
          <w:szCs w:val="24"/>
        </w:rPr>
        <w:tab/>
        <w:t>FARMAKOLOGISKE EGENSKABER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5.1</w:t>
      </w:r>
      <w:r w:rsidRPr="007459E2">
        <w:rPr>
          <w:b/>
          <w:sz w:val="24"/>
          <w:szCs w:val="24"/>
        </w:rPr>
        <w:tab/>
      </w:r>
      <w:proofErr w:type="spellStart"/>
      <w:r w:rsidRPr="007459E2">
        <w:rPr>
          <w:b/>
          <w:sz w:val="24"/>
          <w:szCs w:val="24"/>
        </w:rPr>
        <w:t>Farmakodynamiske</w:t>
      </w:r>
      <w:proofErr w:type="spellEnd"/>
      <w:r w:rsidRPr="007459E2">
        <w:rPr>
          <w:b/>
          <w:sz w:val="24"/>
          <w:szCs w:val="24"/>
        </w:rPr>
        <w:t xml:space="preserve"> egenskaber</w:t>
      </w:r>
    </w:p>
    <w:p w:rsidR="004475DF" w:rsidRDefault="00D851D4" w:rsidP="004475D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459E2">
        <w:rPr>
          <w:sz w:val="24"/>
          <w:szCs w:val="24"/>
        </w:rPr>
        <w:t>Dermatologiske midler, andre.</w:t>
      </w:r>
    </w:p>
    <w:p w:rsidR="00D851D4" w:rsidRDefault="00D851D4" w:rsidP="004475DF">
      <w:pPr>
        <w:ind w:left="851"/>
        <w:rPr>
          <w:sz w:val="24"/>
          <w:szCs w:val="24"/>
        </w:rPr>
      </w:pPr>
      <w:r w:rsidRPr="007459E2">
        <w:rPr>
          <w:sz w:val="24"/>
          <w:szCs w:val="24"/>
        </w:rPr>
        <w:t>ATC-kode: D 11 AH 01.</w:t>
      </w:r>
    </w:p>
    <w:p w:rsidR="00D851D4" w:rsidRPr="007459E2" w:rsidRDefault="00D851D4" w:rsidP="004475DF">
      <w:pPr>
        <w:ind w:left="851"/>
        <w:rPr>
          <w:sz w:val="24"/>
          <w:szCs w:val="24"/>
          <w:u w:val="single"/>
        </w:rPr>
      </w:pPr>
    </w:p>
    <w:p w:rsidR="004475DF" w:rsidRPr="007459E2" w:rsidRDefault="004475DF" w:rsidP="004475DF">
      <w:pPr>
        <w:ind w:left="851"/>
        <w:rPr>
          <w:sz w:val="24"/>
          <w:szCs w:val="24"/>
          <w:u w:val="single"/>
        </w:rPr>
      </w:pPr>
      <w:r w:rsidRPr="007459E2">
        <w:rPr>
          <w:sz w:val="24"/>
          <w:szCs w:val="24"/>
          <w:u w:val="single"/>
        </w:rPr>
        <w:lastRenderedPageBreak/>
        <w:t xml:space="preserve">Virkningsmekanisme og </w:t>
      </w:r>
      <w:proofErr w:type="spellStart"/>
      <w:r w:rsidRPr="007459E2">
        <w:rPr>
          <w:sz w:val="24"/>
          <w:szCs w:val="24"/>
          <w:u w:val="single"/>
        </w:rPr>
        <w:t>farmakodynamisk</w:t>
      </w:r>
      <w:proofErr w:type="spellEnd"/>
      <w:r w:rsidRPr="007459E2">
        <w:rPr>
          <w:sz w:val="24"/>
          <w:szCs w:val="24"/>
          <w:u w:val="single"/>
        </w:rPr>
        <w:t xml:space="preserve"> virkning</w:t>
      </w: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xml:space="preserve"> virkningsmekanisme ved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ikke fuldt klarlagt. Følgende er observeret, men den kliniske betydning af disse observationer ved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ikke kendt.</w:t>
      </w:r>
    </w:p>
    <w:p w:rsidR="004475DF" w:rsidRPr="007459E2" w:rsidRDefault="004475DF" w:rsidP="004475DF">
      <w:pPr>
        <w:ind w:left="851"/>
        <w:rPr>
          <w:sz w:val="24"/>
          <w:szCs w:val="24"/>
        </w:rPr>
      </w:pPr>
      <w:r w:rsidRPr="007459E2">
        <w:rPr>
          <w:sz w:val="24"/>
          <w:szCs w:val="24"/>
        </w:rPr>
        <w:t xml:space="preserve">Via binding til et specifikt cytoplasmisk </w:t>
      </w:r>
      <w:proofErr w:type="spellStart"/>
      <w:r w:rsidRPr="007459E2">
        <w:rPr>
          <w:sz w:val="24"/>
          <w:szCs w:val="24"/>
        </w:rPr>
        <w:t>immunophilin</w:t>
      </w:r>
      <w:proofErr w:type="spellEnd"/>
      <w:r w:rsidRPr="007459E2">
        <w:rPr>
          <w:sz w:val="24"/>
          <w:szCs w:val="24"/>
        </w:rPr>
        <w:t xml:space="preserve"> (FKBP12) hæmmer </w:t>
      </w:r>
      <w:proofErr w:type="spellStart"/>
      <w:r w:rsidRPr="007459E2">
        <w:rPr>
          <w:sz w:val="24"/>
          <w:szCs w:val="24"/>
        </w:rPr>
        <w:t>tacrolimus</w:t>
      </w:r>
      <w:proofErr w:type="spellEnd"/>
      <w:r w:rsidRPr="007459E2">
        <w:rPr>
          <w:sz w:val="24"/>
          <w:szCs w:val="24"/>
        </w:rPr>
        <w:t xml:space="preserve"> calciumafhængig </w:t>
      </w:r>
      <w:proofErr w:type="spellStart"/>
      <w:r w:rsidRPr="007459E2">
        <w:rPr>
          <w:sz w:val="24"/>
          <w:szCs w:val="24"/>
        </w:rPr>
        <w:t>signaltransduktion</w:t>
      </w:r>
      <w:proofErr w:type="spellEnd"/>
      <w:r w:rsidRPr="007459E2">
        <w:rPr>
          <w:sz w:val="24"/>
          <w:szCs w:val="24"/>
        </w:rPr>
        <w:t xml:space="preserve"> i T-celler og hindrer på denne måde </w:t>
      </w:r>
      <w:proofErr w:type="spellStart"/>
      <w:r w:rsidRPr="007459E2">
        <w:rPr>
          <w:sz w:val="24"/>
          <w:szCs w:val="24"/>
        </w:rPr>
        <w:t>transkription</w:t>
      </w:r>
      <w:proofErr w:type="spellEnd"/>
      <w:r w:rsidRPr="007459E2">
        <w:rPr>
          <w:sz w:val="24"/>
          <w:szCs w:val="24"/>
        </w:rPr>
        <w:t xml:space="preserve"> og syntese af IL-2, IL-3, IL-4, IL-5 og andre cytokiner som GM-CSF, TNF-α og IFN-γ.</w:t>
      </w:r>
    </w:p>
    <w:p w:rsidR="004475DF" w:rsidRPr="007459E2" w:rsidRDefault="004475DF" w:rsidP="004475DF">
      <w:pPr>
        <w:ind w:left="851"/>
        <w:rPr>
          <w:sz w:val="24"/>
          <w:szCs w:val="24"/>
        </w:rPr>
      </w:pPr>
      <w:r w:rsidRPr="007459E2">
        <w:rPr>
          <w:i/>
          <w:iCs/>
          <w:sz w:val="24"/>
          <w:szCs w:val="24"/>
        </w:rPr>
        <w:t xml:space="preserve">In </w:t>
      </w:r>
      <w:proofErr w:type="spellStart"/>
      <w:r w:rsidRPr="007459E2">
        <w:rPr>
          <w:i/>
          <w:iCs/>
          <w:sz w:val="24"/>
          <w:szCs w:val="24"/>
        </w:rPr>
        <w:t>vitro</w:t>
      </w:r>
      <w:proofErr w:type="spellEnd"/>
      <w:r w:rsidRPr="007459E2">
        <w:rPr>
          <w:i/>
          <w:iCs/>
          <w:sz w:val="24"/>
          <w:szCs w:val="24"/>
        </w:rPr>
        <w:t xml:space="preserve"> </w:t>
      </w:r>
      <w:r w:rsidRPr="007459E2">
        <w:rPr>
          <w:sz w:val="24"/>
          <w:szCs w:val="24"/>
        </w:rPr>
        <w:t xml:space="preserve">reducerer </w:t>
      </w:r>
      <w:proofErr w:type="spellStart"/>
      <w:r w:rsidRPr="007459E2">
        <w:rPr>
          <w:sz w:val="24"/>
          <w:szCs w:val="24"/>
        </w:rPr>
        <w:t>tacrolimus</w:t>
      </w:r>
      <w:proofErr w:type="spellEnd"/>
      <w:r w:rsidRPr="007459E2">
        <w:rPr>
          <w:sz w:val="24"/>
          <w:szCs w:val="24"/>
        </w:rPr>
        <w:t xml:space="preserve"> den stimulerende effekt på T-celler i Langerhanske celler isoleret fra normal human hud. </w:t>
      </w:r>
      <w:proofErr w:type="spellStart"/>
      <w:r w:rsidRPr="007459E2">
        <w:rPr>
          <w:sz w:val="24"/>
          <w:szCs w:val="24"/>
        </w:rPr>
        <w:t>Tacrolimus</w:t>
      </w:r>
      <w:proofErr w:type="spellEnd"/>
      <w:r w:rsidRPr="007459E2">
        <w:rPr>
          <w:sz w:val="24"/>
          <w:szCs w:val="24"/>
        </w:rPr>
        <w:t xml:space="preserve"> er også vist at hæmme frigørelse af </w:t>
      </w:r>
      <w:proofErr w:type="spellStart"/>
      <w:r w:rsidRPr="007459E2">
        <w:rPr>
          <w:sz w:val="24"/>
          <w:szCs w:val="24"/>
        </w:rPr>
        <w:t>inflammationsmediatorer</w:t>
      </w:r>
      <w:proofErr w:type="spellEnd"/>
      <w:r w:rsidRPr="007459E2">
        <w:rPr>
          <w:sz w:val="24"/>
          <w:szCs w:val="24"/>
        </w:rPr>
        <w:t xml:space="preserve"> fra </w:t>
      </w:r>
      <w:proofErr w:type="spellStart"/>
      <w:r w:rsidRPr="007459E2">
        <w:rPr>
          <w:sz w:val="24"/>
          <w:szCs w:val="24"/>
        </w:rPr>
        <w:t>hudmastceller</w:t>
      </w:r>
      <w:proofErr w:type="spellEnd"/>
      <w:r w:rsidRPr="007459E2">
        <w:rPr>
          <w:sz w:val="24"/>
          <w:szCs w:val="24"/>
        </w:rPr>
        <w:t xml:space="preserve"> og fra </w:t>
      </w:r>
      <w:proofErr w:type="spellStart"/>
      <w:r w:rsidRPr="007459E2">
        <w:rPr>
          <w:sz w:val="24"/>
          <w:szCs w:val="24"/>
        </w:rPr>
        <w:t>basofile</w:t>
      </w:r>
      <w:proofErr w:type="spellEnd"/>
      <w:r w:rsidRPr="007459E2">
        <w:rPr>
          <w:sz w:val="24"/>
          <w:szCs w:val="24"/>
        </w:rPr>
        <w:t xml:space="preserve"> og </w:t>
      </w:r>
      <w:proofErr w:type="spellStart"/>
      <w:r w:rsidRPr="007459E2">
        <w:rPr>
          <w:sz w:val="24"/>
          <w:szCs w:val="24"/>
        </w:rPr>
        <w:t>eosinofile</w:t>
      </w:r>
      <w:proofErr w:type="spellEnd"/>
      <w:r w:rsidRPr="007459E2">
        <w:rPr>
          <w:sz w:val="24"/>
          <w:szCs w:val="24"/>
        </w:rPr>
        <w:t xml:space="preserve"> leukocytter.</w:t>
      </w:r>
    </w:p>
    <w:p w:rsidR="004475DF" w:rsidRPr="007459E2" w:rsidRDefault="004475DF" w:rsidP="004475DF">
      <w:pPr>
        <w:ind w:left="851"/>
        <w:rPr>
          <w:sz w:val="24"/>
          <w:szCs w:val="24"/>
        </w:rPr>
      </w:pPr>
      <w:r w:rsidRPr="007459E2">
        <w:rPr>
          <w:sz w:val="24"/>
          <w:szCs w:val="24"/>
        </w:rPr>
        <w:t xml:space="preserve">Hos dyr undertrykker </w:t>
      </w:r>
      <w:proofErr w:type="spellStart"/>
      <w:r w:rsidRPr="007459E2">
        <w:rPr>
          <w:sz w:val="24"/>
          <w:szCs w:val="24"/>
        </w:rPr>
        <w:t>tacrolimus</w:t>
      </w:r>
      <w:proofErr w:type="spellEnd"/>
      <w:r w:rsidRPr="007459E2">
        <w:rPr>
          <w:sz w:val="24"/>
          <w:szCs w:val="24"/>
        </w:rPr>
        <w:t xml:space="preserve">-salve inflammatoriske reaktioner i eksperimentelle og spontane </w:t>
      </w:r>
      <w:proofErr w:type="spellStart"/>
      <w:r w:rsidRPr="007459E2">
        <w:rPr>
          <w:sz w:val="24"/>
          <w:szCs w:val="24"/>
        </w:rPr>
        <w:t>dermatitismodeller</w:t>
      </w:r>
      <w:proofErr w:type="spellEnd"/>
      <w:r w:rsidRPr="007459E2">
        <w:rPr>
          <w:sz w:val="24"/>
          <w:szCs w:val="24"/>
        </w:rPr>
        <w:t xml:space="preserve">, der ligner den humane </w:t>
      </w:r>
      <w:proofErr w:type="spellStart"/>
      <w:r w:rsidRPr="007459E2">
        <w:rPr>
          <w:sz w:val="24"/>
          <w:szCs w:val="24"/>
        </w:rPr>
        <w:t>atopiske</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w:t>
      </w:r>
      <w:proofErr w:type="spellStart"/>
      <w:r w:rsidRPr="007459E2">
        <w:rPr>
          <w:sz w:val="24"/>
          <w:szCs w:val="24"/>
        </w:rPr>
        <w:t>Tacrolimus</w:t>
      </w:r>
      <w:proofErr w:type="spellEnd"/>
      <w:r w:rsidRPr="007459E2">
        <w:rPr>
          <w:sz w:val="24"/>
          <w:szCs w:val="24"/>
        </w:rPr>
        <w:t xml:space="preserve">-salve reducerede ikke hudtykkelsen og gav ikke hudatrofi hos dyr. </w:t>
      </w:r>
    </w:p>
    <w:p w:rsidR="004475DF" w:rsidRPr="007459E2" w:rsidRDefault="004475DF" w:rsidP="004475DF">
      <w:pPr>
        <w:ind w:left="851"/>
        <w:rPr>
          <w:sz w:val="24"/>
          <w:szCs w:val="24"/>
        </w:rPr>
      </w:pPr>
      <w:r w:rsidRPr="007459E2">
        <w:rPr>
          <w:sz w:val="24"/>
          <w:szCs w:val="24"/>
        </w:rPr>
        <w:t xml:space="preserve">Hos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var bedringen af hudlæsioner under salvebehandling med </w:t>
      </w:r>
      <w:proofErr w:type="spellStart"/>
      <w:r w:rsidRPr="007459E2">
        <w:rPr>
          <w:sz w:val="24"/>
          <w:szCs w:val="24"/>
        </w:rPr>
        <w:t>tacrolimus</w:t>
      </w:r>
      <w:proofErr w:type="spellEnd"/>
      <w:r w:rsidRPr="007459E2">
        <w:rPr>
          <w:sz w:val="24"/>
          <w:szCs w:val="24"/>
        </w:rPr>
        <w:t xml:space="preserve"> ledsaget af reduceret Fc-receptor-ekspression på Langerhanske celler og en reduktion af deres </w:t>
      </w:r>
      <w:proofErr w:type="spellStart"/>
      <w:r w:rsidRPr="007459E2">
        <w:rPr>
          <w:sz w:val="24"/>
          <w:szCs w:val="24"/>
        </w:rPr>
        <w:t>hyperstimulerende</w:t>
      </w:r>
      <w:proofErr w:type="spellEnd"/>
      <w:r w:rsidRPr="007459E2">
        <w:rPr>
          <w:sz w:val="24"/>
          <w:szCs w:val="24"/>
        </w:rPr>
        <w:t xml:space="preserve"> effekt på T-celler. </w:t>
      </w:r>
      <w:proofErr w:type="spellStart"/>
      <w:r w:rsidRPr="007459E2">
        <w:rPr>
          <w:sz w:val="24"/>
          <w:szCs w:val="24"/>
        </w:rPr>
        <w:t>Tacrolimus</w:t>
      </w:r>
      <w:proofErr w:type="spellEnd"/>
      <w:r w:rsidRPr="007459E2">
        <w:rPr>
          <w:sz w:val="24"/>
          <w:szCs w:val="24"/>
        </w:rPr>
        <w:t xml:space="preserve">-salve har ingen effekt på </w:t>
      </w:r>
      <w:proofErr w:type="spellStart"/>
      <w:r w:rsidRPr="007459E2">
        <w:rPr>
          <w:sz w:val="24"/>
          <w:szCs w:val="24"/>
        </w:rPr>
        <w:t>kollagensyntesen</w:t>
      </w:r>
      <w:proofErr w:type="spellEnd"/>
      <w:r w:rsidRPr="007459E2">
        <w:rPr>
          <w:sz w:val="24"/>
          <w:szCs w:val="24"/>
        </w:rPr>
        <w:t xml:space="preserve"> hos mennesker.</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Klinisk virkning og sikkerhed</w:t>
      </w:r>
    </w:p>
    <w:p w:rsidR="004475DF" w:rsidRPr="007459E2" w:rsidRDefault="004475DF" w:rsidP="004475DF">
      <w:pPr>
        <w:ind w:left="851"/>
        <w:rPr>
          <w:sz w:val="24"/>
          <w:szCs w:val="24"/>
        </w:rPr>
      </w:pPr>
      <w:r w:rsidRPr="007459E2">
        <w:rPr>
          <w:sz w:val="24"/>
          <w:szCs w:val="24"/>
        </w:rPr>
        <w:t xml:space="preserve">Virkning og sikkerhed er blevet undersøgt hos mere end 18.500 patienter behandlet med originalproduktets </w:t>
      </w:r>
      <w:proofErr w:type="spellStart"/>
      <w:r w:rsidRPr="007459E2">
        <w:rPr>
          <w:sz w:val="24"/>
          <w:szCs w:val="24"/>
        </w:rPr>
        <w:t>tacrolimus</w:t>
      </w:r>
      <w:proofErr w:type="spellEnd"/>
      <w:r w:rsidRPr="007459E2">
        <w:rPr>
          <w:sz w:val="24"/>
          <w:szCs w:val="24"/>
        </w:rPr>
        <w:t>-salver i fase I til fase III kliniske afprøvninger. Data fra seks større afprøvninger bliver vist her.</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 xml:space="preserve">I en seks-måneders multicenter, dobbelt-blind, randomiseret afprøvning blev 0,1 % </w:t>
      </w:r>
      <w:proofErr w:type="spellStart"/>
      <w:r w:rsidRPr="007459E2">
        <w:rPr>
          <w:sz w:val="24"/>
          <w:szCs w:val="24"/>
        </w:rPr>
        <w:t>tacrolimus</w:t>
      </w:r>
      <w:proofErr w:type="spellEnd"/>
      <w:r w:rsidRPr="007459E2">
        <w:rPr>
          <w:sz w:val="24"/>
          <w:szCs w:val="24"/>
        </w:rPr>
        <w:t xml:space="preserve">-salve administreret 2 gange om dagen til voksne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og blev sammenlignet med lokal </w:t>
      </w:r>
      <w:proofErr w:type="spellStart"/>
      <w:r w:rsidRPr="007459E2">
        <w:rPr>
          <w:sz w:val="24"/>
          <w:szCs w:val="24"/>
        </w:rPr>
        <w:t>kortikosteroidbehandling</w:t>
      </w:r>
      <w:proofErr w:type="spellEnd"/>
      <w:r w:rsidRPr="007459E2">
        <w:rPr>
          <w:sz w:val="24"/>
          <w:szCs w:val="24"/>
        </w:rPr>
        <w:t xml:space="preserve"> (0,1 % </w:t>
      </w:r>
      <w:proofErr w:type="spellStart"/>
      <w:r w:rsidRPr="007459E2">
        <w:rPr>
          <w:sz w:val="24"/>
          <w:szCs w:val="24"/>
        </w:rPr>
        <w:t>hydrocortisonbutyrat</w:t>
      </w:r>
      <w:proofErr w:type="spellEnd"/>
      <w:r w:rsidRPr="007459E2">
        <w:rPr>
          <w:sz w:val="24"/>
          <w:szCs w:val="24"/>
        </w:rPr>
        <w:t xml:space="preserve"> på kroppen og ekstremiteter og 1 % </w:t>
      </w:r>
      <w:proofErr w:type="spellStart"/>
      <w:r w:rsidRPr="007459E2">
        <w:rPr>
          <w:sz w:val="24"/>
          <w:szCs w:val="24"/>
        </w:rPr>
        <w:t>hydrocortisonacetat</w:t>
      </w:r>
      <w:proofErr w:type="spellEnd"/>
      <w:r w:rsidRPr="007459E2">
        <w:rPr>
          <w:sz w:val="24"/>
          <w:szCs w:val="24"/>
        </w:rPr>
        <w:t xml:space="preserve"> på ansigt og hals). Det primære endepunkt var responsraten ved måned 3, defineret som delen af patientgruppen med mindst 60 % forbedring i </w:t>
      </w:r>
      <w:proofErr w:type="spellStart"/>
      <w:r w:rsidRPr="007459E2">
        <w:rPr>
          <w:sz w:val="24"/>
          <w:szCs w:val="24"/>
        </w:rPr>
        <w:t>mEASI</w:t>
      </w:r>
      <w:proofErr w:type="spellEnd"/>
      <w:r w:rsidRPr="007459E2">
        <w:rPr>
          <w:sz w:val="24"/>
          <w:szCs w:val="24"/>
        </w:rPr>
        <w:t xml:space="preserve"> (</w:t>
      </w:r>
      <w:proofErr w:type="spellStart"/>
      <w:r w:rsidRPr="007459E2">
        <w:rPr>
          <w:sz w:val="24"/>
          <w:szCs w:val="24"/>
        </w:rPr>
        <w:t>modified</w:t>
      </w:r>
      <w:proofErr w:type="spellEnd"/>
      <w:r w:rsidRPr="007459E2">
        <w:rPr>
          <w:sz w:val="24"/>
          <w:szCs w:val="24"/>
        </w:rPr>
        <w:t xml:space="preserve"> </w:t>
      </w:r>
      <w:proofErr w:type="spellStart"/>
      <w:r w:rsidRPr="007459E2">
        <w:rPr>
          <w:sz w:val="24"/>
          <w:szCs w:val="24"/>
        </w:rPr>
        <w:t>Eczema</w:t>
      </w:r>
      <w:proofErr w:type="spellEnd"/>
      <w:r w:rsidRPr="007459E2">
        <w:rPr>
          <w:sz w:val="24"/>
          <w:szCs w:val="24"/>
        </w:rPr>
        <w:t xml:space="preserve"> </w:t>
      </w:r>
      <w:proofErr w:type="spellStart"/>
      <w:r w:rsidRPr="007459E2">
        <w:rPr>
          <w:sz w:val="24"/>
          <w:szCs w:val="24"/>
        </w:rPr>
        <w:t>Area</w:t>
      </w:r>
      <w:proofErr w:type="spellEnd"/>
      <w:r w:rsidRPr="007459E2">
        <w:rPr>
          <w:sz w:val="24"/>
          <w:szCs w:val="24"/>
        </w:rPr>
        <w:t xml:space="preserve"> and </w:t>
      </w:r>
      <w:proofErr w:type="spellStart"/>
      <w:r w:rsidRPr="007459E2">
        <w:rPr>
          <w:sz w:val="24"/>
          <w:szCs w:val="24"/>
        </w:rPr>
        <w:t>Severity</w:t>
      </w:r>
      <w:proofErr w:type="spellEnd"/>
      <w:r w:rsidRPr="007459E2">
        <w:rPr>
          <w:sz w:val="24"/>
          <w:szCs w:val="24"/>
        </w:rPr>
        <w:t xml:space="preserve"> Index) fra baseline til måned 3. Responsraten i 0,1 % </w:t>
      </w:r>
      <w:proofErr w:type="spellStart"/>
      <w:r w:rsidRPr="007459E2">
        <w:rPr>
          <w:sz w:val="24"/>
          <w:szCs w:val="24"/>
        </w:rPr>
        <w:t>tacrolimusgruppen</w:t>
      </w:r>
      <w:proofErr w:type="spellEnd"/>
      <w:r w:rsidRPr="007459E2">
        <w:rPr>
          <w:sz w:val="24"/>
          <w:szCs w:val="24"/>
        </w:rPr>
        <w:t xml:space="preserve"> (71,6 %) var signifikant højere end den i gruppen med lokal </w:t>
      </w:r>
      <w:proofErr w:type="spellStart"/>
      <w:r w:rsidRPr="007459E2">
        <w:rPr>
          <w:sz w:val="24"/>
          <w:szCs w:val="24"/>
        </w:rPr>
        <w:t>kortikosteroidbehandling</w:t>
      </w:r>
      <w:proofErr w:type="spellEnd"/>
      <w:r w:rsidRPr="007459E2">
        <w:rPr>
          <w:sz w:val="24"/>
          <w:szCs w:val="24"/>
        </w:rPr>
        <w:t xml:space="preserve"> (50,8 %, p &lt; 0,001; Tabel 1). Responsraten ved måned 6 svarede til resultaterne ved måned 3.</w:t>
      </w:r>
    </w:p>
    <w:p w:rsidR="004475DF" w:rsidRPr="007459E2" w:rsidRDefault="004475DF" w:rsidP="004475DF">
      <w:pPr>
        <w:ind w:left="851"/>
        <w:rPr>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1. Virkning af originalproduktets 0,1 % salve sammenlignet med lokal </w:t>
      </w:r>
      <w:proofErr w:type="spellStart"/>
      <w:r w:rsidRPr="007459E2">
        <w:rPr>
          <w:rFonts w:eastAsia="Calibri"/>
          <w:sz w:val="24"/>
          <w:szCs w:val="24"/>
        </w:rPr>
        <w:t>kortikosteroid</w:t>
      </w:r>
      <w:proofErr w:type="spellEnd"/>
      <w:r w:rsidRPr="007459E2">
        <w:rPr>
          <w:rFonts w:eastAsia="Calibri"/>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54"/>
        <w:gridCol w:w="3088"/>
        <w:gridCol w:w="3088"/>
      </w:tblGrid>
      <w:tr w:rsidR="004475DF" w:rsidRPr="007459E2" w:rsidTr="003B4BCE">
        <w:trPr>
          <w:trHeight w:val="20"/>
        </w:trPr>
        <w:tc>
          <w:tcPr>
            <w:tcW w:w="1793" w:type="pct"/>
            <w:tcBorders>
              <w:top w:val="single" w:sz="2" w:space="0" w:color="000000"/>
              <w:left w:val="single" w:sz="2" w:space="0" w:color="000000"/>
              <w:bottom w:val="single" w:sz="4" w:space="0" w:color="000000"/>
              <w:right w:val="single" w:sz="4" w:space="0" w:color="000000"/>
            </w:tcBorders>
          </w:tcPr>
          <w:p w:rsidR="004475DF" w:rsidRPr="007459E2" w:rsidRDefault="004475DF" w:rsidP="003B4BCE">
            <w:pPr>
              <w:rPr>
                <w:rFonts w:eastAsia="Calibri"/>
              </w:rPr>
            </w:pPr>
          </w:p>
        </w:tc>
        <w:tc>
          <w:tcPr>
            <w:tcW w:w="1603" w:type="pct"/>
            <w:tcBorders>
              <w:top w:val="single" w:sz="2" w:space="0" w:color="000000"/>
              <w:left w:val="single" w:sz="4" w:space="0" w:color="000000"/>
              <w:bottom w:val="single" w:sz="4" w:space="0" w:color="000000"/>
              <w:right w:val="single" w:sz="4" w:space="0" w:color="000000"/>
            </w:tcBorders>
          </w:tcPr>
          <w:p w:rsidR="004475DF" w:rsidRPr="007459E2" w:rsidRDefault="004475DF" w:rsidP="003B4BCE">
            <w:pPr>
              <w:rPr>
                <w:rFonts w:eastAsia="Calibri"/>
                <w:spacing w:val="1"/>
              </w:rPr>
            </w:pPr>
            <w:r w:rsidRPr="007459E2">
              <w:rPr>
                <w:rFonts w:eastAsia="Calibri"/>
                <w:spacing w:val="1"/>
              </w:rPr>
              <w:t xml:space="preserve">Lokal </w:t>
            </w:r>
            <w:proofErr w:type="spellStart"/>
            <w:r w:rsidRPr="007459E2">
              <w:rPr>
                <w:rFonts w:eastAsia="Calibri"/>
                <w:spacing w:val="1"/>
              </w:rPr>
              <w:t>kortikosteroidbehandling</w:t>
            </w:r>
            <w:proofErr w:type="spellEnd"/>
            <w:r w:rsidRPr="007459E2">
              <w:rPr>
                <w:rFonts w:eastAsia="Calibri"/>
                <w:spacing w:val="1"/>
              </w:rPr>
              <w:t xml:space="preserve"> § (</w:t>
            </w:r>
            <w:r w:rsidRPr="007459E2">
              <w:rPr>
                <w:rFonts w:eastAsia="Calibri"/>
                <w:spacing w:val="-1"/>
              </w:rPr>
              <w:t>N</w:t>
            </w:r>
            <w:r w:rsidRPr="007459E2">
              <w:rPr>
                <w:rFonts w:eastAsia="Calibri"/>
              </w:rPr>
              <w:t>=48</w:t>
            </w:r>
            <w:r w:rsidRPr="007459E2">
              <w:rPr>
                <w:rFonts w:eastAsia="Calibri"/>
                <w:spacing w:val="-2"/>
              </w:rPr>
              <w:t>5</w:t>
            </w:r>
            <w:r w:rsidRPr="007459E2">
              <w:rPr>
                <w:rFonts w:eastAsia="Calibri"/>
              </w:rPr>
              <w:t>)</w:t>
            </w:r>
          </w:p>
          <w:p w:rsidR="004475DF" w:rsidRPr="007459E2" w:rsidRDefault="004475DF" w:rsidP="003B4BCE">
            <w:pPr>
              <w:rPr>
                <w:rFonts w:eastAsia="Calibri"/>
                <w:spacing w:val="1"/>
              </w:rPr>
            </w:pPr>
          </w:p>
        </w:tc>
        <w:tc>
          <w:tcPr>
            <w:tcW w:w="1603" w:type="pct"/>
            <w:tcBorders>
              <w:top w:val="single" w:sz="2"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spacing w:val="1"/>
              </w:rPr>
            </w:pPr>
            <w:proofErr w:type="spellStart"/>
            <w:r w:rsidRPr="007459E2">
              <w:rPr>
                <w:rFonts w:eastAsia="Calibri"/>
                <w:spacing w:val="1"/>
              </w:rPr>
              <w:t>Tacrolimus</w:t>
            </w:r>
            <w:proofErr w:type="spellEnd"/>
            <w:r w:rsidRPr="007459E2">
              <w:rPr>
                <w:rFonts w:eastAsia="Calibri"/>
                <w:spacing w:val="1"/>
              </w:rPr>
              <w:t xml:space="preserve"> 0,1 % </w:t>
            </w:r>
          </w:p>
          <w:p w:rsidR="004475DF" w:rsidRPr="007459E2" w:rsidRDefault="004475DF" w:rsidP="003B4BCE">
            <w:pPr>
              <w:rPr>
                <w:rFonts w:eastAsia="Calibri"/>
              </w:rPr>
            </w:pPr>
            <w:r w:rsidRPr="007459E2">
              <w:rPr>
                <w:rFonts w:eastAsia="Calibri"/>
                <w:spacing w:val="1"/>
              </w:rPr>
              <w:t>(N=487)</w:t>
            </w:r>
            <w:r w:rsidRPr="007459E2">
              <w:rPr>
                <w:rFonts w:eastAsia="Calibri"/>
              </w:rPr>
              <w:t xml:space="preserve"> </w:t>
            </w:r>
          </w:p>
        </w:tc>
      </w:tr>
      <w:tr w:rsidR="004475DF" w:rsidRPr="007459E2" w:rsidTr="003B4BCE">
        <w:trPr>
          <w:trHeight w:val="20"/>
        </w:trPr>
        <w:tc>
          <w:tcPr>
            <w:tcW w:w="1793" w:type="pct"/>
            <w:tcBorders>
              <w:top w:val="single" w:sz="4" w:space="0" w:color="000000"/>
              <w:left w:val="single" w:sz="2"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spacing w:val="-1"/>
              </w:rPr>
              <w:t>Responsrate på ≥ 60 % bedring</w:t>
            </w:r>
            <w:r>
              <w:rPr>
                <w:rFonts w:eastAsia="Calibri"/>
                <w:spacing w:val="-1"/>
              </w:rPr>
              <w:t xml:space="preserve"> </w:t>
            </w:r>
            <w:r w:rsidRPr="007459E2">
              <w:rPr>
                <w:rFonts w:eastAsia="Calibri"/>
                <w:spacing w:val="-1"/>
              </w:rPr>
              <w:t xml:space="preserve">i </w:t>
            </w:r>
            <w:proofErr w:type="spellStart"/>
            <w:r w:rsidRPr="007459E2">
              <w:rPr>
                <w:rFonts w:eastAsia="Calibri"/>
                <w:spacing w:val="-1"/>
              </w:rPr>
              <w:t>mEASI</w:t>
            </w:r>
            <w:proofErr w:type="spellEnd"/>
            <w:r w:rsidRPr="007459E2">
              <w:rPr>
                <w:rFonts w:eastAsia="Calibri"/>
                <w:spacing w:val="-1"/>
              </w:rPr>
              <w:t xml:space="preserve"> (Primært </w:t>
            </w:r>
            <w:proofErr w:type="gramStart"/>
            <w:r w:rsidRPr="007459E2">
              <w:rPr>
                <w:rFonts w:eastAsia="Calibri"/>
                <w:spacing w:val="-1"/>
              </w:rPr>
              <w:t>endepunkt)§</w:t>
            </w:r>
            <w:proofErr w:type="gramEnd"/>
            <w:r w:rsidRPr="007459E2">
              <w:rPr>
                <w:rFonts w:eastAsia="Calibri"/>
                <w:spacing w:val="-1"/>
              </w:rPr>
              <w:t>§</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50,8 %</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71,6 %</w:t>
            </w:r>
          </w:p>
        </w:tc>
      </w:tr>
      <w:tr w:rsidR="004475DF" w:rsidRPr="007459E2" w:rsidTr="003B4BCE">
        <w:trPr>
          <w:trHeight w:val="20"/>
        </w:trPr>
        <w:tc>
          <w:tcPr>
            <w:tcW w:w="1793" w:type="pct"/>
            <w:tcBorders>
              <w:top w:val="single" w:sz="4" w:space="0" w:color="000000"/>
              <w:left w:val="single" w:sz="2"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spacing w:val="-1"/>
              </w:rPr>
              <w:t>Forbedring ≥ 90 % i lægens</w:t>
            </w:r>
            <w:r>
              <w:rPr>
                <w:rFonts w:eastAsia="Calibri"/>
                <w:spacing w:val="-1"/>
              </w:rPr>
              <w:t xml:space="preserve"> </w:t>
            </w:r>
            <w:r w:rsidRPr="007459E2">
              <w:rPr>
                <w:rFonts w:eastAsia="Calibri"/>
                <w:spacing w:val="-1"/>
              </w:rPr>
              <w:t>samlede vurdering</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28,5 %</w:t>
            </w:r>
          </w:p>
        </w:tc>
        <w:tc>
          <w:tcPr>
            <w:tcW w:w="160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47,7 %</w:t>
            </w:r>
          </w:p>
        </w:tc>
      </w:tr>
    </w:tbl>
    <w:p w:rsidR="004475DF" w:rsidRPr="00C73FB9" w:rsidRDefault="004475DF" w:rsidP="004475DF">
      <w:pPr>
        <w:ind w:left="284" w:hanging="284"/>
        <w:rPr>
          <w:rFonts w:eastAsia="Calibri"/>
          <w:sz w:val="22"/>
          <w:szCs w:val="22"/>
        </w:rPr>
      </w:pPr>
      <w:r w:rsidRPr="00C73FB9">
        <w:rPr>
          <w:rFonts w:eastAsia="Calibri"/>
          <w:sz w:val="22"/>
          <w:szCs w:val="22"/>
        </w:rPr>
        <w:t>§</w:t>
      </w:r>
      <w:r>
        <w:rPr>
          <w:rFonts w:eastAsia="Calibri"/>
          <w:sz w:val="22"/>
          <w:szCs w:val="22"/>
        </w:rPr>
        <w:tab/>
      </w:r>
      <w:r w:rsidRPr="00C73FB9">
        <w:rPr>
          <w:rFonts w:eastAsia="Calibri"/>
          <w:sz w:val="22"/>
          <w:szCs w:val="22"/>
        </w:rPr>
        <w:t xml:space="preserve">Lokal </w:t>
      </w:r>
      <w:proofErr w:type="spellStart"/>
      <w:r w:rsidRPr="00C73FB9">
        <w:rPr>
          <w:rFonts w:eastAsia="Calibri"/>
          <w:sz w:val="22"/>
          <w:szCs w:val="22"/>
        </w:rPr>
        <w:t>kortikosteroidbehandling</w:t>
      </w:r>
      <w:proofErr w:type="spellEnd"/>
      <w:r w:rsidRPr="00C73FB9">
        <w:rPr>
          <w:rFonts w:eastAsia="Calibri"/>
          <w:sz w:val="22"/>
          <w:szCs w:val="22"/>
        </w:rPr>
        <w:t xml:space="preserve"> = 0,1 % </w:t>
      </w:r>
      <w:proofErr w:type="spellStart"/>
      <w:r w:rsidRPr="00C73FB9">
        <w:rPr>
          <w:rFonts w:eastAsia="Calibri"/>
          <w:sz w:val="22"/>
          <w:szCs w:val="22"/>
        </w:rPr>
        <w:t>hydrocortisonbutyrat</w:t>
      </w:r>
      <w:proofErr w:type="spellEnd"/>
      <w:r w:rsidRPr="00C73FB9">
        <w:rPr>
          <w:rFonts w:eastAsia="Calibri"/>
          <w:sz w:val="22"/>
          <w:szCs w:val="22"/>
        </w:rPr>
        <w:t xml:space="preserve"> på krop og ekstremiteter, 1 % </w:t>
      </w:r>
      <w:proofErr w:type="spellStart"/>
      <w:r w:rsidRPr="00C73FB9">
        <w:rPr>
          <w:rFonts w:eastAsia="Calibri"/>
          <w:sz w:val="22"/>
          <w:szCs w:val="22"/>
        </w:rPr>
        <w:t>hydrocortisonacetat</w:t>
      </w:r>
      <w:proofErr w:type="spellEnd"/>
      <w:r w:rsidRPr="00C73FB9">
        <w:rPr>
          <w:rFonts w:eastAsia="Calibri"/>
          <w:sz w:val="22"/>
          <w:szCs w:val="22"/>
        </w:rPr>
        <w:t xml:space="preserve"> på ansigt og hals.</w:t>
      </w:r>
    </w:p>
    <w:p w:rsidR="004475DF" w:rsidRPr="00C73FB9" w:rsidRDefault="004475DF" w:rsidP="004475DF">
      <w:pPr>
        <w:ind w:left="284" w:hanging="284"/>
        <w:rPr>
          <w:rFonts w:eastAsia="Calibri"/>
          <w:sz w:val="22"/>
          <w:szCs w:val="22"/>
        </w:rPr>
      </w:pPr>
      <w:r>
        <w:rPr>
          <w:rFonts w:eastAsia="Calibri"/>
          <w:sz w:val="22"/>
          <w:szCs w:val="22"/>
        </w:rPr>
        <w:t>§§</w:t>
      </w:r>
      <w:r>
        <w:rPr>
          <w:rFonts w:eastAsia="Calibri"/>
          <w:sz w:val="22"/>
          <w:szCs w:val="22"/>
        </w:rPr>
        <w:tab/>
        <w:t>H</w:t>
      </w:r>
      <w:r w:rsidRPr="00C73FB9">
        <w:rPr>
          <w:rFonts w:eastAsia="Calibri"/>
          <w:sz w:val="22"/>
          <w:szCs w:val="22"/>
        </w:rPr>
        <w:t>øjere værdi = større bedring</w:t>
      </w:r>
    </w:p>
    <w:p w:rsidR="004475DF" w:rsidRPr="007459E2" w:rsidRDefault="004475DF" w:rsidP="004475DF">
      <w:pPr>
        <w:ind w:left="851" w:hanging="851"/>
        <w:rPr>
          <w:rFonts w:eastAsia="Calibri"/>
          <w:sz w:val="24"/>
          <w:szCs w:val="24"/>
        </w:rPr>
      </w:pPr>
    </w:p>
    <w:p w:rsidR="004475DF" w:rsidRPr="007459E2" w:rsidRDefault="004475DF" w:rsidP="004475DF">
      <w:pPr>
        <w:ind w:left="851"/>
        <w:rPr>
          <w:rFonts w:eastAsia="Calibri"/>
          <w:sz w:val="24"/>
          <w:szCs w:val="24"/>
        </w:rPr>
      </w:pPr>
      <w:proofErr w:type="spellStart"/>
      <w:r w:rsidRPr="007459E2">
        <w:rPr>
          <w:rFonts w:eastAsia="Calibri"/>
          <w:sz w:val="24"/>
          <w:szCs w:val="24"/>
        </w:rPr>
        <w:t>Incidens</w:t>
      </w:r>
      <w:proofErr w:type="spellEnd"/>
      <w:r w:rsidRPr="007459E2">
        <w:rPr>
          <w:rFonts w:eastAsia="Calibri"/>
          <w:sz w:val="24"/>
          <w:szCs w:val="24"/>
        </w:rPr>
        <w:t xml:space="preserve"> og natur af de fleste bivirkninger var ens i de to grupper. Brændende fornemmelse i huden, herpes </w:t>
      </w:r>
      <w:proofErr w:type="spellStart"/>
      <w:r w:rsidRPr="007459E2">
        <w:rPr>
          <w:rFonts w:eastAsia="Calibri"/>
          <w:sz w:val="24"/>
          <w:szCs w:val="24"/>
        </w:rPr>
        <w:t>simplex</w:t>
      </w:r>
      <w:proofErr w:type="spellEnd"/>
      <w:r w:rsidRPr="007459E2">
        <w:rPr>
          <w:rFonts w:eastAsia="Calibri"/>
          <w:sz w:val="24"/>
          <w:szCs w:val="24"/>
        </w:rPr>
        <w:t>, alkoholintolerance (</w:t>
      </w:r>
      <w:proofErr w:type="spellStart"/>
      <w:r w:rsidRPr="007459E2">
        <w:rPr>
          <w:rFonts w:eastAsia="Calibri"/>
          <w:sz w:val="24"/>
          <w:szCs w:val="24"/>
        </w:rPr>
        <w:t>facial</w:t>
      </w:r>
      <w:proofErr w:type="spellEnd"/>
      <w:r w:rsidRPr="007459E2">
        <w:rPr>
          <w:rFonts w:eastAsia="Calibri"/>
          <w:sz w:val="24"/>
          <w:szCs w:val="24"/>
        </w:rPr>
        <w:t xml:space="preserve"> </w:t>
      </w:r>
      <w:proofErr w:type="spellStart"/>
      <w:r w:rsidRPr="007459E2">
        <w:rPr>
          <w:rFonts w:eastAsia="Calibri"/>
          <w:sz w:val="24"/>
          <w:szCs w:val="24"/>
        </w:rPr>
        <w:t>flushing</w:t>
      </w:r>
      <w:proofErr w:type="spellEnd"/>
      <w:r w:rsidRPr="007459E2">
        <w:rPr>
          <w:rFonts w:eastAsia="Calibri"/>
          <w:sz w:val="24"/>
          <w:szCs w:val="24"/>
        </w:rPr>
        <w:t xml:space="preserve"> eller øget hudfølsomhed efter alkoholindtagelse), prikken i huden, </w:t>
      </w:r>
      <w:proofErr w:type="spellStart"/>
      <w:r w:rsidRPr="007459E2">
        <w:rPr>
          <w:rFonts w:eastAsia="Calibri"/>
          <w:sz w:val="24"/>
          <w:szCs w:val="24"/>
        </w:rPr>
        <w:t>hyperæstesi</w:t>
      </w:r>
      <w:proofErr w:type="spellEnd"/>
      <w:r w:rsidRPr="007459E2">
        <w:rPr>
          <w:rFonts w:eastAsia="Calibri"/>
          <w:sz w:val="24"/>
          <w:szCs w:val="24"/>
        </w:rPr>
        <w:t xml:space="preserve">, </w:t>
      </w:r>
      <w:proofErr w:type="spellStart"/>
      <w:r w:rsidRPr="007459E2">
        <w:rPr>
          <w:rFonts w:eastAsia="Calibri"/>
          <w:sz w:val="24"/>
          <w:szCs w:val="24"/>
        </w:rPr>
        <w:t>acne</w:t>
      </w:r>
      <w:proofErr w:type="spellEnd"/>
      <w:r w:rsidRPr="007459E2">
        <w:rPr>
          <w:rFonts w:eastAsia="Calibri"/>
          <w:sz w:val="24"/>
          <w:szCs w:val="24"/>
        </w:rPr>
        <w:t xml:space="preserve"> og </w:t>
      </w:r>
      <w:proofErr w:type="spellStart"/>
      <w:r w:rsidRPr="007459E2">
        <w:rPr>
          <w:rFonts w:eastAsia="Calibri"/>
          <w:sz w:val="24"/>
          <w:szCs w:val="24"/>
        </w:rPr>
        <w:t>fungal</w:t>
      </w:r>
      <w:proofErr w:type="spellEnd"/>
      <w:r w:rsidRPr="007459E2">
        <w:rPr>
          <w:rFonts w:eastAsia="Calibri"/>
          <w:sz w:val="24"/>
          <w:szCs w:val="24"/>
        </w:rPr>
        <w:t xml:space="preserve"> </w:t>
      </w:r>
      <w:proofErr w:type="spellStart"/>
      <w:r w:rsidRPr="007459E2">
        <w:rPr>
          <w:rFonts w:eastAsia="Calibri"/>
          <w:sz w:val="24"/>
          <w:szCs w:val="24"/>
        </w:rPr>
        <w:t>dermatitis</w:t>
      </w:r>
      <w:proofErr w:type="spellEnd"/>
      <w:r w:rsidRPr="007459E2">
        <w:rPr>
          <w:rFonts w:eastAsia="Calibri"/>
          <w:sz w:val="24"/>
          <w:szCs w:val="24"/>
        </w:rPr>
        <w:t xml:space="preserve"> forekom dog hyppigere i </w:t>
      </w:r>
      <w:proofErr w:type="spellStart"/>
      <w:r w:rsidRPr="007459E2">
        <w:rPr>
          <w:rFonts w:eastAsia="Calibri"/>
          <w:sz w:val="24"/>
          <w:szCs w:val="24"/>
        </w:rPr>
        <w:t>tacrolimusgruppen</w:t>
      </w:r>
      <w:proofErr w:type="spellEnd"/>
      <w:r w:rsidRPr="007459E2">
        <w:rPr>
          <w:rFonts w:eastAsia="Calibri"/>
          <w:sz w:val="24"/>
          <w:szCs w:val="24"/>
        </w:rPr>
        <w:t>. Der var ingen klinisk relevante ændringer i laboratorieværdier eller i vitale tegn i nogen af grupperne i studiets forløb.</w:t>
      </w:r>
    </w:p>
    <w:p w:rsidR="004475DF" w:rsidRPr="007459E2" w:rsidRDefault="004475DF" w:rsidP="004475DF">
      <w:pPr>
        <w:ind w:left="851" w:hanging="851"/>
        <w:rPr>
          <w:rFonts w:eastAsia="Calibri"/>
          <w:sz w:val="24"/>
          <w:szCs w:val="24"/>
        </w:rPr>
      </w:pPr>
    </w:p>
    <w:p w:rsidR="004475DF" w:rsidRPr="007459E2" w:rsidRDefault="004475DF" w:rsidP="004475DF">
      <w:pPr>
        <w:ind w:left="851"/>
        <w:rPr>
          <w:rFonts w:eastAsia="Calibri"/>
          <w:sz w:val="24"/>
          <w:szCs w:val="24"/>
        </w:rPr>
      </w:pPr>
      <w:r w:rsidRPr="007459E2">
        <w:rPr>
          <w:rFonts w:eastAsia="Calibri"/>
          <w:sz w:val="24"/>
          <w:szCs w:val="24"/>
        </w:rPr>
        <w:lastRenderedPageBreak/>
        <w:t xml:space="preserve">I den anden kliniske afprøvning blev børn i alderen 2 år til 15 år med moderat til svær </w:t>
      </w:r>
      <w:proofErr w:type="spellStart"/>
      <w:r w:rsidRPr="007459E2">
        <w:rPr>
          <w:rFonts w:eastAsia="Calibri"/>
          <w:sz w:val="24"/>
          <w:szCs w:val="24"/>
        </w:rPr>
        <w:t>atopisk</w:t>
      </w:r>
      <w:proofErr w:type="spellEnd"/>
      <w:r w:rsidRPr="007459E2">
        <w:rPr>
          <w:rFonts w:eastAsia="Calibri"/>
          <w:sz w:val="24"/>
          <w:szCs w:val="24"/>
        </w:rPr>
        <w:t xml:space="preserve"> </w:t>
      </w:r>
      <w:proofErr w:type="spellStart"/>
      <w:r w:rsidRPr="007459E2">
        <w:rPr>
          <w:rFonts w:eastAsia="Calibri"/>
          <w:sz w:val="24"/>
          <w:szCs w:val="24"/>
        </w:rPr>
        <w:t>dermatitis</w:t>
      </w:r>
      <w:proofErr w:type="spellEnd"/>
      <w:r w:rsidRPr="007459E2">
        <w:rPr>
          <w:rFonts w:eastAsia="Calibri"/>
          <w:sz w:val="24"/>
          <w:szCs w:val="24"/>
        </w:rPr>
        <w:t xml:space="preserve"> behandlet 2 gange om dagen i 3 uger med 0,03 % </w:t>
      </w:r>
      <w:proofErr w:type="spellStart"/>
      <w:r w:rsidRPr="007459E2">
        <w:rPr>
          <w:rFonts w:eastAsia="Calibri"/>
          <w:sz w:val="24"/>
          <w:szCs w:val="24"/>
        </w:rPr>
        <w:t>tacrolimus</w:t>
      </w:r>
      <w:proofErr w:type="spellEnd"/>
      <w:r w:rsidRPr="007459E2">
        <w:rPr>
          <w:rFonts w:eastAsia="Calibri"/>
          <w:sz w:val="24"/>
          <w:szCs w:val="24"/>
        </w:rPr>
        <w:t xml:space="preserve">-salve, 0,1 % </w:t>
      </w:r>
      <w:proofErr w:type="spellStart"/>
      <w:r w:rsidRPr="007459E2">
        <w:rPr>
          <w:rFonts w:eastAsia="Calibri"/>
          <w:sz w:val="24"/>
          <w:szCs w:val="24"/>
        </w:rPr>
        <w:t>tacrolimus</w:t>
      </w:r>
      <w:proofErr w:type="spellEnd"/>
      <w:r w:rsidRPr="007459E2">
        <w:rPr>
          <w:rFonts w:eastAsia="Calibri"/>
          <w:sz w:val="24"/>
          <w:szCs w:val="24"/>
        </w:rPr>
        <w:t xml:space="preserve">-salve eller 1 % </w:t>
      </w:r>
      <w:proofErr w:type="spellStart"/>
      <w:r w:rsidRPr="007459E2">
        <w:rPr>
          <w:rFonts w:eastAsia="Calibri"/>
          <w:sz w:val="24"/>
          <w:szCs w:val="24"/>
        </w:rPr>
        <w:t>hydrocortisonacetat</w:t>
      </w:r>
      <w:proofErr w:type="spellEnd"/>
      <w:r w:rsidRPr="007459E2">
        <w:rPr>
          <w:rFonts w:eastAsia="Calibri"/>
          <w:sz w:val="24"/>
          <w:szCs w:val="24"/>
        </w:rPr>
        <w:t xml:space="preserve">-salve. Det primære endepunkt var arealet under kurven (AUC) af </w:t>
      </w:r>
      <w:proofErr w:type="spellStart"/>
      <w:r w:rsidRPr="007459E2">
        <w:rPr>
          <w:rFonts w:eastAsia="Calibri"/>
          <w:sz w:val="24"/>
          <w:szCs w:val="24"/>
        </w:rPr>
        <w:t>mEASI</w:t>
      </w:r>
      <w:proofErr w:type="spellEnd"/>
      <w:r w:rsidRPr="007459E2">
        <w:rPr>
          <w:rFonts w:eastAsia="Calibri"/>
          <w:sz w:val="24"/>
          <w:szCs w:val="24"/>
        </w:rPr>
        <w:t xml:space="preserve"> som procent af baseline </w:t>
      </w:r>
      <w:proofErr w:type="spellStart"/>
      <w:r w:rsidRPr="007459E2">
        <w:rPr>
          <w:rFonts w:eastAsia="Calibri"/>
          <w:sz w:val="24"/>
          <w:szCs w:val="24"/>
        </w:rPr>
        <w:t>mean</w:t>
      </w:r>
      <w:proofErr w:type="spellEnd"/>
      <w:r w:rsidRPr="007459E2">
        <w:rPr>
          <w:rFonts w:eastAsia="Calibri"/>
          <w:sz w:val="24"/>
          <w:szCs w:val="24"/>
        </w:rPr>
        <w:t xml:space="preserve"> værdien i behandlings</w:t>
      </w:r>
      <w:r>
        <w:rPr>
          <w:rFonts w:eastAsia="Calibri"/>
          <w:sz w:val="24"/>
          <w:szCs w:val="24"/>
        </w:rPr>
        <w:softHyphen/>
      </w:r>
      <w:r w:rsidRPr="007459E2">
        <w:rPr>
          <w:rFonts w:eastAsia="Calibri"/>
          <w:sz w:val="24"/>
          <w:szCs w:val="24"/>
        </w:rPr>
        <w:t xml:space="preserve">perioden. Resultaterne af denne multicenter, dobbelt-blinde, randomiserede afprøvning viste at </w:t>
      </w:r>
      <w:proofErr w:type="spellStart"/>
      <w:r w:rsidRPr="007459E2">
        <w:rPr>
          <w:rFonts w:eastAsia="Calibri"/>
          <w:sz w:val="24"/>
          <w:szCs w:val="24"/>
        </w:rPr>
        <w:t>tacrolimus</w:t>
      </w:r>
      <w:proofErr w:type="spellEnd"/>
      <w:r w:rsidRPr="007459E2">
        <w:rPr>
          <w:rFonts w:eastAsia="Calibri"/>
          <w:sz w:val="24"/>
          <w:szCs w:val="24"/>
        </w:rPr>
        <w:t xml:space="preserve">-salve, 0,03 % og 0,1 % har signifikant bedre effekt (p&lt;0,001 for begge) end 1 % </w:t>
      </w:r>
      <w:proofErr w:type="spellStart"/>
      <w:r w:rsidRPr="007459E2">
        <w:rPr>
          <w:rFonts w:eastAsia="Calibri"/>
          <w:sz w:val="24"/>
          <w:szCs w:val="24"/>
        </w:rPr>
        <w:t>hydrocortisonacetat</w:t>
      </w:r>
      <w:proofErr w:type="spellEnd"/>
      <w:r w:rsidRPr="007459E2">
        <w:rPr>
          <w:rFonts w:eastAsia="Calibri"/>
          <w:sz w:val="24"/>
          <w:szCs w:val="24"/>
        </w:rPr>
        <w:t>-salve (Tabel 2).</w:t>
      </w:r>
    </w:p>
    <w:p w:rsidR="004475DF" w:rsidRPr="007459E2" w:rsidRDefault="004475DF" w:rsidP="004475DF">
      <w:pPr>
        <w:ind w:left="851" w:hanging="851"/>
        <w:rPr>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2. Virkning af originalproduktets salver sammenlignet med </w:t>
      </w:r>
      <w:proofErr w:type="spellStart"/>
      <w:r w:rsidRPr="007459E2">
        <w:rPr>
          <w:rFonts w:eastAsia="Calibri"/>
          <w:sz w:val="24"/>
          <w:szCs w:val="24"/>
        </w:rPr>
        <w:t>hydrocortisonacetat</w:t>
      </w:r>
      <w:proofErr w:type="spellEnd"/>
      <w:r w:rsidRPr="007459E2">
        <w:rPr>
          <w:rFonts w:eastAsia="Calibri"/>
          <w:sz w:val="24"/>
          <w:szCs w:val="24"/>
        </w:rPr>
        <w:t xml:space="preserve"> 1 % salve ved uge 3</w:t>
      </w:r>
    </w:p>
    <w:tbl>
      <w:tblPr>
        <w:tblW w:w="5000" w:type="pct"/>
        <w:tblCellMar>
          <w:left w:w="0" w:type="dxa"/>
          <w:right w:w="0" w:type="dxa"/>
        </w:tblCellMar>
        <w:tblLook w:val="04A0" w:firstRow="1" w:lastRow="0" w:firstColumn="1" w:lastColumn="0" w:noHBand="0" w:noVBand="1"/>
      </w:tblPr>
      <w:tblGrid>
        <w:gridCol w:w="2869"/>
        <w:gridCol w:w="2201"/>
        <w:gridCol w:w="2357"/>
        <w:gridCol w:w="2201"/>
      </w:tblGrid>
      <w:tr w:rsidR="004475DF" w:rsidRPr="007459E2" w:rsidTr="003B4BCE">
        <w:trPr>
          <w:trHeight w:hRule="exact" w:val="803"/>
        </w:trPr>
        <w:tc>
          <w:tcPr>
            <w:tcW w:w="1490"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rPr>
                <w:rFonts w:eastAsia="Calibri"/>
              </w:rPr>
            </w:pP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rPr>
              <w:t>Hydrocortisonacetat</w:t>
            </w:r>
            <w:proofErr w:type="spellEnd"/>
            <w:r w:rsidRPr="007459E2">
              <w:rPr>
                <w:rFonts w:eastAsia="Calibri"/>
              </w:rPr>
              <w:t xml:space="preserve"> 1 % (N=185)</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spacing w:val="2"/>
              </w:rPr>
              <w:t>T</w:t>
            </w:r>
            <w:r w:rsidRPr="007459E2">
              <w:rPr>
                <w:rFonts w:eastAsia="Calibri"/>
                <w:spacing w:val="-2"/>
              </w:rPr>
              <w:t>a</w:t>
            </w:r>
            <w:r w:rsidRPr="007459E2">
              <w:rPr>
                <w:rFonts w:eastAsia="Calibri"/>
              </w:rPr>
              <w:t>c</w:t>
            </w:r>
            <w:r w:rsidRPr="007459E2">
              <w:rPr>
                <w:rFonts w:eastAsia="Calibri"/>
                <w:spacing w:val="1"/>
              </w:rPr>
              <w:t>r</w:t>
            </w:r>
            <w:r w:rsidRPr="007459E2">
              <w:rPr>
                <w:rFonts w:eastAsia="Calibri"/>
                <w:spacing w:val="-2"/>
              </w:rPr>
              <w:t>o</w:t>
            </w:r>
            <w:r w:rsidRPr="007459E2">
              <w:rPr>
                <w:rFonts w:eastAsia="Calibri"/>
                <w:spacing w:val="1"/>
              </w:rPr>
              <w:t>li</w:t>
            </w:r>
            <w:r w:rsidRPr="007459E2">
              <w:rPr>
                <w:rFonts w:eastAsia="Calibri"/>
                <w:spacing w:val="-4"/>
              </w:rPr>
              <w:t>m</w:t>
            </w:r>
            <w:r w:rsidRPr="007459E2">
              <w:rPr>
                <w:rFonts w:eastAsia="Calibri"/>
              </w:rPr>
              <w:t>us</w:t>
            </w:r>
            <w:proofErr w:type="spellEnd"/>
            <w:r w:rsidRPr="007459E2">
              <w:rPr>
                <w:rFonts w:eastAsia="Calibri"/>
              </w:rPr>
              <w:t xml:space="preserve"> 0,03 %</w:t>
            </w:r>
          </w:p>
          <w:p w:rsidR="004475DF" w:rsidRPr="007459E2" w:rsidRDefault="004475DF" w:rsidP="003B4BCE">
            <w:pPr>
              <w:rPr>
                <w:rFonts w:eastAsia="Calibri"/>
              </w:rPr>
            </w:pPr>
            <w:r w:rsidRPr="007459E2">
              <w:rPr>
                <w:rFonts w:eastAsia="Calibri"/>
                <w:spacing w:val="1"/>
              </w:rPr>
              <w:t>(</w:t>
            </w:r>
            <w:r w:rsidRPr="007459E2">
              <w:rPr>
                <w:rFonts w:eastAsia="Calibri"/>
                <w:spacing w:val="-1"/>
              </w:rPr>
              <w:t>N</w:t>
            </w:r>
            <w:r w:rsidRPr="007459E2">
              <w:rPr>
                <w:rFonts w:eastAsia="Calibri"/>
              </w:rPr>
              <w:t>=18</w:t>
            </w:r>
            <w:r w:rsidRPr="007459E2">
              <w:rPr>
                <w:rFonts w:eastAsia="Calibri"/>
                <w:spacing w:val="-2"/>
              </w:rPr>
              <w:t>9</w:t>
            </w:r>
            <w:r w:rsidRPr="007459E2">
              <w:rPr>
                <w:rFonts w:eastAsia="Calibri"/>
              </w:rPr>
              <w:t>)</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proofErr w:type="spellStart"/>
            <w:r w:rsidRPr="007459E2">
              <w:rPr>
                <w:rFonts w:eastAsia="Calibri"/>
                <w:spacing w:val="2"/>
              </w:rPr>
              <w:t>T</w:t>
            </w:r>
            <w:r w:rsidRPr="007459E2">
              <w:rPr>
                <w:rFonts w:eastAsia="Calibri"/>
                <w:spacing w:val="-2"/>
              </w:rPr>
              <w:t>a</w:t>
            </w:r>
            <w:r w:rsidRPr="007459E2">
              <w:rPr>
                <w:rFonts w:eastAsia="Calibri"/>
              </w:rPr>
              <w:t>c</w:t>
            </w:r>
            <w:r w:rsidRPr="007459E2">
              <w:rPr>
                <w:rFonts w:eastAsia="Calibri"/>
                <w:spacing w:val="1"/>
              </w:rPr>
              <w:t>r</w:t>
            </w:r>
            <w:r w:rsidRPr="007459E2">
              <w:rPr>
                <w:rFonts w:eastAsia="Calibri"/>
                <w:spacing w:val="-2"/>
              </w:rPr>
              <w:t>o</w:t>
            </w:r>
            <w:r w:rsidRPr="007459E2">
              <w:rPr>
                <w:rFonts w:eastAsia="Calibri"/>
                <w:spacing w:val="1"/>
              </w:rPr>
              <w:t>li</w:t>
            </w:r>
            <w:r w:rsidRPr="007459E2">
              <w:rPr>
                <w:rFonts w:eastAsia="Calibri"/>
                <w:spacing w:val="-4"/>
              </w:rPr>
              <w:t>m</w:t>
            </w:r>
            <w:r w:rsidRPr="007459E2">
              <w:rPr>
                <w:rFonts w:eastAsia="Calibri"/>
              </w:rPr>
              <w:t>us</w:t>
            </w:r>
            <w:proofErr w:type="spellEnd"/>
            <w:r w:rsidRPr="007459E2">
              <w:rPr>
                <w:rFonts w:eastAsia="Calibri"/>
              </w:rPr>
              <w:t xml:space="preserve"> 0,1 %</w:t>
            </w:r>
          </w:p>
          <w:p w:rsidR="004475DF" w:rsidRPr="007459E2" w:rsidRDefault="004475DF" w:rsidP="003B4BCE">
            <w:pPr>
              <w:rPr>
                <w:rFonts w:eastAsia="Calibri"/>
              </w:rPr>
            </w:pPr>
            <w:r w:rsidRPr="007459E2">
              <w:rPr>
                <w:rFonts w:eastAsia="Calibri"/>
                <w:spacing w:val="1"/>
              </w:rPr>
              <w:t>(</w:t>
            </w:r>
            <w:r w:rsidRPr="007459E2">
              <w:rPr>
                <w:rFonts w:eastAsia="Calibri"/>
                <w:spacing w:val="-1"/>
              </w:rPr>
              <w:t>N</w:t>
            </w:r>
            <w:r w:rsidRPr="007459E2">
              <w:rPr>
                <w:rFonts w:eastAsia="Calibri"/>
              </w:rPr>
              <w:t>=18</w:t>
            </w:r>
            <w:r w:rsidRPr="007459E2">
              <w:rPr>
                <w:rFonts w:eastAsia="Calibri"/>
                <w:spacing w:val="-2"/>
              </w:rPr>
              <w:t>6</w:t>
            </w:r>
            <w:r w:rsidRPr="007459E2">
              <w:rPr>
                <w:rFonts w:eastAsia="Calibri"/>
              </w:rPr>
              <w:t>)</w:t>
            </w:r>
          </w:p>
        </w:tc>
      </w:tr>
      <w:tr w:rsidR="004475DF" w:rsidRPr="007459E2" w:rsidTr="003B4BCE">
        <w:trPr>
          <w:trHeight w:hRule="exact" w:val="1139"/>
        </w:trPr>
        <w:tc>
          <w:tcPr>
            <w:tcW w:w="149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 xml:space="preserve">Median </w:t>
            </w:r>
            <w:proofErr w:type="spellStart"/>
            <w:r w:rsidRPr="007459E2">
              <w:rPr>
                <w:rFonts w:eastAsia="Calibri"/>
              </w:rPr>
              <w:t>mEASI</w:t>
            </w:r>
            <w:proofErr w:type="spellEnd"/>
            <w:r w:rsidRPr="007459E2">
              <w:rPr>
                <w:rFonts w:eastAsia="Calibri"/>
              </w:rPr>
              <w:t xml:space="preserve"> som procent af baseline </w:t>
            </w:r>
            <w:proofErr w:type="spellStart"/>
            <w:r w:rsidRPr="007459E2">
              <w:rPr>
                <w:rFonts w:eastAsia="Calibri"/>
              </w:rPr>
              <w:t>mean</w:t>
            </w:r>
            <w:proofErr w:type="spellEnd"/>
            <w:r w:rsidRPr="007459E2">
              <w:rPr>
                <w:rFonts w:eastAsia="Calibri"/>
              </w:rPr>
              <w:t xml:space="preserve"> AUC (Primært </w:t>
            </w:r>
            <w:proofErr w:type="gramStart"/>
            <w:r w:rsidRPr="007459E2">
              <w:rPr>
                <w:rFonts w:eastAsia="Calibri"/>
              </w:rPr>
              <w:t>endepunkt)§</w:t>
            </w:r>
            <w:proofErr w:type="gramEnd"/>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64,0 %</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44,8 %</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39,8 %</w:t>
            </w:r>
          </w:p>
        </w:tc>
      </w:tr>
      <w:tr w:rsidR="004475DF" w:rsidRPr="007459E2" w:rsidTr="003B4BCE">
        <w:trPr>
          <w:trHeight w:hRule="exact" w:val="716"/>
        </w:trPr>
        <w:tc>
          <w:tcPr>
            <w:tcW w:w="1490"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rPr>
                <w:rFonts w:eastAsia="Calibri"/>
              </w:rPr>
            </w:pPr>
            <w:r w:rsidRPr="007459E2">
              <w:rPr>
                <w:rFonts w:eastAsia="Calibri"/>
              </w:rPr>
              <w:t>Bedring ≥ 90 % i lægens samlede vurdering</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15,7 %</w:t>
            </w:r>
          </w:p>
        </w:tc>
        <w:tc>
          <w:tcPr>
            <w:tcW w:w="1224"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38,5 %</w:t>
            </w:r>
          </w:p>
        </w:tc>
        <w:tc>
          <w:tcPr>
            <w:tcW w:w="1143"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jc w:val="center"/>
              <w:rPr>
                <w:rFonts w:eastAsia="Calibri"/>
              </w:rPr>
            </w:pPr>
            <w:r w:rsidRPr="007459E2">
              <w:rPr>
                <w:rFonts w:eastAsia="Calibri"/>
              </w:rPr>
              <w:t>48,4 %</w:t>
            </w:r>
          </w:p>
        </w:tc>
      </w:tr>
    </w:tbl>
    <w:p w:rsidR="004475DF" w:rsidRPr="00DA7DB2" w:rsidRDefault="004475DF" w:rsidP="004475DF">
      <w:pPr>
        <w:ind w:left="142" w:hanging="142"/>
        <w:rPr>
          <w:rFonts w:eastAsia="Calibri"/>
          <w:sz w:val="22"/>
          <w:szCs w:val="22"/>
        </w:rPr>
      </w:pPr>
      <w:r w:rsidRPr="00DA7DB2">
        <w:rPr>
          <w:rFonts w:eastAsia="Calibri"/>
          <w:sz w:val="22"/>
          <w:szCs w:val="22"/>
        </w:rPr>
        <w:t>§</w:t>
      </w:r>
      <w:r>
        <w:rPr>
          <w:rFonts w:eastAsia="Calibri"/>
          <w:sz w:val="22"/>
          <w:szCs w:val="22"/>
        </w:rPr>
        <w:tab/>
      </w:r>
      <w:r w:rsidRPr="00DA7DB2">
        <w:rPr>
          <w:rFonts w:eastAsia="Calibri"/>
          <w:sz w:val="22"/>
          <w:szCs w:val="22"/>
        </w:rPr>
        <w:t>mindre værdier = større bedring</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proofErr w:type="spellStart"/>
      <w:r w:rsidRPr="007459E2">
        <w:rPr>
          <w:sz w:val="24"/>
          <w:szCs w:val="24"/>
        </w:rPr>
        <w:t>Incidensen</w:t>
      </w:r>
      <w:proofErr w:type="spellEnd"/>
      <w:r w:rsidRPr="007459E2">
        <w:rPr>
          <w:sz w:val="24"/>
          <w:szCs w:val="24"/>
        </w:rPr>
        <w:t xml:space="preserve"> af brændende følelse i huden var højere i gruppen, der blev behandlet med </w:t>
      </w:r>
      <w:proofErr w:type="spellStart"/>
      <w:r w:rsidRPr="007459E2">
        <w:rPr>
          <w:sz w:val="24"/>
          <w:szCs w:val="24"/>
        </w:rPr>
        <w:t>tacrolimus</w:t>
      </w:r>
      <w:proofErr w:type="spellEnd"/>
      <w:r w:rsidRPr="007459E2">
        <w:rPr>
          <w:sz w:val="24"/>
          <w:szCs w:val="24"/>
        </w:rPr>
        <w:t xml:space="preserve">, end i </w:t>
      </w:r>
      <w:proofErr w:type="spellStart"/>
      <w:r w:rsidRPr="007459E2">
        <w:rPr>
          <w:sz w:val="24"/>
          <w:szCs w:val="24"/>
        </w:rPr>
        <w:t>hydrocortisongruppen</w:t>
      </w:r>
      <w:proofErr w:type="spellEnd"/>
      <w:r w:rsidRPr="007459E2">
        <w:rPr>
          <w:sz w:val="24"/>
          <w:szCs w:val="24"/>
        </w:rPr>
        <w:t xml:space="preserve">. Kløe formindskedes over tid i </w:t>
      </w:r>
      <w:proofErr w:type="spellStart"/>
      <w:r w:rsidRPr="007459E2">
        <w:rPr>
          <w:sz w:val="24"/>
          <w:szCs w:val="24"/>
        </w:rPr>
        <w:t>tacrolimusgruppen</w:t>
      </w:r>
      <w:proofErr w:type="spellEnd"/>
      <w:r w:rsidRPr="007459E2">
        <w:rPr>
          <w:sz w:val="24"/>
          <w:szCs w:val="24"/>
        </w:rPr>
        <w:t xml:space="preserve">, men ikke i </w:t>
      </w:r>
      <w:proofErr w:type="spellStart"/>
      <w:r w:rsidRPr="007459E2">
        <w:rPr>
          <w:sz w:val="24"/>
          <w:szCs w:val="24"/>
        </w:rPr>
        <w:t>hydrocortisongruppen</w:t>
      </w:r>
      <w:proofErr w:type="spellEnd"/>
      <w:r w:rsidRPr="007459E2">
        <w:rPr>
          <w:sz w:val="24"/>
          <w:szCs w:val="24"/>
        </w:rPr>
        <w:t>. Der var ingen klinisk relevante ændringer i laboratorieværdier eller i vitale tegn i nogen af behandlingsgrupperne.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Formålet med det tredje multicenter, dobbelt-blind, randomiserede studie var at undersøge virkning og sikkerhed af 0,03 % </w:t>
      </w:r>
      <w:proofErr w:type="spellStart"/>
      <w:r w:rsidRPr="007459E2">
        <w:rPr>
          <w:sz w:val="24"/>
          <w:szCs w:val="24"/>
        </w:rPr>
        <w:t>tacrolimus</w:t>
      </w:r>
      <w:proofErr w:type="spellEnd"/>
      <w:r w:rsidRPr="007459E2">
        <w:rPr>
          <w:sz w:val="24"/>
          <w:szCs w:val="24"/>
        </w:rPr>
        <w:t xml:space="preserve">-salve, når denne blev appliceret 1-2 gange om dagen sammenlignet med administration af 1 % </w:t>
      </w:r>
      <w:proofErr w:type="spellStart"/>
      <w:r w:rsidRPr="007459E2">
        <w:rPr>
          <w:sz w:val="24"/>
          <w:szCs w:val="24"/>
        </w:rPr>
        <w:t>hydrocortisonacetat</w:t>
      </w:r>
      <w:proofErr w:type="spellEnd"/>
      <w:r w:rsidRPr="007459E2">
        <w:rPr>
          <w:sz w:val="24"/>
          <w:szCs w:val="24"/>
        </w:rPr>
        <w:t xml:space="preserve">-salve 2 gange om dagen til børn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Behandlingens varighed var op til 3 uger.</w:t>
      </w:r>
    </w:p>
    <w:p w:rsidR="004475DF" w:rsidRPr="007459E2" w:rsidRDefault="004475DF" w:rsidP="004475DF">
      <w:pPr>
        <w:suppressAutoHyphens/>
        <w:ind w:left="851" w:hanging="851"/>
        <w:rPr>
          <w:b/>
          <w:sz w:val="24"/>
          <w:szCs w:val="24"/>
        </w:rPr>
      </w:pPr>
    </w:p>
    <w:p w:rsidR="004475DF" w:rsidRPr="007459E2" w:rsidRDefault="004475DF" w:rsidP="004475DF">
      <w:pPr>
        <w:rPr>
          <w:rFonts w:eastAsia="Calibri"/>
          <w:sz w:val="24"/>
          <w:szCs w:val="24"/>
        </w:rPr>
      </w:pPr>
      <w:r w:rsidRPr="007459E2">
        <w:rPr>
          <w:rFonts w:eastAsia="Calibri"/>
          <w:sz w:val="24"/>
          <w:szCs w:val="24"/>
        </w:rPr>
        <w:t xml:space="preserve">Tabel 3. Virkning af originalproduktets salver sammenlignet med </w:t>
      </w:r>
      <w:proofErr w:type="spellStart"/>
      <w:r w:rsidRPr="007459E2">
        <w:rPr>
          <w:rFonts w:eastAsia="Calibri"/>
          <w:sz w:val="24"/>
          <w:szCs w:val="24"/>
        </w:rPr>
        <w:t>hydrocortisonacetat</w:t>
      </w:r>
      <w:proofErr w:type="spellEnd"/>
      <w:r w:rsidRPr="007459E2">
        <w:rPr>
          <w:rFonts w:eastAsia="Calibri"/>
          <w:sz w:val="24"/>
          <w:szCs w:val="24"/>
        </w:rPr>
        <w:t xml:space="preserve"> 1 % salve ved uge 3</w:t>
      </w:r>
    </w:p>
    <w:tbl>
      <w:tblPr>
        <w:tblW w:w="5236" w:type="pct"/>
        <w:tblCellMar>
          <w:left w:w="0" w:type="dxa"/>
          <w:right w:w="0" w:type="dxa"/>
        </w:tblCellMar>
        <w:tblLook w:val="04A0" w:firstRow="1" w:lastRow="0" w:firstColumn="1" w:lastColumn="0" w:noHBand="0" w:noVBand="1"/>
      </w:tblPr>
      <w:tblGrid>
        <w:gridCol w:w="2712"/>
        <w:gridCol w:w="2813"/>
        <w:gridCol w:w="2357"/>
        <w:gridCol w:w="2200"/>
      </w:tblGrid>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autoSpaceDE w:val="0"/>
              <w:autoSpaceDN w:val="0"/>
              <w:adjustRightInd w:val="0"/>
              <w:ind w:left="137" w:right="165" w:hanging="5"/>
              <w:rPr>
                <w:rFonts w:eastAsia="Calibri"/>
                <w:sz w:val="24"/>
                <w:szCs w:val="24"/>
              </w:rPr>
            </w:pPr>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1"/>
                <w:sz w:val="24"/>
                <w:szCs w:val="24"/>
              </w:rPr>
              <w:t>H</w:t>
            </w:r>
            <w:r w:rsidRPr="007459E2">
              <w:rPr>
                <w:rFonts w:eastAsia="Calibri"/>
                <w:spacing w:val="-2"/>
                <w:sz w:val="24"/>
                <w:szCs w:val="24"/>
              </w:rPr>
              <w:t>y</w:t>
            </w:r>
            <w:r w:rsidRPr="007459E2">
              <w:rPr>
                <w:rFonts w:eastAsia="Calibri"/>
                <w:sz w:val="24"/>
                <w:szCs w:val="24"/>
              </w:rPr>
              <w:t>d</w:t>
            </w:r>
            <w:r w:rsidRPr="007459E2">
              <w:rPr>
                <w:rFonts w:eastAsia="Calibri"/>
                <w:spacing w:val="1"/>
                <w:sz w:val="24"/>
                <w:szCs w:val="24"/>
              </w:rPr>
              <w:t>r</w:t>
            </w:r>
            <w:r w:rsidRPr="007459E2">
              <w:rPr>
                <w:rFonts w:eastAsia="Calibri"/>
                <w:sz w:val="24"/>
                <w:szCs w:val="24"/>
              </w:rPr>
              <w:t>oco</w:t>
            </w:r>
            <w:r w:rsidRPr="007459E2">
              <w:rPr>
                <w:rFonts w:eastAsia="Calibri"/>
                <w:spacing w:val="1"/>
                <w:sz w:val="24"/>
                <w:szCs w:val="24"/>
              </w:rPr>
              <w:t>r</w:t>
            </w:r>
            <w:r w:rsidRPr="007459E2">
              <w:rPr>
                <w:rFonts w:eastAsia="Calibri"/>
                <w:spacing w:val="-1"/>
                <w:sz w:val="24"/>
                <w:szCs w:val="24"/>
              </w:rPr>
              <w:t>t</w:t>
            </w:r>
            <w:r w:rsidRPr="007459E2">
              <w:rPr>
                <w:rFonts w:eastAsia="Calibri"/>
                <w:spacing w:val="1"/>
                <w:sz w:val="24"/>
                <w:szCs w:val="24"/>
              </w:rPr>
              <w:t>i</w:t>
            </w:r>
            <w:r w:rsidRPr="007459E2">
              <w:rPr>
                <w:rFonts w:eastAsia="Calibri"/>
                <w:sz w:val="24"/>
                <w:szCs w:val="24"/>
              </w:rPr>
              <w:t>so</w:t>
            </w:r>
            <w:r w:rsidRPr="007459E2">
              <w:rPr>
                <w:rFonts w:eastAsia="Calibri"/>
                <w:spacing w:val="-2"/>
                <w:sz w:val="24"/>
                <w:szCs w:val="24"/>
              </w:rPr>
              <w:t>n</w:t>
            </w:r>
            <w:r w:rsidRPr="007459E2">
              <w:rPr>
                <w:rFonts w:eastAsia="Calibri"/>
                <w:sz w:val="24"/>
                <w:szCs w:val="24"/>
              </w:rPr>
              <w:t>a</w:t>
            </w:r>
            <w:r w:rsidRPr="007459E2">
              <w:rPr>
                <w:rFonts w:eastAsia="Calibri"/>
                <w:spacing w:val="1"/>
                <w:sz w:val="24"/>
                <w:szCs w:val="24"/>
              </w:rPr>
              <w:t>c</w:t>
            </w:r>
            <w:r w:rsidRPr="007459E2">
              <w:rPr>
                <w:rFonts w:eastAsia="Calibri"/>
                <w:sz w:val="24"/>
                <w:szCs w:val="24"/>
              </w:rPr>
              <w:t>e</w:t>
            </w:r>
            <w:r w:rsidRPr="007459E2">
              <w:rPr>
                <w:rFonts w:eastAsia="Calibri"/>
                <w:spacing w:val="-1"/>
                <w:sz w:val="24"/>
                <w:szCs w:val="24"/>
              </w:rPr>
              <w:t>t</w:t>
            </w:r>
            <w:r w:rsidRPr="007459E2">
              <w:rPr>
                <w:rFonts w:eastAsia="Calibri"/>
                <w:sz w:val="24"/>
                <w:szCs w:val="24"/>
              </w:rPr>
              <w:t>a</w:t>
            </w:r>
            <w:r w:rsidRPr="007459E2">
              <w:rPr>
                <w:rFonts w:eastAsia="Calibri"/>
                <w:spacing w:val="-1"/>
                <w:sz w:val="24"/>
                <w:szCs w:val="24"/>
              </w:rPr>
              <w:t>t</w:t>
            </w:r>
            <w:proofErr w:type="spellEnd"/>
            <w:r w:rsidRPr="007459E2">
              <w:rPr>
                <w:rFonts w:eastAsia="Calibri"/>
                <w:sz w:val="24"/>
                <w:szCs w:val="24"/>
              </w:rPr>
              <w:t xml:space="preserve"> 1 %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To gange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=207)</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2"/>
                <w:sz w:val="24"/>
                <w:szCs w:val="24"/>
              </w:rPr>
              <w:t>T</w:t>
            </w:r>
            <w:r w:rsidRPr="007459E2">
              <w:rPr>
                <w:rFonts w:eastAsia="Calibri"/>
                <w:spacing w:val="-2"/>
                <w:sz w:val="24"/>
                <w:szCs w:val="24"/>
              </w:rPr>
              <w:t>a</w:t>
            </w:r>
            <w:r w:rsidRPr="007459E2">
              <w:rPr>
                <w:rFonts w:eastAsia="Calibri"/>
                <w:sz w:val="24"/>
                <w:szCs w:val="24"/>
              </w:rPr>
              <w:t>c</w:t>
            </w:r>
            <w:r w:rsidRPr="007459E2">
              <w:rPr>
                <w:rFonts w:eastAsia="Calibri"/>
                <w:spacing w:val="1"/>
                <w:sz w:val="24"/>
                <w:szCs w:val="24"/>
              </w:rPr>
              <w:t>r</w:t>
            </w:r>
            <w:r w:rsidRPr="007459E2">
              <w:rPr>
                <w:rFonts w:eastAsia="Calibri"/>
                <w:spacing w:val="-2"/>
                <w:sz w:val="24"/>
                <w:szCs w:val="24"/>
              </w:rPr>
              <w:t>o</w:t>
            </w:r>
            <w:r w:rsidRPr="007459E2">
              <w:rPr>
                <w:rFonts w:eastAsia="Calibri"/>
                <w:spacing w:val="1"/>
                <w:sz w:val="24"/>
                <w:szCs w:val="24"/>
              </w:rPr>
              <w:t>li</w:t>
            </w:r>
            <w:r w:rsidRPr="007459E2">
              <w:rPr>
                <w:rFonts w:eastAsia="Calibri"/>
                <w:spacing w:val="-4"/>
                <w:sz w:val="24"/>
                <w:szCs w:val="24"/>
              </w:rPr>
              <w:t>m</w:t>
            </w:r>
            <w:r w:rsidRPr="007459E2">
              <w:rPr>
                <w:rFonts w:eastAsia="Calibri"/>
                <w:sz w:val="24"/>
                <w:szCs w:val="24"/>
              </w:rPr>
              <w:t>us</w:t>
            </w:r>
            <w:proofErr w:type="spellEnd"/>
            <w:r w:rsidRPr="007459E2">
              <w:rPr>
                <w:rFonts w:eastAsia="Calibri"/>
                <w:sz w:val="24"/>
                <w:szCs w:val="24"/>
              </w:rPr>
              <w:t xml:space="preserve"> 0,03 %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1"/>
                <w:sz w:val="24"/>
                <w:szCs w:val="24"/>
              </w:rPr>
              <w:t>En gang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=20</w:t>
            </w:r>
            <w:r w:rsidRPr="007459E2">
              <w:rPr>
                <w:rFonts w:eastAsia="Calibri"/>
                <w:spacing w:val="-2"/>
                <w:sz w:val="24"/>
                <w:szCs w:val="24"/>
              </w:rPr>
              <w:t>7</w:t>
            </w:r>
            <w:r w:rsidRPr="007459E2">
              <w:rPr>
                <w:rFonts w:eastAsia="Calibri"/>
                <w:sz w:val="24"/>
                <w:szCs w:val="24"/>
              </w:rPr>
              <w:t>)</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proofErr w:type="spellStart"/>
            <w:r w:rsidRPr="007459E2">
              <w:rPr>
                <w:rFonts w:eastAsia="Calibri"/>
                <w:spacing w:val="2"/>
                <w:sz w:val="24"/>
                <w:szCs w:val="24"/>
              </w:rPr>
              <w:t>T</w:t>
            </w:r>
            <w:r w:rsidRPr="007459E2">
              <w:rPr>
                <w:rFonts w:eastAsia="Calibri"/>
                <w:spacing w:val="-2"/>
                <w:sz w:val="24"/>
                <w:szCs w:val="24"/>
              </w:rPr>
              <w:t>a</w:t>
            </w:r>
            <w:r w:rsidRPr="007459E2">
              <w:rPr>
                <w:rFonts w:eastAsia="Calibri"/>
                <w:sz w:val="24"/>
                <w:szCs w:val="24"/>
              </w:rPr>
              <w:t>c</w:t>
            </w:r>
            <w:r w:rsidRPr="007459E2">
              <w:rPr>
                <w:rFonts w:eastAsia="Calibri"/>
                <w:spacing w:val="1"/>
                <w:sz w:val="24"/>
                <w:szCs w:val="24"/>
              </w:rPr>
              <w:t>r</w:t>
            </w:r>
            <w:r w:rsidRPr="007459E2">
              <w:rPr>
                <w:rFonts w:eastAsia="Calibri"/>
                <w:spacing w:val="-2"/>
                <w:sz w:val="24"/>
                <w:szCs w:val="24"/>
              </w:rPr>
              <w:t>o</w:t>
            </w:r>
            <w:r w:rsidRPr="007459E2">
              <w:rPr>
                <w:rFonts w:eastAsia="Calibri"/>
                <w:spacing w:val="1"/>
                <w:sz w:val="24"/>
                <w:szCs w:val="24"/>
              </w:rPr>
              <w:t>li</w:t>
            </w:r>
            <w:r w:rsidRPr="007459E2">
              <w:rPr>
                <w:rFonts w:eastAsia="Calibri"/>
                <w:spacing w:val="-4"/>
                <w:sz w:val="24"/>
                <w:szCs w:val="24"/>
              </w:rPr>
              <w:t>m</w:t>
            </w:r>
            <w:r w:rsidRPr="007459E2">
              <w:rPr>
                <w:rFonts w:eastAsia="Calibri"/>
                <w:sz w:val="24"/>
                <w:szCs w:val="24"/>
              </w:rPr>
              <w:t>us</w:t>
            </w:r>
            <w:proofErr w:type="spellEnd"/>
            <w:r w:rsidRPr="007459E2">
              <w:rPr>
                <w:rFonts w:eastAsia="Calibri"/>
                <w:sz w:val="24"/>
                <w:szCs w:val="24"/>
              </w:rPr>
              <w:t xml:space="preserve"> 0,03 %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To gange om dagen</w:t>
            </w:r>
            <w:r w:rsidRPr="007459E2">
              <w:rPr>
                <w:rFonts w:eastAsia="Calibri"/>
                <w:spacing w:val="-2"/>
                <w:sz w:val="24"/>
                <w:szCs w:val="24"/>
              </w:rPr>
              <w:t xml:space="preserve"> </w:t>
            </w:r>
            <w:r w:rsidRPr="007459E2">
              <w:rPr>
                <w:rFonts w:eastAsia="Calibri"/>
                <w:spacing w:val="1"/>
                <w:sz w:val="24"/>
                <w:szCs w:val="24"/>
              </w:rPr>
              <w:t>(</w:t>
            </w:r>
            <w:r w:rsidRPr="007459E2">
              <w:rPr>
                <w:rFonts w:eastAsia="Calibri"/>
                <w:spacing w:val="-1"/>
                <w:sz w:val="24"/>
                <w:szCs w:val="24"/>
              </w:rPr>
              <w:t>N</w:t>
            </w:r>
            <w:r w:rsidRPr="007459E2">
              <w:rPr>
                <w:rFonts w:eastAsia="Calibri"/>
                <w:sz w:val="24"/>
                <w:szCs w:val="24"/>
              </w:rPr>
              <w:t>=210)</w:t>
            </w:r>
          </w:p>
        </w:tc>
      </w:tr>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hideMark/>
          </w:tcPr>
          <w:p w:rsidR="004475DF"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Procent fald i</w:t>
            </w:r>
            <w:r>
              <w:rPr>
                <w:rFonts w:eastAsia="Calibri"/>
                <w:sz w:val="24"/>
                <w:szCs w:val="24"/>
              </w:rPr>
              <w:t xml:space="preserve"> </w:t>
            </w:r>
            <w:r w:rsidRPr="007459E2">
              <w:rPr>
                <w:rFonts w:eastAsia="Calibri"/>
                <w:sz w:val="24"/>
                <w:szCs w:val="24"/>
              </w:rPr>
              <w:t xml:space="preserve">median </w:t>
            </w:r>
            <w:proofErr w:type="spellStart"/>
            <w:r w:rsidRPr="007459E2">
              <w:rPr>
                <w:rFonts w:eastAsia="Calibri"/>
                <w:sz w:val="24"/>
                <w:szCs w:val="24"/>
              </w:rPr>
              <w:t>mEASI</w:t>
            </w:r>
            <w:proofErr w:type="spellEnd"/>
            <w:r>
              <w:rPr>
                <w:rFonts w:eastAsia="Calibri"/>
                <w:sz w:val="24"/>
                <w:szCs w:val="24"/>
              </w:rPr>
              <w:t xml:space="preserve"> </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 xml:space="preserve">(Primært </w:t>
            </w:r>
            <w:proofErr w:type="gramStart"/>
            <w:r w:rsidRPr="007459E2">
              <w:rPr>
                <w:rFonts w:eastAsia="Calibri"/>
                <w:sz w:val="24"/>
                <w:szCs w:val="24"/>
              </w:rPr>
              <w:t>endepunkt)§</w:t>
            </w:r>
            <w:proofErr w:type="gramEnd"/>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47,2 %</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70,0 %</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78,7 %</w:t>
            </w:r>
          </w:p>
        </w:tc>
      </w:tr>
      <w:tr w:rsidR="004475DF" w:rsidRPr="007459E2" w:rsidTr="003B4BCE">
        <w:trPr>
          <w:trHeight w:val="20"/>
        </w:trPr>
        <w:tc>
          <w:tcPr>
            <w:tcW w:w="134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pacing w:val="-2"/>
                <w:sz w:val="24"/>
                <w:szCs w:val="24"/>
              </w:rPr>
            </w:pPr>
            <w:r w:rsidRPr="007459E2">
              <w:rPr>
                <w:rFonts w:eastAsia="Calibri"/>
                <w:spacing w:val="-2"/>
                <w:sz w:val="24"/>
                <w:szCs w:val="24"/>
              </w:rPr>
              <w:t>Bedring ≥ 90 % i lægens</w:t>
            </w:r>
          </w:p>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pacing w:val="-2"/>
                <w:sz w:val="24"/>
                <w:szCs w:val="24"/>
              </w:rPr>
              <w:t>samlede vurdering</w:t>
            </w:r>
          </w:p>
        </w:tc>
        <w:tc>
          <w:tcPr>
            <w:tcW w:w="1395"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13,6 %</w:t>
            </w:r>
          </w:p>
        </w:tc>
        <w:tc>
          <w:tcPr>
            <w:tcW w:w="1169"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27,8 %</w:t>
            </w:r>
          </w:p>
        </w:tc>
        <w:tc>
          <w:tcPr>
            <w:tcW w:w="1092"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autoSpaceDE w:val="0"/>
              <w:autoSpaceDN w:val="0"/>
              <w:adjustRightInd w:val="0"/>
              <w:ind w:left="137" w:right="165" w:hanging="5"/>
              <w:rPr>
                <w:rFonts w:eastAsia="Calibri"/>
                <w:sz w:val="24"/>
                <w:szCs w:val="24"/>
              </w:rPr>
            </w:pPr>
            <w:r w:rsidRPr="007459E2">
              <w:rPr>
                <w:rFonts w:eastAsia="Calibri"/>
                <w:sz w:val="24"/>
                <w:szCs w:val="24"/>
              </w:rPr>
              <w:t>36,7 %</w:t>
            </w:r>
          </w:p>
        </w:tc>
      </w:tr>
    </w:tbl>
    <w:p w:rsidR="004475DF" w:rsidRDefault="004475DF" w:rsidP="004475DF">
      <w:pPr>
        <w:ind w:left="142" w:hanging="142"/>
        <w:rPr>
          <w:rFonts w:eastAsia="Calibri"/>
          <w:sz w:val="22"/>
          <w:szCs w:val="22"/>
        </w:rPr>
      </w:pPr>
      <w:r w:rsidRPr="00DA7DB2">
        <w:rPr>
          <w:rFonts w:eastAsia="Calibri"/>
          <w:sz w:val="22"/>
          <w:szCs w:val="22"/>
        </w:rPr>
        <w:t>§</w:t>
      </w:r>
      <w:r>
        <w:rPr>
          <w:rFonts w:eastAsia="Calibri"/>
          <w:sz w:val="22"/>
          <w:szCs w:val="22"/>
        </w:rPr>
        <w:tab/>
      </w:r>
      <w:r w:rsidRPr="00DA7DB2">
        <w:rPr>
          <w:rFonts w:eastAsia="Calibri"/>
          <w:sz w:val="22"/>
          <w:szCs w:val="22"/>
        </w:rPr>
        <w:t>højere værdi = større bedring</w:t>
      </w:r>
    </w:p>
    <w:p w:rsidR="004475DF" w:rsidRPr="00DA7DB2" w:rsidRDefault="004475DF" w:rsidP="004475DF">
      <w:pPr>
        <w:ind w:left="142" w:hanging="142"/>
        <w:rPr>
          <w:rFonts w:eastAsia="Calibri"/>
          <w:sz w:val="22"/>
          <w:szCs w:val="22"/>
        </w:rPr>
      </w:pPr>
    </w:p>
    <w:p w:rsidR="004475DF" w:rsidRPr="007459E2" w:rsidRDefault="004475DF" w:rsidP="004475DF">
      <w:pPr>
        <w:ind w:left="851"/>
        <w:rPr>
          <w:sz w:val="24"/>
          <w:szCs w:val="24"/>
        </w:rPr>
      </w:pPr>
      <w:r w:rsidRPr="007459E2">
        <w:rPr>
          <w:sz w:val="24"/>
          <w:szCs w:val="24"/>
        </w:rPr>
        <w:t xml:space="preserve">Det primære endepunkt var defineret som den procentvise formindskelse af </w:t>
      </w:r>
      <w:proofErr w:type="spellStart"/>
      <w:r w:rsidRPr="007459E2">
        <w:rPr>
          <w:sz w:val="24"/>
          <w:szCs w:val="24"/>
        </w:rPr>
        <w:t>mEASI</w:t>
      </w:r>
      <w:proofErr w:type="spellEnd"/>
      <w:r w:rsidRPr="007459E2">
        <w:rPr>
          <w:sz w:val="24"/>
          <w:szCs w:val="24"/>
        </w:rPr>
        <w:t xml:space="preserve"> fra baseline og indtil afslutning af behandlingen. En statistisk signifikant øget bedring blev vist for administration af 0,03 % </w:t>
      </w:r>
      <w:proofErr w:type="spellStart"/>
      <w:r w:rsidRPr="007459E2">
        <w:rPr>
          <w:sz w:val="24"/>
          <w:szCs w:val="24"/>
        </w:rPr>
        <w:t>tacrolimus</w:t>
      </w:r>
      <w:proofErr w:type="spellEnd"/>
      <w:r w:rsidRPr="007459E2">
        <w:rPr>
          <w:sz w:val="24"/>
          <w:szCs w:val="24"/>
        </w:rPr>
        <w:t xml:space="preserve">-salve en gang om dagen og to gange om dagen i sammenligning med administration af </w:t>
      </w:r>
      <w:proofErr w:type="spellStart"/>
      <w:r w:rsidRPr="007459E2">
        <w:rPr>
          <w:sz w:val="24"/>
          <w:szCs w:val="24"/>
        </w:rPr>
        <w:t>hydrocortisonacetat</w:t>
      </w:r>
      <w:proofErr w:type="spellEnd"/>
      <w:r w:rsidRPr="007459E2">
        <w:rPr>
          <w:sz w:val="24"/>
          <w:szCs w:val="24"/>
        </w:rPr>
        <w:t xml:space="preserve">-salve to gange om dagen (p &lt; 0,001 for begge). 0,03 % </w:t>
      </w:r>
      <w:proofErr w:type="spellStart"/>
      <w:r w:rsidRPr="007459E2">
        <w:rPr>
          <w:sz w:val="24"/>
          <w:szCs w:val="24"/>
        </w:rPr>
        <w:t>tacrolimus</w:t>
      </w:r>
      <w:proofErr w:type="spellEnd"/>
      <w:r w:rsidRPr="007459E2">
        <w:rPr>
          <w:sz w:val="24"/>
          <w:szCs w:val="24"/>
        </w:rPr>
        <w:t xml:space="preserve">-salve appliceret 2 gange om dagen var mere effektivt end applikation en gang om dagen (Tabel 3). </w:t>
      </w:r>
      <w:proofErr w:type="spellStart"/>
      <w:r w:rsidRPr="007459E2">
        <w:rPr>
          <w:sz w:val="24"/>
          <w:szCs w:val="24"/>
        </w:rPr>
        <w:t>Incidensen</w:t>
      </w:r>
      <w:proofErr w:type="spellEnd"/>
      <w:r w:rsidRPr="007459E2">
        <w:rPr>
          <w:sz w:val="24"/>
          <w:szCs w:val="24"/>
        </w:rPr>
        <w:t xml:space="preserve"> af lokal brændende følelse i huden var højere i </w:t>
      </w:r>
      <w:proofErr w:type="spellStart"/>
      <w:r w:rsidRPr="007459E2">
        <w:rPr>
          <w:sz w:val="24"/>
          <w:szCs w:val="24"/>
        </w:rPr>
        <w:t>tacrolimusbehandlingsgruppen</w:t>
      </w:r>
      <w:proofErr w:type="spellEnd"/>
      <w:r w:rsidRPr="007459E2">
        <w:rPr>
          <w:sz w:val="24"/>
          <w:szCs w:val="24"/>
        </w:rPr>
        <w:t xml:space="preserve"> end i </w:t>
      </w:r>
      <w:proofErr w:type="spellStart"/>
      <w:r w:rsidRPr="007459E2">
        <w:rPr>
          <w:sz w:val="24"/>
          <w:szCs w:val="24"/>
        </w:rPr>
        <w:t>hydrocortisongruppen</w:t>
      </w:r>
      <w:proofErr w:type="spellEnd"/>
      <w:r w:rsidRPr="007459E2">
        <w:rPr>
          <w:sz w:val="24"/>
          <w:szCs w:val="24"/>
        </w:rPr>
        <w:t xml:space="preserve">. Der var ingen </w:t>
      </w:r>
      <w:r w:rsidRPr="007459E2">
        <w:rPr>
          <w:sz w:val="24"/>
          <w:szCs w:val="24"/>
        </w:rPr>
        <w:lastRenderedPageBreak/>
        <w:t>klinisk relevante ændringer i laboratorieværdier eller i vitale tegn i nogen af grupperne i løbet af studiet.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I det fjerde studie blev omkring 800 patienter (≥ 2 år gamle) behandlet intermitterende eller kontinuerligt i op til 4 år med 0,1 % </w:t>
      </w:r>
      <w:proofErr w:type="spellStart"/>
      <w:r w:rsidRPr="007459E2">
        <w:rPr>
          <w:sz w:val="24"/>
          <w:szCs w:val="24"/>
        </w:rPr>
        <w:t>tacrolimus</w:t>
      </w:r>
      <w:proofErr w:type="spellEnd"/>
      <w:r w:rsidRPr="007459E2">
        <w:rPr>
          <w:sz w:val="24"/>
          <w:szCs w:val="24"/>
        </w:rPr>
        <w:t xml:space="preserve">-salve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7459E2">
        <w:rPr>
          <w:sz w:val="24"/>
          <w:szCs w:val="24"/>
        </w:rPr>
        <w:t>atopiske</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ved alle de følgende målinger. Der var desuden ingen tegn på tab af virkning i studiets forløb. Den samlede </w:t>
      </w:r>
      <w:proofErr w:type="spellStart"/>
      <w:r w:rsidRPr="007459E2">
        <w:rPr>
          <w:sz w:val="24"/>
          <w:szCs w:val="24"/>
        </w:rPr>
        <w:t>incidens</w:t>
      </w:r>
      <w:proofErr w:type="spellEnd"/>
      <w:r w:rsidRPr="007459E2">
        <w:rPr>
          <w:sz w:val="24"/>
          <w:szCs w:val="24"/>
        </w:rPr>
        <w:t xml:space="preserve"> af bivirkninger mindskedes i studiets forløb for alle patienter uanset alder. De tre mest almindelige bivirkninger, der blev rapporteret, var influenzalignende symptomer (snue, forkølelse, influenza, infektioner i de øvre luftveje osv.), kløe og en brændende fornemmelse i huden. Man så i dette langtidsstudie ingen bivirkninger, der ikke var rapporteret ved kortere behandlingstid og/eller tidligere studier. </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Virkning og sikkerhed af </w:t>
      </w:r>
      <w:proofErr w:type="spellStart"/>
      <w:r w:rsidRPr="007459E2">
        <w:rPr>
          <w:sz w:val="24"/>
          <w:szCs w:val="24"/>
        </w:rPr>
        <w:t>tacrolimus</w:t>
      </w:r>
      <w:proofErr w:type="spellEnd"/>
      <w:r w:rsidRPr="007459E2">
        <w:rPr>
          <w:sz w:val="24"/>
          <w:szCs w:val="24"/>
        </w:rPr>
        <w:t xml:space="preserve">-salve ved vedligeholdelsesbehandling af mild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7459E2">
        <w:rPr>
          <w:sz w:val="24"/>
          <w:szCs w:val="24"/>
        </w:rPr>
        <w:t>tacrolimus</w:t>
      </w:r>
      <w:proofErr w:type="spellEnd"/>
      <w:r w:rsidRPr="007459E2">
        <w:rPr>
          <w:sz w:val="24"/>
          <w:szCs w:val="24"/>
        </w:rPr>
        <w:t>-salve to gange daglig, indtil forbedringen havde nået en prædefineret score (</w:t>
      </w:r>
      <w:proofErr w:type="spellStart"/>
      <w:r w:rsidRPr="007459E2">
        <w:rPr>
          <w:sz w:val="24"/>
          <w:szCs w:val="24"/>
        </w:rPr>
        <w:t>Investigator’s</w:t>
      </w:r>
      <w:proofErr w:type="spellEnd"/>
      <w:r w:rsidRPr="007459E2">
        <w:rPr>
          <w:sz w:val="24"/>
          <w:szCs w:val="24"/>
        </w:rPr>
        <w:t xml:space="preserve"> Global </w:t>
      </w:r>
      <w:proofErr w:type="spellStart"/>
      <w:r w:rsidRPr="007459E2">
        <w:rPr>
          <w:sz w:val="24"/>
          <w:szCs w:val="24"/>
        </w:rPr>
        <w:t>Assessment</w:t>
      </w:r>
      <w:proofErr w:type="spellEnd"/>
      <w:r w:rsidRPr="007459E2">
        <w:rPr>
          <w:sz w:val="24"/>
          <w:szCs w:val="24"/>
        </w:rPr>
        <w:t xml:space="preserve"> [IGA] ≤ 2, dvs. helet, næsten helet eller kun mild sygdom). Derefter indgik patienterne i en dobbelt-blindet sygdomskontrolperiode (DCP) i op til 12 måneder. Patienterne blev randomiseret til at modtage enten </w:t>
      </w:r>
      <w:proofErr w:type="spellStart"/>
      <w:r w:rsidRPr="007459E2">
        <w:rPr>
          <w:sz w:val="24"/>
          <w:szCs w:val="24"/>
        </w:rPr>
        <w:t>tacrolimus</w:t>
      </w:r>
      <w:proofErr w:type="spellEnd"/>
      <w:r w:rsidRPr="007459E2">
        <w:rPr>
          <w:sz w:val="24"/>
          <w:szCs w:val="24"/>
        </w:rPr>
        <w:t xml:space="preserve">-salve (0,1 % til voksne, 0,03 % til børn) eller vehikel, én gang daglig to gange om ugen om mandagen og torsdagen. Hvis der opstod </w:t>
      </w:r>
      <w:proofErr w:type="spellStart"/>
      <w:r w:rsidRPr="007459E2">
        <w:rPr>
          <w:sz w:val="24"/>
          <w:szCs w:val="24"/>
        </w:rPr>
        <w:t>eksacerbation</w:t>
      </w:r>
      <w:proofErr w:type="spellEnd"/>
      <w:r w:rsidRPr="007459E2">
        <w:rPr>
          <w:sz w:val="24"/>
          <w:szCs w:val="24"/>
        </w:rPr>
        <w:t xml:space="preserve"> af sygdommen, blev patienterne behandlet åbent med </w:t>
      </w:r>
      <w:proofErr w:type="spellStart"/>
      <w:r w:rsidRPr="007459E2">
        <w:rPr>
          <w:sz w:val="24"/>
          <w:szCs w:val="24"/>
        </w:rPr>
        <w:t>tacrolimus</w:t>
      </w:r>
      <w:proofErr w:type="spellEnd"/>
      <w:r w:rsidRPr="007459E2">
        <w:rPr>
          <w:sz w:val="24"/>
          <w:szCs w:val="24"/>
        </w:rPr>
        <w:t>-salve to gange daglig i maksimalt 6 uger, indtil IGA-score igen var ≤ 2.</w:t>
      </w:r>
    </w:p>
    <w:p w:rsidR="004475DF" w:rsidRPr="007459E2" w:rsidRDefault="004475DF" w:rsidP="004475DF">
      <w:pPr>
        <w:ind w:left="851"/>
        <w:rPr>
          <w:sz w:val="24"/>
          <w:szCs w:val="24"/>
        </w:rPr>
      </w:pPr>
      <w:r w:rsidRPr="007459E2">
        <w:rPr>
          <w:sz w:val="24"/>
          <w:szCs w:val="24"/>
        </w:rPr>
        <w:t xml:space="preserve">Det primære endepunkt for begge studier var antallet af </w:t>
      </w:r>
      <w:proofErr w:type="spellStart"/>
      <w:r w:rsidRPr="007459E2">
        <w:rPr>
          <w:sz w:val="24"/>
          <w:szCs w:val="24"/>
        </w:rPr>
        <w:t>eksacerbationer</w:t>
      </w:r>
      <w:proofErr w:type="spellEnd"/>
      <w:r w:rsidRPr="007459E2">
        <w:rPr>
          <w:sz w:val="24"/>
          <w:szCs w:val="24"/>
        </w:rPr>
        <w:t xml:space="preserve"> af sygdommen,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7459E2">
        <w:rPr>
          <w:sz w:val="24"/>
          <w:szCs w:val="24"/>
        </w:rPr>
        <w:t>tacrolimus</w:t>
      </w:r>
      <w:proofErr w:type="spellEnd"/>
      <w:r w:rsidRPr="007459E2">
        <w:rPr>
          <w:sz w:val="24"/>
          <w:szCs w:val="24"/>
        </w:rPr>
        <w:t xml:space="preserve">-salve to gange daglig med hensyn til primære og væsentlige sekundære endepunkter over en periode på 12 måneder i en samlet patientpopulation med mild til alvorlig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I en subanalyse af en samlet patientpopulation med moderat til alvorlig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forblev disse forskelle statistisk signifikante (tabel 4). Der blev ikke observeret bivirkninger i dette studie, som ikke tidligere har været rapporteret.</w:t>
      </w:r>
    </w:p>
    <w:p w:rsidR="004475DF" w:rsidRPr="007459E2" w:rsidRDefault="004475DF" w:rsidP="004475DF">
      <w:pPr>
        <w:ind w:left="851" w:hanging="851"/>
        <w:rPr>
          <w:sz w:val="24"/>
          <w:szCs w:val="24"/>
        </w:rPr>
      </w:pPr>
    </w:p>
    <w:p w:rsidR="004475DF" w:rsidRPr="007459E2" w:rsidRDefault="004475DF" w:rsidP="004475DF">
      <w:pPr>
        <w:rPr>
          <w:sz w:val="24"/>
          <w:szCs w:val="24"/>
        </w:rPr>
      </w:pPr>
      <w:r w:rsidRPr="007459E2">
        <w:rPr>
          <w:sz w:val="24"/>
          <w:szCs w:val="24"/>
        </w:rPr>
        <w:t>Tabel 4. Virkning (moderat til alvorlig subpopulation) af originalproduktets 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631"/>
        <w:gridCol w:w="1901"/>
        <w:gridCol w:w="1446"/>
        <w:gridCol w:w="1825"/>
        <w:gridCol w:w="1825"/>
      </w:tblGrid>
      <w:tr w:rsidR="004475DF" w:rsidRPr="007459E2" w:rsidTr="003B4BCE">
        <w:trPr>
          <w:trHeight w:val="20"/>
        </w:trPr>
        <w:tc>
          <w:tcPr>
            <w:tcW w:w="1366" w:type="pct"/>
            <w:vMerge w:val="restar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tc>
        <w:tc>
          <w:tcPr>
            <w:tcW w:w="1738" w:type="pct"/>
            <w:gridSpan w:val="2"/>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pacing w:val="-1"/>
                <w:sz w:val="22"/>
                <w:szCs w:val="22"/>
              </w:rPr>
              <w:t>Voksne</w:t>
            </w:r>
            <w:r w:rsidRPr="007459E2">
              <w:rPr>
                <w:rFonts w:eastAsia="Calibri"/>
                <w:sz w:val="22"/>
                <w:szCs w:val="22"/>
              </w:rPr>
              <w:t>, ≥</w:t>
            </w:r>
            <w:r w:rsidRPr="007459E2">
              <w:rPr>
                <w:rFonts w:eastAsia="Calibri"/>
                <w:spacing w:val="-1"/>
                <w:sz w:val="22"/>
                <w:szCs w:val="22"/>
              </w:rPr>
              <w:t xml:space="preserve"> </w:t>
            </w:r>
            <w:r w:rsidRPr="007459E2">
              <w:rPr>
                <w:rFonts w:eastAsia="Calibri"/>
                <w:sz w:val="22"/>
                <w:szCs w:val="22"/>
              </w:rPr>
              <w:t>16 år</w:t>
            </w:r>
          </w:p>
        </w:tc>
        <w:tc>
          <w:tcPr>
            <w:tcW w:w="1896" w:type="pct"/>
            <w:gridSpan w:val="2"/>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pacing w:val="-1"/>
                <w:sz w:val="22"/>
                <w:szCs w:val="22"/>
              </w:rPr>
              <w:t>Børn</w:t>
            </w:r>
            <w:r w:rsidRPr="007459E2">
              <w:rPr>
                <w:rFonts w:eastAsia="Calibri"/>
                <w:sz w:val="22"/>
                <w:szCs w:val="22"/>
              </w:rPr>
              <w:t>,</w:t>
            </w:r>
            <w:r w:rsidRPr="007459E2">
              <w:rPr>
                <w:rFonts w:eastAsia="Calibri"/>
                <w:spacing w:val="-2"/>
                <w:sz w:val="22"/>
                <w:szCs w:val="22"/>
              </w:rPr>
              <w:t xml:space="preserve"> </w:t>
            </w:r>
            <w:r w:rsidRPr="007459E2">
              <w:rPr>
                <w:rFonts w:eastAsia="Calibri"/>
                <w:sz w:val="22"/>
                <w:szCs w:val="22"/>
              </w:rPr>
              <w:t>2</w:t>
            </w:r>
            <w:r w:rsidRPr="007459E2">
              <w:rPr>
                <w:rFonts w:eastAsia="Calibri"/>
                <w:spacing w:val="-4"/>
                <w:sz w:val="22"/>
                <w:szCs w:val="22"/>
              </w:rPr>
              <w:t>-</w:t>
            </w:r>
            <w:r w:rsidRPr="007459E2">
              <w:rPr>
                <w:rFonts w:eastAsia="Calibri"/>
                <w:sz w:val="22"/>
                <w:szCs w:val="22"/>
              </w:rPr>
              <w:t xml:space="preserve">15 </w:t>
            </w:r>
            <w:r w:rsidRPr="007459E2">
              <w:rPr>
                <w:rFonts w:eastAsia="Calibri"/>
                <w:spacing w:val="-2"/>
                <w:sz w:val="22"/>
                <w:szCs w:val="22"/>
              </w:rPr>
              <w:t>år</w:t>
            </w:r>
          </w:p>
        </w:tc>
      </w:tr>
      <w:tr w:rsidR="004475DF" w:rsidRPr="007459E2" w:rsidTr="003B4BCE">
        <w:trPr>
          <w:trHeight w:val="20"/>
        </w:trPr>
        <w:tc>
          <w:tcPr>
            <w:tcW w:w="1366" w:type="pct"/>
            <w:vMerge/>
            <w:tcBorders>
              <w:top w:val="single" w:sz="4" w:space="0" w:color="000000"/>
              <w:left w:val="single" w:sz="4" w:space="0" w:color="000000"/>
              <w:bottom w:val="single" w:sz="4" w:space="0" w:color="000000"/>
              <w:right w:val="single" w:sz="4" w:space="0" w:color="000000"/>
            </w:tcBorders>
            <w:vAlign w:val="center"/>
            <w:hideMark/>
          </w:tcPr>
          <w:p w:rsidR="004475DF" w:rsidRPr="007459E2" w:rsidRDefault="004475DF" w:rsidP="003B4BCE">
            <w:pPr>
              <w:ind w:left="137" w:right="85"/>
              <w:rPr>
                <w:rFonts w:eastAsia="Calibri"/>
                <w:sz w:val="22"/>
                <w:szCs w:val="22"/>
              </w:rPr>
            </w:pPr>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proofErr w:type="spellStart"/>
            <w:r w:rsidRPr="007459E2">
              <w:rPr>
                <w:sz w:val="22"/>
                <w:szCs w:val="22"/>
              </w:rPr>
              <w:t>Tacrolimus</w:t>
            </w:r>
            <w:proofErr w:type="spellEnd"/>
            <w:r w:rsidRPr="007459E2">
              <w:rPr>
                <w:sz w:val="22"/>
                <w:szCs w:val="22"/>
              </w:rPr>
              <w:t xml:space="preserve"> 0,1 %</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(N=80)</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sz w:val="22"/>
                <w:szCs w:val="22"/>
              </w:rPr>
            </w:pPr>
            <w:r w:rsidRPr="007459E2">
              <w:rPr>
                <w:sz w:val="22"/>
                <w:szCs w:val="22"/>
              </w:rPr>
              <w:t>Vehikel</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sz w:val="22"/>
                <w:szCs w:val="22"/>
              </w:rPr>
            </w:pPr>
            <w:r w:rsidRPr="007459E2">
              <w:rPr>
                <w:sz w:val="22"/>
                <w:szCs w:val="22"/>
              </w:rPr>
              <w:t>(N=73)</w:t>
            </w:r>
          </w:p>
          <w:p w:rsidR="004475DF" w:rsidRPr="007459E2" w:rsidRDefault="004475DF" w:rsidP="003B4BCE">
            <w:pPr>
              <w:ind w:left="137" w:right="85"/>
              <w:rPr>
                <w:rFonts w:eastAsia="Calibri"/>
                <w:sz w:val="22"/>
                <w:szCs w:val="22"/>
              </w:rPr>
            </w:pP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proofErr w:type="spellStart"/>
            <w:r w:rsidRPr="007459E2">
              <w:rPr>
                <w:sz w:val="22"/>
                <w:szCs w:val="22"/>
              </w:rPr>
              <w:t>Tacrolimus</w:t>
            </w:r>
            <w:proofErr w:type="spellEnd"/>
          </w:p>
          <w:p w:rsidR="004475DF" w:rsidRPr="007459E2" w:rsidRDefault="004475DF" w:rsidP="003B4BCE">
            <w:pPr>
              <w:ind w:left="137" w:right="85"/>
              <w:rPr>
                <w:sz w:val="22"/>
                <w:szCs w:val="22"/>
              </w:rPr>
            </w:pPr>
            <w:r w:rsidRPr="007459E2">
              <w:rPr>
                <w:sz w:val="22"/>
                <w:szCs w:val="22"/>
              </w:rPr>
              <w:t>0,03 %</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(N=78)</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sz w:val="22"/>
                <w:szCs w:val="22"/>
              </w:rPr>
            </w:pPr>
            <w:r w:rsidRPr="007459E2">
              <w:rPr>
                <w:sz w:val="22"/>
                <w:szCs w:val="22"/>
              </w:rPr>
              <w:t>Vehikel</w:t>
            </w:r>
          </w:p>
          <w:p w:rsidR="004475DF" w:rsidRPr="007459E2" w:rsidRDefault="004475DF" w:rsidP="003B4BCE">
            <w:pPr>
              <w:ind w:left="137" w:right="85"/>
              <w:rPr>
                <w:sz w:val="22"/>
                <w:szCs w:val="22"/>
              </w:rPr>
            </w:pPr>
            <w:r w:rsidRPr="007459E2">
              <w:rPr>
                <w:sz w:val="22"/>
                <w:szCs w:val="22"/>
              </w:rPr>
              <w:t>To gange ugentlig</w:t>
            </w:r>
          </w:p>
          <w:p w:rsidR="004475DF" w:rsidRPr="007459E2" w:rsidRDefault="004475DF" w:rsidP="003B4BCE">
            <w:pPr>
              <w:ind w:left="137" w:right="85"/>
              <w:rPr>
                <w:rFonts w:eastAsia="Calibri"/>
                <w:sz w:val="22"/>
                <w:szCs w:val="22"/>
              </w:rPr>
            </w:pPr>
            <w:r w:rsidRPr="007459E2">
              <w:rPr>
                <w:sz w:val="22"/>
                <w:szCs w:val="22"/>
              </w:rPr>
              <w:t>(N=75)</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antallet af </w:t>
            </w:r>
            <w:proofErr w:type="spellStart"/>
            <w:r w:rsidRPr="007459E2">
              <w:rPr>
                <w:rFonts w:eastAsia="Calibri"/>
                <w:sz w:val="22"/>
                <w:szCs w:val="22"/>
              </w:rPr>
              <w:t>eksacerbationer</w:t>
            </w:r>
            <w:proofErr w:type="spellEnd"/>
            <w:r w:rsidRPr="007459E2">
              <w:rPr>
                <w:rFonts w:eastAsia="Calibri"/>
                <w:sz w:val="22"/>
                <w:szCs w:val="22"/>
              </w:rPr>
              <w:t xml:space="preserve">, som kræver betydelig intervention, justeret for ’time at </w:t>
            </w:r>
            <w:proofErr w:type="spellStart"/>
            <w:r w:rsidRPr="007459E2">
              <w:rPr>
                <w:rFonts w:eastAsia="Calibri"/>
                <w:sz w:val="22"/>
                <w:szCs w:val="22"/>
              </w:rPr>
              <w:t>risk</w:t>
            </w:r>
            <w:proofErr w:type="spellEnd"/>
            <w:r w:rsidRPr="007459E2">
              <w:rPr>
                <w:rFonts w:eastAsia="Calibri"/>
                <w:sz w:val="22"/>
                <w:szCs w:val="22"/>
              </w:rPr>
              <w:t xml:space="preserve">’ (% af patienter uden </w:t>
            </w:r>
            <w:r w:rsidRPr="007459E2">
              <w:rPr>
                <w:rFonts w:eastAsia="Calibri"/>
                <w:sz w:val="22"/>
                <w:szCs w:val="22"/>
              </w:rPr>
              <w:lastRenderedPageBreak/>
              <w:t>eksemudbrud krævende betydelig intervention)</w:t>
            </w:r>
          </w:p>
        </w:tc>
        <w:tc>
          <w:tcPr>
            <w:tcW w:w="987"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48</w:t>
            </w:r>
            <w:r w:rsidRPr="007459E2">
              <w:rPr>
                <w:rFonts w:eastAsia="Calibri"/>
                <w:spacing w:val="-2"/>
                <w:sz w:val="22"/>
                <w:szCs w:val="22"/>
              </w:rPr>
              <w:t>,</w:t>
            </w:r>
            <w:r w:rsidRPr="007459E2">
              <w:rPr>
                <w:rFonts w:eastAsia="Calibri"/>
                <w:sz w:val="22"/>
                <w:szCs w:val="22"/>
              </w:rPr>
              <w:t>8</w:t>
            </w:r>
            <w:r w:rsidRPr="007459E2">
              <w:rPr>
                <w:rFonts w:eastAsia="Calibri"/>
                <w:spacing w:val="-2"/>
                <w:sz w:val="22"/>
                <w:szCs w:val="22"/>
              </w:rPr>
              <w:t xml:space="preserve"> %</w:t>
            </w:r>
            <w:r w:rsidRPr="007459E2">
              <w:rPr>
                <w:rFonts w:eastAsia="Calibri"/>
                <w:sz w:val="22"/>
                <w:szCs w:val="22"/>
              </w:rPr>
              <w:t>)</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5,3 </w:t>
            </w:r>
            <w:r w:rsidRPr="007459E2">
              <w:rPr>
                <w:rFonts w:eastAsia="Calibri"/>
                <w:spacing w:val="1"/>
                <w:sz w:val="22"/>
                <w:szCs w:val="22"/>
              </w:rPr>
              <w:t>(</w:t>
            </w:r>
            <w:r w:rsidRPr="007459E2">
              <w:rPr>
                <w:rFonts w:eastAsia="Calibri"/>
                <w:sz w:val="22"/>
                <w:szCs w:val="22"/>
              </w:rPr>
              <w:t>17</w:t>
            </w:r>
            <w:r w:rsidRPr="007459E2">
              <w:rPr>
                <w:rFonts w:eastAsia="Calibri"/>
                <w:spacing w:val="-2"/>
                <w:sz w:val="22"/>
                <w:szCs w:val="22"/>
              </w:rPr>
              <w:t>,</w:t>
            </w:r>
            <w:r w:rsidRPr="007459E2">
              <w:rPr>
                <w:rFonts w:eastAsia="Calibri"/>
                <w:sz w:val="22"/>
                <w:szCs w:val="22"/>
              </w:rPr>
              <w:t>8</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46</w:t>
            </w:r>
            <w:r w:rsidRPr="007459E2">
              <w:rPr>
                <w:rFonts w:eastAsia="Calibri"/>
                <w:spacing w:val="-2"/>
                <w:sz w:val="22"/>
                <w:szCs w:val="22"/>
              </w:rPr>
              <w:t>,</w:t>
            </w:r>
            <w:r w:rsidRPr="007459E2">
              <w:rPr>
                <w:rFonts w:eastAsia="Calibri"/>
                <w:sz w:val="22"/>
                <w:szCs w:val="22"/>
              </w:rPr>
              <w:t>2</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2,9 </w:t>
            </w:r>
            <w:r w:rsidRPr="007459E2">
              <w:rPr>
                <w:rFonts w:eastAsia="Calibri"/>
                <w:spacing w:val="1"/>
                <w:sz w:val="22"/>
                <w:szCs w:val="22"/>
              </w:rPr>
              <w:t>(</w:t>
            </w:r>
            <w:r w:rsidRPr="007459E2">
              <w:rPr>
                <w:rFonts w:eastAsia="Calibri"/>
                <w:sz w:val="22"/>
                <w:szCs w:val="22"/>
              </w:rPr>
              <w:t>21</w:t>
            </w:r>
            <w:r w:rsidRPr="007459E2">
              <w:rPr>
                <w:rFonts w:eastAsia="Calibri"/>
                <w:spacing w:val="-2"/>
                <w:sz w:val="22"/>
                <w:szCs w:val="22"/>
              </w:rPr>
              <w:t>,</w:t>
            </w:r>
            <w:r w:rsidRPr="007459E2">
              <w:rPr>
                <w:rFonts w:eastAsia="Calibri"/>
                <w:sz w:val="22"/>
                <w:szCs w:val="22"/>
              </w:rPr>
              <w:t>3</w:t>
            </w:r>
            <w:r w:rsidRPr="007459E2">
              <w:rPr>
                <w:rFonts w:eastAsia="Calibri"/>
                <w:spacing w:val="-2"/>
                <w:sz w:val="22"/>
                <w:szCs w:val="22"/>
              </w:rPr>
              <w:t xml:space="preserve"> %</w:t>
            </w:r>
            <w:r w:rsidRPr="007459E2">
              <w:rPr>
                <w:rFonts w:eastAsia="Calibri"/>
                <w:sz w:val="22"/>
                <w:szCs w:val="22"/>
              </w:rPr>
              <w:t>)</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tiden til første </w:t>
            </w:r>
            <w:proofErr w:type="spellStart"/>
            <w:r w:rsidRPr="007459E2">
              <w:rPr>
                <w:rFonts w:eastAsia="Calibri"/>
                <w:sz w:val="22"/>
                <w:szCs w:val="22"/>
              </w:rPr>
              <w:t>eksacerbation</w:t>
            </w:r>
            <w:proofErr w:type="spellEnd"/>
            <w:r w:rsidRPr="007459E2">
              <w:rPr>
                <w:rFonts w:eastAsia="Calibri"/>
                <w:sz w:val="22"/>
                <w:szCs w:val="22"/>
              </w:rPr>
              <w:t xml:space="preserve"> krævende betydelig intervention</w:t>
            </w:r>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142 da</w:t>
            </w:r>
            <w:r w:rsidRPr="007459E2">
              <w:rPr>
                <w:rFonts w:eastAsia="Calibri"/>
                <w:spacing w:val="-2"/>
                <w:sz w:val="22"/>
                <w:szCs w:val="22"/>
              </w:rPr>
              <w:t>ge</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15 da</w:t>
            </w:r>
            <w:r w:rsidRPr="007459E2">
              <w:rPr>
                <w:rFonts w:eastAsia="Calibri"/>
                <w:spacing w:val="-2"/>
                <w:sz w:val="22"/>
                <w:szCs w:val="22"/>
              </w:rPr>
              <w:t>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217 da</w:t>
            </w:r>
            <w:r w:rsidRPr="007459E2">
              <w:rPr>
                <w:rFonts w:eastAsia="Calibri"/>
                <w:spacing w:val="-2"/>
                <w:sz w:val="22"/>
                <w:szCs w:val="22"/>
              </w:rPr>
              <w:t>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 36 da</w:t>
            </w:r>
            <w:r w:rsidRPr="007459E2">
              <w:rPr>
                <w:rFonts w:eastAsia="Calibri"/>
                <w:spacing w:val="-2"/>
                <w:sz w:val="22"/>
                <w:szCs w:val="22"/>
              </w:rPr>
              <w:t>ge</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antallet af </w:t>
            </w:r>
            <w:proofErr w:type="spellStart"/>
            <w:r w:rsidRPr="007459E2">
              <w:rPr>
                <w:rFonts w:eastAsia="Calibri"/>
                <w:sz w:val="22"/>
                <w:szCs w:val="22"/>
              </w:rPr>
              <w:t>eksacerbationer</w:t>
            </w:r>
            <w:proofErr w:type="spellEnd"/>
            <w:r w:rsidRPr="007459E2">
              <w:rPr>
                <w:rFonts w:eastAsia="Calibri"/>
                <w:sz w:val="22"/>
                <w:szCs w:val="22"/>
              </w:rPr>
              <w:t xml:space="preserve"> justeret for ’time at </w:t>
            </w:r>
            <w:proofErr w:type="spellStart"/>
            <w:r w:rsidRPr="007459E2">
              <w:rPr>
                <w:rFonts w:eastAsia="Calibri"/>
                <w:sz w:val="22"/>
                <w:szCs w:val="22"/>
              </w:rPr>
              <w:t>risk</w:t>
            </w:r>
            <w:proofErr w:type="spellEnd"/>
            <w:r w:rsidRPr="007459E2">
              <w:rPr>
                <w:rFonts w:eastAsia="Calibri"/>
                <w:sz w:val="22"/>
                <w:szCs w:val="22"/>
              </w:rPr>
              <w:t>’ (% patienter uden nogen eksemudbrudsperioder)</w:t>
            </w:r>
          </w:p>
        </w:tc>
        <w:tc>
          <w:tcPr>
            <w:tcW w:w="987"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1,0 </w:t>
            </w:r>
            <w:r w:rsidRPr="007459E2">
              <w:rPr>
                <w:rFonts w:eastAsia="Calibri"/>
                <w:spacing w:val="1"/>
                <w:sz w:val="22"/>
                <w:szCs w:val="22"/>
              </w:rPr>
              <w:t>(</w:t>
            </w:r>
            <w:r w:rsidRPr="007459E2">
              <w:rPr>
                <w:rFonts w:eastAsia="Calibri"/>
                <w:sz w:val="22"/>
                <w:szCs w:val="22"/>
              </w:rPr>
              <w:t>42</w:t>
            </w:r>
            <w:r w:rsidRPr="007459E2">
              <w:rPr>
                <w:rFonts w:eastAsia="Calibri"/>
                <w:spacing w:val="-2"/>
                <w:sz w:val="22"/>
                <w:szCs w:val="22"/>
              </w:rPr>
              <w:t>,</w:t>
            </w:r>
            <w:r w:rsidRPr="007459E2">
              <w:rPr>
                <w:rFonts w:eastAsia="Calibri"/>
                <w:sz w:val="22"/>
                <w:szCs w:val="22"/>
              </w:rPr>
              <w:t>5</w:t>
            </w:r>
            <w:r w:rsidRPr="007459E2">
              <w:rPr>
                <w:rFonts w:eastAsia="Calibri"/>
                <w:spacing w:val="-2"/>
                <w:sz w:val="22"/>
                <w:szCs w:val="22"/>
              </w:rPr>
              <w:t xml:space="preserve"> %</w:t>
            </w:r>
            <w:r w:rsidRPr="007459E2">
              <w:rPr>
                <w:rFonts w:eastAsia="Calibri"/>
                <w:sz w:val="22"/>
                <w:szCs w:val="22"/>
              </w:rPr>
              <w:t>)</w:t>
            </w:r>
          </w:p>
        </w:tc>
        <w:tc>
          <w:tcPr>
            <w:tcW w:w="751"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6,8 </w:t>
            </w:r>
            <w:r w:rsidRPr="007459E2">
              <w:rPr>
                <w:rFonts w:eastAsia="Calibri"/>
                <w:spacing w:val="1"/>
                <w:sz w:val="22"/>
                <w:szCs w:val="22"/>
              </w:rPr>
              <w:t>(</w:t>
            </w:r>
            <w:r w:rsidRPr="007459E2">
              <w:rPr>
                <w:rFonts w:eastAsia="Calibri"/>
                <w:sz w:val="22"/>
                <w:szCs w:val="22"/>
              </w:rPr>
              <w:t>12</w:t>
            </w:r>
            <w:r w:rsidRPr="007459E2">
              <w:rPr>
                <w:rFonts w:eastAsia="Calibri"/>
                <w:spacing w:val="-2"/>
                <w:sz w:val="22"/>
                <w:szCs w:val="22"/>
              </w:rPr>
              <w:t>,</w:t>
            </w:r>
            <w:r w:rsidRPr="007459E2">
              <w:rPr>
                <w:rFonts w:eastAsia="Calibri"/>
                <w:sz w:val="22"/>
                <w:szCs w:val="22"/>
              </w:rPr>
              <w:t>3</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1,5 </w:t>
            </w:r>
            <w:r w:rsidRPr="007459E2">
              <w:rPr>
                <w:rFonts w:eastAsia="Calibri"/>
                <w:spacing w:val="1"/>
                <w:sz w:val="22"/>
                <w:szCs w:val="22"/>
              </w:rPr>
              <w:t>(</w:t>
            </w:r>
            <w:r w:rsidRPr="007459E2">
              <w:rPr>
                <w:rFonts w:eastAsia="Calibri"/>
                <w:sz w:val="22"/>
                <w:szCs w:val="22"/>
              </w:rPr>
              <w:t>41</w:t>
            </w:r>
            <w:r w:rsidRPr="007459E2">
              <w:rPr>
                <w:rFonts w:eastAsia="Calibri"/>
                <w:spacing w:val="-2"/>
                <w:sz w:val="22"/>
                <w:szCs w:val="22"/>
              </w:rPr>
              <w:t>,</w:t>
            </w:r>
            <w:r w:rsidRPr="007459E2">
              <w:rPr>
                <w:rFonts w:eastAsia="Calibri"/>
                <w:sz w:val="22"/>
                <w:szCs w:val="22"/>
              </w:rPr>
              <w:t>0</w:t>
            </w:r>
            <w:r w:rsidRPr="007459E2">
              <w:rPr>
                <w:rFonts w:eastAsia="Calibri"/>
                <w:spacing w:val="-2"/>
                <w:sz w:val="22"/>
                <w:szCs w:val="22"/>
              </w:rPr>
              <w:t xml:space="preserve"> %</w:t>
            </w:r>
            <w:r w:rsidRPr="007459E2">
              <w:rPr>
                <w:rFonts w:eastAsia="Calibri"/>
                <w:sz w:val="22"/>
                <w:szCs w:val="22"/>
              </w:rPr>
              <w:t>)</w:t>
            </w:r>
          </w:p>
        </w:tc>
        <w:tc>
          <w:tcPr>
            <w:tcW w:w="948" w:type="pct"/>
            <w:tcBorders>
              <w:top w:val="single" w:sz="4" w:space="0" w:color="000000"/>
              <w:left w:val="single" w:sz="4" w:space="0" w:color="000000"/>
              <w:bottom w:val="single" w:sz="4" w:space="0" w:color="000000"/>
              <w:right w:val="single" w:sz="4" w:space="0" w:color="000000"/>
            </w:tcBorders>
          </w:tcPr>
          <w:p w:rsidR="004475DF" w:rsidRPr="007459E2" w:rsidRDefault="004475DF" w:rsidP="003B4BCE">
            <w:pPr>
              <w:ind w:left="137" w:right="85"/>
              <w:rPr>
                <w:rFonts w:eastAsia="Calibri"/>
                <w:sz w:val="22"/>
                <w:szCs w:val="22"/>
              </w:rPr>
            </w:pPr>
          </w:p>
          <w:p w:rsidR="004475DF" w:rsidRPr="007459E2" w:rsidRDefault="004475DF" w:rsidP="003B4BCE">
            <w:pPr>
              <w:ind w:left="137" w:right="85"/>
              <w:rPr>
                <w:rFonts w:eastAsia="Calibri"/>
                <w:sz w:val="22"/>
                <w:szCs w:val="22"/>
              </w:rPr>
            </w:pPr>
            <w:r w:rsidRPr="007459E2">
              <w:rPr>
                <w:rFonts w:eastAsia="Calibri"/>
                <w:sz w:val="22"/>
                <w:szCs w:val="22"/>
              </w:rPr>
              <w:t xml:space="preserve">3,5 </w:t>
            </w:r>
            <w:r w:rsidRPr="007459E2">
              <w:rPr>
                <w:rFonts w:eastAsia="Calibri"/>
                <w:spacing w:val="1"/>
                <w:sz w:val="22"/>
                <w:szCs w:val="22"/>
              </w:rPr>
              <w:t>(</w:t>
            </w:r>
            <w:r w:rsidRPr="007459E2">
              <w:rPr>
                <w:rFonts w:eastAsia="Calibri"/>
                <w:sz w:val="22"/>
                <w:szCs w:val="22"/>
              </w:rPr>
              <w:t>14</w:t>
            </w:r>
            <w:r w:rsidRPr="007459E2">
              <w:rPr>
                <w:rFonts w:eastAsia="Calibri"/>
                <w:spacing w:val="-2"/>
                <w:sz w:val="22"/>
                <w:szCs w:val="22"/>
              </w:rPr>
              <w:t>,</w:t>
            </w:r>
            <w:r w:rsidRPr="007459E2">
              <w:rPr>
                <w:rFonts w:eastAsia="Calibri"/>
                <w:sz w:val="22"/>
                <w:szCs w:val="22"/>
              </w:rPr>
              <w:t>7</w:t>
            </w:r>
            <w:r w:rsidRPr="007459E2">
              <w:rPr>
                <w:rFonts w:eastAsia="Calibri"/>
                <w:spacing w:val="-2"/>
                <w:sz w:val="22"/>
                <w:szCs w:val="22"/>
              </w:rPr>
              <w:t xml:space="preserve"> %</w:t>
            </w:r>
            <w:r w:rsidRPr="007459E2">
              <w:rPr>
                <w:rFonts w:eastAsia="Calibri"/>
                <w:sz w:val="22"/>
                <w:szCs w:val="22"/>
              </w:rPr>
              <w:t>)</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Median af tiden til første </w:t>
            </w:r>
            <w:proofErr w:type="spellStart"/>
            <w:r w:rsidRPr="007459E2">
              <w:rPr>
                <w:rFonts w:eastAsia="Calibri"/>
                <w:sz w:val="22"/>
                <w:szCs w:val="22"/>
              </w:rPr>
              <w:t>eksacerbation</w:t>
            </w:r>
            <w:proofErr w:type="spellEnd"/>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123 dage</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14 dage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146 dage</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17 dage</w:t>
            </w:r>
          </w:p>
        </w:tc>
      </w:tr>
      <w:tr w:rsidR="004475DF" w:rsidRPr="007459E2" w:rsidTr="003B4BCE">
        <w:trPr>
          <w:trHeight w:val="20"/>
        </w:trPr>
        <w:tc>
          <w:tcPr>
            <w:tcW w:w="1366"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 xml:space="preserve">Middelværdiprocenten (SD) af antal dage med behandling af </w:t>
            </w:r>
            <w:proofErr w:type="spellStart"/>
            <w:r w:rsidRPr="007459E2">
              <w:rPr>
                <w:rFonts w:eastAsia="Calibri"/>
                <w:sz w:val="22"/>
                <w:szCs w:val="22"/>
              </w:rPr>
              <w:t>eksacerbation</w:t>
            </w:r>
            <w:proofErr w:type="spellEnd"/>
          </w:p>
        </w:tc>
        <w:tc>
          <w:tcPr>
            <w:tcW w:w="987"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16,1 (23,6)</w:t>
            </w:r>
          </w:p>
        </w:tc>
        <w:tc>
          <w:tcPr>
            <w:tcW w:w="751"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39,0 (27,8)</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16,9 (22,1)</w:t>
            </w:r>
          </w:p>
        </w:tc>
        <w:tc>
          <w:tcPr>
            <w:tcW w:w="948" w:type="pct"/>
            <w:tcBorders>
              <w:top w:val="single" w:sz="4" w:space="0" w:color="000000"/>
              <w:left w:val="single" w:sz="4" w:space="0" w:color="000000"/>
              <w:bottom w:val="single" w:sz="4" w:space="0" w:color="000000"/>
              <w:right w:val="single" w:sz="4" w:space="0" w:color="000000"/>
            </w:tcBorders>
            <w:hideMark/>
          </w:tcPr>
          <w:p w:rsidR="004475DF" w:rsidRPr="007459E2" w:rsidRDefault="004475DF" w:rsidP="003B4BCE">
            <w:pPr>
              <w:ind w:left="137" w:right="85"/>
              <w:rPr>
                <w:rFonts w:eastAsia="Calibri"/>
                <w:sz w:val="22"/>
                <w:szCs w:val="22"/>
              </w:rPr>
            </w:pPr>
            <w:r w:rsidRPr="007459E2">
              <w:rPr>
                <w:rFonts w:eastAsia="Calibri"/>
                <w:sz w:val="22"/>
                <w:szCs w:val="22"/>
              </w:rPr>
              <w:t>29,9 (26,8)</w:t>
            </w:r>
          </w:p>
        </w:tc>
      </w:tr>
    </w:tbl>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P &lt; 0.001 til fordel for </w:t>
      </w:r>
      <w:proofErr w:type="spellStart"/>
      <w:r w:rsidRPr="007459E2">
        <w:rPr>
          <w:sz w:val="24"/>
          <w:szCs w:val="24"/>
        </w:rPr>
        <w:t>tacrolimus</w:t>
      </w:r>
      <w:proofErr w:type="spellEnd"/>
      <w:r w:rsidRPr="007459E2">
        <w:rPr>
          <w:sz w:val="24"/>
          <w:szCs w:val="24"/>
        </w:rPr>
        <w:t>-salve 0,1 % (voksne) og 0,03 % (børn) for primære og væsentlige sekundære endepunkter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Et syv måneder langt dobbeltblindet, randomiseret, parallelgruppe-studie hos pædiatriske patienter (2-11 år)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er blevet udført. I den ene arm fik patienterne </w:t>
      </w:r>
      <w:proofErr w:type="spellStart"/>
      <w:r w:rsidRPr="007459E2">
        <w:rPr>
          <w:sz w:val="24"/>
          <w:szCs w:val="24"/>
        </w:rPr>
        <w:t>tacrolimus</w:t>
      </w:r>
      <w:proofErr w:type="spellEnd"/>
      <w:r w:rsidRPr="007459E2">
        <w:rPr>
          <w:sz w:val="24"/>
          <w:szCs w:val="24"/>
        </w:rPr>
        <w:t xml:space="preserve"> 0,03 % salve (n=121) to gange daglig i 3 uger og derefter en gang daglig indtil </w:t>
      </w:r>
      <w:proofErr w:type="spellStart"/>
      <w:r w:rsidRPr="007459E2">
        <w:rPr>
          <w:sz w:val="24"/>
          <w:szCs w:val="24"/>
        </w:rPr>
        <w:t>opheling</w:t>
      </w:r>
      <w:proofErr w:type="spellEnd"/>
      <w:r w:rsidRPr="007459E2">
        <w:rPr>
          <w:sz w:val="24"/>
          <w:szCs w:val="24"/>
        </w:rPr>
        <w:t xml:space="preserve">. I </w:t>
      </w:r>
      <w:proofErr w:type="spellStart"/>
      <w:r w:rsidRPr="007459E2">
        <w:rPr>
          <w:sz w:val="24"/>
          <w:szCs w:val="24"/>
        </w:rPr>
        <w:t>komparatorarmen</w:t>
      </w:r>
      <w:proofErr w:type="spellEnd"/>
      <w:r w:rsidRPr="007459E2">
        <w:rPr>
          <w:sz w:val="24"/>
          <w:szCs w:val="24"/>
        </w:rPr>
        <w:t xml:space="preserve"> fik patienterne 1 % </w:t>
      </w:r>
      <w:proofErr w:type="spellStart"/>
      <w:r w:rsidRPr="007459E2">
        <w:rPr>
          <w:sz w:val="24"/>
          <w:szCs w:val="24"/>
        </w:rPr>
        <w:t>hydrocortisonacetat</w:t>
      </w:r>
      <w:proofErr w:type="spellEnd"/>
      <w:r w:rsidRPr="007459E2">
        <w:rPr>
          <w:sz w:val="24"/>
          <w:szCs w:val="24"/>
        </w:rPr>
        <w:t xml:space="preserve">-salve (HA) til hoved og hals og 0,1 % </w:t>
      </w:r>
      <w:proofErr w:type="spellStart"/>
      <w:r w:rsidRPr="007459E2">
        <w:rPr>
          <w:sz w:val="24"/>
          <w:szCs w:val="24"/>
        </w:rPr>
        <w:t>hydrocortisonbutyrat</w:t>
      </w:r>
      <w:proofErr w:type="spellEnd"/>
      <w:r w:rsidRPr="007459E2">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7459E2">
        <w:rPr>
          <w:sz w:val="24"/>
          <w:szCs w:val="24"/>
        </w:rPr>
        <w:t>Neisseria</w:t>
      </w:r>
      <w:proofErr w:type="spellEnd"/>
      <w:r w:rsidRPr="007459E2">
        <w:rPr>
          <w:sz w:val="24"/>
          <w:szCs w:val="24"/>
        </w:rPr>
        <w:t xml:space="preserve"> </w:t>
      </w:r>
      <w:proofErr w:type="spellStart"/>
      <w:r w:rsidRPr="007459E2">
        <w:rPr>
          <w:sz w:val="24"/>
          <w:szCs w:val="24"/>
        </w:rPr>
        <w:t>meningitidis</w:t>
      </w:r>
      <w:proofErr w:type="spellEnd"/>
      <w:r w:rsidRPr="007459E2">
        <w:rPr>
          <w:sz w:val="24"/>
          <w:szCs w:val="24"/>
        </w:rPr>
        <w:t xml:space="preserve"> </w:t>
      </w:r>
      <w:proofErr w:type="spellStart"/>
      <w:r w:rsidRPr="007459E2">
        <w:rPr>
          <w:sz w:val="24"/>
          <w:szCs w:val="24"/>
        </w:rPr>
        <w:t>serogruppe</w:t>
      </w:r>
      <w:proofErr w:type="spellEnd"/>
      <w:r w:rsidRPr="007459E2">
        <w:rPr>
          <w:sz w:val="24"/>
          <w:szCs w:val="24"/>
        </w:rPr>
        <w:t xml:space="preserve"> C.</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Studiets primære endepunkt var responsraten på vaccination, defineret som procentdelen af patienter med en serum </w:t>
      </w:r>
      <w:proofErr w:type="gramStart"/>
      <w:r w:rsidRPr="007459E2">
        <w:rPr>
          <w:sz w:val="24"/>
          <w:szCs w:val="24"/>
        </w:rPr>
        <w:t>baktericid antistof</w:t>
      </w:r>
      <w:proofErr w:type="gramEnd"/>
      <w:r w:rsidRPr="007459E2">
        <w:rPr>
          <w:sz w:val="24"/>
          <w:szCs w:val="24"/>
        </w:rPr>
        <w:t xml:space="preserve"> (SBA)-</w:t>
      </w:r>
      <w:proofErr w:type="spellStart"/>
      <w:r w:rsidRPr="007459E2">
        <w:rPr>
          <w:sz w:val="24"/>
          <w:szCs w:val="24"/>
        </w:rPr>
        <w:t>titer</w:t>
      </w:r>
      <w:proofErr w:type="spellEnd"/>
      <w:r w:rsidRPr="007459E2">
        <w:rPr>
          <w:sz w:val="24"/>
          <w:szCs w:val="24"/>
        </w:rPr>
        <w:t xml:space="preserve"> ≥ 8 ved besøget i den 5. uge. Analyse af responsraten i uge 5 viste ækvivalens mellem behandlingsgrupperne (</w:t>
      </w:r>
      <w:proofErr w:type="spellStart"/>
      <w:r w:rsidRPr="007459E2">
        <w:rPr>
          <w:sz w:val="24"/>
          <w:szCs w:val="24"/>
        </w:rPr>
        <w:t>hydrocortison</w:t>
      </w:r>
      <w:proofErr w:type="spellEnd"/>
      <w:r w:rsidRPr="007459E2">
        <w:rPr>
          <w:sz w:val="24"/>
          <w:szCs w:val="24"/>
        </w:rPr>
        <w:t xml:space="preserve"> 98,3 %, </w:t>
      </w:r>
      <w:proofErr w:type="spellStart"/>
      <w:r w:rsidRPr="007459E2">
        <w:rPr>
          <w:sz w:val="24"/>
          <w:szCs w:val="24"/>
        </w:rPr>
        <w:t>tacrolimus</w:t>
      </w:r>
      <w:proofErr w:type="spellEnd"/>
      <w:r w:rsidRPr="007459E2">
        <w:rPr>
          <w:sz w:val="24"/>
          <w:szCs w:val="24"/>
        </w:rPr>
        <w:t>-salve 95,4 %; 7-11 år: 100 % i begge arme). Kontrolgruppen viste lignende resultater.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Det primære respons på vaccination påvirkedes ikke.</w:t>
      </w:r>
    </w:p>
    <w:p w:rsidR="004475DF" w:rsidRPr="007459E2" w:rsidRDefault="004475DF" w:rsidP="004475DF">
      <w:pPr>
        <w:ind w:left="851" w:hanging="851"/>
        <w:rPr>
          <w:sz w:val="24"/>
          <w:szCs w:val="24"/>
        </w:rPr>
      </w:pPr>
    </w:p>
    <w:p w:rsidR="004475DF" w:rsidRPr="00364C78" w:rsidRDefault="004475DF" w:rsidP="004475DF">
      <w:pPr>
        <w:ind w:left="851"/>
        <w:rPr>
          <w:sz w:val="24"/>
          <w:szCs w:val="24"/>
          <w:u w:val="single"/>
        </w:rPr>
      </w:pPr>
      <w:r w:rsidRPr="00364C78">
        <w:rPr>
          <w:sz w:val="24"/>
          <w:szCs w:val="24"/>
          <w:u w:val="single"/>
        </w:rPr>
        <w:t xml:space="preserve">Data vedrørende klinisk virkning og sikkerhed af </w:t>
      </w:r>
      <w:proofErr w:type="spellStart"/>
      <w:r w:rsidR="00332920">
        <w:rPr>
          <w:sz w:val="24"/>
          <w:szCs w:val="24"/>
          <w:u w:val="single"/>
        </w:rPr>
        <w:t>Tacronova</w:t>
      </w:r>
      <w:proofErr w:type="spellEnd"/>
      <w:r w:rsidRPr="00364C78">
        <w:rPr>
          <w:sz w:val="24"/>
          <w:szCs w:val="24"/>
          <w:u w:val="single"/>
        </w:rPr>
        <w:t xml:space="preserve"> 0,1 % salve</w:t>
      </w:r>
    </w:p>
    <w:p w:rsidR="004475DF" w:rsidRPr="007459E2" w:rsidRDefault="004475DF" w:rsidP="004475DF">
      <w:pPr>
        <w:ind w:left="851"/>
        <w:rPr>
          <w:sz w:val="24"/>
          <w:szCs w:val="24"/>
        </w:rPr>
      </w:pPr>
      <w:r w:rsidRPr="007459E2">
        <w:rPr>
          <w:sz w:val="24"/>
          <w:szCs w:val="24"/>
        </w:rPr>
        <w:t xml:space="preserve">650 voksne patienter med moderat til svær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blev inkluderet i et randomiseret, dobbeltblindet, placebokontrolleret, tre-</w:t>
      </w:r>
      <w:proofErr w:type="spellStart"/>
      <w:r w:rsidRPr="007459E2">
        <w:rPr>
          <w:sz w:val="24"/>
          <w:szCs w:val="24"/>
        </w:rPr>
        <w:t>armet</w:t>
      </w:r>
      <w:proofErr w:type="spellEnd"/>
      <w:r w:rsidRPr="007459E2">
        <w:rPr>
          <w:sz w:val="24"/>
          <w:szCs w:val="24"/>
        </w:rPr>
        <w:t xml:space="preserve">, paralleltildelings- og multicenterforsøg med henblik på evaluering af terapeutisk ækvivalens. Behandlingsvarigheden var op til 6 uger. I alt 650 patienter blev randomiseret og doseret i forholdet 2:2:1 til </w:t>
      </w:r>
      <w:proofErr w:type="spellStart"/>
      <w:r w:rsidR="00332920">
        <w:rPr>
          <w:sz w:val="24"/>
          <w:szCs w:val="24"/>
        </w:rPr>
        <w:t>Tacronova</w:t>
      </w:r>
      <w:proofErr w:type="spellEnd"/>
      <w:r w:rsidRPr="007459E2">
        <w:rPr>
          <w:sz w:val="24"/>
          <w:szCs w:val="24"/>
        </w:rPr>
        <w:t xml:space="preserve"> 0,1 % salve, originalproduktets </w:t>
      </w:r>
      <w:proofErr w:type="spellStart"/>
      <w:r w:rsidRPr="007459E2">
        <w:rPr>
          <w:sz w:val="24"/>
          <w:szCs w:val="24"/>
        </w:rPr>
        <w:t>tacrolimus</w:t>
      </w:r>
      <w:proofErr w:type="spellEnd"/>
      <w:r w:rsidRPr="007459E2">
        <w:rPr>
          <w:sz w:val="24"/>
          <w:szCs w:val="24"/>
        </w:rPr>
        <w:t xml:space="preserve"> 0,1 % salve eller placebo [vehikel (salvebasen)]. Patienterne fik administreret et af forsøgsprodukterne to gange daglig i 6 uger i forholdet 2:2:1. Behandlingsarmen blev bestemt ud fra </w:t>
      </w:r>
      <w:proofErr w:type="spellStart"/>
      <w:r w:rsidRPr="007459E2">
        <w:rPr>
          <w:sz w:val="24"/>
          <w:szCs w:val="24"/>
        </w:rPr>
        <w:t>randomiseringsskemaet</w:t>
      </w:r>
      <w:proofErr w:type="spellEnd"/>
      <w:r w:rsidRPr="007459E2">
        <w:rPr>
          <w:sz w:val="24"/>
          <w:szCs w:val="24"/>
        </w:rPr>
        <w:t>. Patienterne besøgte klinikken ved 9 forskellige lejligheder til komparative sikkerheds- og virkningsvurderinger.</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Patienter inkluderet i per-protokol-populationen (PP) og intent-to-</w:t>
      </w:r>
      <w:proofErr w:type="spellStart"/>
      <w:r w:rsidRPr="007459E2">
        <w:rPr>
          <w:sz w:val="24"/>
          <w:szCs w:val="24"/>
        </w:rPr>
        <w:t>treat</w:t>
      </w:r>
      <w:proofErr w:type="spellEnd"/>
      <w:r w:rsidRPr="007459E2">
        <w:rPr>
          <w:sz w:val="24"/>
          <w:szCs w:val="24"/>
        </w:rPr>
        <w:t xml:space="preserve">-populationerne (ITT) blev anvendt til evaluering af alle primære og sekundære endepunkter. Ud af 650 patienter var 547 patienter kvalificeret til PP-sættet, og 630 patienter var kvalificeret til </w:t>
      </w:r>
      <w:r w:rsidRPr="007459E2">
        <w:rPr>
          <w:sz w:val="24"/>
          <w:szCs w:val="24"/>
        </w:rPr>
        <w:lastRenderedPageBreak/>
        <w:t xml:space="preserve">ITT-sættet. Det primære endepunkt var defineret som gennemsnitlig procentvis ændring fra baseline (% </w:t>
      </w:r>
      <w:proofErr w:type="spellStart"/>
      <w:r w:rsidRPr="007459E2">
        <w:rPr>
          <w:sz w:val="24"/>
          <w:szCs w:val="24"/>
        </w:rPr>
        <w:t>change</w:t>
      </w:r>
      <w:proofErr w:type="spellEnd"/>
      <w:r w:rsidRPr="007459E2">
        <w:rPr>
          <w:sz w:val="24"/>
          <w:szCs w:val="24"/>
        </w:rPr>
        <w:t xml:space="preserve"> from baseline (CFB)) i EASI-totalscore i PP- og ITT-sættene.</w:t>
      </w:r>
    </w:p>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ind w:left="851" w:hanging="851"/>
        <w:rPr>
          <w:sz w:val="24"/>
          <w:szCs w:val="24"/>
        </w:rPr>
      </w:pPr>
      <w:r w:rsidRPr="007459E2">
        <w:rPr>
          <w:sz w:val="24"/>
          <w:szCs w:val="24"/>
        </w:rPr>
        <w:t>Tabel 5. Gennemsnitlig EASI-score i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2003"/>
        <w:gridCol w:w="2026"/>
        <w:gridCol w:w="2122"/>
      </w:tblGrid>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Parameter</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332920" w:rsidP="003B4BCE">
            <w:proofErr w:type="spellStart"/>
            <w:r>
              <w:t>Tacronova</w:t>
            </w:r>
            <w:proofErr w:type="spellEnd"/>
            <w:r w:rsidR="004475DF" w:rsidRPr="007459E2">
              <w:t xml:space="preserve"> 0,1 % salve</w:t>
            </w:r>
          </w:p>
          <w:p w:rsidR="004475DF" w:rsidRPr="007459E2" w:rsidRDefault="004475DF" w:rsidP="003B4BCE">
            <w:r w:rsidRPr="007459E2">
              <w:t>(N=220)</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w:t>
            </w:r>
          </w:p>
          <w:p w:rsidR="004475DF" w:rsidRPr="007459E2" w:rsidRDefault="004475DF" w:rsidP="003B4BCE">
            <w:r w:rsidRPr="007459E2">
              <w:t>(N=224)</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Placebo</w:t>
            </w:r>
          </w:p>
          <w:p w:rsidR="004475DF" w:rsidRPr="007459E2" w:rsidRDefault="004475DF" w:rsidP="003B4BCE">
            <w:r w:rsidRPr="007459E2">
              <w:t>(N=103)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baseline</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15,35 (12,150)</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15,51 (11,486)</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14,73 (12,203)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behandlingens afslutning (uge 6)</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3,25 (4,899)</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3,03 (4,962)</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8,71 (10,593)</w:t>
            </w:r>
          </w:p>
        </w:tc>
      </w:tr>
      <w:tr w:rsidR="004475DF" w:rsidRPr="007459E2" w:rsidTr="003B4BCE">
        <w:trPr>
          <w:trHeight w:val="20"/>
        </w:trPr>
        <w:tc>
          <w:tcPr>
            <w:tcW w:w="180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Absolut ændring i EASI-totalscore fra baseline til behandlingsafslutning  </w:t>
            </w:r>
          </w:p>
        </w:tc>
        <w:tc>
          <w:tcPr>
            <w:tcW w:w="10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12,307 (10,2213)</w:t>
            </w:r>
          </w:p>
        </w:tc>
        <w:tc>
          <w:tcPr>
            <w:tcW w:w="105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12,525 (9,9890)</w:t>
            </w:r>
          </w:p>
        </w:tc>
        <w:tc>
          <w:tcPr>
            <w:tcW w:w="110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6,282 (5,9339)</w:t>
            </w:r>
          </w:p>
        </w:tc>
      </w:tr>
    </w:tbl>
    <w:p w:rsidR="004475DF" w:rsidRPr="007459E2" w:rsidRDefault="004475DF" w:rsidP="004475DF">
      <w:pPr>
        <w:ind w:left="851" w:hanging="851"/>
        <w:rPr>
          <w:sz w:val="24"/>
          <w:szCs w:val="24"/>
        </w:rPr>
      </w:pPr>
    </w:p>
    <w:p w:rsidR="004475DF" w:rsidRPr="007459E2" w:rsidRDefault="004475DF" w:rsidP="004475DF">
      <w:pPr>
        <w:ind w:left="851" w:hanging="851"/>
        <w:rPr>
          <w:sz w:val="24"/>
          <w:szCs w:val="24"/>
          <w:u w:val="single"/>
        </w:rPr>
      </w:pPr>
      <w:r w:rsidRPr="007459E2">
        <w:rPr>
          <w:sz w:val="24"/>
          <w:szCs w:val="24"/>
        </w:rPr>
        <w:t>Tabel 6. Gennemsnitlig EASI-score i ITT-sæt</w:t>
      </w:r>
      <w:r w:rsidRPr="007459E2">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Parameter</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332920" w:rsidP="003B4BCE">
            <w:proofErr w:type="spellStart"/>
            <w:r>
              <w:t>Tacronova</w:t>
            </w:r>
            <w:proofErr w:type="spellEnd"/>
            <w:r w:rsidR="004475DF" w:rsidRPr="007459E2">
              <w:t xml:space="preserve"> 0,1 % salve</w:t>
            </w:r>
          </w:p>
          <w:p w:rsidR="004475DF" w:rsidRPr="007459E2" w:rsidRDefault="004475DF" w:rsidP="003B4BCE">
            <w:r w:rsidRPr="007459E2">
              <w:t>(N=253)</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w:t>
            </w:r>
          </w:p>
          <w:p w:rsidR="004475DF" w:rsidRPr="007459E2" w:rsidRDefault="004475DF" w:rsidP="003B4BCE">
            <w:r w:rsidRPr="007459E2">
              <w:t xml:space="preserve"> (N=251)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Placebo</w:t>
            </w:r>
          </w:p>
          <w:p w:rsidR="004475DF" w:rsidRPr="007459E2" w:rsidRDefault="004475DF" w:rsidP="003B4BCE">
            <w:r w:rsidRPr="007459E2">
              <w:t>(N=126)</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15,28 (11,835)</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15,28 (11,356)</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14,63 (11,501)</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(SD) EASI-totalscore ved behandlingens afslutning (uge 6)</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3,68 (5,968)</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3,20 (5,461)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9,84 (11,863)</w:t>
            </w:r>
          </w:p>
        </w:tc>
      </w:tr>
      <w:tr w:rsidR="004475DF" w:rsidRPr="007459E2" w:rsidTr="003B4BCE">
        <w:trPr>
          <w:trHeight w:val="20"/>
        </w:trPr>
        <w:tc>
          <w:tcPr>
            <w:tcW w:w="1828"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Absolut ændring i EASI-totalscore fra baseline til behandlingsafslutning  </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 11,975 (9,9381)</w:t>
            </w:r>
          </w:p>
        </w:tc>
        <w:tc>
          <w:tcPr>
            <w:tcW w:w="1026"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12,012 (9,9221)</w:t>
            </w:r>
          </w:p>
        </w:tc>
        <w:tc>
          <w:tcPr>
            <w:tcW w:w="1119"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6,636 (6,7981)</w:t>
            </w:r>
          </w:p>
        </w:tc>
      </w:tr>
    </w:tbl>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rPr>
          <w:sz w:val="24"/>
          <w:szCs w:val="24"/>
        </w:rPr>
      </w:pPr>
      <w:r w:rsidRPr="007459E2">
        <w:rPr>
          <w:sz w:val="24"/>
          <w:szCs w:val="24"/>
        </w:rPr>
        <w:t xml:space="preserve">Tabel 7. Virkning af </w:t>
      </w:r>
      <w:proofErr w:type="spellStart"/>
      <w:r w:rsidR="00332920">
        <w:rPr>
          <w:sz w:val="24"/>
          <w:szCs w:val="24"/>
        </w:rPr>
        <w:t>Tacronova</w:t>
      </w:r>
      <w:proofErr w:type="spellEnd"/>
      <w:r w:rsidRPr="007459E2">
        <w:rPr>
          <w:sz w:val="24"/>
          <w:szCs w:val="24"/>
        </w:rPr>
        <w:t xml:space="preserve"> 0,1 % salve vs. originalproduktets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Parametre</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332920" w:rsidP="003B4BCE">
            <w:proofErr w:type="spellStart"/>
            <w:r>
              <w:t>Tacronova</w:t>
            </w:r>
            <w:proofErr w:type="spellEnd"/>
            <w:r w:rsidR="004475DF" w:rsidRPr="007459E2">
              <w:t xml:space="preserve"> 0,1 % salve vs. originalproduktets 0,1 % salve to gange daglig</w:t>
            </w:r>
          </w:p>
        </w:tc>
      </w:tr>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PP-sæt </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-2,23 % (95 % CI: -8,60 % til 4,13 %) </w:t>
            </w:r>
          </w:p>
          <w:p w:rsidR="004475DF" w:rsidRPr="007459E2" w:rsidRDefault="004475DF" w:rsidP="003B4BCE">
            <w:r w:rsidRPr="007459E2">
              <w:t>(N=547)</w:t>
            </w:r>
          </w:p>
        </w:tc>
      </w:tr>
      <w:tr w:rsidR="004475DF" w:rsidRPr="007459E2" w:rsidTr="003B4BCE">
        <w:tc>
          <w:tcPr>
            <w:tcW w:w="184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ITT-sæt </w:t>
            </w:r>
          </w:p>
        </w:tc>
        <w:tc>
          <w:tcPr>
            <w:tcW w:w="3160"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-3,52 % (95 % CI: -11,01 % til 3,97 %) </w:t>
            </w:r>
          </w:p>
          <w:p w:rsidR="004475DF" w:rsidRPr="007459E2" w:rsidRDefault="004475DF" w:rsidP="003B4BCE">
            <w:r w:rsidRPr="007459E2">
              <w:t>(N=630)</w:t>
            </w:r>
          </w:p>
        </w:tc>
      </w:tr>
    </w:tbl>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95 % CI for forskellen i gennemsnitlig procentvis ændring i EASI-totalscore i forhold til baseline for test- versus originalproduktet i PP-sættet ligger inden for den præspecificerede grænse (-15,00 %, 15,00 %) for terapeutisk ækvivalens.</w:t>
      </w:r>
    </w:p>
    <w:p w:rsidR="004475DF" w:rsidRPr="007459E2" w:rsidRDefault="004475DF" w:rsidP="004475DF">
      <w:pPr>
        <w:ind w:left="851"/>
        <w:rPr>
          <w:sz w:val="24"/>
          <w:szCs w:val="24"/>
        </w:rPr>
      </w:pPr>
    </w:p>
    <w:p w:rsidR="004475DF" w:rsidRPr="007459E2" w:rsidRDefault="004475DF" w:rsidP="004475DF">
      <w:pPr>
        <w:autoSpaceDE w:val="0"/>
        <w:autoSpaceDN w:val="0"/>
        <w:adjustRightInd w:val="0"/>
        <w:rPr>
          <w:sz w:val="24"/>
          <w:szCs w:val="24"/>
        </w:rPr>
      </w:pPr>
      <w:r w:rsidRPr="007459E2">
        <w:rPr>
          <w:sz w:val="24"/>
          <w:szCs w:val="24"/>
        </w:rPr>
        <w:t xml:space="preserve">Tabel 8. Virkning af </w:t>
      </w:r>
      <w:proofErr w:type="spellStart"/>
      <w:r w:rsidR="00332920">
        <w:rPr>
          <w:sz w:val="24"/>
          <w:szCs w:val="24"/>
        </w:rPr>
        <w:t>Tacronova</w:t>
      </w:r>
      <w:proofErr w:type="spellEnd"/>
      <w:r w:rsidRPr="007459E2">
        <w:rPr>
          <w:sz w:val="24"/>
          <w:szCs w:val="24"/>
        </w:rPr>
        <w:t xml:space="preserve"> 0,1 % salve og originalproduktet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Parametre</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332920" w:rsidP="003B4BCE">
            <w:proofErr w:type="spellStart"/>
            <w:r>
              <w:t>Tacronova</w:t>
            </w:r>
            <w:proofErr w:type="spellEnd"/>
            <w:r w:rsidR="004475DF" w:rsidRPr="007459E2">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Originalproduktets 0,1 % salve to gange daglig</w:t>
            </w:r>
          </w:p>
        </w:tc>
      </w:tr>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Gennemsnitlig % CFB i EASI-totalscore i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28,46 % </w:t>
            </w:r>
          </w:p>
          <w:p w:rsidR="004475DF" w:rsidRPr="007459E2" w:rsidRDefault="004475DF" w:rsidP="003B4BCE">
            <w:r w:rsidRPr="007459E2">
              <w:t xml:space="preserve">(97,5 % CI: 19,62 % til 37,30 %) </w:t>
            </w:r>
          </w:p>
          <w:p w:rsidR="004475DF" w:rsidRPr="007459E2" w:rsidRDefault="004475DF" w:rsidP="003B4BCE">
            <w:r w:rsidRPr="007459E2">
              <w:t>(N=547)</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30,70 % </w:t>
            </w:r>
          </w:p>
          <w:p w:rsidR="004475DF" w:rsidRPr="007459E2" w:rsidRDefault="004475DF" w:rsidP="003B4BCE">
            <w:r w:rsidRPr="007459E2">
              <w:t xml:space="preserve">(97,5 % CI: 21,88 % til 39,51 %) </w:t>
            </w:r>
          </w:p>
          <w:p w:rsidR="004475DF" w:rsidRPr="007459E2" w:rsidRDefault="004475DF" w:rsidP="003B4BCE">
            <w:pPr>
              <w:rPr>
                <w:b/>
              </w:rPr>
            </w:pPr>
            <w:r w:rsidRPr="007459E2">
              <w:t>(N=547)</w:t>
            </w:r>
          </w:p>
        </w:tc>
      </w:tr>
      <w:tr w:rsidR="004475DF" w:rsidRPr="007459E2" w:rsidTr="003B4BCE">
        <w:tc>
          <w:tcPr>
            <w:tcW w:w="1472"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Gennemsnitlig % CFB i EASI-totalscore i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35,26 % </w:t>
            </w:r>
          </w:p>
          <w:p w:rsidR="004475DF" w:rsidRPr="007459E2" w:rsidRDefault="004475DF" w:rsidP="003B4BCE">
            <w:r w:rsidRPr="007459E2">
              <w:t xml:space="preserve">(97,5 % CI: 25,12 % til 45,41 %) </w:t>
            </w:r>
          </w:p>
          <w:p w:rsidR="004475DF" w:rsidRPr="007459E2" w:rsidRDefault="004475DF" w:rsidP="003B4BCE">
            <w:r w:rsidRPr="007459E2">
              <w:t>(N=630)</w:t>
            </w:r>
          </w:p>
        </w:tc>
        <w:tc>
          <w:tcPr>
            <w:tcW w:w="1764" w:type="pct"/>
            <w:tcBorders>
              <w:top w:val="single" w:sz="4" w:space="0" w:color="auto"/>
              <w:left w:val="single" w:sz="4" w:space="0" w:color="auto"/>
              <w:bottom w:val="single" w:sz="4" w:space="0" w:color="auto"/>
              <w:right w:val="single" w:sz="4" w:space="0" w:color="auto"/>
            </w:tcBorders>
            <w:hideMark/>
          </w:tcPr>
          <w:p w:rsidR="004475DF" w:rsidRPr="007459E2" w:rsidRDefault="004475DF" w:rsidP="003B4BCE">
            <w:r w:rsidRPr="007459E2">
              <w:t xml:space="preserve">38,78 % </w:t>
            </w:r>
          </w:p>
          <w:p w:rsidR="004475DF" w:rsidRPr="007459E2" w:rsidRDefault="004475DF" w:rsidP="003B4BCE">
            <w:r w:rsidRPr="007459E2">
              <w:t xml:space="preserve">(97,5 % CI: 28,62 % til 48,95 %) </w:t>
            </w:r>
          </w:p>
          <w:p w:rsidR="004475DF" w:rsidRPr="007459E2" w:rsidRDefault="004475DF" w:rsidP="003B4BCE">
            <w:r w:rsidRPr="007459E2">
              <w:t>(N=630)</w:t>
            </w:r>
          </w:p>
        </w:tc>
      </w:tr>
    </w:tbl>
    <w:p w:rsidR="004475DF" w:rsidRPr="007459E2" w:rsidRDefault="004475DF" w:rsidP="004475DF">
      <w:pPr>
        <w:autoSpaceDE w:val="0"/>
        <w:autoSpaceDN w:val="0"/>
        <w:adjustRightInd w:val="0"/>
        <w:ind w:left="851" w:hanging="851"/>
        <w:jc w:val="both"/>
        <w:rPr>
          <w:sz w:val="24"/>
          <w:szCs w:val="24"/>
        </w:rPr>
      </w:pPr>
    </w:p>
    <w:p w:rsidR="004475DF" w:rsidRPr="007459E2" w:rsidRDefault="004475DF" w:rsidP="004475DF">
      <w:pPr>
        <w:ind w:left="851"/>
        <w:rPr>
          <w:sz w:val="24"/>
          <w:szCs w:val="24"/>
        </w:rPr>
      </w:pPr>
      <w:r w:rsidRPr="007459E2">
        <w:rPr>
          <w:sz w:val="24"/>
          <w:szCs w:val="24"/>
        </w:rPr>
        <w:lastRenderedPageBreak/>
        <w:t xml:space="preserve">Den nedre grænse for 97,5 % CI for forskellen i gennemsnitlig procentvis ændring i EASI-totalscore i forhold til baseline for </w:t>
      </w:r>
      <w:proofErr w:type="spellStart"/>
      <w:r w:rsidR="00332920">
        <w:rPr>
          <w:sz w:val="24"/>
          <w:szCs w:val="24"/>
        </w:rPr>
        <w:t>Tacronova</w:t>
      </w:r>
      <w:proofErr w:type="spellEnd"/>
      <w:r w:rsidRPr="007459E2">
        <w:rPr>
          <w:sz w:val="24"/>
          <w:szCs w:val="24"/>
        </w:rPr>
        <w:t xml:space="preserve"> 0,1 % salve versus placebo og originalproduktet 0,1 % salve versus placebo er over 0 i PP-sættet, hvilket dokumenterer </w:t>
      </w:r>
      <w:proofErr w:type="spellStart"/>
      <w:r w:rsidRPr="007459E2">
        <w:rPr>
          <w:sz w:val="24"/>
          <w:szCs w:val="24"/>
        </w:rPr>
        <w:t>superioritet</w:t>
      </w:r>
      <w:proofErr w:type="spellEnd"/>
      <w:r w:rsidRPr="007459E2">
        <w:rPr>
          <w:sz w:val="24"/>
          <w:szCs w:val="24"/>
        </w:rPr>
        <w:t xml:space="preserve"> af </w:t>
      </w:r>
      <w:proofErr w:type="spellStart"/>
      <w:r w:rsidR="00332920">
        <w:rPr>
          <w:sz w:val="24"/>
          <w:szCs w:val="24"/>
        </w:rPr>
        <w:t>Tacronova</w:t>
      </w:r>
      <w:proofErr w:type="spellEnd"/>
      <w:r w:rsidRPr="007459E2">
        <w:rPr>
          <w:sz w:val="24"/>
          <w:szCs w:val="24"/>
        </w:rPr>
        <w:t xml:space="preserve"> 0,1 % salve og originalproduktet 0,1 % salve i forhold til placebo.</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Hyppigheden og karakteren af de fleste bivirkninger var ensartet i de to behandlings</w:t>
      </w:r>
      <w:r w:rsidRPr="007459E2">
        <w:rPr>
          <w:sz w:val="24"/>
          <w:szCs w:val="24"/>
        </w:rPr>
        <w:softHyphen/>
        <w:t xml:space="preserve">grupper med </w:t>
      </w:r>
      <w:proofErr w:type="spellStart"/>
      <w:r w:rsidRPr="007459E2">
        <w:rPr>
          <w:sz w:val="24"/>
          <w:szCs w:val="24"/>
        </w:rPr>
        <w:t>tacrolimus</w:t>
      </w:r>
      <w:proofErr w:type="spellEnd"/>
      <w:r w:rsidRPr="007459E2">
        <w:rPr>
          <w:sz w:val="24"/>
          <w:szCs w:val="24"/>
        </w:rPr>
        <w:t xml:space="preserve">-salve. De hyppigst indberettede bivirkninger var smerter på administrationsstedet, </w:t>
      </w:r>
      <w:proofErr w:type="spellStart"/>
      <w:r w:rsidRPr="007459E2">
        <w:rPr>
          <w:sz w:val="24"/>
          <w:szCs w:val="24"/>
        </w:rPr>
        <w:t>pruritus</w:t>
      </w:r>
      <w:proofErr w:type="spellEnd"/>
      <w:r w:rsidRPr="007459E2">
        <w:rPr>
          <w:sz w:val="24"/>
          <w:szCs w:val="24"/>
        </w:rPr>
        <w:t xml:space="preserve"> på administrationsstedet, </w:t>
      </w:r>
      <w:proofErr w:type="spellStart"/>
      <w:r w:rsidRPr="007459E2">
        <w:rPr>
          <w:sz w:val="24"/>
          <w:szCs w:val="24"/>
        </w:rPr>
        <w:t>pruritus</w:t>
      </w:r>
      <w:proofErr w:type="spellEnd"/>
      <w:r w:rsidRPr="007459E2">
        <w:rPr>
          <w:sz w:val="24"/>
          <w:szCs w:val="24"/>
        </w:rPr>
        <w:t xml:space="preserve">, brændende fornemmelse i huden, overfølsomhed på administrationsstedet, hudirritation, </w:t>
      </w:r>
      <w:proofErr w:type="spellStart"/>
      <w:r w:rsidRPr="007459E2">
        <w:rPr>
          <w:sz w:val="24"/>
          <w:szCs w:val="24"/>
        </w:rPr>
        <w:t>papler</w:t>
      </w:r>
      <w:proofErr w:type="spellEnd"/>
      <w:r w:rsidRPr="007459E2">
        <w:rPr>
          <w:sz w:val="24"/>
          <w:szCs w:val="24"/>
        </w:rPr>
        <w:t xml:space="preserve"> på administrations</w:t>
      </w:r>
      <w:r w:rsidRPr="007459E2">
        <w:rPr>
          <w:sz w:val="24"/>
          <w:szCs w:val="24"/>
        </w:rPr>
        <w:softHyphen/>
        <w:t xml:space="preserve">stedet, varme på administrationsstedet og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Der var ingen klinisk relevante ændringer i laboratorieværdier eller vitale tegn i nogen af behandlingsgrupperne i løbet af studiet.</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5.2</w:t>
      </w:r>
      <w:r w:rsidRPr="007459E2">
        <w:rPr>
          <w:b/>
          <w:sz w:val="24"/>
          <w:szCs w:val="24"/>
        </w:rPr>
        <w:tab/>
      </w:r>
      <w:proofErr w:type="spellStart"/>
      <w:r w:rsidRPr="007459E2">
        <w:rPr>
          <w:b/>
          <w:sz w:val="24"/>
          <w:szCs w:val="24"/>
        </w:rPr>
        <w:t>Farmakokinetiske</w:t>
      </w:r>
      <w:proofErr w:type="spellEnd"/>
      <w:r w:rsidRPr="007459E2">
        <w:rPr>
          <w:b/>
          <w:sz w:val="24"/>
          <w:szCs w:val="24"/>
        </w:rPr>
        <w:t xml:space="preserve"> egenskaber</w:t>
      </w:r>
    </w:p>
    <w:p w:rsidR="004475DF" w:rsidRPr="007459E2" w:rsidRDefault="004475DF" w:rsidP="004475DF">
      <w:pPr>
        <w:ind w:left="851"/>
        <w:rPr>
          <w:sz w:val="24"/>
          <w:szCs w:val="24"/>
        </w:rPr>
      </w:pPr>
      <w:r w:rsidRPr="007459E2">
        <w:rPr>
          <w:sz w:val="24"/>
          <w:szCs w:val="24"/>
        </w:rPr>
        <w:t xml:space="preserve">Kliniske data har vist, at koncentrationen af </w:t>
      </w:r>
      <w:proofErr w:type="spellStart"/>
      <w:r w:rsidRPr="007459E2">
        <w:rPr>
          <w:sz w:val="24"/>
          <w:szCs w:val="24"/>
        </w:rPr>
        <w:t>tacrolimus</w:t>
      </w:r>
      <w:proofErr w:type="spellEnd"/>
      <w:r w:rsidRPr="007459E2">
        <w:rPr>
          <w:sz w:val="24"/>
          <w:szCs w:val="24"/>
        </w:rPr>
        <w:t xml:space="preserve"> i den systemiske cirkulation er lav efter applikation på huden, og i de tilfælde koncentrationen har været målelig, kun målelig i kortere perioder.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Absorption</w:t>
      </w:r>
    </w:p>
    <w:p w:rsidR="004475DF" w:rsidRPr="007459E2" w:rsidRDefault="004475DF" w:rsidP="004475DF">
      <w:pPr>
        <w:ind w:left="851"/>
        <w:rPr>
          <w:sz w:val="24"/>
          <w:szCs w:val="24"/>
        </w:rPr>
      </w:pPr>
      <w:r w:rsidRPr="007459E2">
        <w:rPr>
          <w:sz w:val="24"/>
          <w:szCs w:val="24"/>
        </w:rPr>
        <w:t xml:space="preserve">Data fra sunde forsøgspersoner indikerer, at der kun er ringe eller ingen systemisk eksponering for </w:t>
      </w:r>
      <w:proofErr w:type="spellStart"/>
      <w:r w:rsidRPr="007459E2">
        <w:rPr>
          <w:sz w:val="24"/>
          <w:szCs w:val="24"/>
        </w:rPr>
        <w:t>tacrolimus</w:t>
      </w:r>
      <w:proofErr w:type="spellEnd"/>
      <w:r w:rsidRPr="007459E2">
        <w:rPr>
          <w:sz w:val="24"/>
          <w:szCs w:val="24"/>
        </w:rPr>
        <w:t xml:space="preserve"> efter en enkelt eller gentagen applikation af </w:t>
      </w:r>
      <w:proofErr w:type="spellStart"/>
      <w:r w:rsidRPr="007459E2">
        <w:rPr>
          <w:sz w:val="24"/>
          <w:szCs w:val="24"/>
        </w:rPr>
        <w:t>tacrolimus</w:t>
      </w:r>
      <w:proofErr w:type="spellEnd"/>
      <w:r w:rsidRPr="007459E2">
        <w:rPr>
          <w:sz w:val="24"/>
          <w:szCs w:val="24"/>
        </w:rPr>
        <w:t>-salve.</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 xml:space="preserve">Flertallet af de patienter med </w:t>
      </w:r>
      <w:proofErr w:type="spellStart"/>
      <w:r w:rsidRPr="007459E2">
        <w:rPr>
          <w:sz w:val="24"/>
          <w:szCs w:val="24"/>
        </w:rPr>
        <w:t>atopisk</w:t>
      </w:r>
      <w:proofErr w:type="spellEnd"/>
      <w:r w:rsidRPr="007459E2">
        <w:rPr>
          <w:sz w:val="24"/>
          <w:szCs w:val="24"/>
        </w:rPr>
        <w:t xml:space="preserve"> </w:t>
      </w:r>
      <w:proofErr w:type="spellStart"/>
      <w:r w:rsidRPr="007459E2">
        <w:rPr>
          <w:sz w:val="24"/>
          <w:szCs w:val="24"/>
        </w:rPr>
        <w:t>dermatitis</w:t>
      </w:r>
      <w:proofErr w:type="spellEnd"/>
      <w:r w:rsidRPr="007459E2">
        <w:rPr>
          <w:sz w:val="24"/>
          <w:szCs w:val="24"/>
        </w:rPr>
        <w:t xml:space="preserve"> (voksne og børn), der er blevet behandlet med en enkelt eller med gentagen applikation af </w:t>
      </w:r>
      <w:proofErr w:type="spellStart"/>
      <w:r w:rsidRPr="007459E2">
        <w:rPr>
          <w:sz w:val="24"/>
          <w:szCs w:val="24"/>
        </w:rPr>
        <w:t>tacrolimus</w:t>
      </w:r>
      <w:proofErr w:type="spellEnd"/>
      <w:r w:rsidRPr="007459E2">
        <w:rPr>
          <w:sz w:val="24"/>
          <w:szCs w:val="24"/>
        </w:rPr>
        <w:t xml:space="preserve">-salve (0,03 - 0,1 %), og spædbørn fra 5 måneders alderen behandlet med </w:t>
      </w:r>
      <w:proofErr w:type="spellStart"/>
      <w:r w:rsidRPr="007459E2">
        <w:rPr>
          <w:sz w:val="24"/>
          <w:szCs w:val="24"/>
        </w:rPr>
        <w:t>tacrolimus</w:t>
      </w:r>
      <w:proofErr w:type="spellEnd"/>
      <w:r w:rsidRPr="007459E2">
        <w:rPr>
          <w:sz w:val="24"/>
          <w:szCs w:val="24"/>
        </w:rPr>
        <w:t xml:space="preserve">-salve (0,03 %), havde blodkoncentrationer &lt; 1,0 </w:t>
      </w:r>
      <w:proofErr w:type="spellStart"/>
      <w:r w:rsidRPr="007459E2">
        <w:rPr>
          <w:sz w:val="24"/>
          <w:szCs w:val="24"/>
        </w:rPr>
        <w:t>ng</w:t>
      </w:r>
      <w:proofErr w:type="spellEnd"/>
      <w:r w:rsidRPr="007459E2">
        <w:rPr>
          <w:sz w:val="24"/>
          <w:szCs w:val="24"/>
        </w:rPr>
        <w:t xml:space="preserve">/ml. I de tilfælde, hvor man fandt blodkoncentrationer &gt; 1 </w:t>
      </w:r>
      <w:proofErr w:type="spellStart"/>
      <w:r w:rsidRPr="007459E2">
        <w:rPr>
          <w:sz w:val="24"/>
          <w:szCs w:val="24"/>
        </w:rPr>
        <w:t>ng</w:t>
      </w:r>
      <w:proofErr w:type="spellEnd"/>
      <w:r w:rsidRPr="007459E2">
        <w:rPr>
          <w:sz w:val="24"/>
          <w:szCs w:val="24"/>
        </w:rPr>
        <w:t xml:space="preserve">/ml, var disse kun af kort varighed. Den systemiske eksponering stiger med øgede behandlingsområder. Men både størrelsen og hastigheden af den lokale absorption falder i takt med, at huden heler. Hos både voksne og børn, der får behandlet 50 % af kroppens overflade, er den systemiske eksponering (dvs. AUC) af </w:t>
      </w:r>
      <w:proofErr w:type="spellStart"/>
      <w:r w:rsidRPr="007459E2">
        <w:rPr>
          <w:sz w:val="24"/>
          <w:szCs w:val="24"/>
        </w:rPr>
        <w:t>tacrolimus</w:t>
      </w:r>
      <w:proofErr w:type="spellEnd"/>
      <w:r w:rsidRPr="007459E2">
        <w:rPr>
          <w:sz w:val="24"/>
          <w:szCs w:val="24"/>
        </w:rPr>
        <w:t xml:space="preserve"> fra </w:t>
      </w:r>
      <w:proofErr w:type="spellStart"/>
      <w:r w:rsidRPr="007459E2">
        <w:rPr>
          <w:sz w:val="24"/>
          <w:szCs w:val="24"/>
        </w:rPr>
        <w:t>tacrolimus</w:t>
      </w:r>
      <w:proofErr w:type="spellEnd"/>
      <w:r w:rsidRPr="007459E2">
        <w:rPr>
          <w:sz w:val="24"/>
          <w:szCs w:val="24"/>
        </w:rPr>
        <w:t xml:space="preserve">-salve cirka 30-gange mindre end hvad man finder ved orale </w:t>
      </w:r>
      <w:proofErr w:type="spellStart"/>
      <w:r w:rsidRPr="007459E2">
        <w:rPr>
          <w:sz w:val="24"/>
          <w:szCs w:val="24"/>
        </w:rPr>
        <w:t>immunosuppressive</w:t>
      </w:r>
      <w:proofErr w:type="spellEnd"/>
      <w:r w:rsidRPr="007459E2">
        <w:rPr>
          <w:sz w:val="24"/>
          <w:szCs w:val="24"/>
        </w:rPr>
        <w:t xml:space="preserve"> doser i nyre- og levertransplanterede patienter. Det vides ikke hvor lave </w:t>
      </w:r>
      <w:proofErr w:type="spellStart"/>
      <w:r w:rsidRPr="007459E2">
        <w:rPr>
          <w:sz w:val="24"/>
          <w:szCs w:val="24"/>
        </w:rPr>
        <w:t>tacrolimus</w:t>
      </w:r>
      <w:proofErr w:type="spellEnd"/>
      <w:r w:rsidRPr="007459E2">
        <w:rPr>
          <w:sz w:val="24"/>
          <w:szCs w:val="24"/>
        </w:rPr>
        <w:t xml:space="preserve"> blodkoncentrationer, der vil kunne give systemisk effekt. Der har ikke været tegn på systemisk akkumulation af </w:t>
      </w:r>
      <w:proofErr w:type="spellStart"/>
      <w:r w:rsidRPr="007459E2">
        <w:rPr>
          <w:sz w:val="24"/>
          <w:szCs w:val="24"/>
        </w:rPr>
        <w:t>tacrolimus</w:t>
      </w:r>
      <w:proofErr w:type="spellEnd"/>
      <w:r w:rsidRPr="007459E2">
        <w:rPr>
          <w:sz w:val="24"/>
          <w:szCs w:val="24"/>
        </w:rPr>
        <w:t xml:space="preserve"> i patienter (voksne og børn), der er blevet behandlet med </w:t>
      </w:r>
      <w:proofErr w:type="spellStart"/>
      <w:r w:rsidRPr="007459E2">
        <w:rPr>
          <w:sz w:val="24"/>
          <w:szCs w:val="24"/>
        </w:rPr>
        <w:t>tacrolimus</w:t>
      </w:r>
      <w:proofErr w:type="spellEnd"/>
      <w:r w:rsidRPr="007459E2">
        <w:rPr>
          <w:sz w:val="24"/>
          <w:szCs w:val="24"/>
        </w:rPr>
        <w:t>-salve i længere perioder (op til 1 år).</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Fordeling</w:t>
      </w:r>
    </w:p>
    <w:p w:rsidR="004475DF" w:rsidRPr="007459E2" w:rsidRDefault="004475DF" w:rsidP="004475DF">
      <w:pPr>
        <w:ind w:left="851"/>
        <w:rPr>
          <w:sz w:val="24"/>
          <w:szCs w:val="24"/>
        </w:rPr>
      </w:pPr>
      <w:r w:rsidRPr="007459E2">
        <w:rPr>
          <w:sz w:val="24"/>
          <w:szCs w:val="24"/>
        </w:rPr>
        <w:t xml:space="preserve">Da den systemiske eksponering er lav ved behandling med </w:t>
      </w:r>
      <w:proofErr w:type="spellStart"/>
      <w:r w:rsidRPr="007459E2">
        <w:rPr>
          <w:sz w:val="24"/>
          <w:szCs w:val="24"/>
        </w:rPr>
        <w:t>tacrolimus</w:t>
      </w:r>
      <w:proofErr w:type="spellEnd"/>
      <w:r w:rsidRPr="007459E2">
        <w:rPr>
          <w:sz w:val="24"/>
          <w:szCs w:val="24"/>
        </w:rPr>
        <w:t xml:space="preserve">-salve, er den kraftige plasmabinding af </w:t>
      </w:r>
      <w:proofErr w:type="spellStart"/>
      <w:r w:rsidRPr="007459E2">
        <w:rPr>
          <w:sz w:val="24"/>
          <w:szCs w:val="24"/>
        </w:rPr>
        <w:t>tacrolimus</w:t>
      </w:r>
      <w:proofErr w:type="spellEnd"/>
      <w:r w:rsidRPr="007459E2">
        <w:rPr>
          <w:sz w:val="24"/>
          <w:szCs w:val="24"/>
        </w:rPr>
        <w:t xml:space="preserve"> (&gt; 98,8 %) næppe klinisk relevant.</w:t>
      </w:r>
    </w:p>
    <w:p w:rsidR="004475DF" w:rsidRPr="007459E2" w:rsidRDefault="004475DF" w:rsidP="004475DF">
      <w:pPr>
        <w:ind w:left="851"/>
        <w:rPr>
          <w:sz w:val="24"/>
          <w:szCs w:val="24"/>
        </w:rPr>
      </w:pPr>
      <w:r w:rsidRPr="007459E2">
        <w:rPr>
          <w:sz w:val="24"/>
          <w:szCs w:val="24"/>
        </w:rPr>
        <w:t xml:space="preserve">Efter lokal applikation af </w:t>
      </w:r>
      <w:proofErr w:type="spellStart"/>
      <w:r w:rsidRPr="007459E2">
        <w:rPr>
          <w:sz w:val="24"/>
          <w:szCs w:val="24"/>
        </w:rPr>
        <w:t>tacrolimus</w:t>
      </w:r>
      <w:proofErr w:type="spellEnd"/>
      <w:r w:rsidRPr="007459E2">
        <w:rPr>
          <w:sz w:val="24"/>
          <w:szCs w:val="24"/>
        </w:rPr>
        <w:t xml:space="preserve">-salve, bliver </w:t>
      </w:r>
      <w:proofErr w:type="spellStart"/>
      <w:r w:rsidRPr="007459E2">
        <w:rPr>
          <w:sz w:val="24"/>
          <w:szCs w:val="24"/>
        </w:rPr>
        <w:t>tacrolimus</w:t>
      </w:r>
      <w:proofErr w:type="spellEnd"/>
      <w:r w:rsidRPr="007459E2">
        <w:rPr>
          <w:sz w:val="24"/>
          <w:szCs w:val="24"/>
        </w:rPr>
        <w:t xml:space="preserve"> selektivt optaget i huden med minimal diffusion til den systemiske cirkulation.</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r w:rsidRPr="007459E2">
        <w:rPr>
          <w:sz w:val="24"/>
          <w:szCs w:val="24"/>
          <w:u w:val="single"/>
        </w:rPr>
        <w:t>Biotransformation</w:t>
      </w:r>
    </w:p>
    <w:p w:rsidR="004475DF" w:rsidRPr="007459E2" w:rsidRDefault="004475DF" w:rsidP="004475DF">
      <w:pPr>
        <w:ind w:left="851"/>
        <w:rPr>
          <w:sz w:val="24"/>
          <w:szCs w:val="24"/>
        </w:rPr>
      </w:pPr>
      <w:r w:rsidRPr="007459E2">
        <w:rPr>
          <w:sz w:val="24"/>
          <w:szCs w:val="24"/>
        </w:rPr>
        <w:t xml:space="preserve">Der er ikke tegn på, at </w:t>
      </w:r>
      <w:proofErr w:type="spellStart"/>
      <w:r w:rsidRPr="007459E2">
        <w:rPr>
          <w:sz w:val="24"/>
          <w:szCs w:val="24"/>
        </w:rPr>
        <w:t>tacrolimus</w:t>
      </w:r>
      <w:proofErr w:type="spellEnd"/>
      <w:r w:rsidRPr="007459E2">
        <w:rPr>
          <w:sz w:val="24"/>
          <w:szCs w:val="24"/>
        </w:rPr>
        <w:t xml:space="preserve">-salve </w:t>
      </w:r>
      <w:proofErr w:type="spellStart"/>
      <w:r w:rsidRPr="007459E2">
        <w:rPr>
          <w:sz w:val="24"/>
          <w:szCs w:val="24"/>
        </w:rPr>
        <w:t>metaboliseres</w:t>
      </w:r>
      <w:proofErr w:type="spellEnd"/>
      <w:r w:rsidRPr="007459E2">
        <w:rPr>
          <w:sz w:val="24"/>
          <w:szCs w:val="24"/>
        </w:rPr>
        <w:t xml:space="preserve"> af human hud. Systemisk tilgængeligt </w:t>
      </w:r>
      <w:proofErr w:type="spellStart"/>
      <w:r w:rsidRPr="007459E2">
        <w:rPr>
          <w:sz w:val="24"/>
          <w:szCs w:val="24"/>
        </w:rPr>
        <w:t>tacrolimus</w:t>
      </w:r>
      <w:proofErr w:type="spellEnd"/>
      <w:r w:rsidRPr="007459E2">
        <w:rPr>
          <w:sz w:val="24"/>
          <w:szCs w:val="24"/>
        </w:rPr>
        <w:t xml:space="preserve"> er </w:t>
      </w:r>
      <w:proofErr w:type="spellStart"/>
      <w:r w:rsidRPr="007459E2">
        <w:rPr>
          <w:sz w:val="24"/>
          <w:szCs w:val="24"/>
        </w:rPr>
        <w:t>metaboliseres</w:t>
      </w:r>
      <w:proofErr w:type="spellEnd"/>
      <w:r w:rsidRPr="007459E2">
        <w:rPr>
          <w:sz w:val="24"/>
          <w:szCs w:val="24"/>
        </w:rPr>
        <w:t xml:space="preserve"> i omfattende grad i leveren via CYP3A4.</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Eliminering</w:t>
      </w:r>
    </w:p>
    <w:p w:rsidR="004475DF" w:rsidRPr="007459E2" w:rsidRDefault="004475DF" w:rsidP="004475DF">
      <w:pPr>
        <w:ind w:left="851"/>
        <w:rPr>
          <w:sz w:val="24"/>
          <w:szCs w:val="24"/>
        </w:rPr>
      </w:pPr>
      <w:r w:rsidRPr="007459E2">
        <w:rPr>
          <w:sz w:val="24"/>
          <w:szCs w:val="24"/>
        </w:rPr>
        <w:t xml:space="preserve">Efter intravenøs administration er </w:t>
      </w:r>
      <w:proofErr w:type="spellStart"/>
      <w:r w:rsidRPr="007459E2">
        <w:rPr>
          <w:sz w:val="24"/>
          <w:szCs w:val="24"/>
        </w:rPr>
        <w:t>tacrolimus</w:t>
      </w:r>
      <w:proofErr w:type="spellEnd"/>
      <w:r w:rsidRPr="007459E2">
        <w:rPr>
          <w:sz w:val="24"/>
          <w:szCs w:val="24"/>
        </w:rPr>
        <w:t xml:space="preserve"> vist at være et stof med lav </w:t>
      </w:r>
      <w:proofErr w:type="spellStart"/>
      <w:r w:rsidRPr="007459E2">
        <w:rPr>
          <w:sz w:val="24"/>
          <w:szCs w:val="24"/>
        </w:rPr>
        <w:t>clearance</w:t>
      </w:r>
      <w:proofErr w:type="spellEnd"/>
      <w:r w:rsidRPr="007459E2">
        <w:rPr>
          <w:sz w:val="24"/>
          <w:szCs w:val="24"/>
        </w:rPr>
        <w:t xml:space="preserve">. Den gennemsnitlige totale </w:t>
      </w:r>
      <w:proofErr w:type="spellStart"/>
      <w:r w:rsidRPr="007459E2">
        <w:rPr>
          <w:sz w:val="24"/>
          <w:szCs w:val="24"/>
        </w:rPr>
        <w:t>clearance</w:t>
      </w:r>
      <w:proofErr w:type="spellEnd"/>
      <w:r w:rsidRPr="007459E2">
        <w:rPr>
          <w:sz w:val="24"/>
          <w:szCs w:val="24"/>
        </w:rPr>
        <w:t xml:space="preserve"> fra kroppen er omkring 2,25 l/time. Den </w:t>
      </w:r>
      <w:proofErr w:type="spellStart"/>
      <w:r w:rsidRPr="007459E2">
        <w:rPr>
          <w:sz w:val="24"/>
          <w:szCs w:val="24"/>
        </w:rPr>
        <w:t>hepatiske</w:t>
      </w:r>
      <w:proofErr w:type="spellEnd"/>
      <w:r w:rsidRPr="007459E2">
        <w:rPr>
          <w:sz w:val="24"/>
          <w:szCs w:val="24"/>
        </w:rPr>
        <w:t xml:space="preserve"> </w:t>
      </w:r>
      <w:proofErr w:type="spellStart"/>
      <w:r w:rsidRPr="007459E2">
        <w:rPr>
          <w:sz w:val="24"/>
          <w:szCs w:val="24"/>
        </w:rPr>
        <w:t>clearance</w:t>
      </w:r>
      <w:proofErr w:type="spellEnd"/>
      <w:r w:rsidRPr="007459E2">
        <w:rPr>
          <w:sz w:val="24"/>
          <w:szCs w:val="24"/>
        </w:rPr>
        <w:t xml:space="preserve"> af systemisk tilgængeligt </w:t>
      </w:r>
      <w:proofErr w:type="spellStart"/>
      <w:r w:rsidRPr="007459E2">
        <w:rPr>
          <w:sz w:val="24"/>
          <w:szCs w:val="24"/>
        </w:rPr>
        <w:t>tacrolimus</w:t>
      </w:r>
      <w:proofErr w:type="spellEnd"/>
      <w:r w:rsidRPr="007459E2">
        <w:rPr>
          <w:sz w:val="24"/>
          <w:szCs w:val="24"/>
        </w:rPr>
        <w:t xml:space="preserve"> kan være nedsat hos patienter med svær </w:t>
      </w:r>
      <w:r w:rsidRPr="007459E2">
        <w:rPr>
          <w:sz w:val="24"/>
          <w:szCs w:val="24"/>
        </w:rPr>
        <w:lastRenderedPageBreak/>
        <w:t>nedsættelse af leverfunktionen, eller ved samtidig behandling med lægemidler, der er potente inhibitorer af CYP3A4.</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Efter gentagen lokal applikation af salven, beregnede man halveringstiden til 75 timer for voksne og 65 timer for børn.</w:t>
      </w:r>
    </w:p>
    <w:p w:rsidR="004475DF" w:rsidRPr="007459E2" w:rsidRDefault="004475DF" w:rsidP="004475DF">
      <w:pPr>
        <w:ind w:left="851"/>
        <w:rPr>
          <w:sz w:val="24"/>
          <w:szCs w:val="24"/>
        </w:rPr>
      </w:pPr>
    </w:p>
    <w:p w:rsidR="004475DF" w:rsidRPr="00E10635" w:rsidRDefault="004475DF" w:rsidP="004475DF">
      <w:pPr>
        <w:ind w:left="851"/>
        <w:rPr>
          <w:iCs/>
          <w:sz w:val="24"/>
          <w:szCs w:val="24"/>
          <w:u w:val="single"/>
        </w:rPr>
      </w:pPr>
      <w:r w:rsidRPr="00E10635">
        <w:rPr>
          <w:iCs/>
          <w:sz w:val="24"/>
          <w:szCs w:val="24"/>
          <w:u w:val="single"/>
        </w:rPr>
        <w:t>Pædiatrisk population</w:t>
      </w:r>
    </w:p>
    <w:p w:rsidR="004475DF" w:rsidRPr="007459E2" w:rsidRDefault="004475DF" w:rsidP="004475DF">
      <w:pPr>
        <w:ind w:left="851"/>
        <w:rPr>
          <w:sz w:val="24"/>
          <w:szCs w:val="24"/>
        </w:rPr>
      </w:pPr>
      <w:proofErr w:type="spellStart"/>
      <w:r w:rsidRPr="007459E2">
        <w:rPr>
          <w:sz w:val="24"/>
          <w:szCs w:val="24"/>
        </w:rPr>
        <w:t>Tacrolimus</w:t>
      </w:r>
      <w:proofErr w:type="spellEnd"/>
      <w:r w:rsidRPr="007459E2">
        <w:rPr>
          <w:sz w:val="24"/>
          <w:szCs w:val="24"/>
        </w:rPr>
        <w:t>' farmakokinetik efter lokal applikation ligner den, der er indberette for voksne med minimal systemisk eksponering og ingen tegn på akkumulering (se ovenfor).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5.3</w:t>
      </w:r>
      <w:r w:rsidRPr="007459E2">
        <w:rPr>
          <w:b/>
          <w:sz w:val="24"/>
          <w:szCs w:val="24"/>
        </w:rPr>
        <w:tab/>
      </w:r>
      <w:r w:rsidR="00D851D4">
        <w:rPr>
          <w:b/>
          <w:sz w:val="24"/>
          <w:szCs w:val="24"/>
        </w:rPr>
        <w:t>Non-</w:t>
      </w:r>
      <w:r w:rsidRPr="007459E2">
        <w:rPr>
          <w:b/>
          <w:sz w:val="24"/>
          <w:szCs w:val="24"/>
        </w:rPr>
        <w:t>kliniske sikkerhedsdata</w:t>
      </w:r>
    </w:p>
    <w:p w:rsidR="004475DF" w:rsidRPr="007459E2" w:rsidRDefault="004475DF" w:rsidP="004475DF">
      <w:pPr>
        <w:ind w:left="851" w:hanging="851"/>
        <w:rPr>
          <w:sz w:val="24"/>
          <w:szCs w:val="24"/>
          <w:u w:val="single"/>
        </w:rPr>
      </w:pPr>
    </w:p>
    <w:p w:rsidR="004475DF" w:rsidRPr="007459E2" w:rsidRDefault="004475DF" w:rsidP="004475DF">
      <w:pPr>
        <w:ind w:left="851"/>
        <w:rPr>
          <w:sz w:val="24"/>
          <w:szCs w:val="24"/>
          <w:u w:val="single"/>
        </w:rPr>
      </w:pPr>
      <w:r w:rsidRPr="007459E2">
        <w:rPr>
          <w:sz w:val="24"/>
          <w:szCs w:val="24"/>
          <w:u w:val="single"/>
        </w:rPr>
        <w:t xml:space="preserve">Toksicitet efter gentagne doser og lokal </w:t>
      </w:r>
      <w:proofErr w:type="spellStart"/>
      <w:r w:rsidRPr="007459E2">
        <w:rPr>
          <w:sz w:val="24"/>
          <w:szCs w:val="24"/>
          <w:u w:val="single"/>
        </w:rPr>
        <w:t>tolerabilitet</w:t>
      </w:r>
      <w:proofErr w:type="spellEnd"/>
    </w:p>
    <w:p w:rsidR="004475DF" w:rsidRPr="007459E2" w:rsidRDefault="004475DF" w:rsidP="004475DF">
      <w:pPr>
        <w:ind w:left="851"/>
        <w:rPr>
          <w:sz w:val="24"/>
          <w:szCs w:val="24"/>
        </w:rPr>
      </w:pPr>
      <w:r w:rsidRPr="007459E2">
        <w:rPr>
          <w:sz w:val="24"/>
          <w:szCs w:val="24"/>
        </w:rPr>
        <w:t xml:space="preserve">Gentagen lokal administration af enten </w:t>
      </w:r>
      <w:proofErr w:type="spellStart"/>
      <w:r w:rsidRPr="007459E2">
        <w:rPr>
          <w:sz w:val="24"/>
          <w:szCs w:val="24"/>
        </w:rPr>
        <w:t>tacrolimus</w:t>
      </w:r>
      <w:proofErr w:type="spellEnd"/>
      <w:r w:rsidRPr="007459E2">
        <w:rPr>
          <w:sz w:val="24"/>
          <w:szCs w:val="24"/>
        </w:rPr>
        <w:t xml:space="preserve">-salve eller af salve-vehikel til rotter, kaniner og minigrise medførte lettere </w:t>
      </w:r>
      <w:proofErr w:type="spellStart"/>
      <w:r w:rsidRPr="007459E2">
        <w:rPr>
          <w:sz w:val="24"/>
          <w:szCs w:val="24"/>
        </w:rPr>
        <w:t>dermale</w:t>
      </w:r>
      <w:proofErr w:type="spellEnd"/>
      <w:r w:rsidRPr="007459E2">
        <w:rPr>
          <w:sz w:val="24"/>
          <w:szCs w:val="24"/>
        </w:rPr>
        <w:t xml:space="preserve"> ændringer, såsom </w:t>
      </w:r>
      <w:proofErr w:type="spellStart"/>
      <w:r w:rsidRPr="007459E2">
        <w:rPr>
          <w:sz w:val="24"/>
          <w:szCs w:val="24"/>
        </w:rPr>
        <w:t>erytem</w:t>
      </w:r>
      <w:proofErr w:type="spellEnd"/>
      <w:r w:rsidRPr="007459E2">
        <w:rPr>
          <w:sz w:val="24"/>
          <w:szCs w:val="24"/>
        </w:rPr>
        <w:t xml:space="preserve">, ødem og </w:t>
      </w:r>
      <w:proofErr w:type="spellStart"/>
      <w:r w:rsidRPr="007459E2">
        <w:rPr>
          <w:sz w:val="24"/>
          <w:szCs w:val="24"/>
        </w:rPr>
        <w:t>papler</w:t>
      </w:r>
      <w:proofErr w:type="spellEnd"/>
      <w:r w:rsidRPr="007459E2">
        <w:rPr>
          <w:sz w:val="24"/>
          <w:szCs w:val="24"/>
        </w:rPr>
        <w:t>.</w:t>
      </w:r>
    </w:p>
    <w:p w:rsidR="004475DF" w:rsidRPr="007459E2" w:rsidRDefault="004475DF" w:rsidP="004475DF">
      <w:pPr>
        <w:ind w:left="851"/>
        <w:rPr>
          <w:sz w:val="24"/>
          <w:szCs w:val="24"/>
        </w:rPr>
      </w:pPr>
      <w:r w:rsidRPr="007459E2">
        <w:rPr>
          <w:sz w:val="24"/>
          <w:szCs w:val="24"/>
        </w:rPr>
        <w:t xml:space="preserve">Langtids lokalbehandling af rotter med </w:t>
      </w:r>
      <w:proofErr w:type="spellStart"/>
      <w:r w:rsidRPr="007459E2">
        <w:rPr>
          <w:sz w:val="24"/>
          <w:szCs w:val="24"/>
        </w:rPr>
        <w:t>tacrolimus</w:t>
      </w:r>
      <w:proofErr w:type="spellEnd"/>
      <w:r w:rsidRPr="007459E2">
        <w:rPr>
          <w:sz w:val="24"/>
          <w:szCs w:val="24"/>
        </w:rPr>
        <w:t xml:space="preserve"> medførte systemisk toksicitet med forandringer i nyrer, bugspytkirtel, øjne og nervesystem. Forandringerne skyldtes kraftig systemisk eksponering hos gnavere på grund af udtalt </w:t>
      </w:r>
      <w:proofErr w:type="spellStart"/>
      <w:r w:rsidRPr="007459E2">
        <w:rPr>
          <w:sz w:val="24"/>
          <w:szCs w:val="24"/>
        </w:rPr>
        <w:t>transdermal</w:t>
      </w:r>
      <w:proofErr w:type="spellEnd"/>
      <w:r w:rsidRPr="007459E2">
        <w:rPr>
          <w:sz w:val="24"/>
          <w:szCs w:val="24"/>
        </w:rPr>
        <w:t xml:space="preserve"> absorption af </w:t>
      </w:r>
      <w:proofErr w:type="spellStart"/>
      <w:r w:rsidRPr="007459E2">
        <w:rPr>
          <w:sz w:val="24"/>
          <w:szCs w:val="24"/>
        </w:rPr>
        <w:t>tacrolimus</w:t>
      </w:r>
      <w:proofErr w:type="spellEnd"/>
      <w:r w:rsidRPr="007459E2">
        <w:rPr>
          <w:sz w:val="24"/>
          <w:szCs w:val="24"/>
        </w:rPr>
        <w:t xml:space="preserve">. En let reduceret øgning af kropsvægten hos hundyr var den eneste systemiske forandring hos minigrise ved brug af salve med højt indhold af </w:t>
      </w:r>
      <w:proofErr w:type="spellStart"/>
      <w:r w:rsidRPr="007459E2">
        <w:rPr>
          <w:sz w:val="24"/>
          <w:szCs w:val="24"/>
        </w:rPr>
        <w:t>tacrolimus</w:t>
      </w:r>
      <w:proofErr w:type="spellEnd"/>
      <w:r w:rsidRPr="007459E2">
        <w:rPr>
          <w:sz w:val="24"/>
          <w:szCs w:val="24"/>
        </w:rPr>
        <w:t xml:space="preserve"> (3 %).</w:t>
      </w:r>
    </w:p>
    <w:p w:rsidR="004475DF" w:rsidRPr="007459E2" w:rsidRDefault="004475DF" w:rsidP="004475DF">
      <w:pPr>
        <w:ind w:left="851"/>
        <w:rPr>
          <w:sz w:val="24"/>
          <w:szCs w:val="24"/>
        </w:rPr>
      </w:pPr>
      <w:r w:rsidRPr="007459E2">
        <w:rPr>
          <w:sz w:val="24"/>
          <w:szCs w:val="24"/>
        </w:rPr>
        <w:t xml:space="preserve">Kaniner er specielt følsomme for </w:t>
      </w:r>
      <w:proofErr w:type="spellStart"/>
      <w:r w:rsidRPr="007459E2">
        <w:rPr>
          <w:sz w:val="24"/>
          <w:szCs w:val="24"/>
        </w:rPr>
        <w:t>tacrolimus</w:t>
      </w:r>
      <w:proofErr w:type="spellEnd"/>
      <w:r w:rsidRPr="007459E2">
        <w:rPr>
          <w:sz w:val="24"/>
          <w:szCs w:val="24"/>
        </w:rPr>
        <w:t xml:space="preserve"> administreret intravenøst, idet man ser reversibel </w:t>
      </w:r>
      <w:proofErr w:type="spellStart"/>
      <w:r w:rsidRPr="007459E2">
        <w:rPr>
          <w:sz w:val="24"/>
          <w:szCs w:val="24"/>
        </w:rPr>
        <w:t>kardiotoksicitet</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u w:val="single"/>
        </w:rPr>
      </w:pPr>
      <w:proofErr w:type="spellStart"/>
      <w:r w:rsidRPr="007459E2">
        <w:rPr>
          <w:sz w:val="24"/>
          <w:szCs w:val="24"/>
          <w:u w:val="single"/>
        </w:rPr>
        <w:t>Mutagenicitet</w:t>
      </w:r>
      <w:proofErr w:type="spellEnd"/>
    </w:p>
    <w:p w:rsidR="004475DF" w:rsidRPr="007459E2" w:rsidRDefault="004475DF" w:rsidP="004475DF">
      <w:pPr>
        <w:ind w:left="851"/>
        <w:rPr>
          <w:sz w:val="24"/>
          <w:szCs w:val="24"/>
        </w:rPr>
      </w:pPr>
      <w:r w:rsidRPr="007459E2">
        <w:rPr>
          <w:sz w:val="24"/>
          <w:szCs w:val="24"/>
        </w:rPr>
        <w:t xml:space="preserve">Med </w:t>
      </w:r>
      <w:r w:rsidRPr="007459E2">
        <w:rPr>
          <w:i/>
          <w:iCs/>
          <w:sz w:val="24"/>
          <w:szCs w:val="24"/>
        </w:rPr>
        <w:t xml:space="preserve">in </w:t>
      </w:r>
      <w:proofErr w:type="spellStart"/>
      <w:r w:rsidRPr="007459E2">
        <w:rPr>
          <w:i/>
          <w:iCs/>
          <w:sz w:val="24"/>
          <w:szCs w:val="24"/>
        </w:rPr>
        <w:t>vitro</w:t>
      </w:r>
      <w:proofErr w:type="spellEnd"/>
      <w:r w:rsidRPr="007459E2">
        <w:rPr>
          <w:i/>
          <w:iCs/>
          <w:sz w:val="24"/>
          <w:szCs w:val="24"/>
        </w:rPr>
        <w:t xml:space="preserve">- </w:t>
      </w:r>
      <w:r w:rsidRPr="007459E2">
        <w:rPr>
          <w:sz w:val="24"/>
          <w:szCs w:val="24"/>
        </w:rPr>
        <w:t xml:space="preserve">og </w:t>
      </w:r>
      <w:r w:rsidRPr="007459E2">
        <w:rPr>
          <w:i/>
          <w:iCs/>
          <w:sz w:val="24"/>
          <w:szCs w:val="24"/>
        </w:rPr>
        <w:t xml:space="preserve">in </w:t>
      </w:r>
      <w:proofErr w:type="spellStart"/>
      <w:r w:rsidRPr="007459E2">
        <w:rPr>
          <w:i/>
          <w:iCs/>
          <w:sz w:val="24"/>
          <w:szCs w:val="24"/>
        </w:rPr>
        <w:t>vivo</w:t>
      </w:r>
      <w:proofErr w:type="spellEnd"/>
      <w:r w:rsidRPr="007459E2">
        <w:rPr>
          <w:i/>
          <w:iCs/>
          <w:sz w:val="24"/>
          <w:szCs w:val="24"/>
        </w:rPr>
        <w:t>-</w:t>
      </w:r>
      <w:r w:rsidRPr="007459E2">
        <w:rPr>
          <w:sz w:val="24"/>
          <w:szCs w:val="24"/>
        </w:rPr>
        <w:t xml:space="preserve">tests har man ikke kunnet påvise tegn på genotoksisk potentiale af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proofErr w:type="spellStart"/>
      <w:r w:rsidRPr="007459E2">
        <w:rPr>
          <w:sz w:val="24"/>
          <w:szCs w:val="24"/>
          <w:u w:val="single"/>
        </w:rPr>
        <w:t>Karcinogenicitet</w:t>
      </w:r>
      <w:proofErr w:type="spellEnd"/>
    </w:p>
    <w:p w:rsidR="004475DF" w:rsidRPr="007459E2" w:rsidRDefault="004475DF" w:rsidP="004475DF">
      <w:pPr>
        <w:ind w:left="851"/>
        <w:rPr>
          <w:sz w:val="24"/>
          <w:szCs w:val="24"/>
        </w:rPr>
      </w:pPr>
      <w:r w:rsidRPr="007459E2">
        <w:rPr>
          <w:sz w:val="24"/>
          <w:szCs w:val="24"/>
        </w:rPr>
        <w:t xml:space="preserve">Systemiske </w:t>
      </w:r>
      <w:proofErr w:type="spellStart"/>
      <w:r w:rsidRPr="007459E2">
        <w:rPr>
          <w:sz w:val="24"/>
          <w:szCs w:val="24"/>
        </w:rPr>
        <w:t>karcinogenicitetsundersøgelser</w:t>
      </w:r>
      <w:proofErr w:type="spellEnd"/>
      <w:r w:rsidRPr="007459E2">
        <w:rPr>
          <w:sz w:val="24"/>
          <w:szCs w:val="24"/>
        </w:rPr>
        <w:t xml:space="preserve"> hos mus (18 måneder) og rotter (24 måneder) viste ingen tegn på </w:t>
      </w:r>
      <w:proofErr w:type="spellStart"/>
      <w:r w:rsidRPr="007459E2">
        <w:rPr>
          <w:sz w:val="24"/>
          <w:szCs w:val="24"/>
        </w:rPr>
        <w:t>karcinogent</w:t>
      </w:r>
      <w:proofErr w:type="spellEnd"/>
      <w:r w:rsidRPr="007459E2">
        <w:rPr>
          <w:sz w:val="24"/>
          <w:szCs w:val="24"/>
        </w:rPr>
        <w:t xml:space="preserve"> potentiale.</w:t>
      </w:r>
    </w:p>
    <w:p w:rsidR="004475DF" w:rsidRPr="007459E2" w:rsidRDefault="004475DF" w:rsidP="004475DF">
      <w:pPr>
        <w:ind w:left="851"/>
        <w:rPr>
          <w:sz w:val="24"/>
          <w:szCs w:val="24"/>
        </w:rPr>
      </w:pPr>
      <w:r w:rsidRPr="007459E2">
        <w:rPr>
          <w:sz w:val="24"/>
          <w:szCs w:val="24"/>
        </w:rPr>
        <w:t xml:space="preserve">Man fandt ingen hudtumorer i en 24 måneders undersøgelse af </w:t>
      </w:r>
      <w:proofErr w:type="spellStart"/>
      <w:r w:rsidRPr="007459E2">
        <w:rPr>
          <w:sz w:val="24"/>
          <w:szCs w:val="24"/>
        </w:rPr>
        <w:t>dermal</w:t>
      </w:r>
      <w:proofErr w:type="spellEnd"/>
      <w:r w:rsidRPr="007459E2">
        <w:rPr>
          <w:sz w:val="24"/>
          <w:szCs w:val="24"/>
        </w:rPr>
        <w:t xml:space="preserve"> </w:t>
      </w:r>
      <w:proofErr w:type="spellStart"/>
      <w:r w:rsidRPr="007459E2">
        <w:rPr>
          <w:sz w:val="24"/>
          <w:szCs w:val="24"/>
        </w:rPr>
        <w:t>karcinogenicitet</w:t>
      </w:r>
      <w:proofErr w:type="spellEnd"/>
      <w:r w:rsidRPr="007459E2">
        <w:rPr>
          <w:sz w:val="24"/>
          <w:szCs w:val="24"/>
        </w:rPr>
        <w:t xml:space="preserve"> hos mus, hvor man benyttede 0,1 % salve. I denne undersøgelse fandt man en øget forekomst af </w:t>
      </w:r>
      <w:proofErr w:type="spellStart"/>
      <w:r w:rsidRPr="007459E2">
        <w:rPr>
          <w:sz w:val="24"/>
          <w:szCs w:val="24"/>
        </w:rPr>
        <w:t>lymfomer</w:t>
      </w:r>
      <w:proofErr w:type="spellEnd"/>
      <w:r w:rsidRPr="007459E2">
        <w:rPr>
          <w:sz w:val="24"/>
          <w:szCs w:val="24"/>
        </w:rPr>
        <w:t xml:space="preserve"> på grund af den høje systemiske eksponering.</w:t>
      </w:r>
    </w:p>
    <w:p w:rsidR="004475DF" w:rsidRPr="007459E2" w:rsidRDefault="004475DF" w:rsidP="004475DF">
      <w:pPr>
        <w:ind w:left="851"/>
        <w:rPr>
          <w:sz w:val="24"/>
          <w:szCs w:val="24"/>
        </w:rPr>
      </w:pPr>
      <w:r w:rsidRPr="007459E2">
        <w:rPr>
          <w:sz w:val="24"/>
          <w:szCs w:val="24"/>
        </w:rPr>
        <w:t xml:space="preserve">I et </w:t>
      </w:r>
      <w:proofErr w:type="spellStart"/>
      <w:r w:rsidRPr="007459E2">
        <w:rPr>
          <w:sz w:val="24"/>
          <w:szCs w:val="24"/>
        </w:rPr>
        <w:t>fotokarcinogenicitetsstudie</w:t>
      </w:r>
      <w:proofErr w:type="spellEnd"/>
      <w:r w:rsidRPr="007459E2">
        <w:rPr>
          <w:sz w:val="24"/>
          <w:szCs w:val="24"/>
        </w:rPr>
        <w:t xml:space="preserve"> fik hårløse albinomus kronisk behandling med </w:t>
      </w:r>
      <w:proofErr w:type="spellStart"/>
      <w:r w:rsidRPr="007459E2">
        <w:rPr>
          <w:sz w:val="24"/>
          <w:szCs w:val="24"/>
        </w:rPr>
        <w:t>tacrolimus</w:t>
      </w:r>
      <w:proofErr w:type="spellEnd"/>
      <w:r w:rsidRPr="007459E2">
        <w:rPr>
          <w:sz w:val="24"/>
          <w:szCs w:val="24"/>
        </w:rPr>
        <w:t xml:space="preserve">-salve og UV-bestråling. Dyr, der fik behandling med </w:t>
      </w:r>
      <w:proofErr w:type="spellStart"/>
      <w:r w:rsidRPr="007459E2">
        <w:rPr>
          <w:sz w:val="24"/>
          <w:szCs w:val="24"/>
        </w:rPr>
        <w:t>tacrolimus</w:t>
      </w:r>
      <w:proofErr w:type="spellEnd"/>
      <w:r w:rsidRPr="007459E2">
        <w:rPr>
          <w:sz w:val="24"/>
          <w:szCs w:val="24"/>
        </w:rPr>
        <w:t>-salven viste en signifikant reduceret tid indtil udvikling af hudtumorer (</w:t>
      </w:r>
      <w:proofErr w:type="spellStart"/>
      <w:r w:rsidRPr="007459E2">
        <w:rPr>
          <w:sz w:val="24"/>
          <w:szCs w:val="24"/>
        </w:rPr>
        <w:t>planocellulære</w:t>
      </w:r>
      <w:proofErr w:type="spellEnd"/>
      <w:r w:rsidRPr="007459E2">
        <w:rPr>
          <w:sz w:val="24"/>
          <w:szCs w:val="24"/>
        </w:rPr>
        <w:t xml:space="preserve"> karcinomer) samt et øget antal tumorer. Det er uklart om effekten skyldes systemisk immunsuppression eller en lokal effekt. Risikoen for mennesker kan ikke fuldstændig udelukkes, da potentialet for lokal immunsuppression ved langtidsbrug af </w:t>
      </w:r>
      <w:proofErr w:type="spellStart"/>
      <w:r w:rsidRPr="007459E2">
        <w:rPr>
          <w:sz w:val="24"/>
          <w:szCs w:val="24"/>
        </w:rPr>
        <w:t>tacrolimus</w:t>
      </w:r>
      <w:proofErr w:type="spellEnd"/>
      <w:r w:rsidRPr="007459E2">
        <w:rPr>
          <w:sz w:val="24"/>
          <w:szCs w:val="24"/>
        </w:rPr>
        <w:t>-salve er ukendt.</w:t>
      </w:r>
    </w:p>
    <w:p w:rsidR="004475DF" w:rsidRPr="007459E2" w:rsidRDefault="004475DF" w:rsidP="004475DF">
      <w:pPr>
        <w:ind w:left="851"/>
        <w:rPr>
          <w:sz w:val="24"/>
          <w:szCs w:val="24"/>
        </w:rPr>
      </w:pPr>
    </w:p>
    <w:p w:rsidR="004475DF" w:rsidRPr="007459E2" w:rsidRDefault="004475DF" w:rsidP="004475DF">
      <w:pPr>
        <w:ind w:left="851"/>
        <w:rPr>
          <w:sz w:val="24"/>
          <w:szCs w:val="24"/>
          <w:u w:val="single"/>
        </w:rPr>
      </w:pPr>
      <w:r w:rsidRPr="007459E2">
        <w:rPr>
          <w:sz w:val="24"/>
          <w:szCs w:val="24"/>
          <w:u w:val="single"/>
        </w:rPr>
        <w:t>Reproduktionstoksicitet</w:t>
      </w:r>
    </w:p>
    <w:p w:rsidR="004475DF" w:rsidRPr="007459E2" w:rsidRDefault="004475DF" w:rsidP="004475DF">
      <w:pPr>
        <w:ind w:left="851"/>
        <w:rPr>
          <w:noProof/>
          <w:sz w:val="24"/>
          <w:szCs w:val="24"/>
          <w:u w:val="single"/>
        </w:rPr>
      </w:pPr>
      <w:r w:rsidRPr="007459E2">
        <w:rPr>
          <w:sz w:val="24"/>
          <w:szCs w:val="24"/>
        </w:rPr>
        <w:t>Hos rotter og kaniner ses embryo-/</w:t>
      </w:r>
      <w:proofErr w:type="spellStart"/>
      <w:r w:rsidRPr="007459E2">
        <w:rPr>
          <w:sz w:val="24"/>
          <w:szCs w:val="24"/>
        </w:rPr>
        <w:t>føtotoksicitet</w:t>
      </w:r>
      <w:proofErr w:type="spellEnd"/>
      <w:r w:rsidRPr="007459E2">
        <w:rPr>
          <w:sz w:val="24"/>
          <w:szCs w:val="24"/>
        </w:rPr>
        <w:t xml:space="preserve">, men kun i doser der har signifikant toksisk effekt på moderdyret. Man fandt reduceret spermfunktion hos hanrotter ved høje subkutane doser af </w:t>
      </w:r>
      <w:proofErr w:type="spellStart"/>
      <w:r w:rsidRPr="007459E2">
        <w:rPr>
          <w:sz w:val="24"/>
          <w:szCs w:val="24"/>
        </w:rPr>
        <w:t>tacrolimus</w:t>
      </w:r>
      <w:proofErr w:type="spellEnd"/>
      <w:r w:rsidRPr="007459E2">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w:t>
      </w:r>
      <w:r w:rsidRPr="007459E2">
        <w:rPr>
          <w:b/>
          <w:sz w:val="24"/>
          <w:szCs w:val="24"/>
        </w:rPr>
        <w:tab/>
        <w:t>FARMACEUTISKE OPLYSNINGER</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6.1</w:t>
      </w:r>
      <w:r w:rsidRPr="007459E2">
        <w:rPr>
          <w:b/>
          <w:sz w:val="24"/>
          <w:szCs w:val="24"/>
        </w:rPr>
        <w:tab/>
        <w:t>Hjælpestoffer</w:t>
      </w:r>
    </w:p>
    <w:p w:rsidR="004475DF" w:rsidRPr="007459E2" w:rsidRDefault="004475DF" w:rsidP="004475DF">
      <w:pPr>
        <w:ind w:left="851"/>
        <w:rPr>
          <w:sz w:val="24"/>
          <w:szCs w:val="24"/>
        </w:rPr>
      </w:pPr>
      <w:r w:rsidRPr="007459E2">
        <w:rPr>
          <w:sz w:val="24"/>
          <w:szCs w:val="24"/>
        </w:rPr>
        <w:t>Paraffin, hvid blød</w:t>
      </w:r>
    </w:p>
    <w:p w:rsidR="004475DF" w:rsidRPr="007459E2" w:rsidRDefault="004475DF" w:rsidP="004475DF">
      <w:pPr>
        <w:ind w:left="851"/>
        <w:rPr>
          <w:sz w:val="24"/>
          <w:szCs w:val="24"/>
        </w:rPr>
      </w:pPr>
      <w:r w:rsidRPr="007459E2">
        <w:rPr>
          <w:sz w:val="24"/>
          <w:szCs w:val="24"/>
        </w:rPr>
        <w:t>Paraffinolie</w:t>
      </w:r>
    </w:p>
    <w:p w:rsidR="004475DF" w:rsidRPr="007459E2" w:rsidRDefault="004475DF" w:rsidP="004475DF">
      <w:pPr>
        <w:ind w:left="851"/>
        <w:rPr>
          <w:sz w:val="24"/>
          <w:szCs w:val="24"/>
        </w:rPr>
      </w:pPr>
      <w:proofErr w:type="spellStart"/>
      <w:r w:rsidRPr="007459E2">
        <w:rPr>
          <w:sz w:val="24"/>
          <w:szCs w:val="24"/>
        </w:rPr>
        <w:lastRenderedPageBreak/>
        <w:t>Propylencarbonat</w:t>
      </w:r>
      <w:proofErr w:type="spellEnd"/>
    </w:p>
    <w:p w:rsidR="004475DF" w:rsidRPr="007459E2" w:rsidRDefault="004475DF" w:rsidP="004475DF">
      <w:pPr>
        <w:ind w:left="851"/>
        <w:rPr>
          <w:sz w:val="24"/>
          <w:szCs w:val="24"/>
        </w:rPr>
      </w:pPr>
      <w:r w:rsidRPr="007459E2">
        <w:rPr>
          <w:sz w:val="24"/>
          <w:szCs w:val="24"/>
        </w:rPr>
        <w:t>Bivoks, hvid</w:t>
      </w:r>
    </w:p>
    <w:p w:rsidR="004475DF" w:rsidRPr="007459E2" w:rsidRDefault="004475DF" w:rsidP="004475DF">
      <w:pPr>
        <w:ind w:left="851"/>
        <w:rPr>
          <w:sz w:val="24"/>
          <w:szCs w:val="24"/>
        </w:rPr>
      </w:pPr>
      <w:r w:rsidRPr="007459E2">
        <w:rPr>
          <w:sz w:val="24"/>
          <w:szCs w:val="24"/>
        </w:rPr>
        <w:t>Paraffin</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6.2</w:t>
      </w:r>
      <w:r w:rsidRPr="007459E2">
        <w:rPr>
          <w:b/>
          <w:sz w:val="24"/>
          <w:szCs w:val="24"/>
        </w:rPr>
        <w:tab/>
        <w:t>Uforligeligheder</w:t>
      </w:r>
    </w:p>
    <w:p w:rsidR="004475DF" w:rsidRPr="007459E2" w:rsidRDefault="004475DF" w:rsidP="004475DF">
      <w:pPr>
        <w:ind w:left="851"/>
        <w:rPr>
          <w:color w:val="FF0000"/>
          <w:sz w:val="24"/>
          <w:szCs w:val="24"/>
        </w:rPr>
      </w:pPr>
      <w:r w:rsidRPr="007459E2">
        <w:rPr>
          <w:sz w:val="24"/>
          <w:szCs w:val="24"/>
        </w:rPr>
        <w:t>Ikke relevant</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6.3</w:t>
      </w:r>
      <w:r w:rsidRPr="007459E2">
        <w:rPr>
          <w:b/>
          <w:sz w:val="24"/>
          <w:szCs w:val="24"/>
        </w:rPr>
        <w:tab/>
        <w:t>Opbevaringstid</w:t>
      </w:r>
    </w:p>
    <w:p w:rsidR="004475DF" w:rsidRDefault="004475DF" w:rsidP="004475DF">
      <w:pPr>
        <w:ind w:left="851" w:hanging="851"/>
        <w:rPr>
          <w:sz w:val="24"/>
          <w:szCs w:val="24"/>
        </w:rPr>
      </w:pPr>
      <w:r w:rsidRPr="007459E2">
        <w:rPr>
          <w:sz w:val="24"/>
          <w:szCs w:val="24"/>
        </w:rPr>
        <w:tab/>
      </w:r>
      <w:r>
        <w:rPr>
          <w:sz w:val="24"/>
          <w:szCs w:val="24"/>
        </w:rPr>
        <w:t>Uåbnet</w:t>
      </w:r>
      <w:r w:rsidRPr="007459E2">
        <w:rPr>
          <w:sz w:val="24"/>
          <w:szCs w:val="24"/>
        </w:rPr>
        <w:t>: 3 år</w:t>
      </w:r>
      <w:r>
        <w:rPr>
          <w:sz w:val="24"/>
          <w:szCs w:val="24"/>
        </w:rPr>
        <w:t>.</w:t>
      </w:r>
    </w:p>
    <w:p w:rsidR="004475DF" w:rsidRPr="007459E2" w:rsidRDefault="004475DF" w:rsidP="004475DF">
      <w:pPr>
        <w:ind w:left="851" w:hanging="851"/>
        <w:rPr>
          <w:sz w:val="24"/>
          <w:szCs w:val="24"/>
        </w:rPr>
      </w:pPr>
    </w:p>
    <w:p w:rsidR="004475DF" w:rsidRPr="007459E2" w:rsidRDefault="004475DF" w:rsidP="004475DF">
      <w:pPr>
        <w:ind w:left="851"/>
        <w:rPr>
          <w:sz w:val="24"/>
          <w:szCs w:val="24"/>
        </w:rPr>
      </w:pPr>
      <w:r w:rsidRPr="007459E2">
        <w:rPr>
          <w:sz w:val="24"/>
          <w:szCs w:val="24"/>
        </w:rPr>
        <w:t>Efter anbrud: 90 dage.</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6.4</w:t>
      </w:r>
      <w:r w:rsidRPr="007459E2">
        <w:rPr>
          <w:b/>
          <w:sz w:val="24"/>
          <w:szCs w:val="24"/>
        </w:rPr>
        <w:tab/>
        <w:t>Særlige opbevaringsforhold</w:t>
      </w:r>
    </w:p>
    <w:p w:rsidR="004475DF" w:rsidRPr="007459E2" w:rsidRDefault="004475DF" w:rsidP="004475DF">
      <w:pPr>
        <w:ind w:left="851"/>
        <w:rPr>
          <w:sz w:val="24"/>
          <w:szCs w:val="24"/>
        </w:rPr>
      </w:pPr>
      <w:r w:rsidRPr="007459E2">
        <w:rPr>
          <w:noProof/>
          <w:sz w:val="24"/>
          <w:szCs w:val="24"/>
        </w:rPr>
        <w:t>Må ikke opbevares ved temperaturer over 25 °C.</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6.5</w:t>
      </w:r>
      <w:r w:rsidRPr="007459E2">
        <w:rPr>
          <w:b/>
          <w:sz w:val="24"/>
          <w:szCs w:val="24"/>
        </w:rPr>
        <w:tab/>
        <w:t>Emballagetype og pakningsstørrelser</w:t>
      </w:r>
    </w:p>
    <w:p w:rsidR="004475DF" w:rsidRDefault="004475DF" w:rsidP="004475DF">
      <w:pPr>
        <w:suppressAutoHyphens/>
        <w:ind w:left="851"/>
        <w:rPr>
          <w:sz w:val="24"/>
          <w:szCs w:val="24"/>
        </w:rPr>
      </w:pPr>
      <w:r w:rsidRPr="007459E2">
        <w:rPr>
          <w:sz w:val="24"/>
          <w:szCs w:val="24"/>
        </w:rPr>
        <w:t xml:space="preserve">Aluminiumlaminattube med en </w:t>
      </w:r>
      <w:proofErr w:type="spellStart"/>
      <w:r w:rsidRPr="007459E2">
        <w:rPr>
          <w:sz w:val="24"/>
          <w:szCs w:val="24"/>
        </w:rPr>
        <w:t>inderbeklædning</w:t>
      </w:r>
      <w:proofErr w:type="spellEnd"/>
      <w:r w:rsidRPr="007459E2">
        <w:rPr>
          <w:sz w:val="24"/>
          <w:szCs w:val="24"/>
        </w:rPr>
        <w:t xml:space="preserve"> af </w:t>
      </w:r>
      <w:proofErr w:type="spellStart"/>
      <w:r w:rsidRPr="007459E2">
        <w:rPr>
          <w:sz w:val="24"/>
          <w:szCs w:val="24"/>
        </w:rPr>
        <w:t>lavdensitetspolyethylen</w:t>
      </w:r>
      <w:proofErr w:type="spellEnd"/>
      <w:r w:rsidRPr="007459E2">
        <w:rPr>
          <w:sz w:val="24"/>
          <w:szCs w:val="24"/>
        </w:rPr>
        <w:t xml:space="preserve"> lukket med et hvidt polypropylen-skruelåg.</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6.6</w:t>
      </w:r>
      <w:r w:rsidRPr="007459E2">
        <w:rPr>
          <w:b/>
          <w:sz w:val="24"/>
          <w:szCs w:val="24"/>
        </w:rPr>
        <w:tab/>
        <w:t xml:space="preserve">Regler for </w:t>
      </w:r>
      <w:r w:rsidR="00D851D4">
        <w:rPr>
          <w:b/>
          <w:sz w:val="24"/>
          <w:szCs w:val="24"/>
        </w:rPr>
        <w:t>bortskaffelse</w:t>
      </w:r>
      <w:r w:rsidRPr="007459E2">
        <w:rPr>
          <w:b/>
          <w:sz w:val="24"/>
          <w:szCs w:val="24"/>
        </w:rPr>
        <w:t xml:space="preserve"> og anden håndtering</w:t>
      </w:r>
    </w:p>
    <w:p w:rsidR="004475DF" w:rsidRDefault="004475DF" w:rsidP="004475DF">
      <w:pPr>
        <w:ind w:left="851"/>
        <w:rPr>
          <w:sz w:val="24"/>
          <w:szCs w:val="24"/>
        </w:rPr>
      </w:pPr>
      <w:r w:rsidRPr="007459E2">
        <w:rPr>
          <w:sz w:val="24"/>
          <w:szCs w:val="24"/>
        </w:rPr>
        <w:t>Ingen særlige forholdsregler.</w:t>
      </w:r>
    </w:p>
    <w:p w:rsidR="004475DF" w:rsidRPr="007459E2" w:rsidRDefault="004475DF" w:rsidP="004475DF">
      <w:pPr>
        <w:ind w:left="851"/>
        <w:rPr>
          <w:sz w:val="24"/>
          <w:szCs w:val="24"/>
        </w:rPr>
      </w:pPr>
    </w:p>
    <w:p w:rsidR="004475DF" w:rsidRPr="007459E2" w:rsidRDefault="004475DF" w:rsidP="004475DF">
      <w:pPr>
        <w:ind w:left="851"/>
        <w:rPr>
          <w:sz w:val="24"/>
          <w:szCs w:val="24"/>
        </w:rPr>
      </w:pPr>
      <w:r w:rsidRPr="007459E2">
        <w:rPr>
          <w:sz w:val="24"/>
          <w:szCs w:val="24"/>
        </w:rPr>
        <w:t>Ikke anvendt lægemiddel samt affald heraf skal bortskaffes i henhold til lokale retningslinjer.</w:t>
      </w:r>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7.</w:t>
      </w:r>
      <w:r w:rsidRPr="007459E2">
        <w:rPr>
          <w:b/>
          <w:sz w:val="24"/>
          <w:szCs w:val="24"/>
        </w:rPr>
        <w:tab/>
        <w:t>INDEHAVER AF MARKEDSFØRINGSTILLADELSEN</w:t>
      </w:r>
    </w:p>
    <w:p w:rsidR="00332920" w:rsidRPr="00D851D4" w:rsidRDefault="00332920" w:rsidP="0033292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D851D4">
        <w:rPr>
          <w:spacing w:val="-2"/>
          <w:sz w:val="24"/>
          <w:szCs w:val="24"/>
        </w:rPr>
        <w:t>Paranova Danmark A/S</w:t>
      </w:r>
    </w:p>
    <w:p w:rsidR="00D851D4" w:rsidRDefault="00D851D4" w:rsidP="0033292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D851D4">
        <w:rPr>
          <w:spacing w:val="-2"/>
          <w:sz w:val="24"/>
          <w:szCs w:val="24"/>
        </w:rPr>
        <w:t>Stationsalleen 42, 1. sal</w:t>
      </w:r>
    </w:p>
    <w:p w:rsidR="00332920" w:rsidRPr="00D851D4" w:rsidRDefault="00332920" w:rsidP="0033292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D851D4">
        <w:rPr>
          <w:spacing w:val="-2"/>
          <w:sz w:val="24"/>
          <w:szCs w:val="24"/>
        </w:rPr>
        <w:t>2730 Herlev</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8.</w:t>
      </w:r>
      <w:r w:rsidRPr="007459E2">
        <w:rPr>
          <w:b/>
          <w:sz w:val="24"/>
          <w:szCs w:val="24"/>
        </w:rPr>
        <w:tab/>
        <w:t>MARKEDSFØRINGSTILLADELSESNUMMER (NUMRE)</w:t>
      </w:r>
    </w:p>
    <w:p w:rsidR="004475DF" w:rsidRPr="007459E2" w:rsidRDefault="00332920" w:rsidP="004475DF">
      <w:pPr>
        <w:ind w:left="851"/>
        <w:rPr>
          <w:sz w:val="24"/>
          <w:szCs w:val="24"/>
        </w:rPr>
      </w:pPr>
      <w:r>
        <w:rPr>
          <w:sz w:val="24"/>
          <w:szCs w:val="24"/>
        </w:rPr>
        <w:t>66612</w:t>
      </w:r>
    </w:p>
    <w:p w:rsidR="004475DF" w:rsidRPr="007459E2" w:rsidRDefault="004475DF" w:rsidP="004475DF">
      <w:pPr>
        <w:ind w:left="851" w:hanging="851"/>
        <w:jc w:val="both"/>
        <w:rPr>
          <w:sz w:val="24"/>
          <w:szCs w:val="24"/>
        </w:rPr>
      </w:pPr>
    </w:p>
    <w:p w:rsidR="004475DF" w:rsidRPr="007459E2" w:rsidRDefault="004475DF" w:rsidP="004475DF">
      <w:pPr>
        <w:ind w:left="851" w:hanging="851"/>
        <w:rPr>
          <w:b/>
          <w:sz w:val="24"/>
          <w:szCs w:val="24"/>
        </w:rPr>
      </w:pPr>
      <w:r w:rsidRPr="007459E2">
        <w:rPr>
          <w:b/>
          <w:sz w:val="24"/>
          <w:szCs w:val="24"/>
        </w:rPr>
        <w:t>9.</w:t>
      </w:r>
      <w:r w:rsidRPr="007459E2">
        <w:rPr>
          <w:b/>
          <w:sz w:val="24"/>
          <w:szCs w:val="24"/>
        </w:rPr>
        <w:tab/>
        <w:t>DATO FOR FØRSTE MARKEDSFØRINGSTILLADELSE</w:t>
      </w:r>
    </w:p>
    <w:p w:rsidR="004475DF" w:rsidRPr="007459E2" w:rsidRDefault="00332920" w:rsidP="004475DF">
      <w:pPr>
        <w:ind w:left="851"/>
        <w:rPr>
          <w:sz w:val="24"/>
          <w:szCs w:val="24"/>
        </w:rPr>
      </w:pPr>
      <w:r>
        <w:rPr>
          <w:sz w:val="24"/>
          <w:szCs w:val="24"/>
        </w:rPr>
        <w:t>22. april 2022</w:t>
      </w:r>
    </w:p>
    <w:p w:rsidR="004475DF" w:rsidRPr="007459E2" w:rsidRDefault="004475DF" w:rsidP="004475DF">
      <w:pPr>
        <w:ind w:left="851" w:hanging="851"/>
        <w:rPr>
          <w:sz w:val="24"/>
          <w:szCs w:val="24"/>
        </w:rPr>
      </w:pPr>
    </w:p>
    <w:p w:rsidR="004475DF" w:rsidRPr="007459E2" w:rsidRDefault="004475DF" w:rsidP="004475DF">
      <w:pPr>
        <w:ind w:left="851" w:hanging="851"/>
        <w:rPr>
          <w:b/>
          <w:sz w:val="24"/>
          <w:szCs w:val="24"/>
        </w:rPr>
      </w:pPr>
      <w:r w:rsidRPr="007459E2">
        <w:rPr>
          <w:b/>
          <w:sz w:val="24"/>
          <w:szCs w:val="24"/>
        </w:rPr>
        <w:t>10.</w:t>
      </w:r>
      <w:r w:rsidRPr="007459E2">
        <w:rPr>
          <w:b/>
          <w:sz w:val="24"/>
          <w:szCs w:val="24"/>
        </w:rPr>
        <w:tab/>
        <w:t>DATO FOR ÆNDRING AF TEKSTEN</w:t>
      </w:r>
    </w:p>
    <w:p w:rsidR="004475DF" w:rsidRPr="007459E2" w:rsidRDefault="00D851D4" w:rsidP="004475DF">
      <w:pPr>
        <w:ind w:left="851"/>
        <w:rPr>
          <w:sz w:val="24"/>
          <w:szCs w:val="24"/>
        </w:rPr>
      </w:pPr>
      <w:r>
        <w:rPr>
          <w:sz w:val="24"/>
          <w:szCs w:val="24"/>
        </w:rPr>
        <w:t>5. marts 2024</w:t>
      </w:r>
    </w:p>
    <w:p w:rsidR="004475DF" w:rsidRPr="001F5351" w:rsidRDefault="004475DF" w:rsidP="004475DF"/>
    <w:p w:rsidR="004475DF" w:rsidRPr="00F75884" w:rsidRDefault="004475DF" w:rsidP="004475DF"/>
    <w:p w:rsidR="009260DE" w:rsidRPr="004475DF" w:rsidRDefault="009260DE" w:rsidP="004475DF"/>
    <w:sectPr w:rsidR="009260DE" w:rsidRPr="004475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5DF" w:rsidRDefault="004475DF">
      <w:r>
        <w:separator/>
      </w:r>
    </w:p>
  </w:endnote>
  <w:endnote w:type="continuationSeparator" w:id="0">
    <w:p w:rsidR="004475DF" w:rsidRDefault="0044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32920">
      <w:rPr>
        <w:i/>
        <w:noProof/>
        <w:sz w:val="18"/>
        <w:szCs w:val="18"/>
      </w:rPr>
      <w:t>Tacronova (Paranova), salve 0,1 % (1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5DF" w:rsidRDefault="004475DF">
      <w:r>
        <w:separator/>
      </w:r>
    </w:p>
  </w:footnote>
  <w:footnote w:type="continuationSeparator" w:id="0">
    <w:p w:rsidR="004475DF" w:rsidRDefault="00447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DF"/>
    <w:rsid w:val="000259B9"/>
    <w:rsid w:val="00041491"/>
    <w:rsid w:val="00050D16"/>
    <w:rsid w:val="00074F2A"/>
    <w:rsid w:val="000A1CA8"/>
    <w:rsid w:val="000A466B"/>
    <w:rsid w:val="000B058C"/>
    <w:rsid w:val="000C4D40"/>
    <w:rsid w:val="000E4EE6"/>
    <w:rsid w:val="001454E2"/>
    <w:rsid w:val="00206CE8"/>
    <w:rsid w:val="0021526C"/>
    <w:rsid w:val="00283A2B"/>
    <w:rsid w:val="002B30AD"/>
    <w:rsid w:val="002C2C01"/>
    <w:rsid w:val="00332920"/>
    <w:rsid w:val="003A29AE"/>
    <w:rsid w:val="003A32D7"/>
    <w:rsid w:val="003B4074"/>
    <w:rsid w:val="003C769A"/>
    <w:rsid w:val="003F1838"/>
    <w:rsid w:val="004475DF"/>
    <w:rsid w:val="00447C87"/>
    <w:rsid w:val="0045746C"/>
    <w:rsid w:val="0049104B"/>
    <w:rsid w:val="004E3B12"/>
    <w:rsid w:val="00532310"/>
    <w:rsid w:val="005606B4"/>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B0BE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851D4"/>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A9D3A"/>
  <w15:chartTrackingRefBased/>
  <w15:docId w15:val="{D1F05A78-B0D4-4362-B8DA-18382B13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32920"/>
    <w:rPr>
      <w:color w:val="0563C1" w:themeColor="hyperlink"/>
      <w:u w:val="single"/>
    </w:rPr>
  </w:style>
  <w:style w:type="character" w:styleId="Ulstomtale">
    <w:name w:val="Unresolved Mention"/>
    <w:basedOn w:val="Standardskrifttypeiafsnit"/>
    <w:uiPriority w:val="99"/>
    <w:semiHidden/>
    <w:unhideWhenUsed/>
    <w:rsid w:val="00332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430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5097</Words>
  <Characters>31665</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2021082309 - Nyt PI-SPC</dc:description>
  <cp:lastModifiedBy>Marianne Ott Jensen</cp:lastModifiedBy>
  <cp:revision>3</cp:revision>
  <cp:lastPrinted>2012-08-22T08:53:00Z</cp:lastPrinted>
  <dcterms:created xsi:type="dcterms:W3CDTF">2024-08-22T07:48:00Z</dcterms:created>
  <dcterms:modified xsi:type="dcterms:W3CDTF">2024-08-22T07:50:00Z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