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FC7" w:rsidRPr="008F49E1" w:rsidRDefault="00C07FC7" w:rsidP="00C07FC7">
      <w:pPr>
        <w:rPr>
          <w:sz w:val="24"/>
          <w:szCs w:val="24"/>
        </w:rPr>
      </w:pPr>
      <w:r w:rsidRPr="009260DE">
        <w:rPr>
          <w:noProof/>
          <w:sz w:val="24"/>
          <w:szCs w:val="24"/>
          <w:lang w:eastAsia="da-DK"/>
        </w:rPr>
        <w:drawing>
          <wp:anchor distT="0" distB="0" distL="114300" distR="114300" simplePos="0" relativeHeight="251659264" behindDoc="0" locked="0" layoutInCell="1" allowOverlap="1" wp14:anchorId="29A502EB" wp14:editId="3A6DAB8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07FC7" w:rsidRPr="00C84483" w:rsidRDefault="00C07FC7" w:rsidP="00C07FC7">
      <w:pPr>
        <w:pStyle w:val="Titel"/>
        <w:tabs>
          <w:tab w:val="right" w:pos="9356"/>
        </w:tabs>
        <w:jc w:val="left"/>
        <w:rPr>
          <w:b w:val="0"/>
          <w:szCs w:val="24"/>
          <w:lang w:eastAsia="en-US"/>
        </w:rPr>
      </w:pPr>
      <w:r w:rsidRPr="00C84483">
        <w:rPr>
          <w:b w:val="0"/>
          <w:szCs w:val="24"/>
          <w:lang w:eastAsia="en-US"/>
        </w:rPr>
        <w:tab/>
      </w:r>
      <w:r w:rsidR="0076390F">
        <w:rPr>
          <w:szCs w:val="24"/>
        </w:rPr>
        <w:t>26. februar 2024</w:t>
      </w:r>
    </w:p>
    <w:p w:rsidR="00C07FC7" w:rsidRPr="00C84483" w:rsidRDefault="00C07FC7" w:rsidP="00C07FC7">
      <w:pPr>
        <w:pStyle w:val="Titel"/>
        <w:jc w:val="left"/>
        <w:rPr>
          <w:b w:val="0"/>
          <w:szCs w:val="24"/>
        </w:rPr>
      </w:pPr>
    </w:p>
    <w:p w:rsidR="00C07FC7" w:rsidRPr="00C84483" w:rsidRDefault="00C07FC7" w:rsidP="00C07FC7">
      <w:pPr>
        <w:pStyle w:val="Titel"/>
        <w:jc w:val="left"/>
        <w:rPr>
          <w:b w:val="0"/>
          <w:szCs w:val="24"/>
        </w:rPr>
      </w:pPr>
    </w:p>
    <w:p w:rsidR="00C07FC7" w:rsidRPr="00C84483" w:rsidRDefault="00C07FC7" w:rsidP="00C07FC7">
      <w:pPr>
        <w:jc w:val="center"/>
        <w:rPr>
          <w:b/>
          <w:sz w:val="24"/>
          <w:szCs w:val="24"/>
        </w:rPr>
      </w:pPr>
      <w:r w:rsidRPr="00C84483">
        <w:rPr>
          <w:b/>
          <w:sz w:val="24"/>
          <w:szCs w:val="24"/>
        </w:rPr>
        <w:t>PRODUKTRESUMÉ</w:t>
      </w:r>
    </w:p>
    <w:p w:rsidR="00C07FC7" w:rsidRPr="00C84483" w:rsidRDefault="00C07FC7" w:rsidP="00C07FC7">
      <w:pPr>
        <w:jc w:val="center"/>
        <w:rPr>
          <w:b/>
          <w:sz w:val="24"/>
          <w:szCs w:val="24"/>
        </w:rPr>
      </w:pPr>
    </w:p>
    <w:p w:rsidR="00C07FC7" w:rsidRDefault="00C07FC7" w:rsidP="00C07FC7">
      <w:pPr>
        <w:jc w:val="center"/>
        <w:rPr>
          <w:b/>
          <w:sz w:val="24"/>
          <w:szCs w:val="24"/>
        </w:rPr>
      </w:pPr>
      <w:r w:rsidRPr="00C84483">
        <w:rPr>
          <w:b/>
          <w:sz w:val="24"/>
          <w:szCs w:val="24"/>
        </w:rPr>
        <w:t>for</w:t>
      </w:r>
    </w:p>
    <w:p w:rsidR="00C07FC7" w:rsidRPr="00C84483" w:rsidRDefault="00C07FC7" w:rsidP="00C07FC7">
      <w:pPr>
        <w:jc w:val="center"/>
        <w:rPr>
          <w:b/>
          <w:sz w:val="24"/>
          <w:szCs w:val="24"/>
        </w:rPr>
      </w:pPr>
    </w:p>
    <w:p w:rsidR="00C07FC7" w:rsidRPr="00C84483" w:rsidRDefault="00C07FC7" w:rsidP="00C07FC7">
      <w:pPr>
        <w:jc w:val="center"/>
        <w:rPr>
          <w:b/>
          <w:sz w:val="24"/>
          <w:szCs w:val="24"/>
        </w:rPr>
      </w:pPr>
      <w:proofErr w:type="spellStart"/>
      <w:r>
        <w:rPr>
          <w:b/>
          <w:sz w:val="24"/>
          <w:szCs w:val="24"/>
        </w:rPr>
        <w:t>Tadalafil</w:t>
      </w:r>
      <w:proofErr w:type="spellEnd"/>
      <w:r>
        <w:rPr>
          <w:b/>
          <w:sz w:val="24"/>
          <w:szCs w:val="24"/>
        </w:rPr>
        <w:t xml:space="preserve"> "Sandoz", filmovertrukne tabletter</w:t>
      </w:r>
      <w:r w:rsidR="006B5CA6">
        <w:rPr>
          <w:b/>
          <w:sz w:val="24"/>
          <w:szCs w:val="24"/>
        </w:rPr>
        <w:t xml:space="preserve"> (2care4)</w:t>
      </w:r>
    </w:p>
    <w:p w:rsidR="00C07FC7" w:rsidRPr="00C84483" w:rsidRDefault="00C07FC7" w:rsidP="00C07FC7">
      <w:pPr>
        <w:jc w:val="both"/>
        <w:rPr>
          <w:sz w:val="24"/>
          <w:szCs w:val="24"/>
        </w:rPr>
      </w:pPr>
    </w:p>
    <w:p w:rsidR="00C07FC7" w:rsidRPr="002C448C" w:rsidRDefault="00C07FC7" w:rsidP="00C07FC7">
      <w:pPr>
        <w:ind w:left="851" w:hanging="851"/>
        <w:jc w:val="both"/>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0.</w:t>
      </w:r>
      <w:r w:rsidRPr="002C448C">
        <w:rPr>
          <w:b/>
          <w:sz w:val="24"/>
          <w:szCs w:val="24"/>
        </w:rPr>
        <w:tab/>
        <w:t>D.SP.NR.</w:t>
      </w:r>
    </w:p>
    <w:p w:rsidR="00C07FC7" w:rsidRPr="002C448C" w:rsidRDefault="00C07FC7" w:rsidP="00C07FC7">
      <w:pPr>
        <w:tabs>
          <w:tab w:val="left" w:pos="851"/>
        </w:tabs>
        <w:ind w:left="851" w:hanging="851"/>
        <w:rPr>
          <w:sz w:val="24"/>
          <w:szCs w:val="24"/>
        </w:rPr>
      </w:pPr>
      <w:r>
        <w:rPr>
          <w:sz w:val="24"/>
          <w:szCs w:val="24"/>
        </w:rPr>
        <w:tab/>
      </w:r>
      <w:r w:rsidRPr="002C448C">
        <w:rPr>
          <w:sz w:val="24"/>
          <w:szCs w:val="24"/>
        </w:rPr>
        <w:t>30004</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1.</w:t>
      </w:r>
      <w:r w:rsidRPr="002C448C">
        <w:rPr>
          <w:b/>
          <w:sz w:val="24"/>
          <w:szCs w:val="24"/>
        </w:rPr>
        <w:tab/>
        <w:t>LÆGEMIDLETS NAVN</w:t>
      </w:r>
    </w:p>
    <w:p w:rsidR="00C07FC7" w:rsidRPr="002C448C" w:rsidRDefault="00C07FC7" w:rsidP="00C07FC7">
      <w:pPr>
        <w:tabs>
          <w:tab w:val="left" w:pos="851"/>
        </w:tabs>
        <w:ind w:left="851" w:hanging="851"/>
        <w:rPr>
          <w:sz w:val="24"/>
          <w:szCs w:val="24"/>
        </w:rPr>
      </w:pPr>
      <w:r>
        <w:rPr>
          <w:sz w:val="24"/>
          <w:szCs w:val="24"/>
        </w:rPr>
        <w:tab/>
      </w:r>
      <w:proofErr w:type="spellStart"/>
      <w:r w:rsidRPr="002C448C">
        <w:rPr>
          <w:sz w:val="24"/>
          <w:szCs w:val="24"/>
        </w:rPr>
        <w:t>Tadalafil</w:t>
      </w:r>
      <w:proofErr w:type="spellEnd"/>
      <w:r w:rsidRPr="002C448C">
        <w:rPr>
          <w:sz w:val="24"/>
          <w:szCs w:val="24"/>
        </w:rPr>
        <w:t xml:space="preserve"> </w:t>
      </w:r>
      <w:r>
        <w:rPr>
          <w:sz w:val="24"/>
          <w:szCs w:val="24"/>
        </w:rPr>
        <w:t>"</w:t>
      </w:r>
      <w:r w:rsidRPr="002C448C">
        <w:rPr>
          <w:sz w:val="24"/>
          <w:szCs w:val="24"/>
        </w:rPr>
        <w:t>Sandoz</w:t>
      </w:r>
      <w:r>
        <w:rPr>
          <w:sz w:val="24"/>
          <w:szCs w:val="24"/>
        </w:rPr>
        <w:t>"</w:t>
      </w:r>
    </w:p>
    <w:p w:rsidR="00C07FC7" w:rsidRPr="002C448C" w:rsidRDefault="00C07FC7" w:rsidP="00C07FC7">
      <w:pPr>
        <w:tabs>
          <w:tab w:val="left" w:pos="851"/>
        </w:tabs>
        <w:ind w:left="851" w:hanging="851"/>
        <w:rPr>
          <w:sz w:val="24"/>
          <w:szCs w:val="24"/>
        </w:rPr>
      </w:pPr>
      <w:bookmarkStart w:id="0" w:name="_GoBack"/>
    </w:p>
    <w:bookmarkEnd w:id="0"/>
    <w:p w:rsidR="00C07FC7" w:rsidRPr="002C448C" w:rsidRDefault="00C07FC7" w:rsidP="00C07FC7">
      <w:pPr>
        <w:tabs>
          <w:tab w:val="left" w:pos="851"/>
        </w:tabs>
        <w:ind w:left="851" w:hanging="851"/>
        <w:rPr>
          <w:b/>
          <w:sz w:val="24"/>
          <w:szCs w:val="24"/>
        </w:rPr>
      </w:pPr>
      <w:r w:rsidRPr="002C448C">
        <w:rPr>
          <w:b/>
          <w:sz w:val="24"/>
          <w:szCs w:val="24"/>
        </w:rPr>
        <w:t>2.</w:t>
      </w:r>
      <w:r w:rsidRPr="002C448C">
        <w:rPr>
          <w:b/>
          <w:sz w:val="24"/>
          <w:szCs w:val="24"/>
        </w:rPr>
        <w:tab/>
        <w:t>KVALITATIV OG KVANTITATIV SAMMENSÆTNING</w:t>
      </w:r>
    </w:p>
    <w:p w:rsidR="00D37585" w:rsidRDefault="00D37585" w:rsidP="00D37585">
      <w:pPr>
        <w:suppressAutoHyphens/>
        <w:ind w:left="851"/>
        <w:rPr>
          <w:sz w:val="24"/>
          <w:szCs w:val="24"/>
        </w:rPr>
      </w:pPr>
      <w:r>
        <w:rPr>
          <w:sz w:val="24"/>
          <w:szCs w:val="24"/>
        </w:rPr>
        <w:t xml:space="preserve">Hver tablet indeholder 2,5 mg </w:t>
      </w:r>
      <w:proofErr w:type="spellStart"/>
      <w:r>
        <w:rPr>
          <w:sz w:val="24"/>
          <w:szCs w:val="24"/>
        </w:rPr>
        <w:t>tadalafil</w:t>
      </w:r>
      <w:proofErr w:type="spellEnd"/>
      <w:r>
        <w:rPr>
          <w:sz w:val="24"/>
          <w:szCs w:val="24"/>
        </w:rPr>
        <w:t>.</w:t>
      </w:r>
    </w:p>
    <w:p w:rsidR="00D37585" w:rsidRDefault="00D37585" w:rsidP="00D37585">
      <w:pPr>
        <w:suppressAutoHyphens/>
        <w:ind w:left="851"/>
        <w:rPr>
          <w:sz w:val="24"/>
          <w:szCs w:val="24"/>
          <w:u w:val="single"/>
        </w:rPr>
      </w:pPr>
      <w:r>
        <w:rPr>
          <w:sz w:val="24"/>
          <w:szCs w:val="24"/>
          <w:u w:val="single"/>
        </w:rPr>
        <w:t>Hjælpestof, som behandleren skal være opmærksom på:</w:t>
      </w:r>
    </w:p>
    <w:p w:rsidR="00D37585" w:rsidRDefault="00D37585" w:rsidP="00D37585">
      <w:pPr>
        <w:suppressAutoHyphens/>
        <w:ind w:left="851"/>
        <w:rPr>
          <w:sz w:val="24"/>
          <w:szCs w:val="24"/>
        </w:rPr>
      </w:pPr>
      <w:r>
        <w:rPr>
          <w:sz w:val="24"/>
          <w:szCs w:val="24"/>
        </w:rPr>
        <w:t xml:space="preserve">Hver tablet indeholder 41,9 mg </w:t>
      </w:r>
      <w:proofErr w:type="spellStart"/>
      <w:r>
        <w:rPr>
          <w:sz w:val="24"/>
          <w:szCs w:val="24"/>
        </w:rPr>
        <w:t>lactose</w:t>
      </w:r>
      <w:proofErr w:type="spellEnd"/>
      <w:r>
        <w:rPr>
          <w:sz w:val="24"/>
          <w:szCs w:val="24"/>
        </w:rPr>
        <w:t xml:space="preserve"> (som monohydrat). </w:t>
      </w:r>
    </w:p>
    <w:p w:rsidR="00D37585" w:rsidRDefault="00D37585" w:rsidP="00D37585">
      <w:pPr>
        <w:suppressAutoHyphens/>
        <w:ind w:left="851" w:hanging="851"/>
        <w:rPr>
          <w:sz w:val="24"/>
          <w:szCs w:val="24"/>
        </w:rPr>
      </w:pPr>
    </w:p>
    <w:p w:rsidR="00D37585" w:rsidRDefault="00D37585" w:rsidP="00D37585">
      <w:pPr>
        <w:suppressAutoHyphens/>
        <w:ind w:left="851"/>
        <w:rPr>
          <w:sz w:val="24"/>
          <w:szCs w:val="24"/>
        </w:rPr>
      </w:pPr>
      <w:r>
        <w:rPr>
          <w:sz w:val="24"/>
          <w:szCs w:val="24"/>
        </w:rPr>
        <w:t>Alle hjælpestoffer er anført under pkt. 6.1.</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3.</w:t>
      </w:r>
      <w:r w:rsidRPr="002C448C">
        <w:rPr>
          <w:b/>
          <w:sz w:val="24"/>
          <w:szCs w:val="24"/>
        </w:rPr>
        <w:tab/>
        <w:t>LÆGEMIDDELFORM</w:t>
      </w:r>
    </w:p>
    <w:p w:rsidR="00D37585" w:rsidRDefault="00D37585" w:rsidP="00D37585">
      <w:pPr>
        <w:suppressAutoHyphens/>
        <w:ind w:left="851"/>
        <w:rPr>
          <w:spacing w:val="-3"/>
          <w:sz w:val="24"/>
          <w:szCs w:val="24"/>
        </w:rPr>
      </w:pPr>
      <w:r>
        <w:rPr>
          <w:spacing w:val="-3"/>
          <w:sz w:val="24"/>
          <w:szCs w:val="24"/>
        </w:rPr>
        <w:t>Filmovertrukne tabletter</w:t>
      </w:r>
      <w:r w:rsidR="006B5CA6">
        <w:rPr>
          <w:spacing w:val="-3"/>
          <w:sz w:val="24"/>
          <w:szCs w:val="24"/>
        </w:rPr>
        <w:t xml:space="preserve"> (2care4)</w:t>
      </w:r>
    </w:p>
    <w:p w:rsidR="006B5CA6" w:rsidRDefault="006B5CA6" w:rsidP="00C07FC7">
      <w:pPr>
        <w:tabs>
          <w:tab w:val="left" w:pos="851"/>
        </w:tabs>
        <w:ind w:left="851" w:hanging="851"/>
        <w:rPr>
          <w:sz w:val="24"/>
          <w:szCs w:val="24"/>
        </w:rPr>
      </w:pPr>
    </w:p>
    <w:p w:rsidR="006B5CA6" w:rsidRPr="002C448C" w:rsidRDefault="006B5CA6"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w:t>
      </w:r>
      <w:r w:rsidRPr="002C448C">
        <w:rPr>
          <w:b/>
          <w:sz w:val="24"/>
          <w:szCs w:val="24"/>
        </w:rPr>
        <w:tab/>
        <w:t>KLINISKE OPLYSNINGER</w:t>
      </w:r>
    </w:p>
    <w:p w:rsidR="00C07FC7" w:rsidRPr="002C448C" w:rsidRDefault="00C07FC7" w:rsidP="00C07FC7">
      <w:pPr>
        <w:tabs>
          <w:tab w:val="left" w:pos="851"/>
        </w:tabs>
        <w:ind w:left="851" w:hanging="851"/>
        <w:rPr>
          <w:b/>
          <w:sz w:val="24"/>
          <w:szCs w:val="24"/>
        </w:rPr>
      </w:pPr>
    </w:p>
    <w:p w:rsidR="00C07FC7" w:rsidRPr="002C448C" w:rsidRDefault="00C07FC7" w:rsidP="00C07FC7">
      <w:pPr>
        <w:tabs>
          <w:tab w:val="left" w:pos="851"/>
        </w:tabs>
        <w:ind w:left="851" w:hanging="851"/>
        <w:rPr>
          <w:b/>
          <w:sz w:val="24"/>
          <w:szCs w:val="24"/>
          <w:u w:val="single"/>
        </w:rPr>
      </w:pPr>
      <w:r w:rsidRPr="002C448C">
        <w:rPr>
          <w:b/>
          <w:sz w:val="24"/>
          <w:szCs w:val="24"/>
        </w:rPr>
        <w:t>4.1</w:t>
      </w:r>
      <w:r w:rsidRPr="002C448C">
        <w:rPr>
          <w:b/>
          <w:sz w:val="24"/>
          <w:szCs w:val="24"/>
        </w:rPr>
        <w:tab/>
        <w:t>Terapeutiske indikationer</w:t>
      </w:r>
    </w:p>
    <w:p w:rsidR="0076390F" w:rsidRPr="002C448C" w:rsidRDefault="0076390F" w:rsidP="0076390F">
      <w:pPr>
        <w:ind w:left="851"/>
        <w:rPr>
          <w:sz w:val="24"/>
          <w:szCs w:val="24"/>
        </w:rPr>
      </w:pPr>
      <w:proofErr w:type="spellStart"/>
      <w:r w:rsidRPr="002C448C">
        <w:rPr>
          <w:sz w:val="24"/>
          <w:szCs w:val="24"/>
        </w:rPr>
        <w:t>Tadalafil</w:t>
      </w:r>
      <w:proofErr w:type="spellEnd"/>
      <w:r w:rsidRPr="002C448C">
        <w:rPr>
          <w:sz w:val="24"/>
          <w:szCs w:val="24"/>
        </w:rPr>
        <w:t xml:space="preserve"> </w:t>
      </w:r>
      <w:r>
        <w:rPr>
          <w:sz w:val="24"/>
          <w:szCs w:val="24"/>
        </w:rPr>
        <w:t>"Sandoz"</w:t>
      </w:r>
      <w:r w:rsidRPr="002C448C">
        <w:rPr>
          <w:sz w:val="24"/>
          <w:szCs w:val="24"/>
        </w:rPr>
        <w:t xml:space="preserve"> 2,5 mg, 5 mg, 10 mg og 20 mg filmovertrukne tabletter:</w:t>
      </w:r>
    </w:p>
    <w:p w:rsidR="0076390F" w:rsidRPr="002C448C" w:rsidRDefault="0076390F" w:rsidP="0076390F">
      <w:pPr>
        <w:ind w:left="851"/>
        <w:rPr>
          <w:sz w:val="24"/>
          <w:szCs w:val="24"/>
        </w:rPr>
      </w:pPr>
      <w:r w:rsidRPr="002C448C">
        <w:rPr>
          <w:sz w:val="24"/>
          <w:szCs w:val="24"/>
        </w:rPr>
        <w:t xml:space="preserve">Behandling af </w:t>
      </w:r>
      <w:proofErr w:type="spellStart"/>
      <w:r w:rsidRPr="002C448C">
        <w:rPr>
          <w:sz w:val="24"/>
          <w:szCs w:val="24"/>
        </w:rPr>
        <w:t>erektil</w:t>
      </w:r>
      <w:proofErr w:type="spellEnd"/>
      <w:r w:rsidRPr="002C448C">
        <w:rPr>
          <w:sz w:val="24"/>
          <w:szCs w:val="24"/>
        </w:rPr>
        <w:t xml:space="preserve"> dysfunktion hos voksne mænd. Seksuel stimulation er nødvendig for, at </w:t>
      </w:r>
      <w:proofErr w:type="spellStart"/>
      <w:r w:rsidRPr="002C448C">
        <w:rPr>
          <w:sz w:val="24"/>
          <w:szCs w:val="24"/>
        </w:rPr>
        <w:t>tadalafil</w:t>
      </w:r>
      <w:proofErr w:type="spellEnd"/>
      <w:r w:rsidRPr="002C448C">
        <w:rPr>
          <w:sz w:val="24"/>
          <w:szCs w:val="24"/>
        </w:rPr>
        <w:t xml:space="preserve"> kan virke. </w:t>
      </w:r>
    </w:p>
    <w:p w:rsidR="0076390F" w:rsidRPr="002C448C" w:rsidRDefault="0076390F" w:rsidP="0076390F">
      <w:pPr>
        <w:ind w:left="851" w:hanging="851"/>
        <w:rPr>
          <w:sz w:val="24"/>
          <w:szCs w:val="24"/>
        </w:rPr>
      </w:pPr>
    </w:p>
    <w:p w:rsidR="0076390F" w:rsidRPr="002C448C" w:rsidRDefault="0076390F" w:rsidP="0076390F">
      <w:pPr>
        <w:ind w:left="851"/>
        <w:rPr>
          <w:sz w:val="24"/>
          <w:szCs w:val="24"/>
        </w:rPr>
      </w:pPr>
      <w:proofErr w:type="spellStart"/>
      <w:r w:rsidRPr="002C448C">
        <w:rPr>
          <w:sz w:val="24"/>
          <w:szCs w:val="24"/>
        </w:rPr>
        <w:t>Tadalafil</w:t>
      </w:r>
      <w:proofErr w:type="spellEnd"/>
      <w:r w:rsidRPr="002C448C">
        <w:rPr>
          <w:sz w:val="24"/>
          <w:szCs w:val="24"/>
        </w:rPr>
        <w:t xml:space="preserve"> </w:t>
      </w:r>
      <w:r>
        <w:rPr>
          <w:sz w:val="24"/>
          <w:szCs w:val="24"/>
        </w:rPr>
        <w:t>"Sandoz"</w:t>
      </w:r>
      <w:r w:rsidRPr="002C448C">
        <w:rPr>
          <w:sz w:val="24"/>
          <w:szCs w:val="24"/>
        </w:rPr>
        <w:t xml:space="preserve"> 5 mg filmovertrukne tabletter:</w:t>
      </w:r>
    </w:p>
    <w:p w:rsidR="0076390F" w:rsidRPr="002C448C" w:rsidRDefault="0076390F" w:rsidP="0076390F">
      <w:pPr>
        <w:ind w:left="851"/>
        <w:rPr>
          <w:sz w:val="24"/>
          <w:szCs w:val="24"/>
        </w:rPr>
      </w:pPr>
      <w:r w:rsidRPr="002C448C">
        <w:rPr>
          <w:sz w:val="24"/>
          <w:szCs w:val="24"/>
        </w:rPr>
        <w:t xml:space="preserve">Behandling af tegn og symptomer på benign </w:t>
      </w:r>
      <w:proofErr w:type="spellStart"/>
      <w:r w:rsidRPr="002C448C">
        <w:rPr>
          <w:sz w:val="24"/>
          <w:szCs w:val="24"/>
        </w:rPr>
        <w:t>prostatahyperplasi</w:t>
      </w:r>
      <w:proofErr w:type="spellEnd"/>
      <w:r w:rsidRPr="002C448C">
        <w:rPr>
          <w:sz w:val="24"/>
          <w:szCs w:val="24"/>
        </w:rPr>
        <w:t xml:space="preserve"> hos voksne mænd.</w:t>
      </w:r>
    </w:p>
    <w:p w:rsidR="0076390F" w:rsidRPr="002C448C" w:rsidRDefault="0076390F" w:rsidP="0076390F">
      <w:pPr>
        <w:ind w:left="851" w:hanging="851"/>
        <w:rPr>
          <w:sz w:val="24"/>
          <w:szCs w:val="24"/>
        </w:rPr>
      </w:pPr>
    </w:p>
    <w:p w:rsidR="0076390F" w:rsidRPr="00B15909" w:rsidRDefault="0076390F" w:rsidP="0076390F">
      <w:pPr>
        <w:ind w:left="851"/>
        <w:rPr>
          <w:sz w:val="24"/>
          <w:szCs w:val="24"/>
          <w:lang w:val="nb-NO"/>
        </w:rPr>
      </w:pPr>
      <w:r w:rsidRPr="00B15909">
        <w:rPr>
          <w:sz w:val="24"/>
          <w:szCs w:val="24"/>
          <w:lang w:val="nb-NO"/>
        </w:rPr>
        <w:t>Tadalafil "Sandoz" 20 mg filmovertrukne tabletter:</w:t>
      </w:r>
    </w:p>
    <w:p w:rsidR="0076390F" w:rsidRPr="007807BC" w:rsidRDefault="0076390F" w:rsidP="0076390F">
      <w:pPr>
        <w:ind w:left="851"/>
        <w:rPr>
          <w:sz w:val="24"/>
          <w:szCs w:val="24"/>
          <w:u w:val="single"/>
          <w:lang w:val="nb-NO"/>
        </w:rPr>
      </w:pPr>
    </w:p>
    <w:p w:rsidR="0076390F" w:rsidRPr="007807BC" w:rsidRDefault="0076390F" w:rsidP="0076390F">
      <w:pPr>
        <w:ind w:left="851"/>
        <w:rPr>
          <w:sz w:val="24"/>
          <w:szCs w:val="24"/>
          <w:u w:val="single"/>
        </w:rPr>
      </w:pPr>
      <w:r w:rsidRPr="007807BC">
        <w:rPr>
          <w:sz w:val="24"/>
          <w:szCs w:val="24"/>
          <w:u w:val="single"/>
        </w:rPr>
        <w:t>Voksne</w:t>
      </w:r>
    </w:p>
    <w:p w:rsidR="0076390F" w:rsidRDefault="0076390F" w:rsidP="0076390F">
      <w:pPr>
        <w:ind w:left="851"/>
        <w:rPr>
          <w:sz w:val="24"/>
          <w:szCs w:val="24"/>
        </w:rPr>
      </w:pPr>
      <w:r>
        <w:rPr>
          <w:sz w:val="24"/>
          <w:szCs w:val="24"/>
        </w:rPr>
        <w:t>B</w:t>
      </w:r>
      <w:r w:rsidRPr="002C448C">
        <w:rPr>
          <w:sz w:val="24"/>
          <w:szCs w:val="24"/>
        </w:rPr>
        <w:t xml:space="preserve">ehandling af </w:t>
      </w:r>
      <w:proofErr w:type="spellStart"/>
      <w:r w:rsidRPr="002C448C">
        <w:rPr>
          <w:sz w:val="24"/>
          <w:szCs w:val="24"/>
        </w:rPr>
        <w:t>pulmonal</w:t>
      </w:r>
      <w:proofErr w:type="spellEnd"/>
      <w:r w:rsidRPr="002C448C">
        <w:rPr>
          <w:sz w:val="24"/>
          <w:szCs w:val="24"/>
        </w:rPr>
        <w:t xml:space="preserve"> arteriel hypertension (PAH) klassificeret som WHO’s funktionsklasse II og III, til forbedring af det fysiske funktionsniveau (se pkt. 5.1). Virkningen er set ved idiopatisk PAH (IPAH) og ved PAH i forbindelse med </w:t>
      </w:r>
      <w:proofErr w:type="spellStart"/>
      <w:r w:rsidRPr="002C448C">
        <w:rPr>
          <w:sz w:val="24"/>
          <w:szCs w:val="24"/>
        </w:rPr>
        <w:t>vaskulær</w:t>
      </w:r>
      <w:proofErr w:type="spellEnd"/>
      <w:r w:rsidRPr="002C448C">
        <w:rPr>
          <w:sz w:val="24"/>
          <w:szCs w:val="24"/>
        </w:rPr>
        <w:t xml:space="preserve"> bindevævssygdom.</w:t>
      </w:r>
    </w:p>
    <w:p w:rsidR="0076390F" w:rsidRDefault="0076390F" w:rsidP="0076390F">
      <w:pPr>
        <w:ind w:left="851"/>
        <w:rPr>
          <w:sz w:val="24"/>
          <w:szCs w:val="24"/>
        </w:rPr>
      </w:pPr>
    </w:p>
    <w:p w:rsidR="0076390F" w:rsidRPr="007807BC" w:rsidRDefault="0076390F" w:rsidP="0076390F">
      <w:pPr>
        <w:ind w:left="851"/>
        <w:rPr>
          <w:iCs/>
          <w:noProof/>
          <w:szCs w:val="22"/>
          <w:u w:val="single"/>
        </w:rPr>
      </w:pPr>
      <w:r w:rsidRPr="007807BC">
        <w:rPr>
          <w:iCs/>
          <w:noProof/>
          <w:szCs w:val="22"/>
          <w:u w:val="single"/>
        </w:rPr>
        <w:t>Pædiatrisk population</w:t>
      </w:r>
    </w:p>
    <w:p w:rsidR="0076390F" w:rsidRPr="002C448C" w:rsidRDefault="0076390F" w:rsidP="0076390F">
      <w:pPr>
        <w:ind w:left="851"/>
        <w:rPr>
          <w:sz w:val="24"/>
          <w:szCs w:val="24"/>
        </w:rPr>
      </w:pPr>
      <w:r>
        <w:rPr>
          <w:iCs/>
          <w:noProof/>
          <w:szCs w:val="22"/>
        </w:rPr>
        <w:lastRenderedPageBreak/>
        <w:t xml:space="preserve">Behandling af børm i alderen 2 år eller derover med </w:t>
      </w:r>
      <w:proofErr w:type="spellStart"/>
      <w:r w:rsidRPr="002C448C">
        <w:rPr>
          <w:sz w:val="24"/>
          <w:szCs w:val="24"/>
        </w:rPr>
        <w:t>pulmonal</w:t>
      </w:r>
      <w:proofErr w:type="spellEnd"/>
      <w:r w:rsidRPr="002C448C">
        <w:rPr>
          <w:sz w:val="24"/>
          <w:szCs w:val="24"/>
        </w:rPr>
        <w:t xml:space="preserve"> arteriel hypertension (PAH)</w:t>
      </w:r>
      <w:r w:rsidRPr="00947E4C">
        <w:rPr>
          <w:sz w:val="24"/>
          <w:szCs w:val="24"/>
        </w:rPr>
        <w:t xml:space="preserve"> </w:t>
      </w:r>
      <w:r w:rsidRPr="002C448C">
        <w:rPr>
          <w:sz w:val="24"/>
          <w:szCs w:val="24"/>
        </w:rPr>
        <w:t>klassificeret som WHO’s funktionsklasse II og III</w:t>
      </w:r>
      <w:r>
        <w:rPr>
          <w:sz w:val="24"/>
          <w:szCs w:val="24"/>
        </w:rPr>
        <w:t>.</w:t>
      </w:r>
    </w:p>
    <w:p w:rsidR="00C07FC7" w:rsidRPr="002C448C" w:rsidRDefault="00C07FC7" w:rsidP="00C07FC7">
      <w:pPr>
        <w:tabs>
          <w:tab w:val="left" w:pos="851"/>
        </w:tabs>
        <w:ind w:left="851" w:hanging="851"/>
        <w:rPr>
          <w:sz w:val="24"/>
          <w:szCs w:val="24"/>
        </w:rPr>
      </w:pPr>
    </w:p>
    <w:p w:rsidR="00C07FC7" w:rsidRDefault="00C07FC7" w:rsidP="00C07FC7">
      <w:pPr>
        <w:tabs>
          <w:tab w:val="left" w:pos="851"/>
        </w:tabs>
        <w:ind w:left="851" w:hanging="851"/>
        <w:rPr>
          <w:b/>
          <w:sz w:val="24"/>
          <w:szCs w:val="24"/>
        </w:rPr>
      </w:pPr>
      <w:r w:rsidRPr="002C448C">
        <w:rPr>
          <w:b/>
          <w:sz w:val="24"/>
          <w:szCs w:val="24"/>
        </w:rPr>
        <w:t>4.2</w:t>
      </w:r>
      <w:r w:rsidRPr="002C448C">
        <w:rPr>
          <w:b/>
          <w:sz w:val="24"/>
          <w:szCs w:val="24"/>
        </w:rPr>
        <w:tab/>
      </w:r>
      <w:r>
        <w:rPr>
          <w:b/>
          <w:sz w:val="24"/>
          <w:szCs w:val="24"/>
        </w:rPr>
        <w:t xml:space="preserve">Dosering og </w:t>
      </w:r>
      <w:r w:rsidR="0076390F">
        <w:rPr>
          <w:b/>
          <w:sz w:val="24"/>
          <w:szCs w:val="24"/>
        </w:rPr>
        <w:t>administration</w:t>
      </w:r>
    </w:p>
    <w:p w:rsidR="00737655" w:rsidRDefault="00737655" w:rsidP="00737655">
      <w:pPr>
        <w:ind w:left="851" w:hanging="851"/>
        <w:rPr>
          <w:noProof/>
          <w:sz w:val="24"/>
          <w:szCs w:val="24"/>
          <w:u w:val="single"/>
        </w:rPr>
      </w:pPr>
    </w:p>
    <w:p w:rsidR="00737655" w:rsidRPr="002C448C" w:rsidRDefault="00737655" w:rsidP="00737655">
      <w:pPr>
        <w:ind w:left="851"/>
        <w:rPr>
          <w:noProof/>
          <w:sz w:val="24"/>
          <w:szCs w:val="24"/>
          <w:u w:val="single"/>
        </w:rPr>
      </w:pPr>
      <w:r w:rsidRPr="002C448C">
        <w:rPr>
          <w:noProof/>
          <w:sz w:val="24"/>
          <w:szCs w:val="24"/>
          <w:u w:val="single"/>
        </w:rPr>
        <w:t>Dosering</w:t>
      </w:r>
    </w:p>
    <w:p w:rsidR="00737655" w:rsidRPr="002C448C" w:rsidRDefault="00737655" w:rsidP="00737655">
      <w:pPr>
        <w:ind w:left="851"/>
        <w:rPr>
          <w:i/>
          <w:noProof/>
          <w:sz w:val="24"/>
          <w:szCs w:val="24"/>
        </w:rPr>
      </w:pPr>
      <w:r w:rsidRPr="002C448C">
        <w:rPr>
          <w:i/>
          <w:noProof/>
          <w:sz w:val="24"/>
          <w:szCs w:val="24"/>
        </w:rPr>
        <w:t>Erektil dysfunktion hos voksne mænd</w:t>
      </w:r>
    </w:p>
    <w:p w:rsidR="00737655" w:rsidRPr="002C448C" w:rsidRDefault="00737655" w:rsidP="00737655">
      <w:pPr>
        <w:ind w:left="851"/>
        <w:rPr>
          <w:noProof/>
          <w:sz w:val="24"/>
          <w:szCs w:val="24"/>
        </w:rPr>
      </w:pPr>
      <w:r w:rsidRPr="002C448C">
        <w:rPr>
          <w:noProof/>
          <w:sz w:val="24"/>
          <w:szCs w:val="24"/>
        </w:rPr>
        <w:t xml:space="preserve">Den anbefalede dosis af Tadalafil </w:t>
      </w:r>
      <w:r>
        <w:rPr>
          <w:noProof/>
          <w:sz w:val="24"/>
          <w:szCs w:val="24"/>
        </w:rPr>
        <w:t>"Sandoz"</w:t>
      </w:r>
      <w:r w:rsidRPr="002C448C">
        <w:rPr>
          <w:noProof/>
          <w:sz w:val="24"/>
          <w:szCs w:val="24"/>
        </w:rPr>
        <w:t xml:space="preserve"> er generelt 10 mg, som tages før forventet seksuel aktivitet, enten med eller uden mad. Hos de patienter, hvor tadalafil 10 mg ikke giver tilstrækkelig effekt, kan 20 mg forsøges. </w:t>
      </w:r>
    </w:p>
    <w:p w:rsidR="00737655" w:rsidRPr="002C448C" w:rsidRDefault="00737655" w:rsidP="00737655">
      <w:pPr>
        <w:ind w:left="851"/>
        <w:rPr>
          <w:noProof/>
          <w:sz w:val="24"/>
          <w:szCs w:val="24"/>
        </w:rPr>
      </w:pPr>
      <w:r w:rsidRPr="002C448C">
        <w:rPr>
          <w:noProof/>
          <w:sz w:val="24"/>
          <w:szCs w:val="24"/>
        </w:rPr>
        <w:t>Tabletten tages mindst 30 minutter før seksuel aktivitet.</w:t>
      </w:r>
    </w:p>
    <w:p w:rsidR="00737655" w:rsidRPr="002C448C" w:rsidRDefault="00737655" w:rsidP="00737655">
      <w:pPr>
        <w:ind w:left="851" w:hanging="851"/>
        <w:rPr>
          <w:noProof/>
          <w:sz w:val="24"/>
          <w:szCs w:val="24"/>
        </w:rPr>
      </w:pPr>
    </w:p>
    <w:p w:rsidR="00737655" w:rsidRPr="002C448C" w:rsidRDefault="00737655" w:rsidP="00737655">
      <w:pPr>
        <w:ind w:left="851"/>
        <w:rPr>
          <w:noProof/>
          <w:sz w:val="24"/>
          <w:szCs w:val="24"/>
        </w:rPr>
      </w:pPr>
      <w:r w:rsidRPr="002C448C">
        <w:rPr>
          <w:noProof/>
          <w:sz w:val="24"/>
          <w:szCs w:val="24"/>
        </w:rPr>
        <w:t>Den maksimale doseringshyppighed er en gang daglig.</w:t>
      </w:r>
    </w:p>
    <w:p w:rsidR="00737655" w:rsidRPr="002C448C" w:rsidRDefault="00737655" w:rsidP="00737655">
      <w:pPr>
        <w:ind w:left="851" w:hanging="851"/>
        <w:rPr>
          <w:noProof/>
          <w:sz w:val="24"/>
          <w:szCs w:val="24"/>
        </w:rPr>
      </w:pPr>
    </w:p>
    <w:p w:rsidR="00737655" w:rsidRPr="002C448C" w:rsidRDefault="00737655" w:rsidP="00737655">
      <w:pPr>
        <w:ind w:left="851"/>
        <w:rPr>
          <w:noProof/>
          <w:sz w:val="24"/>
          <w:szCs w:val="24"/>
        </w:rPr>
      </w:pPr>
      <w:r w:rsidRPr="002C448C">
        <w:rPr>
          <w:noProof/>
          <w:sz w:val="24"/>
          <w:szCs w:val="24"/>
        </w:rPr>
        <w:t>Tadalafil 10 og 20 mg er tiltænkt brug før forventet seksuel aktivitet og anbefales ikke til vedvarende daglig brug.</w:t>
      </w:r>
    </w:p>
    <w:p w:rsidR="00737655" w:rsidRPr="002C448C" w:rsidRDefault="00737655" w:rsidP="00737655">
      <w:pPr>
        <w:ind w:left="851" w:hanging="851"/>
        <w:rPr>
          <w:noProof/>
          <w:sz w:val="24"/>
          <w:szCs w:val="24"/>
        </w:rPr>
      </w:pPr>
    </w:p>
    <w:p w:rsidR="00737655" w:rsidRPr="002C448C" w:rsidRDefault="00737655" w:rsidP="00737655">
      <w:pPr>
        <w:ind w:left="851"/>
        <w:rPr>
          <w:noProof/>
          <w:sz w:val="24"/>
          <w:szCs w:val="24"/>
        </w:rPr>
      </w:pPr>
      <w:r w:rsidRPr="002C448C">
        <w:rPr>
          <w:noProof/>
          <w:sz w:val="24"/>
          <w:szCs w:val="24"/>
        </w:rPr>
        <w:t xml:space="preserve">Hos patienter, som forventer et hyppigt brug af Tadalafil </w:t>
      </w:r>
      <w:r>
        <w:rPr>
          <w:noProof/>
          <w:sz w:val="24"/>
          <w:szCs w:val="24"/>
        </w:rPr>
        <w:t>"Sandoz"</w:t>
      </w:r>
      <w:r w:rsidRPr="002C448C">
        <w:rPr>
          <w:noProof/>
          <w:sz w:val="24"/>
          <w:szCs w:val="24"/>
        </w:rPr>
        <w:t xml:space="preserve"> (mindst 2 gange ugentligt), kan en én gang </w:t>
      </w:r>
      <w:r>
        <w:rPr>
          <w:noProof/>
          <w:sz w:val="24"/>
          <w:szCs w:val="24"/>
        </w:rPr>
        <w:t>daglig</w:t>
      </w:r>
      <w:r w:rsidRPr="002C448C">
        <w:rPr>
          <w:noProof/>
          <w:sz w:val="24"/>
          <w:szCs w:val="24"/>
        </w:rPr>
        <w:t xml:space="preserve"> dosering med de laveste Tadalafil </w:t>
      </w:r>
      <w:r>
        <w:rPr>
          <w:noProof/>
          <w:sz w:val="24"/>
          <w:szCs w:val="24"/>
        </w:rPr>
        <w:t>"Sandoz"</w:t>
      </w:r>
      <w:r w:rsidRPr="002C448C">
        <w:rPr>
          <w:noProof/>
          <w:sz w:val="24"/>
          <w:szCs w:val="24"/>
        </w:rPr>
        <w:t>-doser anses for at være hensigtsmæssig, baseret på patientens valg og lægens vurdering.</w:t>
      </w:r>
    </w:p>
    <w:p w:rsidR="00737655" w:rsidRPr="002C448C" w:rsidRDefault="00737655" w:rsidP="00737655">
      <w:pPr>
        <w:ind w:left="851" w:hanging="851"/>
        <w:rPr>
          <w:noProof/>
          <w:sz w:val="24"/>
          <w:szCs w:val="24"/>
        </w:rPr>
      </w:pPr>
    </w:p>
    <w:p w:rsidR="00737655" w:rsidRPr="002C448C" w:rsidRDefault="00737655" w:rsidP="00737655">
      <w:pPr>
        <w:ind w:left="851"/>
        <w:rPr>
          <w:noProof/>
          <w:sz w:val="24"/>
          <w:szCs w:val="24"/>
        </w:rPr>
      </w:pPr>
      <w:r w:rsidRPr="002C448C">
        <w:rPr>
          <w:noProof/>
          <w:sz w:val="24"/>
          <w:szCs w:val="24"/>
        </w:rPr>
        <w:t xml:space="preserve">Den anbefalede dosis til disse patienter er 5 mg </w:t>
      </w:r>
      <w:r>
        <w:rPr>
          <w:noProof/>
          <w:sz w:val="24"/>
          <w:szCs w:val="24"/>
        </w:rPr>
        <w:t>daglig</w:t>
      </w:r>
      <w:r w:rsidRPr="002C448C">
        <w:rPr>
          <w:noProof/>
          <w:sz w:val="24"/>
          <w:szCs w:val="24"/>
        </w:rPr>
        <w:t xml:space="preserve">, indtaget på ca. samme tidspunkt hver dag. Baseret på individuel tolerance kan dosis muligvis sænkes til 2,5 mg én gang </w:t>
      </w:r>
      <w:r>
        <w:rPr>
          <w:noProof/>
          <w:sz w:val="24"/>
          <w:szCs w:val="24"/>
        </w:rPr>
        <w:t>daglig</w:t>
      </w:r>
      <w:r w:rsidRPr="002C448C">
        <w:rPr>
          <w:noProof/>
          <w:sz w:val="24"/>
          <w:szCs w:val="24"/>
        </w:rPr>
        <w:t>.</w:t>
      </w:r>
    </w:p>
    <w:p w:rsidR="00737655" w:rsidRPr="002C448C" w:rsidRDefault="00737655" w:rsidP="00737655">
      <w:pPr>
        <w:ind w:left="851" w:hanging="851"/>
        <w:rPr>
          <w:noProof/>
          <w:sz w:val="24"/>
          <w:szCs w:val="24"/>
        </w:rPr>
      </w:pPr>
    </w:p>
    <w:p w:rsidR="00737655" w:rsidRPr="002C448C" w:rsidRDefault="00737655" w:rsidP="00737655">
      <w:pPr>
        <w:ind w:left="851"/>
        <w:rPr>
          <w:noProof/>
          <w:sz w:val="24"/>
          <w:szCs w:val="24"/>
        </w:rPr>
      </w:pPr>
      <w:r w:rsidRPr="002C448C">
        <w:rPr>
          <w:noProof/>
          <w:sz w:val="24"/>
          <w:szCs w:val="24"/>
        </w:rPr>
        <w:t>Valget af vedvarende daglig behandling bør evalueres med jævne mellemrum.</w:t>
      </w:r>
    </w:p>
    <w:p w:rsidR="00737655" w:rsidRPr="002C448C" w:rsidRDefault="00737655" w:rsidP="00737655">
      <w:pPr>
        <w:ind w:left="851" w:hanging="851"/>
        <w:rPr>
          <w:noProof/>
          <w:sz w:val="24"/>
          <w:szCs w:val="24"/>
        </w:rPr>
      </w:pPr>
    </w:p>
    <w:p w:rsidR="00737655" w:rsidRPr="002C448C" w:rsidRDefault="00737655" w:rsidP="00737655">
      <w:pPr>
        <w:keepNext/>
        <w:ind w:left="851"/>
        <w:rPr>
          <w:i/>
          <w:noProof/>
          <w:sz w:val="24"/>
          <w:szCs w:val="24"/>
        </w:rPr>
      </w:pPr>
      <w:r w:rsidRPr="002C448C">
        <w:rPr>
          <w:i/>
          <w:sz w:val="24"/>
          <w:szCs w:val="24"/>
        </w:rPr>
        <w:t xml:space="preserve">Benign </w:t>
      </w:r>
      <w:proofErr w:type="spellStart"/>
      <w:r w:rsidRPr="002C448C">
        <w:rPr>
          <w:i/>
          <w:sz w:val="24"/>
          <w:szCs w:val="24"/>
        </w:rPr>
        <w:t>prostatahyperplasi</w:t>
      </w:r>
      <w:proofErr w:type="spellEnd"/>
      <w:r w:rsidRPr="002C448C">
        <w:rPr>
          <w:i/>
          <w:sz w:val="24"/>
          <w:szCs w:val="24"/>
        </w:rPr>
        <w:t xml:space="preserve"> hos voksne mænd</w:t>
      </w:r>
    </w:p>
    <w:p w:rsidR="00737655" w:rsidRPr="002C448C" w:rsidRDefault="00737655" w:rsidP="00737655">
      <w:pPr>
        <w:autoSpaceDE w:val="0"/>
        <w:autoSpaceDN w:val="0"/>
        <w:adjustRightInd w:val="0"/>
        <w:ind w:left="851"/>
        <w:rPr>
          <w:color w:val="000000"/>
          <w:sz w:val="24"/>
          <w:szCs w:val="24"/>
          <w:lang w:eastAsia="da-DK"/>
        </w:rPr>
      </w:pPr>
      <w:r w:rsidRPr="002C448C">
        <w:rPr>
          <w:color w:val="000000"/>
          <w:sz w:val="24"/>
          <w:szCs w:val="24"/>
          <w:lang w:eastAsia="da-DK"/>
        </w:rPr>
        <w:t xml:space="preserve">Den anbefalede dosis er 5 mg, som skal tages på omtrent samme tidspunkt hver dag med eller uden mad. </w:t>
      </w:r>
    </w:p>
    <w:p w:rsidR="00737655" w:rsidRPr="002C448C" w:rsidRDefault="00737655" w:rsidP="00737655">
      <w:pPr>
        <w:ind w:left="851"/>
        <w:rPr>
          <w:color w:val="000000"/>
          <w:sz w:val="24"/>
          <w:szCs w:val="24"/>
          <w:lang w:eastAsia="da-DK"/>
        </w:rPr>
      </w:pPr>
      <w:r w:rsidRPr="002C448C">
        <w:rPr>
          <w:color w:val="000000"/>
          <w:sz w:val="24"/>
          <w:szCs w:val="24"/>
          <w:lang w:eastAsia="da-DK"/>
        </w:rPr>
        <w:t xml:space="preserve">For voksne mænd i behandling for både benign </w:t>
      </w:r>
      <w:proofErr w:type="spellStart"/>
      <w:r w:rsidRPr="002C448C">
        <w:rPr>
          <w:color w:val="000000"/>
          <w:sz w:val="24"/>
          <w:szCs w:val="24"/>
          <w:lang w:eastAsia="da-DK"/>
        </w:rPr>
        <w:t>prostatahyperplasi</w:t>
      </w:r>
      <w:proofErr w:type="spellEnd"/>
      <w:r w:rsidRPr="002C448C">
        <w:rPr>
          <w:color w:val="000000"/>
          <w:sz w:val="24"/>
          <w:szCs w:val="24"/>
          <w:lang w:eastAsia="da-DK"/>
        </w:rPr>
        <w:t xml:space="preserve"> og </w:t>
      </w:r>
      <w:proofErr w:type="spellStart"/>
      <w:r w:rsidRPr="002C448C">
        <w:rPr>
          <w:color w:val="000000"/>
          <w:sz w:val="24"/>
          <w:szCs w:val="24"/>
          <w:lang w:eastAsia="da-DK"/>
        </w:rPr>
        <w:t>erektil</w:t>
      </w:r>
      <w:proofErr w:type="spellEnd"/>
      <w:r w:rsidRPr="002C448C">
        <w:rPr>
          <w:color w:val="000000"/>
          <w:sz w:val="24"/>
          <w:szCs w:val="24"/>
          <w:lang w:eastAsia="da-DK"/>
        </w:rPr>
        <w:t xml:space="preserve"> dysfunktion er den anbefalede dosis også 5 mg, som skal tages på omtrent samme tidspunkt hver dag. For de patienter, som ikke tolererer </w:t>
      </w:r>
      <w:proofErr w:type="spellStart"/>
      <w:r w:rsidRPr="002C448C">
        <w:rPr>
          <w:color w:val="000000"/>
          <w:sz w:val="24"/>
          <w:szCs w:val="24"/>
          <w:lang w:eastAsia="da-DK"/>
        </w:rPr>
        <w:t>tadalafil</w:t>
      </w:r>
      <w:proofErr w:type="spellEnd"/>
      <w:r w:rsidRPr="002C448C">
        <w:rPr>
          <w:color w:val="000000"/>
          <w:sz w:val="24"/>
          <w:szCs w:val="24"/>
          <w:lang w:eastAsia="da-DK"/>
        </w:rPr>
        <w:t xml:space="preserve"> 5 mg for behandling af benign </w:t>
      </w:r>
      <w:proofErr w:type="spellStart"/>
      <w:r w:rsidRPr="002C448C">
        <w:rPr>
          <w:color w:val="000000"/>
          <w:sz w:val="24"/>
          <w:szCs w:val="24"/>
          <w:lang w:eastAsia="da-DK"/>
        </w:rPr>
        <w:t>prostatahyperplasi</w:t>
      </w:r>
      <w:proofErr w:type="spellEnd"/>
      <w:r w:rsidRPr="002C448C">
        <w:rPr>
          <w:color w:val="000000"/>
          <w:sz w:val="24"/>
          <w:szCs w:val="24"/>
          <w:lang w:eastAsia="da-DK"/>
        </w:rPr>
        <w:t xml:space="preserve">, skal anden behandling overvejes, da virkningen af </w:t>
      </w:r>
      <w:proofErr w:type="spellStart"/>
      <w:r w:rsidRPr="002C448C">
        <w:rPr>
          <w:color w:val="000000"/>
          <w:sz w:val="24"/>
          <w:szCs w:val="24"/>
          <w:lang w:eastAsia="da-DK"/>
        </w:rPr>
        <w:t>tadalafil</w:t>
      </w:r>
      <w:proofErr w:type="spellEnd"/>
      <w:r w:rsidRPr="002C448C">
        <w:rPr>
          <w:color w:val="000000"/>
          <w:sz w:val="24"/>
          <w:szCs w:val="24"/>
          <w:lang w:eastAsia="da-DK"/>
        </w:rPr>
        <w:t xml:space="preserve"> 2,5 mg til behandling af benign </w:t>
      </w:r>
      <w:proofErr w:type="spellStart"/>
      <w:r w:rsidRPr="002C448C">
        <w:rPr>
          <w:color w:val="000000"/>
          <w:sz w:val="24"/>
          <w:szCs w:val="24"/>
          <w:lang w:eastAsia="da-DK"/>
        </w:rPr>
        <w:t>prostatahyperplasi</w:t>
      </w:r>
      <w:proofErr w:type="spellEnd"/>
      <w:r w:rsidRPr="002C448C">
        <w:rPr>
          <w:color w:val="000000"/>
          <w:sz w:val="24"/>
          <w:szCs w:val="24"/>
          <w:lang w:eastAsia="da-DK"/>
        </w:rPr>
        <w:t xml:space="preserve"> ikke er vist. </w:t>
      </w:r>
    </w:p>
    <w:p w:rsidR="00737655" w:rsidRPr="002C448C" w:rsidRDefault="00737655" w:rsidP="00737655">
      <w:pPr>
        <w:ind w:left="851" w:hanging="851"/>
        <w:rPr>
          <w:noProof/>
          <w:sz w:val="24"/>
          <w:szCs w:val="24"/>
        </w:rPr>
      </w:pPr>
    </w:p>
    <w:p w:rsidR="00737655" w:rsidRPr="002C448C" w:rsidRDefault="00737655" w:rsidP="00737655">
      <w:pPr>
        <w:ind w:left="851"/>
        <w:rPr>
          <w:i/>
          <w:noProof/>
          <w:sz w:val="24"/>
          <w:szCs w:val="24"/>
        </w:rPr>
      </w:pPr>
      <w:proofErr w:type="spellStart"/>
      <w:r w:rsidRPr="002C448C">
        <w:rPr>
          <w:i/>
          <w:sz w:val="24"/>
          <w:szCs w:val="24"/>
        </w:rPr>
        <w:t>Pu</w:t>
      </w:r>
      <w:r w:rsidRPr="002C448C">
        <w:rPr>
          <w:i/>
          <w:spacing w:val="1"/>
          <w:sz w:val="24"/>
          <w:szCs w:val="24"/>
        </w:rPr>
        <w:t>l</w:t>
      </w:r>
      <w:r w:rsidRPr="002C448C">
        <w:rPr>
          <w:i/>
          <w:spacing w:val="-4"/>
          <w:sz w:val="24"/>
          <w:szCs w:val="24"/>
        </w:rPr>
        <w:t>m</w:t>
      </w:r>
      <w:r w:rsidRPr="002C448C">
        <w:rPr>
          <w:i/>
          <w:sz w:val="24"/>
          <w:szCs w:val="24"/>
        </w:rPr>
        <w:t>onal</w:t>
      </w:r>
      <w:proofErr w:type="spellEnd"/>
      <w:r w:rsidRPr="002C448C">
        <w:rPr>
          <w:i/>
          <w:spacing w:val="1"/>
          <w:sz w:val="24"/>
          <w:szCs w:val="24"/>
        </w:rPr>
        <w:t xml:space="preserve"> </w:t>
      </w:r>
      <w:r w:rsidRPr="002C448C">
        <w:rPr>
          <w:i/>
          <w:sz w:val="24"/>
          <w:szCs w:val="24"/>
        </w:rPr>
        <w:t>a</w:t>
      </w:r>
      <w:r w:rsidRPr="002C448C">
        <w:rPr>
          <w:i/>
          <w:spacing w:val="-2"/>
          <w:sz w:val="24"/>
          <w:szCs w:val="24"/>
        </w:rPr>
        <w:t>r</w:t>
      </w:r>
      <w:r w:rsidRPr="002C448C">
        <w:rPr>
          <w:i/>
          <w:spacing w:val="1"/>
          <w:sz w:val="24"/>
          <w:szCs w:val="24"/>
        </w:rPr>
        <w:t>t</w:t>
      </w:r>
      <w:r w:rsidRPr="002C448C">
        <w:rPr>
          <w:i/>
          <w:spacing w:val="-2"/>
          <w:sz w:val="24"/>
          <w:szCs w:val="24"/>
        </w:rPr>
        <w:t>e</w:t>
      </w:r>
      <w:r w:rsidRPr="002C448C">
        <w:rPr>
          <w:i/>
          <w:spacing w:val="1"/>
          <w:sz w:val="24"/>
          <w:szCs w:val="24"/>
        </w:rPr>
        <w:t>r</w:t>
      </w:r>
      <w:r w:rsidRPr="002C448C">
        <w:rPr>
          <w:i/>
          <w:spacing w:val="-1"/>
          <w:sz w:val="24"/>
          <w:szCs w:val="24"/>
        </w:rPr>
        <w:t>i</w:t>
      </w:r>
      <w:r w:rsidRPr="002C448C">
        <w:rPr>
          <w:i/>
          <w:sz w:val="24"/>
          <w:szCs w:val="24"/>
        </w:rPr>
        <w:t>el</w:t>
      </w:r>
      <w:r w:rsidRPr="002C448C">
        <w:rPr>
          <w:i/>
          <w:spacing w:val="1"/>
          <w:sz w:val="24"/>
          <w:szCs w:val="24"/>
        </w:rPr>
        <w:t xml:space="preserve"> </w:t>
      </w:r>
      <w:r w:rsidRPr="002C448C">
        <w:rPr>
          <w:i/>
          <w:sz w:val="24"/>
          <w:szCs w:val="24"/>
        </w:rPr>
        <w:t>h</w:t>
      </w:r>
      <w:r w:rsidRPr="002C448C">
        <w:rPr>
          <w:i/>
          <w:spacing w:val="-2"/>
          <w:sz w:val="24"/>
          <w:szCs w:val="24"/>
        </w:rPr>
        <w:t>y</w:t>
      </w:r>
      <w:r w:rsidRPr="002C448C">
        <w:rPr>
          <w:i/>
          <w:sz w:val="24"/>
          <w:szCs w:val="24"/>
        </w:rPr>
        <w:t>pe</w:t>
      </w:r>
      <w:r w:rsidRPr="002C448C">
        <w:rPr>
          <w:i/>
          <w:spacing w:val="-2"/>
          <w:sz w:val="24"/>
          <w:szCs w:val="24"/>
        </w:rPr>
        <w:t>r</w:t>
      </w:r>
      <w:r w:rsidRPr="002C448C">
        <w:rPr>
          <w:i/>
          <w:spacing w:val="1"/>
          <w:sz w:val="24"/>
          <w:szCs w:val="24"/>
        </w:rPr>
        <w:t>t</w:t>
      </w:r>
      <w:r w:rsidRPr="002C448C">
        <w:rPr>
          <w:i/>
          <w:sz w:val="24"/>
          <w:szCs w:val="24"/>
        </w:rPr>
        <w:t>e</w:t>
      </w:r>
      <w:r w:rsidRPr="002C448C">
        <w:rPr>
          <w:i/>
          <w:spacing w:val="-2"/>
          <w:sz w:val="24"/>
          <w:szCs w:val="24"/>
        </w:rPr>
        <w:t>n</w:t>
      </w:r>
      <w:r w:rsidRPr="002C448C">
        <w:rPr>
          <w:i/>
          <w:spacing w:val="1"/>
          <w:sz w:val="24"/>
          <w:szCs w:val="24"/>
        </w:rPr>
        <w:t>s</w:t>
      </w:r>
      <w:r w:rsidRPr="002C448C">
        <w:rPr>
          <w:i/>
          <w:spacing w:val="-1"/>
          <w:sz w:val="24"/>
          <w:szCs w:val="24"/>
        </w:rPr>
        <w:t>i</w:t>
      </w:r>
      <w:r w:rsidRPr="002C448C">
        <w:rPr>
          <w:i/>
          <w:sz w:val="24"/>
          <w:szCs w:val="24"/>
        </w:rPr>
        <w:t>on</w:t>
      </w:r>
    </w:p>
    <w:p w:rsidR="00737655" w:rsidRDefault="00737655" w:rsidP="00737655">
      <w:pPr>
        <w:ind w:left="851"/>
        <w:rPr>
          <w:noProof/>
          <w:sz w:val="24"/>
          <w:szCs w:val="24"/>
        </w:rPr>
      </w:pPr>
      <w:r w:rsidRPr="002C448C">
        <w:rPr>
          <w:noProof/>
          <w:sz w:val="24"/>
          <w:szCs w:val="24"/>
        </w:rPr>
        <w:t xml:space="preserve">Behandling bør kun initieres og monitoreres af en læge med erfaring i behandling af PAH.  </w:t>
      </w:r>
    </w:p>
    <w:p w:rsidR="00737655" w:rsidRDefault="00737655" w:rsidP="00737655">
      <w:pPr>
        <w:ind w:left="851"/>
        <w:rPr>
          <w:noProof/>
          <w:sz w:val="24"/>
          <w:szCs w:val="24"/>
        </w:rPr>
      </w:pPr>
    </w:p>
    <w:p w:rsidR="00737655" w:rsidRPr="002C1705" w:rsidRDefault="00737655" w:rsidP="00737655">
      <w:pPr>
        <w:ind w:left="851"/>
        <w:rPr>
          <w:i/>
          <w:iCs/>
          <w:noProof/>
          <w:sz w:val="24"/>
          <w:szCs w:val="24"/>
        </w:rPr>
      </w:pPr>
      <w:r w:rsidRPr="002C1705">
        <w:rPr>
          <w:i/>
          <w:iCs/>
          <w:noProof/>
          <w:sz w:val="24"/>
          <w:szCs w:val="24"/>
        </w:rPr>
        <w:t>Voksne</w:t>
      </w:r>
    </w:p>
    <w:p w:rsidR="00737655" w:rsidRPr="002C448C" w:rsidRDefault="00737655" w:rsidP="00737655">
      <w:pPr>
        <w:ind w:left="851"/>
        <w:rPr>
          <w:noProof/>
          <w:sz w:val="24"/>
          <w:szCs w:val="24"/>
        </w:rPr>
      </w:pPr>
      <w:r w:rsidRPr="002C448C">
        <w:rPr>
          <w:noProof/>
          <w:sz w:val="24"/>
          <w:szCs w:val="24"/>
        </w:rPr>
        <w:t>Den anbefalede dosis er 40 mg (2</w:t>
      </w:r>
      <w:r>
        <w:rPr>
          <w:noProof/>
          <w:sz w:val="24"/>
          <w:szCs w:val="24"/>
        </w:rPr>
        <w:t xml:space="preserve"> </w:t>
      </w:r>
      <w:r w:rsidRPr="002C448C">
        <w:rPr>
          <w:noProof/>
          <w:sz w:val="24"/>
          <w:szCs w:val="24"/>
        </w:rPr>
        <w:t>x</w:t>
      </w:r>
      <w:r>
        <w:rPr>
          <w:noProof/>
          <w:sz w:val="24"/>
          <w:szCs w:val="24"/>
        </w:rPr>
        <w:t xml:space="preserve"> </w:t>
      </w:r>
      <w:r w:rsidRPr="002C448C">
        <w:rPr>
          <w:noProof/>
          <w:sz w:val="24"/>
          <w:szCs w:val="24"/>
        </w:rPr>
        <w:t>20 mg) en gang daglig taget enten med eller uden mad.</w:t>
      </w:r>
    </w:p>
    <w:p w:rsidR="00737655" w:rsidRDefault="00737655" w:rsidP="00737655">
      <w:pPr>
        <w:ind w:left="851" w:hanging="851"/>
        <w:rPr>
          <w:noProof/>
          <w:sz w:val="24"/>
          <w:szCs w:val="24"/>
        </w:rPr>
      </w:pPr>
    </w:p>
    <w:p w:rsidR="00737655" w:rsidRPr="007807BC" w:rsidRDefault="00737655" w:rsidP="00737655">
      <w:pPr>
        <w:autoSpaceDE w:val="0"/>
        <w:autoSpaceDN w:val="0"/>
        <w:adjustRightInd w:val="0"/>
        <w:ind w:firstLine="851"/>
        <w:rPr>
          <w:i/>
          <w:iCs/>
          <w:sz w:val="24"/>
          <w:szCs w:val="24"/>
          <w:lang w:eastAsia="da-DK"/>
        </w:rPr>
      </w:pPr>
      <w:r w:rsidRPr="007807BC">
        <w:rPr>
          <w:i/>
          <w:iCs/>
          <w:sz w:val="24"/>
          <w:szCs w:val="24"/>
          <w:lang w:eastAsia="da-DK"/>
        </w:rPr>
        <w:t>Pædiatrisk population (2 år til 17 år)</w:t>
      </w:r>
    </w:p>
    <w:p w:rsidR="00737655" w:rsidRDefault="00737655" w:rsidP="00737655">
      <w:pPr>
        <w:ind w:left="851"/>
        <w:rPr>
          <w:sz w:val="24"/>
          <w:szCs w:val="24"/>
          <w:lang w:eastAsia="da-DK"/>
        </w:rPr>
      </w:pPr>
      <w:r w:rsidRPr="007807BC">
        <w:rPr>
          <w:sz w:val="24"/>
          <w:szCs w:val="24"/>
          <w:lang w:eastAsia="da-DK"/>
        </w:rPr>
        <w:t>De anbefalede doser én gang daglig som er baseret på alder og vægtkategorier er vist nedenfor</w:t>
      </w:r>
      <w:r>
        <w:rPr>
          <w:sz w:val="24"/>
          <w:szCs w:val="24"/>
          <w:lang w:eastAsia="da-DK"/>
        </w:rPr>
        <w:t>.</w:t>
      </w:r>
    </w:p>
    <w:p w:rsidR="00737655" w:rsidRDefault="00737655" w:rsidP="00737655">
      <w:pPr>
        <w:ind w:left="851"/>
        <w:rPr>
          <w:noProof/>
          <w:sz w:val="24"/>
          <w:szCs w:val="24"/>
        </w:rPr>
      </w:pPr>
    </w:p>
    <w:tbl>
      <w:tblPr>
        <w:tblW w:w="9648" w:type="dxa"/>
        <w:tblInd w:w="817"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24"/>
        <w:gridCol w:w="4824"/>
      </w:tblGrid>
      <w:tr w:rsidR="00737655" w:rsidRPr="00655D32" w:rsidTr="00D92323">
        <w:trPr>
          <w:trHeight w:val="151"/>
        </w:trPr>
        <w:tc>
          <w:tcPr>
            <w:tcW w:w="4824" w:type="dxa"/>
            <w:tcBorders>
              <w:top w:val="single" w:sz="4" w:space="0" w:color="auto"/>
              <w:left w:val="single" w:sz="4" w:space="0" w:color="auto"/>
              <w:bottom w:val="single" w:sz="4" w:space="0" w:color="auto"/>
              <w:right w:val="single" w:sz="4" w:space="0" w:color="auto"/>
            </w:tcBorders>
          </w:tcPr>
          <w:p w:rsidR="00737655" w:rsidRPr="007807BC" w:rsidRDefault="00737655" w:rsidP="00D92323">
            <w:pPr>
              <w:pStyle w:val="Default"/>
              <w:rPr>
                <w:sz w:val="22"/>
                <w:szCs w:val="22"/>
                <w:lang w:val="da-DK"/>
              </w:rPr>
            </w:pPr>
            <w:r w:rsidRPr="007807BC">
              <w:rPr>
                <w:b/>
                <w:bCs/>
                <w:sz w:val="22"/>
                <w:szCs w:val="22"/>
                <w:lang w:val="da-DK"/>
              </w:rPr>
              <w:t xml:space="preserve">Alder og/eller vægt af den pædiatriske patient </w:t>
            </w:r>
          </w:p>
        </w:tc>
        <w:tc>
          <w:tcPr>
            <w:tcW w:w="4824" w:type="dxa"/>
            <w:tcBorders>
              <w:top w:val="single" w:sz="4" w:space="0" w:color="auto"/>
              <w:left w:val="single" w:sz="4" w:space="0" w:color="auto"/>
              <w:bottom w:val="single" w:sz="4" w:space="0" w:color="auto"/>
              <w:right w:val="single" w:sz="4" w:space="0" w:color="auto"/>
            </w:tcBorders>
          </w:tcPr>
          <w:p w:rsidR="00737655" w:rsidRPr="007807BC" w:rsidRDefault="00737655" w:rsidP="00D92323">
            <w:pPr>
              <w:pStyle w:val="Default"/>
              <w:rPr>
                <w:sz w:val="22"/>
                <w:szCs w:val="22"/>
                <w:lang w:val="da-DK"/>
              </w:rPr>
            </w:pPr>
            <w:r w:rsidRPr="007807BC">
              <w:rPr>
                <w:b/>
                <w:bCs/>
                <w:sz w:val="22"/>
                <w:szCs w:val="22"/>
                <w:lang w:val="da-DK"/>
              </w:rPr>
              <w:t xml:space="preserve">Anbefalede daglige dosis og doseringsregime </w:t>
            </w:r>
          </w:p>
        </w:tc>
      </w:tr>
      <w:tr w:rsidR="00737655" w:rsidRPr="00655D32" w:rsidTr="00D92323">
        <w:trPr>
          <w:trHeight w:val="527"/>
        </w:trPr>
        <w:tc>
          <w:tcPr>
            <w:tcW w:w="4824" w:type="dxa"/>
            <w:tcBorders>
              <w:top w:val="single" w:sz="4" w:space="0" w:color="auto"/>
              <w:left w:val="single" w:sz="4" w:space="0" w:color="auto"/>
              <w:bottom w:val="single" w:sz="4" w:space="0" w:color="auto"/>
              <w:right w:val="single" w:sz="4" w:space="0" w:color="auto"/>
            </w:tcBorders>
          </w:tcPr>
          <w:p w:rsidR="00737655" w:rsidRPr="007807BC" w:rsidRDefault="00737655" w:rsidP="00D92323">
            <w:pPr>
              <w:pStyle w:val="Default"/>
              <w:rPr>
                <w:sz w:val="22"/>
                <w:szCs w:val="22"/>
                <w:lang w:val="da-DK"/>
              </w:rPr>
            </w:pPr>
            <w:r w:rsidRPr="007807BC">
              <w:rPr>
                <w:sz w:val="22"/>
                <w:szCs w:val="22"/>
                <w:lang w:val="da-DK"/>
              </w:rPr>
              <w:t xml:space="preserve">Alder ≥ 2 år </w:t>
            </w:r>
          </w:p>
          <w:p w:rsidR="00737655" w:rsidRPr="007807BC" w:rsidRDefault="00737655" w:rsidP="00D92323">
            <w:pPr>
              <w:pStyle w:val="Default"/>
              <w:ind w:left="450" w:firstLine="180"/>
              <w:rPr>
                <w:sz w:val="22"/>
                <w:szCs w:val="22"/>
                <w:lang w:val="da-DK"/>
              </w:rPr>
            </w:pPr>
            <w:r w:rsidRPr="007807BC">
              <w:rPr>
                <w:sz w:val="22"/>
                <w:szCs w:val="22"/>
                <w:lang w:val="da-DK"/>
              </w:rPr>
              <w:t xml:space="preserve">Kropsvægt ≥ 40 kg </w:t>
            </w:r>
          </w:p>
          <w:p w:rsidR="00737655" w:rsidRPr="007807BC" w:rsidRDefault="00737655" w:rsidP="00D92323">
            <w:pPr>
              <w:pStyle w:val="Default"/>
              <w:ind w:left="450" w:firstLine="180"/>
              <w:rPr>
                <w:sz w:val="22"/>
                <w:szCs w:val="22"/>
                <w:lang w:val="da-DK"/>
              </w:rPr>
            </w:pPr>
            <w:r w:rsidRPr="007807BC">
              <w:rPr>
                <w:sz w:val="22"/>
                <w:szCs w:val="22"/>
                <w:lang w:val="da-DK"/>
              </w:rPr>
              <w:t xml:space="preserve">Kropsvægt &lt; 40 kg </w:t>
            </w:r>
          </w:p>
        </w:tc>
        <w:tc>
          <w:tcPr>
            <w:tcW w:w="4824" w:type="dxa"/>
            <w:tcBorders>
              <w:top w:val="single" w:sz="4" w:space="0" w:color="auto"/>
              <w:left w:val="single" w:sz="4" w:space="0" w:color="auto"/>
              <w:bottom w:val="single" w:sz="4" w:space="0" w:color="auto"/>
              <w:right w:val="single" w:sz="4" w:space="0" w:color="auto"/>
            </w:tcBorders>
          </w:tcPr>
          <w:p w:rsidR="00737655" w:rsidRPr="007807BC" w:rsidRDefault="00737655" w:rsidP="00D92323">
            <w:pPr>
              <w:pStyle w:val="Default"/>
              <w:rPr>
                <w:sz w:val="22"/>
                <w:szCs w:val="22"/>
                <w:lang w:val="da-DK"/>
              </w:rPr>
            </w:pPr>
          </w:p>
          <w:p w:rsidR="00737655" w:rsidRPr="007807BC" w:rsidRDefault="00737655" w:rsidP="00D92323">
            <w:pPr>
              <w:pStyle w:val="Default"/>
              <w:rPr>
                <w:sz w:val="22"/>
                <w:szCs w:val="22"/>
                <w:lang w:val="da-DK"/>
              </w:rPr>
            </w:pPr>
            <w:r w:rsidRPr="007807BC">
              <w:rPr>
                <w:sz w:val="22"/>
                <w:szCs w:val="22"/>
                <w:lang w:val="da-DK"/>
              </w:rPr>
              <w:t xml:space="preserve">40 mg (to 20 mg tabletter) én gang daglig </w:t>
            </w:r>
          </w:p>
          <w:p w:rsidR="00737655" w:rsidRPr="007807BC" w:rsidRDefault="00737655" w:rsidP="00D92323">
            <w:pPr>
              <w:pStyle w:val="Default"/>
              <w:rPr>
                <w:sz w:val="22"/>
                <w:szCs w:val="22"/>
                <w:lang w:val="da-DK"/>
              </w:rPr>
            </w:pPr>
            <w:r w:rsidRPr="007807BC">
              <w:rPr>
                <w:sz w:val="22"/>
                <w:szCs w:val="22"/>
                <w:lang w:val="da-DK"/>
              </w:rPr>
              <w:t>20 mg (</w:t>
            </w:r>
            <w:r w:rsidRPr="00D36F40">
              <w:rPr>
                <w:sz w:val="22"/>
                <w:szCs w:val="22"/>
                <w:lang w:val="da-DK"/>
              </w:rPr>
              <w:t>é</w:t>
            </w:r>
            <w:r w:rsidRPr="007807BC">
              <w:rPr>
                <w:sz w:val="22"/>
                <w:szCs w:val="22"/>
                <w:lang w:val="da-DK"/>
              </w:rPr>
              <w:t xml:space="preserve">n 20 mg tablet eller 10 </w:t>
            </w:r>
            <w:proofErr w:type="spellStart"/>
            <w:r w:rsidRPr="007807BC">
              <w:rPr>
                <w:sz w:val="22"/>
                <w:szCs w:val="22"/>
                <w:lang w:val="da-DK"/>
              </w:rPr>
              <w:t>mL</w:t>
            </w:r>
            <w:proofErr w:type="spellEnd"/>
            <w:r w:rsidRPr="007807BC">
              <w:rPr>
                <w:sz w:val="22"/>
                <w:szCs w:val="22"/>
                <w:lang w:val="da-DK"/>
              </w:rPr>
              <w:t xml:space="preserve"> oral suspension (OS), 2 mg/</w:t>
            </w:r>
            <w:proofErr w:type="spellStart"/>
            <w:r w:rsidRPr="007807BC">
              <w:rPr>
                <w:sz w:val="22"/>
                <w:szCs w:val="22"/>
                <w:lang w:val="da-DK"/>
              </w:rPr>
              <w:t>mL</w:t>
            </w:r>
            <w:proofErr w:type="spellEnd"/>
            <w:r w:rsidRPr="007807BC">
              <w:rPr>
                <w:sz w:val="22"/>
                <w:szCs w:val="22"/>
                <w:lang w:val="da-DK"/>
              </w:rPr>
              <w:t xml:space="preserve"> </w:t>
            </w:r>
            <w:proofErr w:type="spellStart"/>
            <w:r w:rsidRPr="007807BC">
              <w:rPr>
                <w:sz w:val="22"/>
                <w:szCs w:val="22"/>
                <w:lang w:val="da-DK"/>
              </w:rPr>
              <w:t>tadalafil</w:t>
            </w:r>
            <w:proofErr w:type="spellEnd"/>
            <w:r w:rsidRPr="007807BC">
              <w:rPr>
                <w:sz w:val="22"/>
                <w:szCs w:val="22"/>
                <w:lang w:val="da-DK"/>
              </w:rPr>
              <w:t xml:space="preserve">*) </w:t>
            </w:r>
            <w:r>
              <w:rPr>
                <w:sz w:val="22"/>
                <w:szCs w:val="22"/>
                <w:lang w:val="da-DK"/>
              </w:rPr>
              <w:t>én gang daglig</w:t>
            </w:r>
            <w:r w:rsidRPr="007807BC">
              <w:rPr>
                <w:sz w:val="22"/>
                <w:szCs w:val="22"/>
                <w:lang w:val="da-DK"/>
              </w:rPr>
              <w:t xml:space="preserve"> </w:t>
            </w:r>
          </w:p>
        </w:tc>
      </w:tr>
      <w:tr w:rsidR="00737655" w:rsidRPr="004A0A2E" w:rsidTr="00D92323">
        <w:trPr>
          <w:trHeight w:val="527"/>
        </w:trPr>
        <w:tc>
          <w:tcPr>
            <w:tcW w:w="9648" w:type="dxa"/>
            <w:gridSpan w:val="2"/>
            <w:tcBorders>
              <w:top w:val="single" w:sz="4" w:space="0" w:color="auto"/>
              <w:left w:val="nil"/>
              <w:bottom w:val="nil"/>
              <w:right w:val="nil"/>
            </w:tcBorders>
          </w:tcPr>
          <w:p w:rsidR="00737655" w:rsidRPr="008B121C" w:rsidRDefault="00737655" w:rsidP="00D92323">
            <w:pPr>
              <w:pStyle w:val="Sidehoved"/>
              <w:suppressAutoHyphens/>
              <w:rPr>
                <w:i/>
                <w:iCs/>
                <w:szCs w:val="22"/>
              </w:rPr>
            </w:pPr>
            <w:r w:rsidRPr="004A0A2E">
              <w:rPr>
                <w:sz w:val="18"/>
                <w:szCs w:val="18"/>
              </w:rPr>
              <w:lastRenderedPageBreak/>
              <w:t>*</w:t>
            </w:r>
            <w:r w:rsidRPr="007807BC">
              <w:rPr>
                <w:rStyle w:val="ui-provider"/>
                <w:sz w:val="18"/>
                <w:szCs w:val="18"/>
              </w:rPr>
              <w:t>Tilgængeligheden af andre egnede lægemiddelformer, så som oral suspension, bør undersøges til administ</w:t>
            </w:r>
            <w:r>
              <w:rPr>
                <w:rStyle w:val="ui-provider"/>
                <w:sz w:val="18"/>
                <w:szCs w:val="18"/>
              </w:rPr>
              <w:t>r</w:t>
            </w:r>
            <w:r w:rsidRPr="007807BC">
              <w:rPr>
                <w:rStyle w:val="ui-provider"/>
                <w:sz w:val="18"/>
                <w:szCs w:val="18"/>
              </w:rPr>
              <w:t>ation til børn, som kræver behandling med 20 mg og ikke er i stand til at sluge tabletter.</w:t>
            </w:r>
          </w:p>
          <w:p w:rsidR="00737655" w:rsidRPr="004A0A2E" w:rsidRDefault="00737655" w:rsidP="00D92323">
            <w:pPr>
              <w:autoSpaceDE w:val="0"/>
              <w:autoSpaceDN w:val="0"/>
              <w:adjustRightInd w:val="0"/>
              <w:jc w:val="both"/>
              <w:rPr>
                <w:sz w:val="18"/>
                <w:szCs w:val="18"/>
              </w:rPr>
            </w:pPr>
          </w:p>
        </w:tc>
      </w:tr>
    </w:tbl>
    <w:p w:rsidR="00737655" w:rsidRDefault="00737655" w:rsidP="00737655">
      <w:pPr>
        <w:ind w:left="851"/>
        <w:rPr>
          <w:noProof/>
          <w:sz w:val="24"/>
          <w:szCs w:val="24"/>
        </w:rPr>
      </w:pPr>
    </w:p>
    <w:p w:rsidR="00737655" w:rsidRDefault="00737655" w:rsidP="00737655">
      <w:pPr>
        <w:ind w:left="851"/>
        <w:rPr>
          <w:noProof/>
          <w:sz w:val="24"/>
          <w:szCs w:val="24"/>
        </w:rPr>
      </w:pPr>
      <w:r>
        <w:rPr>
          <w:noProof/>
          <w:sz w:val="24"/>
          <w:szCs w:val="24"/>
        </w:rPr>
        <w:t>For patienter &lt; 2 år er der ingen farmakokinetiske eller effektdata tilgængelige fra kliniske studier. Den mest passende dosis af tadalafil til børn i alderen 6 måneder til &lt; 2 år er ikke fastlagt. Derfor anbefales tadalafil ikke i denne aldersgruppe.</w:t>
      </w:r>
    </w:p>
    <w:p w:rsidR="00737655" w:rsidRDefault="00737655" w:rsidP="00737655">
      <w:pPr>
        <w:ind w:left="851"/>
        <w:rPr>
          <w:noProof/>
          <w:sz w:val="24"/>
          <w:szCs w:val="24"/>
        </w:rPr>
      </w:pPr>
    </w:p>
    <w:p w:rsidR="00737655" w:rsidRPr="007807BC" w:rsidRDefault="00737655" w:rsidP="00737655">
      <w:pPr>
        <w:ind w:left="851"/>
        <w:rPr>
          <w:i/>
          <w:iCs/>
          <w:noProof/>
          <w:sz w:val="24"/>
          <w:szCs w:val="24"/>
        </w:rPr>
      </w:pPr>
      <w:r w:rsidRPr="007807BC">
        <w:rPr>
          <w:i/>
          <w:iCs/>
          <w:noProof/>
          <w:sz w:val="24"/>
          <w:szCs w:val="24"/>
        </w:rPr>
        <w:t>Forsinket dose, glemt dose eller opkastning</w:t>
      </w:r>
    </w:p>
    <w:p w:rsidR="00737655" w:rsidRDefault="00737655" w:rsidP="00737655">
      <w:pPr>
        <w:ind w:left="851"/>
        <w:rPr>
          <w:noProof/>
          <w:sz w:val="24"/>
          <w:szCs w:val="24"/>
        </w:rPr>
      </w:pPr>
      <w:r>
        <w:rPr>
          <w:noProof/>
          <w:sz w:val="24"/>
          <w:szCs w:val="24"/>
        </w:rPr>
        <w:t xml:space="preserve">Hvis der er en forsinkelse i administrationen af tadalafil, men alligevel inden for samme dag, bør dosis tages uden ændringer i de efterfølgende dosisskemaer. Patienter bør ikke tage en ekstra dosis, hvis en dosis glemmes. </w:t>
      </w:r>
    </w:p>
    <w:p w:rsidR="00737655" w:rsidRDefault="00737655" w:rsidP="00737655">
      <w:pPr>
        <w:ind w:left="851"/>
        <w:rPr>
          <w:noProof/>
          <w:sz w:val="24"/>
          <w:szCs w:val="24"/>
        </w:rPr>
      </w:pPr>
    </w:p>
    <w:p w:rsidR="00737655" w:rsidRDefault="00737655" w:rsidP="00737655">
      <w:pPr>
        <w:ind w:left="851"/>
        <w:rPr>
          <w:noProof/>
          <w:sz w:val="24"/>
          <w:szCs w:val="24"/>
        </w:rPr>
      </w:pPr>
      <w:r>
        <w:rPr>
          <w:noProof/>
          <w:sz w:val="24"/>
          <w:szCs w:val="24"/>
        </w:rPr>
        <w:t xml:space="preserve">Patienter bør ikke tage en ekstra dosis ved opkastning. </w:t>
      </w:r>
    </w:p>
    <w:p w:rsidR="00737655" w:rsidRPr="002C448C" w:rsidRDefault="00737655" w:rsidP="00737655">
      <w:pPr>
        <w:rPr>
          <w:noProof/>
          <w:sz w:val="24"/>
          <w:szCs w:val="24"/>
        </w:rPr>
      </w:pPr>
    </w:p>
    <w:p w:rsidR="00737655" w:rsidRPr="002C448C" w:rsidRDefault="00737655" w:rsidP="00737655">
      <w:pPr>
        <w:ind w:left="851"/>
        <w:rPr>
          <w:noProof/>
          <w:sz w:val="24"/>
          <w:szCs w:val="24"/>
          <w:u w:val="single"/>
        </w:rPr>
      </w:pPr>
      <w:r w:rsidRPr="002C448C">
        <w:rPr>
          <w:noProof/>
          <w:sz w:val="24"/>
          <w:szCs w:val="24"/>
          <w:u w:val="single"/>
        </w:rPr>
        <w:t>Særlige populationer</w:t>
      </w:r>
    </w:p>
    <w:p w:rsidR="00737655" w:rsidRPr="002C448C" w:rsidRDefault="00737655" w:rsidP="00737655">
      <w:pPr>
        <w:ind w:left="851" w:hanging="851"/>
        <w:rPr>
          <w:noProof/>
          <w:sz w:val="24"/>
          <w:szCs w:val="24"/>
        </w:rPr>
      </w:pPr>
    </w:p>
    <w:p w:rsidR="00737655" w:rsidRPr="002C448C" w:rsidRDefault="00737655" w:rsidP="00737655">
      <w:pPr>
        <w:ind w:left="851"/>
        <w:rPr>
          <w:i/>
          <w:noProof/>
          <w:sz w:val="24"/>
          <w:szCs w:val="24"/>
        </w:rPr>
      </w:pPr>
      <w:r w:rsidRPr="002C448C">
        <w:rPr>
          <w:i/>
          <w:noProof/>
          <w:sz w:val="24"/>
          <w:szCs w:val="24"/>
        </w:rPr>
        <w:t>Ældre patienter</w:t>
      </w:r>
    </w:p>
    <w:p w:rsidR="00737655" w:rsidRPr="002C448C" w:rsidRDefault="00737655" w:rsidP="00737655">
      <w:pPr>
        <w:ind w:left="851"/>
        <w:rPr>
          <w:noProof/>
          <w:sz w:val="24"/>
          <w:szCs w:val="24"/>
        </w:rPr>
      </w:pPr>
      <w:r w:rsidRPr="002C448C">
        <w:rPr>
          <w:noProof/>
          <w:sz w:val="24"/>
          <w:szCs w:val="24"/>
        </w:rPr>
        <w:t>Dosisjustering hos ældre patienter er ikke nødvendigt.</w:t>
      </w:r>
    </w:p>
    <w:p w:rsidR="00737655" w:rsidRPr="002C448C" w:rsidRDefault="00737655" w:rsidP="00737655">
      <w:pPr>
        <w:ind w:left="851" w:hanging="851"/>
        <w:rPr>
          <w:noProof/>
          <w:sz w:val="24"/>
          <w:szCs w:val="24"/>
        </w:rPr>
      </w:pPr>
    </w:p>
    <w:p w:rsidR="00737655" w:rsidRPr="002C448C" w:rsidRDefault="00737655" w:rsidP="00737655">
      <w:pPr>
        <w:ind w:left="851"/>
        <w:rPr>
          <w:i/>
          <w:noProof/>
          <w:sz w:val="24"/>
          <w:szCs w:val="24"/>
        </w:rPr>
      </w:pPr>
      <w:r w:rsidRPr="002C448C">
        <w:rPr>
          <w:i/>
          <w:noProof/>
          <w:sz w:val="24"/>
          <w:szCs w:val="24"/>
        </w:rPr>
        <w:t>Nedsat nyrefunktion</w:t>
      </w:r>
    </w:p>
    <w:p w:rsidR="00737655" w:rsidRDefault="00737655" w:rsidP="00737655">
      <w:pPr>
        <w:pStyle w:val="Listeafsnit"/>
        <w:numPr>
          <w:ilvl w:val="0"/>
          <w:numId w:val="9"/>
        </w:numPr>
        <w:ind w:left="1276" w:hanging="425"/>
        <w:rPr>
          <w:noProof/>
          <w:sz w:val="24"/>
          <w:szCs w:val="24"/>
        </w:rPr>
      </w:pPr>
      <w:r w:rsidRPr="002C448C">
        <w:rPr>
          <w:noProof/>
          <w:sz w:val="24"/>
          <w:szCs w:val="24"/>
        </w:rPr>
        <w:t>Voksne mænd med erektil dysfunktion eller benign prostatahyperplasia: Dosisjustering er ikke påkrævet for patienter med let til moderat nedsat nyrefunktion. Den maksimale anbefalede dosis til patienter med svært nedsat nyrefunktion er 10 mg. Den én gang daglige dosering af 2,5 eller 5 mg tadalafil bør ikke anvendes til patienter med svært nedsat nyrefunktion (se pkt. 4.4 og 5.2).</w:t>
      </w:r>
    </w:p>
    <w:p w:rsidR="00737655" w:rsidRPr="002C448C" w:rsidRDefault="00737655" w:rsidP="00737655">
      <w:pPr>
        <w:pStyle w:val="Listeafsnit"/>
        <w:ind w:left="1276"/>
        <w:rPr>
          <w:noProof/>
          <w:sz w:val="24"/>
          <w:szCs w:val="24"/>
        </w:rPr>
      </w:pPr>
    </w:p>
    <w:p w:rsidR="00737655" w:rsidRDefault="00737655" w:rsidP="00737655">
      <w:pPr>
        <w:pStyle w:val="Listeafsnit"/>
        <w:numPr>
          <w:ilvl w:val="0"/>
          <w:numId w:val="9"/>
        </w:numPr>
        <w:ind w:left="1276" w:hanging="425"/>
        <w:rPr>
          <w:noProof/>
          <w:sz w:val="24"/>
          <w:szCs w:val="24"/>
        </w:rPr>
      </w:pPr>
      <w:proofErr w:type="spellStart"/>
      <w:r w:rsidRPr="002C448C">
        <w:rPr>
          <w:sz w:val="24"/>
          <w:szCs w:val="24"/>
        </w:rPr>
        <w:t>Pulmonal</w:t>
      </w:r>
      <w:proofErr w:type="spellEnd"/>
      <w:r w:rsidRPr="002C448C">
        <w:rPr>
          <w:sz w:val="24"/>
          <w:szCs w:val="24"/>
        </w:rPr>
        <w:t xml:space="preserve"> arteriel hypertension: </w:t>
      </w:r>
    </w:p>
    <w:p w:rsidR="00737655" w:rsidRPr="007807BC" w:rsidRDefault="00737655" w:rsidP="00737655">
      <w:pPr>
        <w:pStyle w:val="Listeafsnit"/>
        <w:ind w:left="1276"/>
        <w:rPr>
          <w:i/>
          <w:iCs/>
          <w:noProof/>
          <w:sz w:val="24"/>
          <w:szCs w:val="24"/>
        </w:rPr>
      </w:pPr>
      <w:r w:rsidRPr="007807BC">
        <w:rPr>
          <w:i/>
          <w:iCs/>
          <w:noProof/>
          <w:sz w:val="24"/>
          <w:szCs w:val="24"/>
        </w:rPr>
        <w:t>Voksne og pædiatrisk population (2 til 17 år, som vejer mindst 40 kg)</w:t>
      </w:r>
    </w:p>
    <w:p w:rsidR="00737655" w:rsidRDefault="00737655" w:rsidP="00737655">
      <w:pPr>
        <w:pStyle w:val="Listeafsnit"/>
        <w:ind w:left="1276"/>
        <w:rPr>
          <w:noProof/>
          <w:sz w:val="24"/>
          <w:szCs w:val="24"/>
        </w:rPr>
      </w:pPr>
      <w:r w:rsidRPr="002C448C">
        <w:rPr>
          <w:noProof/>
          <w:sz w:val="24"/>
          <w:szCs w:val="24"/>
        </w:rPr>
        <w:t>Den anbefalede initiale dosis er 20 mg en gang daglig hos patienter med let til moderat nedsat nyrefunktion. Dosis kan øges med 40 mg en gang daglig, baseret på den individuelle effekt og tolerance. Tadalafil bør ikke anvendes til patienter med svært nedsat nyrefunktion (se pkt. 4.4 og 5.2).</w:t>
      </w:r>
    </w:p>
    <w:p w:rsidR="00737655" w:rsidRDefault="00737655" w:rsidP="00737655">
      <w:pPr>
        <w:pStyle w:val="Listeafsnit"/>
        <w:ind w:left="1276"/>
        <w:rPr>
          <w:noProof/>
          <w:sz w:val="24"/>
          <w:szCs w:val="24"/>
        </w:rPr>
      </w:pPr>
    </w:p>
    <w:p w:rsidR="00737655" w:rsidRPr="008B121C" w:rsidRDefault="00737655" w:rsidP="00737655">
      <w:pPr>
        <w:pStyle w:val="Listeafsnit"/>
        <w:ind w:left="1276"/>
        <w:rPr>
          <w:i/>
          <w:iCs/>
          <w:noProof/>
          <w:sz w:val="24"/>
          <w:szCs w:val="24"/>
        </w:rPr>
      </w:pPr>
      <w:r>
        <w:rPr>
          <w:i/>
          <w:iCs/>
          <w:noProof/>
          <w:sz w:val="24"/>
          <w:szCs w:val="24"/>
        </w:rPr>
        <w:t>P</w:t>
      </w:r>
      <w:r w:rsidRPr="008B121C">
        <w:rPr>
          <w:i/>
          <w:iCs/>
          <w:noProof/>
          <w:sz w:val="24"/>
          <w:szCs w:val="24"/>
        </w:rPr>
        <w:t xml:space="preserve">ædiatrisk population (2 til 17 år, som vejer </w:t>
      </w:r>
      <w:r>
        <w:rPr>
          <w:i/>
          <w:iCs/>
          <w:noProof/>
          <w:sz w:val="24"/>
          <w:szCs w:val="24"/>
        </w:rPr>
        <w:t>under</w:t>
      </w:r>
      <w:r w:rsidRPr="008B121C">
        <w:rPr>
          <w:i/>
          <w:iCs/>
          <w:noProof/>
          <w:sz w:val="24"/>
          <w:szCs w:val="24"/>
        </w:rPr>
        <w:t xml:space="preserve"> 40 kg)</w:t>
      </w:r>
    </w:p>
    <w:p w:rsidR="00737655" w:rsidRDefault="00737655" w:rsidP="00737655">
      <w:pPr>
        <w:pStyle w:val="Listeafsnit"/>
        <w:ind w:left="1276"/>
        <w:rPr>
          <w:noProof/>
          <w:sz w:val="24"/>
          <w:szCs w:val="24"/>
        </w:rPr>
      </w:pPr>
      <w:r w:rsidRPr="002C448C">
        <w:rPr>
          <w:noProof/>
          <w:sz w:val="24"/>
          <w:szCs w:val="24"/>
        </w:rPr>
        <w:t xml:space="preserve">Den anbefalede initiale dosis er </w:t>
      </w:r>
      <w:r>
        <w:rPr>
          <w:noProof/>
          <w:sz w:val="24"/>
          <w:szCs w:val="24"/>
        </w:rPr>
        <w:t>1</w:t>
      </w:r>
      <w:r w:rsidRPr="002C448C">
        <w:rPr>
          <w:noProof/>
          <w:sz w:val="24"/>
          <w:szCs w:val="24"/>
        </w:rPr>
        <w:t xml:space="preserve">0 mg en gang daglig hos patienter </w:t>
      </w:r>
      <w:r>
        <w:rPr>
          <w:noProof/>
          <w:sz w:val="24"/>
          <w:szCs w:val="24"/>
        </w:rPr>
        <w:t xml:space="preserve">&lt; 40 kg og </w:t>
      </w:r>
      <w:r w:rsidRPr="002C448C">
        <w:rPr>
          <w:noProof/>
          <w:sz w:val="24"/>
          <w:szCs w:val="24"/>
        </w:rPr>
        <w:t xml:space="preserve">med let til moderat nedsat nyrefunktion. Dosis kan øges med </w:t>
      </w:r>
      <w:r>
        <w:rPr>
          <w:noProof/>
          <w:sz w:val="24"/>
          <w:szCs w:val="24"/>
        </w:rPr>
        <w:t>2</w:t>
      </w:r>
      <w:r w:rsidRPr="002C448C">
        <w:rPr>
          <w:noProof/>
          <w:sz w:val="24"/>
          <w:szCs w:val="24"/>
        </w:rPr>
        <w:t>0 mg en gang daglig, baseret på den individuelle effekt og tolerance. Tadalafil bør ikke anvendes til patienter med svært nedsat nyrefunktion (se pkt. 4.4 og 5.2).</w:t>
      </w:r>
    </w:p>
    <w:p w:rsidR="00737655" w:rsidRPr="002C448C" w:rsidRDefault="00737655" w:rsidP="00737655">
      <w:pPr>
        <w:ind w:left="851" w:hanging="851"/>
        <w:rPr>
          <w:noProof/>
          <w:sz w:val="24"/>
          <w:szCs w:val="24"/>
          <w:u w:val="single"/>
        </w:rPr>
      </w:pPr>
    </w:p>
    <w:p w:rsidR="00737655" w:rsidRPr="002C448C" w:rsidRDefault="00737655" w:rsidP="00737655">
      <w:pPr>
        <w:ind w:left="851"/>
        <w:rPr>
          <w:i/>
          <w:noProof/>
          <w:sz w:val="24"/>
          <w:szCs w:val="24"/>
        </w:rPr>
      </w:pPr>
      <w:r w:rsidRPr="002C448C">
        <w:rPr>
          <w:i/>
          <w:noProof/>
          <w:sz w:val="24"/>
          <w:szCs w:val="24"/>
        </w:rPr>
        <w:t>Nedsat leverfunktion</w:t>
      </w:r>
    </w:p>
    <w:p w:rsidR="00737655" w:rsidRDefault="00737655" w:rsidP="00737655">
      <w:pPr>
        <w:pStyle w:val="Listeafsnit"/>
        <w:numPr>
          <w:ilvl w:val="0"/>
          <w:numId w:val="10"/>
        </w:numPr>
        <w:ind w:left="1276" w:hanging="425"/>
        <w:rPr>
          <w:noProof/>
          <w:sz w:val="24"/>
          <w:szCs w:val="24"/>
        </w:rPr>
      </w:pPr>
      <w:r w:rsidRPr="002C448C">
        <w:rPr>
          <w:noProof/>
          <w:sz w:val="24"/>
          <w:szCs w:val="24"/>
        </w:rPr>
        <w:t xml:space="preserve">Voksne mænd med erektil dysfunktion eller benign prostatahyperplasia: Den anbefalede dosis af Tadalafil </w:t>
      </w:r>
      <w:r>
        <w:rPr>
          <w:noProof/>
          <w:sz w:val="24"/>
          <w:szCs w:val="24"/>
        </w:rPr>
        <w:t>"Sandoz"</w:t>
      </w:r>
      <w:r w:rsidRPr="002C448C">
        <w:rPr>
          <w:noProof/>
          <w:sz w:val="24"/>
          <w:szCs w:val="24"/>
        </w:rPr>
        <w:t xml:space="preserve"> er 10 mg, som tages før forventet seksuel aktivitet, enten med eller uden mad. Der er begrænsede kliniske data vedrørende sikkerheden af Tadalafil </w:t>
      </w:r>
      <w:r>
        <w:rPr>
          <w:noProof/>
          <w:sz w:val="24"/>
          <w:szCs w:val="24"/>
        </w:rPr>
        <w:t>"Sandoz"</w:t>
      </w:r>
      <w:r w:rsidRPr="002C448C">
        <w:rPr>
          <w:noProof/>
          <w:sz w:val="24"/>
          <w:szCs w:val="24"/>
        </w:rPr>
        <w:t xml:space="preserve"> hos patienter med svær leverinsufficiens (Child-Pugh klasse C). Ved ordination af Tadalafil </w:t>
      </w:r>
      <w:r>
        <w:rPr>
          <w:noProof/>
          <w:sz w:val="24"/>
          <w:szCs w:val="24"/>
        </w:rPr>
        <w:t>"Sandoz"</w:t>
      </w:r>
      <w:r w:rsidRPr="002C448C">
        <w:rPr>
          <w:noProof/>
          <w:sz w:val="24"/>
          <w:szCs w:val="24"/>
        </w:rPr>
        <w:t>, bør den ordinerende læge foretage en omhyggelig individuel benefit/risk-vurdering. Der er ingen data om administration af doser højere end 10 mg tadalafil hos patienter med nedsat leverfunktion. Den én gang daglige dosering, både til behandling af erektil dysfunktion og benign prostatahyperplasia, er ikke evalueret hos patienter med nedsat leverfunktion: derfor bør den ordinerende læge foretage en omhyggelig individuel benefit/risk-vurdering. (se pkt. 4.4 og 5.2).</w:t>
      </w:r>
    </w:p>
    <w:p w:rsidR="00737655" w:rsidRPr="002C448C" w:rsidRDefault="00737655" w:rsidP="00737655">
      <w:pPr>
        <w:pStyle w:val="Listeafsnit"/>
        <w:ind w:left="1276"/>
        <w:rPr>
          <w:noProof/>
          <w:sz w:val="24"/>
          <w:szCs w:val="24"/>
        </w:rPr>
      </w:pPr>
    </w:p>
    <w:p w:rsidR="00737655" w:rsidRDefault="00737655" w:rsidP="00737655">
      <w:pPr>
        <w:pStyle w:val="Listeafsnit"/>
        <w:numPr>
          <w:ilvl w:val="0"/>
          <w:numId w:val="10"/>
        </w:numPr>
        <w:ind w:left="1276" w:hanging="425"/>
        <w:rPr>
          <w:noProof/>
          <w:sz w:val="24"/>
          <w:szCs w:val="24"/>
        </w:rPr>
      </w:pPr>
      <w:proofErr w:type="spellStart"/>
      <w:r w:rsidRPr="002C448C">
        <w:rPr>
          <w:sz w:val="24"/>
          <w:szCs w:val="24"/>
        </w:rPr>
        <w:t>Pulmonal</w:t>
      </w:r>
      <w:proofErr w:type="spellEnd"/>
      <w:r w:rsidRPr="002C448C">
        <w:rPr>
          <w:sz w:val="24"/>
          <w:szCs w:val="24"/>
        </w:rPr>
        <w:t xml:space="preserve"> arteriel hypertension: </w:t>
      </w:r>
    </w:p>
    <w:p w:rsidR="00737655" w:rsidRPr="008B121C" w:rsidRDefault="00737655" w:rsidP="00737655">
      <w:pPr>
        <w:pStyle w:val="Listeafsnit"/>
        <w:ind w:firstLine="556"/>
        <w:rPr>
          <w:i/>
          <w:iCs/>
          <w:noProof/>
          <w:sz w:val="24"/>
          <w:szCs w:val="24"/>
        </w:rPr>
      </w:pPr>
      <w:r w:rsidRPr="008B121C">
        <w:rPr>
          <w:i/>
          <w:iCs/>
          <w:noProof/>
          <w:sz w:val="24"/>
          <w:szCs w:val="24"/>
        </w:rPr>
        <w:t>Voksne og pædiatrisk population (2 til 17 år, som vejer mindst 40 kg)</w:t>
      </w:r>
    </w:p>
    <w:p w:rsidR="00737655" w:rsidRDefault="00737655" w:rsidP="00737655">
      <w:pPr>
        <w:pStyle w:val="Listeafsnit"/>
        <w:ind w:left="1276"/>
        <w:rPr>
          <w:noProof/>
          <w:sz w:val="24"/>
          <w:szCs w:val="24"/>
        </w:rPr>
      </w:pPr>
      <w:r w:rsidRPr="002C448C">
        <w:rPr>
          <w:noProof/>
          <w:sz w:val="24"/>
          <w:szCs w:val="24"/>
        </w:rPr>
        <w:t xml:space="preserve">På grund af begrænset klinisk erfaring hos patienter med mild til moderat levercirrose (Child-Pugh klasse A og B) kan en startdosis på 20 mg en gang daglig overvejes. </w:t>
      </w:r>
    </w:p>
    <w:p w:rsidR="00737655" w:rsidRDefault="00737655" w:rsidP="00737655">
      <w:pPr>
        <w:pStyle w:val="Listeafsnit"/>
        <w:ind w:left="1276"/>
        <w:rPr>
          <w:noProof/>
          <w:sz w:val="24"/>
          <w:szCs w:val="24"/>
        </w:rPr>
      </w:pPr>
    </w:p>
    <w:p w:rsidR="00737655" w:rsidRPr="008B121C" w:rsidRDefault="00737655" w:rsidP="00737655">
      <w:pPr>
        <w:pStyle w:val="Listeafsnit"/>
        <w:ind w:left="1276"/>
        <w:rPr>
          <w:i/>
          <w:iCs/>
          <w:noProof/>
          <w:sz w:val="24"/>
          <w:szCs w:val="24"/>
        </w:rPr>
      </w:pPr>
      <w:r>
        <w:rPr>
          <w:i/>
          <w:iCs/>
          <w:noProof/>
          <w:sz w:val="24"/>
          <w:szCs w:val="24"/>
        </w:rPr>
        <w:t>P</w:t>
      </w:r>
      <w:r w:rsidRPr="008B121C">
        <w:rPr>
          <w:i/>
          <w:iCs/>
          <w:noProof/>
          <w:sz w:val="24"/>
          <w:szCs w:val="24"/>
        </w:rPr>
        <w:t xml:space="preserve">ædiatrisk population (2 til 17 år, som vejer </w:t>
      </w:r>
      <w:r>
        <w:rPr>
          <w:i/>
          <w:iCs/>
          <w:noProof/>
          <w:sz w:val="24"/>
          <w:szCs w:val="24"/>
        </w:rPr>
        <w:t>under</w:t>
      </w:r>
      <w:r w:rsidRPr="008B121C">
        <w:rPr>
          <w:i/>
          <w:iCs/>
          <w:noProof/>
          <w:sz w:val="24"/>
          <w:szCs w:val="24"/>
        </w:rPr>
        <w:t xml:space="preserve"> 40 kg)</w:t>
      </w:r>
    </w:p>
    <w:p w:rsidR="00737655" w:rsidRDefault="00737655" w:rsidP="00737655">
      <w:pPr>
        <w:pStyle w:val="Listeafsnit"/>
        <w:ind w:left="1276"/>
        <w:rPr>
          <w:noProof/>
          <w:sz w:val="24"/>
          <w:szCs w:val="24"/>
        </w:rPr>
      </w:pPr>
      <w:r>
        <w:rPr>
          <w:noProof/>
          <w:sz w:val="24"/>
          <w:szCs w:val="24"/>
        </w:rPr>
        <w:t>H</w:t>
      </w:r>
      <w:r w:rsidRPr="002C448C">
        <w:rPr>
          <w:noProof/>
          <w:sz w:val="24"/>
          <w:szCs w:val="24"/>
        </w:rPr>
        <w:t xml:space="preserve">os patienter </w:t>
      </w:r>
      <w:r>
        <w:rPr>
          <w:noProof/>
          <w:sz w:val="24"/>
          <w:szCs w:val="24"/>
        </w:rPr>
        <w:t xml:space="preserve">&lt; 40 kg og </w:t>
      </w:r>
      <w:r w:rsidRPr="002C448C">
        <w:rPr>
          <w:noProof/>
          <w:sz w:val="24"/>
          <w:szCs w:val="24"/>
        </w:rPr>
        <w:t xml:space="preserve">med let til moderat nedsat </w:t>
      </w:r>
      <w:r>
        <w:rPr>
          <w:noProof/>
          <w:sz w:val="24"/>
          <w:szCs w:val="24"/>
        </w:rPr>
        <w:t>leverfunktion kan en startdosis på 10 mg én gang dagligt overvejes.</w:t>
      </w:r>
    </w:p>
    <w:p w:rsidR="00737655" w:rsidRDefault="00737655" w:rsidP="00737655">
      <w:pPr>
        <w:pStyle w:val="Listeafsnit"/>
        <w:ind w:left="1276"/>
        <w:rPr>
          <w:noProof/>
          <w:sz w:val="24"/>
          <w:szCs w:val="24"/>
        </w:rPr>
      </w:pPr>
    </w:p>
    <w:p w:rsidR="00737655" w:rsidRPr="002C448C" w:rsidRDefault="00737655" w:rsidP="00737655">
      <w:pPr>
        <w:pStyle w:val="Listeafsnit"/>
        <w:ind w:left="1276"/>
        <w:rPr>
          <w:noProof/>
          <w:sz w:val="24"/>
          <w:szCs w:val="24"/>
        </w:rPr>
      </w:pPr>
      <w:r w:rsidRPr="002C448C">
        <w:rPr>
          <w:noProof/>
          <w:sz w:val="24"/>
          <w:szCs w:val="24"/>
        </w:rPr>
        <w:t>Hvis tadalafil ordineres</w:t>
      </w:r>
      <w:r w:rsidRPr="00A20A57">
        <w:rPr>
          <w:noProof/>
          <w:sz w:val="24"/>
          <w:szCs w:val="24"/>
        </w:rPr>
        <w:t xml:space="preserve"> </w:t>
      </w:r>
      <w:r>
        <w:rPr>
          <w:noProof/>
          <w:sz w:val="24"/>
          <w:szCs w:val="24"/>
        </w:rPr>
        <w:t>til patienter i alle aldre</w:t>
      </w:r>
      <w:r w:rsidRPr="002C448C">
        <w:rPr>
          <w:noProof/>
          <w:sz w:val="24"/>
          <w:szCs w:val="24"/>
        </w:rPr>
        <w:t>, bør den ordinerende læge foretage en omhyggelig individuel benefit/risk- vurdering. Brug af tadalafil anbefales ikke hos patienter med svær levercirrose (Child-Pugh klasse C), da der ikke foreligger studier hos denne gruppe (se pkt. 4.4 og 5.2).</w:t>
      </w:r>
    </w:p>
    <w:p w:rsidR="00737655" w:rsidRPr="002C448C" w:rsidRDefault="00737655" w:rsidP="00737655">
      <w:pPr>
        <w:ind w:left="851" w:hanging="851"/>
        <w:rPr>
          <w:noProof/>
          <w:sz w:val="24"/>
          <w:szCs w:val="24"/>
        </w:rPr>
      </w:pPr>
    </w:p>
    <w:p w:rsidR="00737655" w:rsidRPr="002C448C" w:rsidRDefault="00737655" w:rsidP="00737655">
      <w:pPr>
        <w:ind w:left="851"/>
        <w:rPr>
          <w:i/>
          <w:noProof/>
          <w:sz w:val="24"/>
          <w:szCs w:val="24"/>
        </w:rPr>
      </w:pPr>
      <w:r>
        <w:rPr>
          <w:i/>
          <w:noProof/>
          <w:sz w:val="24"/>
          <w:szCs w:val="24"/>
        </w:rPr>
        <w:t>D</w:t>
      </w:r>
      <w:r w:rsidRPr="002C448C">
        <w:rPr>
          <w:i/>
          <w:noProof/>
          <w:sz w:val="24"/>
          <w:szCs w:val="24"/>
        </w:rPr>
        <w:t>iabetes</w:t>
      </w:r>
    </w:p>
    <w:p w:rsidR="00737655" w:rsidRPr="002C448C" w:rsidRDefault="00737655" w:rsidP="00737655">
      <w:pPr>
        <w:ind w:left="851"/>
        <w:rPr>
          <w:noProof/>
          <w:sz w:val="24"/>
          <w:szCs w:val="24"/>
        </w:rPr>
      </w:pPr>
      <w:r w:rsidRPr="002C448C">
        <w:rPr>
          <w:noProof/>
          <w:sz w:val="24"/>
          <w:szCs w:val="24"/>
        </w:rPr>
        <w:t>Voksne mænd med erektil dysfunktion eller benign prostatahyperplasia: Det er ikke nødvendigt at justere dosis hos patienter med diabetes.</w:t>
      </w:r>
    </w:p>
    <w:p w:rsidR="00737655" w:rsidRPr="002C448C"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Pædiatrisk population</w:t>
      </w:r>
    </w:p>
    <w:p w:rsidR="00737655" w:rsidRDefault="00737655" w:rsidP="00737655">
      <w:pPr>
        <w:ind w:left="851"/>
        <w:rPr>
          <w:noProof/>
          <w:sz w:val="24"/>
          <w:szCs w:val="24"/>
        </w:rPr>
      </w:pPr>
      <w:r>
        <w:rPr>
          <w:noProof/>
          <w:sz w:val="24"/>
          <w:szCs w:val="24"/>
        </w:rPr>
        <w:t>Der er ingen relevant brug af tadalafil i den pædiatriske population i forhold til behandling af erektil dysfunktion.</w:t>
      </w:r>
    </w:p>
    <w:p w:rsidR="00737655" w:rsidRPr="002C448C" w:rsidRDefault="00737655" w:rsidP="00737655">
      <w:pPr>
        <w:ind w:left="851" w:hanging="851"/>
        <w:rPr>
          <w:noProof/>
          <w:sz w:val="24"/>
          <w:szCs w:val="24"/>
        </w:rPr>
      </w:pPr>
    </w:p>
    <w:p w:rsidR="00737655" w:rsidRPr="007807BC" w:rsidRDefault="00737655" w:rsidP="00737655">
      <w:pPr>
        <w:ind w:left="851"/>
        <w:rPr>
          <w:noProof/>
          <w:sz w:val="24"/>
          <w:szCs w:val="24"/>
        </w:rPr>
      </w:pPr>
      <w:r>
        <w:rPr>
          <w:noProof/>
          <w:sz w:val="24"/>
          <w:szCs w:val="24"/>
        </w:rPr>
        <w:t xml:space="preserve">Dosering og effektivitet af tadalafil er ikke blevet etableret for børn i alderen &lt; 2 år med henblik på behandling af </w:t>
      </w:r>
      <w:proofErr w:type="spellStart"/>
      <w:r>
        <w:rPr>
          <w:sz w:val="24"/>
          <w:szCs w:val="24"/>
        </w:rPr>
        <w:t>p</w:t>
      </w:r>
      <w:r w:rsidRPr="002C448C">
        <w:rPr>
          <w:sz w:val="24"/>
          <w:szCs w:val="24"/>
        </w:rPr>
        <w:t>ulmonal</w:t>
      </w:r>
      <w:proofErr w:type="spellEnd"/>
      <w:r w:rsidRPr="002C448C">
        <w:rPr>
          <w:sz w:val="24"/>
          <w:szCs w:val="24"/>
        </w:rPr>
        <w:t xml:space="preserve"> arteriel hypertension</w:t>
      </w:r>
      <w:r>
        <w:rPr>
          <w:sz w:val="24"/>
          <w:szCs w:val="24"/>
        </w:rPr>
        <w:t>. Nuværende, tilgængelige data er beskrevet i sektionerne 4.8 og 5.1.</w:t>
      </w:r>
    </w:p>
    <w:p w:rsidR="00737655" w:rsidRDefault="00737655" w:rsidP="00737655">
      <w:pPr>
        <w:ind w:left="851"/>
        <w:rPr>
          <w:noProof/>
          <w:sz w:val="24"/>
          <w:szCs w:val="24"/>
          <w:u w:val="single"/>
        </w:rPr>
      </w:pPr>
    </w:p>
    <w:p w:rsidR="00737655" w:rsidRPr="002C448C" w:rsidRDefault="00737655" w:rsidP="00737655">
      <w:pPr>
        <w:ind w:left="851"/>
        <w:rPr>
          <w:noProof/>
          <w:sz w:val="24"/>
          <w:szCs w:val="24"/>
          <w:u w:val="single"/>
        </w:rPr>
      </w:pPr>
      <w:r w:rsidRPr="002C448C">
        <w:rPr>
          <w:noProof/>
          <w:sz w:val="24"/>
          <w:szCs w:val="24"/>
          <w:u w:val="single"/>
        </w:rPr>
        <w:t>Administration</w:t>
      </w:r>
    </w:p>
    <w:p w:rsidR="00737655" w:rsidRPr="002C448C" w:rsidRDefault="00737655" w:rsidP="00737655">
      <w:pPr>
        <w:ind w:left="851"/>
        <w:rPr>
          <w:noProof/>
          <w:sz w:val="24"/>
          <w:szCs w:val="24"/>
        </w:rPr>
      </w:pPr>
      <w:r w:rsidRPr="002C448C">
        <w:rPr>
          <w:noProof/>
          <w:sz w:val="24"/>
          <w:szCs w:val="24"/>
        </w:rPr>
        <w:t xml:space="preserve">Til oral </w:t>
      </w:r>
      <w:r>
        <w:rPr>
          <w:noProof/>
          <w:sz w:val="24"/>
          <w:szCs w:val="24"/>
        </w:rPr>
        <w:t>anvendelse</w:t>
      </w:r>
      <w:r w:rsidRPr="002C448C">
        <w:rPr>
          <w:noProof/>
          <w:sz w:val="24"/>
          <w:szCs w:val="24"/>
        </w:rPr>
        <w:t>.</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4.3</w:t>
      </w:r>
      <w:r w:rsidRPr="002C448C">
        <w:rPr>
          <w:b/>
          <w:sz w:val="24"/>
          <w:szCs w:val="24"/>
        </w:rPr>
        <w:tab/>
        <w:t>Kontraindikationer</w:t>
      </w:r>
    </w:p>
    <w:p w:rsidR="00737655" w:rsidRPr="002C448C" w:rsidRDefault="00737655" w:rsidP="00737655">
      <w:pPr>
        <w:ind w:left="851"/>
        <w:rPr>
          <w:sz w:val="24"/>
          <w:szCs w:val="24"/>
        </w:rPr>
      </w:pPr>
      <w:r w:rsidRPr="002C448C">
        <w:rPr>
          <w:sz w:val="24"/>
          <w:szCs w:val="24"/>
        </w:rPr>
        <w:t>Overfølsomhed over for det aktive stof eller over for et eller flere af hjælpestofferne anført i pkt. 6.1.</w:t>
      </w:r>
    </w:p>
    <w:p w:rsidR="00737655" w:rsidRPr="002C448C" w:rsidRDefault="00737655" w:rsidP="00737655">
      <w:pPr>
        <w:ind w:left="851" w:hanging="851"/>
        <w:rPr>
          <w:sz w:val="24"/>
          <w:szCs w:val="24"/>
        </w:rPr>
      </w:pPr>
    </w:p>
    <w:p w:rsidR="00737655" w:rsidRPr="002C448C" w:rsidRDefault="00737655" w:rsidP="00737655">
      <w:pPr>
        <w:ind w:left="851"/>
        <w:rPr>
          <w:sz w:val="24"/>
          <w:szCs w:val="24"/>
        </w:rPr>
      </w:pPr>
      <w:r w:rsidRPr="002C448C">
        <w:rPr>
          <w:sz w:val="24"/>
          <w:szCs w:val="24"/>
        </w:rPr>
        <w:t xml:space="preserve">Det er i kliniske studier vist, at </w:t>
      </w:r>
      <w:proofErr w:type="spellStart"/>
      <w:r w:rsidRPr="002C448C">
        <w:rPr>
          <w:sz w:val="24"/>
          <w:szCs w:val="24"/>
        </w:rPr>
        <w:t>tadalafil</w:t>
      </w:r>
      <w:proofErr w:type="spellEnd"/>
      <w:r w:rsidRPr="002C448C">
        <w:rPr>
          <w:sz w:val="24"/>
          <w:szCs w:val="24"/>
        </w:rPr>
        <w:t xml:space="preserve"> forstærker den </w:t>
      </w:r>
      <w:proofErr w:type="spellStart"/>
      <w:r w:rsidRPr="002C448C">
        <w:rPr>
          <w:sz w:val="24"/>
          <w:szCs w:val="24"/>
        </w:rPr>
        <w:t>hypotensive</w:t>
      </w:r>
      <w:proofErr w:type="spellEnd"/>
      <w:r w:rsidRPr="002C448C">
        <w:rPr>
          <w:sz w:val="24"/>
          <w:szCs w:val="24"/>
        </w:rPr>
        <w:t xml:space="preserve"> effekt af nitrater. Dette menes at</w:t>
      </w:r>
      <w:r>
        <w:rPr>
          <w:sz w:val="24"/>
          <w:szCs w:val="24"/>
        </w:rPr>
        <w:t xml:space="preserve"> </w:t>
      </w:r>
      <w:r w:rsidRPr="002C448C">
        <w:rPr>
          <w:sz w:val="24"/>
          <w:szCs w:val="24"/>
        </w:rPr>
        <w:t xml:space="preserve">være et resultat af den kombinerede effekt af nitrater og </w:t>
      </w:r>
      <w:proofErr w:type="spellStart"/>
      <w:r w:rsidRPr="002C448C">
        <w:rPr>
          <w:sz w:val="24"/>
          <w:szCs w:val="24"/>
        </w:rPr>
        <w:t>tadalafil</w:t>
      </w:r>
      <w:proofErr w:type="spellEnd"/>
      <w:r w:rsidRPr="002C448C">
        <w:rPr>
          <w:sz w:val="24"/>
          <w:szCs w:val="24"/>
        </w:rPr>
        <w:t xml:space="preserve"> på nitrogenoxid/</w:t>
      </w:r>
      <w:proofErr w:type="spellStart"/>
      <w:r w:rsidRPr="002C448C">
        <w:rPr>
          <w:sz w:val="24"/>
          <w:szCs w:val="24"/>
        </w:rPr>
        <w:t>cGMP</w:t>
      </w:r>
      <w:proofErr w:type="spellEnd"/>
      <w:r w:rsidRPr="002C448C">
        <w:rPr>
          <w:sz w:val="24"/>
          <w:szCs w:val="24"/>
        </w:rPr>
        <w:t>-syntesevejen.</w:t>
      </w:r>
    </w:p>
    <w:p w:rsidR="00737655" w:rsidRPr="002C448C" w:rsidRDefault="00737655" w:rsidP="00737655">
      <w:pPr>
        <w:ind w:left="851"/>
        <w:rPr>
          <w:sz w:val="24"/>
          <w:szCs w:val="24"/>
        </w:rPr>
      </w:pPr>
      <w:r w:rsidRPr="002C448C">
        <w:rPr>
          <w:sz w:val="24"/>
          <w:szCs w:val="24"/>
        </w:rPr>
        <w:t xml:space="preserve">Derfor er administration af </w:t>
      </w:r>
      <w:proofErr w:type="spellStart"/>
      <w:r w:rsidRPr="002C448C">
        <w:rPr>
          <w:sz w:val="24"/>
          <w:szCs w:val="24"/>
        </w:rPr>
        <w:t>tadalafil</w:t>
      </w:r>
      <w:proofErr w:type="spellEnd"/>
      <w:r w:rsidRPr="002C448C">
        <w:rPr>
          <w:sz w:val="24"/>
          <w:szCs w:val="24"/>
        </w:rPr>
        <w:t xml:space="preserve"> kontraindiceret til patienter, som bruger enhver form for organisk nitrat (se pkt. 4.5).</w:t>
      </w:r>
    </w:p>
    <w:p w:rsidR="00737655" w:rsidRPr="002C448C" w:rsidRDefault="00737655" w:rsidP="00737655">
      <w:pPr>
        <w:ind w:left="851" w:hanging="851"/>
        <w:rPr>
          <w:sz w:val="24"/>
          <w:szCs w:val="24"/>
        </w:rPr>
      </w:pPr>
    </w:p>
    <w:p w:rsidR="00737655" w:rsidRPr="002C448C" w:rsidRDefault="00737655" w:rsidP="00737655">
      <w:pPr>
        <w:ind w:left="851"/>
        <w:rPr>
          <w:sz w:val="24"/>
          <w:szCs w:val="24"/>
        </w:rPr>
      </w:pPr>
      <w:proofErr w:type="spellStart"/>
      <w:r w:rsidRPr="002C448C">
        <w:rPr>
          <w:sz w:val="24"/>
          <w:szCs w:val="24"/>
        </w:rPr>
        <w:t>Tadalafil</w:t>
      </w:r>
      <w:proofErr w:type="spellEnd"/>
      <w:r w:rsidRPr="002C448C">
        <w:rPr>
          <w:sz w:val="24"/>
          <w:szCs w:val="24"/>
        </w:rPr>
        <w:t xml:space="preserve"> må ikke anvendes hos mænd med hjertesygdom, for hvem seksuel aktivitet ikke kan tilrådes. Lægen bør overveje den potentielle risiko for hjerteproblemer som følge af seksuel aktivitet hos patienter med eksisterende hjerte-/karsygdom.</w:t>
      </w:r>
    </w:p>
    <w:p w:rsidR="00737655" w:rsidRPr="002C448C" w:rsidRDefault="00737655" w:rsidP="00737655">
      <w:pPr>
        <w:ind w:left="851" w:hanging="851"/>
        <w:rPr>
          <w:sz w:val="24"/>
          <w:szCs w:val="24"/>
        </w:rPr>
      </w:pPr>
    </w:p>
    <w:p w:rsidR="00737655" w:rsidRPr="002C448C" w:rsidRDefault="00737655" w:rsidP="00737655">
      <w:pPr>
        <w:ind w:left="851"/>
        <w:rPr>
          <w:sz w:val="24"/>
          <w:szCs w:val="24"/>
        </w:rPr>
      </w:pPr>
      <w:r w:rsidRPr="002C448C">
        <w:rPr>
          <w:sz w:val="24"/>
          <w:szCs w:val="24"/>
        </w:rPr>
        <w:t xml:space="preserve">Følgende grupper af patienter med hjerte-/karsygdomme blev ikke inkluderet i de kliniske studier og brugen af </w:t>
      </w:r>
      <w:proofErr w:type="spellStart"/>
      <w:r w:rsidRPr="002C448C">
        <w:rPr>
          <w:sz w:val="24"/>
          <w:szCs w:val="24"/>
        </w:rPr>
        <w:t>tadalafil</w:t>
      </w:r>
      <w:proofErr w:type="spellEnd"/>
      <w:r w:rsidRPr="002C448C">
        <w:rPr>
          <w:sz w:val="24"/>
          <w:szCs w:val="24"/>
        </w:rPr>
        <w:t xml:space="preserve"> er derfor kontraindiceret:</w:t>
      </w:r>
    </w:p>
    <w:p w:rsidR="00737655" w:rsidRPr="002C448C" w:rsidRDefault="00737655" w:rsidP="00737655">
      <w:pPr>
        <w:pStyle w:val="Listeafsnit"/>
        <w:numPr>
          <w:ilvl w:val="0"/>
          <w:numId w:val="11"/>
        </w:numPr>
        <w:ind w:left="1276" w:hanging="425"/>
        <w:rPr>
          <w:sz w:val="24"/>
          <w:szCs w:val="24"/>
        </w:rPr>
      </w:pPr>
      <w:r w:rsidRPr="002C448C">
        <w:rPr>
          <w:sz w:val="24"/>
          <w:szCs w:val="24"/>
        </w:rPr>
        <w:t>patienter med myokardieinfarkt indenfor de seneste 90 dage</w:t>
      </w:r>
    </w:p>
    <w:p w:rsidR="00737655" w:rsidRPr="002C448C" w:rsidRDefault="00737655" w:rsidP="00737655">
      <w:pPr>
        <w:pStyle w:val="Listeafsnit"/>
        <w:numPr>
          <w:ilvl w:val="0"/>
          <w:numId w:val="11"/>
        </w:numPr>
        <w:ind w:left="1276" w:hanging="425"/>
        <w:rPr>
          <w:sz w:val="24"/>
          <w:szCs w:val="24"/>
        </w:rPr>
      </w:pPr>
      <w:r w:rsidRPr="002C448C">
        <w:rPr>
          <w:sz w:val="24"/>
          <w:szCs w:val="24"/>
        </w:rPr>
        <w:t>patienter med ustabil angina, eller angina forekommende under samleje</w:t>
      </w:r>
    </w:p>
    <w:p w:rsidR="00737655" w:rsidRPr="002C448C" w:rsidRDefault="00737655" w:rsidP="00737655">
      <w:pPr>
        <w:pStyle w:val="Listeafsnit"/>
        <w:numPr>
          <w:ilvl w:val="0"/>
          <w:numId w:val="11"/>
        </w:numPr>
        <w:ind w:left="1276" w:hanging="425"/>
        <w:rPr>
          <w:sz w:val="24"/>
          <w:szCs w:val="24"/>
        </w:rPr>
      </w:pPr>
      <w:r w:rsidRPr="002C448C">
        <w:rPr>
          <w:sz w:val="24"/>
          <w:szCs w:val="24"/>
        </w:rPr>
        <w:t>patienter med hjerteinsufficiens, New York Heart Association klasse 2 eller højere, indenfor de seneste 6 måneder</w:t>
      </w:r>
    </w:p>
    <w:p w:rsidR="00737655" w:rsidRPr="002C448C" w:rsidRDefault="00737655" w:rsidP="00737655">
      <w:pPr>
        <w:pStyle w:val="Listeafsnit"/>
        <w:numPr>
          <w:ilvl w:val="0"/>
          <w:numId w:val="11"/>
        </w:numPr>
        <w:ind w:left="1276" w:hanging="425"/>
        <w:rPr>
          <w:sz w:val="24"/>
          <w:szCs w:val="24"/>
        </w:rPr>
      </w:pPr>
      <w:r w:rsidRPr="002C448C">
        <w:rPr>
          <w:sz w:val="24"/>
          <w:szCs w:val="24"/>
        </w:rPr>
        <w:lastRenderedPageBreak/>
        <w:t xml:space="preserve">patienter med ukontrollerede </w:t>
      </w:r>
      <w:proofErr w:type="spellStart"/>
      <w:r w:rsidRPr="002C448C">
        <w:rPr>
          <w:sz w:val="24"/>
          <w:szCs w:val="24"/>
        </w:rPr>
        <w:t>arytmier</w:t>
      </w:r>
      <w:proofErr w:type="spellEnd"/>
      <w:r w:rsidRPr="002C448C">
        <w:rPr>
          <w:sz w:val="24"/>
          <w:szCs w:val="24"/>
        </w:rPr>
        <w:t>, hypotension (&lt; 90/50 mm Hg) eller ukontrolleret hypertension</w:t>
      </w:r>
    </w:p>
    <w:p w:rsidR="00737655" w:rsidRPr="002C448C" w:rsidRDefault="00737655" w:rsidP="00737655">
      <w:pPr>
        <w:pStyle w:val="Listeafsnit"/>
        <w:numPr>
          <w:ilvl w:val="0"/>
          <w:numId w:val="11"/>
        </w:numPr>
        <w:ind w:left="1276" w:hanging="425"/>
        <w:rPr>
          <w:sz w:val="24"/>
          <w:szCs w:val="24"/>
        </w:rPr>
      </w:pPr>
      <w:r w:rsidRPr="002C448C">
        <w:rPr>
          <w:sz w:val="24"/>
          <w:szCs w:val="24"/>
        </w:rPr>
        <w:t>patienter med en apopleksi inden for de seneste 6 måneder.</w:t>
      </w:r>
    </w:p>
    <w:p w:rsidR="00737655" w:rsidRPr="002C448C" w:rsidRDefault="00737655" w:rsidP="00737655">
      <w:pPr>
        <w:ind w:left="851" w:hanging="851"/>
        <w:rPr>
          <w:sz w:val="24"/>
          <w:szCs w:val="24"/>
        </w:rPr>
      </w:pPr>
    </w:p>
    <w:p w:rsidR="00737655" w:rsidRDefault="00737655" w:rsidP="00737655">
      <w:pPr>
        <w:ind w:left="851"/>
        <w:rPr>
          <w:sz w:val="24"/>
          <w:szCs w:val="24"/>
        </w:rPr>
      </w:pPr>
      <w:proofErr w:type="spellStart"/>
      <w:r w:rsidRPr="002C448C">
        <w:rPr>
          <w:sz w:val="24"/>
          <w:szCs w:val="24"/>
        </w:rPr>
        <w:t>Tadalafil</w:t>
      </w:r>
      <w:proofErr w:type="spellEnd"/>
      <w:r w:rsidRPr="002C448C">
        <w:rPr>
          <w:sz w:val="24"/>
          <w:szCs w:val="24"/>
        </w:rPr>
        <w:t xml:space="preserve"> er kontraindiceret til patienter, som på grund af non-</w:t>
      </w:r>
      <w:proofErr w:type="spellStart"/>
      <w:r w:rsidRPr="002C448C">
        <w:rPr>
          <w:sz w:val="24"/>
          <w:szCs w:val="24"/>
        </w:rPr>
        <w:t>arteritis</w:t>
      </w:r>
      <w:proofErr w:type="spellEnd"/>
      <w:r w:rsidRPr="002C448C">
        <w:rPr>
          <w:sz w:val="24"/>
          <w:szCs w:val="24"/>
        </w:rPr>
        <w:t xml:space="preserve"> </w:t>
      </w:r>
      <w:proofErr w:type="spellStart"/>
      <w:r w:rsidRPr="002C448C">
        <w:rPr>
          <w:sz w:val="24"/>
          <w:szCs w:val="24"/>
        </w:rPr>
        <w:t>anterior</w:t>
      </w:r>
      <w:proofErr w:type="spellEnd"/>
      <w:r w:rsidRPr="002C448C">
        <w:rPr>
          <w:sz w:val="24"/>
          <w:szCs w:val="24"/>
        </w:rPr>
        <w:t xml:space="preserve"> iskæmisk </w:t>
      </w:r>
      <w:proofErr w:type="spellStart"/>
      <w:r w:rsidRPr="002C448C">
        <w:rPr>
          <w:sz w:val="24"/>
          <w:szCs w:val="24"/>
        </w:rPr>
        <w:t>opticusneuropati</w:t>
      </w:r>
      <w:proofErr w:type="spellEnd"/>
      <w:r w:rsidRPr="002C448C">
        <w:rPr>
          <w:sz w:val="24"/>
          <w:szCs w:val="24"/>
        </w:rPr>
        <w:t xml:space="preserve"> (NAION), har nedsættelse af synet på det ene øje. Kontraindikationen gælder uanset om synsnedsættelsen opstod i forbindelse med brug af PDE5-hæmmere eller ej (se pkt. 4.4).</w:t>
      </w:r>
    </w:p>
    <w:p w:rsidR="00737655" w:rsidRPr="002C448C" w:rsidRDefault="00737655" w:rsidP="00737655">
      <w:pPr>
        <w:ind w:left="851"/>
        <w:rPr>
          <w:sz w:val="24"/>
          <w:szCs w:val="24"/>
        </w:rPr>
      </w:pPr>
    </w:p>
    <w:p w:rsidR="00737655" w:rsidRDefault="00737655" w:rsidP="00737655">
      <w:pPr>
        <w:ind w:left="851"/>
        <w:rPr>
          <w:sz w:val="24"/>
          <w:szCs w:val="24"/>
        </w:rPr>
      </w:pPr>
      <w:r w:rsidRPr="002C448C">
        <w:rPr>
          <w:sz w:val="24"/>
          <w:szCs w:val="24"/>
        </w:rPr>
        <w:t xml:space="preserve">Samtidig administration af </w:t>
      </w:r>
      <w:proofErr w:type="spellStart"/>
      <w:r w:rsidRPr="007807BC">
        <w:rPr>
          <w:sz w:val="24"/>
          <w:szCs w:val="24"/>
        </w:rPr>
        <w:t>fosfodiesterase</w:t>
      </w:r>
      <w:proofErr w:type="spellEnd"/>
      <w:r w:rsidRPr="007807BC">
        <w:rPr>
          <w:sz w:val="24"/>
          <w:szCs w:val="24"/>
        </w:rPr>
        <w:t xml:space="preserve"> type 5</w:t>
      </w:r>
      <w:r w:rsidRPr="002C448C">
        <w:rPr>
          <w:sz w:val="24"/>
          <w:szCs w:val="24"/>
        </w:rPr>
        <w:t xml:space="preserve"> </w:t>
      </w:r>
      <w:r>
        <w:rPr>
          <w:sz w:val="24"/>
          <w:szCs w:val="24"/>
        </w:rPr>
        <w:t>(</w:t>
      </w:r>
      <w:r w:rsidRPr="002C448C">
        <w:rPr>
          <w:sz w:val="24"/>
          <w:szCs w:val="24"/>
        </w:rPr>
        <w:t>PDE</w:t>
      </w:r>
      <w:proofErr w:type="gramStart"/>
      <w:r w:rsidRPr="002C448C">
        <w:rPr>
          <w:sz w:val="24"/>
          <w:szCs w:val="24"/>
        </w:rPr>
        <w:t>5</w:t>
      </w:r>
      <w:r>
        <w:rPr>
          <w:sz w:val="24"/>
          <w:szCs w:val="24"/>
        </w:rPr>
        <w:t>)</w:t>
      </w:r>
      <w:r w:rsidRPr="002C448C">
        <w:rPr>
          <w:sz w:val="24"/>
          <w:szCs w:val="24"/>
        </w:rPr>
        <w:t>-</w:t>
      </w:r>
      <w:proofErr w:type="spellStart"/>
      <w:proofErr w:type="gramEnd"/>
      <w:r w:rsidRPr="002C448C">
        <w:rPr>
          <w:sz w:val="24"/>
          <w:szCs w:val="24"/>
        </w:rPr>
        <w:t>hæmmere</w:t>
      </w:r>
      <w:proofErr w:type="spellEnd"/>
      <w:r w:rsidRPr="002C448C">
        <w:rPr>
          <w:sz w:val="24"/>
          <w:szCs w:val="24"/>
        </w:rPr>
        <w:t xml:space="preserve">, inklusive </w:t>
      </w:r>
      <w:proofErr w:type="spellStart"/>
      <w:r w:rsidRPr="002C448C">
        <w:rPr>
          <w:sz w:val="24"/>
          <w:szCs w:val="24"/>
        </w:rPr>
        <w:t>tadalafil</w:t>
      </w:r>
      <w:proofErr w:type="spellEnd"/>
      <w:r w:rsidRPr="002C448C">
        <w:rPr>
          <w:sz w:val="24"/>
          <w:szCs w:val="24"/>
        </w:rPr>
        <w:t xml:space="preserve">, med </w:t>
      </w:r>
      <w:proofErr w:type="spellStart"/>
      <w:r w:rsidRPr="002C448C">
        <w:rPr>
          <w:sz w:val="24"/>
          <w:szCs w:val="24"/>
        </w:rPr>
        <w:t>guanylatcyklase</w:t>
      </w:r>
      <w:proofErr w:type="spellEnd"/>
      <w:r w:rsidRPr="002C448C">
        <w:rPr>
          <w:sz w:val="24"/>
          <w:szCs w:val="24"/>
        </w:rPr>
        <w:t xml:space="preserve">-stimulatorer, som f.eks. </w:t>
      </w:r>
      <w:proofErr w:type="spellStart"/>
      <w:r w:rsidRPr="002C448C">
        <w:rPr>
          <w:sz w:val="24"/>
          <w:szCs w:val="24"/>
        </w:rPr>
        <w:t>riociguat</w:t>
      </w:r>
      <w:proofErr w:type="spellEnd"/>
      <w:r w:rsidRPr="002C448C">
        <w:rPr>
          <w:sz w:val="24"/>
          <w:szCs w:val="24"/>
        </w:rPr>
        <w:t>, er kontraindi</w:t>
      </w:r>
      <w:r>
        <w:rPr>
          <w:sz w:val="24"/>
          <w:szCs w:val="24"/>
        </w:rPr>
        <w:t>c</w:t>
      </w:r>
      <w:r w:rsidRPr="002C448C">
        <w:rPr>
          <w:sz w:val="24"/>
          <w:szCs w:val="24"/>
        </w:rPr>
        <w:t>eret, da det kan føre til symptomatisk hypotension (se pkt. 4.5).</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4.4</w:t>
      </w:r>
      <w:r w:rsidRPr="002C448C">
        <w:rPr>
          <w:b/>
          <w:sz w:val="24"/>
          <w:szCs w:val="24"/>
        </w:rPr>
        <w:tab/>
        <w:t>Særlige advarsler og forsigtighedsregler vedrørende brugen</w:t>
      </w:r>
    </w:p>
    <w:p w:rsidR="00C07FC7" w:rsidRDefault="00C07FC7" w:rsidP="00C07FC7">
      <w:pPr>
        <w:ind w:left="851" w:hanging="851"/>
        <w:rPr>
          <w:noProof/>
          <w:sz w:val="24"/>
          <w:szCs w:val="24"/>
          <w:u w:val="single"/>
        </w:rPr>
      </w:pPr>
    </w:p>
    <w:p w:rsidR="00737655" w:rsidRPr="002C448C" w:rsidRDefault="00737655" w:rsidP="00737655">
      <w:pPr>
        <w:ind w:left="851"/>
        <w:rPr>
          <w:noProof/>
          <w:sz w:val="24"/>
          <w:szCs w:val="24"/>
          <w:u w:val="single"/>
        </w:rPr>
      </w:pPr>
      <w:r w:rsidRPr="002C448C">
        <w:rPr>
          <w:noProof/>
          <w:sz w:val="24"/>
          <w:szCs w:val="24"/>
          <w:u w:val="single"/>
        </w:rPr>
        <w:t>Før behandling af voksne mænd med erektil dysfunktion eller benign prostatahyperplasia med tadalafil</w:t>
      </w:r>
    </w:p>
    <w:p w:rsidR="00737655" w:rsidRPr="002C448C" w:rsidRDefault="00737655" w:rsidP="00737655">
      <w:pPr>
        <w:ind w:left="851"/>
        <w:rPr>
          <w:noProof/>
          <w:sz w:val="24"/>
          <w:szCs w:val="24"/>
        </w:rPr>
      </w:pPr>
      <w:r w:rsidRPr="002C448C">
        <w:rPr>
          <w:noProof/>
          <w:sz w:val="24"/>
          <w:szCs w:val="24"/>
        </w:rPr>
        <w:t>En anamnese bør optages og en fysisk undersøgelse bør foretages for at diagnosticere erektil dysfunktion og bestemme potentielle tilgrundliggende årsager, før farmakologisk behandling overvejes.</w:t>
      </w:r>
    </w:p>
    <w:p w:rsidR="00737655" w:rsidRPr="002C448C" w:rsidRDefault="00737655" w:rsidP="00737655">
      <w:pPr>
        <w:ind w:left="851" w:hanging="851"/>
        <w:rPr>
          <w:noProof/>
          <w:sz w:val="24"/>
          <w:szCs w:val="24"/>
        </w:rPr>
      </w:pPr>
    </w:p>
    <w:p w:rsidR="00737655" w:rsidRPr="002C448C" w:rsidRDefault="00737655" w:rsidP="00737655">
      <w:pPr>
        <w:ind w:left="851"/>
        <w:rPr>
          <w:noProof/>
          <w:sz w:val="24"/>
          <w:szCs w:val="24"/>
        </w:rPr>
      </w:pPr>
      <w:r w:rsidRPr="002C448C">
        <w:rPr>
          <w:noProof/>
          <w:sz w:val="24"/>
          <w:szCs w:val="24"/>
        </w:rPr>
        <w:t>Før iværksættelse af en hvilken som helst behandling af erektil dysfunktion bør lægen overveje den kardiovaskulære status for patienten, da der er en vis risiko for hjerteproblemer forbundet med seksuel aktivitet. Tadalafil har vasodilaterende egenskaber, som medfører milde og forbigående blodtryksfald (se pkt. 5.1) og således potenserer den hypotensive effekt af nitrater (se pkt. 4.3).</w:t>
      </w:r>
    </w:p>
    <w:p w:rsidR="00737655" w:rsidRPr="002C448C" w:rsidRDefault="00737655" w:rsidP="00737655">
      <w:pPr>
        <w:ind w:left="851" w:hanging="851"/>
        <w:rPr>
          <w:noProof/>
          <w:sz w:val="24"/>
          <w:szCs w:val="24"/>
        </w:rPr>
      </w:pPr>
    </w:p>
    <w:p w:rsidR="00737655" w:rsidRPr="002C448C" w:rsidRDefault="00737655" w:rsidP="00737655">
      <w:pPr>
        <w:ind w:left="851"/>
        <w:rPr>
          <w:noProof/>
          <w:sz w:val="24"/>
          <w:szCs w:val="24"/>
        </w:rPr>
      </w:pPr>
      <w:r w:rsidRPr="002C448C">
        <w:rPr>
          <w:noProof/>
          <w:sz w:val="24"/>
          <w:szCs w:val="24"/>
        </w:rPr>
        <w:t>Evaluering af erektil dysfunktion bør inkludere en bestemmelse af potentielle tilgrundliggende årsager og en identifikation af den relevante behandling på baggrund af en relevant medicinsk vurdering. Det vides ikke, hvorvidt tadalafil er effektiv hos patienter, som har gennemgået kirurgi i bækkenet eller radikal ikke-nervebevarende prostatektomi.</w:t>
      </w:r>
    </w:p>
    <w:p w:rsidR="00737655" w:rsidRPr="002C448C" w:rsidRDefault="00737655" w:rsidP="00737655">
      <w:pPr>
        <w:ind w:left="851" w:hanging="851"/>
        <w:rPr>
          <w:noProof/>
          <w:sz w:val="24"/>
          <w:szCs w:val="24"/>
        </w:rPr>
      </w:pPr>
    </w:p>
    <w:p w:rsidR="00737655" w:rsidRPr="002C448C" w:rsidRDefault="00737655" w:rsidP="00737655">
      <w:pPr>
        <w:ind w:left="851"/>
        <w:rPr>
          <w:sz w:val="24"/>
          <w:szCs w:val="24"/>
        </w:rPr>
      </w:pPr>
      <w:r w:rsidRPr="002C448C">
        <w:rPr>
          <w:sz w:val="24"/>
          <w:szCs w:val="24"/>
        </w:rPr>
        <w:t xml:space="preserve">Før behandling af benign </w:t>
      </w:r>
      <w:proofErr w:type="spellStart"/>
      <w:r w:rsidRPr="002C448C">
        <w:rPr>
          <w:sz w:val="24"/>
          <w:szCs w:val="24"/>
        </w:rPr>
        <w:t>prostatahyperplasi</w:t>
      </w:r>
      <w:proofErr w:type="spellEnd"/>
      <w:r w:rsidRPr="002C448C">
        <w:rPr>
          <w:sz w:val="24"/>
          <w:szCs w:val="24"/>
        </w:rPr>
        <w:t xml:space="preserve"> med </w:t>
      </w:r>
      <w:proofErr w:type="spellStart"/>
      <w:r w:rsidRPr="002C448C">
        <w:rPr>
          <w:sz w:val="24"/>
          <w:szCs w:val="24"/>
        </w:rPr>
        <w:t>tadalafil</w:t>
      </w:r>
      <w:proofErr w:type="spellEnd"/>
      <w:r w:rsidRPr="002C448C">
        <w:rPr>
          <w:sz w:val="24"/>
          <w:szCs w:val="24"/>
        </w:rPr>
        <w:t xml:space="preserve"> påbegyndes, skal patienten undersøges for at udelukke tilstedeværelse af prostatakarcinom og grundigt vurderes for </w:t>
      </w:r>
      <w:proofErr w:type="spellStart"/>
      <w:r w:rsidRPr="002C448C">
        <w:rPr>
          <w:sz w:val="24"/>
          <w:szCs w:val="24"/>
        </w:rPr>
        <w:t>kardiovaskulære</w:t>
      </w:r>
      <w:proofErr w:type="spellEnd"/>
      <w:r w:rsidRPr="002C448C">
        <w:rPr>
          <w:sz w:val="24"/>
          <w:szCs w:val="24"/>
        </w:rPr>
        <w:t xml:space="preserve"> tilstande (se pkt. 4.3).</w:t>
      </w:r>
    </w:p>
    <w:p w:rsidR="00737655" w:rsidRPr="002C448C" w:rsidRDefault="00737655" w:rsidP="00737655">
      <w:pPr>
        <w:ind w:left="851" w:hanging="851"/>
        <w:rPr>
          <w:noProof/>
          <w:sz w:val="24"/>
          <w:szCs w:val="24"/>
        </w:rPr>
      </w:pPr>
    </w:p>
    <w:p w:rsidR="00737655" w:rsidRPr="002C448C" w:rsidRDefault="00737655" w:rsidP="00737655">
      <w:pPr>
        <w:ind w:left="851"/>
        <w:rPr>
          <w:noProof/>
          <w:sz w:val="24"/>
          <w:szCs w:val="24"/>
          <w:u w:val="single"/>
        </w:rPr>
      </w:pPr>
      <w:r w:rsidRPr="002C448C">
        <w:rPr>
          <w:noProof/>
          <w:sz w:val="24"/>
          <w:szCs w:val="24"/>
          <w:u w:val="single"/>
        </w:rPr>
        <w:t>Kardiovaskulær</w:t>
      </w:r>
      <w:r>
        <w:rPr>
          <w:noProof/>
          <w:sz w:val="24"/>
          <w:szCs w:val="24"/>
          <w:u w:val="single"/>
        </w:rPr>
        <w:t>e sygdomme</w:t>
      </w:r>
    </w:p>
    <w:p w:rsidR="00737655" w:rsidRPr="002C448C" w:rsidRDefault="00737655" w:rsidP="00737655">
      <w:pPr>
        <w:ind w:left="851"/>
        <w:rPr>
          <w:noProof/>
          <w:sz w:val="24"/>
          <w:szCs w:val="24"/>
        </w:rPr>
      </w:pPr>
      <w:r w:rsidRPr="002C448C">
        <w:rPr>
          <w:noProof/>
          <w:sz w:val="24"/>
          <w:szCs w:val="24"/>
        </w:rPr>
        <w:t>Alvorlige kardiovaskulære hændelser, inklusiv myokardieinfarkt, pludselig hjertedød, ustabil angina pectoris, ventrikulær arytmi, apopleksi, forbigående iskæmiske anfald, brystsmerter, hjertebanken og takykardi er rapporteret efter markedsføringen og/eller i kliniske studier. De fleste af de patienter, for hvem disse hændelser blev rapporteret, havde eksisterende kardiovaskulære risikofaktorer. Det er imidlertid ikke muligt definitivt at afgøre, hvorvidt hændelserne er direkte relateret til disse risikofaktorer, til tadalafil, til seksuel aktivitet eller til en kombination af disse eller andre faktorer.</w:t>
      </w:r>
    </w:p>
    <w:p w:rsidR="00737655" w:rsidRPr="002C448C" w:rsidRDefault="00737655" w:rsidP="00737655">
      <w:pPr>
        <w:ind w:left="851" w:hanging="851"/>
        <w:rPr>
          <w:noProof/>
          <w:sz w:val="24"/>
          <w:szCs w:val="24"/>
        </w:rPr>
      </w:pPr>
    </w:p>
    <w:p w:rsidR="00737655" w:rsidRPr="002C448C" w:rsidRDefault="00737655" w:rsidP="00737655">
      <w:pPr>
        <w:ind w:left="851"/>
        <w:rPr>
          <w:noProof/>
          <w:sz w:val="24"/>
          <w:szCs w:val="24"/>
        </w:rPr>
      </w:pPr>
      <w:r w:rsidRPr="002C448C">
        <w:rPr>
          <w:noProof/>
          <w:sz w:val="24"/>
          <w:szCs w:val="24"/>
        </w:rPr>
        <w:t>Følgende patientgrupper med hjerte-karsygdomme blev ikke inkluderet i PAH kliniske studier:</w:t>
      </w:r>
    </w:p>
    <w:p w:rsidR="00737655" w:rsidRPr="002C448C" w:rsidRDefault="00737655" w:rsidP="00737655">
      <w:pPr>
        <w:pStyle w:val="Listeafsnit"/>
        <w:numPr>
          <w:ilvl w:val="0"/>
          <w:numId w:val="12"/>
        </w:numPr>
        <w:ind w:left="1276" w:hanging="425"/>
        <w:rPr>
          <w:noProof/>
          <w:sz w:val="24"/>
          <w:szCs w:val="24"/>
        </w:rPr>
      </w:pPr>
      <w:r w:rsidRPr="002C448C">
        <w:rPr>
          <w:noProof/>
          <w:sz w:val="24"/>
          <w:szCs w:val="24"/>
        </w:rPr>
        <w:t>patienter med klinisk signifikant aorta- og mitralklapsygdom</w:t>
      </w:r>
    </w:p>
    <w:p w:rsidR="00737655" w:rsidRPr="002C448C" w:rsidRDefault="00737655" w:rsidP="00737655">
      <w:pPr>
        <w:pStyle w:val="Listeafsnit"/>
        <w:numPr>
          <w:ilvl w:val="0"/>
          <w:numId w:val="12"/>
        </w:numPr>
        <w:ind w:left="1276" w:hanging="425"/>
        <w:rPr>
          <w:noProof/>
          <w:sz w:val="24"/>
          <w:szCs w:val="24"/>
        </w:rPr>
      </w:pPr>
      <w:r w:rsidRPr="002C448C">
        <w:rPr>
          <w:noProof/>
          <w:sz w:val="24"/>
          <w:szCs w:val="24"/>
        </w:rPr>
        <w:t>patienter med perikardial konstriktion</w:t>
      </w:r>
    </w:p>
    <w:p w:rsidR="00737655" w:rsidRPr="002C448C" w:rsidRDefault="00737655" w:rsidP="00737655">
      <w:pPr>
        <w:pStyle w:val="Listeafsnit"/>
        <w:numPr>
          <w:ilvl w:val="0"/>
          <w:numId w:val="12"/>
        </w:numPr>
        <w:ind w:left="1276" w:hanging="425"/>
        <w:rPr>
          <w:noProof/>
          <w:sz w:val="24"/>
          <w:szCs w:val="24"/>
        </w:rPr>
      </w:pPr>
      <w:r w:rsidRPr="002C448C">
        <w:rPr>
          <w:noProof/>
          <w:sz w:val="24"/>
          <w:szCs w:val="24"/>
        </w:rPr>
        <w:t>patienter med restriktiv eller dilateret kardiomyopati</w:t>
      </w:r>
    </w:p>
    <w:p w:rsidR="00737655" w:rsidRPr="002C448C" w:rsidRDefault="00737655" w:rsidP="00737655">
      <w:pPr>
        <w:pStyle w:val="Listeafsnit"/>
        <w:numPr>
          <w:ilvl w:val="0"/>
          <w:numId w:val="12"/>
        </w:numPr>
        <w:ind w:left="1276" w:hanging="425"/>
        <w:rPr>
          <w:noProof/>
          <w:sz w:val="24"/>
          <w:szCs w:val="24"/>
        </w:rPr>
      </w:pPr>
      <w:r w:rsidRPr="002C448C">
        <w:rPr>
          <w:noProof/>
          <w:sz w:val="24"/>
          <w:szCs w:val="24"/>
        </w:rPr>
        <w:t>patienter med betydelig venstre ventrikel dysfunktion</w:t>
      </w:r>
    </w:p>
    <w:p w:rsidR="00737655" w:rsidRPr="002C448C" w:rsidRDefault="00737655" w:rsidP="00737655">
      <w:pPr>
        <w:pStyle w:val="Listeafsnit"/>
        <w:numPr>
          <w:ilvl w:val="0"/>
          <w:numId w:val="12"/>
        </w:numPr>
        <w:ind w:left="1276" w:hanging="425"/>
        <w:rPr>
          <w:noProof/>
          <w:sz w:val="24"/>
          <w:szCs w:val="24"/>
        </w:rPr>
      </w:pPr>
      <w:r w:rsidRPr="002C448C">
        <w:rPr>
          <w:noProof/>
          <w:sz w:val="24"/>
          <w:szCs w:val="24"/>
        </w:rPr>
        <w:lastRenderedPageBreak/>
        <w:t>patienter med livstruende arytmier</w:t>
      </w:r>
    </w:p>
    <w:p w:rsidR="00737655" w:rsidRPr="002C448C" w:rsidRDefault="00737655" w:rsidP="00737655">
      <w:pPr>
        <w:pStyle w:val="Listeafsnit"/>
        <w:numPr>
          <w:ilvl w:val="0"/>
          <w:numId w:val="12"/>
        </w:numPr>
        <w:ind w:left="1276" w:hanging="425"/>
        <w:rPr>
          <w:noProof/>
          <w:sz w:val="24"/>
          <w:szCs w:val="24"/>
        </w:rPr>
      </w:pPr>
      <w:r w:rsidRPr="002C448C">
        <w:rPr>
          <w:noProof/>
          <w:sz w:val="24"/>
          <w:szCs w:val="24"/>
        </w:rPr>
        <w:t>patienter med symptomatisk koronararteriesygdom</w:t>
      </w:r>
    </w:p>
    <w:p w:rsidR="00737655" w:rsidRPr="002C448C" w:rsidRDefault="00737655" w:rsidP="00737655">
      <w:pPr>
        <w:pStyle w:val="Listeafsnit"/>
        <w:numPr>
          <w:ilvl w:val="0"/>
          <w:numId w:val="12"/>
        </w:numPr>
        <w:ind w:left="1276" w:hanging="425"/>
        <w:rPr>
          <w:noProof/>
          <w:sz w:val="24"/>
          <w:szCs w:val="24"/>
        </w:rPr>
      </w:pPr>
      <w:r w:rsidRPr="002C448C">
        <w:rPr>
          <w:noProof/>
          <w:sz w:val="24"/>
          <w:szCs w:val="24"/>
        </w:rPr>
        <w:t>patienter med ukontrolleret hypertension.</w:t>
      </w:r>
    </w:p>
    <w:p w:rsidR="00737655" w:rsidRPr="002C448C" w:rsidRDefault="00737655" w:rsidP="00737655">
      <w:pPr>
        <w:ind w:left="851"/>
        <w:rPr>
          <w:noProof/>
          <w:sz w:val="24"/>
          <w:szCs w:val="24"/>
        </w:rPr>
      </w:pPr>
      <w:r w:rsidRPr="002C448C">
        <w:rPr>
          <w:noProof/>
          <w:sz w:val="24"/>
          <w:szCs w:val="24"/>
        </w:rPr>
        <w:t>Brug af tadalafil anbefales ikke til disse patienter, da der ikke er kliniske data vedrørende sikkerheden.</w:t>
      </w:r>
    </w:p>
    <w:p w:rsidR="00737655" w:rsidRPr="002C448C" w:rsidRDefault="00737655" w:rsidP="00737655">
      <w:pPr>
        <w:ind w:left="851" w:hanging="851"/>
        <w:rPr>
          <w:noProof/>
          <w:sz w:val="24"/>
          <w:szCs w:val="24"/>
        </w:rPr>
      </w:pPr>
    </w:p>
    <w:p w:rsidR="00737655" w:rsidRPr="002C448C" w:rsidRDefault="00737655" w:rsidP="00737655">
      <w:pPr>
        <w:ind w:left="851"/>
        <w:rPr>
          <w:noProof/>
          <w:sz w:val="24"/>
          <w:szCs w:val="24"/>
        </w:rPr>
      </w:pPr>
      <w:r w:rsidRPr="002C448C">
        <w:rPr>
          <w:noProof/>
          <w:sz w:val="24"/>
          <w:szCs w:val="24"/>
        </w:rPr>
        <w:t>Pulmonære vasodilatatorer kan forværre den kardiovaskulære status signifikant hos patienter med pulmonal veneokklusiv sygdom (PVOD). Behandling med tadalafil anbefales ikke til disse patienter, da der ikke foreligger kliniske data, hvor tadalafil har været givet til patienter med veneokklusiv sygdom. PVOD bør overvejes, hvis der ses tegn på pulmonalt ødem ved behandling med tadalafil.</w:t>
      </w:r>
    </w:p>
    <w:p w:rsidR="00737655" w:rsidRPr="002C448C" w:rsidRDefault="00737655" w:rsidP="00737655">
      <w:pPr>
        <w:ind w:left="851" w:hanging="851"/>
        <w:rPr>
          <w:noProof/>
          <w:sz w:val="24"/>
          <w:szCs w:val="24"/>
        </w:rPr>
      </w:pPr>
    </w:p>
    <w:p w:rsidR="00737655" w:rsidRDefault="00737655" w:rsidP="00737655">
      <w:pPr>
        <w:ind w:left="851"/>
        <w:rPr>
          <w:noProof/>
          <w:sz w:val="24"/>
          <w:szCs w:val="24"/>
        </w:rPr>
      </w:pPr>
      <w:r>
        <w:rPr>
          <w:noProof/>
          <w:sz w:val="24"/>
          <w:szCs w:val="24"/>
        </w:rPr>
        <w:t>Tadalafil har systemiske vasodilatatoriske egenskaber, der kan resultere i forbigående blodtryksfald. Lægerne bør nøje overveje, om de af deres patienter, der lider af visse underliggende sygdomme, såsom svær obstruktion i udløbet fra venstre ventrikel, væskemangel, hypotension, herunder autonom hypotension, kan påvirkes ugunstigt af en sådan vasodilatatorisk effekt.</w:t>
      </w:r>
    </w:p>
    <w:p w:rsidR="00737655" w:rsidRDefault="00737655" w:rsidP="00737655">
      <w:pPr>
        <w:ind w:left="851" w:hanging="851"/>
        <w:rPr>
          <w:noProof/>
          <w:sz w:val="24"/>
          <w:szCs w:val="24"/>
        </w:rPr>
      </w:pPr>
    </w:p>
    <w:p w:rsidR="00737655" w:rsidRDefault="00737655" w:rsidP="00737655">
      <w:pPr>
        <w:ind w:left="851"/>
        <w:rPr>
          <w:noProof/>
          <w:sz w:val="24"/>
          <w:szCs w:val="24"/>
        </w:rPr>
      </w:pPr>
      <w:r>
        <w:rPr>
          <w:noProof/>
          <w:sz w:val="24"/>
          <w:szCs w:val="24"/>
        </w:rPr>
        <w:t>Hos patienter, der er i samtidig behandling med antihypertensiva, kan tadalafil fremme et fald i blodtrykket. Passende kliniske overvejelser bør gøres vedrørende en mulig dosisjustering af den antihypertensive behandling ved opstart af daglig behandling med tadalafil.</w:t>
      </w:r>
    </w:p>
    <w:p w:rsidR="00737655" w:rsidRDefault="00737655" w:rsidP="00737655">
      <w:pPr>
        <w:ind w:left="851" w:hanging="851"/>
        <w:rPr>
          <w:noProof/>
          <w:sz w:val="24"/>
          <w:szCs w:val="24"/>
        </w:rPr>
      </w:pPr>
    </w:p>
    <w:p w:rsidR="00737655" w:rsidRDefault="00737655" w:rsidP="00737655">
      <w:pPr>
        <w:ind w:left="851"/>
        <w:rPr>
          <w:noProof/>
          <w:sz w:val="24"/>
          <w:szCs w:val="24"/>
        </w:rPr>
      </w:pPr>
      <w:r>
        <w:rPr>
          <w:noProof/>
          <w:sz w:val="24"/>
          <w:szCs w:val="24"/>
        </w:rPr>
        <w:t>Hos patienter, som er i behandling med alfa</w:t>
      </w:r>
      <w:r>
        <w:rPr>
          <w:noProof/>
          <w:sz w:val="24"/>
          <w:szCs w:val="24"/>
          <w:vertAlign w:val="subscript"/>
        </w:rPr>
        <w:t>1</w:t>
      </w:r>
      <w:r>
        <w:rPr>
          <w:noProof/>
          <w:sz w:val="24"/>
          <w:szCs w:val="24"/>
        </w:rPr>
        <w:t xml:space="preserve">-blokkere, kan samtidig indgift af Tadalafil </w:t>
      </w:r>
      <w:bookmarkStart w:id="1" w:name="_Hlk501436867"/>
      <w:r>
        <w:rPr>
          <w:noProof/>
          <w:sz w:val="24"/>
          <w:szCs w:val="24"/>
        </w:rPr>
        <w:t>"Sandoz"</w:t>
      </w:r>
      <w:bookmarkEnd w:id="1"/>
      <w:r>
        <w:rPr>
          <w:noProof/>
          <w:sz w:val="24"/>
          <w:szCs w:val="24"/>
        </w:rPr>
        <w:t xml:space="preserve"> give anledning til symptomatisk hypotension hos visse patienter (se pkt. 4.5). Kombinationen af tadalafil og doxazosin tilrådes ikke.</w:t>
      </w:r>
    </w:p>
    <w:p w:rsidR="00737655" w:rsidRDefault="00737655" w:rsidP="00737655">
      <w:pPr>
        <w:ind w:left="851" w:hanging="851"/>
        <w:rPr>
          <w:noProof/>
          <w:sz w:val="24"/>
          <w:szCs w:val="24"/>
        </w:rPr>
      </w:pPr>
    </w:p>
    <w:p w:rsidR="00737655" w:rsidRDefault="00737655" w:rsidP="00737655">
      <w:pPr>
        <w:ind w:left="851"/>
        <w:rPr>
          <w:noProof/>
          <w:sz w:val="24"/>
          <w:szCs w:val="24"/>
          <w:u w:val="single"/>
        </w:rPr>
      </w:pPr>
      <w:r>
        <w:rPr>
          <w:noProof/>
          <w:sz w:val="24"/>
          <w:szCs w:val="24"/>
          <w:u w:val="single"/>
        </w:rPr>
        <w:t>Syn</w:t>
      </w:r>
    </w:p>
    <w:p w:rsidR="00737655" w:rsidRDefault="00737655" w:rsidP="00737655">
      <w:pPr>
        <w:ind w:left="851"/>
        <w:rPr>
          <w:noProof/>
          <w:sz w:val="24"/>
          <w:szCs w:val="24"/>
        </w:rPr>
      </w:pPr>
      <w:r w:rsidRPr="009734F7">
        <w:rPr>
          <w:noProof/>
          <w:sz w:val="24"/>
          <w:szCs w:val="24"/>
        </w:rPr>
        <w:t>Der er rapporteret synsdefekter, herunder central serøs chorioretinopati (CSC) og tilfælde af NAION i forbindelse med indtagelse af tadalafil og andre PDE5-hæmmere. De fleste tilfælde af CSC forsvandt spontant efter seponering af tadalafil. Angående NAION, tyder data fra observationsstudier på en øget risiko for akut NAION hos mænd med erektil dysfunktion, som følge af episodisk brug af tadalafil og PDE5-hæmmere. Da dette kan være relevant for alle patienter, som anvender tadalafil, skal patienterne informeres om, at de skal stoppe med at tage tadalafil og omgående konsultere en læge, hvis der pludseligt opstår en synsdefekt, forringelse af synsskarphed og/eller forvrængning af synet (se pkt 4.3). Anvendelse til patienter med kendte medfødte degenerative retinasygdomme, inklusive retinitis pigmentosa, anbefales ikke, da disse patienter ikke var inkluderet i de kliniske studier.</w:t>
      </w:r>
    </w:p>
    <w:p w:rsidR="00737655" w:rsidRDefault="00737655" w:rsidP="00737655">
      <w:pPr>
        <w:ind w:left="851"/>
        <w:rPr>
          <w:noProof/>
          <w:sz w:val="24"/>
          <w:szCs w:val="24"/>
        </w:rPr>
      </w:pPr>
    </w:p>
    <w:p w:rsidR="00737655" w:rsidRDefault="00737655" w:rsidP="00737655">
      <w:pPr>
        <w:ind w:left="851"/>
        <w:rPr>
          <w:noProof/>
          <w:sz w:val="24"/>
          <w:szCs w:val="24"/>
          <w:u w:val="single"/>
        </w:rPr>
      </w:pPr>
      <w:r>
        <w:rPr>
          <w:noProof/>
          <w:sz w:val="24"/>
          <w:szCs w:val="24"/>
          <w:u w:val="single"/>
        </w:rPr>
        <w:t xml:space="preserve">Nedsat hørelse eller pludseligt høretab </w:t>
      </w:r>
    </w:p>
    <w:p w:rsidR="00737655" w:rsidRDefault="00737655" w:rsidP="00737655">
      <w:pPr>
        <w:ind w:left="851"/>
        <w:rPr>
          <w:noProof/>
          <w:sz w:val="24"/>
          <w:szCs w:val="24"/>
        </w:rPr>
      </w:pPr>
      <w:r>
        <w:rPr>
          <w:noProof/>
          <w:sz w:val="24"/>
          <w:szCs w:val="24"/>
        </w:rPr>
        <w:t>Der er rapporteret tilfælde af pludseligt høretab efter brug af tadalafil. Selvom andre risikofaktorer i nogle tilfælde er tilstede (såsom alder, diabetes, hypertension, høretab i anamnesen og tilhørende bindevævssygdomme), skal patienten, i tilfælde af pludseligt opstået høretab, informeres om straks at søge lægehjælp.</w:t>
      </w:r>
    </w:p>
    <w:p w:rsidR="00737655" w:rsidRDefault="00737655" w:rsidP="00737655">
      <w:pPr>
        <w:ind w:left="851" w:hanging="851"/>
        <w:rPr>
          <w:noProof/>
          <w:sz w:val="24"/>
          <w:szCs w:val="24"/>
          <w:u w:val="single"/>
        </w:rPr>
      </w:pPr>
    </w:p>
    <w:p w:rsidR="00737655" w:rsidRDefault="00737655" w:rsidP="00737655">
      <w:pPr>
        <w:ind w:left="851"/>
        <w:rPr>
          <w:noProof/>
          <w:sz w:val="24"/>
          <w:szCs w:val="24"/>
          <w:u w:val="single"/>
        </w:rPr>
      </w:pPr>
      <w:r>
        <w:rPr>
          <w:noProof/>
          <w:sz w:val="24"/>
          <w:szCs w:val="24"/>
          <w:u w:val="single"/>
        </w:rPr>
        <w:t>Nedsat nyre- og leverfunktion</w:t>
      </w:r>
    </w:p>
    <w:p w:rsidR="00737655" w:rsidRDefault="00737655" w:rsidP="00737655">
      <w:pPr>
        <w:ind w:left="851"/>
        <w:rPr>
          <w:noProof/>
          <w:sz w:val="24"/>
          <w:szCs w:val="24"/>
        </w:rPr>
      </w:pPr>
      <w:r>
        <w:rPr>
          <w:noProof/>
          <w:sz w:val="24"/>
          <w:szCs w:val="24"/>
        </w:rPr>
        <w:t>På grund af forhøjet tadalafil eksponering (AUC), begrænset klinisk erfaring og manglende mulighed for at påvirke clearance via dialyse, anbefales én gang daglig dosering af Tadalafil "Sandoz" ikke til patienter med svær nyreinsufficiens.</w:t>
      </w:r>
    </w:p>
    <w:p w:rsidR="00737655" w:rsidRDefault="00737655" w:rsidP="00737655">
      <w:pPr>
        <w:ind w:left="851" w:hanging="851"/>
        <w:rPr>
          <w:noProof/>
          <w:sz w:val="24"/>
          <w:szCs w:val="24"/>
        </w:rPr>
      </w:pPr>
    </w:p>
    <w:p w:rsidR="00737655" w:rsidRDefault="00737655" w:rsidP="00737655">
      <w:pPr>
        <w:ind w:left="851"/>
        <w:rPr>
          <w:noProof/>
          <w:sz w:val="24"/>
          <w:szCs w:val="24"/>
        </w:rPr>
      </w:pPr>
      <w:r>
        <w:rPr>
          <w:noProof/>
          <w:sz w:val="24"/>
          <w:szCs w:val="24"/>
        </w:rPr>
        <w:lastRenderedPageBreak/>
        <w:t xml:space="preserve">Der er begrænsede kliniske data omkring sikkerheden af enkelt-dosis administration af tadalafil hos patienter med svær leverinsufficiens (Child-Pugh klasse C). Hvis tadalafil ordineres, bør en omhyggelig individuel benefit/risk-vurdering foretages af den ordinerende læge. </w:t>
      </w:r>
    </w:p>
    <w:p w:rsidR="00737655" w:rsidRDefault="00737655" w:rsidP="00737655">
      <w:pPr>
        <w:ind w:left="851"/>
        <w:rPr>
          <w:sz w:val="24"/>
          <w:szCs w:val="24"/>
        </w:rPr>
      </w:pPr>
      <w:r>
        <w:rPr>
          <w:sz w:val="24"/>
          <w:szCs w:val="24"/>
        </w:rPr>
        <w:t xml:space="preserve">En gang daglig administration er ikke blevet evalueret </w:t>
      </w:r>
      <w:r>
        <w:rPr>
          <w:noProof/>
          <w:sz w:val="24"/>
          <w:szCs w:val="24"/>
        </w:rPr>
        <w:t>hos patienter med svær levercirrose (Child-Pugh klasse C)</w:t>
      </w:r>
      <w:r>
        <w:rPr>
          <w:sz w:val="24"/>
          <w:szCs w:val="24"/>
        </w:rPr>
        <w:t xml:space="preserve"> og derfor er daglig dosering med </w:t>
      </w:r>
      <w:proofErr w:type="spellStart"/>
      <w:r>
        <w:rPr>
          <w:sz w:val="24"/>
          <w:szCs w:val="24"/>
        </w:rPr>
        <w:t>tadalafil</w:t>
      </w:r>
      <w:proofErr w:type="spellEnd"/>
      <w:r>
        <w:rPr>
          <w:sz w:val="24"/>
          <w:szCs w:val="24"/>
        </w:rPr>
        <w:t xml:space="preserve"> ikke anbefalet. </w:t>
      </w:r>
    </w:p>
    <w:p w:rsidR="00737655" w:rsidRDefault="00737655" w:rsidP="00737655">
      <w:pPr>
        <w:ind w:left="851" w:hanging="851"/>
        <w:rPr>
          <w:noProof/>
          <w:sz w:val="24"/>
          <w:szCs w:val="24"/>
        </w:rPr>
      </w:pPr>
    </w:p>
    <w:p w:rsidR="00737655" w:rsidRDefault="00737655" w:rsidP="00737655">
      <w:pPr>
        <w:ind w:left="851"/>
        <w:rPr>
          <w:noProof/>
          <w:sz w:val="24"/>
          <w:szCs w:val="24"/>
          <w:u w:val="single"/>
        </w:rPr>
      </w:pPr>
      <w:r>
        <w:rPr>
          <w:noProof/>
          <w:sz w:val="24"/>
          <w:szCs w:val="24"/>
          <w:u w:val="single"/>
        </w:rPr>
        <w:t>Priapisme og anatomisk deformation af penis</w:t>
      </w:r>
    </w:p>
    <w:p w:rsidR="00737655" w:rsidRDefault="00737655" w:rsidP="00737655">
      <w:pPr>
        <w:ind w:left="851"/>
        <w:rPr>
          <w:noProof/>
          <w:sz w:val="24"/>
          <w:szCs w:val="24"/>
        </w:rPr>
      </w:pPr>
      <w:r>
        <w:rPr>
          <w:noProof/>
          <w:sz w:val="24"/>
          <w:szCs w:val="24"/>
        </w:rPr>
        <w:t>Priapisme er rapporteret hos mænd, der blev behandlet med PDE5-hæmmere. Patienterne skal instrueres i at søge læge straks, hvis de oplever erektioner, der varer i 4 timer eller mere. Hvis priapisme ikke behandles straks, kan det resultere i skader på det penile væv samt permanent impotens.</w:t>
      </w:r>
    </w:p>
    <w:p w:rsidR="00737655" w:rsidRPr="002C448C" w:rsidRDefault="00737655" w:rsidP="00737655">
      <w:pPr>
        <w:ind w:left="851" w:hanging="851"/>
        <w:rPr>
          <w:noProof/>
          <w:sz w:val="24"/>
          <w:szCs w:val="24"/>
        </w:rPr>
      </w:pPr>
    </w:p>
    <w:p w:rsidR="00737655" w:rsidRDefault="00737655" w:rsidP="00737655">
      <w:pPr>
        <w:ind w:left="851"/>
        <w:rPr>
          <w:noProof/>
          <w:sz w:val="24"/>
          <w:szCs w:val="24"/>
        </w:rPr>
      </w:pPr>
      <w:r w:rsidRPr="002C448C">
        <w:rPr>
          <w:noProof/>
          <w:sz w:val="24"/>
          <w:szCs w:val="24"/>
        </w:rPr>
        <w:t>Tadalafil bør anvendes med forsigtighed hos patienter med anatomisk deformation af penis (såsom vinkling, kavernøs fibrose eller Peyronies sygdom) og hos patienter, som kan være disponerede for priapisme (såsom patienter med seglcelleanæmi, myelomatose eller leukæmi).</w:t>
      </w:r>
    </w:p>
    <w:p w:rsidR="00737655" w:rsidRPr="002C448C" w:rsidRDefault="00737655" w:rsidP="00737655">
      <w:pPr>
        <w:ind w:left="851" w:hanging="851"/>
        <w:rPr>
          <w:noProof/>
          <w:sz w:val="24"/>
          <w:szCs w:val="24"/>
        </w:rPr>
      </w:pPr>
    </w:p>
    <w:p w:rsidR="00737655" w:rsidRDefault="00737655" w:rsidP="00737655">
      <w:pPr>
        <w:keepNext/>
        <w:ind w:left="851"/>
        <w:rPr>
          <w:noProof/>
          <w:sz w:val="24"/>
          <w:szCs w:val="24"/>
          <w:u w:val="single"/>
        </w:rPr>
      </w:pPr>
      <w:r>
        <w:rPr>
          <w:noProof/>
          <w:sz w:val="24"/>
          <w:szCs w:val="24"/>
          <w:u w:val="single"/>
        </w:rPr>
        <w:t>Brug af CYP3A4-induktorer eller -hæmmere</w:t>
      </w:r>
    </w:p>
    <w:p w:rsidR="00737655" w:rsidRDefault="00737655" w:rsidP="00737655">
      <w:pPr>
        <w:ind w:left="851"/>
        <w:rPr>
          <w:noProof/>
          <w:sz w:val="24"/>
          <w:szCs w:val="24"/>
        </w:rPr>
      </w:pPr>
      <w:r>
        <w:rPr>
          <w:noProof/>
          <w:sz w:val="24"/>
          <w:szCs w:val="24"/>
        </w:rPr>
        <w:t>Tadalafil anbefales ikke til patienter, der kronisk tager potente CYP3A4-inducerende lægemidler, såsom rifampicin (se pkt. 4.5).</w:t>
      </w:r>
    </w:p>
    <w:p w:rsidR="00737655" w:rsidRDefault="00737655" w:rsidP="00737655">
      <w:pPr>
        <w:ind w:left="851"/>
        <w:rPr>
          <w:noProof/>
          <w:sz w:val="24"/>
          <w:szCs w:val="24"/>
        </w:rPr>
      </w:pPr>
    </w:p>
    <w:p w:rsidR="00737655" w:rsidRDefault="00737655" w:rsidP="00737655">
      <w:pPr>
        <w:ind w:left="851"/>
        <w:rPr>
          <w:noProof/>
          <w:sz w:val="24"/>
          <w:szCs w:val="24"/>
        </w:rPr>
      </w:pPr>
      <w:r>
        <w:rPr>
          <w:noProof/>
          <w:sz w:val="24"/>
          <w:szCs w:val="24"/>
        </w:rPr>
        <w:t>Tadalafil anbefales ikke til patienter, der samtidig tager potente CYP3A4-hæmmere, såsom ketoconazol eller ritonavir (se pkt. 4.5).</w:t>
      </w:r>
    </w:p>
    <w:p w:rsidR="00737655" w:rsidRDefault="00737655" w:rsidP="00737655">
      <w:pPr>
        <w:ind w:left="851" w:hanging="851"/>
        <w:rPr>
          <w:noProof/>
          <w:sz w:val="24"/>
          <w:szCs w:val="24"/>
          <w:u w:val="single"/>
        </w:rPr>
      </w:pPr>
    </w:p>
    <w:p w:rsidR="00737655" w:rsidRDefault="00737655" w:rsidP="00737655">
      <w:pPr>
        <w:ind w:left="851"/>
        <w:rPr>
          <w:noProof/>
          <w:sz w:val="24"/>
          <w:szCs w:val="24"/>
          <w:u w:val="single"/>
        </w:rPr>
      </w:pPr>
      <w:r>
        <w:rPr>
          <w:noProof/>
          <w:sz w:val="24"/>
          <w:szCs w:val="24"/>
          <w:u w:val="single"/>
        </w:rPr>
        <w:t>Behandling for erektil dysfuntion</w:t>
      </w:r>
    </w:p>
    <w:p w:rsidR="00737655" w:rsidRDefault="00737655" w:rsidP="00737655">
      <w:pPr>
        <w:ind w:left="851"/>
        <w:rPr>
          <w:noProof/>
          <w:sz w:val="24"/>
          <w:szCs w:val="24"/>
        </w:rPr>
      </w:pPr>
      <w:r>
        <w:rPr>
          <w:noProof/>
          <w:sz w:val="24"/>
          <w:szCs w:val="24"/>
        </w:rPr>
        <w:t>Sikkerheden og virkningen af kombinationer af tadalafil og andre PDE5-hæmmere eller andre behandlinger for erektil dysfunktion er ikke undersøgt. Patienterne skal informeres om ikke at tage tadalafil sammen med disse præparater.</w:t>
      </w:r>
    </w:p>
    <w:p w:rsidR="00737655" w:rsidRDefault="00737655" w:rsidP="00737655">
      <w:pPr>
        <w:ind w:left="851" w:hanging="851"/>
        <w:rPr>
          <w:noProof/>
          <w:sz w:val="24"/>
          <w:szCs w:val="24"/>
        </w:rPr>
      </w:pPr>
    </w:p>
    <w:p w:rsidR="00737655" w:rsidRDefault="00737655" w:rsidP="00737655">
      <w:pPr>
        <w:ind w:left="851"/>
        <w:rPr>
          <w:noProof/>
          <w:sz w:val="24"/>
          <w:szCs w:val="24"/>
          <w:u w:val="single"/>
        </w:rPr>
      </w:pPr>
      <w:r>
        <w:rPr>
          <w:noProof/>
          <w:sz w:val="24"/>
          <w:szCs w:val="24"/>
          <w:u w:val="single"/>
        </w:rPr>
        <w:t>Prostacyclin og dets analoger</w:t>
      </w:r>
    </w:p>
    <w:p w:rsidR="00737655" w:rsidRDefault="00737655" w:rsidP="00737655">
      <w:pPr>
        <w:ind w:left="851"/>
        <w:rPr>
          <w:noProof/>
          <w:sz w:val="24"/>
          <w:szCs w:val="24"/>
        </w:rPr>
      </w:pPr>
      <w:r>
        <w:rPr>
          <w:noProof/>
          <w:sz w:val="24"/>
          <w:szCs w:val="24"/>
        </w:rPr>
        <w:t>Virkning og sikkerhed af tadalafil givet sammen med prostacyclin eller dets analoger er ikke undersøgt i kontrollerede kliniske studier. Derfor bør der udvises forsigtighed ved kombination af disse.</w:t>
      </w:r>
    </w:p>
    <w:p w:rsidR="00737655" w:rsidRDefault="00737655" w:rsidP="00737655">
      <w:pPr>
        <w:ind w:left="851" w:hanging="851"/>
        <w:rPr>
          <w:noProof/>
          <w:sz w:val="24"/>
          <w:szCs w:val="24"/>
        </w:rPr>
      </w:pPr>
    </w:p>
    <w:p w:rsidR="00737655" w:rsidRDefault="00737655" w:rsidP="00737655">
      <w:pPr>
        <w:ind w:left="851"/>
        <w:rPr>
          <w:noProof/>
          <w:sz w:val="24"/>
          <w:szCs w:val="24"/>
          <w:u w:val="single"/>
        </w:rPr>
      </w:pPr>
      <w:r>
        <w:rPr>
          <w:noProof/>
          <w:sz w:val="24"/>
          <w:szCs w:val="24"/>
          <w:u w:val="single"/>
        </w:rPr>
        <w:t>Bosentan</w:t>
      </w:r>
    </w:p>
    <w:p w:rsidR="00737655" w:rsidRDefault="00737655" w:rsidP="00737655">
      <w:pPr>
        <w:ind w:left="851"/>
        <w:rPr>
          <w:noProof/>
          <w:sz w:val="24"/>
          <w:szCs w:val="24"/>
        </w:rPr>
      </w:pPr>
      <w:r>
        <w:rPr>
          <w:noProof/>
          <w:sz w:val="24"/>
          <w:szCs w:val="24"/>
        </w:rPr>
        <w:t>Virkningen af tadalafil hos patinter, der allerede får bosentanbehandling, er ikke vist endegyldigt (se pkt. 4.5 og 5.1).</w:t>
      </w:r>
    </w:p>
    <w:p w:rsidR="00C07FC7" w:rsidRDefault="00C07FC7" w:rsidP="00C07FC7">
      <w:pPr>
        <w:ind w:left="851" w:hanging="851"/>
        <w:rPr>
          <w:noProof/>
          <w:sz w:val="24"/>
          <w:szCs w:val="24"/>
        </w:rPr>
      </w:pPr>
    </w:p>
    <w:p w:rsidR="00313AA0" w:rsidRDefault="00313AA0" w:rsidP="00313AA0">
      <w:pPr>
        <w:ind w:left="851"/>
        <w:rPr>
          <w:noProof/>
          <w:sz w:val="24"/>
          <w:szCs w:val="24"/>
          <w:u w:val="single"/>
        </w:rPr>
      </w:pPr>
      <w:r>
        <w:rPr>
          <w:noProof/>
          <w:sz w:val="24"/>
          <w:szCs w:val="24"/>
          <w:u w:val="single"/>
        </w:rPr>
        <w:t>Tadalafil ”Sandoz” indeholder lactose og natrium</w:t>
      </w:r>
    </w:p>
    <w:p w:rsidR="00313AA0" w:rsidRDefault="00313AA0" w:rsidP="00313AA0">
      <w:pPr>
        <w:ind w:left="851"/>
        <w:rPr>
          <w:noProof/>
          <w:sz w:val="24"/>
          <w:szCs w:val="24"/>
        </w:rPr>
      </w:pPr>
      <w:r>
        <w:rPr>
          <w:noProof/>
          <w:sz w:val="24"/>
          <w:szCs w:val="24"/>
        </w:rPr>
        <w:t>Tadalafil "Sandoz" indeholder lactosemonohydrat. Tadalafil "Sandoz" bør ikke anvendes til patienter med hereditær galactoseintolerans, total lactasemangel eller glucose/galactosemalabsorption.</w:t>
      </w:r>
    </w:p>
    <w:p w:rsidR="00313AA0" w:rsidRDefault="00313AA0" w:rsidP="00313AA0">
      <w:pPr>
        <w:ind w:left="851"/>
        <w:rPr>
          <w:noProof/>
          <w:sz w:val="24"/>
          <w:szCs w:val="24"/>
        </w:rPr>
      </w:pPr>
    </w:p>
    <w:p w:rsidR="00313AA0" w:rsidRDefault="00313AA0" w:rsidP="00313AA0">
      <w:pPr>
        <w:ind w:left="851"/>
        <w:rPr>
          <w:noProof/>
          <w:sz w:val="24"/>
          <w:szCs w:val="24"/>
        </w:rPr>
      </w:pPr>
      <w:r>
        <w:rPr>
          <w:noProof/>
          <w:sz w:val="24"/>
          <w:szCs w:val="24"/>
        </w:rPr>
        <w:t>Dette lægemiddel indeholder mindre end 1 mmol (23 mg) natrium pr. tablet, dvs. det er i det væsentlige natriumfrit.</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4.5</w:t>
      </w:r>
      <w:r w:rsidRPr="002C448C">
        <w:rPr>
          <w:b/>
          <w:sz w:val="24"/>
          <w:szCs w:val="24"/>
        </w:rPr>
        <w:tab/>
        <w:t>Interaktion med andre lægemidler og andre former for interaktion</w:t>
      </w:r>
    </w:p>
    <w:p w:rsidR="00737655" w:rsidRDefault="00737655" w:rsidP="00737655">
      <w:pPr>
        <w:ind w:left="851"/>
        <w:rPr>
          <w:sz w:val="24"/>
          <w:szCs w:val="24"/>
        </w:rPr>
      </w:pPr>
      <w:r>
        <w:rPr>
          <w:sz w:val="24"/>
          <w:szCs w:val="24"/>
        </w:rPr>
        <w:t xml:space="preserve">Interaktionsundersøgelserne blev, som beskrevet nedenfor, udført med 10 mg og/eller 20 mg </w:t>
      </w:r>
      <w:proofErr w:type="spellStart"/>
      <w:r>
        <w:rPr>
          <w:sz w:val="24"/>
          <w:szCs w:val="24"/>
        </w:rPr>
        <w:t>tadalafil</w:t>
      </w:r>
      <w:proofErr w:type="spellEnd"/>
      <w:r>
        <w:rPr>
          <w:sz w:val="24"/>
          <w:szCs w:val="24"/>
        </w:rPr>
        <w:t xml:space="preserve">. For de interaktionsundersøgelser, hvor kun 10 mg </w:t>
      </w:r>
      <w:proofErr w:type="spellStart"/>
      <w:r>
        <w:rPr>
          <w:sz w:val="24"/>
          <w:szCs w:val="24"/>
        </w:rPr>
        <w:t>tadalafil</w:t>
      </w:r>
      <w:proofErr w:type="spellEnd"/>
      <w:r>
        <w:rPr>
          <w:sz w:val="24"/>
          <w:szCs w:val="24"/>
        </w:rPr>
        <w:t xml:space="preserve"> blev anvendt, kan klinisk relevante interaktioner ved højere doser ikke udelukkes.</w:t>
      </w:r>
    </w:p>
    <w:p w:rsidR="00737655" w:rsidRDefault="00737655" w:rsidP="00737655">
      <w:pPr>
        <w:ind w:left="851" w:hanging="851"/>
        <w:rPr>
          <w:sz w:val="24"/>
          <w:szCs w:val="24"/>
        </w:rPr>
      </w:pPr>
    </w:p>
    <w:p w:rsidR="00737655" w:rsidRDefault="00737655" w:rsidP="00737655">
      <w:pPr>
        <w:ind w:left="851"/>
        <w:rPr>
          <w:sz w:val="24"/>
          <w:szCs w:val="24"/>
          <w:u w:val="single"/>
        </w:rPr>
      </w:pPr>
      <w:r>
        <w:rPr>
          <w:sz w:val="24"/>
          <w:szCs w:val="24"/>
          <w:u w:val="single"/>
        </w:rPr>
        <w:t xml:space="preserve">Andre lægemidlers virkning på </w:t>
      </w:r>
      <w:proofErr w:type="spellStart"/>
      <w:r>
        <w:rPr>
          <w:sz w:val="24"/>
          <w:szCs w:val="24"/>
          <w:u w:val="single"/>
        </w:rPr>
        <w:t>tadalafil</w:t>
      </w:r>
      <w:proofErr w:type="spellEnd"/>
    </w:p>
    <w:p w:rsidR="00737655" w:rsidRDefault="00737655" w:rsidP="00737655">
      <w:pPr>
        <w:ind w:left="851" w:hanging="851"/>
        <w:rPr>
          <w:noProof/>
          <w:sz w:val="24"/>
          <w:szCs w:val="24"/>
        </w:rPr>
      </w:pPr>
    </w:p>
    <w:p w:rsidR="00737655" w:rsidRDefault="00737655" w:rsidP="00737655">
      <w:pPr>
        <w:ind w:left="851"/>
        <w:rPr>
          <w:i/>
          <w:noProof/>
          <w:sz w:val="24"/>
          <w:szCs w:val="24"/>
          <w:u w:val="single"/>
        </w:rPr>
      </w:pPr>
      <w:r>
        <w:rPr>
          <w:i/>
          <w:noProof/>
          <w:sz w:val="24"/>
          <w:szCs w:val="24"/>
          <w:u w:val="single"/>
        </w:rPr>
        <w:t>Cytochrom P450-hæmmere</w:t>
      </w:r>
    </w:p>
    <w:p w:rsidR="00737655" w:rsidRDefault="00737655" w:rsidP="00737655">
      <w:pPr>
        <w:ind w:left="851"/>
        <w:rPr>
          <w:i/>
          <w:noProof/>
          <w:sz w:val="24"/>
          <w:szCs w:val="24"/>
        </w:rPr>
      </w:pPr>
      <w:r>
        <w:rPr>
          <w:i/>
          <w:noProof/>
          <w:sz w:val="24"/>
          <w:szCs w:val="24"/>
        </w:rPr>
        <w:t>Azolantimykotika (f.eks. ketoconazol)</w:t>
      </w:r>
    </w:p>
    <w:p w:rsidR="00737655" w:rsidRDefault="00737655" w:rsidP="00737655">
      <w:pPr>
        <w:ind w:left="851"/>
        <w:rPr>
          <w:sz w:val="24"/>
          <w:szCs w:val="24"/>
        </w:rPr>
      </w:pPr>
      <w:proofErr w:type="spellStart"/>
      <w:r>
        <w:rPr>
          <w:spacing w:val="2"/>
          <w:sz w:val="24"/>
          <w:szCs w:val="24"/>
        </w:rPr>
        <w:t>T</w:t>
      </w:r>
      <w:r>
        <w:rPr>
          <w:sz w:val="24"/>
          <w:szCs w:val="24"/>
        </w:rPr>
        <w:t>ada</w:t>
      </w:r>
      <w:r>
        <w:rPr>
          <w:spacing w:val="1"/>
          <w:sz w:val="24"/>
          <w:szCs w:val="24"/>
        </w:rPr>
        <w:t>l</w:t>
      </w:r>
      <w:r>
        <w:rPr>
          <w:sz w:val="24"/>
          <w:szCs w:val="24"/>
        </w:rPr>
        <w:t>a</w:t>
      </w:r>
      <w:r>
        <w:rPr>
          <w:spacing w:val="1"/>
          <w:sz w:val="24"/>
          <w:szCs w:val="24"/>
        </w:rPr>
        <w:t>fi</w:t>
      </w:r>
      <w:r>
        <w:rPr>
          <w:sz w:val="24"/>
          <w:szCs w:val="24"/>
        </w:rPr>
        <w:t>l</w:t>
      </w:r>
      <w:proofErr w:type="spellEnd"/>
      <w:r>
        <w:rPr>
          <w:spacing w:val="1"/>
          <w:sz w:val="24"/>
          <w:szCs w:val="24"/>
        </w:rPr>
        <w:t xml:space="preserve"> </w:t>
      </w:r>
      <w:r>
        <w:rPr>
          <w:sz w:val="24"/>
          <w:szCs w:val="24"/>
        </w:rPr>
        <w:t>b</w:t>
      </w:r>
      <w:r>
        <w:rPr>
          <w:spacing w:val="1"/>
          <w:sz w:val="24"/>
          <w:szCs w:val="24"/>
        </w:rPr>
        <w:t>li</w:t>
      </w:r>
      <w:r>
        <w:rPr>
          <w:spacing w:val="-2"/>
          <w:sz w:val="24"/>
          <w:szCs w:val="24"/>
        </w:rPr>
        <w:t>v</w:t>
      </w:r>
      <w:r>
        <w:rPr>
          <w:sz w:val="24"/>
          <w:szCs w:val="24"/>
        </w:rPr>
        <w:t>er</w:t>
      </w:r>
      <w:r>
        <w:rPr>
          <w:spacing w:val="1"/>
          <w:sz w:val="24"/>
          <w:szCs w:val="24"/>
        </w:rPr>
        <w:t xml:space="preserve"> </w:t>
      </w:r>
      <w:r>
        <w:rPr>
          <w:sz w:val="24"/>
          <w:szCs w:val="24"/>
        </w:rPr>
        <w:t>p</w:t>
      </w:r>
      <w:r>
        <w:rPr>
          <w:spacing w:val="1"/>
          <w:sz w:val="24"/>
          <w:szCs w:val="24"/>
        </w:rPr>
        <w:t>ri</w:t>
      </w:r>
      <w:r>
        <w:rPr>
          <w:spacing w:val="-4"/>
          <w:sz w:val="24"/>
          <w:szCs w:val="24"/>
        </w:rPr>
        <w:t>m</w:t>
      </w:r>
      <w:r>
        <w:rPr>
          <w:spacing w:val="-1"/>
          <w:sz w:val="24"/>
          <w:szCs w:val="24"/>
        </w:rPr>
        <w:t>æ</w:t>
      </w:r>
      <w:r>
        <w:rPr>
          <w:spacing w:val="1"/>
          <w:sz w:val="24"/>
          <w:szCs w:val="24"/>
        </w:rPr>
        <w:t>r</w:t>
      </w:r>
      <w:r>
        <w:rPr>
          <w:sz w:val="24"/>
          <w:szCs w:val="24"/>
        </w:rPr>
        <w:t>t</w:t>
      </w:r>
      <w:r>
        <w:rPr>
          <w:spacing w:val="1"/>
          <w:sz w:val="24"/>
          <w:szCs w:val="24"/>
        </w:rPr>
        <w:t xml:space="preserve"> </w:t>
      </w:r>
      <w:proofErr w:type="spellStart"/>
      <w:r>
        <w:rPr>
          <w:spacing w:val="-4"/>
          <w:sz w:val="24"/>
          <w:szCs w:val="24"/>
        </w:rPr>
        <w:t>m</w:t>
      </w:r>
      <w:r>
        <w:rPr>
          <w:sz w:val="24"/>
          <w:szCs w:val="24"/>
        </w:rPr>
        <w:t>e</w:t>
      </w:r>
      <w:r>
        <w:rPr>
          <w:spacing w:val="1"/>
          <w:sz w:val="24"/>
          <w:szCs w:val="24"/>
        </w:rPr>
        <w:t>t</w:t>
      </w:r>
      <w:r>
        <w:rPr>
          <w:sz w:val="24"/>
          <w:szCs w:val="24"/>
        </w:rPr>
        <w:t>abo</w:t>
      </w:r>
      <w:r>
        <w:rPr>
          <w:spacing w:val="1"/>
          <w:sz w:val="24"/>
          <w:szCs w:val="24"/>
        </w:rPr>
        <w:t>lis</w:t>
      </w:r>
      <w:r>
        <w:rPr>
          <w:sz w:val="24"/>
          <w:szCs w:val="24"/>
        </w:rPr>
        <w:t>e</w:t>
      </w:r>
      <w:r>
        <w:rPr>
          <w:spacing w:val="1"/>
          <w:sz w:val="24"/>
          <w:szCs w:val="24"/>
        </w:rPr>
        <w:t>r</w:t>
      </w:r>
      <w:r>
        <w:rPr>
          <w:sz w:val="24"/>
          <w:szCs w:val="24"/>
        </w:rPr>
        <w:t>et</w:t>
      </w:r>
      <w:proofErr w:type="spellEnd"/>
      <w:r>
        <w:rPr>
          <w:spacing w:val="1"/>
          <w:sz w:val="24"/>
          <w:szCs w:val="24"/>
        </w:rPr>
        <w:t xml:space="preserve"> </w:t>
      </w:r>
      <w:r>
        <w:rPr>
          <w:sz w:val="24"/>
          <w:szCs w:val="24"/>
        </w:rPr>
        <w:t>af</w:t>
      </w:r>
      <w:r>
        <w:rPr>
          <w:spacing w:val="1"/>
          <w:sz w:val="24"/>
          <w:szCs w:val="24"/>
        </w:rPr>
        <w:t xml:space="preserve"> </w:t>
      </w:r>
      <w:r>
        <w:rPr>
          <w:spacing w:val="-1"/>
          <w:sz w:val="24"/>
          <w:szCs w:val="24"/>
        </w:rPr>
        <w:t>CY</w:t>
      </w:r>
      <w:r>
        <w:rPr>
          <w:sz w:val="24"/>
          <w:szCs w:val="24"/>
        </w:rPr>
        <w:t>P3</w:t>
      </w:r>
      <w:r>
        <w:rPr>
          <w:spacing w:val="-1"/>
          <w:sz w:val="24"/>
          <w:szCs w:val="24"/>
        </w:rPr>
        <w:t>A</w:t>
      </w:r>
      <w:r>
        <w:rPr>
          <w:sz w:val="24"/>
          <w:szCs w:val="24"/>
        </w:rPr>
        <w:t xml:space="preserve">4. </w:t>
      </w:r>
      <w:r>
        <w:rPr>
          <w:spacing w:val="-1"/>
          <w:sz w:val="24"/>
          <w:szCs w:val="24"/>
        </w:rPr>
        <w:t>E</w:t>
      </w:r>
      <w:r>
        <w:rPr>
          <w:sz w:val="24"/>
          <w:szCs w:val="24"/>
        </w:rPr>
        <w:t xml:space="preserve">n </w:t>
      </w:r>
      <w:r>
        <w:rPr>
          <w:spacing w:val="1"/>
          <w:sz w:val="24"/>
          <w:szCs w:val="24"/>
        </w:rPr>
        <w:t>s</w:t>
      </w:r>
      <w:r>
        <w:rPr>
          <w:sz w:val="24"/>
          <w:szCs w:val="24"/>
        </w:rPr>
        <w:t>e</w:t>
      </w:r>
      <w:r>
        <w:rPr>
          <w:spacing w:val="1"/>
          <w:sz w:val="24"/>
          <w:szCs w:val="24"/>
        </w:rPr>
        <w:t>l</w:t>
      </w:r>
      <w:r>
        <w:rPr>
          <w:sz w:val="24"/>
          <w:szCs w:val="24"/>
        </w:rPr>
        <w:t>e</w:t>
      </w:r>
      <w:r>
        <w:rPr>
          <w:spacing w:val="-2"/>
          <w:sz w:val="24"/>
          <w:szCs w:val="24"/>
        </w:rPr>
        <w:t>k</w:t>
      </w:r>
      <w:r>
        <w:rPr>
          <w:spacing w:val="1"/>
          <w:sz w:val="24"/>
          <w:szCs w:val="24"/>
        </w:rPr>
        <w:t>ti</w:t>
      </w:r>
      <w:r>
        <w:rPr>
          <w:sz w:val="24"/>
          <w:szCs w:val="24"/>
        </w:rPr>
        <w:t>v</w:t>
      </w:r>
      <w:r>
        <w:rPr>
          <w:spacing w:val="-2"/>
          <w:sz w:val="24"/>
          <w:szCs w:val="24"/>
        </w:rPr>
        <w:t xml:space="preserve"> </w:t>
      </w:r>
      <w:r>
        <w:rPr>
          <w:spacing w:val="1"/>
          <w:sz w:val="24"/>
          <w:szCs w:val="24"/>
        </w:rPr>
        <w:t>i</w:t>
      </w:r>
      <w:r>
        <w:rPr>
          <w:sz w:val="24"/>
          <w:szCs w:val="24"/>
        </w:rPr>
        <w:t>nh</w:t>
      </w:r>
      <w:r>
        <w:rPr>
          <w:spacing w:val="1"/>
          <w:sz w:val="24"/>
          <w:szCs w:val="24"/>
        </w:rPr>
        <w:t>i</w:t>
      </w:r>
      <w:r>
        <w:rPr>
          <w:sz w:val="24"/>
          <w:szCs w:val="24"/>
        </w:rPr>
        <w:t>b</w:t>
      </w:r>
      <w:r>
        <w:rPr>
          <w:spacing w:val="1"/>
          <w:sz w:val="24"/>
          <w:szCs w:val="24"/>
        </w:rPr>
        <w:t>it</w:t>
      </w:r>
      <w:r>
        <w:rPr>
          <w:sz w:val="24"/>
          <w:szCs w:val="24"/>
        </w:rPr>
        <w:t>or</w:t>
      </w:r>
      <w:r>
        <w:rPr>
          <w:spacing w:val="1"/>
          <w:sz w:val="24"/>
          <w:szCs w:val="24"/>
        </w:rPr>
        <w:t xml:space="preserve"> </w:t>
      </w:r>
      <w:r>
        <w:rPr>
          <w:sz w:val="24"/>
          <w:szCs w:val="24"/>
        </w:rPr>
        <w:t>af</w:t>
      </w:r>
      <w:r>
        <w:rPr>
          <w:spacing w:val="1"/>
          <w:sz w:val="24"/>
          <w:szCs w:val="24"/>
        </w:rPr>
        <w:t xml:space="preserve"> </w:t>
      </w:r>
      <w:r>
        <w:rPr>
          <w:spacing w:val="-1"/>
          <w:sz w:val="24"/>
          <w:szCs w:val="24"/>
        </w:rPr>
        <w:t>CY</w:t>
      </w:r>
      <w:r>
        <w:rPr>
          <w:sz w:val="24"/>
          <w:szCs w:val="24"/>
        </w:rPr>
        <w:t>P3</w:t>
      </w:r>
      <w:r>
        <w:rPr>
          <w:spacing w:val="-1"/>
          <w:sz w:val="24"/>
          <w:szCs w:val="24"/>
        </w:rPr>
        <w:t>A</w:t>
      </w:r>
      <w:r>
        <w:rPr>
          <w:sz w:val="24"/>
          <w:szCs w:val="24"/>
        </w:rPr>
        <w:t xml:space="preserve">4, </w:t>
      </w:r>
      <w:proofErr w:type="spellStart"/>
      <w:r>
        <w:rPr>
          <w:spacing w:val="-2"/>
          <w:sz w:val="24"/>
          <w:szCs w:val="24"/>
        </w:rPr>
        <w:t>k</w:t>
      </w:r>
      <w:r>
        <w:rPr>
          <w:sz w:val="24"/>
          <w:szCs w:val="24"/>
        </w:rPr>
        <w:t>e</w:t>
      </w:r>
      <w:r>
        <w:rPr>
          <w:spacing w:val="1"/>
          <w:sz w:val="24"/>
          <w:szCs w:val="24"/>
        </w:rPr>
        <w:t>t</w:t>
      </w:r>
      <w:r>
        <w:rPr>
          <w:sz w:val="24"/>
          <w:szCs w:val="24"/>
        </w:rPr>
        <w:t>ocona</w:t>
      </w:r>
      <w:r>
        <w:rPr>
          <w:spacing w:val="-2"/>
          <w:sz w:val="24"/>
          <w:szCs w:val="24"/>
        </w:rPr>
        <w:t>z</w:t>
      </w:r>
      <w:r>
        <w:rPr>
          <w:sz w:val="24"/>
          <w:szCs w:val="24"/>
        </w:rPr>
        <w:t>ol</w:t>
      </w:r>
      <w:proofErr w:type="spellEnd"/>
      <w:r>
        <w:rPr>
          <w:sz w:val="24"/>
          <w:szCs w:val="24"/>
        </w:rPr>
        <w:t xml:space="preserve"> </w:t>
      </w:r>
      <w:r>
        <w:rPr>
          <w:spacing w:val="1"/>
          <w:sz w:val="24"/>
          <w:szCs w:val="24"/>
        </w:rPr>
        <w:t>(</w:t>
      </w:r>
      <w:r>
        <w:rPr>
          <w:sz w:val="24"/>
          <w:szCs w:val="24"/>
        </w:rPr>
        <w:t xml:space="preserve">200 </w:t>
      </w:r>
      <w:r>
        <w:rPr>
          <w:spacing w:val="-4"/>
          <w:sz w:val="24"/>
          <w:szCs w:val="24"/>
        </w:rPr>
        <w:t>m</w:t>
      </w:r>
      <w:r>
        <w:rPr>
          <w:sz w:val="24"/>
          <w:szCs w:val="24"/>
        </w:rPr>
        <w:t>g</w:t>
      </w:r>
      <w:r>
        <w:rPr>
          <w:spacing w:val="-2"/>
          <w:sz w:val="24"/>
          <w:szCs w:val="24"/>
        </w:rPr>
        <w:t xml:space="preserve"> </w:t>
      </w:r>
      <w:r>
        <w:rPr>
          <w:sz w:val="24"/>
          <w:szCs w:val="24"/>
        </w:rPr>
        <w:t>daglig</w:t>
      </w:r>
      <w:r>
        <w:rPr>
          <w:spacing w:val="1"/>
          <w:sz w:val="24"/>
          <w:szCs w:val="24"/>
        </w:rPr>
        <w:t>)</w:t>
      </w:r>
      <w:r>
        <w:rPr>
          <w:sz w:val="24"/>
          <w:szCs w:val="24"/>
        </w:rPr>
        <w:t>, ø</w:t>
      </w:r>
      <w:r>
        <w:rPr>
          <w:spacing w:val="-2"/>
          <w:sz w:val="24"/>
          <w:szCs w:val="24"/>
        </w:rPr>
        <w:t>g</w:t>
      </w:r>
      <w:r>
        <w:rPr>
          <w:sz w:val="24"/>
          <w:szCs w:val="24"/>
        </w:rPr>
        <w:t>ede</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w:t>
      </w:r>
      <w:r>
        <w:rPr>
          <w:sz w:val="24"/>
          <w:szCs w:val="24"/>
        </w:rPr>
        <w:t>l</w:t>
      </w:r>
      <w:proofErr w:type="spellEnd"/>
      <w:r>
        <w:rPr>
          <w:spacing w:val="1"/>
          <w:sz w:val="24"/>
          <w:szCs w:val="24"/>
        </w:rPr>
        <w:t xml:space="preserve"> (</w:t>
      </w:r>
      <w:r>
        <w:rPr>
          <w:sz w:val="24"/>
          <w:szCs w:val="24"/>
        </w:rPr>
        <w:t xml:space="preserve">10 </w:t>
      </w:r>
      <w:r>
        <w:rPr>
          <w:spacing w:val="-4"/>
          <w:sz w:val="24"/>
          <w:szCs w:val="24"/>
        </w:rPr>
        <w:t>m</w:t>
      </w:r>
      <w:r>
        <w:rPr>
          <w:sz w:val="24"/>
          <w:szCs w:val="24"/>
        </w:rPr>
        <w:t>g</w:t>
      </w:r>
      <w:r>
        <w:rPr>
          <w:spacing w:val="-2"/>
          <w:sz w:val="24"/>
          <w:szCs w:val="24"/>
        </w:rPr>
        <w:t xml:space="preserve"> </w:t>
      </w:r>
      <w:r>
        <w:rPr>
          <w:sz w:val="24"/>
          <w:szCs w:val="24"/>
        </w:rPr>
        <w:t>do</w:t>
      </w:r>
      <w:r>
        <w:rPr>
          <w:spacing w:val="1"/>
          <w:sz w:val="24"/>
          <w:szCs w:val="24"/>
        </w:rPr>
        <w:t>sis</w:t>
      </w:r>
      <w:r>
        <w:rPr>
          <w:sz w:val="24"/>
          <w:szCs w:val="24"/>
        </w:rPr>
        <w:t>)</w:t>
      </w:r>
      <w:r>
        <w:rPr>
          <w:spacing w:val="1"/>
          <w:sz w:val="24"/>
          <w:szCs w:val="24"/>
        </w:rPr>
        <w:t xml:space="preserve"> </w:t>
      </w:r>
      <w:r>
        <w:rPr>
          <w:sz w:val="24"/>
          <w:szCs w:val="24"/>
        </w:rPr>
        <w:t>e</w:t>
      </w:r>
      <w:r>
        <w:rPr>
          <w:spacing w:val="-2"/>
          <w:sz w:val="24"/>
          <w:szCs w:val="24"/>
        </w:rPr>
        <w:t>k</w:t>
      </w:r>
      <w:r>
        <w:rPr>
          <w:spacing w:val="1"/>
          <w:sz w:val="24"/>
          <w:szCs w:val="24"/>
        </w:rPr>
        <w:t>s</w:t>
      </w:r>
      <w:r>
        <w:rPr>
          <w:sz w:val="24"/>
          <w:szCs w:val="24"/>
        </w:rPr>
        <w:t>pone</w:t>
      </w:r>
      <w:r>
        <w:rPr>
          <w:spacing w:val="1"/>
          <w:sz w:val="24"/>
          <w:szCs w:val="24"/>
        </w:rPr>
        <w:t>ri</w:t>
      </w:r>
      <w:r>
        <w:rPr>
          <w:sz w:val="24"/>
          <w:szCs w:val="24"/>
        </w:rPr>
        <w:t>n</w:t>
      </w:r>
      <w:r>
        <w:rPr>
          <w:spacing w:val="-2"/>
          <w:sz w:val="24"/>
          <w:szCs w:val="24"/>
        </w:rPr>
        <w:t>g</w:t>
      </w:r>
      <w:r>
        <w:rPr>
          <w:sz w:val="24"/>
          <w:szCs w:val="24"/>
        </w:rPr>
        <w:t xml:space="preserve">en </w:t>
      </w:r>
      <w:r>
        <w:rPr>
          <w:spacing w:val="1"/>
          <w:sz w:val="24"/>
          <w:szCs w:val="24"/>
        </w:rPr>
        <w:t>(</w:t>
      </w:r>
      <w:r>
        <w:rPr>
          <w:spacing w:val="-1"/>
          <w:sz w:val="24"/>
          <w:szCs w:val="24"/>
        </w:rPr>
        <w:t>AUC</w:t>
      </w:r>
      <w:r>
        <w:rPr>
          <w:sz w:val="24"/>
          <w:szCs w:val="24"/>
        </w:rPr>
        <w:t>)</w:t>
      </w:r>
      <w:r>
        <w:rPr>
          <w:spacing w:val="1"/>
          <w:sz w:val="24"/>
          <w:szCs w:val="24"/>
        </w:rPr>
        <w:t xml:space="preserve"> </w:t>
      </w:r>
      <w:r>
        <w:rPr>
          <w:sz w:val="24"/>
          <w:szCs w:val="24"/>
        </w:rPr>
        <w:t xml:space="preserve">2 </w:t>
      </w:r>
      <w:r>
        <w:rPr>
          <w:spacing w:val="-2"/>
          <w:sz w:val="24"/>
          <w:szCs w:val="24"/>
        </w:rPr>
        <w:t>g</w:t>
      </w:r>
      <w:r>
        <w:rPr>
          <w:sz w:val="24"/>
          <w:szCs w:val="24"/>
        </w:rPr>
        <w:t>an</w:t>
      </w:r>
      <w:r>
        <w:rPr>
          <w:spacing w:val="-2"/>
          <w:sz w:val="24"/>
          <w:szCs w:val="24"/>
        </w:rPr>
        <w:t>g</w:t>
      </w:r>
      <w:r>
        <w:rPr>
          <w:sz w:val="24"/>
          <w:szCs w:val="24"/>
        </w:rPr>
        <w:t>e</w:t>
      </w:r>
      <w:r>
        <w:rPr>
          <w:spacing w:val="1"/>
          <w:sz w:val="24"/>
          <w:szCs w:val="24"/>
        </w:rPr>
        <w:t xml:space="preserve"> </w:t>
      </w:r>
      <w:r>
        <w:rPr>
          <w:sz w:val="24"/>
          <w:szCs w:val="24"/>
        </w:rPr>
        <w:t>og</w:t>
      </w:r>
      <w:r>
        <w:rPr>
          <w:spacing w:val="-2"/>
          <w:sz w:val="24"/>
          <w:szCs w:val="24"/>
        </w:rPr>
        <w:t xml:space="preserve"> </w:t>
      </w:r>
      <w:r>
        <w:rPr>
          <w:spacing w:val="-1"/>
          <w:sz w:val="24"/>
          <w:szCs w:val="24"/>
        </w:rPr>
        <w:t>C</w:t>
      </w:r>
      <w:r w:rsidRPr="007807BC">
        <w:rPr>
          <w:spacing w:val="-5"/>
          <w:position w:val="-3"/>
          <w:sz w:val="24"/>
          <w:szCs w:val="24"/>
          <w:vertAlign w:val="subscript"/>
        </w:rPr>
        <w:t>m</w:t>
      </w:r>
      <w:r w:rsidRPr="007807BC">
        <w:rPr>
          <w:spacing w:val="1"/>
          <w:position w:val="-3"/>
          <w:sz w:val="24"/>
          <w:szCs w:val="24"/>
          <w:vertAlign w:val="subscript"/>
        </w:rPr>
        <w:t>a</w:t>
      </w:r>
      <w:r w:rsidRPr="007807BC">
        <w:rPr>
          <w:position w:val="-3"/>
          <w:sz w:val="24"/>
          <w:szCs w:val="24"/>
          <w:vertAlign w:val="subscript"/>
        </w:rPr>
        <w:t>x</w:t>
      </w:r>
      <w:r>
        <w:rPr>
          <w:spacing w:val="16"/>
          <w:position w:val="-3"/>
          <w:sz w:val="24"/>
          <w:szCs w:val="24"/>
        </w:rPr>
        <w:t xml:space="preserve"> </w:t>
      </w:r>
      <w:r>
        <w:rPr>
          <w:spacing w:val="-4"/>
          <w:sz w:val="24"/>
          <w:szCs w:val="24"/>
        </w:rPr>
        <w:t>m</w:t>
      </w:r>
      <w:r>
        <w:rPr>
          <w:sz w:val="24"/>
          <w:szCs w:val="24"/>
        </w:rPr>
        <w:t>ed 15%</w:t>
      </w:r>
      <w:r>
        <w:rPr>
          <w:spacing w:val="1"/>
          <w:sz w:val="24"/>
          <w:szCs w:val="24"/>
        </w:rPr>
        <w:t xml:space="preserve"> </w:t>
      </w:r>
      <w:r>
        <w:rPr>
          <w:sz w:val="24"/>
          <w:szCs w:val="24"/>
        </w:rPr>
        <w:t xml:space="preserve">i </w:t>
      </w:r>
      <w:r>
        <w:rPr>
          <w:spacing w:val="1"/>
          <w:sz w:val="24"/>
          <w:szCs w:val="24"/>
        </w:rPr>
        <w:t>f</w:t>
      </w:r>
      <w:r>
        <w:rPr>
          <w:sz w:val="24"/>
          <w:szCs w:val="24"/>
        </w:rPr>
        <w:t>o</w:t>
      </w:r>
      <w:r>
        <w:rPr>
          <w:spacing w:val="1"/>
          <w:sz w:val="24"/>
          <w:szCs w:val="24"/>
        </w:rPr>
        <w:t>r</w:t>
      </w:r>
      <w:r>
        <w:rPr>
          <w:sz w:val="24"/>
          <w:szCs w:val="24"/>
        </w:rPr>
        <w:t>ho</w:t>
      </w:r>
      <w:r>
        <w:rPr>
          <w:spacing w:val="1"/>
          <w:sz w:val="24"/>
          <w:szCs w:val="24"/>
        </w:rPr>
        <w:t>l</w:t>
      </w:r>
      <w:r>
        <w:rPr>
          <w:sz w:val="24"/>
          <w:szCs w:val="24"/>
        </w:rPr>
        <w:t xml:space="preserve">d </w:t>
      </w:r>
      <w:r>
        <w:rPr>
          <w:spacing w:val="1"/>
          <w:sz w:val="24"/>
          <w:szCs w:val="24"/>
        </w:rPr>
        <w:t>ti</w:t>
      </w:r>
      <w:r>
        <w:rPr>
          <w:sz w:val="24"/>
          <w:szCs w:val="24"/>
        </w:rPr>
        <w:t>l</w:t>
      </w:r>
      <w:r>
        <w:rPr>
          <w:spacing w:val="1"/>
          <w:sz w:val="24"/>
          <w:szCs w:val="24"/>
        </w:rPr>
        <w:t xml:space="preserve"> </w:t>
      </w:r>
      <w:r>
        <w:rPr>
          <w:spacing w:val="-1"/>
          <w:sz w:val="24"/>
          <w:szCs w:val="24"/>
        </w:rPr>
        <w:t>AUC</w:t>
      </w:r>
      <w:r>
        <w:rPr>
          <w:sz w:val="24"/>
          <w:szCs w:val="24"/>
        </w:rPr>
        <w:t>-</w:t>
      </w:r>
      <w:r>
        <w:rPr>
          <w:spacing w:val="-4"/>
          <w:sz w:val="24"/>
          <w:szCs w:val="24"/>
        </w:rPr>
        <w:t xml:space="preserve"> </w:t>
      </w:r>
      <w:r>
        <w:rPr>
          <w:sz w:val="24"/>
          <w:szCs w:val="24"/>
        </w:rPr>
        <w:t>og</w:t>
      </w:r>
      <w:r>
        <w:rPr>
          <w:spacing w:val="-2"/>
          <w:sz w:val="24"/>
          <w:szCs w:val="24"/>
        </w:rPr>
        <w:t xml:space="preserve"> </w:t>
      </w:r>
      <w:proofErr w:type="spellStart"/>
      <w:r>
        <w:rPr>
          <w:spacing w:val="-1"/>
          <w:sz w:val="24"/>
          <w:szCs w:val="24"/>
        </w:rPr>
        <w:t>C</w:t>
      </w:r>
      <w:r>
        <w:rPr>
          <w:spacing w:val="-1"/>
          <w:sz w:val="24"/>
          <w:szCs w:val="24"/>
          <w:vertAlign w:val="subscript"/>
        </w:rPr>
        <w:t>max</w:t>
      </w:r>
      <w:proofErr w:type="spellEnd"/>
      <w:r>
        <w:rPr>
          <w:spacing w:val="-1"/>
          <w:sz w:val="24"/>
          <w:szCs w:val="24"/>
        </w:rPr>
        <w:t>-</w:t>
      </w:r>
      <w:r>
        <w:rPr>
          <w:spacing w:val="-2"/>
          <w:sz w:val="24"/>
          <w:szCs w:val="24"/>
        </w:rPr>
        <w:t>v</w:t>
      </w:r>
      <w:r>
        <w:rPr>
          <w:spacing w:val="-1"/>
          <w:sz w:val="24"/>
          <w:szCs w:val="24"/>
        </w:rPr>
        <w:t>æ</w:t>
      </w:r>
      <w:r>
        <w:rPr>
          <w:spacing w:val="1"/>
          <w:sz w:val="24"/>
          <w:szCs w:val="24"/>
        </w:rPr>
        <w:t>r</w:t>
      </w:r>
      <w:r>
        <w:rPr>
          <w:sz w:val="24"/>
          <w:szCs w:val="24"/>
        </w:rPr>
        <w:t>d</w:t>
      </w:r>
      <w:r>
        <w:rPr>
          <w:spacing w:val="1"/>
          <w:sz w:val="24"/>
          <w:szCs w:val="24"/>
        </w:rPr>
        <w:t>i</w:t>
      </w:r>
      <w:r>
        <w:rPr>
          <w:sz w:val="24"/>
          <w:szCs w:val="24"/>
        </w:rPr>
        <w:t>e</w:t>
      </w:r>
      <w:r>
        <w:rPr>
          <w:spacing w:val="1"/>
          <w:sz w:val="24"/>
          <w:szCs w:val="24"/>
        </w:rPr>
        <w:t>r</w:t>
      </w:r>
      <w:r>
        <w:rPr>
          <w:sz w:val="24"/>
          <w:szCs w:val="24"/>
        </w:rPr>
        <w:t>ne</w:t>
      </w:r>
      <w:r>
        <w:rPr>
          <w:spacing w:val="-1"/>
          <w:sz w:val="24"/>
          <w:szCs w:val="24"/>
        </w:rPr>
        <w:t xml:space="preserve"> </w:t>
      </w:r>
      <w:r>
        <w:rPr>
          <w:spacing w:val="1"/>
          <w:sz w:val="24"/>
          <w:szCs w:val="24"/>
        </w:rPr>
        <w:t>f</w:t>
      </w:r>
      <w:r>
        <w:rPr>
          <w:sz w:val="24"/>
          <w:szCs w:val="24"/>
        </w:rPr>
        <w:t>or</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w:t>
      </w:r>
      <w:r>
        <w:rPr>
          <w:sz w:val="24"/>
          <w:szCs w:val="24"/>
        </w:rPr>
        <w:t>l</w:t>
      </w:r>
      <w:proofErr w:type="spellEnd"/>
      <w:r>
        <w:rPr>
          <w:spacing w:val="1"/>
          <w:sz w:val="24"/>
          <w:szCs w:val="24"/>
        </w:rPr>
        <w:t xml:space="preserve"> </w:t>
      </w:r>
      <w:r>
        <w:rPr>
          <w:sz w:val="24"/>
          <w:szCs w:val="24"/>
        </w:rPr>
        <w:t>a</w:t>
      </w:r>
      <w:r>
        <w:rPr>
          <w:spacing w:val="1"/>
          <w:sz w:val="24"/>
          <w:szCs w:val="24"/>
        </w:rPr>
        <w:t>l</w:t>
      </w:r>
      <w:r>
        <w:rPr>
          <w:sz w:val="24"/>
          <w:szCs w:val="24"/>
        </w:rPr>
        <w:t xml:space="preserve">ene. </w:t>
      </w:r>
      <w:proofErr w:type="spellStart"/>
      <w:r>
        <w:rPr>
          <w:spacing w:val="1"/>
          <w:sz w:val="24"/>
          <w:szCs w:val="24"/>
        </w:rPr>
        <w:t>K</w:t>
      </w:r>
      <w:r>
        <w:rPr>
          <w:sz w:val="24"/>
          <w:szCs w:val="24"/>
        </w:rPr>
        <w:t>e</w:t>
      </w:r>
      <w:r>
        <w:rPr>
          <w:spacing w:val="1"/>
          <w:sz w:val="24"/>
          <w:szCs w:val="24"/>
        </w:rPr>
        <w:t>t</w:t>
      </w:r>
      <w:r>
        <w:rPr>
          <w:sz w:val="24"/>
          <w:szCs w:val="24"/>
        </w:rPr>
        <w:t>ocona</w:t>
      </w:r>
      <w:r>
        <w:rPr>
          <w:spacing w:val="-2"/>
          <w:sz w:val="24"/>
          <w:szCs w:val="24"/>
        </w:rPr>
        <w:t>z</w:t>
      </w:r>
      <w:r>
        <w:rPr>
          <w:sz w:val="24"/>
          <w:szCs w:val="24"/>
        </w:rPr>
        <w:t>ol</w:t>
      </w:r>
      <w:proofErr w:type="spellEnd"/>
      <w:r>
        <w:rPr>
          <w:spacing w:val="1"/>
          <w:sz w:val="24"/>
          <w:szCs w:val="24"/>
        </w:rPr>
        <w:t xml:space="preserve"> (</w:t>
      </w:r>
      <w:r>
        <w:rPr>
          <w:sz w:val="24"/>
          <w:szCs w:val="24"/>
        </w:rPr>
        <w:t xml:space="preserve">400 </w:t>
      </w:r>
      <w:r>
        <w:rPr>
          <w:spacing w:val="-4"/>
          <w:sz w:val="24"/>
          <w:szCs w:val="24"/>
        </w:rPr>
        <w:t>m</w:t>
      </w:r>
      <w:r>
        <w:rPr>
          <w:sz w:val="24"/>
          <w:szCs w:val="24"/>
        </w:rPr>
        <w:t>g</w:t>
      </w:r>
      <w:r>
        <w:rPr>
          <w:spacing w:val="-2"/>
          <w:sz w:val="24"/>
          <w:szCs w:val="24"/>
        </w:rPr>
        <w:t xml:space="preserve"> </w:t>
      </w:r>
      <w:r>
        <w:rPr>
          <w:sz w:val="24"/>
          <w:szCs w:val="24"/>
        </w:rPr>
        <w:t>daglig)</w:t>
      </w:r>
      <w:r>
        <w:rPr>
          <w:spacing w:val="1"/>
          <w:sz w:val="24"/>
          <w:szCs w:val="24"/>
        </w:rPr>
        <w:t xml:space="preserve"> </w:t>
      </w:r>
      <w:r>
        <w:rPr>
          <w:sz w:val="24"/>
          <w:szCs w:val="24"/>
        </w:rPr>
        <w:t>ø</w:t>
      </w:r>
      <w:r>
        <w:rPr>
          <w:spacing w:val="-2"/>
          <w:sz w:val="24"/>
          <w:szCs w:val="24"/>
        </w:rPr>
        <w:t>g</w:t>
      </w:r>
      <w:r>
        <w:rPr>
          <w:sz w:val="24"/>
          <w:szCs w:val="24"/>
        </w:rPr>
        <w:t>ede</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w:t>
      </w:r>
      <w:r>
        <w:rPr>
          <w:sz w:val="24"/>
          <w:szCs w:val="24"/>
        </w:rPr>
        <w:t>l</w:t>
      </w:r>
      <w:proofErr w:type="spellEnd"/>
      <w:r>
        <w:rPr>
          <w:sz w:val="24"/>
          <w:szCs w:val="24"/>
        </w:rPr>
        <w:t xml:space="preserve"> </w:t>
      </w:r>
      <w:r>
        <w:rPr>
          <w:spacing w:val="1"/>
          <w:sz w:val="24"/>
          <w:szCs w:val="24"/>
        </w:rPr>
        <w:t>(</w:t>
      </w:r>
      <w:r>
        <w:rPr>
          <w:sz w:val="24"/>
          <w:szCs w:val="24"/>
        </w:rPr>
        <w:t xml:space="preserve">20 </w:t>
      </w:r>
      <w:r>
        <w:rPr>
          <w:spacing w:val="-4"/>
          <w:sz w:val="24"/>
          <w:szCs w:val="24"/>
        </w:rPr>
        <w:t>m</w:t>
      </w:r>
      <w:r>
        <w:rPr>
          <w:sz w:val="24"/>
          <w:szCs w:val="24"/>
        </w:rPr>
        <w:t>g</w:t>
      </w:r>
      <w:r>
        <w:rPr>
          <w:spacing w:val="-2"/>
          <w:sz w:val="24"/>
          <w:szCs w:val="24"/>
        </w:rPr>
        <w:t xml:space="preserve"> </w:t>
      </w:r>
      <w:r>
        <w:rPr>
          <w:sz w:val="24"/>
          <w:szCs w:val="24"/>
        </w:rPr>
        <w:t>do</w:t>
      </w:r>
      <w:r>
        <w:rPr>
          <w:spacing w:val="1"/>
          <w:sz w:val="24"/>
          <w:szCs w:val="24"/>
        </w:rPr>
        <w:t>sis</w:t>
      </w:r>
      <w:r>
        <w:rPr>
          <w:sz w:val="24"/>
          <w:szCs w:val="24"/>
        </w:rPr>
        <w:t>)</w:t>
      </w:r>
      <w:r>
        <w:rPr>
          <w:spacing w:val="1"/>
          <w:sz w:val="24"/>
          <w:szCs w:val="24"/>
        </w:rPr>
        <w:t xml:space="preserve"> </w:t>
      </w:r>
      <w:r>
        <w:rPr>
          <w:sz w:val="24"/>
          <w:szCs w:val="24"/>
        </w:rPr>
        <w:t>e</w:t>
      </w:r>
      <w:r>
        <w:rPr>
          <w:spacing w:val="-2"/>
          <w:sz w:val="24"/>
          <w:szCs w:val="24"/>
        </w:rPr>
        <w:t>k</w:t>
      </w:r>
      <w:r>
        <w:rPr>
          <w:spacing w:val="1"/>
          <w:sz w:val="24"/>
          <w:szCs w:val="24"/>
        </w:rPr>
        <w:t>s</w:t>
      </w:r>
      <w:r>
        <w:rPr>
          <w:sz w:val="24"/>
          <w:szCs w:val="24"/>
        </w:rPr>
        <w:t>pone</w:t>
      </w:r>
      <w:r>
        <w:rPr>
          <w:spacing w:val="1"/>
          <w:sz w:val="24"/>
          <w:szCs w:val="24"/>
        </w:rPr>
        <w:t>ri</w:t>
      </w:r>
      <w:r>
        <w:rPr>
          <w:sz w:val="24"/>
          <w:szCs w:val="24"/>
        </w:rPr>
        <w:t>n</w:t>
      </w:r>
      <w:r>
        <w:rPr>
          <w:spacing w:val="-2"/>
          <w:sz w:val="24"/>
          <w:szCs w:val="24"/>
        </w:rPr>
        <w:t>g</w:t>
      </w:r>
      <w:r>
        <w:rPr>
          <w:sz w:val="24"/>
          <w:szCs w:val="24"/>
        </w:rPr>
        <w:t xml:space="preserve">en </w:t>
      </w:r>
      <w:r>
        <w:rPr>
          <w:spacing w:val="1"/>
          <w:sz w:val="24"/>
          <w:szCs w:val="24"/>
        </w:rPr>
        <w:t>(</w:t>
      </w:r>
      <w:r>
        <w:rPr>
          <w:spacing w:val="-1"/>
          <w:sz w:val="24"/>
          <w:szCs w:val="24"/>
        </w:rPr>
        <w:t>AUC</w:t>
      </w:r>
      <w:r>
        <w:rPr>
          <w:sz w:val="24"/>
          <w:szCs w:val="24"/>
        </w:rPr>
        <w:t>)</w:t>
      </w:r>
      <w:r>
        <w:rPr>
          <w:spacing w:val="1"/>
          <w:sz w:val="24"/>
          <w:szCs w:val="24"/>
        </w:rPr>
        <w:t xml:space="preserve"> </w:t>
      </w:r>
      <w:r>
        <w:rPr>
          <w:sz w:val="24"/>
          <w:szCs w:val="24"/>
        </w:rPr>
        <w:t xml:space="preserve">4 </w:t>
      </w:r>
      <w:r>
        <w:rPr>
          <w:spacing w:val="-2"/>
          <w:sz w:val="24"/>
          <w:szCs w:val="24"/>
        </w:rPr>
        <w:t>g</w:t>
      </w:r>
      <w:r>
        <w:rPr>
          <w:sz w:val="24"/>
          <w:szCs w:val="24"/>
        </w:rPr>
        <w:t>an</w:t>
      </w:r>
      <w:r>
        <w:rPr>
          <w:spacing w:val="-2"/>
          <w:sz w:val="24"/>
          <w:szCs w:val="24"/>
        </w:rPr>
        <w:t>g</w:t>
      </w:r>
      <w:r>
        <w:rPr>
          <w:sz w:val="24"/>
          <w:szCs w:val="24"/>
        </w:rPr>
        <w:t>e</w:t>
      </w:r>
      <w:r>
        <w:rPr>
          <w:spacing w:val="1"/>
          <w:sz w:val="24"/>
          <w:szCs w:val="24"/>
        </w:rPr>
        <w:t xml:space="preserve"> </w:t>
      </w:r>
      <w:r>
        <w:rPr>
          <w:sz w:val="24"/>
          <w:szCs w:val="24"/>
        </w:rPr>
        <w:t>og</w:t>
      </w:r>
      <w:r>
        <w:rPr>
          <w:spacing w:val="-2"/>
          <w:sz w:val="24"/>
          <w:szCs w:val="24"/>
        </w:rPr>
        <w:t xml:space="preserve"> </w:t>
      </w:r>
      <w:proofErr w:type="spellStart"/>
      <w:r>
        <w:rPr>
          <w:spacing w:val="-1"/>
          <w:sz w:val="24"/>
          <w:szCs w:val="24"/>
        </w:rPr>
        <w:t>C</w:t>
      </w:r>
      <w:r>
        <w:rPr>
          <w:spacing w:val="-1"/>
          <w:sz w:val="24"/>
          <w:szCs w:val="24"/>
          <w:vertAlign w:val="subscript"/>
        </w:rPr>
        <w:t>max</w:t>
      </w:r>
      <w:proofErr w:type="spellEnd"/>
      <w:r>
        <w:rPr>
          <w:spacing w:val="-1"/>
          <w:sz w:val="24"/>
          <w:szCs w:val="24"/>
        </w:rPr>
        <w:t xml:space="preserve"> </w:t>
      </w:r>
      <w:r>
        <w:rPr>
          <w:spacing w:val="-4"/>
          <w:sz w:val="24"/>
          <w:szCs w:val="24"/>
        </w:rPr>
        <w:t>m</w:t>
      </w:r>
      <w:r>
        <w:rPr>
          <w:sz w:val="24"/>
          <w:szCs w:val="24"/>
        </w:rPr>
        <w:t>ed 22</w:t>
      </w:r>
      <w:r>
        <w:rPr>
          <w:spacing w:val="1"/>
          <w:sz w:val="24"/>
          <w:szCs w:val="24"/>
        </w:rPr>
        <w:t>%</w:t>
      </w:r>
      <w:r>
        <w:rPr>
          <w:sz w:val="24"/>
          <w:szCs w:val="24"/>
        </w:rPr>
        <w:t>.</w:t>
      </w:r>
    </w:p>
    <w:p w:rsidR="00737655"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Proteasehæmmere (f.eks. ritonavir)</w:t>
      </w:r>
    </w:p>
    <w:p w:rsidR="00737655" w:rsidRDefault="00737655" w:rsidP="00737655">
      <w:pPr>
        <w:ind w:left="851"/>
        <w:rPr>
          <w:noProof/>
          <w:sz w:val="24"/>
          <w:szCs w:val="24"/>
        </w:rPr>
      </w:pPr>
      <w:r>
        <w:rPr>
          <w:noProof/>
          <w:sz w:val="24"/>
          <w:szCs w:val="24"/>
        </w:rPr>
        <w:t>Ritonavir, en proteasehæmmer, (200 mg to gange daglig), som er en hæmmer af CYP3A4, CYP2C9, CYP2C19 og CYP2D6, øger tadalafil (20 mg) enkeltdosiseksponering (AUC) 2 gange uden ændringer i C</w:t>
      </w:r>
      <w:r>
        <w:rPr>
          <w:noProof/>
          <w:sz w:val="24"/>
          <w:szCs w:val="24"/>
          <w:vertAlign w:val="subscript"/>
        </w:rPr>
        <w:t>max</w:t>
      </w:r>
      <w:r>
        <w:rPr>
          <w:noProof/>
          <w:sz w:val="24"/>
          <w:szCs w:val="24"/>
        </w:rPr>
        <w:t>. Ritonavir (500 mg eller 600 mg to gange daglig) øger tadalafil (20 mg) enkelt–dosis-eksponering (AUC) med 32 % og nedsætter C</w:t>
      </w:r>
      <w:r>
        <w:rPr>
          <w:noProof/>
          <w:sz w:val="24"/>
          <w:szCs w:val="24"/>
          <w:vertAlign w:val="subscript"/>
        </w:rPr>
        <w:t>max</w:t>
      </w:r>
      <w:r>
        <w:rPr>
          <w:noProof/>
          <w:sz w:val="24"/>
          <w:szCs w:val="24"/>
        </w:rPr>
        <w:t xml:space="preserve"> med 30 %.</w:t>
      </w:r>
    </w:p>
    <w:p w:rsidR="00737655" w:rsidRDefault="00737655" w:rsidP="00737655">
      <w:pPr>
        <w:ind w:left="851"/>
        <w:rPr>
          <w:noProof/>
          <w:sz w:val="24"/>
          <w:szCs w:val="24"/>
        </w:rPr>
      </w:pPr>
    </w:p>
    <w:p w:rsidR="00737655" w:rsidRDefault="00737655" w:rsidP="00737655">
      <w:pPr>
        <w:ind w:left="851"/>
        <w:rPr>
          <w:noProof/>
          <w:sz w:val="24"/>
          <w:szCs w:val="24"/>
        </w:rPr>
      </w:pPr>
      <w:r>
        <w:rPr>
          <w:noProof/>
          <w:sz w:val="24"/>
          <w:szCs w:val="24"/>
        </w:rPr>
        <w:t>Selvom specifikke interaktioner ikke er undersøgt, bør samtidig administration af andre proteasehæmmere, såsom saquinavir, og andre CYP3A4-inhibitorer, såsom erythromycin, clarithromycin, itraconazol og grapefrugt juice foretages med forsigtighed, da de forventes at øge plasmakoncentrationen af tadalafil (se pkt. 4.4). Som en konsekvens heraf kan forekomsten af de bivirkninger, som er nævnt i pkt. 4.8, øges.</w:t>
      </w:r>
    </w:p>
    <w:p w:rsidR="00737655"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Transportproteiner</w:t>
      </w:r>
    </w:p>
    <w:p w:rsidR="00737655" w:rsidRDefault="00737655" w:rsidP="00737655">
      <w:pPr>
        <w:ind w:left="851"/>
        <w:rPr>
          <w:noProof/>
          <w:sz w:val="24"/>
          <w:szCs w:val="24"/>
        </w:rPr>
      </w:pPr>
      <w:r>
        <w:rPr>
          <w:noProof/>
          <w:sz w:val="24"/>
          <w:szCs w:val="24"/>
        </w:rPr>
        <w:t>Transportproteiners (f.eks. p-glycoprotein) rolle ved fordelingen af tadalafil kendes ikke. Der er derfor mulighed for lægemiddelinteraktioner medieret ved inhibition af transportproteiner.</w:t>
      </w:r>
    </w:p>
    <w:p w:rsidR="00737655" w:rsidRDefault="00737655" w:rsidP="00737655">
      <w:pPr>
        <w:ind w:left="851" w:hanging="851"/>
        <w:rPr>
          <w:noProof/>
          <w:sz w:val="24"/>
          <w:szCs w:val="24"/>
        </w:rPr>
      </w:pPr>
    </w:p>
    <w:p w:rsidR="00737655" w:rsidRDefault="00737655" w:rsidP="00737655">
      <w:pPr>
        <w:ind w:left="851"/>
        <w:rPr>
          <w:i/>
          <w:noProof/>
          <w:sz w:val="24"/>
          <w:szCs w:val="24"/>
          <w:u w:val="single"/>
        </w:rPr>
      </w:pPr>
      <w:r>
        <w:rPr>
          <w:i/>
          <w:noProof/>
          <w:sz w:val="24"/>
          <w:szCs w:val="24"/>
          <w:u w:val="single"/>
        </w:rPr>
        <w:t>Cytochrom P450-induktorer</w:t>
      </w:r>
    </w:p>
    <w:p w:rsidR="00737655" w:rsidRDefault="00737655" w:rsidP="00737655">
      <w:pPr>
        <w:ind w:left="851"/>
        <w:rPr>
          <w:i/>
          <w:noProof/>
          <w:sz w:val="24"/>
          <w:szCs w:val="24"/>
        </w:rPr>
      </w:pPr>
      <w:r>
        <w:rPr>
          <w:i/>
          <w:noProof/>
          <w:sz w:val="24"/>
          <w:szCs w:val="24"/>
        </w:rPr>
        <w:t>Antibiotika-præparater (f.eks. rifampicin)</w:t>
      </w:r>
    </w:p>
    <w:p w:rsidR="00737655" w:rsidRDefault="00737655" w:rsidP="00737655">
      <w:pPr>
        <w:ind w:left="851"/>
        <w:rPr>
          <w:noProof/>
          <w:sz w:val="24"/>
          <w:szCs w:val="24"/>
        </w:rPr>
      </w:pPr>
      <w:r>
        <w:rPr>
          <w:noProof/>
          <w:sz w:val="24"/>
          <w:szCs w:val="24"/>
        </w:rPr>
        <w:t>Rifampicin (600 mg daglig), en CYP3A4-induktor, reducerer tadalafil AUC med 88 % og C</w:t>
      </w:r>
      <w:r>
        <w:rPr>
          <w:noProof/>
          <w:sz w:val="24"/>
          <w:szCs w:val="24"/>
          <w:vertAlign w:val="subscript"/>
        </w:rPr>
        <w:t>max</w:t>
      </w:r>
      <w:r>
        <w:rPr>
          <w:noProof/>
          <w:sz w:val="24"/>
          <w:szCs w:val="24"/>
        </w:rPr>
        <w:t xml:space="preserve"> med 46 %, relativt til AUC og C</w:t>
      </w:r>
      <w:r>
        <w:rPr>
          <w:noProof/>
          <w:sz w:val="24"/>
          <w:szCs w:val="24"/>
          <w:vertAlign w:val="subscript"/>
        </w:rPr>
        <w:t>max</w:t>
      </w:r>
      <w:r>
        <w:rPr>
          <w:noProof/>
          <w:sz w:val="24"/>
          <w:szCs w:val="24"/>
        </w:rPr>
        <w:t xml:space="preserve"> for tadalafil alene (10 mg). </w:t>
      </w:r>
      <w:r>
        <w:rPr>
          <w:spacing w:val="-1"/>
          <w:sz w:val="24"/>
          <w:szCs w:val="24"/>
        </w:rPr>
        <w:t>D</w:t>
      </w:r>
      <w:r>
        <w:rPr>
          <w:sz w:val="24"/>
          <w:szCs w:val="24"/>
        </w:rPr>
        <w:t>enne</w:t>
      </w:r>
      <w:r>
        <w:rPr>
          <w:spacing w:val="1"/>
          <w:sz w:val="24"/>
          <w:szCs w:val="24"/>
        </w:rPr>
        <w:t xml:space="preserve"> r</w:t>
      </w:r>
      <w:r>
        <w:rPr>
          <w:sz w:val="24"/>
          <w:szCs w:val="24"/>
        </w:rPr>
        <w:t>educe</w:t>
      </w:r>
      <w:r>
        <w:rPr>
          <w:spacing w:val="1"/>
          <w:sz w:val="24"/>
          <w:szCs w:val="24"/>
        </w:rPr>
        <w:t>r</w:t>
      </w:r>
      <w:r>
        <w:rPr>
          <w:sz w:val="24"/>
          <w:szCs w:val="24"/>
        </w:rPr>
        <w:t>ede</w:t>
      </w:r>
      <w:r>
        <w:rPr>
          <w:spacing w:val="1"/>
          <w:sz w:val="24"/>
          <w:szCs w:val="24"/>
        </w:rPr>
        <w:t xml:space="preserve"> </w:t>
      </w:r>
      <w:r>
        <w:rPr>
          <w:sz w:val="24"/>
          <w:szCs w:val="24"/>
        </w:rPr>
        <w:t>e</w:t>
      </w:r>
      <w:r>
        <w:rPr>
          <w:spacing w:val="-2"/>
          <w:sz w:val="24"/>
          <w:szCs w:val="24"/>
        </w:rPr>
        <w:t>k</w:t>
      </w:r>
      <w:r>
        <w:rPr>
          <w:sz w:val="24"/>
          <w:szCs w:val="24"/>
        </w:rPr>
        <w:t>sponer</w:t>
      </w:r>
      <w:r>
        <w:rPr>
          <w:spacing w:val="1"/>
          <w:sz w:val="24"/>
          <w:szCs w:val="24"/>
        </w:rPr>
        <w:t>i</w:t>
      </w:r>
      <w:r>
        <w:rPr>
          <w:sz w:val="24"/>
          <w:szCs w:val="24"/>
        </w:rPr>
        <w:t>ng</w:t>
      </w:r>
      <w:r>
        <w:rPr>
          <w:spacing w:val="-2"/>
          <w:sz w:val="24"/>
          <w:szCs w:val="24"/>
        </w:rPr>
        <w:t xml:space="preserve"> k</w:t>
      </w:r>
      <w:r>
        <w:rPr>
          <w:sz w:val="24"/>
          <w:szCs w:val="24"/>
        </w:rPr>
        <w:t xml:space="preserve">an </w:t>
      </w:r>
      <w:r>
        <w:rPr>
          <w:spacing w:val="1"/>
          <w:sz w:val="24"/>
          <w:szCs w:val="24"/>
        </w:rPr>
        <w:t>f</w:t>
      </w:r>
      <w:r>
        <w:rPr>
          <w:sz w:val="24"/>
          <w:szCs w:val="24"/>
        </w:rPr>
        <w:t>o</w:t>
      </w:r>
      <w:r>
        <w:rPr>
          <w:spacing w:val="1"/>
          <w:sz w:val="24"/>
          <w:szCs w:val="24"/>
        </w:rPr>
        <w:t>r</w:t>
      </w:r>
      <w:r>
        <w:rPr>
          <w:spacing w:val="-2"/>
          <w:sz w:val="24"/>
          <w:szCs w:val="24"/>
        </w:rPr>
        <w:t>v</w:t>
      </w:r>
      <w:r>
        <w:rPr>
          <w:sz w:val="24"/>
          <w:szCs w:val="24"/>
        </w:rPr>
        <w:t>en</w:t>
      </w:r>
      <w:r>
        <w:rPr>
          <w:spacing w:val="1"/>
          <w:sz w:val="24"/>
          <w:szCs w:val="24"/>
        </w:rPr>
        <w:t>t</w:t>
      </w:r>
      <w:r>
        <w:rPr>
          <w:sz w:val="24"/>
          <w:szCs w:val="24"/>
        </w:rPr>
        <w:t>es</w:t>
      </w:r>
      <w:r>
        <w:rPr>
          <w:spacing w:val="1"/>
          <w:sz w:val="24"/>
          <w:szCs w:val="24"/>
        </w:rPr>
        <w:t xml:space="preserve"> </w:t>
      </w:r>
      <w:r>
        <w:rPr>
          <w:sz w:val="24"/>
          <w:szCs w:val="24"/>
        </w:rPr>
        <w:t>at</w:t>
      </w:r>
      <w:r>
        <w:rPr>
          <w:spacing w:val="1"/>
          <w:sz w:val="24"/>
          <w:szCs w:val="24"/>
        </w:rPr>
        <w:t xml:space="preserve"> </w:t>
      </w:r>
      <w:r>
        <w:rPr>
          <w:sz w:val="24"/>
          <w:szCs w:val="24"/>
        </w:rPr>
        <w:t>ned</w:t>
      </w:r>
      <w:r>
        <w:rPr>
          <w:spacing w:val="1"/>
          <w:sz w:val="24"/>
          <w:szCs w:val="24"/>
        </w:rPr>
        <w:t>s</w:t>
      </w:r>
      <w:r>
        <w:rPr>
          <w:spacing w:val="-1"/>
          <w:sz w:val="24"/>
          <w:szCs w:val="24"/>
        </w:rPr>
        <w:t>æ</w:t>
      </w:r>
      <w:r>
        <w:rPr>
          <w:spacing w:val="1"/>
          <w:sz w:val="24"/>
          <w:szCs w:val="24"/>
        </w:rPr>
        <w:t>tt</w:t>
      </w:r>
      <w:r>
        <w:rPr>
          <w:sz w:val="24"/>
          <w:szCs w:val="24"/>
        </w:rPr>
        <w:t>e e</w:t>
      </w:r>
      <w:r>
        <w:rPr>
          <w:spacing w:val="1"/>
          <w:sz w:val="24"/>
          <w:szCs w:val="24"/>
        </w:rPr>
        <w:t>ff</w:t>
      </w:r>
      <w:r>
        <w:rPr>
          <w:sz w:val="24"/>
          <w:szCs w:val="24"/>
        </w:rPr>
        <w:t>e</w:t>
      </w:r>
      <w:r>
        <w:rPr>
          <w:spacing w:val="-2"/>
          <w:sz w:val="24"/>
          <w:szCs w:val="24"/>
        </w:rPr>
        <w:t>k</w:t>
      </w:r>
      <w:r>
        <w:rPr>
          <w:spacing w:val="1"/>
          <w:sz w:val="24"/>
          <w:szCs w:val="24"/>
        </w:rPr>
        <w:t>t</w:t>
      </w:r>
      <w:r>
        <w:rPr>
          <w:sz w:val="24"/>
          <w:szCs w:val="24"/>
        </w:rPr>
        <w:t>en af</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fil</w:t>
      </w:r>
      <w:proofErr w:type="spellEnd"/>
      <w:r>
        <w:rPr>
          <w:sz w:val="24"/>
          <w:szCs w:val="24"/>
        </w:rPr>
        <w:t>;</w:t>
      </w:r>
      <w:r>
        <w:rPr>
          <w:spacing w:val="1"/>
          <w:sz w:val="24"/>
          <w:szCs w:val="24"/>
        </w:rPr>
        <w:t xml:space="preserve"> </w:t>
      </w:r>
      <w:r>
        <w:rPr>
          <w:sz w:val="24"/>
          <w:szCs w:val="24"/>
        </w:rPr>
        <w:t>s</w:t>
      </w:r>
      <w:r>
        <w:rPr>
          <w:spacing w:val="1"/>
          <w:sz w:val="24"/>
          <w:szCs w:val="24"/>
        </w:rPr>
        <w:t>t</w:t>
      </w:r>
      <w:r>
        <w:rPr>
          <w:sz w:val="24"/>
          <w:szCs w:val="24"/>
        </w:rPr>
        <w:t>ø</w:t>
      </w:r>
      <w:r>
        <w:rPr>
          <w:spacing w:val="1"/>
          <w:sz w:val="24"/>
          <w:szCs w:val="24"/>
        </w:rPr>
        <w:t>rr</w:t>
      </w:r>
      <w:r>
        <w:rPr>
          <w:sz w:val="24"/>
          <w:szCs w:val="24"/>
        </w:rPr>
        <w:t>e</w:t>
      </w:r>
      <w:r>
        <w:rPr>
          <w:spacing w:val="1"/>
          <w:sz w:val="24"/>
          <w:szCs w:val="24"/>
        </w:rPr>
        <w:t>l</w:t>
      </w:r>
      <w:r>
        <w:rPr>
          <w:sz w:val="24"/>
          <w:szCs w:val="24"/>
        </w:rPr>
        <w:t>sen af</w:t>
      </w:r>
      <w:r>
        <w:rPr>
          <w:spacing w:val="1"/>
          <w:sz w:val="24"/>
          <w:szCs w:val="24"/>
        </w:rPr>
        <w:t xml:space="preserve"> </w:t>
      </w:r>
      <w:r>
        <w:rPr>
          <w:sz w:val="24"/>
          <w:szCs w:val="24"/>
        </w:rPr>
        <w:t>den ned</w:t>
      </w:r>
      <w:r>
        <w:rPr>
          <w:spacing w:val="1"/>
          <w:sz w:val="24"/>
          <w:szCs w:val="24"/>
        </w:rPr>
        <w:t>s</w:t>
      </w:r>
      <w:r>
        <w:rPr>
          <w:spacing w:val="-1"/>
          <w:sz w:val="24"/>
          <w:szCs w:val="24"/>
        </w:rPr>
        <w:t>æ</w:t>
      </w:r>
      <w:r>
        <w:rPr>
          <w:spacing w:val="1"/>
          <w:sz w:val="24"/>
          <w:szCs w:val="24"/>
        </w:rPr>
        <w:t>tt</w:t>
      </w:r>
      <w:r>
        <w:rPr>
          <w:sz w:val="24"/>
          <w:szCs w:val="24"/>
        </w:rPr>
        <w:t>ende e</w:t>
      </w:r>
      <w:r>
        <w:rPr>
          <w:spacing w:val="1"/>
          <w:sz w:val="24"/>
          <w:szCs w:val="24"/>
        </w:rPr>
        <w:t>ff</w:t>
      </w:r>
      <w:r>
        <w:rPr>
          <w:sz w:val="24"/>
          <w:szCs w:val="24"/>
        </w:rPr>
        <w:t>e</w:t>
      </w:r>
      <w:r>
        <w:rPr>
          <w:spacing w:val="-2"/>
          <w:sz w:val="24"/>
          <w:szCs w:val="24"/>
        </w:rPr>
        <w:t>k</w:t>
      </w:r>
      <w:r>
        <w:rPr>
          <w:sz w:val="24"/>
          <w:szCs w:val="24"/>
        </w:rPr>
        <w:t>t</w:t>
      </w:r>
      <w:r>
        <w:rPr>
          <w:spacing w:val="1"/>
          <w:sz w:val="24"/>
          <w:szCs w:val="24"/>
        </w:rPr>
        <w:t xml:space="preserve"> </w:t>
      </w:r>
      <w:r>
        <w:rPr>
          <w:sz w:val="24"/>
          <w:szCs w:val="24"/>
        </w:rPr>
        <w:t>er</w:t>
      </w:r>
      <w:r>
        <w:rPr>
          <w:spacing w:val="1"/>
          <w:sz w:val="24"/>
          <w:szCs w:val="24"/>
        </w:rPr>
        <w:t xml:space="preserve"> </w:t>
      </w:r>
      <w:r>
        <w:rPr>
          <w:sz w:val="24"/>
          <w:szCs w:val="24"/>
        </w:rPr>
        <w:t>u</w:t>
      </w:r>
      <w:r>
        <w:rPr>
          <w:spacing w:val="-2"/>
          <w:sz w:val="24"/>
          <w:szCs w:val="24"/>
        </w:rPr>
        <w:t>k</w:t>
      </w:r>
      <w:r>
        <w:rPr>
          <w:sz w:val="24"/>
          <w:szCs w:val="24"/>
        </w:rPr>
        <w:t>end</w:t>
      </w:r>
      <w:r>
        <w:rPr>
          <w:spacing w:val="1"/>
          <w:sz w:val="24"/>
          <w:szCs w:val="24"/>
        </w:rPr>
        <w:t>t</w:t>
      </w:r>
      <w:r>
        <w:rPr>
          <w:sz w:val="24"/>
          <w:szCs w:val="24"/>
        </w:rPr>
        <w:t xml:space="preserve">. </w:t>
      </w:r>
      <w:r>
        <w:rPr>
          <w:spacing w:val="-1"/>
          <w:sz w:val="24"/>
          <w:szCs w:val="24"/>
        </w:rPr>
        <w:t>A</w:t>
      </w:r>
      <w:r>
        <w:rPr>
          <w:sz w:val="24"/>
          <w:szCs w:val="24"/>
        </w:rPr>
        <w:t>nd</w:t>
      </w:r>
      <w:r>
        <w:rPr>
          <w:spacing w:val="1"/>
          <w:sz w:val="24"/>
          <w:szCs w:val="24"/>
        </w:rPr>
        <w:t>r</w:t>
      </w:r>
      <w:r>
        <w:rPr>
          <w:sz w:val="24"/>
          <w:szCs w:val="24"/>
        </w:rPr>
        <w:t>e</w:t>
      </w:r>
      <w:r>
        <w:rPr>
          <w:spacing w:val="1"/>
          <w:sz w:val="24"/>
          <w:szCs w:val="24"/>
        </w:rPr>
        <w:t xml:space="preserve"> </w:t>
      </w:r>
      <w:r>
        <w:rPr>
          <w:spacing w:val="-1"/>
          <w:sz w:val="24"/>
          <w:szCs w:val="24"/>
        </w:rPr>
        <w:t>CY</w:t>
      </w:r>
      <w:r>
        <w:rPr>
          <w:sz w:val="24"/>
          <w:szCs w:val="24"/>
        </w:rPr>
        <w:t>P3</w:t>
      </w:r>
      <w:r>
        <w:rPr>
          <w:spacing w:val="-1"/>
          <w:sz w:val="24"/>
          <w:szCs w:val="24"/>
        </w:rPr>
        <w:t>A</w:t>
      </w:r>
      <w:r>
        <w:rPr>
          <w:sz w:val="24"/>
          <w:szCs w:val="24"/>
        </w:rPr>
        <w:t>4</w:t>
      </w:r>
      <w:r>
        <w:rPr>
          <w:spacing w:val="-4"/>
          <w:sz w:val="24"/>
          <w:szCs w:val="24"/>
        </w:rPr>
        <w:t>-</w:t>
      </w:r>
      <w:r>
        <w:rPr>
          <w:spacing w:val="1"/>
          <w:sz w:val="24"/>
          <w:szCs w:val="24"/>
        </w:rPr>
        <w:t>i</w:t>
      </w:r>
      <w:r>
        <w:rPr>
          <w:sz w:val="24"/>
          <w:szCs w:val="24"/>
        </w:rPr>
        <w:t>nduce</w:t>
      </w:r>
      <w:r>
        <w:rPr>
          <w:spacing w:val="1"/>
          <w:sz w:val="24"/>
          <w:szCs w:val="24"/>
        </w:rPr>
        <w:t>r</w:t>
      </w:r>
      <w:r>
        <w:rPr>
          <w:sz w:val="24"/>
          <w:szCs w:val="24"/>
        </w:rPr>
        <w:t xml:space="preserve">e, såsom </w:t>
      </w:r>
      <w:proofErr w:type="spellStart"/>
      <w:r>
        <w:rPr>
          <w:sz w:val="24"/>
          <w:szCs w:val="24"/>
        </w:rPr>
        <w:t>phenoba</w:t>
      </w:r>
      <w:r>
        <w:rPr>
          <w:spacing w:val="1"/>
          <w:sz w:val="24"/>
          <w:szCs w:val="24"/>
        </w:rPr>
        <w:t>r</w:t>
      </w:r>
      <w:r>
        <w:rPr>
          <w:sz w:val="24"/>
          <w:szCs w:val="24"/>
        </w:rPr>
        <w:t>b</w:t>
      </w:r>
      <w:r>
        <w:rPr>
          <w:spacing w:val="1"/>
          <w:sz w:val="24"/>
          <w:szCs w:val="24"/>
        </w:rPr>
        <w:t>it</w:t>
      </w:r>
      <w:r>
        <w:rPr>
          <w:sz w:val="24"/>
          <w:szCs w:val="24"/>
        </w:rPr>
        <w:t>a</w:t>
      </w:r>
      <w:r>
        <w:rPr>
          <w:spacing w:val="1"/>
          <w:sz w:val="24"/>
          <w:szCs w:val="24"/>
        </w:rPr>
        <w:t>l</w:t>
      </w:r>
      <w:proofErr w:type="spellEnd"/>
      <w:r>
        <w:rPr>
          <w:sz w:val="24"/>
          <w:szCs w:val="24"/>
        </w:rPr>
        <w:t xml:space="preserve">, </w:t>
      </w:r>
      <w:proofErr w:type="spellStart"/>
      <w:r>
        <w:rPr>
          <w:sz w:val="24"/>
          <w:szCs w:val="24"/>
        </w:rPr>
        <w:t>phen</w:t>
      </w:r>
      <w:r>
        <w:rPr>
          <w:spacing w:val="-2"/>
          <w:sz w:val="24"/>
          <w:szCs w:val="24"/>
        </w:rPr>
        <w:t>y</w:t>
      </w:r>
      <w:r>
        <w:rPr>
          <w:spacing w:val="1"/>
          <w:sz w:val="24"/>
          <w:szCs w:val="24"/>
        </w:rPr>
        <w:t>t</w:t>
      </w:r>
      <w:r>
        <w:rPr>
          <w:sz w:val="24"/>
          <w:szCs w:val="24"/>
        </w:rPr>
        <w:t>o</w:t>
      </w:r>
      <w:r>
        <w:rPr>
          <w:spacing w:val="1"/>
          <w:sz w:val="24"/>
          <w:szCs w:val="24"/>
        </w:rPr>
        <w:t>i</w:t>
      </w:r>
      <w:r>
        <w:rPr>
          <w:sz w:val="24"/>
          <w:szCs w:val="24"/>
        </w:rPr>
        <w:t>n</w:t>
      </w:r>
      <w:proofErr w:type="spellEnd"/>
      <w:r>
        <w:rPr>
          <w:sz w:val="24"/>
          <w:szCs w:val="24"/>
        </w:rPr>
        <w:t xml:space="preserve"> og</w:t>
      </w:r>
      <w:r>
        <w:rPr>
          <w:spacing w:val="-2"/>
          <w:sz w:val="24"/>
          <w:szCs w:val="24"/>
        </w:rPr>
        <w:t xml:space="preserve"> </w:t>
      </w:r>
      <w:proofErr w:type="spellStart"/>
      <w:r>
        <w:rPr>
          <w:sz w:val="24"/>
          <w:szCs w:val="24"/>
        </w:rPr>
        <w:t>ca</w:t>
      </w:r>
      <w:r>
        <w:rPr>
          <w:spacing w:val="1"/>
          <w:sz w:val="24"/>
          <w:szCs w:val="24"/>
        </w:rPr>
        <w:t>r</w:t>
      </w:r>
      <w:r>
        <w:rPr>
          <w:sz w:val="24"/>
          <w:szCs w:val="24"/>
        </w:rPr>
        <w:t>ba</w:t>
      </w:r>
      <w:r>
        <w:rPr>
          <w:spacing w:val="-4"/>
          <w:sz w:val="24"/>
          <w:szCs w:val="24"/>
        </w:rPr>
        <w:t>m</w:t>
      </w:r>
      <w:r>
        <w:rPr>
          <w:sz w:val="24"/>
          <w:szCs w:val="24"/>
        </w:rPr>
        <w:t>a</w:t>
      </w:r>
      <w:r>
        <w:rPr>
          <w:spacing w:val="-2"/>
          <w:sz w:val="24"/>
          <w:szCs w:val="24"/>
        </w:rPr>
        <w:t>z</w:t>
      </w:r>
      <w:r>
        <w:rPr>
          <w:sz w:val="24"/>
          <w:szCs w:val="24"/>
        </w:rPr>
        <w:t>ep</w:t>
      </w:r>
      <w:r>
        <w:rPr>
          <w:spacing w:val="1"/>
          <w:sz w:val="24"/>
          <w:szCs w:val="24"/>
        </w:rPr>
        <w:t>i</w:t>
      </w:r>
      <w:r>
        <w:rPr>
          <w:sz w:val="24"/>
          <w:szCs w:val="24"/>
        </w:rPr>
        <w:t>n</w:t>
      </w:r>
      <w:proofErr w:type="spellEnd"/>
      <w:r>
        <w:rPr>
          <w:sz w:val="24"/>
          <w:szCs w:val="24"/>
        </w:rPr>
        <w:t xml:space="preserve">, </w:t>
      </w:r>
      <w:r>
        <w:rPr>
          <w:spacing w:val="-2"/>
          <w:sz w:val="24"/>
          <w:szCs w:val="24"/>
        </w:rPr>
        <w:t>k</w:t>
      </w:r>
      <w:r>
        <w:rPr>
          <w:sz w:val="24"/>
          <w:szCs w:val="24"/>
        </w:rPr>
        <w:t>an o</w:t>
      </w:r>
      <w:r>
        <w:rPr>
          <w:spacing w:val="-2"/>
          <w:sz w:val="24"/>
          <w:szCs w:val="24"/>
        </w:rPr>
        <w:t>g</w:t>
      </w:r>
      <w:r>
        <w:rPr>
          <w:spacing w:val="1"/>
          <w:sz w:val="24"/>
          <w:szCs w:val="24"/>
        </w:rPr>
        <w:t>s</w:t>
      </w:r>
      <w:r>
        <w:rPr>
          <w:sz w:val="24"/>
          <w:szCs w:val="24"/>
        </w:rPr>
        <w:t>å</w:t>
      </w:r>
      <w:r>
        <w:rPr>
          <w:spacing w:val="1"/>
          <w:sz w:val="24"/>
          <w:szCs w:val="24"/>
        </w:rPr>
        <w:t xml:space="preserve"> </w:t>
      </w:r>
      <w:r>
        <w:rPr>
          <w:sz w:val="24"/>
          <w:szCs w:val="24"/>
        </w:rPr>
        <w:t>neds</w:t>
      </w:r>
      <w:r>
        <w:rPr>
          <w:spacing w:val="-1"/>
          <w:sz w:val="24"/>
          <w:szCs w:val="24"/>
        </w:rPr>
        <w:t>æ</w:t>
      </w:r>
      <w:r>
        <w:rPr>
          <w:spacing w:val="1"/>
          <w:sz w:val="24"/>
          <w:szCs w:val="24"/>
        </w:rPr>
        <w:t>tt</w:t>
      </w:r>
      <w:r>
        <w:rPr>
          <w:sz w:val="24"/>
          <w:szCs w:val="24"/>
        </w:rPr>
        <w:t>e</w:t>
      </w:r>
      <w:r>
        <w:rPr>
          <w:spacing w:val="1"/>
          <w:sz w:val="24"/>
          <w:szCs w:val="24"/>
        </w:rPr>
        <w:t xml:space="preserve"> </w:t>
      </w:r>
      <w:r>
        <w:rPr>
          <w:sz w:val="24"/>
          <w:szCs w:val="24"/>
        </w:rPr>
        <w:t>p</w:t>
      </w:r>
      <w:r>
        <w:rPr>
          <w:spacing w:val="1"/>
          <w:sz w:val="24"/>
          <w:szCs w:val="24"/>
        </w:rPr>
        <w:t>l</w:t>
      </w:r>
      <w:r>
        <w:rPr>
          <w:sz w:val="24"/>
          <w:szCs w:val="24"/>
        </w:rPr>
        <w:t>as</w:t>
      </w:r>
      <w:r>
        <w:rPr>
          <w:spacing w:val="-4"/>
          <w:sz w:val="24"/>
          <w:szCs w:val="24"/>
        </w:rPr>
        <w:t>m</w:t>
      </w:r>
      <w:r>
        <w:rPr>
          <w:sz w:val="24"/>
          <w:szCs w:val="24"/>
        </w:rPr>
        <w:t>a</w:t>
      </w:r>
      <w:r>
        <w:rPr>
          <w:spacing w:val="-2"/>
          <w:sz w:val="24"/>
          <w:szCs w:val="24"/>
        </w:rPr>
        <w:t>k</w:t>
      </w:r>
      <w:r>
        <w:rPr>
          <w:sz w:val="24"/>
          <w:szCs w:val="24"/>
        </w:rPr>
        <w:t>oncen</w:t>
      </w:r>
      <w:r>
        <w:rPr>
          <w:spacing w:val="1"/>
          <w:sz w:val="24"/>
          <w:szCs w:val="24"/>
        </w:rPr>
        <w:t>tr</w:t>
      </w:r>
      <w:r>
        <w:rPr>
          <w:sz w:val="24"/>
          <w:szCs w:val="24"/>
        </w:rPr>
        <w:t>a</w:t>
      </w:r>
      <w:r>
        <w:rPr>
          <w:spacing w:val="1"/>
          <w:sz w:val="24"/>
          <w:szCs w:val="24"/>
        </w:rPr>
        <w:t>ti</w:t>
      </w:r>
      <w:r>
        <w:rPr>
          <w:sz w:val="24"/>
          <w:szCs w:val="24"/>
        </w:rPr>
        <w:t>onen af</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fil</w:t>
      </w:r>
      <w:proofErr w:type="spellEnd"/>
      <w:r>
        <w:rPr>
          <w:spacing w:val="1"/>
          <w:sz w:val="24"/>
          <w:szCs w:val="24"/>
        </w:rPr>
        <w:t>.</w:t>
      </w:r>
    </w:p>
    <w:p w:rsidR="00737655"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Endotelin 1- receptorantagonister (f.eks. bosentan)</w:t>
      </w:r>
    </w:p>
    <w:p w:rsidR="00737655" w:rsidRDefault="00737655" w:rsidP="00737655">
      <w:pPr>
        <w:ind w:left="851"/>
        <w:rPr>
          <w:noProof/>
          <w:sz w:val="24"/>
          <w:szCs w:val="24"/>
        </w:rPr>
      </w:pPr>
      <w:r>
        <w:rPr>
          <w:noProof/>
          <w:sz w:val="24"/>
          <w:szCs w:val="24"/>
        </w:rPr>
        <w:t>Flere gange samtidig indgift af bosentan (125 mg to gange daglig), substrat for CYP2C9 og CYP3A4 og en moderat induktor af CYP3A4, CYP2C9 og sandsynligvis CYP2C19, og tadalafil (40 mg en gang daglig) reducerede den systemiske eksponering af tadalafil med 42 % og C</w:t>
      </w:r>
      <w:r>
        <w:rPr>
          <w:noProof/>
          <w:sz w:val="24"/>
          <w:szCs w:val="24"/>
          <w:vertAlign w:val="subscript"/>
        </w:rPr>
        <w:t>max</w:t>
      </w:r>
      <w:r>
        <w:rPr>
          <w:noProof/>
          <w:sz w:val="24"/>
          <w:szCs w:val="24"/>
        </w:rPr>
        <w:t xml:space="preserve"> med 27 %. Virkningen af tadalafil hos patienter, der allerede er i behandling med bosentan, er ikke påvist endegyldigt (se pkt. 4.4 og 5.1). Tadalafil påvirker ikke bosentans eller dets metabolitters eksponering (AUC og C</w:t>
      </w:r>
      <w:r>
        <w:rPr>
          <w:noProof/>
          <w:sz w:val="24"/>
          <w:szCs w:val="24"/>
          <w:vertAlign w:val="subscript"/>
        </w:rPr>
        <w:t>max</w:t>
      </w:r>
      <w:r>
        <w:rPr>
          <w:noProof/>
          <w:sz w:val="24"/>
          <w:szCs w:val="24"/>
        </w:rPr>
        <w:t>). Sikkerhed og virkning af kombination af tadalafil og andre endotelin 1-receptorantagonister er ikke undersøgt.</w:t>
      </w:r>
    </w:p>
    <w:p w:rsidR="00737655" w:rsidRDefault="00737655" w:rsidP="00737655">
      <w:pPr>
        <w:ind w:left="851" w:hanging="851"/>
        <w:rPr>
          <w:noProof/>
          <w:sz w:val="24"/>
          <w:szCs w:val="24"/>
        </w:rPr>
      </w:pPr>
    </w:p>
    <w:p w:rsidR="00737655" w:rsidRDefault="00737655" w:rsidP="00737655">
      <w:pPr>
        <w:ind w:left="851"/>
        <w:rPr>
          <w:noProof/>
          <w:sz w:val="24"/>
          <w:szCs w:val="24"/>
          <w:u w:val="single"/>
        </w:rPr>
      </w:pPr>
      <w:r>
        <w:rPr>
          <w:noProof/>
          <w:sz w:val="24"/>
          <w:szCs w:val="24"/>
          <w:u w:val="single"/>
        </w:rPr>
        <w:t>Tadalafils virkning på andre lægemidler</w:t>
      </w:r>
    </w:p>
    <w:p w:rsidR="00737655" w:rsidRDefault="00737655" w:rsidP="00737655">
      <w:pPr>
        <w:ind w:left="851" w:hanging="851"/>
        <w:rPr>
          <w:noProof/>
          <w:sz w:val="24"/>
          <w:szCs w:val="24"/>
          <w:u w:val="single"/>
        </w:rPr>
      </w:pPr>
    </w:p>
    <w:p w:rsidR="00737655" w:rsidRDefault="00737655" w:rsidP="00737655">
      <w:pPr>
        <w:ind w:left="851"/>
        <w:rPr>
          <w:i/>
          <w:noProof/>
          <w:sz w:val="24"/>
          <w:szCs w:val="24"/>
        </w:rPr>
      </w:pPr>
      <w:r>
        <w:rPr>
          <w:i/>
          <w:noProof/>
          <w:sz w:val="24"/>
          <w:szCs w:val="24"/>
        </w:rPr>
        <w:t>Nitrater</w:t>
      </w:r>
    </w:p>
    <w:p w:rsidR="00737655" w:rsidRDefault="00737655" w:rsidP="00737655">
      <w:pPr>
        <w:ind w:left="851"/>
        <w:rPr>
          <w:noProof/>
          <w:sz w:val="24"/>
          <w:szCs w:val="24"/>
        </w:rPr>
      </w:pPr>
      <w:r>
        <w:rPr>
          <w:noProof/>
          <w:sz w:val="24"/>
          <w:szCs w:val="24"/>
        </w:rPr>
        <w:t xml:space="preserve">Det er i kliniske studier vist, at tadalafil (5, 10 og 20 mg) forstærker den hypotensive effekt af nitrater. Derfor er administration af Tadalafil "Sandoz" kontraindiceret til patienter, som bruger enhver form for organisk nitrat (se pkt. 4.3). Baseret på resultater fra et klinisk </w:t>
      </w:r>
      <w:r>
        <w:rPr>
          <w:noProof/>
          <w:sz w:val="24"/>
          <w:szCs w:val="24"/>
        </w:rPr>
        <w:lastRenderedPageBreak/>
        <w:t>studie, hvor 150 forsøgspersoner daglig modtog 20 mg tadalafil i 7 dage og 0,4 mg nitroglycerin sublingualt på forskellige tidspunkter, varede denne interaktion mere end 24 timer og var ikke længere målbar, når der var gået 48 timer efter sidste tadalafil dosis. Derfor bør der hos en patient med hvilken som helst ordineret dosis af Tadalafil "Sandoz" (2,5 mg – 20 mg), hvor administration af nitrat skønnes som en medicinsk nødvendighed i en livstruende situation, mindst være gået 48 timer efter den sidste dosis Tadalafil "Sandoz" før administration af nitrat overvejes. Under disse omstændigheder, bør nitrater kun administreres under tæt medicinsk overvågning med passende hæmodynamisk monitorering.</w:t>
      </w:r>
    </w:p>
    <w:p w:rsidR="00737655"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Antihypertensiva (herunder calciumantagonister)</w:t>
      </w:r>
    </w:p>
    <w:p w:rsidR="00737655" w:rsidRDefault="00737655" w:rsidP="00737655">
      <w:pPr>
        <w:ind w:left="851"/>
        <w:rPr>
          <w:noProof/>
          <w:sz w:val="24"/>
          <w:szCs w:val="24"/>
        </w:rPr>
      </w:pPr>
      <w:r>
        <w:rPr>
          <w:noProof/>
          <w:sz w:val="24"/>
          <w:szCs w:val="24"/>
        </w:rPr>
        <w:t>Samtidig indgift af doxazosin (4 og 8 mg daglig) og tadalafil (5 mg daglig dosis og 20 mg som en enkeltdosis) øger signifikant den blodtrykssænkende virkning af denne alfa-blokker. Effekten varer mindst 12 timer og kan give symptomer, herunder synkope. Denne kombination kan derfor ikke anbefales (se pkt. 4.4).</w:t>
      </w:r>
    </w:p>
    <w:p w:rsidR="00737655" w:rsidRDefault="00737655" w:rsidP="00737655">
      <w:pPr>
        <w:ind w:left="851"/>
        <w:rPr>
          <w:noProof/>
          <w:sz w:val="24"/>
          <w:szCs w:val="24"/>
        </w:rPr>
      </w:pPr>
      <w:r>
        <w:rPr>
          <w:noProof/>
          <w:sz w:val="24"/>
          <w:szCs w:val="24"/>
        </w:rPr>
        <w:t>I interaktionsstudier udført med et begrænset antal raske forsøgspersoner blev denne virkning ikke set med alfuzosin eller tamsulosin. Der bør dog udvises forsigtighed, når tadalafil anvendes til patienter i behandling med alfa-blokkere og særligt hos ældre. Behandling bør initieres med minimal dosis og gradvist justeres.</w:t>
      </w:r>
    </w:p>
    <w:p w:rsidR="00737655" w:rsidRDefault="00737655" w:rsidP="00737655">
      <w:pPr>
        <w:ind w:left="851" w:hanging="851"/>
        <w:rPr>
          <w:noProof/>
          <w:sz w:val="24"/>
          <w:szCs w:val="24"/>
        </w:rPr>
      </w:pPr>
    </w:p>
    <w:p w:rsidR="00737655" w:rsidRDefault="00737655" w:rsidP="00737655">
      <w:pPr>
        <w:autoSpaceDE w:val="0"/>
        <w:autoSpaceDN w:val="0"/>
        <w:adjustRightInd w:val="0"/>
        <w:ind w:left="851"/>
        <w:rPr>
          <w:i/>
          <w:noProof/>
          <w:sz w:val="24"/>
          <w:szCs w:val="24"/>
        </w:rPr>
      </w:pPr>
      <w:r>
        <w:rPr>
          <w:noProof/>
          <w:sz w:val="24"/>
          <w:szCs w:val="24"/>
        </w:rPr>
        <w:t>Tadalafils (10 mg og 20 mg) potentiale til at forstærke den hypotensive effekt af antihypertensiva blev undersøgt i kliniske farmakologiske studier. Væsentlige klasser af antihypertensiva blev undersøgt (</w:t>
      </w:r>
      <w:r>
        <w:rPr>
          <w:sz w:val="24"/>
          <w:szCs w:val="24"/>
          <w:lang w:eastAsia="da-DK"/>
        </w:rPr>
        <w:t>enten som monoterapi eller som del af kombinations</w:t>
      </w:r>
      <w:r>
        <w:rPr>
          <w:sz w:val="24"/>
          <w:szCs w:val="24"/>
          <w:lang w:eastAsia="da-DK"/>
        </w:rPr>
        <w:softHyphen/>
        <w:t>terapi)</w:t>
      </w:r>
      <w:r>
        <w:rPr>
          <w:noProof/>
          <w:sz w:val="24"/>
          <w:szCs w:val="24"/>
        </w:rPr>
        <w:t>, heriblandt calciumantagonister (amlodipin), angiotensin</w:t>
      </w:r>
      <w:r>
        <w:rPr>
          <w:noProof/>
          <w:sz w:val="24"/>
          <w:szCs w:val="24"/>
        </w:rPr>
        <w:softHyphen/>
        <w:t>konverterende enzym (ACE) hæmmere (enalapril), beta-blokkere (metoprolol), thiazid diuretika (bendrofluazid) og angiotensin II blokkere (forskellige typer og doser, alene eller i kombination med thiazider, calciumantagonister, betablokkere og/eller alfablokkere). Tadalafil (10 mg, undtagen i undersøgelser med angiotensin II blokkere og amlodipin, hvor en 20 mg dosis blev anvendt) havde ingen klinisk signifikant interaktion med nogle af disse klasser. I et andet klinisk farmakologisk studie blev tadalafil (20 mg) undersøgt i kombination med op til 4 klasser af antihypertensiva. Hos forsøgspersoner i behandling med flere antihypertensiva viste ændringerne i det ambulatoriske blodtryk sig at relatere sig til graden af blodtrykskontrol. Hos forsøgspersoner i denne sammenhæng, som var velbehandlede med blodtrykskontrollerende lægemidler, var reduktionen af blodtrykket minimal og sammenlignelig med det fundne hos raske forsøgspersoner. Hos forsøgspersoner, som ikke fik blodtrykskontrollerende lægemidler, var reduktionen af blodtrykket større, dog var reduktionen ikke forbundet med hypotensive symptomer hos størstedelen af forsøgspersonerne. Hos patienter, som får samtidig antihypertensiv medicin, kan tadalafil 20 mg inducere blodtryksfald, som (med undtagelse af alfa-blokkere (f.eks. doxazosin) -se ovenfor-) sædvanligvis er af mindre størrelsesorden og sandsynligvis ikke er klinisk relevant. En analyse af data fra kliniske fase 3 studier viste ingen forskel på bivirkningerne hos patienter, som fik tadalafil med eller uden antihypertensiv medicin. Hensigtsmæssig klinisk rådgivning bør imidlertid gives til patienter omkring et muligt blodtryksfald, hvis de behandles med antihypertensiv medicin.</w:t>
      </w:r>
    </w:p>
    <w:p w:rsidR="00737655" w:rsidRDefault="00737655" w:rsidP="00737655">
      <w:pPr>
        <w:ind w:left="851" w:hanging="851"/>
        <w:rPr>
          <w:i/>
          <w:noProof/>
          <w:sz w:val="24"/>
          <w:szCs w:val="24"/>
        </w:rPr>
      </w:pPr>
    </w:p>
    <w:p w:rsidR="00737655" w:rsidRDefault="00737655" w:rsidP="00737655">
      <w:pPr>
        <w:ind w:left="851"/>
        <w:rPr>
          <w:i/>
          <w:noProof/>
          <w:sz w:val="24"/>
          <w:szCs w:val="24"/>
        </w:rPr>
      </w:pPr>
      <w:r>
        <w:rPr>
          <w:i/>
          <w:noProof/>
          <w:sz w:val="24"/>
          <w:szCs w:val="24"/>
        </w:rPr>
        <w:t>Riociguat</w:t>
      </w:r>
    </w:p>
    <w:p w:rsidR="00737655" w:rsidRDefault="00737655" w:rsidP="00737655">
      <w:pPr>
        <w:ind w:left="851"/>
        <w:rPr>
          <w:noProof/>
          <w:sz w:val="24"/>
          <w:szCs w:val="24"/>
        </w:rPr>
      </w:pPr>
      <w:r>
        <w:rPr>
          <w:noProof/>
          <w:sz w:val="24"/>
          <w:szCs w:val="24"/>
        </w:rPr>
        <w:t>Prækliniske studier viste en additiv systemisk blodtrykssænkende virkning, når PDE5-hæmmere blev kombineret med riociguat. I kliniske studier har riociguat vist sig at forstærke den hypotensive virkning af PDE5-hæmmere. Der var ingen evidens for en gunstig klinisk effekt af kombinationen i den undersøgte population. Samtidig brug af riociguat med PDE5-hæmmere, inklusive tadalafil, er kontraindiceret (se pkt. 4.3).</w:t>
      </w:r>
    </w:p>
    <w:p w:rsidR="00737655"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5-alfa-reduktase-hæmmere</w:t>
      </w:r>
    </w:p>
    <w:p w:rsidR="00737655" w:rsidRDefault="00737655" w:rsidP="00737655">
      <w:pPr>
        <w:ind w:left="851"/>
        <w:rPr>
          <w:noProof/>
          <w:sz w:val="24"/>
          <w:szCs w:val="24"/>
        </w:rPr>
      </w:pPr>
      <w:r>
        <w:rPr>
          <w:noProof/>
          <w:sz w:val="24"/>
          <w:szCs w:val="24"/>
        </w:rPr>
        <w:t>I et klinisk studie, der sammenlignede tadalafil 5 mg administreret samtidig med finasterid 5 mg versus placebo plus finasterid 5 mg til lindring af symptomer på benign prostatahyperplasi (BPH), blev der ikke identificeret nye bivirkninger. Der bør dog udvises forsigtighed, når tadalafil administeres samtidig med 5-alfa-reduktase-hæmmere, da der ikke er udført et formelt lægemiddelinteraktionsstudie til evaluering af virkningen af tadalafil plus 5-alfa-reduktase-hæmmere.</w:t>
      </w:r>
    </w:p>
    <w:p w:rsidR="00737655" w:rsidRDefault="00737655" w:rsidP="00737655">
      <w:pPr>
        <w:ind w:left="851" w:hanging="851"/>
        <w:rPr>
          <w:noProof/>
          <w:sz w:val="24"/>
          <w:szCs w:val="24"/>
        </w:rPr>
      </w:pPr>
    </w:p>
    <w:p w:rsidR="00737655" w:rsidRDefault="00737655" w:rsidP="00737655">
      <w:pPr>
        <w:ind w:left="851"/>
        <w:rPr>
          <w:i/>
          <w:noProof/>
          <w:sz w:val="24"/>
          <w:szCs w:val="24"/>
          <w:lang w:val="en-US"/>
        </w:rPr>
      </w:pPr>
      <w:r>
        <w:rPr>
          <w:i/>
          <w:noProof/>
          <w:sz w:val="24"/>
          <w:szCs w:val="24"/>
          <w:lang w:val="en-US"/>
        </w:rPr>
        <w:t>CYP1A2-substrater (f.eks. theophyllin)</w:t>
      </w:r>
    </w:p>
    <w:p w:rsidR="00737655" w:rsidRDefault="00737655" w:rsidP="00737655">
      <w:pPr>
        <w:ind w:left="851"/>
        <w:rPr>
          <w:noProof/>
          <w:sz w:val="24"/>
          <w:szCs w:val="24"/>
        </w:rPr>
      </w:pPr>
      <w:r>
        <w:rPr>
          <w:noProof/>
          <w:sz w:val="24"/>
          <w:szCs w:val="24"/>
        </w:rPr>
        <w:t>Når taladafil 10 mg blev administreret med theophyllin (en non-selektiv phosphodie</w:t>
      </w:r>
      <w:r>
        <w:rPr>
          <w:noProof/>
          <w:sz w:val="24"/>
          <w:szCs w:val="24"/>
        </w:rPr>
        <w:softHyphen/>
        <w:t>sterase</w:t>
      </w:r>
      <w:r>
        <w:rPr>
          <w:noProof/>
          <w:sz w:val="24"/>
          <w:szCs w:val="24"/>
        </w:rPr>
        <w:softHyphen/>
        <w:t>inhibitor) i en klinisk farmakologisk undersøgelse, var der ingen farmakokinetisk interaktion. Den eneste farmakodynamiske effekt var en lille stigning (3,5 slag pr. minut) i hjertefrekvensen. Selvom denne effekt er lille og ikke var af klinisk signifikans i denne undersøgelse, bør den tages i betragtning, hvis disse lægemidler administreres samtidigt.</w:t>
      </w:r>
    </w:p>
    <w:p w:rsidR="00737655" w:rsidRDefault="00737655" w:rsidP="00737655">
      <w:pPr>
        <w:ind w:left="851" w:hanging="851"/>
        <w:rPr>
          <w:noProof/>
          <w:sz w:val="24"/>
          <w:szCs w:val="24"/>
        </w:rPr>
      </w:pPr>
    </w:p>
    <w:p w:rsidR="00737655" w:rsidRDefault="00737655" w:rsidP="00737655">
      <w:pPr>
        <w:keepNext/>
        <w:ind w:left="851"/>
        <w:rPr>
          <w:i/>
          <w:iCs/>
          <w:noProof/>
          <w:sz w:val="24"/>
          <w:szCs w:val="24"/>
        </w:rPr>
      </w:pPr>
      <w:r>
        <w:rPr>
          <w:i/>
          <w:iCs/>
          <w:noProof/>
          <w:sz w:val="24"/>
          <w:szCs w:val="24"/>
        </w:rPr>
        <w:t xml:space="preserve">Ethinylestradiol og terbutalin </w:t>
      </w:r>
    </w:p>
    <w:p w:rsidR="00737655" w:rsidRDefault="00737655" w:rsidP="00737655">
      <w:pPr>
        <w:ind w:left="851"/>
        <w:rPr>
          <w:noProof/>
          <w:sz w:val="24"/>
          <w:szCs w:val="24"/>
        </w:rPr>
      </w:pPr>
      <w:r>
        <w:rPr>
          <w:noProof/>
          <w:sz w:val="24"/>
          <w:szCs w:val="24"/>
        </w:rPr>
        <w:t>Det er vist, at tadalafil kan øge den orale biotilgængelighed af ethinylestradiol, en p-pille. Ved stady-state øger tadalafil (40 mg en gang daglig) ethinylestradioleksponeringen (AUC) med 26 % og C</w:t>
      </w:r>
      <w:r>
        <w:rPr>
          <w:noProof/>
          <w:sz w:val="24"/>
          <w:szCs w:val="24"/>
          <w:vertAlign w:val="subscript"/>
        </w:rPr>
        <w:t>max</w:t>
      </w:r>
      <w:r>
        <w:rPr>
          <w:noProof/>
          <w:sz w:val="24"/>
          <w:szCs w:val="24"/>
        </w:rPr>
        <w:t xml:space="preserve"> med 70 % relativt til oral kontraception givet sammen med placebo. Der sås ingen statistisk signifikant virkning af tadalafil på levonorgestrel, hvilket antyder, at virkningen af ethinylestradiol skyldes hæmning af sulfoneringen af tadalafil i tarmen. Den kliniske relevans af denne observation er uvis.</w:t>
      </w:r>
    </w:p>
    <w:p w:rsidR="00737655" w:rsidRDefault="00737655" w:rsidP="00737655">
      <w:pPr>
        <w:ind w:left="851"/>
        <w:rPr>
          <w:noProof/>
          <w:sz w:val="24"/>
          <w:szCs w:val="24"/>
        </w:rPr>
      </w:pPr>
      <w:r>
        <w:rPr>
          <w:noProof/>
          <w:sz w:val="24"/>
          <w:szCs w:val="24"/>
        </w:rPr>
        <w:t>En tilsvarende øgning af AUC og C</w:t>
      </w:r>
      <w:r>
        <w:rPr>
          <w:noProof/>
          <w:sz w:val="24"/>
          <w:szCs w:val="24"/>
          <w:vertAlign w:val="subscript"/>
        </w:rPr>
        <w:t>max</w:t>
      </w:r>
      <w:r>
        <w:rPr>
          <w:noProof/>
          <w:sz w:val="24"/>
          <w:szCs w:val="24"/>
        </w:rPr>
        <w:t>, som sås med ethinylestradiol, må forventes ved oral behandling med terbutalin, sandsynligvis på grund af hæmning af tarmsulfoneringen af tadalafil. Den kliniske relevans af denne observation er uvis.</w:t>
      </w:r>
    </w:p>
    <w:p w:rsidR="00737655"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Alkohol</w:t>
      </w:r>
    </w:p>
    <w:p w:rsidR="00737655" w:rsidRDefault="00737655" w:rsidP="00737655">
      <w:pPr>
        <w:ind w:left="851"/>
        <w:rPr>
          <w:noProof/>
          <w:sz w:val="24"/>
          <w:szCs w:val="24"/>
        </w:rPr>
      </w:pPr>
      <w:r>
        <w:rPr>
          <w:noProof/>
          <w:sz w:val="24"/>
          <w:szCs w:val="24"/>
        </w:rPr>
        <w:t>Alkoholkoncentrationer (gennemsnitlige maksimum koncentration i blodet 0,08%) blev ikke påvirket ved samtidig administration af tadalafil (10 mg eller 20 mg). Ydermere blev der ikke set nogen ændringer i tadalafil koncentrationen 3 timer efter samtidig administration med alkohol. Alkohol blev givet på en måde der maksimerede alkohol</w:t>
      </w:r>
      <w:r>
        <w:rPr>
          <w:noProof/>
          <w:sz w:val="24"/>
          <w:szCs w:val="24"/>
        </w:rPr>
        <w:softHyphen/>
        <w:t>absorptionshastigheden (fastende over natten uden mad indtil 2 timer efter alkohol</w:t>
      </w:r>
      <w:r>
        <w:rPr>
          <w:noProof/>
          <w:sz w:val="24"/>
          <w:szCs w:val="24"/>
        </w:rPr>
        <w:softHyphen/>
        <w:t>indtagelse). Tadalafil (20 mg) forstærkede ikke den gennemsnitlige blodtrykssænkning forårsaget af alkohol (0,7 g/kg eller ca. 180 ml 40% alkohol [vodka] til en mand på 80 kg), men hos nogle forsøgspersoner blev der observeret ortostatisk svimmelhed og ortostatisk hypotension. Når tadalafil blev administreret sammen med lavere doser alkohol (0,6 g/kg) blev hypotension ikke observeret og svimmelhed forekom med tilsvarende frekvens som ved alkohol alene. Effekten af alkohol på den kognitive funktion blev ikke forstærket af tadalafil (10 mg).</w:t>
      </w:r>
    </w:p>
    <w:p w:rsidR="00737655"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CYP450-metaboliserede lægemidler</w:t>
      </w:r>
    </w:p>
    <w:p w:rsidR="00737655" w:rsidRDefault="00737655" w:rsidP="00737655">
      <w:pPr>
        <w:ind w:left="851"/>
        <w:rPr>
          <w:noProof/>
          <w:sz w:val="24"/>
          <w:szCs w:val="24"/>
        </w:rPr>
      </w:pPr>
      <w:r>
        <w:rPr>
          <w:noProof/>
          <w:sz w:val="24"/>
          <w:szCs w:val="24"/>
        </w:rPr>
        <w:t>Tadalafil forventes ikke at medføre en klinisk signifikant inhibition eller induktion af clearance for lægemidler, som metaboliseres via CYP450-isoformer. Undersøgelser har bekræftet, at tadalafil ikke inhiberer eller inducerer CYP450-isoformerne CYP3A4, CYP1A2, CYP2D6, CYP2E1, CYP2C9 og CYP2C19.</w:t>
      </w:r>
    </w:p>
    <w:p w:rsidR="00737655"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CYP2C9-substrater (f.eks. R-warfarin)</w:t>
      </w:r>
    </w:p>
    <w:p w:rsidR="00737655" w:rsidRDefault="00737655" w:rsidP="00737655">
      <w:pPr>
        <w:ind w:left="851"/>
        <w:rPr>
          <w:noProof/>
          <w:sz w:val="24"/>
          <w:szCs w:val="24"/>
        </w:rPr>
      </w:pPr>
      <w:r>
        <w:rPr>
          <w:noProof/>
          <w:sz w:val="24"/>
          <w:szCs w:val="24"/>
        </w:rPr>
        <w:t>Tadalafil (10 mg og 20 mg) havde ingen klinisk signifikant effekt på eksponeringen (AUC) for S- warfarin eller R-warfarin (CYP2C9 substrat), og tadalafil påvirkede heller ikke ændringer i protrombintiden induceret af warfarin.</w:t>
      </w:r>
    </w:p>
    <w:p w:rsidR="00737655"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Acetylsalisylsyre</w:t>
      </w:r>
    </w:p>
    <w:p w:rsidR="00737655" w:rsidRDefault="00737655" w:rsidP="00737655">
      <w:pPr>
        <w:ind w:left="851"/>
        <w:rPr>
          <w:noProof/>
          <w:sz w:val="24"/>
          <w:szCs w:val="24"/>
        </w:rPr>
      </w:pPr>
      <w:r>
        <w:rPr>
          <w:noProof/>
          <w:sz w:val="24"/>
          <w:szCs w:val="24"/>
        </w:rPr>
        <w:t>Tadalafil (10 mg og 20 mg) forstærkede ikke forlængelsen af blødningstiden, forårsaget af acetylsalicylsyre.</w:t>
      </w:r>
    </w:p>
    <w:p w:rsidR="00737655"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P-glykoprotein substancer (f.eks. digoxin)</w:t>
      </w:r>
    </w:p>
    <w:p w:rsidR="00737655" w:rsidRDefault="00737655" w:rsidP="00737655">
      <w:pPr>
        <w:ind w:left="851"/>
        <w:rPr>
          <w:noProof/>
          <w:sz w:val="24"/>
          <w:szCs w:val="24"/>
        </w:rPr>
      </w:pPr>
      <w:r>
        <w:rPr>
          <w:noProof/>
          <w:sz w:val="24"/>
          <w:szCs w:val="24"/>
        </w:rPr>
        <w:t>Tadalafil (40 mg en gang daglig) havde ingen klinisk signifikat virkning på digoxins farmakokinetik.</w:t>
      </w:r>
    </w:p>
    <w:p w:rsidR="00737655" w:rsidRDefault="00737655" w:rsidP="00737655">
      <w:pPr>
        <w:ind w:left="851" w:hanging="851"/>
        <w:rPr>
          <w:noProof/>
          <w:sz w:val="24"/>
          <w:szCs w:val="24"/>
        </w:rPr>
      </w:pPr>
    </w:p>
    <w:p w:rsidR="00737655" w:rsidRDefault="00737655" w:rsidP="00737655">
      <w:pPr>
        <w:ind w:left="851"/>
        <w:rPr>
          <w:i/>
          <w:noProof/>
          <w:sz w:val="24"/>
          <w:szCs w:val="24"/>
        </w:rPr>
      </w:pPr>
      <w:r>
        <w:rPr>
          <w:i/>
          <w:noProof/>
          <w:sz w:val="24"/>
          <w:szCs w:val="24"/>
        </w:rPr>
        <w:t>Antidiabetika</w:t>
      </w:r>
    </w:p>
    <w:p w:rsidR="00737655" w:rsidRDefault="00737655" w:rsidP="00737655">
      <w:pPr>
        <w:ind w:left="851"/>
        <w:rPr>
          <w:noProof/>
          <w:sz w:val="24"/>
          <w:szCs w:val="24"/>
        </w:rPr>
      </w:pPr>
      <w:r>
        <w:rPr>
          <w:noProof/>
          <w:sz w:val="24"/>
          <w:szCs w:val="24"/>
        </w:rPr>
        <w:t>Specifikke interaktionsundersøgelser med antidiabetiske lægemidler er ikke udført.</w:t>
      </w:r>
    </w:p>
    <w:p w:rsidR="00737655" w:rsidRDefault="00737655" w:rsidP="00737655">
      <w:pPr>
        <w:tabs>
          <w:tab w:val="left" w:pos="851"/>
        </w:tabs>
        <w:ind w:left="851" w:hanging="851"/>
        <w:rPr>
          <w:sz w:val="24"/>
          <w:szCs w:val="24"/>
        </w:rPr>
      </w:pPr>
    </w:p>
    <w:p w:rsidR="00737655" w:rsidRPr="00CF3312" w:rsidRDefault="00737655" w:rsidP="00737655">
      <w:pPr>
        <w:ind w:left="851"/>
        <w:rPr>
          <w:noProof/>
          <w:sz w:val="24"/>
          <w:szCs w:val="24"/>
          <w:u w:val="single"/>
        </w:rPr>
      </w:pPr>
      <w:r w:rsidRPr="00CF3312">
        <w:rPr>
          <w:noProof/>
          <w:sz w:val="24"/>
          <w:szCs w:val="24"/>
          <w:u w:val="single"/>
        </w:rPr>
        <w:t>Pædiatrisk population</w:t>
      </w:r>
    </w:p>
    <w:p w:rsidR="00737655" w:rsidRDefault="00737655" w:rsidP="00737655">
      <w:pPr>
        <w:ind w:firstLine="851"/>
        <w:rPr>
          <w:noProof/>
          <w:sz w:val="24"/>
          <w:szCs w:val="24"/>
        </w:rPr>
      </w:pPr>
      <w:r w:rsidRPr="007807BC">
        <w:rPr>
          <w:noProof/>
          <w:sz w:val="24"/>
          <w:szCs w:val="24"/>
        </w:rPr>
        <w:t>Interaktionsstudier er kun blevet fortaget hos voksne</w:t>
      </w:r>
      <w:r>
        <w:rPr>
          <w:noProof/>
          <w:sz w:val="24"/>
          <w:szCs w:val="24"/>
        </w:rPr>
        <w:t xml:space="preserve">. </w:t>
      </w:r>
    </w:p>
    <w:p w:rsidR="00737655" w:rsidRDefault="00737655" w:rsidP="00737655">
      <w:pPr>
        <w:ind w:left="851"/>
        <w:rPr>
          <w:noProof/>
          <w:sz w:val="24"/>
          <w:szCs w:val="24"/>
        </w:rPr>
      </w:pPr>
      <w:r w:rsidRPr="007807BC">
        <w:rPr>
          <w:noProof/>
          <w:sz w:val="24"/>
          <w:szCs w:val="24"/>
        </w:rPr>
        <w:t>Baseret på PK-populationsanalyse svarer estimaterne af tilsyneladende clearance (CL/F) og effekten af</w:t>
      </w:r>
      <w:r>
        <w:rPr>
          <w:noProof/>
          <w:sz w:val="24"/>
          <w:szCs w:val="24"/>
        </w:rPr>
        <w:t xml:space="preserve"> </w:t>
      </w:r>
      <w:r w:rsidRPr="007807BC">
        <w:rPr>
          <w:noProof/>
          <w:sz w:val="24"/>
          <w:szCs w:val="24"/>
        </w:rPr>
        <w:t>bosentan på CL/F hos pædiatriske patienter som hos voksne patienter med PAH. Ingen dosisjustering</w:t>
      </w:r>
      <w:r>
        <w:rPr>
          <w:noProof/>
          <w:sz w:val="24"/>
          <w:szCs w:val="24"/>
        </w:rPr>
        <w:t xml:space="preserve"> </w:t>
      </w:r>
      <w:r w:rsidRPr="007807BC">
        <w:rPr>
          <w:noProof/>
          <w:sz w:val="24"/>
          <w:szCs w:val="24"/>
        </w:rPr>
        <w:t>anses for nødvendig for tadalafil ved brug af bosentan.</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4.6</w:t>
      </w:r>
      <w:r w:rsidRPr="002C448C">
        <w:rPr>
          <w:b/>
          <w:sz w:val="24"/>
          <w:szCs w:val="24"/>
        </w:rPr>
        <w:tab/>
      </w:r>
      <w:r w:rsidR="00737655">
        <w:rPr>
          <w:b/>
          <w:sz w:val="24"/>
          <w:szCs w:val="24"/>
        </w:rPr>
        <w:t>Fertilitet, g</w:t>
      </w:r>
      <w:r w:rsidRPr="002C448C">
        <w:rPr>
          <w:b/>
          <w:sz w:val="24"/>
          <w:szCs w:val="24"/>
        </w:rPr>
        <w:t>raviditet og amning</w:t>
      </w:r>
    </w:p>
    <w:p w:rsidR="00C07FC7" w:rsidRDefault="00C07FC7" w:rsidP="00C07FC7">
      <w:pPr>
        <w:ind w:left="851" w:hanging="851"/>
        <w:rPr>
          <w:noProof/>
          <w:sz w:val="24"/>
          <w:szCs w:val="24"/>
          <w:u w:val="single"/>
        </w:rPr>
      </w:pPr>
    </w:p>
    <w:p w:rsidR="00C07FC7" w:rsidRDefault="00C07FC7" w:rsidP="00C07FC7">
      <w:pPr>
        <w:ind w:left="851"/>
        <w:rPr>
          <w:noProof/>
          <w:sz w:val="24"/>
          <w:szCs w:val="24"/>
          <w:u w:val="single"/>
        </w:rPr>
      </w:pPr>
      <w:r>
        <w:rPr>
          <w:noProof/>
          <w:sz w:val="24"/>
          <w:szCs w:val="24"/>
          <w:u w:val="single"/>
        </w:rPr>
        <w:t>Graviditet</w:t>
      </w:r>
    </w:p>
    <w:p w:rsidR="00C07FC7" w:rsidRDefault="00C07FC7" w:rsidP="00C07FC7">
      <w:pPr>
        <w:ind w:left="851"/>
        <w:rPr>
          <w:noProof/>
          <w:sz w:val="24"/>
          <w:szCs w:val="24"/>
        </w:rPr>
      </w:pPr>
      <w:r>
        <w:rPr>
          <w:noProof/>
          <w:sz w:val="24"/>
          <w:szCs w:val="24"/>
        </w:rPr>
        <w:t xml:space="preserve">Der foreligger begrænsede data for brugen af tadalafil hos gravide kvinder. Dyreforsøg indikerer hverken direkte eller indirekte skadelige virkninger hvad angår graviditet, embryo/føtal udvikling, fødsel eller postnatal udvikling (se pkt. 5.3). Undgåelse af brug af Tadalafil "Sandoz" under graviditet er at forteække som en forholdsregel. </w:t>
      </w:r>
    </w:p>
    <w:p w:rsidR="00C07FC7" w:rsidRDefault="00C07FC7" w:rsidP="00C07FC7">
      <w:pPr>
        <w:ind w:left="851" w:hanging="851"/>
        <w:rPr>
          <w:noProof/>
          <w:sz w:val="24"/>
          <w:szCs w:val="24"/>
        </w:rPr>
      </w:pPr>
    </w:p>
    <w:p w:rsidR="00C07FC7" w:rsidRDefault="00C07FC7" w:rsidP="00CE3260">
      <w:pPr>
        <w:keepNext/>
        <w:ind w:left="851"/>
        <w:rPr>
          <w:noProof/>
          <w:sz w:val="24"/>
          <w:szCs w:val="24"/>
          <w:u w:val="single"/>
        </w:rPr>
      </w:pPr>
      <w:r>
        <w:rPr>
          <w:noProof/>
          <w:sz w:val="24"/>
          <w:szCs w:val="24"/>
          <w:u w:val="single"/>
        </w:rPr>
        <w:t>Amning</w:t>
      </w:r>
    </w:p>
    <w:p w:rsidR="00C07FC7" w:rsidRDefault="00C07FC7" w:rsidP="00C07FC7">
      <w:pPr>
        <w:ind w:left="851"/>
        <w:rPr>
          <w:noProof/>
          <w:sz w:val="24"/>
          <w:szCs w:val="24"/>
        </w:rPr>
      </w:pPr>
      <w:r>
        <w:rPr>
          <w:noProof/>
          <w:sz w:val="24"/>
          <w:szCs w:val="24"/>
        </w:rPr>
        <w:t>Forhåndenværende farmakodynamiske/toksikologiske data fra dyr har vist udskillelse af tadalafil i mælk. En risiko for det ammende barn kan ikke udelukkes. Tadalafil "Sandoz" bør ikke anvendes under amning.</w:t>
      </w:r>
    </w:p>
    <w:p w:rsidR="00C07FC7" w:rsidRDefault="00C07FC7" w:rsidP="00C07FC7">
      <w:pPr>
        <w:ind w:left="851"/>
        <w:rPr>
          <w:noProof/>
          <w:sz w:val="24"/>
          <w:szCs w:val="24"/>
        </w:rPr>
      </w:pPr>
    </w:p>
    <w:p w:rsidR="00C07FC7" w:rsidRDefault="00C07FC7" w:rsidP="00C07FC7">
      <w:pPr>
        <w:ind w:left="851"/>
        <w:rPr>
          <w:noProof/>
          <w:sz w:val="24"/>
          <w:szCs w:val="24"/>
          <w:u w:val="single"/>
        </w:rPr>
      </w:pPr>
      <w:r>
        <w:rPr>
          <w:noProof/>
          <w:sz w:val="24"/>
          <w:szCs w:val="24"/>
          <w:u w:val="single"/>
        </w:rPr>
        <w:t>Fertilitet</w:t>
      </w:r>
    </w:p>
    <w:p w:rsidR="00C07FC7" w:rsidRDefault="00C07FC7" w:rsidP="00C07FC7">
      <w:pPr>
        <w:ind w:left="851"/>
        <w:rPr>
          <w:noProof/>
          <w:sz w:val="24"/>
          <w:szCs w:val="24"/>
        </w:rPr>
      </w:pPr>
      <w:r>
        <w:rPr>
          <w:noProof/>
          <w:sz w:val="24"/>
          <w:szCs w:val="24"/>
        </w:rPr>
        <w:t>Hos hunde er der set virkninger, som kan tyde på nedsat fertilitet. To efterfølgende kliniske studier tyder på, at denne virkning ikke er sandsynlig hos mennesker, selvom en nedsat koncentration af spermatocytter blev set hos nogle mænd (se pkt. 5.1 og 5.3).</w:t>
      </w:r>
    </w:p>
    <w:p w:rsidR="00C07FC7" w:rsidRPr="002C448C" w:rsidRDefault="00C07FC7" w:rsidP="00C07FC7">
      <w:pPr>
        <w:tabs>
          <w:tab w:val="left" w:pos="851"/>
        </w:tabs>
        <w:ind w:left="851" w:hanging="851"/>
        <w:rPr>
          <w:sz w:val="24"/>
          <w:szCs w:val="24"/>
        </w:rPr>
      </w:pPr>
    </w:p>
    <w:p w:rsidR="00C07FC7" w:rsidRDefault="00C07FC7" w:rsidP="00C07FC7">
      <w:pPr>
        <w:tabs>
          <w:tab w:val="left" w:pos="851"/>
        </w:tabs>
        <w:ind w:left="851" w:hanging="851"/>
        <w:rPr>
          <w:b/>
          <w:sz w:val="24"/>
          <w:szCs w:val="24"/>
        </w:rPr>
      </w:pPr>
      <w:r w:rsidRPr="002C448C">
        <w:rPr>
          <w:b/>
          <w:sz w:val="24"/>
          <w:szCs w:val="24"/>
        </w:rPr>
        <w:t>4.7</w:t>
      </w:r>
      <w:r w:rsidRPr="002C448C">
        <w:rPr>
          <w:b/>
          <w:sz w:val="24"/>
          <w:szCs w:val="24"/>
        </w:rPr>
        <w:tab/>
      </w:r>
      <w:r>
        <w:rPr>
          <w:b/>
          <w:sz w:val="24"/>
          <w:szCs w:val="24"/>
        </w:rPr>
        <w:t xml:space="preserve">Virkning på evnen til at føre motorkøretøj </w:t>
      </w:r>
      <w:r w:rsidR="00737655">
        <w:rPr>
          <w:b/>
          <w:sz w:val="24"/>
          <w:szCs w:val="24"/>
        </w:rPr>
        <w:t>og</w:t>
      </w:r>
      <w:r>
        <w:rPr>
          <w:b/>
          <w:sz w:val="24"/>
          <w:szCs w:val="24"/>
        </w:rPr>
        <w:t xml:space="preserve"> betjene maskiner</w:t>
      </w:r>
    </w:p>
    <w:p w:rsidR="00C07FC7" w:rsidRDefault="00C07FC7" w:rsidP="00C07FC7">
      <w:pPr>
        <w:ind w:left="851"/>
        <w:rPr>
          <w:sz w:val="24"/>
          <w:szCs w:val="24"/>
        </w:rPr>
      </w:pPr>
      <w:r>
        <w:rPr>
          <w:sz w:val="24"/>
          <w:szCs w:val="24"/>
        </w:rPr>
        <w:t>Ikke mærkning.</w:t>
      </w:r>
    </w:p>
    <w:p w:rsidR="00C07FC7" w:rsidRDefault="00C07FC7" w:rsidP="00C07FC7">
      <w:pPr>
        <w:ind w:left="851"/>
        <w:rPr>
          <w:sz w:val="24"/>
          <w:szCs w:val="24"/>
        </w:rPr>
      </w:pPr>
      <w:proofErr w:type="spellStart"/>
      <w:r>
        <w:rPr>
          <w:sz w:val="24"/>
          <w:szCs w:val="24"/>
        </w:rPr>
        <w:t>Tadalafil</w:t>
      </w:r>
      <w:proofErr w:type="spellEnd"/>
      <w:r>
        <w:rPr>
          <w:sz w:val="24"/>
          <w:szCs w:val="24"/>
        </w:rPr>
        <w:t xml:space="preserve"> "Sandoz" påvirker ikke eller kun i ubetydelig grad evnen til at føre motorkøretøj og betjene maskiner. Selvom hyppigheden af rapporter omhandlende svimmelhed var ens i placebo- og </w:t>
      </w:r>
      <w:proofErr w:type="spellStart"/>
      <w:r>
        <w:rPr>
          <w:sz w:val="24"/>
          <w:szCs w:val="24"/>
        </w:rPr>
        <w:t>tadalafil</w:t>
      </w:r>
      <w:proofErr w:type="spellEnd"/>
      <w:r>
        <w:rPr>
          <w:sz w:val="24"/>
          <w:szCs w:val="24"/>
        </w:rPr>
        <w:t xml:space="preserve">-armene i de kliniske studier, bør patienterne være opmærksomme på, hvordan de reagerer på </w:t>
      </w:r>
      <w:proofErr w:type="spellStart"/>
      <w:r>
        <w:rPr>
          <w:sz w:val="24"/>
          <w:szCs w:val="24"/>
        </w:rPr>
        <w:t>Tadalafil</w:t>
      </w:r>
      <w:proofErr w:type="spellEnd"/>
      <w:r>
        <w:rPr>
          <w:sz w:val="24"/>
          <w:szCs w:val="24"/>
        </w:rPr>
        <w:t xml:space="preserve"> "Sandoz", før de fører bil eller betjener maskiner.</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4.8</w:t>
      </w:r>
      <w:r w:rsidRPr="002C448C">
        <w:rPr>
          <w:b/>
          <w:sz w:val="24"/>
          <w:szCs w:val="24"/>
        </w:rPr>
        <w:tab/>
        <w:t>Bivirkninger</w:t>
      </w:r>
    </w:p>
    <w:p w:rsidR="00C07FC7" w:rsidRDefault="00C07FC7" w:rsidP="00C07FC7">
      <w:pPr>
        <w:ind w:left="851" w:hanging="851"/>
        <w:rPr>
          <w:b/>
          <w:i/>
          <w:sz w:val="24"/>
          <w:szCs w:val="24"/>
        </w:rPr>
      </w:pPr>
    </w:p>
    <w:p w:rsidR="00973B20" w:rsidRDefault="00973B20" w:rsidP="00973B20">
      <w:pPr>
        <w:ind w:left="851"/>
        <w:rPr>
          <w:b/>
          <w:i/>
          <w:noProof/>
          <w:sz w:val="24"/>
          <w:szCs w:val="24"/>
        </w:rPr>
      </w:pPr>
      <w:proofErr w:type="spellStart"/>
      <w:r>
        <w:rPr>
          <w:b/>
          <w:i/>
          <w:sz w:val="24"/>
          <w:szCs w:val="24"/>
        </w:rPr>
        <w:t>Tadalafil</w:t>
      </w:r>
      <w:proofErr w:type="spellEnd"/>
      <w:r>
        <w:rPr>
          <w:b/>
          <w:i/>
          <w:sz w:val="24"/>
          <w:szCs w:val="24"/>
        </w:rPr>
        <w:t xml:space="preserve"> </w:t>
      </w:r>
      <w:r>
        <w:rPr>
          <w:b/>
          <w:i/>
          <w:noProof/>
          <w:sz w:val="24"/>
          <w:szCs w:val="24"/>
        </w:rPr>
        <w:t xml:space="preserve">mod erektil dysfunktion eller benign prostatahyperplasia </w:t>
      </w:r>
    </w:p>
    <w:p w:rsidR="00973B20" w:rsidRDefault="00973B20" w:rsidP="00973B20">
      <w:pPr>
        <w:ind w:left="851" w:hanging="851"/>
        <w:rPr>
          <w:sz w:val="24"/>
          <w:szCs w:val="24"/>
        </w:rPr>
      </w:pPr>
    </w:p>
    <w:p w:rsidR="00973B20" w:rsidRDefault="00973B20" w:rsidP="00973B20">
      <w:pPr>
        <w:ind w:left="851"/>
        <w:rPr>
          <w:sz w:val="24"/>
          <w:szCs w:val="24"/>
          <w:u w:val="single"/>
        </w:rPr>
      </w:pPr>
      <w:r>
        <w:rPr>
          <w:sz w:val="24"/>
          <w:szCs w:val="24"/>
          <w:u w:val="single"/>
        </w:rPr>
        <w:t>Resumé af sikkerhedsprofilen</w:t>
      </w:r>
    </w:p>
    <w:p w:rsidR="00973B20" w:rsidRDefault="00973B20" w:rsidP="00973B20">
      <w:pPr>
        <w:ind w:left="851" w:hanging="851"/>
        <w:rPr>
          <w:sz w:val="24"/>
          <w:szCs w:val="24"/>
          <w:u w:val="single"/>
        </w:rPr>
      </w:pPr>
    </w:p>
    <w:p w:rsidR="00973B20" w:rsidRDefault="00973B20" w:rsidP="00973B20">
      <w:pPr>
        <w:ind w:left="851"/>
        <w:rPr>
          <w:sz w:val="24"/>
          <w:szCs w:val="24"/>
        </w:rPr>
      </w:pPr>
      <w:r>
        <w:rPr>
          <w:sz w:val="24"/>
          <w:szCs w:val="24"/>
        </w:rPr>
        <w:t xml:space="preserve">De hyppigst rapporterede bivirkninger hos patienter, som tog </w:t>
      </w:r>
      <w:proofErr w:type="spellStart"/>
      <w:r>
        <w:rPr>
          <w:sz w:val="24"/>
          <w:szCs w:val="24"/>
        </w:rPr>
        <w:t>tadalafil</w:t>
      </w:r>
      <w:proofErr w:type="spellEnd"/>
      <w:r>
        <w:rPr>
          <w:sz w:val="24"/>
          <w:szCs w:val="24"/>
        </w:rPr>
        <w:t xml:space="preserve"> til behandling af </w:t>
      </w:r>
      <w:proofErr w:type="spellStart"/>
      <w:r>
        <w:rPr>
          <w:sz w:val="24"/>
          <w:szCs w:val="24"/>
        </w:rPr>
        <w:t>erektil</w:t>
      </w:r>
      <w:proofErr w:type="spellEnd"/>
      <w:r>
        <w:rPr>
          <w:sz w:val="24"/>
          <w:szCs w:val="24"/>
        </w:rPr>
        <w:t xml:space="preserve"> dysfunktion eller benign </w:t>
      </w:r>
      <w:proofErr w:type="spellStart"/>
      <w:r>
        <w:rPr>
          <w:sz w:val="24"/>
          <w:szCs w:val="24"/>
        </w:rPr>
        <w:t>prostatahyperplasi</w:t>
      </w:r>
      <w:proofErr w:type="spellEnd"/>
      <w:r>
        <w:rPr>
          <w:sz w:val="24"/>
          <w:szCs w:val="24"/>
        </w:rPr>
        <w:t xml:space="preserve">, var hovedpine, dyspepsi, rygsmerter og </w:t>
      </w:r>
      <w:r>
        <w:rPr>
          <w:sz w:val="24"/>
          <w:szCs w:val="24"/>
        </w:rPr>
        <w:lastRenderedPageBreak/>
        <w:t xml:space="preserve">myalgi, hvor hyppigheden steg ved øget dosis af </w:t>
      </w:r>
      <w:proofErr w:type="spellStart"/>
      <w:r>
        <w:rPr>
          <w:sz w:val="24"/>
          <w:szCs w:val="24"/>
        </w:rPr>
        <w:t>tadalafil</w:t>
      </w:r>
      <w:proofErr w:type="spellEnd"/>
      <w:r>
        <w:rPr>
          <w:sz w:val="24"/>
          <w:szCs w:val="24"/>
        </w:rPr>
        <w:t xml:space="preserve">. De rapporterede bivirkninger var forbigående og generelt lette eller moderate. Størsteparten af de tilfælde af hovedpine, som blev indberettet for </w:t>
      </w:r>
      <w:proofErr w:type="spellStart"/>
      <w:r>
        <w:rPr>
          <w:sz w:val="24"/>
          <w:szCs w:val="24"/>
        </w:rPr>
        <w:t>tadalafil</w:t>
      </w:r>
      <w:proofErr w:type="spellEnd"/>
      <w:r>
        <w:rPr>
          <w:sz w:val="24"/>
          <w:szCs w:val="24"/>
        </w:rPr>
        <w:t xml:space="preserve"> én gang daglig-doseringen, opstod inden for de første 10 til 30 dage efter behandlingsstart.</w:t>
      </w:r>
    </w:p>
    <w:p w:rsidR="00973B20" w:rsidRDefault="00973B20" w:rsidP="00973B20">
      <w:pPr>
        <w:ind w:left="851" w:hanging="851"/>
        <w:rPr>
          <w:sz w:val="24"/>
          <w:szCs w:val="24"/>
        </w:rPr>
      </w:pPr>
    </w:p>
    <w:p w:rsidR="00973B20" w:rsidRDefault="00973B20" w:rsidP="00973B20">
      <w:pPr>
        <w:ind w:left="851"/>
        <w:rPr>
          <w:sz w:val="24"/>
          <w:szCs w:val="24"/>
          <w:u w:val="single"/>
        </w:rPr>
      </w:pPr>
      <w:r>
        <w:rPr>
          <w:sz w:val="24"/>
          <w:szCs w:val="24"/>
          <w:u w:val="single"/>
        </w:rPr>
        <w:t>Resumé af bivirkninger i tabelform</w:t>
      </w:r>
    </w:p>
    <w:p w:rsidR="00973B20" w:rsidRDefault="00973B20" w:rsidP="00973B20">
      <w:pPr>
        <w:ind w:left="851" w:hanging="851"/>
        <w:rPr>
          <w:sz w:val="24"/>
          <w:szCs w:val="24"/>
          <w:u w:val="single"/>
        </w:rPr>
      </w:pPr>
    </w:p>
    <w:p w:rsidR="00973B20" w:rsidRDefault="00973B20" w:rsidP="00973B20">
      <w:pPr>
        <w:ind w:left="851"/>
        <w:rPr>
          <w:sz w:val="24"/>
          <w:szCs w:val="24"/>
        </w:rPr>
      </w:pPr>
      <w:r>
        <w:rPr>
          <w:sz w:val="24"/>
          <w:szCs w:val="24"/>
        </w:rPr>
        <w:t xml:space="preserve">Nedenstående tabel angiver observerede bivirkninger fra spontane indberetninger samt fra placebokontrollerede kliniske studier (omfattende i alt 8.022 patienter på </w:t>
      </w:r>
      <w:proofErr w:type="spellStart"/>
      <w:r>
        <w:rPr>
          <w:sz w:val="24"/>
          <w:szCs w:val="24"/>
        </w:rPr>
        <w:t>tadalafil</w:t>
      </w:r>
      <w:proofErr w:type="spellEnd"/>
      <w:r>
        <w:rPr>
          <w:sz w:val="24"/>
          <w:szCs w:val="24"/>
        </w:rPr>
        <w:t xml:space="preserve"> og 4.422 patienter på placebo) ved behandling af </w:t>
      </w:r>
      <w:proofErr w:type="spellStart"/>
      <w:r>
        <w:rPr>
          <w:sz w:val="24"/>
          <w:szCs w:val="24"/>
        </w:rPr>
        <w:t>erektil</w:t>
      </w:r>
      <w:proofErr w:type="spellEnd"/>
      <w:r>
        <w:rPr>
          <w:sz w:val="24"/>
          <w:szCs w:val="24"/>
        </w:rPr>
        <w:t xml:space="preserve"> dysfunktion (dosering ved behov eller én gang daglig) og benign </w:t>
      </w:r>
      <w:proofErr w:type="spellStart"/>
      <w:r>
        <w:rPr>
          <w:sz w:val="24"/>
          <w:szCs w:val="24"/>
        </w:rPr>
        <w:t>prostatahyperplasi</w:t>
      </w:r>
      <w:proofErr w:type="spellEnd"/>
      <w:r>
        <w:rPr>
          <w:sz w:val="24"/>
          <w:szCs w:val="24"/>
        </w:rPr>
        <w:t xml:space="preserve"> (dosering én gang daglig).</w:t>
      </w:r>
    </w:p>
    <w:p w:rsidR="00973B20" w:rsidRDefault="00973B20" w:rsidP="00973B20">
      <w:pPr>
        <w:ind w:left="851"/>
        <w:rPr>
          <w:sz w:val="24"/>
          <w:szCs w:val="24"/>
        </w:rPr>
      </w:pPr>
    </w:p>
    <w:p w:rsidR="00973B20" w:rsidRDefault="00973B20" w:rsidP="00973B20">
      <w:pPr>
        <w:ind w:left="851"/>
        <w:rPr>
          <w:sz w:val="24"/>
          <w:szCs w:val="24"/>
        </w:rPr>
      </w:pPr>
      <w:r>
        <w:rPr>
          <w:sz w:val="24"/>
          <w:szCs w:val="24"/>
        </w:rPr>
        <w:t>Hyppighedskonvention: Meget almindelig (≥1/10), almindelig (≥1/100 til &lt;1/10), ikke almindelig (≥1/1.000 til &lt;1/100), sjælden (≥1/10.000 til &lt;1/1.000), meget sjælden (&lt;1/10.000) og ikke kendt (kan ikke estimeres ud fra forhåndenværende data).</w:t>
      </w:r>
    </w:p>
    <w:p w:rsidR="00973B20" w:rsidRDefault="00973B20" w:rsidP="00973B20">
      <w:pPr>
        <w:ind w:left="851" w:hanging="851"/>
        <w:rPr>
          <w:sz w:val="24"/>
          <w:szCs w:val="24"/>
        </w:rPr>
      </w:pPr>
    </w:p>
    <w:tbl>
      <w:tblPr>
        <w:tblStyle w:val="Tabel-Gitter"/>
        <w:tblW w:w="5000" w:type="pct"/>
        <w:tblInd w:w="-3" w:type="dxa"/>
        <w:tblLook w:val="04A0" w:firstRow="1" w:lastRow="0" w:firstColumn="1" w:lastColumn="0" w:noHBand="0" w:noVBand="1"/>
      </w:tblPr>
      <w:tblGrid>
        <w:gridCol w:w="1925"/>
        <w:gridCol w:w="1925"/>
        <w:gridCol w:w="1926"/>
        <w:gridCol w:w="1926"/>
        <w:gridCol w:w="1926"/>
      </w:tblGrid>
      <w:tr w:rsidR="00973B20" w:rsidTr="00D92323">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b/>
                <w:sz w:val="22"/>
                <w:szCs w:val="22"/>
              </w:rPr>
              <w:t>Meget</w:t>
            </w:r>
            <w:r>
              <w:rPr>
                <w:b/>
                <w:spacing w:val="1"/>
                <w:sz w:val="22"/>
                <w:szCs w:val="22"/>
              </w:rPr>
              <w:t xml:space="preserve"> </w:t>
            </w:r>
            <w:r>
              <w:rPr>
                <w:b/>
                <w:sz w:val="22"/>
                <w:szCs w:val="22"/>
              </w:rPr>
              <w:t>a</w:t>
            </w:r>
            <w:r>
              <w:rPr>
                <w:b/>
                <w:spacing w:val="1"/>
                <w:sz w:val="22"/>
                <w:szCs w:val="22"/>
              </w:rPr>
              <w:t>lmi</w:t>
            </w:r>
            <w:r>
              <w:rPr>
                <w:b/>
                <w:sz w:val="22"/>
                <w:szCs w:val="22"/>
              </w:rPr>
              <w:t>nde</w:t>
            </w:r>
            <w:r>
              <w:rPr>
                <w:b/>
                <w:spacing w:val="1"/>
                <w:sz w:val="22"/>
                <w:szCs w:val="22"/>
              </w:rPr>
              <w:t>li</w:t>
            </w:r>
            <w:r>
              <w:rPr>
                <w:b/>
                <w:sz w:val="22"/>
                <w:szCs w:val="22"/>
              </w:rPr>
              <w:t>g</w:t>
            </w:r>
            <w:r>
              <w:rPr>
                <w:sz w:val="22"/>
                <w:szCs w:val="22"/>
              </w:rPr>
              <w:t xml:space="preserve"> </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b/>
                <w:spacing w:val="1"/>
                <w:sz w:val="22"/>
                <w:szCs w:val="22"/>
              </w:rPr>
            </w:pPr>
            <w:r>
              <w:rPr>
                <w:b/>
                <w:spacing w:val="-1"/>
                <w:sz w:val="22"/>
                <w:szCs w:val="22"/>
              </w:rPr>
              <w:t>A</w:t>
            </w:r>
            <w:r>
              <w:rPr>
                <w:b/>
                <w:spacing w:val="1"/>
                <w:sz w:val="22"/>
                <w:szCs w:val="22"/>
              </w:rPr>
              <w:t>lmi</w:t>
            </w:r>
            <w:r>
              <w:rPr>
                <w:b/>
                <w:sz w:val="22"/>
                <w:szCs w:val="22"/>
              </w:rPr>
              <w:t>nde</w:t>
            </w:r>
            <w:r>
              <w:rPr>
                <w:b/>
                <w:spacing w:val="1"/>
                <w:sz w:val="22"/>
                <w:szCs w:val="22"/>
              </w:rPr>
              <w:t>lig</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b/>
                <w:sz w:val="22"/>
                <w:szCs w:val="22"/>
              </w:rPr>
            </w:pPr>
            <w:r>
              <w:rPr>
                <w:b/>
                <w:spacing w:val="1"/>
                <w:sz w:val="22"/>
                <w:szCs w:val="22"/>
              </w:rPr>
              <w:t>I</w:t>
            </w:r>
            <w:r>
              <w:rPr>
                <w:b/>
                <w:sz w:val="22"/>
                <w:szCs w:val="22"/>
              </w:rPr>
              <w:t>kke</w:t>
            </w:r>
            <w:r>
              <w:rPr>
                <w:b/>
                <w:spacing w:val="1"/>
                <w:sz w:val="22"/>
                <w:szCs w:val="22"/>
              </w:rPr>
              <w:t xml:space="preserve"> </w:t>
            </w:r>
            <w:r>
              <w:rPr>
                <w:b/>
                <w:sz w:val="22"/>
                <w:szCs w:val="22"/>
              </w:rPr>
              <w:t>a</w:t>
            </w:r>
            <w:r>
              <w:rPr>
                <w:b/>
                <w:spacing w:val="1"/>
                <w:sz w:val="22"/>
                <w:szCs w:val="22"/>
              </w:rPr>
              <w:t>lmi</w:t>
            </w:r>
            <w:r>
              <w:rPr>
                <w:b/>
                <w:sz w:val="22"/>
                <w:szCs w:val="22"/>
              </w:rPr>
              <w:t>nde</w:t>
            </w:r>
            <w:r>
              <w:rPr>
                <w:b/>
                <w:spacing w:val="1"/>
                <w:sz w:val="22"/>
                <w:szCs w:val="22"/>
              </w:rPr>
              <w:t>li</w:t>
            </w:r>
            <w:r>
              <w:rPr>
                <w:b/>
                <w:sz w:val="22"/>
                <w:szCs w:val="22"/>
              </w:rPr>
              <w:t>g</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b/>
                <w:sz w:val="22"/>
                <w:szCs w:val="22"/>
              </w:rPr>
            </w:pPr>
            <w:r>
              <w:rPr>
                <w:b/>
                <w:sz w:val="22"/>
                <w:szCs w:val="22"/>
              </w:rPr>
              <w:t>S</w:t>
            </w:r>
            <w:r>
              <w:rPr>
                <w:b/>
                <w:spacing w:val="1"/>
                <w:sz w:val="22"/>
                <w:szCs w:val="22"/>
              </w:rPr>
              <w:t>j</w:t>
            </w:r>
            <w:r>
              <w:rPr>
                <w:b/>
                <w:spacing w:val="-1"/>
                <w:sz w:val="22"/>
                <w:szCs w:val="22"/>
              </w:rPr>
              <w:t>æ</w:t>
            </w:r>
            <w:r>
              <w:rPr>
                <w:b/>
                <w:spacing w:val="1"/>
                <w:sz w:val="22"/>
                <w:szCs w:val="22"/>
              </w:rPr>
              <w:t>l</w:t>
            </w:r>
            <w:r>
              <w:rPr>
                <w:b/>
                <w:sz w:val="22"/>
                <w:szCs w:val="22"/>
              </w:rPr>
              <w:t>den</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b/>
                <w:sz w:val="22"/>
                <w:szCs w:val="22"/>
              </w:rPr>
            </w:pPr>
            <w:r>
              <w:rPr>
                <w:b/>
                <w:sz w:val="22"/>
                <w:szCs w:val="22"/>
              </w:rPr>
              <w:t>Ikke kendt</w:t>
            </w: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z w:val="22"/>
                <w:szCs w:val="22"/>
              </w:rPr>
            </w:pPr>
            <w:r>
              <w:rPr>
                <w:i/>
                <w:sz w:val="22"/>
                <w:szCs w:val="22"/>
              </w:rPr>
              <w:t>Immunsystemet</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Overfølsomhed</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Angioødem</w:t>
            </w:r>
            <w:r>
              <w:rPr>
                <w:sz w:val="22"/>
                <w:szCs w:val="22"/>
                <w:vertAlign w:val="superscript"/>
              </w:rPr>
              <w:t>2</w:t>
            </w: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z w:val="22"/>
                <w:szCs w:val="22"/>
              </w:rPr>
            </w:pPr>
            <w:r>
              <w:rPr>
                <w:i/>
                <w:sz w:val="22"/>
                <w:szCs w:val="22"/>
              </w:rPr>
              <w:t>Nervesystemet</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Hovedpine</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Svimmelhed</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Apopleksi</w:t>
            </w:r>
            <w:r>
              <w:rPr>
                <w:sz w:val="22"/>
                <w:szCs w:val="22"/>
                <w:vertAlign w:val="superscript"/>
              </w:rPr>
              <w:t>1</w:t>
            </w:r>
            <w:r>
              <w:rPr>
                <w:sz w:val="22"/>
                <w:szCs w:val="22"/>
              </w:rPr>
              <w:t xml:space="preserve"> (inklusive hjerneblødning), synkope, transitorisk cerebral iskæmi</w:t>
            </w:r>
            <w:r>
              <w:rPr>
                <w:sz w:val="22"/>
                <w:szCs w:val="22"/>
                <w:vertAlign w:val="superscript"/>
              </w:rPr>
              <w:t>1</w:t>
            </w:r>
            <w:r>
              <w:rPr>
                <w:sz w:val="22"/>
                <w:szCs w:val="22"/>
              </w:rPr>
              <w:t>, migræne</w:t>
            </w:r>
            <w:r>
              <w:rPr>
                <w:sz w:val="22"/>
                <w:szCs w:val="22"/>
                <w:vertAlign w:val="superscript"/>
              </w:rPr>
              <w:t>2</w:t>
            </w:r>
            <w:r>
              <w:rPr>
                <w:sz w:val="22"/>
                <w:szCs w:val="22"/>
              </w:rPr>
              <w:t>, kramper</w:t>
            </w:r>
            <w:r>
              <w:rPr>
                <w:sz w:val="22"/>
                <w:szCs w:val="22"/>
                <w:vertAlign w:val="superscript"/>
              </w:rPr>
              <w:t>2</w:t>
            </w:r>
            <w:r>
              <w:rPr>
                <w:sz w:val="22"/>
                <w:szCs w:val="22"/>
              </w:rPr>
              <w:t>, forbigående hukommelsestab</w:t>
            </w: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pacing w:val="-1"/>
                <w:sz w:val="22"/>
                <w:szCs w:val="22"/>
              </w:rPr>
            </w:pPr>
            <w:r>
              <w:rPr>
                <w:i/>
                <w:spacing w:val="-1"/>
                <w:sz w:val="22"/>
                <w:szCs w:val="22"/>
              </w:rPr>
              <w:t>Ø</w:t>
            </w:r>
            <w:r>
              <w:rPr>
                <w:i/>
                <w:spacing w:val="1"/>
                <w:sz w:val="22"/>
                <w:szCs w:val="22"/>
              </w:rPr>
              <w:t>j</w:t>
            </w:r>
            <w:r>
              <w:rPr>
                <w:i/>
                <w:sz w:val="22"/>
                <w:szCs w:val="22"/>
              </w:rPr>
              <w:t>ne</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S</w:t>
            </w:r>
            <w:r>
              <w:rPr>
                <w:spacing w:val="1"/>
                <w:sz w:val="22"/>
                <w:szCs w:val="22"/>
              </w:rPr>
              <w:t>l</w:t>
            </w:r>
            <w:r>
              <w:rPr>
                <w:sz w:val="22"/>
                <w:szCs w:val="22"/>
              </w:rPr>
              <w:t>ø</w:t>
            </w:r>
            <w:r>
              <w:rPr>
                <w:spacing w:val="1"/>
                <w:sz w:val="22"/>
                <w:szCs w:val="22"/>
              </w:rPr>
              <w:t>r</w:t>
            </w:r>
            <w:r>
              <w:rPr>
                <w:sz w:val="22"/>
                <w:szCs w:val="22"/>
              </w:rPr>
              <w:t>et</w:t>
            </w:r>
            <w:r>
              <w:rPr>
                <w:spacing w:val="1"/>
                <w:sz w:val="22"/>
                <w:szCs w:val="22"/>
              </w:rPr>
              <w:t xml:space="preserve"> </w:t>
            </w:r>
            <w:r>
              <w:rPr>
                <w:sz w:val="22"/>
                <w:szCs w:val="22"/>
              </w:rPr>
              <w:t>s</w:t>
            </w:r>
            <w:r>
              <w:rPr>
                <w:spacing w:val="-2"/>
                <w:sz w:val="22"/>
                <w:szCs w:val="22"/>
              </w:rPr>
              <w:t>y</w:t>
            </w:r>
            <w:r>
              <w:rPr>
                <w:sz w:val="22"/>
                <w:szCs w:val="22"/>
              </w:rPr>
              <w:t>n, fo</w:t>
            </w:r>
            <w:r>
              <w:rPr>
                <w:spacing w:val="1"/>
                <w:sz w:val="22"/>
                <w:szCs w:val="22"/>
              </w:rPr>
              <w:t>r</w:t>
            </w:r>
            <w:r>
              <w:rPr>
                <w:sz w:val="22"/>
                <w:szCs w:val="22"/>
              </w:rPr>
              <w:t>ne</w:t>
            </w:r>
            <w:r>
              <w:rPr>
                <w:spacing w:val="-4"/>
                <w:sz w:val="22"/>
                <w:szCs w:val="22"/>
              </w:rPr>
              <w:t>mm</w:t>
            </w:r>
            <w:r>
              <w:rPr>
                <w:sz w:val="22"/>
                <w:szCs w:val="22"/>
              </w:rPr>
              <w:t>e</w:t>
            </w:r>
            <w:r>
              <w:rPr>
                <w:spacing w:val="1"/>
                <w:sz w:val="22"/>
                <w:szCs w:val="22"/>
              </w:rPr>
              <w:t>l</w:t>
            </w:r>
            <w:r>
              <w:rPr>
                <w:sz w:val="22"/>
                <w:szCs w:val="22"/>
              </w:rPr>
              <w:t>se bes</w:t>
            </w:r>
            <w:r>
              <w:rPr>
                <w:spacing w:val="-2"/>
                <w:sz w:val="22"/>
                <w:szCs w:val="22"/>
              </w:rPr>
              <w:t>k</w:t>
            </w:r>
            <w:r>
              <w:rPr>
                <w:spacing w:val="1"/>
                <w:sz w:val="22"/>
                <w:szCs w:val="22"/>
              </w:rPr>
              <w:t>r</w:t>
            </w:r>
            <w:r>
              <w:rPr>
                <w:sz w:val="22"/>
                <w:szCs w:val="22"/>
              </w:rPr>
              <w:t>e</w:t>
            </w:r>
            <w:r>
              <w:rPr>
                <w:spacing w:val="-2"/>
                <w:sz w:val="22"/>
                <w:szCs w:val="22"/>
              </w:rPr>
              <w:t>v</w:t>
            </w:r>
            <w:r>
              <w:rPr>
                <w:sz w:val="22"/>
                <w:szCs w:val="22"/>
              </w:rPr>
              <w:t>et</w:t>
            </w:r>
            <w:r>
              <w:rPr>
                <w:spacing w:val="1"/>
                <w:sz w:val="22"/>
                <w:szCs w:val="22"/>
              </w:rPr>
              <w:t xml:space="preserve"> </w:t>
            </w:r>
            <w:r>
              <w:rPr>
                <w:sz w:val="22"/>
                <w:szCs w:val="22"/>
              </w:rPr>
              <w:t>som ø</w:t>
            </w:r>
            <w:r>
              <w:rPr>
                <w:spacing w:val="3"/>
                <w:sz w:val="22"/>
                <w:szCs w:val="22"/>
              </w:rPr>
              <w:t>j</w:t>
            </w:r>
            <w:r>
              <w:rPr>
                <w:sz w:val="22"/>
                <w:szCs w:val="22"/>
              </w:rPr>
              <w:t>ens</w:t>
            </w:r>
            <w:r>
              <w:rPr>
                <w:spacing w:val="-4"/>
                <w:sz w:val="22"/>
                <w:szCs w:val="22"/>
              </w:rPr>
              <w:t>m</w:t>
            </w:r>
            <w:r>
              <w:rPr>
                <w:sz w:val="22"/>
                <w:szCs w:val="22"/>
              </w:rPr>
              <w:t>e</w:t>
            </w:r>
            <w:r>
              <w:rPr>
                <w:spacing w:val="1"/>
                <w:sz w:val="22"/>
                <w:szCs w:val="22"/>
              </w:rPr>
              <w:t>rt</w:t>
            </w:r>
            <w:r>
              <w:rPr>
                <w:sz w:val="22"/>
                <w:szCs w:val="22"/>
              </w:rPr>
              <w:t>e</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 xml:space="preserve">Synsfeltsdefekt, hævede øjenlåg, </w:t>
            </w:r>
            <w:proofErr w:type="spellStart"/>
            <w:r>
              <w:rPr>
                <w:sz w:val="22"/>
                <w:szCs w:val="22"/>
              </w:rPr>
              <w:t>konjunktival</w:t>
            </w:r>
            <w:proofErr w:type="spellEnd"/>
            <w:r>
              <w:rPr>
                <w:sz w:val="22"/>
                <w:szCs w:val="22"/>
              </w:rPr>
              <w:t xml:space="preserve"> </w:t>
            </w:r>
            <w:proofErr w:type="spellStart"/>
            <w:r>
              <w:rPr>
                <w:sz w:val="22"/>
                <w:szCs w:val="22"/>
              </w:rPr>
              <w:t>hyperæmi</w:t>
            </w:r>
            <w:proofErr w:type="spellEnd"/>
            <w:r>
              <w:rPr>
                <w:sz w:val="22"/>
                <w:szCs w:val="22"/>
              </w:rPr>
              <w:t>, non-</w:t>
            </w:r>
            <w:proofErr w:type="spellStart"/>
            <w:r>
              <w:rPr>
                <w:sz w:val="22"/>
                <w:szCs w:val="22"/>
              </w:rPr>
              <w:t>arteritis</w:t>
            </w:r>
            <w:proofErr w:type="spellEnd"/>
            <w:r>
              <w:rPr>
                <w:sz w:val="22"/>
                <w:szCs w:val="22"/>
              </w:rPr>
              <w:t xml:space="preserve"> </w:t>
            </w:r>
            <w:proofErr w:type="spellStart"/>
            <w:r>
              <w:rPr>
                <w:sz w:val="22"/>
                <w:szCs w:val="22"/>
              </w:rPr>
              <w:t>anterior</w:t>
            </w:r>
            <w:proofErr w:type="spellEnd"/>
            <w:r>
              <w:rPr>
                <w:sz w:val="22"/>
                <w:szCs w:val="22"/>
              </w:rPr>
              <w:t xml:space="preserve"> iskæmisk </w:t>
            </w:r>
            <w:proofErr w:type="spellStart"/>
            <w:r>
              <w:rPr>
                <w:sz w:val="22"/>
                <w:szCs w:val="22"/>
              </w:rPr>
              <w:t>optikusneuropati</w:t>
            </w:r>
            <w:proofErr w:type="spellEnd"/>
            <w:r>
              <w:rPr>
                <w:sz w:val="22"/>
                <w:szCs w:val="22"/>
              </w:rPr>
              <w:t xml:space="preserve"> (NAION)</w:t>
            </w:r>
            <w:r>
              <w:rPr>
                <w:sz w:val="22"/>
                <w:szCs w:val="22"/>
                <w:vertAlign w:val="superscript"/>
              </w:rPr>
              <w:t>2</w:t>
            </w:r>
            <w:r>
              <w:rPr>
                <w:sz w:val="22"/>
                <w:szCs w:val="22"/>
              </w:rPr>
              <w:t xml:space="preserve">, </w:t>
            </w:r>
            <w:proofErr w:type="spellStart"/>
            <w:r>
              <w:rPr>
                <w:sz w:val="22"/>
                <w:szCs w:val="22"/>
              </w:rPr>
              <w:t>vaskulær</w:t>
            </w:r>
            <w:proofErr w:type="spellEnd"/>
            <w:r>
              <w:rPr>
                <w:sz w:val="22"/>
                <w:szCs w:val="22"/>
              </w:rPr>
              <w:t xml:space="preserve"> </w:t>
            </w:r>
            <w:proofErr w:type="spellStart"/>
            <w:r>
              <w:rPr>
                <w:sz w:val="22"/>
                <w:szCs w:val="22"/>
              </w:rPr>
              <w:t>okklusion</w:t>
            </w:r>
            <w:proofErr w:type="spellEnd"/>
            <w:r>
              <w:rPr>
                <w:sz w:val="22"/>
                <w:szCs w:val="22"/>
              </w:rPr>
              <w:t xml:space="preserve"> i retina</w:t>
            </w:r>
            <w:r>
              <w:rPr>
                <w:sz w:val="22"/>
                <w:szCs w:val="22"/>
                <w:vertAlign w:val="superscript"/>
              </w:rPr>
              <w:t>2</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 xml:space="preserve">Central serøs </w:t>
            </w:r>
            <w:proofErr w:type="spellStart"/>
            <w:r>
              <w:rPr>
                <w:sz w:val="22"/>
                <w:szCs w:val="22"/>
              </w:rPr>
              <w:t>chorioretinopati</w:t>
            </w:r>
            <w:proofErr w:type="spellEnd"/>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pacing w:val="-1"/>
                <w:sz w:val="22"/>
                <w:szCs w:val="22"/>
              </w:rPr>
            </w:pPr>
            <w:r>
              <w:rPr>
                <w:i/>
                <w:spacing w:val="-1"/>
                <w:sz w:val="22"/>
                <w:szCs w:val="22"/>
              </w:rPr>
              <w:t>Ø</w:t>
            </w:r>
            <w:r>
              <w:rPr>
                <w:i/>
                <w:spacing w:val="1"/>
                <w:sz w:val="22"/>
                <w:szCs w:val="22"/>
              </w:rPr>
              <w:t>r</w:t>
            </w:r>
            <w:r>
              <w:rPr>
                <w:i/>
                <w:sz w:val="22"/>
                <w:szCs w:val="22"/>
              </w:rPr>
              <w:t>e</w:t>
            </w:r>
            <w:r>
              <w:rPr>
                <w:i/>
                <w:spacing w:val="1"/>
                <w:sz w:val="22"/>
                <w:szCs w:val="22"/>
              </w:rPr>
              <w:t xml:space="preserve"> </w:t>
            </w:r>
            <w:r>
              <w:rPr>
                <w:i/>
                <w:sz w:val="22"/>
                <w:szCs w:val="22"/>
              </w:rPr>
              <w:t xml:space="preserve">og </w:t>
            </w:r>
            <w:r>
              <w:rPr>
                <w:i/>
                <w:spacing w:val="1"/>
                <w:sz w:val="22"/>
                <w:szCs w:val="22"/>
              </w:rPr>
              <w:t>l</w:t>
            </w:r>
            <w:r>
              <w:rPr>
                <w:i/>
                <w:sz w:val="22"/>
                <w:szCs w:val="22"/>
              </w:rPr>
              <w:t>aby</w:t>
            </w:r>
            <w:r>
              <w:rPr>
                <w:i/>
                <w:spacing w:val="1"/>
                <w:sz w:val="22"/>
                <w:szCs w:val="22"/>
              </w:rPr>
              <w:t>ri</w:t>
            </w:r>
            <w:r>
              <w:rPr>
                <w:i/>
                <w:sz w:val="22"/>
                <w:szCs w:val="22"/>
              </w:rPr>
              <w:t>nt</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pacing w:val="2"/>
                <w:sz w:val="22"/>
                <w:szCs w:val="22"/>
              </w:rPr>
              <w:t>T</w:t>
            </w:r>
            <w:r>
              <w:rPr>
                <w:spacing w:val="1"/>
                <w:sz w:val="22"/>
                <w:szCs w:val="22"/>
              </w:rPr>
              <w:t>i</w:t>
            </w:r>
            <w:r>
              <w:rPr>
                <w:sz w:val="22"/>
                <w:szCs w:val="22"/>
              </w:rPr>
              <w:t>nn</w:t>
            </w:r>
            <w:r>
              <w:rPr>
                <w:spacing w:val="1"/>
                <w:sz w:val="22"/>
                <w:szCs w:val="22"/>
              </w:rPr>
              <w:t>it</w:t>
            </w:r>
            <w:r>
              <w:rPr>
                <w:sz w:val="22"/>
                <w:szCs w:val="22"/>
              </w:rPr>
              <w:t>us</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P</w:t>
            </w:r>
            <w:r>
              <w:rPr>
                <w:spacing w:val="1"/>
                <w:sz w:val="22"/>
                <w:szCs w:val="22"/>
              </w:rPr>
              <w:t>l</w:t>
            </w:r>
            <w:r>
              <w:rPr>
                <w:sz w:val="22"/>
                <w:szCs w:val="22"/>
              </w:rPr>
              <w:t>ud</w:t>
            </w:r>
            <w:r>
              <w:rPr>
                <w:spacing w:val="1"/>
                <w:sz w:val="22"/>
                <w:szCs w:val="22"/>
              </w:rPr>
              <w:t>s</w:t>
            </w:r>
            <w:r>
              <w:rPr>
                <w:sz w:val="22"/>
                <w:szCs w:val="22"/>
              </w:rPr>
              <w:t>e</w:t>
            </w:r>
            <w:r>
              <w:rPr>
                <w:spacing w:val="1"/>
                <w:sz w:val="22"/>
                <w:szCs w:val="22"/>
              </w:rPr>
              <w:t>li</w:t>
            </w:r>
            <w:r>
              <w:rPr>
                <w:spacing w:val="-3"/>
                <w:sz w:val="22"/>
                <w:szCs w:val="22"/>
              </w:rPr>
              <w:t>g</w:t>
            </w:r>
            <w:r>
              <w:rPr>
                <w:sz w:val="22"/>
                <w:szCs w:val="22"/>
              </w:rPr>
              <w:t>t</w:t>
            </w:r>
            <w:r>
              <w:rPr>
                <w:spacing w:val="1"/>
                <w:sz w:val="22"/>
                <w:szCs w:val="22"/>
              </w:rPr>
              <w:t xml:space="preserve"> </w:t>
            </w:r>
            <w:r>
              <w:rPr>
                <w:sz w:val="22"/>
                <w:szCs w:val="22"/>
              </w:rPr>
              <w:t>hø</w:t>
            </w:r>
            <w:r>
              <w:rPr>
                <w:spacing w:val="1"/>
                <w:sz w:val="22"/>
                <w:szCs w:val="22"/>
              </w:rPr>
              <w:t>r</w:t>
            </w:r>
            <w:r>
              <w:rPr>
                <w:sz w:val="22"/>
                <w:szCs w:val="22"/>
              </w:rPr>
              <w:t>e</w:t>
            </w:r>
            <w:r>
              <w:rPr>
                <w:spacing w:val="1"/>
                <w:sz w:val="22"/>
                <w:szCs w:val="22"/>
              </w:rPr>
              <w:t>t</w:t>
            </w:r>
            <w:r>
              <w:rPr>
                <w:sz w:val="22"/>
                <w:szCs w:val="22"/>
              </w:rPr>
              <w:t>ab</w:t>
            </w: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pacing w:val="-1"/>
                <w:sz w:val="22"/>
                <w:szCs w:val="22"/>
              </w:rPr>
            </w:pPr>
            <w:r>
              <w:rPr>
                <w:i/>
                <w:spacing w:val="-1"/>
                <w:sz w:val="22"/>
                <w:szCs w:val="22"/>
              </w:rPr>
              <w:t>H</w:t>
            </w:r>
            <w:r>
              <w:rPr>
                <w:i/>
                <w:spacing w:val="1"/>
                <w:sz w:val="22"/>
                <w:szCs w:val="22"/>
              </w:rPr>
              <w:t>j</w:t>
            </w:r>
            <w:r>
              <w:rPr>
                <w:i/>
                <w:sz w:val="22"/>
                <w:szCs w:val="22"/>
              </w:rPr>
              <w:t>er</w:t>
            </w:r>
            <w:r>
              <w:rPr>
                <w:i/>
                <w:spacing w:val="1"/>
                <w:sz w:val="22"/>
                <w:szCs w:val="22"/>
              </w:rPr>
              <w:t>t</w:t>
            </w:r>
            <w:r>
              <w:rPr>
                <w:i/>
                <w:sz w:val="22"/>
                <w:szCs w:val="22"/>
              </w:rPr>
              <w:t>e</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proofErr w:type="spellStart"/>
            <w:r>
              <w:rPr>
                <w:spacing w:val="2"/>
                <w:sz w:val="22"/>
                <w:szCs w:val="22"/>
              </w:rPr>
              <w:t>T</w:t>
            </w:r>
            <w:r>
              <w:rPr>
                <w:sz w:val="22"/>
                <w:szCs w:val="22"/>
              </w:rPr>
              <w:t>a</w:t>
            </w:r>
            <w:r>
              <w:rPr>
                <w:spacing w:val="-2"/>
                <w:sz w:val="22"/>
                <w:szCs w:val="22"/>
              </w:rPr>
              <w:t>kyk</w:t>
            </w:r>
            <w:r>
              <w:rPr>
                <w:sz w:val="22"/>
                <w:szCs w:val="22"/>
              </w:rPr>
              <w:t>a</w:t>
            </w:r>
            <w:r>
              <w:rPr>
                <w:spacing w:val="1"/>
                <w:sz w:val="22"/>
                <w:szCs w:val="22"/>
              </w:rPr>
              <w:t>r</w:t>
            </w:r>
            <w:r>
              <w:rPr>
                <w:sz w:val="22"/>
                <w:szCs w:val="22"/>
              </w:rPr>
              <w:t>d</w:t>
            </w:r>
            <w:r>
              <w:rPr>
                <w:spacing w:val="1"/>
                <w:sz w:val="22"/>
                <w:szCs w:val="22"/>
              </w:rPr>
              <w:t>i</w:t>
            </w:r>
            <w:proofErr w:type="spellEnd"/>
            <w:r>
              <w:rPr>
                <w:sz w:val="22"/>
                <w:szCs w:val="22"/>
              </w:rPr>
              <w:t xml:space="preserve">, </w:t>
            </w:r>
            <w:proofErr w:type="spellStart"/>
            <w:r>
              <w:rPr>
                <w:sz w:val="22"/>
                <w:szCs w:val="22"/>
              </w:rPr>
              <w:t>pa</w:t>
            </w:r>
            <w:r>
              <w:rPr>
                <w:spacing w:val="1"/>
                <w:sz w:val="22"/>
                <w:szCs w:val="22"/>
              </w:rPr>
              <w:t>l</w:t>
            </w:r>
            <w:r>
              <w:rPr>
                <w:sz w:val="22"/>
                <w:szCs w:val="22"/>
              </w:rPr>
              <w:t>p</w:t>
            </w:r>
            <w:r>
              <w:rPr>
                <w:spacing w:val="1"/>
                <w:sz w:val="22"/>
                <w:szCs w:val="22"/>
              </w:rPr>
              <w:t>it</w:t>
            </w:r>
            <w:r>
              <w:rPr>
                <w:sz w:val="22"/>
                <w:szCs w:val="22"/>
              </w:rPr>
              <w:t>a</w:t>
            </w:r>
            <w:r>
              <w:rPr>
                <w:spacing w:val="1"/>
                <w:sz w:val="22"/>
                <w:szCs w:val="22"/>
              </w:rPr>
              <w:t>ti</w:t>
            </w:r>
            <w:r>
              <w:rPr>
                <w:sz w:val="22"/>
                <w:szCs w:val="22"/>
              </w:rPr>
              <w:t>oner</w:t>
            </w:r>
            <w:proofErr w:type="spellEnd"/>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pacing w:val="1"/>
                <w:sz w:val="22"/>
                <w:szCs w:val="22"/>
              </w:rPr>
              <w:t>M</w:t>
            </w:r>
            <w:r>
              <w:rPr>
                <w:spacing w:val="-2"/>
                <w:sz w:val="22"/>
                <w:szCs w:val="22"/>
              </w:rPr>
              <w:t>y</w:t>
            </w:r>
            <w:r>
              <w:rPr>
                <w:sz w:val="22"/>
                <w:szCs w:val="22"/>
              </w:rPr>
              <w:t>o</w:t>
            </w:r>
            <w:r>
              <w:rPr>
                <w:spacing w:val="-2"/>
                <w:sz w:val="22"/>
                <w:szCs w:val="22"/>
              </w:rPr>
              <w:t>k</w:t>
            </w:r>
            <w:r>
              <w:rPr>
                <w:sz w:val="22"/>
                <w:szCs w:val="22"/>
              </w:rPr>
              <w:t>a</w:t>
            </w:r>
            <w:r>
              <w:rPr>
                <w:spacing w:val="1"/>
                <w:sz w:val="22"/>
                <w:szCs w:val="22"/>
              </w:rPr>
              <w:t>r</w:t>
            </w:r>
            <w:r>
              <w:rPr>
                <w:sz w:val="22"/>
                <w:szCs w:val="22"/>
              </w:rPr>
              <w:t>d</w:t>
            </w:r>
            <w:r>
              <w:rPr>
                <w:spacing w:val="1"/>
                <w:sz w:val="22"/>
                <w:szCs w:val="22"/>
              </w:rPr>
              <w:t>i</w:t>
            </w:r>
            <w:r>
              <w:rPr>
                <w:sz w:val="22"/>
                <w:szCs w:val="22"/>
              </w:rPr>
              <w:t>e</w:t>
            </w:r>
            <w:r>
              <w:rPr>
                <w:spacing w:val="1"/>
                <w:sz w:val="22"/>
                <w:szCs w:val="22"/>
              </w:rPr>
              <w:t>i</w:t>
            </w:r>
            <w:r>
              <w:rPr>
                <w:sz w:val="22"/>
                <w:szCs w:val="22"/>
              </w:rPr>
              <w:t>n</w:t>
            </w:r>
            <w:r>
              <w:rPr>
                <w:spacing w:val="1"/>
                <w:sz w:val="22"/>
                <w:szCs w:val="22"/>
              </w:rPr>
              <w:t>f</w:t>
            </w:r>
            <w:r>
              <w:rPr>
                <w:sz w:val="22"/>
                <w:szCs w:val="22"/>
              </w:rPr>
              <w:t>a</w:t>
            </w:r>
            <w:r>
              <w:rPr>
                <w:spacing w:val="1"/>
                <w:sz w:val="22"/>
                <w:szCs w:val="22"/>
              </w:rPr>
              <w:t>r</w:t>
            </w:r>
            <w:r>
              <w:rPr>
                <w:spacing w:val="-2"/>
                <w:sz w:val="22"/>
                <w:szCs w:val="22"/>
              </w:rPr>
              <w:t>k</w:t>
            </w:r>
            <w:r>
              <w:rPr>
                <w:spacing w:val="1"/>
                <w:sz w:val="22"/>
                <w:szCs w:val="22"/>
              </w:rPr>
              <w:t>t</w:t>
            </w:r>
            <w:r>
              <w:rPr>
                <w:sz w:val="22"/>
                <w:szCs w:val="22"/>
              </w:rPr>
              <w:t>, us</w:t>
            </w:r>
            <w:r>
              <w:rPr>
                <w:spacing w:val="1"/>
                <w:sz w:val="22"/>
                <w:szCs w:val="22"/>
              </w:rPr>
              <w:t>t</w:t>
            </w:r>
            <w:r>
              <w:rPr>
                <w:sz w:val="22"/>
                <w:szCs w:val="22"/>
              </w:rPr>
              <w:t>ab</w:t>
            </w:r>
            <w:r>
              <w:rPr>
                <w:spacing w:val="1"/>
                <w:sz w:val="22"/>
                <w:szCs w:val="22"/>
              </w:rPr>
              <w:t>i</w:t>
            </w:r>
            <w:r>
              <w:rPr>
                <w:sz w:val="22"/>
                <w:szCs w:val="22"/>
              </w:rPr>
              <w:t>l</w:t>
            </w:r>
            <w:r>
              <w:rPr>
                <w:spacing w:val="1"/>
                <w:sz w:val="22"/>
                <w:szCs w:val="22"/>
              </w:rPr>
              <w:t xml:space="preserve"> </w:t>
            </w:r>
            <w:r>
              <w:rPr>
                <w:sz w:val="22"/>
                <w:szCs w:val="22"/>
              </w:rPr>
              <w:t>an</w:t>
            </w:r>
            <w:r>
              <w:rPr>
                <w:spacing w:val="-2"/>
                <w:sz w:val="22"/>
                <w:szCs w:val="22"/>
              </w:rPr>
              <w:t>g</w:t>
            </w:r>
            <w:r>
              <w:rPr>
                <w:spacing w:val="1"/>
                <w:sz w:val="22"/>
                <w:szCs w:val="22"/>
              </w:rPr>
              <w:t>i</w:t>
            </w:r>
            <w:r>
              <w:rPr>
                <w:sz w:val="22"/>
                <w:szCs w:val="22"/>
              </w:rPr>
              <w:t>na pec</w:t>
            </w:r>
            <w:r>
              <w:rPr>
                <w:spacing w:val="1"/>
                <w:sz w:val="22"/>
                <w:szCs w:val="22"/>
              </w:rPr>
              <w:t>t</w:t>
            </w:r>
            <w:r>
              <w:rPr>
                <w:sz w:val="22"/>
                <w:szCs w:val="22"/>
              </w:rPr>
              <w:t>o</w:t>
            </w:r>
            <w:r>
              <w:rPr>
                <w:spacing w:val="1"/>
                <w:sz w:val="22"/>
                <w:szCs w:val="22"/>
              </w:rPr>
              <w:t>ris</w:t>
            </w:r>
            <w:r>
              <w:rPr>
                <w:spacing w:val="1"/>
                <w:sz w:val="22"/>
                <w:szCs w:val="22"/>
                <w:vertAlign w:val="superscript"/>
              </w:rPr>
              <w:t>2</w:t>
            </w:r>
            <w:r>
              <w:rPr>
                <w:sz w:val="22"/>
                <w:szCs w:val="22"/>
              </w:rPr>
              <w:t xml:space="preserve">, </w:t>
            </w:r>
            <w:proofErr w:type="spellStart"/>
            <w:r>
              <w:rPr>
                <w:spacing w:val="1"/>
                <w:sz w:val="22"/>
                <w:szCs w:val="22"/>
              </w:rPr>
              <w:t>v</w:t>
            </w:r>
            <w:r>
              <w:rPr>
                <w:sz w:val="22"/>
                <w:szCs w:val="22"/>
              </w:rPr>
              <w:t>en</w:t>
            </w:r>
            <w:r>
              <w:rPr>
                <w:spacing w:val="1"/>
                <w:sz w:val="22"/>
                <w:szCs w:val="22"/>
              </w:rPr>
              <w:t>tri</w:t>
            </w:r>
            <w:r>
              <w:rPr>
                <w:spacing w:val="-2"/>
                <w:sz w:val="22"/>
                <w:szCs w:val="22"/>
              </w:rPr>
              <w:t>k</w:t>
            </w:r>
            <w:r>
              <w:rPr>
                <w:sz w:val="22"/>
                <w:szCs w:val="22"/>
              </w:rPr>
              <w:t>u</w:t>
            </w:r>
            <w:r>
              <w:rPr>
                <w:spacing w:val="1"/>
                <w:sz w:val="22"/>
                <w:szCs w:val="22"/>
              </w:rPr>
              <w:t>l</w:t>
            </w:r>
            <w:r>
              <w:rPr>
                <w:spacing w:val="-1"/>
                <w:sz w:val="22"/>
                <w:szCs w:val="22"/>
              </w:rPr>
              <w:t>æ</w:t>
            </w:r>
            <w:r>
              <w:rPr>
                <w:sz w:val="22"/>
                <w:szCs w:val="22"/>
              </w:rPr>
              <w:t>r</w:t>
            </w:r>
            <w:proofErr w:type="spellEnd"/>
            <w:r>
              <w:rPr>
                <w:spacing w:val="1"/>
                <w:sz w:val="22"/>
                <w:szCs w:val="22"/>
              </w:rPr>
              <w:t xml:space="preserve"> </w:t>
            </w:r>
            <w:r>
              <w:rPr>
                <w:sz w:val="22"/>
                <w:szCs w:val="22"/>
              </w:rPr>
              <w:t>a</w:t>
            </w:r>
            <w:r>
              <w:rPr>
                <w:spacing w:val="1"/>
                <w:sz w:val="22"/>
                <w:szCs w:val="22"/>
              </w:rPr>
              <w:t>r</w:t>
            </w:r>
            <w:r>
              <w:rPr>
                <w:spacing w:val="-2"/>
                <w:sz w:val="22"/>
                <w:szCs w:val="22"/>
              </w:rPr>
              <w:t>y</w:t>
            </w:r>
            <w:r>
              <w:rPr>
                <w:spacing w:val="1"/>
                <w:sz w:val="22"/>
                <w:szCs w:val="22"/>
              </w:rPr>
              <w:t>t</w:t>
            </w:r>
            <w:r>
              <w:rPr>
                <w:spacing w:val="-4"/>
                <w:sz w:val="22"/>
                <w:szCs w:val="22"/>
              </w:rPr>
              <w:t>m</w:t>
            </w:r>
            <w:r>
              <w:rPr>
                <w:spacing w:val="1"/>
                <w:sz w:val="22"/>
                <w:szCs w:val="22"/>
              </w:rPr>
              <w:t>i</w:t>
            </w:r>
            <w:r>
              <w:rPr>
                <w:spacing w:val="1"/>
                <w:sz w:val="22"/>
                <w:szCs w:val="22"/>
                <w:vertAlign w:val="superscript"/>
              </w:rPr>
              <w:t>2</w:t>
            </w: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pacing w:val="1"/>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pacing w:val="-1"/>
                <w:sz w:val="22"/>
                <w:szCs w:val="22"/>
              </w:rPr>
            </w:pPr>
            <w:proofErr w:type="spellStart"/>
            <w:r>
              <w:rPr>
                <w:i/>
                <w:spacing w:val="-1"/>
                <w:sz w:val="22"/>
                <w:szCs w:val="22"/>
              </w:rPr>
              <w:t>V</w:t>
            </w:r>
            <w:r>
              <w:rPr>
                <w:i/>
                <w:sz w:val="22"/>
                <w:szCs w:val="22"/>
              </w:rPr>
              <w:t>asku</w:t>
            </w:r>
            <w:r>
              <w:rPr>
                <w:i/>
                <w:spacing w:val="1"/>
                <w:sz w:val="22"/>
                <w:szCs w:val="22"/>
              </w:rPr>
              <w:t>l</w:t>
            </w:r>
            <w:r>
              <w:rPr>
                <w:i/>
                <w:spacing w:val="-1"/>
                <w:sz w:val="22"/>
                <w:szCs w:val="22"/>
              </w:rPr>
              <w:t>æ</w:t>
            </w:r>
            <w:r>
              <w:rPr>
                <w:i/>
                <w:sz w:val="22"/>
                <w:szCs w:val="22"/>
              </w:rPr>
              <w:t>re</w:t>
            </w:r>
            <w:proofErr w:type="spellEnd"/>
            <w:r>
              <w:rPr>
                <w:i/>
                <w:spacing w:val="1"/>
                <w:sz w:val="22"/>
                <w:szCs w:val="22"/>
              </w:rPr>
              <w:t xml:space="preserve"> </w:t>
            </w:r>
            <w:r>
              <w:rPr>
                <w:i/>
                <w:sz w:val="22"/>
                <w:szCs w:val="22"/>
              </w:rPr>
              <w:t>sygdo</w:t>
            </w:r>
            <w:r>
              <w:rPr>
                <w:i/>
                <w:spacing w:val="-1"/>
                <w:sz w:val="22"/>
                <w:szCs w:val="22"/>
              </w:rPr>
              <w:t>mm</w:t>
            </w:r>
            <w:r>
              <w:rPr>
                <w:i/>
                <w:sz w:val="22"/>
                <w:szCs w:val="22"/>
              </w:rPr>
              <w:t>e</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pacing w:val="-1"/>
                <w:sz w:val="22"/>
                <w:szCs w:val="22"/>
              </w:rPr>
              <w:t>R</w:t>
            </w:r>
            <w:r>
              <w:rPr>
                <w:sz w:val="22"/>
                <w:szCs w:val="22"/>
              </w:rPr>
              <w:t>ød</w:t>
            </w:r>
            <w:r>
              <w:rPr>
                <w:spacing w:val="-4"/>
                <w:sz w:val="22"/>
                <w:szCs w:val="22"/>
              </w:rPr>
              <w:t>m</w:t>
            </w:r>
            <w:r>
              <w:rPr>
                <w:sz w:val="22"/>
                <w:szCs w:val="22"/>
              </w:rPr>
              <w:t>e</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Hypotension</w:t>
            </w:r>
            <w:r>
              <w:rPr>
                <w:sz w:val="22"/>
                <w:szCs w:val="22"/>
                <w:vertAlign w:val="superscript"/>
              </w:rPr>
              <w:t>3</w:t>
            </w:r>
            <w:r>
              <w:rPr>
                <w:sz w:val="22"/>
                <w:szCs w:val="22"/>
              </w:rPr>
              <w:t>, hypertension</w:t>
            </w: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z w:val="22"/>
                <w:szCs w:val="22"/>
              </w:rPr>
            </w:pPr>
            <w:r>
              <w:rPr>
                <w:i/>
                <w:sz w:val="22"/>
                <w:szCs w:val="22"/>
              </w:rPr>
              <w:t>Lu</w:t>
            </w:r>
            <w:r>
              <w:rPr>
                <w:i/>
                <w:spacing w:val="1"/>
                <w:sz w:val="22"/>
                <w:szCs w:val="22"/>
              </w:rPr>
              <w:t>ft</w:t>
            </w:r>
            <w:r>
              <w:rPr>
                <w:i/>
                <w:sz w:val="22"/>
                <w:szCs w:val="22"/>
              </w:rPr>
              <w:t>ve</w:t>
            </w:r>
            <w:r>
              <w:rPr>
                <w:i/>
                <w:spacing w:val="1"/>
                <w:sz w:val="22"/>
                <w:szCs w:val="22"/>
              </w:rPr>
              <w:t>j</w:t>
            </w:r>
            <w:r>
              <w:rPr>
                <w:i/>
                <w:sz w:val="22"/>
                <w:szCs w:val="22"/>
              </w:rPr>
              <w:t xml:space="preserve">e, </w:t>
            </w:r>
            <w:r>
              <w:rPr>
                <w:i/>
                <w:spacing w:val="1"/>
                <w:sz w:val="22"/>
                <w:szCs w:val="22"/>
              </w:rPr>
              <w:t>t</w:t>
            </w:r>
            <w:r>
              <w:rPr>
                <w:i/>
                <w:sz w:val="22"/>
                <w:szCs w:val="22"/>
              </w:rPr>
              <w:t>ho</w:t>
            </w:r>
            <w:r>
              <w:rPr>
                <w:i/>
                <w:spacing w:val="1"/>
                <w:sz w:val="22"/>
                <w:szCs w:val="22"/>
              </w:rPr>
              <w:t>r</w:t>
            </w:r>
            <w:r>
              <w:rPr>
                <w:i/>
                <w:sz w:val="22"/>
                <w:szCs w:val="22"/>
              </w:rPr>
              <w:t>ax</w:t>
            </w:r>
            <w:r>
              <w:rPr>
                <w:i/>
                <w:spacing w:val="1"/>
                <w:sz w:val="22"/>
                <w:szCs w:val="22"/>
              </w:rPr>
              <w:t xml:space="preserve"> </w:t>
            </w:r>
            <w:r>
              <w:rPr>
                <w:i/>
                <w:sz w:val="22"/>
                <w:szCs w:val="22"/>
              </w:rPr>
              <w:t xml:space="preserve">og </w:t>
            </w:r>
            <w:proofErr w:type="spellStart"/>
            <w:r>
              <w:rPr>
                <w:i/>
                <w:spacing w:val="-1"/>
                <w:sz w:val="22"/>
                <w:szCs w:val="22"/>
              </w:rPr>
              <w:t>m</w:t>
            </w:r>
            <w:r>
              <w:rPr>
                <w:i/>
                <w:sz w:val="22"/>
                <w:szCs w:val="22"/>
              </w:rPr>
              <w:t>ed</w:t>
            </w:r>
            <w:r>
              <w:rPr>
                <w:i/>
                <w:spacing w:val="1"/>
                <w:sz w:val="22"/>
                <w:szCs w:val="22"/>
              </w:rPr>
              <w:t>i</w:t>
            </w:r>
            <w:r>
              <w:rPr>
                <w:i/>
                <w:sz w:val="22"/>
                <w:szCs w:val="22"/>
              </w:rPr>
              <w:t>a</w:t>
            </w:r>
            <w:r>
              <w:rPr>
                <w:i/>
                <w:spacing w:val="1"/>
                <w:sz w:val="22"/>
                <w:szCs w:val="22"/>
              </w:rPr>
              <w:t>sti</w:t>
            </w:r>
            <w:r>
              <w:rPr>
                <w:i/>
                <w:sz w:val="22"/>
                <w:szCs w:val="22"/>
              </w:rPr>
              <w:t>num</w:t>
            </w:r>
            <w:proofErr w:type="spellEnd"/>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pacing w:val="2"/>
                <w:sz w:val="22"/>
                <w:szCs w:val="22"/>
              </w:rPr>
              <w:t>T</w:t>
            </w:r>
            <w:r>
              <w:rPr>
                <w:spacing w:val="1"/>
                <w:sz w:val="22"/>
                <w:szCs w:val="22"/>
              </w:rPr>
              <w:t>ilst</w:t>
            </w:r>
            <w:r>
              <w:rPr>
                <w:sz w:val="22"/>
                <w:szCs w:val="22"/>
              </w:rPr>
              <w:t>oppet</w:t>
            </w:r>
            <w:r>
              <w:rPr>
                <w:spacing w:val="1"/>
                <w:sz w:val="22"/>
                <w:szCs w:val="22"/>
              </w:rPr>
              <w:t xml:space="preserve"> </w:t>
            </w:r>
            <w:r>
              <w:rPr>
                <w:sz w:val="22"/>
                <w:szCs w:val="22"/>
              </w:rPr>
              <w:t>n</w:t>
            </w:r>
            <w:r>
              <w:rPr>
                <w:spacing w:val="-1"/>
                <w:sz w:val="22"/>
                <w:szCs w:val="22"/>
              </w:rPr>
              <w:t>æ</w:t>
            </w:r>
            <w:r>
              <w:rPr>
                <w:spacing w:val="1"/>
                <w:sz w:val="22"/>
                <w:szCs w:val="22"/>
              </w:rPr>
              <w:t>s</w:t>
            </w:r>
            <w:r>
              <w:rPr>
                <w:sz w:val="22"/>
                <w:szCs w:val="22"/>
              </w:rPr>
              <w:t>e</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 xml:space="preserve">Dyspnø, </w:t>
            </w:r>
            <w:proofErr w:type="spellStart"/>
            <w:r>
              <w:rPr>
                <w:sz w:val="22"/>
                <w:szCs w:val="22"/>
              </w:rPr>
              <w:t>epistaxis</w:t>
            </w:r>
            <w:proofErr w:type="spellEnd"/>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pacing w:val="1"/>
                <w:sz w:val="22"/>
                <w:szCs w:val="22"/>
              </w:rPr>
            </w:pPr>
            <w:r>
              <w:rPr>
                <w:i/>
                <w:spacing w:val="1"/>
                <w:sz w:val="22"/>
                <w:szCs w:val="22"/>
              </w:rPr>
              <w:lastRenderedPageBreak/>
              <w:t>M</w:t>
            </w:r>
            <w:r>
              <w:rPr>
                <w:i/>
                <w:sz w:val="22"/>
                <w:szCs w:val="22"/>
              </w:rPr>
              <w:t>ave</w:t>
            </w:r>
            <w:r>
              <w:rPr>
                <w:i/>
                <w:spacing w:val="1"/>
                <w:sz w:val="22"/>
                <w:szCs w:val="22"/>
              </w:rPr>
              <w:t>-t</w:t>
            </w:r>
            <w:r>
              <w:rPr>
                <w:i/>
                <w:sz w:val="22"/>
                <w:szCs w:val="22"/>
              </w:rPr>
              <w:t>a</w:t>
            </w:r>
            <w:r>
              <w:rPr>
                <w:i/>
                <w:spacing w:val="1"/>
                <w:sz w:val="22"/>
                <w:szCs w:val="22"/>
              </w:rPr>
              <w:t>r</w:t>
            </w:r>
            <w:r>
              <w:rPr>
                <w:i/>
                <w:spacing w:val="-1"/>
                <w:sz w:val="22"/>
                <w:szCs w:val="22"/>
              </w:rPr>
              <w:t>m-</w:t>
            </w:r>
            <w:r>
              <w:rPr>
                <w:i/>
                <w:sz w:val="22"/>
                <w:szCs w:val="22"/>
              </w:rPr>
              <w:t>kana</w:t>
            </w:r>
            <w:r>
              <w:rPr>
                <w:i/>
                <w:spacing w:val="1"/>
                <w:sz w:val="22"/>
                <w:szCs w:val="22"/>
              </w:rPr>
              <w:t>l</w:t>
            </w:r>
            <w:r>
              <w:rPr>
                <w:i/>
                <w:sz w:val="22"/>
                <w:szCs w:val="22"/>
              </w:rPr>
              <w:t>en</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pacing w:val="-1"/>
                <w:sz w:val="22"/>
                <w:szCs w:val="22"/>
              </w:rPr>
              <w:t>D</w:t>
            </w:r>
            <w:r>
              <w:rPr>
                <w:spacing w:val="-2"/>
                <w:sz w:val="22"/>
                <w:szCs w:val="22"/>
              </w:rPr>
              <w:t>y</w:t>
            </w:r>
            <w:r>
              <w:rPr>
                <w:sz w:val="22"/>
                <w:szCs w:val="22"/>
              </w:rPr>
              <w:t>spepsi</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proofErr w:type="spellStart"/>
            <w:r>
              <w:rPr>
                <w:spacing w:val="-1"/>
                <w:sz w:val="22"/>
                <w:szCs w:val="22"/>
              </w:rPr>
              <w:t>A</w:t>
            </w:r>
            <w:r>
              <w:rPr>
                <w:sz w:val="22"/>
                <w:szCs w:val="22"/>
              </w:rPr>
              <w:t>bdo</w:t>
            </w:r>
            <w:r>
              <w:rPr>
                <w:spacing w:val="-4"/>
                <w:sz w:val="22"/>
                <w:szCs w:val="22"/>
              </w:rPr>
              <w:t>m</w:t>
            </w:r>
            <w:r>
              <w:rPr>
                <w:spacing w:val="1"/>
                <w:sz w:val="22"/>
                <w:szCs w:val="22"/>
              </w:rPr>
              <w:t>i</w:t>
            </w:r>
            <w:r>
              <w:rPr>
                <w:sz w:val="22"/>
                <w:szCs w:val="22"/>
              </w:rPr>
              <w:t>na</w:t>
            </w:r>
            <w:r>
              <w:rPr>
                <w:spacing w:val="1"/>
                <w:sz w:val="22"/>
                <w:szCs w:val="22"/>
              </w:rPr>
              <w:t>l</w:t>
            </w:r>
            <w:r>
              <w:rPr>
                <w:sz w:val="22"/>
                <w:szCs w:val="22"/>
              </w:rPr>
              <w:t>s</w:t>
            </w:r>
            <w:r>
              <w:rPr>
                <w:spacing w:val="-4"/>
                <w:sz w:val="22"/>
                <w:szCs w:val="22"/>
              </w:rPr>
              <w:t>m</w:t>
            </w:r>
            <w:r>
              <w:rPr>
                <w:sz w:val="22"/>
                <w:szCs w:val="22"/>
              </w:rPr>
              <w:t>e</w:t>
            </w:r>
            <w:r>
              <w:rPr>
                <w:spacing w:val="1"/>
                <w:sz w:val="22"/>
                <w:szCs w:val="22"/>
              </w:rPr>
              <w:t>rt</w:t>
            </w:r>
            <w:r>
              <w:rPr>
                <w:sz w:val="22"/>
                <w:szCs w:val="22"/>
              </w:rPr>
              <w:t>e</w:t>
            </w:r>
            <w:r>
              <w:rPr>
                <w:spacing w:val="1"/>
                <w:sz w:val="22"/>
                <w:szCs w:val="22"/>
              </w:rPr>
              <w:t>r</w:t>
            </w:r>
            <w:proofErr w:type="spellEnd"/>
            <w:r>
              <w:rPr>
                <w:sz w:val="22"/>
                <w:szCs w:val="22"/>
              </w:rPr>
              <w:t xml:space="preserve">, </w:t>
            </w:r>
            <w:r>
              <w:rPr>
                <w:spacing w:val="-1"/>
                <w:sz w:val="22"/>
                <w:szCs w:val="22"/>
              </w:rPr>
              <w:t>o</w:t>
            </w:r>
            <w:r>
              <w:rPr>
                <w:sz w:val="22"/>
                <w:szCs w:val="22"/>
              </w:rPr>
              <w:t>p</w:t>
            </w:r>
            <w:r>
              <w:rPr>
                <w:spacing w:val="-2"/>
                <w:sz w:val="22"/>
                <w:szCs w:val="22"/>
              </w:rPr>
              <w:t>k</w:t>
            </w:r>
            <w:r>
              <w:rPr>
                <w:sz w:val="22"/>
                <w:szCs w:val="22"/>
              </w:rPr>
              <w:t>a</w:t>
            </w:r>
            <w:r>
              <w:rPr>
                <w:spacing w:val="1"/>
                <w:sz w:val="22"/>
                <w:szCs w:val="22"/>
              </w:rPr>
              <w:t>st</w:t>
            </w:r>
            <w:r>
              <w:rPr>
                <w:sz w:val="22"/>
                <w:szCs w:val="22"/>
              </w:rPr>
              <w:t>n</w:t>
            </w:r>
            <w:r>
              <w:rPr>
                <w:spacing w:val="1"/>
                <w:sz w:val="22"/>
                <w:szCs w:val="22"/>
              </w:rPr>
              <w:t>i</w:t>
            </w:r>
            <w:r>
              <w:rPr>
                <w:sz w:val="22"/>
                <w:szCs w:val="22"/>
              </w:rPr>
              <w:t>n</w:t>
            </w:r>
            <w:r>
              <w:rPr>
                <w:spacing w:val="-2"/>
                <w:sz w:val="22"/>
                <w:szCs w:val="22"/>
              </w:rPr>
              <w:t>g</w:t>
            </w:r>
            <w:r>
              <w:rPr>
                <w:sz w:val="22"/>
                <w:szCs w:val="22"/>
              </w:rPr>
              <w:t xml:space="preserve">, </w:t>
            </w:r>
            <w:r>
              <w:rPr>
                <w:spacing w:val="1"/>
                <w:sz w:val="22"/>
                <w:szCs w:val="22"/>
              </w:rPr>
              <w:t>k</w:t>
            </w:r>
            <w:r>
              <w:rPr>
                <w:spacing w:val="-2"/>
                <w:sz w:val="22"/>
                <w:szCs w:val="22"/>
              </w:rPr>
              <w:t>v</w:t>
            </w:r>
            <w:r>
              <w:rPr>
                <w:sz w:val="22"/>
                <w:szCs w:val="22"/>
              </w:rPr>
              <w:t>a</w:t>
            </w:r>
            <w:r>
              <w:rPr>
                <w:spacing w:val="1"/>
                <w:sz w:val="22"/>
                <w:szCs w:val="22"/>
              </w:rPr>
              <w:t>l</w:t>
            </w:r>
            <w:r>
              <w:rPr>
                <w:spacing w:val="-4"/>
                <w:sz w:val="22"/>
                <w:szCs w:val="22"/>
              </w:rPr>
              <w:t>m</w:t>
            </w:r>
            <w:r>
              <w:rPr>
                <w:sz w:val="22"/>
                <w:szCs w:val="22"/>
              </w:rPr>
              <w:t xml:space="preserve">e, </w:t>
            </w:r>
            <w:proofErr w:type="spellStart"/>
            <w:r>
              <w:rPr>
                <w:spacing w:val="-1"/>
                <w:sz w:val="22"/>
                <w:szCs w:val="22"/>
              </w:rPr>
              <w:t>g</w:t>
            </w:r>
            <w:r>
              <w:rPr>
                <w:sz w:val="22"/>
                <w:szCs w:val="22"/>
              </w:rPr>
              <w:t>as</w:t>
            </w:r>
            <w:r>
              <w:rPr>
                <w:spacing w:val="1"/>
                <w:sz w:val="22"/>
                <w:szCs w:val="22"/>
              </w:rPr>
              <w:t>tr</w:t>
            </w:r>
            <w:r>
              <w:rPr>
                <w:sz w:val="22"/>
                <w:szCs w:val="22"/>
              </w:rPr>
              <w:t>oøso</w:t>
            </w:r>
            <w:r>
              <w:rPr>
                <w:spacing w:val="1"/>
                <w:sz w:val="22"/>
                <w:szCs w:val="22"/>
              </w:rPr>
              <w:t>f</w:t>
            </w:r>
            <w:r>
              <w:rPr>
                <w:sz w:val="22"/>
                <w:szCs w:val="22"/>
              </w:rPr>
              <w:t>a</w:t>
            </w:r>
            <w:r>
              <w:rPr>
                <w:spacing w:val="-2"/>
                <w:sz w:val="22"/>
                <w:szCs w:val="22"/>
              </w:rPr>
              <w:t>g</w:t>
            </w:r>
            <w:r>
              <w:rPr>
                <w:sz w:val="22"/>
                <w:szCs w:val="22"/>
              </w:rPr>
              <w:t>eal</w:t>
            </w:r>
            <w:proofErr w:type="spellEnd"/>
            <w:r>
              <w:rPr>
                <w:sz w:val="22"/>
                <w:szCs w:val="22"/>
              </w:rPr>
              <w:t xml:space="preserve"> </w:t>
            </w:r>
            <w:proofErr w:type="spellStart"/>
            <w:r>
              <w:rPr>
                <w:spacing w:val="1"/>
                <w:sz w:val="22"/>
                <w:szCs w:val="22"/>
              </w:rPr>
              <w:t>r</w:t>
            </w:r>
            <w:r>
              <w:rPr>
                <w:sz w:val="22"/>
                <w:szCs w:val="22"/>
              </w:rPr>
              <w:t>e</w:t>
            </w:r>
            <w:r>
              <w:rPr>
                <w:spacing w:val="1"/>
                <w:sz w:val="22"/>
                <w:szCs w:val="22"/>
              </w:rPr>
              <w:t>fl</w:t>
            </w:r>
            <w:r>
              <w:rPr>
                <w:sz w:val="22"/>
                <w:szCs w:val="22"/>
              </w:rPr>
              <w:t>u</w:t>
            </w:r>
            <w:r>
              <w:rPr>
                <w:spacing w:val="-2"/>
                <w:sz w:val="22"/>
                <w:szCs w:val="22"/>
              </w:rPr>
              <w:t>k</w:t>
            </w:r>
            <w:r>
              <w:rPr>
                <w:spacing w:val="1"/>
                <w:sz w:val="22"/>
                <w:szCs w:val="22"/>
              </w:rPr>
              <w:t>ss</w:t>
            </w:r>
            <w:r>
              <w:rPr>
                <w:spacing w:val="-2"/>
                <w:sz w:val="22"/>
                <w:szCs w:val="22"/>
              </w:rPr>
              <w:t>yg</w:t>
            </w:r>
            <w:r>
              <w:rPr>
                <w:sz w:val="22"/>
                <w:szCs w:val="22"/>
              </w:rPr>
              <w:t>dom</w:t>
            </w:r>
            <w:proofErr w:type="spellEnd"/>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pacing w:val="-1"/>
                <w:sz w:val="22"/>
                <w:szCs w:val="22"/>
              </w:rPr>
            </w:pPr>
            <w:r>
              <w:rPr>
                <w:i/>
                <w:spacing w:val="-1"/>
                <w:sz w:val="22"/>
                <w:szCs w:val="22"/>
              </w:rPr>
              <w:t>H</w:t>
            </w:r>
            <w:r>
              <w:rPr>
                <w:i/>
                <w:sz w:val="22"/>
                <w:szCs w:val="22"/>
              </w:rPr>
              <w:t xml:space="preserve">ud og </w:t>
            </w:r>
            <w:r>
              <w:rPr>
                <w:i/>
                <w:spacing w:val="1"/>
                <w:sz w:val="22"/>
                <w:szCs w:val="22"/>
              </w:rPr>
              <w:t>s</w:t>
            </w:r>
            <w:r>
              <w:rPr>
                <w:i/>
                <w:sz w:val="22"/>
                <w:szCs w:val="22"/>
              </w:rPr>
              <w:t>ubku</w:t>
            </w:r>
            <w:r>
              <w:rPr>
                <w:i/>
                <w:spacing w:val="1"/>
                <w:sz w:val="22"/>
                <w:szCs w:val="22"/>
              </w:rPr>
              <w:t>t</w:t>
            </w:r>
            <w:r>
              <w:rPr>
                <w:i/>
                <w:sz w:val="22"/>
                <w:szCs w:val="22"/>
              </w:rPr>
              <w:t>ane</w:t>
            </w:r>
            <w:r>
              <w:rPr>
                <w:i/>
                <w:spacing w:val="1"/>
                <w:sz w:val="22"/>
                <w:szCs w:val="22"/>
              </w:rPr>
              <w:t xml:space="preserve"> </w:t>
            </w:r>
            <w:r>
              <w:rPr>
                <w:i/>
                <w:sz w:val="22"/>
                <w:szCs w:val="22"/>
              </w:rPr>
              <w:t>v</w:t>
            </w:r>
            <w:r>
              <w:rPr>
                <w:i/>
                <w:spacing w:val="-1"/>
                <w:sz w:val="22"/>
                <w:szCs w:val="22"/>
              </w:rPr>
              <w:t>æ</w:t>
            </w:r>
            <w:r>
              <w:rPr>
                <w:i/>
                <w:sz w:val="22"/>
                <w:szCs w:val="22"/>
              </w:rPr>
              <w:t>v</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pacing w:val="-1"/>
                <w:sz w:val="22"/>
                <w:szCs w:val="22"/>
              </w:rPr>
              <w:t>U</w:t>
            </w:r>
            <w:r>
              <w:rPr>
                <w:sz w:val="22"/>
                <w:szCs w:val="22"/>
              </w:rPr>
              <w:t>d</w:t>
            </w:r>
            <w:r>
              <w:rPr>
                <w:spacing w:val="1"/>
                <w:sz w:val="22"/>
                <w:szCs w:val="22"/>
              </w:rPr>
              <w:t>sl</w:t>
            </w:r>
            <w:r>
              <w:rPr>
                <w:spacing w:val="-1"/>
                <w:sz w:val="22"/>
                <w:szCs w:val="22"/>
              </w:rPr>
              <w:t>æ</w:t>
            </w:r>
            <w:r>
              <w:rPr>
                <w:sz w:val="22"/>
                <w:szCs w:val="22"/>
              </w:rPr>
              <w:t>t</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proofErr w:type="spellStart"/>
            <w:r>
              <w:rPr>
                <w:sz w:val="22"/>
                <w:szCs w:val="22"/>
              </w:rPr>
              <w:t>Urticaria</w:t>
            </w:r>
            <w:proofErr w:type="spellEnd"/>
            <w:r>
              <w:rPr>
                <w:sz w:val="22"/>
                <w:szCs w:val="22"/>
              </w:rPr>
              <w:t>, Stevens- Johnsons syndrom</w:t>
            </w:r>
            <w:r>
              <w:rPr>
                <w:sz w:val="22"/>
                <w:szCs w:val="22"/>
                <w:vertAlign w:val="superscript"/>
              </w:rPr>
              <w:t>2</w:t>
            </w:r>
            <w:r>
              <w:rPr>
                <w:sz w:val="22"/>
                <w:szCs w:val="22"/>
              </w:rPr>
              <w:t xml:space="preserve">, </w:t>
            </w:r>
            <w:proofErr w:type="spellStart"/>
            <w:r>
              <w:rPr>
                <w:sz w:val="22"/>
                <w:szCs w:val="22"/>
              </w:rPr>
              <w:t>eksfoliativ</w:t>
            </w:r>
            <w:proofErr w:type="spellEnd"/>
            <w:r>
              <w:rPr>
                <w:sz w:val="22"/>
                <w:szCs w:val="22"/>
              </w:rPr>
              <w:t xml:space="preserve"> dermatitis</w:t>
            </w:r>
            <w:r>
              <w:rPr>
                <w:sz w:val="22"/>
                <w:szCs w:val="22"/>
                <w:vertAlign w:val="superscript"/>
              </w:rPr>
              <w:t>2</w:t>
            </w:r>
            <w:r>
              <w:rPr>
                <w:sz w:val="22"/>
                <w:szCs w:val="22"/>
              </w:rPr>
              <w:t xml:space="preserve">, </w:t>
            </w:r>
            <w:proofErr w:type="spellStart"/>
            <w:r>
              <w:rPr>
                <w:sz w:val="22"/>
                <w:szCs w:val="22"/>
              </w:rPr>
              <w:t>hyperhidrose</w:t>
            </w:r>
            <w:proofErr w:type="spellEnd"/>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keepNext/>
              <w:rPr>
                <w:i/>
                <w:spacing w:val="-1"/>
                <w:sz w:val="22"/>
                <w:szCs w:val="22"/>
              </w:rPr>
            </w:pPr>
            <w:r>
              <w:rPr>
                <w:i/>
                <w:spacing w:val="-1"/>
                <w:sz w:val="22"/>
                <w:szCs w:val="22"/>
              </w:rPr>
              <w:t>K</w:t>
            </w:r>
            <w:r>
              <w:rPr>
                <w:i/>
                <w:sz w:val="22"/>
                <w:szCs w:val="22"/>
              </w:rPr>
              <w:t>nog</w:t>
            </w:r>
            <w:r>
              <w:rPr>
                <w:i/>
                <w:spacing w:val="1"/>
                <w:sz w:val="22"/>
                <w:szCs w:val="22"/>
              </w:rPr>
              <w:t>l</w:t>
            </w:r>
            <w:r>
              <w:rPr>
                <w:i/>
                <w:sz w:val="22"/>
                <w:szCs w:val="22"/>
              </w:rPr>
              <w:t>e</w:t>
            </w:r>
            <w:r>
              <w:rPr>
                <w:i/>
                <w:spacing w:val="1"/>
                <w:sz w:val="22"/>
                <w:szCs w:val="22"/>
              </w:rPr>
              <w:t>r</w:t>
            </w:r>
            <w:r>
              <w:rPr>
                <w:i/>
                <w:sz w:val="22"/>
                <w:szCs w:val="22"/>
              </w:rPr>
              <w:t xml:space="preserve">, </w:t>
            </w:r>
            <w:r>
              <w:rPr>
                <w:i/>
                <w:spacing w:val="1"/>
                <w:sz w:val="22"/>
                <w:szCs w:val="22"/>
              </w:rPr>
              <w:t>l</w:t>
            </w:r>
            <w:r>
              <w:rPr>
                <w:i/>
                <w:sz w:val="22"/>
                <w:szCs w:val="22"/>
              </w:rPr>
              <w:t>e</w:t>
            </w:r>
            <w:r>
              <w:rPr>
                <w:i/>
                <w:spacing w:val="1"/>
                <w:sz w:val="22"/>
                <w:szCs w:val="22"/>
              </w:rPr>
              <w:t>t</w:t>
            </w:r>
            <w:r>
              <w:rPr>
                <w:i/>
                <w:sz w:val="22"/>
                <w:szCs w:val="22"/>
              </w:rPr>
              <w:t xml:space="preserve">, </w:t>
            </w:r>
            <w:r>
              <w:rPr>
                <w:i/>
                <w:spacing w:val="-1"/>
                <w:sz w:val="22"/>
                <w:szCs w:val="22"/>
              </w:rPr>
              <w:t>m</w:t>
            </w:r>
            <w:r>
              <w:rPr>
                <w:i/>
                <w:sz w:val="22"/>
                <w:szCs w:val="22"/>
              </w:rPr>
              <w:t>u</w:t>
            </w:r>
            <w:r>
              <w:rPr>
                <w:i/>
                <w:spacing w:val="1"/>
                <w:sz w:val="22"/>
                <w:szCs w:val="22"/>
              </w:rPr>
              <w:t>s</w:t>
            </w:r>
            <w:r>
              <w:rPr>
                <w:i/>
                <w:sz w:val="22"/>
                <w:szCs w:val="22"/>
              </w:rPr>
              <w:t>k</w:t>
            </w:r>
            <w:r>
              <w:rPr>
                <w:i/>
                <w:spacing w:val="1"/>
                <w:sz w:val="22"/>
                <w:szCs w:val="22"/>
              </w:rPr>
              <w:t>l</w:t>
            </w:r>
            <w:r>
              <w:rPr>
                <w:i/>
                <w:sz w:val="22"/>
                <w:szCs w:val="22"/>
              </w:rPr>
              <w:t>er</w:t>
            </w:r>
            <w:r>
              <w:rPr>
                <w:i/>
                <w:spacing w:val="1"/>
                <w:sz w:val="22"/>
                <w:szCs w:val="22"/>
              </w:rPr>
              <w:t xml:space="preserve"> </w:t>
            </w:r>
            <w:r>
              <w:rPr>
                <w:i/>
                <w:sz w:val="22"/>
                <w:szCs w:val="22"/>
              </w:rPr>
              <w:t>og b</w:t>
            </w:r>
            <w:r>
              <w:rPr>
                <w:i/>
                <w:spacing w:val="1"/>
                <w:sz w:val="22"/>
                <w:szCs w:val="22"/>
              </w:rPr>
              <w:t>i</w:t>
            </w:r>
            <w:r>
              <w:rPr>
                <w:i/>
                <w:sz w:val="22"/>
                <w:szCs w:val="22"/>
              </w:rPr>
              <w:t>ndev</w:t>
            </w:r>
            <w:r>
              <w:rPr>
                <w:i/>
                <w:spacing w:val="-1"/>
                <w:sz w:val="22"/>
                <w:szCs w:val="22"/>
              </w:rPr>
              <w:t>æ</w:t>
            </w:r>
            <w:r>
              <w:rPr>
                <w:i/>
                <w:sz w:val="22"/>
                <w:szCs w:val="22"/>
              </w:rPr>
              <w:t>v</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keepNext/>
              <w:rPr>
                <w:i/>
                <w:spacing w:val="-1"/>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keepNext/>
              <w:rPr>
                <w:sz w:val="22"/>
                <w:szCs w:val="22"/>
              </w:rPr>
            </w:pPr>
            <w:r>
              <w:rPr>
                <w:sz w:val="22"/>
                <w:szCs w:val="22"/>
              </w:rPr>
              <w:t>Rygsmerter, myalgi, ekstremitets-smerter</w:t>
            </w: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keepNext/>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keepNext/>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keepNext/>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pacing w:val="-1"/>
                <w:sz w:val="22"/>
                <w:szCs w:val="22"/>
              </w:rPr>
            </w:pPr>
            <w:r>
              <w:rPr>
                <w:i/>
                <w:spacing w:val="-1"/>
                <w:sz w:val="22"/>
                <w:szCs w:val="22"/>
              </w:rPr>
              <w:t>N</w:t>
            </w:r>
            <w:r>
              <w:rPr>
                <w:i/>
                <w:sz w:val="22"/>
                <w:szCs w:val="22"/>
              </w:rPr>
              <w:t>yrer</w:t>
            </w:r>
            <w:r>
              <w:rPr>
                <w:i/>
                <w:spacing w:val="1"/>
                <w:sz w:val="22"/>
                <w:szCs w:val="22"/>
              </w:rPr>
              <w:t xml:space="preserve"> </w:t>
            </w:r>
            <w:r>
              <w:rPr>
                <w:i/>
                <w:sz w:val="22"/>
                <w:szCs w:val="22"/>
              </w:rPr>
              <w:t>og ur</w:t>
            </w:r>
            <w:r>
              <w:rPr>
                <w:i/>
                <w:spacing w:val="1"/>
                <w:sz w:val="22"/>
                <w:szCs w:val="22"/>
              </w:rPr>
              <w:t>i</w:t>
            </w:r>
            <w:r>
              <w:rPr>
                <w:i/>
                <w:sz w:val="22"/>
                <w:szCs w:val="22"/>
              </w:rPr>
              <w:t>nve</w:t>
            </w:r>
            <w:r>
              <w:rPr>
                <w:i/>
                <w:spacing w:val="1"/>
                <w:sz w:val="22"/>
                <w:szCs w:val="22"/>
              </w:rPr>
              <w:t>j</w:t>
            </w:r>
            <w:r>
              <w:rPr>
                <w:i/>
                <w:sz w:val="22"/>
                <w:szCs w:val="22"/>
              </w:rPr>
              <w:t>e</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i/>
                <w:spacing w:val="-1"/>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Hæmaturi</w:t>
            </w: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pacing w:val="-1"/>
                <w:sz w:val="22"/>
                <w:szCs w:val="22"/>
              </w:rPr>
            </w:pPr>
            <w:r>
              <w:rPr>
                <w:i/>
                <w:spacing w:val="-1"/>
                <w:sz w:val="22"/>
                <w:szCs w:val="22"/>
              </w:rPr>
              <w:t>Det reproduktive system og mammae</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i/>
                <w:spacing w:val="-1"/>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Fo</w:t>
            </w:r>
            <w:r>
              <w:rPr>
                <w:spacing w:val="1"/>
                <w:sz w:val="22"/>
                <w:szCs w:val="22"/>
              </w:rPr>
              <w:t>rl</w:t>
            </w:r>
            <w:r>
              <w:rPr>
                <w:spacing w:val="-1"/>
                <w:sz w:val="22"/>
                <w:szCs w:val="22"/>
              </w:rPr>
              <w:t>æ</w:t>
            </w:r>
            <w:r>
              <w:rPr>
                <w:sz w:val="22"/>
                <w:szCs w:val="22"/>
              </w:rPr>
              <w:t>n</w:t>
            </w:r>
            <w:r>
              <w:rPr>
                <w:spacing w:val="-2"/>
                <w:sz w:val="22"/>
                <w:szCs w:val="22"/>
              </w:rPr>
              <w:t>g</w:t>
            </w:r>
            <w:r>
              <w:rPr>
                <w:sz w:val="22"/>
                <w:szCs w:val="22"/>
              </w:rPr>
              <w:t>et</w:t>
            </w:r>
            <w:r>
              <w:rPr>
                <w:spacing w:val="1"/>
                <w:sz w:val="22"/>
                <w:szCs w:val="22"/>
              </w:rPr>
              <w:t xml:space="preserve"> </w:t>
            </w:r>
            <w:r>
              <w:rPr>
                <w:sz w:val="22"/>
                <w:szCs w:val="22"/>
              </w:rPr>
              <w:t>e</w:t>
            </w:r>
            <w:r>
              <w:rPr>
                <w:spacing w:val="1"/>
                <w:sz w:val="22"/>
                <w:szCs w:val="22"/>
              </w:rPr>
              <w:t>r</w:t>
            </w:r>
            <w:r>
              <w:rPr>
                <w:sz w:val="22"/>
                <w:szCs w:val="22"/>
              </w:rPr>
              <w:t>e</w:t>
            </w:r>
            <w:r>
              <w:rPr>
                <w:spacing w:val="-2"/>
                <w:sz w:val="22"/>
                <w:szCs w:val="22"/>
              </w:rPr>
              <w:t>k</w:t>
            </w:r>
            <w:r>
              <w:rPr>
                <w:spacing w:val="1"/>
                <w:sz w:val="22"/>
                <w:szCs w:val="22"/>
              </w:rPr>
              <w:t>ti</w:t>
            </w:r>
            <w:r>
              <w:rPr>
                <w:sz w:val="22"/>
                <w:szCs w:val="22"/>
              </w:rPr>
              <w:t>on</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lang w:val="nb-NO"/>
              </w:rPr>
            </w:pPr>
            <w:r>
              <w:rPr>
                <w:sz w:val="22"/>
                <w:szCs w:val="22"/>
                <w:lang w:val="nb-NO"/>
              </w:rPr>
              <w:t>Priapisme, blødning fra penis, hæmospermi</w:t>
            </w: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lang w:val="nb-NO"/>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i/>
                <w:spacing w:val="-1"/>
                <w:sz w:val="22"/>
                <w:szCs w:val="22"/>
              </w:rPr>
            </w:pPr>
            <w:r>
              <w:rPr>
                <w:i/>
                <w:spacing w:val="-1"/>
                <w:sz w:val="22"/>
                <w:szCs w:val="22"/>
              </w:rPr>
              <w:t>A</w:t>
            </w:r>
            <w:r>
              <w:rPr>
                <w:i/>
                <w:spacing w:val="1"/>
                <w:sz w:val="22"/>
                <w:szCs w:val="22"/>
              </w:rPr>
              <w:t>l</w:t>
            </w:r>
            <w:r>
              <w:rPr>
                <w:i/>
                <w:spacing w:val="-1"/>
                <w:sz w:val="22"/>
                <w:szCs w:val="22"/>
              </w:rPr>
              <w:t>m</w:t>
            </w:r>
            <w:r>
              <w:rPr>
                <w:i/>
                <w:sz w:val="22"/>
                <w:szCs w:val="22"/>
              </w:rPr>
              <w:t>ene</w:t>
            </w:r>
            <w:r>
              <w:rPr>
                <w:i/>
                <w:spacing w:val="1"/>
                <w:sz w:val="22"/>
                <w:szCs w:val="22"/>
              </w:rPr>
              <w:t xml:space="preserve"> s</w:t>
            </w:r>
            <w:r>
              <w:rPr>
                <w:i/>
                <w:sz w:val="22"/>
                <w:szCs w:val="22"/>
              </w:rPr>
              <w:t>y</w:t>
            </w:r>
            <w:r>
              <w:rPr>
                <w:i/>
                <w:spacing w:val="-1"/>
                <w:sz w:val="22"/>
                <w:szCs w:val="22"/>
              </w:rPr>
              <w:t>m</w:t>
            </w:r>
            <w:r>
              <w:rPr>
                <w:i/>
                <w:sz w:val="22"/>
                <w:szCs w:val="22"/>
              </w:rPr>
              <w:t>p</w:t>
            </w:r>
            <w:r>
              <w:rPr>
                <w:i/>
                <w:spacing w:val="1"/>
                <w:sz w:val="22"/>
                <w:szCs w:val="22"/>
              </w:rPr>
              <w:t>t</w:t>
            </w:r>
            <w:r>
              <w:rPr>
                <w:i/>
                <w:sz w:val="22"/>
                <w:szCs w:val="22"/>
              </w:rPr>
              <w:t>o</w:t>
            </w:r>
            <w:r>
              <w:rPr>
                <w:i/>
                <w:spacing w:val="-1"/>
                <w:sz w:val="22"/>
                <w:szCs w:val="22"/>
              </w:rPr>
              <w:t>m</w:t>
            </w:r>
            <w:r>
              <w:rPr>
                <w:i/>
                <w:sz w:val="22"/>
                <w:szCs w:val="22"/>
              </w:rPr>
              <w:t>er</w:t>
            </w:r>
            <w:r>
              <w:rPr>
                <w:i/>
                <w:spacing w:val="1"/>
                <w:sz w:val="22"/>
                <w:szCs w:val="22"/>
              </w:rPr>
              <w:t xml:space="preserve"> </w:t>
            </w:r>
            <w:r>
              <w:rPr>
                <w:i/>
                <w:sz w:val="22"/>
                <w:szCs w:val="22"/>
              </w:rPr>
              <w:t xml:space="preserve">og </w:t>
            </w:r>
            <w:r>
              <w:rPr>
                <w:i/>
                <w:spacing w:val="1"/>
                <w:sz w:val="22"/>
                <w:szCs w:val="22"/>
              </w:rPr>
              <w:t>r</w:t>
            </w:r>
            <w:r>
              <w:rPr>
                <w:i/>
                <w:sz w:val="22"/>
                <w:szCs w:val="22"/>
              </w:rPr>
              <w:t>eak</w:t>
            </w:r>
            <w:r>
              <w:rPr>
                <w:i/>
                <w:spacing w:val="1"/>
                <w:sz w:val="22"/>
                <w:szCs w:val="22"/>
              </w:rPr>
              <w:t>ti</w:t>
            </w:r>
            <w:r>
              <w:rPr>
                <w:i/>
                <w:sz w:val="22"/>
                <w:szCs w:val="22"/>
              </w:rPr>
              <w:t>oner</w:t>
            </w:r>
            <w:r>
              <w:rPr>
                <w:i/>
                <w:spacing w:val="1"/>
                <w:sz w:val="22"/>
                <w:szCs w:val="22"/>
              </w:rPr>
              <w:t xml:space="preserve"> </w:t>
            </w:r>
            <w:r>
              <w:rPr>
                <w:i/>
                <w:sz w:val="22"/>
                <w:szCs w:val="22"/>
              </w:rPr>
              <w:t>på ad</w:t>
            </w:r>
            <w:r>
              <w:rPr>
                <w:i/>
                <w:spacing w:val="-1"/>
                <w:sz w:val="22"/>
                <w:szCs w:val="22"/>
              </w:rPr>
              <w:t>m</w:t>
            </w:r>
            <w:r>
              <w:rPr>
                <w:i/>
                <w:spacing w:val="1"/>
                <w:sz w:val="22"/>
                <w:szCs w:val="22"/>
              </w:rPr>
              <w:t>i</w:t>
            </w:r>
            <w:r>
              <w:rPr>
                <w:i/>
                <w:sz w:val="22"/>
                <w:szCs w:val="22"/>
              </w:rPr>
              <w:t>n</w:t>
            </w:r>
            <w:r>
              <w:rPr>
                <w:i/>
                <w:spacing w:val="1"/>
                <w:sz w:val="22"/>
                <w:szCs w:val="22"/>
              </w:rPr>
              <w:t>istr</w:t>
            </w:r>
            <w:r>
              <w:rPr>
                <w:i/>
                <w:sz w:val="22"/>
                <w:szCs w:val="22"/>
              </w:rPr>
              <w:t>a</w:t>
            </w:r>
            <w:r>
              <w:rPr>
                <w:i/>
                <w:spacing w:val="1"/>
                <w:sz w:val="22"/>
                <w:szCs w:val="22"/>
              </w:rPr>
              <w:t>ti</w:t>
            </w:r>
            <w:r>
              <w:rPr>
                <w:i/>
                <w:sz w:val="22"/>
                <w:szCs w:val="22"/>
              </w:rPr>
              <w:t>on</w:t>
            </w:r>
            <w:r>
              <w:rPr>
                <w:i/>
                <w:spacing w:val="1"/>
                <w:sz w:val="22"/>
                <w:szCs w:val="22"/>
              </w:rPr>
              <w:t>sst</w:t>
            </w:r>
            <w:r>
              <w:rPr>
                <w:i/>
                <w:sz w:val="22"/>
                <w:szCs w:val="22"/>
              </w:rPr>
              <w:t>edet</w:t>
            </w:r>
          </w:p>
        </w:tc>
      </w:tr>
      <w:tr w:rsidR="00973B20" w:rsidTr="00D92323">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i/>
                <w:spacing w:val="-1"/>
                <w:sz w:val="22"/>
                <w:szCs w:val="22"/>
              </w:rPr>
            </w:pP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Brystsmerter</w:t>
            </w:r>
            <w:r>
              <w:rPr>
                <w:sz w:val="22"/>
                <w:szCs w:val="22"/>
                <w:vertAlign w:val="superscript"/>
              </w:rPr>
              <w:t>1</w:t>
            </w:r>
            <w:r>
              <w:rPr>
                <w:sz w:val="22"/>
                <w:szCs w:val="22"/>
              </w:rPr>
              <w:t>, perifert ødem, træthed</w:t>
            </w:r>
          </w:p>
        </w:tc>
        <w:tc>
          <w:tcPr>
            <w:tcW w:w="100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Ansigtsødem</w:t>
            </w:r>
            <w:r>
              <w:rPr>
                <w:sz w:val="22"/>
                <w:szCs w:val="22"/>
                <w:vertAlign w:val="superscript"/>
              </w:rPr>
              <w:t>2</w:t>
            </w:r>
            <w:r>
              <w:rPr>
                <w:sz w:val="22"/>
                <w:szCs w:val="22"/>
              </w:rPr>
              <w:t>, pludselig hjertedød</w:t>
            </w:r>
            <w:r>
              <w:rPr>
                <w:sz w:val="22"/>
                <w:szCs w:val="22"/>
                <w:vertAlign w:val="superscript"/>
              </w:rPr>
              <w:t>1,2</w:t>
            </w:r>
          </w:p>
        </w:tc>
        <w:tc>
          <w:tcPr>
            <w:tcW w:w="100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bl>
    <w:p w:rsidR="00973B20" w:rsidRPr="00CF3312" w:rsidRDefault="00973B20" w:rsidP="00973B20">
      <w:pPr>
        <w:rPr>
          <w:sz w:val="18"/>
          <w:szCs w:val="18"/>
        </w:rPr>
      </w:pPr>
      <w:r w:rsidRPr="00CF3312">
        <w:rPr>
          <w:sz w:val="18"/>
          <w:szCs w:val="18"/>
        </w:rPr>
        <w:t xml:space="preserve">(1) De fleste af patienterne havde eksisterende </w:t>
      </w:r>
      <w:proofErr w:type="spellStart"/>
      <w:r w:rsidRPr="00CF3312">
        <w:rPr>
          <w:sz w:val="18"/>
          <w:szCs w:val="18"/>
        </w:rPr>
        <w:t>kardiovaskulære</w:t>
      </w:r>
      <w:proofErr w:type="spellEnd"/>
      <w:r w:rsidRPr="00CF3312">
        <w:rPr>
          <w:sz w:val="18"/>
          <w:szCs w:val="18"/>
        </w:rPr>
        <w:t xml:space="preserve"> risikofaktorer (se pkt. 4.4).</w:t>
      </w:r>
    </w:p>
    <w:p w:rsidR="00973B20" w:rsidRPr="00CF3312" w:rsidRDefault="00973B20" w:rsidP="00973B20">
      <w:pPr>
        <w:rPr>
          <w:sz w:val="18"/>
          <w:szCs w:val="18"/>
        </w:rPr>
      </w:pPr>
      <w:r w:rsidRPr="00CF3312">
        <w:rPr>
          <w:sz w:val="18"/>
          <w:szCs w:val="18"/>
        </w:rPr>
        <w:t>(2) Bivirkninger rapporteret efter markedsføring, ikke set i placebo-kontrollerede kliniske studier.</w:t>
      </w:r>
    </w:p>
    <w:p w:rsidR="00973B20" w:rsidRPr="00CF3312" w:rsidRDefault="00973B20" w:rsidP="00973B20">
      <w:pPr>
        <w:rPr>
          <w:sz w:val="18"/>
          <w:szCs w:val="18"/>
        </w:rPr>
      </w:pPr>
      <w:r w:rsidRPr="00CF3312">
        <w:rPr>
          <w:sz w:val="18"/>
          <w:szCs w:val="18"/>
        </w:rPr>
        <w:t xml:space="preserve">(3) Mere almindeligt rapporteret, når </w:t>
      </w:r>
      <w:proofErr w:type="spellStart"/>
      <w:r w:rsidRPr="00CF3312">
        <w:rPr>
          <w:sz w:val="18"/>
          <w:szCs w:val="18"/>
        </w:rPr>
        <w:t>tadalafil</w:t>
      </w:r>
      <w:proofErr w:type="spellEnd"/>
      <w:r w:rsidRPr="00CF3312">
        <w:rPr>
          <w:sz w:val="18"/>
          <w:szCs w:val="18"/>
        </w:rPr>
        <w:t xml:space="preserve"> gives til patienter, som allerede tager </w:t>
      </w:r>
      <w:proofErr w:type="spellStart"/>
      <w:r w:rsidRPr="00CF3312">
        <w:rPr>
          <w:sz w:val="18"/>
          <w:szCs w:val="18"/>
        </w:rPr>
        <w:t>antihypertensiva</w:t>
      </w:r>
      <w:proofErr w:type="spellEnd"/>
      <w:r w:rsidRPr="00CF3312">
        <w:rPr>
          <w:sz w:val="18"/>
          <w:szCs w:val="18"/>
        </w:rPr>
        <w:t>.</w:t>
      </w:r>
    </w:p>
    <w:p w:rsidR="00973B20" w:rsidRDefault="00973B20" w:rsidP="00973B20">
      <w:pPr>
        <w:ind w:left="851" w:hanging="851"/>
        <w:rPr>
          <w:sz w:val="24"/>
          <w:szCs w:val="24"/>
        </w:rPr>
      </w:pPr>
    </w:p>
    <w:p w:rsidR="00973B20" w:rsidRDefault="00973B20" w:rsidP="00973B20">
      <w:pPr>
        <w:ind w:left="851"/>
        <w:rPr>
          <w:sz w:val="24"/>
          <w:szCs w:val="24"/>
          <w:u w:val="single"/>
        </w:rPr>
      </w:pPr>
      <w:r>
        <w:rPr>
          <w:sz w:val="24"/>
          <w:szCs w:val="24"/>
          <w:u w:val="single"/>
        </w:rPr>
        <w:t>Beskrivelse af udvalgte bivirkninger</w:t>
      </w:r>
    </w:p>
    <w:p w:rsidR="00973B20" w:rsidRDefault="00973B20" w:rsidP="00973B20">
      <w:pPr>
        <w:ind w:left="851"/>
        <w:rPr>
          <w:sz w:val="24"/>
          <w:szCs w:val="24"/>
        </w:rPr>
      </w:pPr>
      <w:r>
        <w:rPr>
          <w:sz w:val="24"/>
          <w:szCs w:val="24"/>
        </w:rPr>
        <w:t xml:space="preserve">Der er rapporteret en lidt højere hyppighed af abnormt ekg, primært sinusbradykardi, hos patienter behandlet med </w:t>
      </w:r>
      <w:proofErr w:type="spellStart"/>
      <w:r>
        <w:rPr>
          <w:sz w:val="24"/>
          <w:szCs w:val="24"/>
        </w:rPr>
        <w:t>tadalafil</w:t>
      </w:r>
      <w:proofErr w:type="spellEnd"/>
      <w:r>
        <w:rPr>
          <w:sz w:val="24"/>
          <w:szCs w:val="24"/>
        </w:rPr>
        <w:t xml:space="preserve"> en gang daglig end hos patienter behandlet med placebo. De fleste af disse abnorme </w:t>
      </w:r>
      <w:proofErr w:type="spellStart"/>
      <w:r>
        <w:rPr>
          <w:sz w:val="24"/>
          <w:szCs w:val="24"/>
        </w:rPr>
        <w:t>ekg’er</w:t>
      </w:r>
      <w:proofErr w:type="spellEnd"/>
      <w:r>
        <w:rPr>
          <w:sz w:val="24"/>
          <w:szCs w:val="24"/>
        </w:rPr>
        <w:t xml:space="preserve"> var ikke associeret med bivirkninger.</w:t>
      </w:r>
    </w:p>
    <w:p w:rsidR="00973B20" w:rsidRDefault="00973B20" w:rsidP="00973B20">
      <w:pPr>
        <w:ind w:left="851" w:hanging="851"/>
        <w:rPr>
          <w:sz w:val="24"/>
          <w:szCs w:val="24"/>
        </w:rPr>
      </w:pPr>
    </w:p>
    <w:p w:rsidR="00973B20" w:rsidRDefault="00973B20" w:rsidP="00973B20">
      <w:pPr>
        <w:ind w:left="851"/>
        <w:rPr>
          <w:sz w:val="24"/>
          <w:szCs w:val="24"/>
          <w:u w:val="single"/>
        </w:rPr>
      </w:pPr>
      <w:r>
        <w:rPr>
          <w:sz w:val="24"/>
          <w:szCs w:val="24"/>
          <w:u w:val="single"/>
        </w:rPr>
        <w:t>Andre specielle populationer</w:t>
      </w:r>
    </w:p>
    <w:p w:rsidR="00973B20" w:rsidRDefault="00973B20" w:rsidP="00973B20">
      <w:pPr>
        <w:ind w:left="851"/>
        <w:rPr>
          <w:sz w:val="24"/>
          <w:szCs w:val="24"/>
        </w:rPr>
      </w:pPr>
      <w:r>
        <w:rPr>
          <w:sz w:val="24"/>
          <w:szCs w:val="24"/>
        </w:rPr>
        <w:t xml:space="preserve">Data for patienter over 65 år, som har fået </w:t>
      </w:r>
      <w:proofErr w:type="spellStart"/>
      <w:r>
        <w:rPr>
          <w:sz w:val="24"/>
          <w:szCs w:val="24"/>
        </w:rPr>
        <w:t>tadalafil</w:t>
      </w:r>
      <w:proofErr w:type="spellEnd"/>
      <w:r>
        <w:rPr>
          <w:sz w:val="24"/>
          <w:szCs w:val="24"/>
        </w:rPr>
        <w:t xml:space="preserve"> i kliniske studier enten for behandling af </w:t>
      </w:r>
      <w:proofErr w:type="spellStart"/>
      <w:r>
        <w:rPr>
          <w:sz w:val="24"/>
          <w:szCs w:val="24"/>
        </w:rPr>
        <w:t>erektil</w:t>
      </w:r>
      <w:proofErr w:type="spellEnd"/>
      <w:r>
        <w:rPr>
          <w:sz w:val="24"/>
          <w:szCs w:val="24"/>
        </w:rPr>
        <w:t xml:space="preserve"> dysfunktion eller benign </w:t>
      </w:r>
      <w:proofErr w:type="spellStart"/>
      <w:r>
        <w:rPr>
          <w:sz w:val="24"/>
          <w:szCs w:val="24"/>
        </w:rPr>
        <w:t>prostatahyperplasi</w:t>
      </w:r>
      <w:proofErr w:type="spellEnd"/>
      <w:r>
        <w:rPr>
          <w:sz w:val="24"/>
          <w:szCs w:val="24"/>
        </w:rPr>
        <w:t xml:space="preserve">, er begrænsede. I kliniske studier med </w:t>
      </w:r>
      <w:proofErr w:type="spellStart"/>
      <w:r>
        <w:rPr>
          <w:sz w:val="24"/>
          <w:szCs w:val="24"/>
        </w:rPr>
        <w:t>tadalafil</w:t>
      </w:r>
      <w:proofErr w:type="spellEnd"/>
      <w:r>
        <w:rPr>
          <w:sz w:val="24"/>
          <w:szCs w:val="24"/>
        </w:rPr>
        <w:t xml:space="preserve"> taget efter behov for behandling af </w:t>
      </w:r>
      <w:proofErr w:type="spellStart"/>
      <w:r>
        <w:rPr>
          <w:sz w:val="24"/>
          <w:szCs w:val="24"/>
        </w:rPr>
        <w:t>erektil</w:t>
      </w:r>
      <w:proofErr w:type="spellEnd"/>
      <w:r>
        <w:rPr>
          <w:sz w:val="24"/>
          <w:szCs w:val="24"/>
        </w:rPr>
        <w:t xml:space="preserve"> dysfunktion blev diarré hyppigere indberettet for patienter over 65 år. I kliniske studier med </w:t>
      </w:r>
      <w:proofErr w:type="spellStart"/>
      <w:r>
        <w:rPr>
          <w:sz w:val="24"/>
          <w:szCs w:val="24"/>
        </w:rPr>
        <w:t>tadalafil</w:t>
      </w:r>
      <w:proofErr w:type="spellEnd"/>
      <w:r>
        <w:rPr>
          <w:sz w:val="24"/>
          <w:szCs w:val="24"/>
        </w:rPr>
        <w:t xml:space="preserve"> 5 mg taget en gang daglig for behandling af benign </w:t>
      </w:r>
      <w:proofErr w:type="spellStart"/>
      <w:r>
        <w:rPr>
          <w:sz w:val="24"/>
          <w:szCs w:val="24"/>
        </w:rPr>
        <w:t>prostatahyperplasi</w:t>
      </w:r>
      <w:proofErr w:type="spellEnd"/>
      <w:r>
        <w:rPr>
          <w:sz w:val="24"/>
          <w:szCs w:val="24"/>
        </w:rPr>
        <w:t xml:space="preserve"> blev svimmelhed og diarré hyppigere indberettet for patienter over 75 år.</w:t>
      </w:r>
    </w:p>
    <w:p w:rsidR="00973B20" w:rsidRDefault="00973B20" w:rsidP="00973B20">
      <w:pPr>
        <w:ind w:left="851" w:hanging="851"/>
        <w:rPr>
          <w:sz w:val="24"/>
          <w:szCs w:val="24"/>
        </w:rPr>
      </w:pPr>
    </w:p>
    <w:p w:rsidR="00973B20" w:rsidRDefault="00973B20" w:rsidP="00973B20">
      <w:pPr>
        <w:ind w:left="851"/>
        <w:rPr>
          <w:b/>
          <w:i/>
          <w:noProof/>
          <w:sz w:val="24"/>
          <w:szCs w:val="24"/>
        </w:rPr>
      </w:pPr>
      <w:proofErr w:type="spellStart"/>
      <w:r>
        <w:rPr>
          <w:b/>
          <w:i/>
          <w:sz w:val="24"/>
          <w:szCs w:val="24"/>
        </w:rPr>
        <w:t>Tadalafil</w:t>
      </w:r>
      <w:proofErr w:type="spellEnd"/>
      <w:r>
        <w:rPr>
          <w:b/>
          <w:i/>
          <w:sz w:val="24"/>
          <w:szCs w:val="24"/>
        </w:rPr>
        <w:t xml:space="preserve"> mod </w:t>
      </w:r>
      <w:proofErr w:type="spellStart"/>
      <w:r>
        <w:rPr>
          <w:b/>
          <w:i/>
          <w:sz w:val="24"/>
          <w:szCs w:val="24"/>
        </w:rPr>
        <w:t>Pu</w:t>
      </w:r>
      <w:r>
        <w:rPr>
          <w:b/>
          <w:i/>
          <w:spacing w:val="1"/>
          <w:sz w:val="24"/>
          <w:szCs w:val="24"/>
        </w:rPr>
        <w:t>l</w:t>
      </w:r>
      <w:r>
        <w:rPr>
          <w:b/>
          <w:i/>
          <w:spacing w:val="-4"/>
          <w:sz w:val="24"/>
          <w:szCs w:val="24"/>
        </w:rPr>
        <w:t>m</w:t>
      </w:r>
      <w:r>
        <w:rPr>
          <w:b/>
          <w:i/>
          <w:sz w:val="24"/>
          <w:szCs w:val="24"/>
        </w:rPr>
        <w:t>onal</w:t>
      </w:r>
      <w:proofErr w:type="spellEnd"/>
      <w:r>
        <w:rPr>
          <w:b/>
          <w:i/>
          <w:spacing w:val="1"/>
          <w:sz w:val="24"/>
          <w:szCs w:val="24"/>
        </w:rPr>
        <w:t xml:space="preserve"> </w:t>
      </w:r>
      <w:r>
        <w:rPr>
          <w:b/>
          <w:i/>
          <w:sz w:val="24"/>
          <w:szCs w:val="24"/>
        </w:rPr>
        <w:t>a</w:t>
      </w:r>
      <w:r>
        <w:rPr>
          <w:b/>
          <w:i/>
          <w:spacing w:val="-2"/>
          <w:sz w:val="24"/>
          <w:szCs w:val="24"/>
        </w:rPr>
        <w:t>r</w:t>
      </w:r>
      <w:r>
        <w:rPr>
          <w:b/>
          <w:i/>
          <w:spacing w:val="1"/>
          <w:sz w:val="24"/>
          <w:szCs w:val="24"/>
        </w:rPr>
        <w:t>t</w:t>
      </w:r>
      <w:r>
        <w:rPr>
          <w:b/>
          <w:i/>
          <w:spacing w:val="-2"/>
          <w:sz w:val="24"/>
          <w:szCs w:val="24"/>
        </w:rPr>
        <w:t>e</w:t>
      </w:r>
      <w:r>
        <w:rPr>
          <w:b/>
          <w:i/>
          <w:spacing w:val="1"/>
          <w:sz w:val="24"/>
          <w:szCs w:val="24"/>
        </w:rPr>
        <w:t>r</w:t>
      </w:r>
      <w:r>
        <w:rPr>
          <w:b/>
          <w:i/>
          <w:spacing w:val="-1"/>
          <w:sz w:val="24"/>
          <w:szCs w:val="24"/>
        </w:rPr>
        <w:t>i</w:t>
      </w:r>
      <w:r>
        <w:rPr>
          <w:b/>
          <w:i/>
          <w:sz w:val="24"/>
          <w:szCs w:val="24"/>
        </w:rPr>
        <w:t>el</w:t>
      </w:r>
      <w:r>
        <w:rPr>
          <w:b/>
          <w:i/>
          <w:spacing w:val="1"/>
          <w:sz w:val="24"/>
          <w:szCs w:val="24"/>
        </w:rPr>
        <w:t xml:space="preserve"> </w:t>
      </w:r>
      <w:r>
        <w:rPr>
          <w:b/>
          <w:i/>
          <w:sz w:val="24"/>
          <w:szCs w:val="24"/>
        </w:rPr>
        <w:t>h</w:t>
      </w:r>
      <w:r>
        <w:rPr>
          <w:b/>
          <w:i/>
          <w:spacing w:val="-2"/>
          <w:sz w:val="24"/>
          <w:szCs w:val="24"/>
        </w:rPr>
        <w:t>y</w:t>
      </w:r>
      <w:r>
        <w:rPr>
          <w:b/>
          <w:i/>
          <w:sz w:val="24"/>
          <w:szCs w:val="24"/>
        </w:rPr>
        <w:t>pe</w:t>
      </w:r>
      <w:r>
        <w:rPr>
          <w:b/>
          <w:i/>
          <w:spacing w:val="-2"/>
          <w:sz w:val="24"/>
          <w:szCs w:val="24"/>
        </w:rPr>
        <w:t>r</w:t>
      </w:r>
      <w:r>
        <w:rPr>
          <w:b/>
          <w:i/>
          <w:spacing w:val="1"/>
          <w:sz w:val="24"/>
          <w:szCs w:val="24"/>
        </w:rPr>
        <w:t>t</w:t>
      </w:r>
      <w:r>
        <w:rPr>
          <w:b/>
          <w:i/>
          <w:sz w:val="24"/>
          <w:szCs w:val="24"/>
        </w:rPr>
        <w:t>e</w:t>
      </w:r>
      <w:r>
        <w:rPr>
          <w:b/>
          <w:i/>
          <w:spacing w:val="-2"/>
          <w:sz w:val="24"/>
          <w:szCs w:val="24"/>
        </w:rPr>
        <w:t>n</w:t>
      </w:r>
      <w:r>
        <w:rPr>
          <w:b/>
          <w:i/>
          <w:spacing w:val="1"/>
          <w:sz w:val="24"/>
          <w:szCs w:val="24"/>
        </w:rPr>
        <w:t>s</w:t>
      </w:r>
      <w:r>
        <w:rPr>
          <w:b/>
          <w:i/>
          <w:spacing w:val="-1"/>
          <w:sz w:val="24"/>
          <w:szCs w:val="24"/>
        </w:rPr>
        <w:t>i</w:t>
      </w:r>
      <w:r>
        <w:rPr>
          <w:b/>
          <w:i/>
          <w:sz w:val="24"/>
          <w:szCs w:val="24"/>
        </w:rPr>
        <w:t>on</w:t>
      </w:r>
    </w:p>
    <w:p w:rsidR="00973B20" w:rsidRDefault="00973B20" w:rsidP="00973B20">
      <w:pPr>
        <w:ind w:left="851" w:hanging="851"/>
        <w:rPr>
          <w:sz w:val="24"/>
          <w:szCs w:val="24"/>
        </w:rPr>
      </w:pPr>
    </w:p>
    <w:p w:rsidR="00973B20" w:rsidRDefault="00973B20" w:rsidP="00973B20">
      <w:pPr>
        <w:ind w:left="851"/>
        <w:rPr>
          <w:sz w:val="24"/>
          <w:szCs w:val="24"/>
          <w:u w:val="single"/>
        </w:rPr>
      </w:pPr>
      <w:r>
        <w:rPr>
          <w:sz w:val="24"/>
          <w:szCs w:val="24"/>
          <w:u w:val="single"/>
        </w:rPr>
        <w:t>Resumé af sikkerhedsprofilen</w:t>
      </w:r>
    </w:p>
    <w:p w:rsidR="00973B20" w:rsidRDefault="00973B20" w:rsidP="00973B20">
      <w:pPr>
        <w:ind w:left="851" w:hanging="851"/>
        <w:rPr>
          <w:sz w:val="24"/>
          <w:szCs w:val="24"/>
        </w:rPr>
      </w:pPr>
    </w:p>
    <w:p w:rsidR="00973B20" w:rsidRDefault="00973B20" w:rsidP="00973B20">
      <w:pPr>
        <w:ind w:left="851"/>
        <w:rPr>
          <w:sz w:val="24"/>
          <w:szCs w:val="24"/>
        </w:rPr>
      </w:pPr>
      <w:r>
        <w:rPr>
          <w:sz w:val="24"/>
          <w:szCs w:val="24"/>
        </w:rPr>
        <w:t xml:space="preserve">De hyppigst rapporterede bivirkninger, som blev set hos ≥ 10 % af patienterne i behandlingsarmen med 40 mg </w:t>
      </w:r>
      <w:proofErr w:type="spellStart"/>
      <w:r>
        <w:rPr>
          <w:sz w:val="24"/>
          <w:szCs w:val="24"/>
        </w:rPr>
        <w:t>tadalafil</w:t>
      </w:r>
      <w:proofErr w:type="spellEnd"/>
      <w:r>
        <w:rPr>
          <w:sz w:val="24"/>
          <w:szCs w:val="24"/>
        </w:rPr>
        <w:t xml:space="preserve">, var hovedpine, kvalme, rygsmerter, dyspepsi, rødmen, myalgi, </w:t>
      </w:r>
      <w:proofErr w:type="spellStart"/>
      <w:r>
        <w:rPr>
          <w:sz w:val="24"/>
          <w:szCs w:val="24"/>
        </w:rPr>
        <w:t>nasopharyngitis</w:t>
      </w:r>
      <w:proofErr w:type="spellEnd"/>
      <w:r>
        <w:rPr>
          <w:sz w:val="24"/>
          <w:szCs w:val="24"/>
        </w:rPr>
        <w:t xml:space="preserve"> og smerter i ekstremiteterne. De rapporterede bivirkninger var forbigående og generelt milde eller moderate. Bivirkningsdata er begrænsede hos patienter over 75 år.</w:t>
      </w:r>
    </w:p>
    <w:p w:rsidR="00973B20" w:rsidRDefault="00973B20" w:rsidP="00973B20">
      <w:pPr>
        <w:ind w:left="851" w:hanging="851"/>
        <w:rPr>
          <w:sz w:val="24"/>
          <w:szCs w:val="24"/>
        </w:rPr>
      </w:pPr>
    </w:p>
    <w:p w:rsidR="00973B20" w:rsidRDefault="00973B20" w:rsidP="00973B20">
      <w:pPr>
        <w:ind w:left="851"/>
        <w:rPr>
          <w:sz w:val="24"/>
          <w:szCs w:val="24"/>
        </w:rPr>
      </w:pPr>
      <w:r>
        <w:rPr>
          <w:sz w:val="24"/>
          <w:szCs w:val="24"/>
        </w:rPr>
        <w:t xml:space="preserve">I det pivotale placebo-kontrollerede studie med </w:t>
      </w:r>
      <w:proofErr w:type="spellStart"/>
      <w:r>
        <w:rPr>
          <w:sz w:val="24"/>
          <w:szCs w:val="24"/>
        </w:rPr>
        <w:t>tadalafil</w:t>
      </w:r>
      <w:proofErr w:type="spellEnd"/>
      <w:r>
        <w:rPr>
          <w:sz w:val="24"/>
          <w:szCs w:val="24"/>
        </w:rPr>
        <w:t xml:space="preserve"> til behandling af PAH blev i alt 323 patienter behandlet med </w:t>
      </w:r>
      <w:proofErr w:type="spellStart"/>
      <w:r>
        <w:rPr>
          <w:sz w:val="24"/>
          <w:szCs w:val="24"/>
        </w:rPr>
        <w:t>tadalafil</w:t>
      </w:r>
      <w:proofErr w:type="spellEnd"/>
      <w:r>
        <w:rPr>
          <w:sz w:val="24"/>
          <w:szCs w:val="24"/>
        </w:rPr>
        <w:t xml:space="preserve"> i daglige doser fra 2,5 mg til 40 mg, og 82 patienter blev behandlet med placebo. Behandlingsvarigheden var 16 uger.  Den samlede hyppighed for ophør med behandling på grund af bivirkninger var lav (</w:t>
      </w:r>
      <w:proofErr w:type="spellStart"/>
      <w:r>
        <w:rPr>
          <w:sz w:val="24"/>
          <w:szCs w:val="24"/>
        </w:rPr>
        <w:t>tadalafil</w:t>
      </w:r>
      <w:proofErr w:type="spellEnd"/>
      <w:r>
        <w:rPr>
          <w:sz w:val="24"/>
          <w:szCs w:val="24"/>
        </w:rPr>
        <w:t xml:space="preserve"> 11 %, placebo 16 %). 357 personer, som fuldførte det pivotale studie, indgik i et </w:t>
      </w:r>
      <w:proofErr w:type="spellStart"/>
      <w:r>
        <w:rPr>
          <w:sz w:val="24"/>
          <w:szCs w:val="24"/>
        </w:rPr>
        <w:t>langtids</w:t>
      </w:r>
      <w:proofErr w:type="spellEnd"/>
      <w:r>
        <w:rPr>
          <w:sz w:val="24"/>
          <w:szCs w:val="24"/>
        </w:rPr>
        <w:t>-forlængelses-studie. Doserne, der indgik, var mellem 20 mg og 40 mg en gang daglig.</w:t>
      </w:r>
    </w:p>
    <w:p w:rsidR="00973B20" w:rsidRDefault="00973B20" w:rsidP="00973B20">
      <w:pPr>
        <w:ind w:left="851" w:hanging="851"/>
        <w:rPr>
          <w:sz w:val="24"/>
          <w:szCs w:val="24"/>
        </w:rPr>
      </w:pPr>
    </w:p>
    <w:p w:rsidR="00973B20" w:rsidRDefault="00973B20" w:rsidP="00973B20">
      <w:pPr>
        <w:keepNext/>
        <w:ind w:left="851"/>
        <w:rPr>
          <w:sz w:val="24"/>
          <w:szCs w:val="24"/>
          <w:u w:val="single"/>
        </w:rPr>
      </w:pPr>
      <w:r>
        <w:rPr>
          <w:sz w:val="24"/>
          <w:szCs w:val="24"/>
          <w:u w:val="single"/>
        </w:rPr>
        <w:t>Resumé af bivirkninger i tabelform</w:t>
      </w:r>
    </w:p>
    <w:p w:rsidR="00973B20" w:rsidRDefault="00973B20" w:rsidP="00973B20">
      <w:pPr>
        <w:ind w:left="851"/>
        <w:rPr>
          <w:sz w:val="24"/>
          <w:szCs w:val="24"/>
        </w:rPr>
      </w:pPr>
      <w:r>
        <w:rPr>
          <w:sz w:val="24"/>
          <w:szCs w:val="24"/>
        </w:rPr>
        <w:t xml:space="preserve">I tabellen nedenfor er angivet de bivirkninger, der er rapporteret i det placebo-kontrollerede kliniske studie med PAH-patienter, der blev behandlet med </w:t>
      </w:r>
      <w:proofErr w:type="spellStart"/>
      <w:r>
        <w:rPr>
          <w:sz w:val="24"/>
          <w:szCs w:val="24"/>
        </w:rPr>
        <w:t>tadalafil</w:t>
      </w:r>
      <w:proofErr w:type="spellEnd"/>
      <w:r>
        <w:rPr>
          <w:sz w:val="24"/>
          <w:szCs w:val="24"/>
        </w:rPr>
        <w:t xml:space="preserve">. I tabellen er også inkluderet nogle bivirkninger, som er set i kliniske studier og/eller post marketing med </w:t>
      </w:r>
      <w:proofErr w:type="spellStart"/>
      <w:r>
        <w:rPr>
          <w:sz w:val="24"/>
          <w:szCs w:val="24"/>
        </w:rPr>
        <w:t>tadalafil</w:t>
      </w:r>
      <w:proofErr w:type="spellEnd"/>
      <w:r>
        <w:rPr>
          <w:sz w:val="24"/>
          <w:szCs w:val="24"/>
        </w:rPr>
        <w:t xml:space="preserve"> til behandling af mænd med </w:t>
      </w:r>
      <w:proofErr w:type="spellStart"/>
      <w:r>
        <w:rPr>
          <w:sz w:val="24"/>
          <w:szCs w:val="24"/>
        </w:rPr>
        <w:t>erektil</w:t>
      </w:r>
      <w:proofErr w:type="spellEnd"/>
      <w:r>
        <w:rPr>
          <w:sz w:val="24"/>
          <w:szCs w:val="24"/>
        </w:rPr>
        <w:t xml:space="preserve"> dysfunktion. Disse bivirkninger er enten angivet med frekvensen "ikke kendt", da frekvensen hos PAH-patienter ikke kan estimeres ud fra de forhåndenværende data, eller angivet med en frekvens baseret på data fra det pivotale kliniske placebo-kontrollerede studie med </w:t>
      </w:r>
      <w:proofErr w:type="spellStart"/>
      <w:r>
        <w:rPr>
          <w:sz w:val="24"/>
          <w:szCs w:val="24"/>
        </w:rPr>
        <w:t>tadalafil</w:t>
      </w:r>
      <w:proofErr w:type="spellEnd"/>
      <w:r>
        <w:rPr>
          <w:sz w:val="24"/>
          <w:szCs w:val="24"/>
        </w:rPr>
        <w:t>.</w:t>
      </w:r>
    </w:p>
    <w:p w:rsidR="00973B20" w:rsidRDefault="00973B20" w:rsidP="00973B20">
      <w:pPr>
        <w:ind w:left="851"/>
        <w:rPr>
          <w:sz w:val="24"/>
          <w:szCs w:val="24"/>
        </w:rPr>
      </w:pPr>
    </w:p>
    <w:p w:rsidR="00973B20" w:rsidRDefault="00973B20" w:rsidP="00973B20">
      <w:pPr>
        <w:ind w:left="851"/>
        <w:rPr>
          <w:sz w:val="24"/>
          <w:szCs w:val="24"/>
        </w:rPr>
      </w:pPr>
      <w:r>
        <w:rPr>
          <w:sz w:val="24"/>
          <w:szCs w:val="24"/>
        </w:rPr>
        <w:t>Hyppighedskonvention: Meget almindelig (≥1/10), almindelig (≥1/100 til &lt;1/10), ikke almindelig (≥1/1.000 til &lt;1/100), sjælden (≥1/10.000 til &lt;1/1.000), meget sjælden (&lt;1/10.000) og ikke kendt (kan ikke estimeres ud fra forhåndenværende data).</w:t>
      </w:r>
    </w:p>
    <w:p w:rsidR="00973B20" w:rsidRDefault="00973B20" w:rsidP="00973B20">
      <w:pPr>
        <w:ind w:left="851" w:hanging="851"/>
        <w:rPr>
          <w:sz w:val="24"/>
          <w:szCs w:val="24"/>
        </w:rPr>
      </w:pPr>
    </w:p>
    <w:tbl>
      <w:tblPr>
        <w:tblStyle w:val="Tabel-Gitter"/>
        <w:tblW w:w="5000" w:type="pct"/>
        <w:tblInd w:w="0" w:type="dxa"/>
        <w:tblLook w:val="04A0" w:firstRow="1" w:lastRow="0" w:firstColumn="1" w:lastColumn="0" w:noHBand="0" w:noVBand="1"/>
      </w:tblPr>
      <w:tblGrid>
        <w:gridCol w:w="2192"/>
        <w:gridCol w:w="1862"/>
        <w:gridCol w:w="1871"/>
        <w:gridCol w:w="1744"/>
        <w:gridCol w:w="1959"/>
      </w:tblGrid>
      <w:tr w:rsidR="00973B20" w:rsidTr="00D92323">
        <w:tc>
          <w:tcPr>
            <w:tcW w:w="1126"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b/>
                <w:sz w:val="22"/>
                <w:szCs w:val="22"/>
              </w:rPr>
              <w:t>Meget</w:t>
            </w:r>
            <w:r>
              <w:rPr>
                <w:b/>
                <w:spacing w:val="1"/>
                <w:sz w:val="22"/>
                <w:szCs w:val="22"/>
              </w:rPr>
              <w:t xml:space="preserve"> </w:t>
            </w:r>
            <w:r>
              <w:rPr>
                <w:b/>
                <w:sz w:val="22"/>
                <w:szCs w:val="22"/>
              </w:rPr>
              <w:t>a</w:t>
            </w:r>
            <w:r>
              <w:rPr>
                <w:b/>
                <w:spacing w:val="1"/>
                <w:sz w:val="22"/>
                <w:szCs w:val="22"/>
              </w:rPr>
              <w:t>lmi</w:t>
            </w:r>
            <w:r>
              <w:rPr>
                <w:b/>
                <w:sz w:val="22"/>
                <w:szCs w:val="22"/>
              </w:rPr>
              <w:t>nde</w:t>
            </w:r>
            <w:r>
              <w:rPr>
                <w:b/>
                <w:spacing w:val="1"/>
                <w:sz w:val="22"/>
                <w:szCs w:val="22"/>
              </w:rPr>
              <w:t>li</w:t>
            </w:r>
            <w:r>
              <w:rPr>
                <w:b/>
                <w:sz w:val="22"/>
                <w:szCs w:val="22"/>
              </w:rPr>
              <w:t>g</w:t>
            </w:r>
          </w:p>
        </w:tc>
        <w:tc>
          <w:tcPr>
            <w:tcW w:w="97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b/>
                <w:spacing w:val="1"/>
                <w:sz w:val="22"/>
                <w:szCs w:val="22"/>
              </w:rPr>
            </w:pPr>
            <w:r>
              <w:rPr>
                <w:b/>
                <w:spacing w:val="-1"/>
                <w:sz w:val="22"/>
                <w:szCs w:val="22"/>
              </w:rPr>
              <w:t>A</w:t>
            </w:r>
            <w:r>
              <w:rPr>
                <w:b/>
                <w:spacing w:val="1"/>
                <w:sz w:val="22"/>
                <w:szCs w:val="22"/>
              </w:rPr>
              <w:t>lmi</w:t>
            </w:r>
            <w:r>
              <w:rPr>
                <w:b/>
                <w:sz w:val="22"/>
                <w:szCs w:val="22"/>
              </w:rPr>
              <w:t>nde</w:t>
            </w:r>
            <w:r>
              <w:rPr>
                <w:b/>
                <w:spacing w:val="1"/>
                <w:sz w:val="22"/>
                <w:szCs w:val="22"/>
              </w:rPr>
              <w:t>lig</w:t>
            </w:r>
          </w:p>
        </w:tc>
        <w:tc>
          <w:tcPr>
            <w:tcW w:w="975"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b/>
                <w:sz w:val="22"/>
                <w:szCs w:val="22"/>
              </w:rPr>
            </w:pPr>
            <w:r>
              <w:rPr>
                <w:b/>
                <w:spacing w:val="1"/>
                <w:sz w:val="22"/>
                <w:szCs w:val="22"/>
              </w:rPr>
              <w:t>I</w:t>
            </w:r>
            <w:r>
              <w:rPr>
                <w:b/>
                <w:sz w:val="22"/>
                <w:szCs w:val="22"/>
              </w:rPr>
              <w:t>kke</w:t>
            </w:r>
            <w:r>
              <w:rPr>
                <w:b/>
                <w:spacing w:val="1"/>
                <w:sz w:val="22"/>
                <w:szCs w:val="22"/>
              </w:rPr>
              <w:t xml:space="preserve"> </w:t>
            </w:r>
            <w:r>
              <w:rPr>
                <w:b/>
                <w:sz w:val="22"/>
                <w:szCs w:val="22"/>
              </w:rPr>
              <w:t>a</w:t>
            </w:r>
            <w:r>
              <w:rPr>
                <w:b/>
                <w:spacing w:val="1"/>
                <w:sz w:val="22"/>
                <w:szCs w:val="22"/>
              </w:rPr>
              <w:t>lmi</w:t>
            </w:r>
            <w:r>
              <w:rPr>
                <w:b/>
                <w:sz w:val="22"/>
                <w:szCs w:val="22"/>
              </w:rPr>
              <w:t>nde</w:t>
            </w:r>
            <w:r>
              <w:rPr>
                <w:b/>
                <w:spacing w:val="1"/>
                <w:sz w:val="22"/>
                <w:szCs w:val="22"/>
              </w:rPr>
              <w:t>li</w:t>
            </w:r>
            <w:r>
              <w:rPr>
                <w:b/>
                <w:sz w:val="22"/>
                <w:szCs w:val="22"/>
              </w:rPr>
              <w:t>g</w:t>
            </w:r>
          </w:p>
        </w:tc>
        <w:tc>
          <w:tcPr>
            <w:tcW w:w="909"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b/>
                <w:sz w:val="22"/>
                <w:szCs w:val="22"/>
              </w:rPr>
            </w:pPr>
            <w:r>
              <w:rPr>
                <w:b/>
                <w:sz w:val="22"/>
                <w:szCs w:val="22"/>
              </w:rPr>
              <w:t>S</w:t>
            </w:r>
            <w:r>
              <w:rPr>
                <w:b/>
                <w:spacing w:val="1"/>
                <w:sz w:val="22"/>
                <w:szCs w:val="22"/>
              </w:rPr>
              <w:t>j</w:t>
            </w:r>
            <w:r>
              <w:rPr>
                <w:b/>
                <w:spacing w:val="-1"/>
                <w:sz w:val="22"/>
                <w:szCs w:val="22"/>
              </w:rPr>
              <w:t>æ</w:t>
            </w:r>
            <w:r>
              <w:rPr>
                <w:b/>
                <w:spacing w:val="1"/>
                <w:sz w:val="22"/>
                <w:szCs w:val="22"/>
              </w:rPr>
              <w:t>l</w:t>
            </w:r>
            <w:r>
              <w:rPr>
                <w:b/>
                <w:sz w:val="22"/>
                <w:szCs w:val="22"/>
              </w:rPr>
              <w:t>den</w:t>
            </w:r>
          </w:p>
        </w:tc>
        <w:tc>
          <w:tcPr>
            <w:tcW w:w="1021"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b/>
                <w:sz w:val="22"/>
                <w:szCs w:val="22"/>
                <w:vertAlign w:val="superscript"/>
              </w:rPr>
            </w:pPr>
            <w:r>
              <w:rPr>
                <w:b/>
                <w:sz w:val="22"/>
                <w:szCs w:val="22"/>
              </w:rPr>
              <w:t>Ikke kendt</w:t>
            </w:r>
            <w:r>
              <w:rPr>
                <w:b/>
                <w:sz w:val="22"/>
                <w:szCs w:val="22"/>
                <w:vertAlign w:val="superscript"/>
              </w:rPr>
              <w:t>1</w:t>
            </w: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i/>
                <w:sz w:val="22"/>
                <w:szCs w:val="22"/>
              </w:rPr>
              <w:t>Immunsystemet</w:t>
            </w:r>
          </w:p>
        </w:tc>
      </w:tr>
      <w:tr w:rsidR="00973B20" w:rsidTr="00D92323">
        <w:tc>
          <w:tcPr>
            <w:tcW w:w="1126"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Overfølsomheds- reaktioner</w:t>
            </w:r>
            <w:r>
              <w:rPr>
                <w:sz w:val="22"/>
                <w:szCs w:val="22"/>
                <w:vertAlign w:val="superscript"/>
              </w:rPr>
              <w:t>5</w:t>
            </w:r>
          </w:p>
        </w:tc>
        <w:tc>
          <w:tcPr>
            <w:tcW w:w="975"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proofErr w:type="spellStart"/>
            <w:r>
              <w:rPr>
                <w:sz w:val="22"/>
                <w:szCs w:val="22"/>
              </w:rPr>
              <w:t>Angioødem</w:t>
            </w:r>
            <w:proofErr w:type="spellEnd"/>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i/>
                <w:sz w:val="22"/>
                <w:szCs w:val="22"/>
              </w:rPr>
              <w:t>Nervesystemet</w:t>
            </w:r>
          </w:p>
        </w:tc>
      </w:tr>
      <w:tr w:rsidR="00973B20" w:rsidTr="00D92323">
        <w:tc>
          <w:tcPr>
            <w:tcW w:w="1126"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Hovedpine</w:t>
            </w:r>
            <w:r>
              <w:rPr>
                <w:sz w:val="22"/>
                <w:szCs w:val="22"/>
                <w:vertAlign w:val="superscript"/>
              </w:rPr>
              <w:t>6</w:t>
            </w:r>
          </w:p>
        </w:tc>
        <w:tc>
          <w:tcPr>
            <w:tcW w:w="97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Synkope, migræne</w:t>
            </w:r>
            <w:r>
              <w:rPr>
                <w:sz w:val="22"/>
                <w:szCs w:val="22"/>
                <w:vertAlign w:val="superscript"/>
              </w:rPr>
              <w:t>5</w:t>
            </w:r>
          </w:p>
        </w:tc>
        <w:tc>
          <w:tcPr>
            <w:tcW w:w="975"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Kramper</w:t>
            </w:r>
            <w:r>
              <w:rPr>
                <w:sz w:val="22"/>
                <w:szCs w:val="22"/>
                <w:vertAlign w:val="superscript"/>
              </w:rPr>
              <w:t>5</w:t>
            </w:r>
            <w:r>
              <w:rPr>
                <w:sz w:val="22"/>
                <w:szCs w:val="22"/>
              </w:rPr>
              <w:t>, forbigående hukommelsestab</w:t>
            </w:r>
            <w:r>
              <w:rPr>
                <w:sz w:val="22"/>
                <w:szCs w:val="22"/>
                <w:vertAlign w:val="superscript"/>
              </w:rPr>
              <w:t>5</w:t>
            </w: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Apopleksi</w:t>
            </w:r>
            <w:r>
              <w:rPr>
                <w:sz w:val="22"/>
                <w:szCs w:val="22"/>
                <w:vertAlign w:val="superscript"/>
              </w:rPr>
              <w:t>2</w:t>
            </w:r>
            <w:r>
              <w:rPr>
                <w:sz w:val="22"/>
                <w:szCs w:val="22"/>
              </w:rPr>
              <w:t xml:space="preserve"> (inklusive hjerneblødning)</w:t>
            </w: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i/>
                <w:spacing w:val="-1"/>
                <w:sz w:val="22"/>
                <w:szCs w:val="22"/>
              </w:rPr>
              <w:t>Ø</w:t>
            </w:r>
            <w:r>
              <w:rPr>
                <w:i/>
                <w:spacing w:val="1"/>
                <w:sz w:val="22"/>
                <w:szCs w:val="22"/>
              </w:rPr>
              <w:t>j</w:t>
            </w:r>
            <w:r>
              <w:rPr>
                <w:i/>
                <w:sz w:val="22"/>
                <w:szCs w:val="22"/>
              </w:rPr>
              <w:t>ne</w:t>
            </w:r>
          </w:p>
        </w:tc>
      </w:tr>
      <w:tr w:rsidR="00973B20" w:rsidTr="00D92323">
        <w:tc>
          <w:tcPr>
            <w:tcW w:w="1126"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Sløret syn</w:t>
            </w:r>
          </w:p>
        </w:tc>
        <w:tc>
          <w:tcPr>
            <w:tcW w:w="975"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Non-</w:t>
            </w:r>
            <w:proofErr w:type="spellStart"/>
            <w:r>
              <w:rPr>
                <w:sz w:val="22"/>
                <w:szCs w:val="22"/>
              </w:rPr>
              <w:t>arteritis</w:t>
            </w:r>
            <w:proofErr w:type="spellEnd"/>
            <w:r>
              <w:rPr>
                <w:sz w:val="22"/>
                <w:szCs w:val="22"/>
              </w:rPr>
              <w:t xml:space="preserve"> </w:t>
            </w:r>
            <w:proofErr w:type="spellStart"/>
            <w:r>
              <w:rPr>
                <w:sz w:val="22"/>
                <w:szCs w:val="22"/>
              </w:rPr>
              <w:t>anterior</w:t>
            </w:r>
            <w:proofErr w:type="spellEnd"/>
            <w:r>
              <w:rPr>
                <w:sz w:val="22"/>
                <w:szCs w:val="22"/>
              </w:rPr>
              <w:t xml:space="preserve"> iskæmisk </w:t>
            </w:r>
            <w:proofErr w:type="spellStart"/>
            <w:r>
              <w:rPr>
                <w:sz w:val="22"/>
                <w:szCs w:val="22"/>
              </w:rPr>
              <w:t>opticusneuropati</w:t>
            </w:r>
            <w:proofErr w:type="spellEnd"/>
            <w:r>
              <w:rPr>
                <w:sz w:val="22"/>
                <w:szCs w:val="22"/>
              </w:rPr>
              <w:t xml:space="preserve"> (NAION), </w:t>
            </w:r>
            <w:proofErr w:type="spellStart"/>
            <w:r>
              <w:rPr>
                <w:sz w:val="22"/>
                <w:szCs w:val="22"/>
              </w:rPr>
              <w:t>vaskulær</w:t>
            </w:r>
            <w:proofErr w:type="spellEnd"/>
            <w:r>
              <w:rPr>
                <w:sz w:val="22"/>
                <w:szCs w:val="22"/>
              </w:rPr>
              <w:t xml:space="preserve"> </w:t>
            </w:r>
            <w:proofErr w:type="spellStart"/>
            <w:r>
              <w:rPr>
                <w:sz w:val="22"/>
                <w:szCs w:val="22"/>
              </w:rPr>
              <w:t>okklusion</w:t>
            </w:r>
            <w:proofErr w:type="spellEnd"/>
            <w:r>
              <w:rPr>
                <w:sz w:val="22"/>
                <w:szCs w:val="22"/>
              </w:rPr>
              <w:t xml:space="preserve"> i </w:t>
            </w:r>
            <w:proofErr w:type="spellStart"/>
            <w:r>
              <w:rPr>
                <w:sz w:val="22"/>
                <w:szCs w:val="22"/>
              </w:rPr>
              <w:t>retina</w:t>
            </w:r>
            <w:proofErr w:type="spellEnd"/>
            <w:r>
              <w:rPr>
                <w:sz w:val="22"/>
                <w:szCs w:val="22"/>
              </w:rPr>
              <w:t xml:space="preserve">, synsfeltsdefekt, central serøs </w:t>
            </w:r>
            <w:proofErr w:type="spellStart"/>
            <w:r>
              <w:rPr>
                <w:sz w:val="22"/>
                <w:szCs w:val="22"/>
              </w:rPr>
              <w:t>chorioretinopati</w:t>
            </w:r>
            <w:proofErr w:type="spellEnd"/>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i/>
                <w:spacing w:val="-1"/>
                <w:sz w:val="22"/>
                <w:szCs w:val="22"/>
              </w:rPr>
              <w:t>Ø</w:t>
            </w:r>
            <w:r>
              <w:rPr>
                <w:i/>
                <w:spacing w:val="1"/>
                <w:sz w:val="22"/>
                <w:szCs w:val="22"/>
              </w:rPr>
              <w:t>r</w:t>
            </w:r>
            <w:r>
              <w:rPr>
                <w:i/>
                <w:sz w:val="22"/>
                <w:szCs w:val="22"/>
              </w:rPr>
              <w:t>e</w:t>
            </w:r>
            <w:r>
              <w:rPr>
                <w:i/>
                <w:spacing w:val="1"/>
                <w:sz w:val="22"/>
                <w:szCs w:val="22"/>
              </w:rPr>
              <w:t xml:space="preserve"> </w:t>
            </w:r>
            <w:r>
              <w:rPr>
                <w:i/>
                <w:sz w:val="22"/>
                <w:szCs w:val="22"/>
              </w:rPr>
              <w:t xml:space="preserve">og </w:t>
            </w:r>
            <w:r>
              <w:rPr>
                <w:i/>
                <w:spacing w:val="1"/>
                <w:sz w:val="22"/>
                <w:szCs w:val="22"/>
              </w:rPr>
              <w:t>l</w:t>
            </w:r>
            <w:r>
              <w:rPr>
                <w:i/>
                <w:sz w:val="22"/>
                <w:szCs w:val="22"/>
              </w:rPr>
              <w:t>aby</w:t>
            </w:r>
            <w:r>
              <w:rPr>
                <w:i/>
                <w:spacing w:val="1"/>
                <w:sz w:val="22"/>
                <w:szCs w:val="22"/>
              </w:rPr>
              <w:t>ri</w:t>
            </w:r>
            <w:r>
              <w:rPr>
                <w:i/>
                <w:sz w:val="22"/>
                <w:szCs w:val="22"/>
              </w:rPr>
              <w:t>nt</w:t>
            </w:r>
          </w:p>
        </w:tc>
      </w:tr>
      <w:tr w:rsidR="00973B20" w:rsidTr="00D92323">
        <w:tc>
          <w:tcPr>
            <w:tcW w:w="1126"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7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75"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Tinnitus</w:t>
            </w: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Pludseligt høretab</w:t>
            </w: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i/>
                <w:spacing w:val="-1"/>
                <w:sz w:val="22"/>
                <w:szCs w:val="22"/>
              </w:rPr>
              <w:t>H</w:t>
            </w:r>
            <w:r>
              <w:rPr>
                <w:i/>
                <w:spacing w:val="1"/>
                <w:sz w:val="22"/>
                <w:szCs w:val="22"/>
              </w:rPr>
              <w:t>j</w:t>
            </w:r>
            <w:r>
              <w:rPr>
                <w:i/>
                <w:sz w:val="22"/>
                <w:szCs w:val="22"/>
              </w:rPr>
              <w:t>er</w:t>
            </w:r>
            <w:r>
              <w:rPr>
                <w:i/>
                <w:spacing w:val="1"/>
                <w:sz w:val="22"/>
                <w:szCs w:val="22"/>
              </w:rPr>
              <w:t>t</w:t>
            </w:r>
            <w:r>
              <w:rPr>
                <w:i/>
                <w:sz w:val="22"/>
                <w:szCs w:val="22"/>
              </w:rPr>
              <w:t>e</w:t>
            </w:r>
          </w:p>
        </w:tc>
      </w:tr>
      <w:tr w:rsidR="00973B20" w:rsidTr="00D92323">
        <w:tc>
          <w:tcPr>
            <w:tcW w:w="1126"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Palpitationer</w:t>
            </w:r>
            <w:r>
              <w:rPr>
                <w:sz w:val="22"/>
                <w:szCs w:val="22"/>
                <w:vertAlign w:val="superscript"/>
              </w:rPr>
              <w:t>2,5</w:t>
            </w:r>
          </w:p>
        </w:tc>
        <w:tc>
          <w:tcPr>
            <w:tcW w:w="975"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Pludselig hjertedød</w:t>
            </w:r>
            <w:r>
              <w:rPr>
                <w:sz w:val="22"/>
                <w:szCs w:val="22"/>
                <w:vertAlign w:val="superscript"/>
              </w:rPr>
              <w:t>2,5</w:t>
            </w:r>
            <w:r>
              <w:rPr>
                <w:sz w:val="22"/>
                <w:szCs w:val="22"/>
              </w:rPr>
              <w:t>, takykardi</w:t>
            </w:r>
            <w:r>
              <w:rPr>
                <w:sz w:val="22"/>
                <w:szCs w:val="22"/>
                <w:vertAlign w:val="superscript"/>
              </w:rPr>
              <w:t>2,5</w:t>
            </w: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 xml:space="preserve">Ustabil angina pectoris, </w:t>
            </w:r>
            <w:proofErr w:type="spellStart"/>
            <w:r>
              <w:rPr>
                <w:sz w:val="22"/>
                <w:szCs w:val="22"/>
              </w:rPr>
              <w:t>ventrikulær</w:t>
            </w:r>
            <w:proofErr w:type="spellEnd"/>
            <w:r>
              <w:rPr>
                <w:sz w:val="22"/>
                <w:szCs w:val="22"/>
              </w:rPr>
              <w:t xml:space="preserve"> </w:t>
            </w:r>
            <w:proofErr w:type="spellStart"/>
            <w:r>
              <w:rPr>
                <w:sz w:val="22"/>
                <w:szCs w:val="22"/>
              </w:rPr>
              <w:t>arytmi</w:t>
            </w:r>
            <w:proofErr w:type="spellEnd"/>
            <w:r>
              <w:rPr>
                <w:sz w:val="22"/>
                <w:szCs w:val="22"/>
              </w:rPr>
              <w:t>, myokardie-infarkt</w:t>
            </w:r>
            <w:r>
              <w:rPr>
                <w:sz w:val="22"/>
                <w:szCs w:val="22"/>
                <w:vertAlign w:val="superscript"/>
              </w:rPr>
              <w:t>2</w:t>
            </w: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proofErr w:type="spellStart"/>
            <w:r>
              <w:rPr>
                <w:i/>
                <w:spacing w:val="-1"/>
                <w:sz w:val="22"/>
                <w:szCs w:val="22"/>
              </w:rPr>
              <w:t>V</w:t>
            </w:r>
            <w:r>
              <w:rPr>
                <w:i/>
                <w:sz w:val="22"/>
                <w:szCs w:val="22"/>
              </w:rPr>
              <w:t>asku</w:t>
            </w:r>
            <w:r>
              <w:rPr>
                <w:i/>
                <w:spacing w:val="1"/>
                <w:sz w:val="22"/>
                <w:szCs w:val="22"/>
              </w:rPr>
              <w:t>l</w:t>
            </w:r>
            <w:r>
              <w:rPr>
                <w:i/>
                <w:spacing w:val="-1"/>
                <w:sz w:val="22"/>
                <w:szCs w:val="22"/>
              </w:rPr>
              <w:t>æ</w:t>
            </w:r>
            <w:r>
              <w:rPr>
                <w:i/>
                <w:sz w:val="22"/>
                <w:szCs w:val="22"/>
              </w:rPr>
              <w:t>re</w:t>
            </w:r>
            <w:proofErr w:type="spellEnd"/>
            <w:r>
              <w:rPr>
                <w:i/>
                <w:spacing w:val="1"/>
                <w:sz w:val="22"/>
                <w:szCs w:val="22"/>
              </w:rPr>
              <w:t xml:space="preserve"> </w:t>
            </w:r>
            <w:r>
              <w:rPr>
                <w:i/>
                <w:sz w:val="22"/>
                <w:szCs w:val="22"/>
              </w:rPr>
              <w:t>sygdo</w:t>
            </w:r>
            <w:r>
              <w:rPr>
                <w:i/>
                <w:spacing w:val="-1"/>
                <w:sz w:val="22"/>
                <w:szCs w:val="22"/>
              </w:rPr>
              <w:t>mm</w:t>
            </w:r>
            <w:r>
              <w:rPr>
                <w:i/>
                <w:sz w:val="22"/>
                <w:szCs w:val="22"/>
              </w:rPr>
              <w:t>e</w:t>
            </w:r>
          </w:p>
        </w:tc>
      </w:tr>
      <w:tr w:rsidR="00973B20" w:rsidTr="00D92323">
        <w:tc>
          <w:tcPr>
            <w:tcW w:w="1126"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Rødme</w:t>
            </w:r>
          </w:p>
        </w:tc>
        <w:tc>
          <w:tcPr>
            <w:tcW w:w="97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Hypotension</w:t>
            </w:r>
          </w:p>
        </w:tc>
        <w:tc>
          <w:tcPr>
            <w:tcW w:w="975"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Hypertension</w:t>
            </w: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i/>
                <w:sz w:val="22"/>
                <w:szCs w:val="22"/>
              </w:rPr>
              <w:t>Lu</w:t>
            </w:r>
            <w:r>
              <w:rPr>
                <w:i/>
                <w:spacing w:val="1"/>
                <w:sz w:val="22"/>
                <w:szCs w:val="22"/>
              </w:rPr>
              <w:t>ft</w:t>
            </w:r>
            <w:r>
              <w:rPr>
                <w:i/>
                <w:sz w:val="22"/>
                <w:szCs w:val="22"/>
              </w:rPr>
              <w:t>ve</w:t>
            </w:r>
            <w:r>
              <w:rPr>
                <w:i/>
                <w:spacing w:val="1"/>
                <w:sz w:val="22"/>
                <w:szCs w:val="22"/>
              </w:rPr>
              <w:t>j</w:t>
            </w:r>
            <w:r>
              <w:rPr>
                <w:i/>
                <w:sz w:val="22"/>
                <w:szCs w:val="22"/>
              </w:rPr>
              <w:t xml:space="preserve">e, </w:t>
            </w:r>
            <w:r>
              <w:rPr>
                <w:i/>
                <w:spacing w:val="1"/>
                <w:sz w:val="22"/>
                <w:szCs w:val="22"/>
              </w:rPr>
              <w:t>t</w:t>
            </w:r>
            <w:r>
              <w:rPr>
                <w:i/>
                <w:sz w:val="22"/>
                <w:szCs w:val="22"/>
              </w:rPr>
              <w:t>ho</w:t>
            </w:r>
            <w:r>
              <w:rPr>
                <w:i/>
                <w:spacing w:val="1"/>
                <w:sz w:val="22"/>
                <w:szCs w:val="22"/>
              </w:rPr>
              <w:t>r</w:t>
            </w:r>
            <w:r>
              <w:rPr>
                <w:i/>
                <w:sz w:val="22"/>
                <w:szCs w:val="22"/>
              </w:rPr>
              <w:t>ax</w:t>
            </w:r>
            <w:r>
              <w:rPr>
                <w:i/>
                <w:spacing w:val="1"/>
                <w:sz w:val="22"/>
                <w:szCs w:val="22"/>
              </w:rPr>
              <w:t xml:space="preserve"> </w:t>
            </w:r>
            <w:r>
              <w:rPr>
                <w:i/>
                <w:sz w:val="22"/>
                <w:szCs w:val="22"/>
              </w:rPr>
              <w:t xml:space="preserve">og </w:t>
            </w:r>
            <w:proofErr w:type="spellStart"/>
            <w:r>
              <w:rPr>
                <w:i/>
                <w:spacing w:val="-1"/>
                <w:sz w:val="22"/>
                <w:szCs w:val="22"/>
              </w:rPr>
              <w:t>m</w:t>
            </w:r>
            <w:r>
              <w:rPr>
                <w:i/>
                <w:sz w:val="22"/>
                <w:szCs w:val="22"/>
              </w:rPr>
              <w:t>ed</w:t>
            </w:r>
            <w:r>
              <w:rPr>
                <w:i/>
                <w:spacing w:val="1"/>
                <w:sz w:val="22"/>
                <w:szCs w:val="22"/>
              </w:rPr>
              <w:t>i</w:t>
            </w:r>
            <w:r>
              <w:rPr>
                <w:i/>
                <w:sz w:val="22"/>
                <w:szCs w:val="22"/>
              </w:rPr>
              <w:t>a</w:t>
            </w:r>
            <w:r>
              <w:rPr>
                <w:i/>
                <w:spacing w:val="1"/>
                <w:sz w:val="22"/>
                <w:szCs w:val="22"/>
              </w:rPr>
              <w:t>sti</w:t>
            </w:r>
            <w:r>
              <w:rPr>
                <w:i/>
                <w:sz w:val="22"/>
                <w:szCs w:val="22"/>
              </w:rPr>
              <w:t>num</w:t>
            </w:r>
            <w:proofErr w:type="spellEnd"/>
          </w:p>
        </w:tc>
      </w:tr>
      <w:tr w:rsidR="00973B20" w:rsidTr="00D92323">
        <w:tc>
          <w:tcPr>
            <w:tcW w:w="1126"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proofErr w:type="spellStart"/>
            <w:r>
              <w:rPr>
                <w:sz w:val="22"/>
                <w:szCs w:val="22"/>
              </w:rPr>
              <w:t>Nasofaryngitis</w:t>
            </w:r>
            <w:proofErr w:type="spellEnd"/>
            <w:r>
              <w:rPr>
                <w:sz w:val="22"/>
                <w:szCs w:val="22"/>
              </w:rPr>
              <w:t xml:space="preserve"> (inklusive tilstopning </w:t>
            </w:r>
            <w:r>
              <w:rPr>
                <w:sz w:val="22"/>
                <w:szCs w:val="22"/>
              </w:rPr>
              <w:lastRenderedPageBreak/>
              <w:t xml:space="preserve">af næsen, tilstopning af sinus og </w:t>
            </w:r>
            <w:proofErr w:type="spellStart"/>
            <w:r>
              <w:rPr>
                <w:sz w:val="22"/>
                <w:szCs w:val="22"/>
              </w:rPr>
              <w:t>rhinitis</w:t>
            </w:r>
            <w:proofErr w:type="spellEnd"/>
            <w:r>
              <w:rPr>
                <w:sz w:val="22"/>
                <w:szCs w:val="22"/>
              </w:rPr>
              <w:t>)</w:t>
            </w:r>
          </w:p>
        </w:tc>
        <w:tc>
          <w:tcPr>
            <w:tcW w:w="97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proofErr w:type="spellStart"/>
            <w:r>
              <w:rPr>
                <w:sz w:val="22"/>
                <w:szCs w:val="22"/>
              </w:rPr>
              <w:lastRenderedPageBreak/>
              <w:t>Epistaxis</w:t>
            </w:r>
            <w:proofErr w:type="spellEnd"/>
          </w:p>
        </w:tc>
        <w:tc>
          <w:tcPr>
            <w:tcW w:w="975"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i/>
                <w:spacing w:val="1"/>
                <w:sz w:val="22"/>
                <w:szCs w:val="22"/>
              </w:rPr>
              <w:t>M</w:t>
            </w:r>
            <w:r>
              <w:rPr>
                <w:i/>
                <w:sz w:val="22"/>
                <w:szCs w:val="22"/>
              </w:rPr>
              <w:t>ave</w:t>
            </w:r>
            <w:r>
              <w:rPr>
                <w:i/>
                <w:spacing w:val="1"/>
                <w:sz w:val="22"/>
                <w:szCs w:val="22"/>
              </w:rPr>
              <w:t>-t</w:t>
            </w:r>
            <w:r>
              <w:rPr>
                <w:i/>
                <w:sz w:val="22"/>
                <w:szCs w:val="22"/>
              </w:rPr>
              <w:t>a</w:t>
            </w:r>
            <w:r>
              <w:rPr>
                <w:i/>
                <w:spacing w:val="1"/>
                <w:sz w:val="22"/>
                <w:szCs w:val="22"/>
              </w:rPr>
              <w:t>r</w:t>
            </w:r>
            <w:r>
              <w:rPr>
                <w:i/>
                <w:spacing w:val="-1"/>
                <w:sz w:val="22"/>
                <w:szCs w:val="22"/>
              </w:rPr>
              <w:t>m-</w:t>
            </w:r>
            <w:r>
              <w:rPr>
                <w:i/>
                <w:sz w:val="22"/>
                <w:szCs w:val="22"/>
              </w:rPr>
              <w:t>kana</w:t>
            </w:r>
            <w:r>
              <w:rPr>
                <w:i/>
                <w:spacing w:val="1"/>
                <w:sz w:val="22"/>
                <w:szCs w:val="22"/>
              </w:rPr>
              <w:t>l</w:t>
            </w:r>
            <w:r>
              <w:rPr>
                <w:i/>
                <w:sz w:val="22"/>
                <w:szCs w:val="22"/>
              </w:rPr>
              <w:t>en</w:t>
            </w:r>
          </w:p>
        </w:tc>
      </w:tr>
      <w:tr w:rsidR="00973B20" w:rsidTr="00D92323">
        <w:tc>
          <w:tcPr>
            <w:tcW w:w="1126"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Kvalme, dyspepsi (inklusive mavesmerter/ubehag</w:t>
            </w:r>
            <w:r>
              <w:rPr>
                <w:sz w:val="22"/>
                <w:szCs w:val="22"/>
                <w:vertAlign w:val="superscript"/>
              </w:rPr>
              <w:t>3</w:t>
            </w:r>
            <w:r>
              <w:rPr>
                <w:sz w:val="22"/>
                <w:szCs w:val="22"/>
              </w:rPr>
              <w:t>)</w:t>
            </w:r>
          </w:p>
        </w:tc>
        <w:tc>
          <w:tcPr>
            <w:tcW w:w="97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 xml:space="preserve">Opkastninger, </w:t>
            </w:r>
            <w:proofErr w:type="spellStart"/>
            <w:r>
              <w:rPr>
                <w:sz w:val="22"/>
                <w:szCs w:val="22"/>
              </w:rPr>
              <w:t>gastroøsofageal</w:t>
            </w:r>
            <w:proofErr w:type="spellEnd"/>
            <w:r>
              <w:rPr>
                <w:sz w:val="22"/>
                <w:szCs w:val="22"/>
              </w:rPr>
              <w:t xml:space="preserve"> </w:t>
            </w:r>
            <w:proofErr w:type="spellStart"/>
            <w:r>
              <w:rPr>
                <w:sz w:val="22"/>
                <w:szCs w:val="22"/>
              </w:rPr>
              <w:t>reflukssygdom</w:t>
            </w:r>
            <w:proofErr w:type="spellEnd"/>
          </w:p>
        </w:tc>
        <w:tc>
          <w:tcPr>
            <w:tcW w:w="975"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i/>
                <w:spacing w:val="-1"/>
                <w:sz w:val="22"/>
                <w:szCs w:val="22"/>
              </w:rPr>
              <w:t>H</w:t>
            </w:r>
            <w:r>
              <w:rPr>
                <w:i/>
                <w:sz w:val="22"/>
                <w:szCs w:val="22"/>
              </w:rPr>
              <w:t xml:space="preserve">ud og </w:t>
            </w:r>
            <w:r>
              <w:rPr>
                <w:i/>
                <w:spacing w:val="1"/>
                <w:sz w:val="22"/>
                <w:szCs w:val="22"/>
              </w:rPr>
              <w:t>s</w:t>
            </w:r>
            <w:r>
              <w:rPr>
                <w:i/>
                <w:sz w:val="22"/>
                <w:szCs w:val="22"/>
              </w:rPr>
              <w:t>ubku</w:t>
            </w:r>
            <w:r>
              <w:rPr>
                <w:i/>
                <w:spacing w:val="1"/>
                <w:sz w:val="22"/>
                <w:szCs w:val="22"/>
              </w:rPr>
              <w:t>t</w:t>
            </w:r>
            <w:r>
              <w:rPr>
                <w:i/>
                <w:sz w:val="22"/>
                <w:szCs w:val="22"/>
              </w:rPr>
              <w:t>ane</w:t>
            </w:r>
            <w:r>
              <w:rPr>
                <w:i/>
                <w:spacing w:val="1"/>
                <w:sz w:val="22"/>
                <w:szCs w:val="22"/>
              </w:rPr>
              <w:t xml:space="preserve"> </w:t>
            </w:r>
            <w:r>
              <w:rPr>
                <w:i/>
                <w:sz w:val="22"/>
                <w:szCs w:val="22"/>
              </w:rPr>
              <w:t>v</w:t>
            </w:r>
            <w:r>
              <w:rPr>
                <w:i/>
                <w:spacing w:val="-1"/>
                <w:sz w:val="22"/>
                <w:szCs w:val="22"/>
              </w:rPr>
              <w:t>æ</w:t>
            </w:r>
            <w:r>
              <w:rPr>
                <w:i/>
                <w:sz w:val="22"/>
                <w:szCs w:val="22"/>
              </w:rPr>
              <w:t>v</w:t>
            </w:r>
          </w:p>
        </w:tc>
      </w:tr>
      <w:tr w:rsidR="00973B20" w:rsidRPr="00F87204" w:rsidTr="00D92323">
        <w:tc>
          <w:tcPr>
            <w:tcW w:w="1126"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973B20" w:rsidRDefault="00973B20" w:rsidP="00D92323">
            <w:pPr>
              <w:keepNext/>
              <w:rPr>
                <w:sz w:val="22"/>
                <w:szCs w:val="22"/>
              </w:rPr>
            </w:pPr>
            <w:r>
              <w:rPr>
                <w:sz w:val="22"/>
                <w:szCs w:val="22"/>
              </w:rPr>
              <w:t>Udslæt</w:t>
            </w:r>
          </w:p>
        </w:tc>
        <w:tc>
          <w:tcPr>
            <w:tcW w:w="975"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Urticaria</w:t>
            </w:r>
            <w:r>
              <w:rPr>
                <w:sz w:val="22"/>
                <w:szCs w:val="22"/>
                <w:vertAlign w:val="superscript"/>
              </w:rPr>
              <w:t>5</w:t>
            </w:r>
            <w:r>
              <w:rPr>
                <w:sz w:val="22"/>
                <w:szCs w:val="22"/>
              </w:rPr>
              <w:t xml:space="preserve">, </w:t>
            </w:r>
            <w:proofErr w:type="spellStart"/>
            <w:r>
              <w:rPr>
                <w:sz w:val="22"/>
                <w:szCs w:val="22"/>
              </w:rPr>
              <w:t>hyperhidrose</w:t>
            </w:r>
            <w:proofErr w:type="spellEnd"/>
            <w:r>
              <w:rPr>
                <w:sz w:val="22"/>
                <w:szCs w:val="22"/>
              </w:rPr>
              <w:t xml:space="preserve"> (svedsekretion)</w:t>
            </w:r>
            <w:r>
              <w:rPr>
                <w:sz w:val="22"/>
                <w:szCs w:val="22"/>
                <w:vertAlign w:val="superscript"/>
              </w:rPr>
              <w:t>5</w:t>
            </w: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keepNext/>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973B20" w:rsidRPr="00F87204" w:rsidRDefault="00973B20" w:rsidP="00D92323">
            <w:pPr>
              <w:rPr>
                <w:sz w:val="22"/>
                <w:szCs w:val="22"/>
                <w:lang w:val="sv-SE"/>
              </w:rPr>
            </w:pPr>
            <w:r w:rsidRPr="00F87204">
              <w:rPr>
                <w:sz w:val="22"/>
                <w:szCs w:val="22"/>
                <w:lang w:val="sv-SE"/>
              </w:rPr>
              <w:t xml:space="preserve">Stevens-Johnsons syndrom, </w:t>
            </w:r>
            <w:proofErr w:type="spellStart"/>
            <w:r w:rsidRPr="00F87204">
              <w:rPr>
                <w:sz w:val="22"/>
                <w:szCs w:val="22"/>
                <w:lang w:val="sv-SE"/>
              </w:rPr>
              <w:t>eksfoliativ</w:t>
            </w:r>
            <w:proofErr w:type="spellEnd"/>
            <w:r w:rsidRPr="00F87204">
              <w:rPr>
                <w:sz w:val="22"/>
                <w:szCs w:val="22"/>
                <w:lang w:val="sv-SE"/>
              </w:rPr>
              <w:t xml:space="preserve"> </w:t>
            </w:r>
            <w:proofErr w:type="spellStart"/>
            <w:r w:rsidRPr="00F87204">
              <w:rPr>
                <w:sz w:val="22"/>
                <w:szCs w:val="22"/>
                <w:lang w:val="sv-SE"/>
              </w:rPr>
              <w:t>dermatitis</w:t>
            </w:r>
            <w:proofErr w:type="spellEnd"/>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keepNext/>
              <w:rPr>
                <w:sz w:val="22"/>
                <w:szCs w:val="22"/>
              </w:rPr>
            </w:pPr>
            <w:r>
              <w:rPr>
                <w:i/>
                <w:spacing w:val="-1"/>
                <w:sz w:val="22"/>
                <w:szCs w:val="22"/>
              </w:rPr>
              <w:t>K</w:t>
            </w:r>
            <w:r>
              <w:rPr>
                <w:i/>
                <w:sz w:val="22"/>
                <w:szCs w:val="22"/>
              </w:rPr>
              <w:t>nog</w:t>
            </w:r>
            <w:r>
              <w:rPr>
                <w:i/>
                <w:spacing w:val="1"/>
                <w:sz w:val="22"/>
                <w:szCs w:val="22"/>
              </w:rPr>
              <w:t>l</w:t>
            </w:r>
            <w:r>
              <w:rPr>
                <w:i/>
                <w:sz w:val="22"/>
                <w:szCs w:val="22"/>
              </w:rPr>
              <w:t>e</w:t>
            </w:r>
            <w:r>
              <w:rPr>
                <w:i/>
                <w:spacing w:val="1"/>
                <w:sz w:val="22"/>
                <w:szCs w:val="22"/>
              </w:rPr>
              <w:t>r</w:t>
            </w:r>
            <w:r>
              <w:rPr>
                <w:i/>
                <w:sz w:val="22"/>
                <w:szCs w:val="22"/>
              </w:rPr>
              <w:t xml:space="preserve">, </w:t>
            </w:r>
            <w:r>
              <w:rPr>
                <w:i/>
                <w:spacing w:val="1"/>
                <w:sz w:val="22"/>
                <w:szCs w:val="22"/>
              </w:rPr>
              <w:t>l</w:t>
            </w:r>
            <w:r>
              <w:rPr>
                <w:i/>
                <w:sz w:val="22"/>
                <w:szCs w:val="22"/>
              </w:rPr>
              <w:t>e</w:t>
            </w:r>
            <w:r>
              <w:rPr>
                <w:i/>
                <w:spacing w:val="1"/>
                <w:sz w:val="22"/>
                <w:szCs w:val="22"/>
              </w:rPr>
              <w:t>t</w:t>
            </w:r>
            <w:r>
              <w:rPr>
                <w:i/>
                <w:sz w:val="22"/>
                <w:szCs w:val="22"/>
              </w:rPr>
              <w:t xml:space="preserve">, </w:t>
            </w:r>
            <w:r>
              <w:rPr>
                <w:i/>
                <w:spacing w:val="-1"/>
                <w:sz w:val="22"/>
                <w:szCs w:val="22"/>
              </w:rPr>
              <w:t>m</w:t>
            </w:r>
            <w:r>
              <w:rPr>
                <w:i/>
                <w:sz w:val="22"/>
                <w:szCs w:val="22"/>
              </w:rPr>
              <w:t>u</w:t>
            </w:r>
            <w:r>
              <w:rPr>
                <w:i/>
                <w:spacing w:val="1"/>
                <w:sz w:val="22"/>
                <w:szCs w:val="22"/>
              </w:rPr>
              <w:t>s</w:t>
            </w:r>
            <w:r>
              <w:rPr>
                <w:i/>
                <w:sz w:val="22"/>
                <w:szCs w:val="22"/>
              </w:rPr>
              <w:t>k</w:t>
            </w:r>
            <w:r>
              <w:rPr>
                <w:i/>
                <w:spacing w:val="1"/>
                <w:sz w:val="22"/>
                <w:szCs w:val="22"/>
              </w:rPr>
              <w:t>l</w:t>
            </w:r>
            <w:r>
              <w:rPr>
                <w:i/>
                <w:sz w:val="22"/>
                <w:szCs w:val="22"/>
              </w:rPr>
              <w:t>er</w:t>
            </w:r>
            <w:r>
              <w:rPr>
                <w:i/>
                <w:spacing w:val="1"/>
                <w:sz w:val="22"/>
                <w:szCs w:val="22"/>
              </w:rPr>
              <w:t xml:space="preserve"> </w:t>
            </w:r>
            <w:r>
              <w:rPr>
                <w:i/>
                <w:sz w:val="22"/>
                <w:szCs w:val="22"/>
              </w:rPr>
              <w:t>og b</w:t>
            </w:r>
            <w:r>
              <w:rPr>
                <w:i/>
                <w:spacing w:val="1"/>
                <w:sz w:val="22"/>
                <w:szCs w:val="22"/>
              </w:rPr>
              <w:t>i</w:t>
            </w:r>
            <w:r>
              <w:rPr>
                <w:i/>
                <w:sz w:val="22"/>
                <w:szCs w:val="22"/>
              </w:rPr>
              <w:t>ndev</w:t>
            </w:r>
            <w:r>
              <w:rPr>
                <w:i/>
                <w:spacing w:val="-1"/>
                <w:sz w:val="22"/>
                <w:szCs w:val="22"/>
              </w:rPr>
              <w:t>æ</w:t>
            </w:r>
            <w:r>
              <w:rPr>
                <w:i/>
                <w:sz w:val="22"/>
                <w:szCs w:val="22"/>
              </w:rPr>
              <w:t>v</w:t>
            </w:r>
          </w:p>
        </w:tc>
      </w:tr>
      <w:tr w:rsidR="00973B20" w:rsidTr="00D92323">
        <w:tc>
          <w:tcPr>
            <w:tcW w:w="1126" w:type="pct"/>
            <w:tcBorders>
              <w:top w:val="single" w:sz="4" w:space="0" w:color="auto"/>
              <w:left w:val="single" w:sz="4" w:space="0" w:color="auto"/>
              <w:bottom w:val="single" w:sz="4" w:space="0" w:color="auto"/>
              <w:right w:val="single" w:sz="4" w:space="0" w:color="auto"/>
            </w:tcBorders>
            <w:hideMark/>
          </w:tcPr>
          <w:p w:rsidR="00973B20" w:rsidRDefault="00973B20" w:rsidP="00D92323">
            <w:pPr>
              <w:keepNext/>
              <w:rPr>
                <w:i/>
                <w:spacing w:val="-1"/>
                <w:sz w:val="22"/>
                <w:szCs w:val="22"/>
              </w:rPr>
            </w:pPr>
            <w:r>
              <w:rPr>
                <w:spacing w:val="-1"/>
                <w:sz w:val="22"/>
                <w:szCs w:val="22"/>
              </w:rPr>
              <w:t>Myalgi, rygsmerter, ekstremitets-smerter (inklusive ubehag i benene)</w:t>
            </w:r>
          </w:p>
        </w:tc>
        <w:tc>
          <w:tcPr>
            <w:tcW w:w="97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75"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i/>
                <w:spacing w:val="-1"/>
                <w:sz w:val="22"/>
                <w:szCs w:val="22"/>
              </w:rPr>
              <w:t>N</w:t>
            </w:r>
            <w:r>
              <w:rPr>
                <w:i/>
                <w:sz w:val="22"/>
                <w:szCs w:val="22"/>
              </w:rPr>
              <w:t>yrer</w:t>
            </w:r>
            <w:r>
              <w:rPr>
                <w:i/>
                <w:spacing w:val="1"/>
                <w:sz w:val="22"/>
                <w:szCs w:val="22"/>
              </w:rPr>
              <w:t xml:space="preserve"> </w:t>
            </w:r>
            <w:r>
              <w:rPr>
                <w:i/>
                <w:sz w:val="22"/>
                <w:szCs w:val="22"/>
              </w:rPr>
              <w:t>og ur</w:t>
            </w:r>
            <w:r>
              <w:rPr>
                <w:i/>
                <w:spacing w:val="1"/>
                <w:sz w:val="22"/>
                <w:szCs w:val="22"/>
              </w:rPr>
              <w:t>i</w:t>
            </w:r>
            <w:r>
              <w:rPr>
                <w:i/>
                <w:sz w:val="22"/>
                <w:szCs w:val="22"/>
              </w:rPr>
              <w:t>nve</w:t>
            </w:r>
            <w:r>
              <w:rPr>
                <w:i/>
                <w:spacing w:val="1"/>
                <w:sz w:val="22"/>
                <w:szCs w:val="22"/>
              </w:rPr>
              <w:t>j</w:t>
            </w:r>
            <w:r>
              <w:rPr>
                <w:i/>
                <w:sz w:val="22"/>
                <w:szCs w:val="22"/>
              </w:rPr>
              <w:t>e</w:t>
            </w:r>
          </w:p>
        </w:tc>
      </w:tr>
      <w:tr w:rsidR="00973B20" w:rsidTr="00D92323">
        <w:tc>
          <w:tcPr>
            <w:tcW w:w="1126" w:type="pct"/>
            <w:tcBorders>
              <w:top w:val="single" w:sz="4" w:space="0" w:color="auto"/>
              <w:left w:val="single" w:sz="4" w:space="0" w:color="auto"/>
              <w:bottom w:val="single" w:sz="4" w:space="0" w:color="auto"/>
              <w:right w:val="single" w:sz="4" w:space="0" w:color="auto"/>
            </w:tcBorders>
          </w:tcPr>
          <w:p w:rsidR="00973B20" w:rsidRDefault="00973B20" w:rsidP="00D92323">
            <w:pPr>
              <w:rPr>
                <w:i/>
                <w:spacing w:val="-1"/>
                <w:sz w:val="22"/>
                <w:szCs w:val="22"/>
              </w:rPr>
            </w:pPr>
          </w:p>
        </w:tc>
        <w:tc>
          <w:tcPr>
            <w:tcW w:w="970"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75"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Hæmaturi</w:t>
            </w: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i/>
                <w:spacing w:val="-1"/>
                <w:sz w:val="22"/>
                <w:szCs w:val="22"/>
              </w:rPr>
              <w:t>Det reproduktive system og mammae</w:t>
            </w:r>
          </w:p>
        </w:tc>
      </w:tr>
      <w:tr w:rsidR="00973B20" w:rsidTr="00D92323">
        <w:tc>
          <w:tcPr>
            <w:tcW w:w="1126" w:type="pct"/>
            <w:tcBorders>
              <w:top w:val="single" w:sz="4" w:space="0" w:color="auto"/>
              <w:left w:val="single" w:sz="4" w:space="0" w:color="auto"/>
              <w:bottom w:val="single" w:sz="4" w:space="0" w:color="auto"/>
              <w:right w:val="single" w:sz="4" w:space="0" w:color="auto"/>
            </w:tcBorders>
          </w:tcPr>
          <w:p w:rsidR="00973B20" w:rsidRDefault="00973B20" w:rsidP="00D92323">
            <w:pPr>
              <w:rPr>
                <w:i/>
                <w:spacing w:val="-1"/>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 xml:space="preserve">Øget </w:t>
            </w:r>
            <w:proofErr w:type="spellStart"/>
            <w:r>
              <w:rPr>
                <w:sz w:val="22"/>
                <w:szCs w:val="22"/>
              </w:rPr>
              <w:t>uterin</w:t>
            </w:r>
            <w:proofErr w:type="spellEnd"/>
            <w:r>
              <w:rPr>
                <w:sz w:val="22"/>
                <w:szCs w:val="22"/>
              </w:rPr>
              <w:t xml:space="preserve"> blødning</w:t>
            </w:r>
            <w:r>
              <w:rPr>
                <w:sz w:val="22"/>
                <w:szCs w:val="22"/>
                <w:vertAlign w:val="superscript"/>
              </w:rPr>
              <w:t>4</w:t>
            </w:r>
          </w:p>
        </w:tc>
        <w:tc>
          <w:tcPr>
            <w:tcW w:w="975"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Priapisme</w:t>
            </w:r>
            <w:r>
              <w:rPr>
                <w:sz w:val="22"/>
                <w:szCs w:val="22"/>
                <w:vertAlign w:val="superscript"/>
              </w:rPr>
              <w:t>5</w:t>
            </w:r>
            <w:r>
              <w:rPr>
                <w:sz w:val="22"/>
                <w:szCs w:val="22"/>
              </w:rPr>
              <w:t xml:space="preserve">, blødning fra penis, </w:t>
            </w:r>
            <w:proofErr w:type="spellStart"/>
            <w:r>
              <w:rPr>
                <w:sz w:val="22"/>
                <w:szCs w:val="22"/>
              </w:rPr>
              <w:t>hæmospermi</w:t>
            </w:r>
            <w:proofErr w:type="spellEnd"/>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Forlænget erektion</w:t>
            </w:r>
          </w:p>
        </w:tc>
      </w:tr>
      <w:tr w:rsidR="00973B20" w:rsidTr="00D92323">
        <w:tc>
          <w:tcPr>
            <w:tcW w:w="5000" w:type="pct"/>
            <w:gridSpan w:val="5"/>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i/>
                <w:spacing w:val="-1"/>
                <w:sz w:val="22"/>
                <w:szCs w:val="22"/>
              </w:rPr>
              <w:t>A</w:t>
            </w:r>
            <w:r>
              <w:rPr>
                <w:i/>
                <w:spacing w:val="1"/>
                <w:sz w:val="22"/>
                <w:szCs w:val="22"/>
              </w:rPr>
              <w:t>l</w:t>
            </w:r>
            <w:r>
              <w:rPr>
                <w:i/>
                <w:spacing w:val="-1"/>
                <w:sz w:val="22"/>
                <w:szCs w:val="22"/>
              </w:rPr>
              <w:t>m</w:t>
            </w:r>
            <w:r>
              <w:rPr>
                <w:i/>
                <w:sz w:val="22"/>
                <w:szCs w:val="22"/>
              </w:rPr>
              <w:t>ene</w:t>
            </w:r>
            <w:r>
              <w:rPr>
                <w:i/>
                <w:spacing w:val="1"/>
                <w:sz w:val="22"/>
                <w:szCs w:val="22"/>
              </w:rPr>
              <w:t xml:space="preserve"> s</w:t>
            </w:r>
            <w:r>
              <w:rPr>
                <w:i/>
                <w:sz w:val="22"/>
                <w:szCs w:val="22"/>
              </w:rPr>
              <w:t>y</w:t>
            </w:r>
            <w:r>
              <w:rPr>
                <w:i/>
                <w:spacing w:val="-1"/>
                <w:sz w:val="22"/>
                <w:szCs w:val="22"/>
              </w:rPr>
              <w:t>m</w:t>
            </w:r>
            <w:r>
              <w:rPr>
                <w:i/>
                <w:sz w:val="22"/>
                <w:szCs w:val="22"/>
              </w:rPr>
              <w:t>p</w:t>
            </w:r>
            <w:r>
              <w:rPr>
                <w:i/>
                <w:spacing w:val="1"/>
                <w:sz w:val="22"/>
                <w:szCs w:val="22"/>
              </w:rPr>
              <w:t>t</w:t>
            </w:r>
            <w:r>
              <w:rPr>
                <w:i/>
                <w:sz w:val="22"/>
                <w:szCs w:val="22"/>
              </w:rPr>
              <w:t>o</w:t>
            </w:r>
            <w:r>
              <w:rPr>
                <w:i/>
                <w:spacing w:val="-1"/>
                <w:sz w:val="22"/>
                <w:szCs w:val="22"/>
              </w:rPr>
              <w:t>m</w:t>
            </w:r>
            <w:r>
              <w:rPr>
                <w:i/>
                <w:sz w:val="22"/>
                <w:szCs w:val="22"/>
              </w:rPr>
              <w:t>er</w:t>
            </w:r>
            <w:r>
              <w:rPr>
                <w:i/>
                <w:spacing w:val="1"/>
                <w:sz w:val="22"/>
                <w:szCs w:val="22"/>
              </w:rPr>
              <w:t xml:space="preserve"> </w:t>
            </w:r>
            <w:r>
              <w:rPr>
                <w:i/>
                <w:sz w:val="22"/>
                <w:szCs w:val="22"/>
              </w:rPr>
              <w:t xml:space="preserve">og </w:t>
            </w:r>
            <w:r>
              <w:rPr>
                <w:i/>
                <w:spacing w:val="1"/>
                <w:sz w:val="22"/>
                <w:szCs w:val="22"/>
              </w:rPr>
              <w:t>r</w:t>
            </w:r>
            <w:r>
              <w:rPr>
                <w:i/>
                <w:sz w:val="22"/>
                <w:szCs w:val="22"/>
              </w:rPr>
              <w:t>eak</w:t>
            </w:r>
            <w:r>
              <w:rPr>
                <w:i/>
                <w:spacing w:val="1"/>
                <w:sz w:val="22"/>
                <w:szCs w:val="22"/>
              </w:rPr>
              <w:t>ti</w:t>
            </w:r>
            <w:r>
              <w:rPr>
                <w:i/>
                <w:sz w:val="22"/>
                <w:szCs w:val="22"/>
              </w:rPr>
              <w:t>oner</w:t>
            </w:r>
            <w:r>
              <w:rPr>
                <w:i/>
                <w:spacing w:val="1"/>
                <w:sz w:val="22"/>
                <w:szCs w:val="22"/>
              </w:rPr>
              <w:t xml:space="preserve"> </w:t>
            </w:r>
            <w:r>
              <w:rPr>
                <w:i/>
                <w:sz w:val="22"/>
                <w:szCs w:val="22"/>
              </w:rPr>
              <w:t>på ad</w:t>
            </w:r>
            <w:r>
              <w:rPr>
                <w:i/>
                <w:spacing w:val="-1"/>
                <w:sz w:val="22"/>
                <w:szCs w:val="22"/>
              </w:rPr>
              <w:t>m</w:t>
            </w:r>
            <w:r>
              <w:rPr>
                <w:i/>
                <w:spacing w:val="1"/>
                <w:sz w:val="22"/>
                <w:szCs w:val="22"/>
              </w:rPr>
              <w:t>i</w:t>
            </w:r>
            <w:r>
              <w:rPr>
                <w:i/>
                <w:sz w:val="22"/>
                <w:szCs w:val="22"/>
              </w:rPr>
              <w:t>n</w:t>
            </w:r>
            <w:r>
              <w:rPr>
                <w:i/>
                <w:spacing w:val="1"/>
                <w:sz w:val="22"/>
                <w:szCs w:val="22"/>
              </w:rPr>
              <w:t>istr</w:t>
            </w:r>
            <w:r>
              <w:rPr>
                <w:i/>
                <w:sz w:val="22"/>
                <w:szCs w:val="22"/>
              </w:rPr>
              <w:t>a</w:t>
            </w:r>
            <w:r>
              <w:rPr>
                <w:i/>
                <w:spacing w:val="1"/>
                <w:sz w:val="22"/>
                <w:szCs w:val="22"/>
              </w:rPr>
              <w:t>ti</w:t>
            </w:r>
            <w:r>
              <w:rPr>
                <w:i/>
                <w:sz w:val="22"/>
                <w:szCs w:val="22"/>
              </w:rPr>
              <w:t>on</w:t>
            </w:r>
            <w:r>
              <w:rPr>
                <w:i/>
                <w:spacing w:val="1"/>
                <w:sz w:val="22"/>
                <w:szCs w:val="22"/>
              </w:rPr>
              <w:t>sst</w:t>
            </w:r>
            <w:r>
              <w:rPr>
                <w:i/>
                <w:sz w:val="22"/>
                <w:szCs w:val="22"/>
              </w:rPr>
              <w:t>edet</w:t>
            </w:r>
          </w:p>
        </w:tc>
      </w:tr>
      <w:tr w:rsidR="00973B20" w:rsidTr="00D92323">
        <w:tc>
          <w:tcPr>
            <w:tcW w:w="1126" w:type="pct"/>
            <w:tcBorders>
              <w:top w:val="single" w:sz="4" w:space="0" w:color="auto"/>
              <w:left w:val="single" w:sz="4" w:space="0" w:color="auto"/>
              <w:bottom w:val="single" w:sz="4" w:space="0" w:color="auto"/>
              <w:right w:val="single" w:sz="4" w:space="0" w:color="auto"/>
            </w:tcBorders>
          </w:tcPr>
          <w:p w:rsidR="00973B20" w:rsidRDefault="00973B20" w:rsidP="00D92323">
            <w:pPr>
              <w:rPr>
                <w:i/>
                <w:spacing w:val="-1"/>
                <w:sz w:val="22"/>
                <w:szCs w:val="22"/>
              </w:rPr>
            </w:pPr>
          </w:p>
        </w:tc>
        <w:tc>
          <w:tcPr>
            <w:tcW w:w="970" w:type="pct"/>
            <w:tcBorders>
              <w:top w:val="single" w:sz="4" w:space="0" w:color="auto"/>
              <w:left w:val="single" w:sz="4" w:space="0" w:color="auto"/>
              <w:bottom w:val="single" w:sz="4" w:space="0" w:color="auto"/>
              <w:right w:val="single" w:sz="4" w:space="0" w:color="auto"/>
            </w:tcBorders>
            <w:hideMark/>
          </w:tcPr>
          <w:p w:rsidR="00973B20" w:rsidRDefault="00973B20" w:rsidP="00D92323">
            <w:pPr>
              <w:rPr>
                <w:sz w:val="22"/>
                <w:szCs w:val="22"/>
              </w:rPr>
            </w:pPr>
            <w:r>
              <w:rPr>
                <w:sz w:val="22"/>
                <w:szCs w:val="22"/>
              </w:rPr>
              <w:t>Ansigtsødem, brystsmerter</w:t>
            </w:r>
            <w:r>
              <w:rPr>
                <w:sz w:val="22"/>
                <w:szCs w:val="22"/>
                <w:vertAlign w:val="superscript"/>
              </w:rPr>
              <w:t>2</w:t>
            </w:r>
          </w:p>
        </w:tc>
        <w:tc>
          <w:tcPr>
            <w:tcW w:w="975"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909"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c>
          <w:tcPr>
            <w:tcW w:w="1021" w:type="pct"/>
            <w:tcBorders>
              <w:top w:val="single" w:sz="4" w:space="0" w:color="auto"/>
              <w:left w:val="single" w:sz="4" w:space="0" w:color="auto"/>
              <w:bottom w:val="single" w:sz="4" w:space="0" w:color="auto"/>
              <w:right w:val="single" w:sz="4" w:space="0" w:color="auto"/>
            </w:tcBorders>
          </w:tcPr>
          <w:p w:rsidR="00973B20" w:rsidRDefault="00973B20" w:rsidP="00D92323">
            <w:pPr>
              <w:rPr>
                <w:sz w:val="22"/>
                <w:szCs w:val="22"/>
              </w:rPr>
            </w:pPr>
          </w:p>
        </w:tc>
      </w:tr>
    </w:tbl>
    <w:p w:rsidR="00973B20" w:rsidRDefault="00973B20" w:rsidP="00973B20">
      <w:pPr>
        <w:ind w:left="851" w:hanging="851"/>
        <w:rPr>
          <w:sz w:val="24"/>
          <w:szCs w:val="24"/>
        </w:rPr>
      </w:pPr>
    </w:p>
    <w:p w:rsidR="00973B20" w:rsidRPr="00CF3312" w:rsidRDefault="00973B20" w:rsidP="00973B20">
      <w:pPr>
        <w:ind w:left="851"/>
        <w:rPr>
          <w:sz w:val="18"/>
          <w:szCs w:val="18"/>
          <w:u w:val="single"/>
        </w:rPr>
      </w:pPr>
      <w:r w:rsidRPr="00CF3312">
        <w:rPr>
          <w:sz w:val="18"/>
          <w:szCs w:val="18"/>
          <w:u w:val="single"/>
        </w:rPr>
        <w:t>Beskrivelse af udvalgte bivirkninger</w:t>
      </w:r>
    </w:p>
    <w:p w:rsidR="00973B20" w:rsidRPr="00CF3312" w:rsidRDefault="00973B20" w:rsidP="00973B20">
      <w:pPr>
        <w:ind w:left="1276" w:hanging="425"/>
        <w:rPr>
          <w:noProof/>
          <w:sz w:val="18"/>
          <w:szCs w:val="18"/>
        </w:rPr>
      </w:pPr>
      <w:r w:rsidRPr="00CF3312">
        <w:rPr>
          <w:noProof/>
          <w:sz w:val="18"/>
          <w:szCs w:val="18"/>
        </w:rPr>
        <w:t xml:space="preserve">(1) </w:t>
      </w:r>
      <w:r w:rsidRPr="00CF3312">
        <w:rPr>
          <w:noProof/>
          <w:sz w:val="18"/>
          <w:szCs w:val="18"/>
        </w:rPr>
        <w:tab/>
        <w:t>Hændelser, der ikke blev rapporteret i de kliniske registreringsstudier, og som ikke kan estimeres ud fra forhåndenværende data. Bivirkningerne i tabellen er data fra postmarketing eller kliniske studier, hvor tadalafil blev brugt til behandling af erektil dysfunktion.</w:t>
      </w:r>
    </w:p>
    <w:p w:rsidR="00973B20" w:rsidRPr="00CF3312" w:rsidRDefault="00973B20" w:rsidP="00973B20">
      <w:pPr>
        <w:ind w:left="1276" w:hanging="425"/>
        <w:rPr>
          <w:noProof/>
          <w:sz w:val="18"/>
          <w:szCs w:val="18"/>
        </w:rPr>
      </w:pPr>
      <w:r w:rsidRPr="00CF3312">
        <w:rPr>
          <w:noProof/>
          <w:sz w:val="18"/>
          <w:szCs w:val="18"/>
        </w:rPr>
        <w:t xml:space="preserve">(2) </w:t>
      </w:r>
      <w:r w:rsidRPr="00CF3312">
        <w:rPr>
          <w:noProof/>
          <w:sz w:val="18"/>
          <w:szCs w:val="18"/>
        </w:rPr>
        <w:tab/>
        <w:t>De fleste patienter, som disse hændelser blev rapporteret hos, havde allerede eksisterende kardiovaskulære risikofaktorer.</w:t>
      </w:r>
    </w:p>
    <w:p w:rsidR="00973B20" w:rsidRPr="00CF3312" w:rsidRDefault="00973B20" w:rsidP="00973B20">
      <w:pPr>
        <w:ind w:left="1276" w:hanging="425"/>
        <w:rPr>
          <w:noProof/>
          <w:sz w:val="18"/>
          <w:szCs w:val="18"/>
        </w:rPr>
      </w:pPr>
      <w:r w:rsidRPr="00CF3312">
        <w:rPr>
          <w:noProof/>
          <w:sz w:val="18"/>
          <w:szCs w:val="18"/>
        </w:rPr>
        <w:t xml:space="preserve">(3) </w:t>
      </w:r>
      <w:r w:rsidRPr="00CF3312">
        <w:rPr>
          <w:noProof/>
          <w:sz w:val="18"/>
          <w:szCs w:val="18"/>
        </w:rPr>
        <w:tab/>
        <w:t>Aktuelle MedDRA-termer inkluderer abdominalt ubehag, abdominale smerter, nedre abdominale smerter, øvre abdominale smerter og maveubehag.</w:t>
      </w:r>
    </w:p>
    <w:p w:rsidR="00973B20" w:rsidRPr="00CF3312" w:rsidRDefault="00973B20" w:rsidP="00973B20">
      <w:pPr>
        <w:ind w:left="1276" w:hanging="425"/>
        <w:rPr>
          <w:noProof/>
          <w:sz w:val="18"/>
          <w:szCs w:val="18"/>
        </w:rPr>
      </w:pPr>
      <w:r w:rsidRPr="00CF3312">
        <w:rPr>
          <w:noProof/>
          <w:sz w:val="18"/>
          <w:szCs w:val="18"/>
        </w:rPr>
        <w:t xml:space="preserve">(4) </w:t>
      </w:r>
      <w:r w:rsidRPr="00CF3312">
        <w:rPr>
          <w:noProof/>
          <w:sz w:val="18"/>
          <w:szCs w:val="18"/>
        </w:rPr>
        <w:tab/>
        <w:t>Kliniske ikke-MedDRA-termer inkluderer unormale/voldsomme tilstande relateret til menstruationsblødninger, såsom menoragi, metroragi, menometroragi eller vaginal hæmoragi.</w:t>
      </w:r>
    </w:p>
    <w:p w:rsidR="00973B20" w:rsidRPr="00CF3312" w:rsidRDefault="00973B20" w:rsidP="00973B20">
      <w:pPr>
        <w:ind w:left="1276" w:hanging="425"/>
        <w:rPr>
          <w:noProof/>
          <w:sz w:val="18"/>
          <w:szCs w:val="18"/>
        </w:rPr>
      </w:pPr>
      <w:r w:rsidRPr="00CF3312">
        <w:rPr>
          <w:noProof/>
          <w:sz w:val="18"/>
          <w:szCs w:val="18"/>
        </w:rPr>
        <w:t xml:space="preserve">(5) </w:t>
      </w:r>
      <w:r w:rsidRPr="00CF3312">
        <w:rPr>
          <w:noProof/>
          <w:sz w:val="18"/>
          <w:szCs w:val="18"/>
        </w:rPr>
        <w:tab/>
        <w:t xml:space="preserve">Bivirkningerne i tabellen er data fra postmarketing eller kliniske studier, hvor tadalafil blev brugt til behandling af erektil dysfunktion, og i tillæg hertil er frekvensestimatet baseret på kun 1 eller 2 patienters oplevelse af disse bivirkninger i det pivotale placebo-kontrollerede studie med tadalafil. </w:t>
      </w:r>
    </w:p>
    <w:p w:rsidR="00973B20" w:rsidRPr="00CF3312" w:rsidRDefault="00973B20" w:rsidP="00973B20">
      <w:pPr>
        <w:ind w:left="1276" w:hanging="425"/>
        <w:rPr>
          <w:noProof/>
          <w:sz w:val="18"/>
          <w:szCs w:val="18"/>
        </w:rPr>
      </w:pPr>
      <w:r w:rsidRPr="00CF3312">
        <w:rPr>
          <w:noProof/>
          <w:sz w:val="18"/>
          <w:szCs w:val="18"/>
        </w:rPr>
        <w:t xml:space="preserve">(6) </w:t>
      </w:r>
      <w:r w:rsidRPr="00CF3312">
        <w:rPr>
          <w:noProof/>
          <w:sz w:val="18"/>
          <w:szCs w:val="18"/>
        </w:rPr>
        <w:tab/>
        <w:t>Hovedpine var den mest almindelige rapporterede bivirkning. Hovedpine kan forekomme i begyndelsen af behandlingen og aftager med tiden, selvom behandlingen fortsættes.</w:t>
      </w:r>
    </w:p>
    <w:p w:rsidR="00973B20" w:rsidRDefault="00973B20" w:rsidP="00973B20">
      <w:pPr>
        <w:autoSpaceDE w:val="0"/>
        <w:autoSpaceDN w:val="0"/>
        <w:adjustRightInd w:val="0"/>
        <w:ind w:left="851"/>
        <w:rPr>
          <w:noProof/>
          <w:sz w:val="24"/>
          <w:szCs w:val="24"/>
          <w:u w:val="single"/>
        </w:rPr>
      </w:pPr>
    </w:p>
    <w:p w:rsidR="00973B20" w:rsidRDefault="00973B20" w:rsidP="00973B20">
      <w:pPr>
        <w:autoSpaceDE w:val="0"/>
        <w:autoSpaceDN w:val="0"/>
        <w:adjustRightInd w:val="0"/>
        <w:ind w:left="851"/>
        <w:rPr>
          <w:noProof/>
          <w:sz w:val="24"/>
          <w:szCs w:val="24"/>
          <w:u w:val="single"/>
        </w:rPr>
      </w:pPr>
      <w:r w:rsidRPr="007807BC">
        <w:rPr>
          <w:noProof/>
          <w:sz w:val="24"/>
          <w:szCs w:val="24"/>
          <w:u w:val="single"/>
        </w:rPr>
        <w:t>Pædiatrisk population</w:t>
      </w:r>
    </w:p>
    <w:p w:rsidR="00973B20" w:rsidRPr="007807BC" w:rsidRDefault="00973B20" w:rsidP="00973B20">
      <w:pPr>
        <w:autoSpaceDE w:val="0"/>
        <w:autoSpaceDN w:val="0"/>
        <w:adjustRightInd w:val="0"/>
        <w:ind w:left="851"/>
        <w:rPr>
          <w:noProof/>
          <w:sz w:val="24"/>
          <w:szCs w:val="24"/>
        </w:rPr>
      </w:pPr>
      <w:r w:rsidRPr="007807BC">
        <w:rPr>
          <w:noProof/>
          <w:sz w:val="24"/>
          <w:szCs w:val="24"/>
        </w:rPr>
        <w:t>I alt blev 51 pædiatriske patienter i alderen fra 2,5 til 17 år med PAH behandlet med tadalafil i kliniske studier (H6D-MC-LVHV, H6D-MC-LVIG). I alt blev 391 pædiatriske patienter med PAH, fra fødsel til &lt; 18 år, behandlet med tadalafil i et post-markedsføring</w:t>
      </w:r>
      <w:r>
        <w:rPr>
          <w:noProof/>
          <w:sz w:val="24"/>
          <w:szCs w:val="24"/>
        </w:rPr>
        <w:t xml:space="preserve"> </w:t>
      </w:r>
      <w:r w:rsidRPr="007807BC">
        <w:rPr>
          <w:noProof/>
          <w:sz w:val="24"/>
          <w:szCs w:val="24"/>
        </w:rPr>
        <w:t>observationsstudie (H6D-JE-TD01). Efter administration af tadalafil svarede hyppigheden, typen og sværhedsgraden af bivirkninger hos børn og unge til dem, der ses for voksne. På grund af forskelle i studiedesign, stikprøvestørrelse, køn, aldersinterval og doser, er sikkerhedsresultater fra disse studier beskrevet separat nedenfor.</w:t>
      </w:r>
    </w:p>
    <w:p w:rsidR="00973B20" w:rsidRDefault="00973B20" w:rsidP="00973B20">
      <w:pPr>
        <w:autoSpaceDE w:val="0"/>
        <w:autoSpaceDN w:val="0"/>
        <w:adjustRightInd w:val="0"/>
        <w:ind w:left="851"/>
        <w:rPr>
          <w:i/>
          <w:iCs/>
          <w:noProof/>
          <w:sz w:val="24"/>
          <w:szCs w:val="24"/>
          <w:u w:val="single"/>
        </w:rPr>
      </w:pPr>
    </w:p>
    <w:p w:rsidR="00973B20" w:rsidRPr="00E95879" w:rsidRDefault="00973B20" w:rsidP="00973B20">
      <w:pPr>
        <w:autoSpaceDE w:val="0"/>
        <w:autoSpaceDN w:val="0"/>
        <w:adjustRightInd w:val="0"/>
        <w:ind w:left="851"/>
        <w:rPr>
          <w:i/>
          <w:iCs/>
          <w:noProof/>
          <w:sz w:val="24"/>
          <w:szCs w:val="24"/>
          <w:u w:val="single"/>
        </w:rPr>
      </w:pPr>
      <w:r w:rsidRPr="00E95879">
        <w:rPr>
          <w:i/>
          <w:iCs/>
          <w:noProof/>
          <w:sz w:val="24"/>
          <w:szCs w:val="24"/>
          <w:u w:val="single"/>
        </w:rPr>
        <w:t>Placebo kontrolleret klinisk stud</w:t>
      </w:r>
      <w:r>
        <w:rPr>
          <w:i/>
          <w:iCs/>
          <w:noProof/>
          <w:sz w:val="24"/>
          <w:szCs w:val="24"/>
          <w:u w:val="single"/>
        </w:rPr>
        <w:t>i</w:t>
      </w:r>
      <w:r w:rsidRPr="00E95879">
        <w:rPr>
          <w:i/>
          <w:iCs/>
          <w:noProof/>
          <w:sz w:val="24"/>
          <w:szCs w:val="24"/>
          <w:u w:val="single"/>
        </w:rPr>
        <w:t>e for pædiatriske patienter (H6D-MC-LVHV)</w:t>
      </w:r>
    </w:p>
    <w:p w:rsidR="00973B20" w:rsidRPr="007807BC" w:rsidRDefault="00973B20" w:rsidP="00973B20">
      <w:pPr>
        <w:autoSpaceDE w:val="0"/>
        <w:autoSpaceDN w:val="0"/>
        <w:adjustRightInd w:val="0"/>
        <w:ind w:left="851"/>
        <w:rPr>
          <w:noProof/>
          <w:sz w:val="24"/>
          <w:szCs w:val="24"/>
        </w:rPr>
      </w:pPr>
      <w:r w:rsidRPr="007807BC">
        <w:rPr>
          <w:noProof/>
          <w:sz w:val="24"/>
          <w:szCs w:val="24"/>
        </w:rPr>
        <w:t xml:space="preserve">I et randomiseret, placebokontrolleret studie med 35 patienter i alderen 6,2 til 17,9 år (medianalder på 14,2 år) med PAH, blev i alt 17 patienter behandlet en gang dagligt med </w:t>
      </w:r>
      <w:r>
        <w:rPr>
          <w:noProof/>
          <w:sz w:val="24"/>
          <w:szCs w:val="24"/>
        </w:rPr>
        <w:t>tadalafil</w:t>
      </w:r>
      <w:r w:rsidRPr="007807BC">
        <w:rPr>
          <w:noProof/>
          <w:sz w:val="24"/>
          <w:szCs w:val="24"/>
        </w:rPr>
        <w:t xml:space="preserve"> 20 mg (mellemvægtskohorte, ≥ 25 kg til &lt; 40 kg) eller 40 mg (tungvægtskohorte, ≥ 40 kg), og 18 patienter blev behandlet med placebo i 24 uger. De mest almindelige </w:t>
      </w:r>
      <w:r w:rsidRPr="007807BC">
        <w:rPr>
          <w:noProof/>
          <w:sz w:val="24"/>
          <w:szCs w:val="24"/>
        </w:rPr>
        <w:lastRenderedPageBreak/>
        <w:t xml:space="preserve">bivirkninger, der opstod hos ≥ 2 patienter behandlet med tadalafil, var hovedpine (29,4 %), øvre luftvejsinfektion og influenza (17,6 % hver) og artralgi og epistaxis (11,8 % hver). Ingen dødsfald eller </w:t>
      </w:r>
      <w:r w:rsidRPr="007807BC">
        <w:rPr>
          <w:i/>
          <w:iCs/>
          <w:noProof/>
          <w:sz w:val="24"/>
          <w:szCs w:val="24"/>
        </w:rPr>
        <w:t xml:space="preserve">SAE’er </w:t>
      </w:r>
      <w:r w:rsidRPr="007807BC">
        <w:rPr>
          <w:noProof/>
          <w:sz w:val="24"/>
          <w:szCs w:val="24"/>
        </w:rPr>
        <w:t xml:space="preserve">blev rapporteret. Af de 35 pædiatriske patienter, der indgik i det kortsigtede placebokontrollerede studie, gik 32 ind i den 24 måneder lange, </w:t>
      </w:r>
      <w:r w:rsidRPr="007807BC">
        <w:rPr>
          <w:i/>
          <w:iCs/>
          <w:noProof/>
          <w:sz w:val="24"/>
          <w:szCs w:val="24"/>
        </w:rPr>
        <w:t xml:space="preserve">open-label </w:t>
      </w:r>
      <w:r w:rsidRPr="007807BC">
        <w:rPr>
          <w:noProof/>
          <w:sz w:val="24"/>
          <w:szCs w:val="24"/>
        </w:rPr>
        <w:t>forlængelse, og 26 patienter fuldførte opfølgningen. Der blev ikke observeret nye sikkerhedssignaler.</w:t>
      </w:r>
    </w:p>
    <w:p w:rsidR="00973B20" w:rsidRDefault="00973B20" w:rsidP="00973B20">
      <w:pPr>
        <w:autoSpaceDE w:val="0"/>
        <w:autoSpaceDN w:val="0"/>
        <w:adjustRightInd w:val="0"/>
        <w:ind w:left="851"/>
        <w:rPr>
          <w:i/>
          <w:iCs/>
          <w:noProof/>
          <w:sz w:val="24"/>
          <w:szCs w:val="24"/>
          <w:u w:val="single"/>
        </w:rPr>
      </w:pPr>
    </w:p>
    <w:p w:rsidR="00973B20" w:rsidRPr="00E95879" w:rsidRDefault="00973B20" w:rsidP="00973B20">
      <w:pPr>
        <w:autoSpaceDE w:val="0"/>
        <w:autoSpaceDN w:val="0"/>
        <w:adjustRightInd w:val="0"/>
        <w:ind w:left="851"/>
        <w:rPr>
          <w:i/>
          <w:iCs/>
          <w:noProof/>
          <w:sz w:val="24"/>
          <w:szCs w:val="24"/>
          <w:u w:val="single"/>
        </w:rPr>
      </w:pPr>
      <w:r w:rsidRPr="00E95879">
        <w:rPr>
          <w:i/>
          <w:iCs/>
          <w:noProof/>
          <w:sz w:val="24"/>
          <w:szCs w:val="24"/>
          <w:u w:val="single"/>
        </w:rPr>
        <w:t>Ukontrolleret farmakokinetisk undersøgelse hos pædiatriske patienter (H6D MC LVIG)</w:t>
      </w:r>
    </w:p>
    <w:p w:rsidR="00973B20" w:rsidRPr="007807BC" w:rsidRDefault="00973B20" w:rsidP="00973B20">
      <w:pPr>
        <w:autoSpaceDE w:val="0"/>
        <w:autoSpaceDN w:val="0"/>
        <w:adjustRightInd w:val="0"/>
        <w:ind w:left="851"/>
        <w:rPr>
          <w:noProof/>
          <w:sz w:val="24"/>
          <w:szCs w:val="24"/>
        </w:rPr>
      </w:pPr>
      <w:r w:rsidRPr="007807BC">
        <w:rPr>
          <w:noProof/>
          <w:sz w:val="24"/>
          <w:szCs w:val="24"/>
        </w:rPr>
        <w:t xml:space="preserve">I et pædiatrisk studie med flere stigende doser fik 19 patienter med en medianalder på 10,9 år [interval 2,5 - 17 år] </w:t>
      </w:r>
      <w:r>
        <w:rPr>
          <w:noProof/>
          <w:sz w:val="24"/>
          <w:szCs w:val="24"/>
        </w:rPr>
        <w:t>tadalafil</w:t>
      </w:r>
      <w:r w:rsidRPr="007807BC">
        <w:rPr>
          <w:noProof/>
          <w:sz w:val="24"/>
          <w:szCs w:val="24"/>
        </w:rPr>
        <w:t xml:space="preserve"> en gang dagligt i en </w:t>
      </w:r>
      <w:r w:rsidRPr="007807BC">
        <w:rPr>
          <w:i/>
          <w:iCs/>
          <w:noProof/>
          <w:sz w:val="24"/>
          <w:szCs w:val="24"/>
        </w:rPr>
        <w:t xml:space="preserve">open-label </w:t>
      </w:r>
      <w:r w:rsidRPr="007807BC">
        <w:rPr>
          <w:noProof/>
          <w:sz w:val="24"/>
          <w:szCs w:val="24"/>
        </w:rPr>
        <w:t>behandlingsvarighed på 10 uger (periode 1) og i op til yderligere 24 måneder i en forlængelse (</w:t>
      </w:r>
      <w:r>
        <w:rPr>
          <w:noProof/>
          <w:sz w:val="24"/>
          <w:szCs w:val="24"/>
        </w:rPr>
        <w:t>p</w:t>
      </w:r>
      <w:r w:rsidRPr="007807BC">
        <w:rPr>
          <w:noProof/>
          <w:sz w:val="24"/>
          <w:szCs w:val="24"/>
        </w:rPr>
        <w:t xml:space="preserve">eriode 2). </w:t>
      </w:r>
      <w:r w:rsidRPr="007807BC">
        <w:rPr>
          <w:i/>
          <w:iCs/>
          <w:noProof/>
          <w:sz w:val="24"/>
          <w:szCs w:val="24"/>
        </w:rPr>
        <w:t xml:space="preserve">SAE’er </w:t>
      </w:r>
      <w:r w:rsidRPr="007807BC">
        <w:rPr>
          <w:noProof/>
          <w:sz w:val="24"/>
          <w:szCs w:val="24"/>
        </w:rPr>
        <w:t xml:space="preserve">blev rapporteret hos 8 patienter (42,1 %). Disse var pulmonal hypertension (21,0 %), viral infektion (10,5 %) og hjertesvigt, gastritis, pyreksi, type 1 diabetes mellitus, feberkramper, præsynkope, krampeanfald og ovariecyste (5,3 %). Ingen patient blev seponeret på grund af AE'er. TEAE'er blev rapporteret hos 18 patienter (94,7 %), og de hyppigste </w:t>
      </w:r>
      <w:r w:rsidRPr="007807BC">
        <w:rPr>
          <w:i/>
          <w:iCs/>
          <w:noProof/>
          <w:sz w:val="24"/>
          <w:szCs w:val="24"/>
        </w:rPr>
        <w:t xml:space="preserve">TEAE'er </w:t>
      </w:r>
      <w:r w:rsidRPr="007807BC">
        <w:rPr>
          <w:noProof/>
          <w:sz w:val="24"/>
          <w:szCs w:val="24"/>
        </w:rPr>
        <w:t>(forekom hos ≥ 5 patienter) var hovedpine, pyreksi, viral øvre luftvejsinfektion og opkastning. To dødsfald blev rapporteret.</w:t>
      </w:r>
    </w:p>
    <w:p w:rsidR="00973B20" w:rsidRDefault="00973B20" w:rsidP="00973B20">
      <w:pPr>
        <w:autoSpaceDE w:val="0"/>
        <w:autoSpaceDN w:val="0"/>
        <w:adjustRightInd w:val="0"/>
        <w:ind w:left="851"/>
        <w:rPr>
          <w:i/>
          <w:iCs/>
          <w:noProof/>
          <w:sz w:val="24"/>
          <w:szCs w:val="24"/>
          <w:u w:val="single"/>
        </w:rPr>
      </w:pPr>
    </w:p>
    <w:p w:rsidR="00973B20" w:rsidRPr="00E95879" w:rsidRDefault="00973B20" w:rsidP="00973B20">
      <w:pPr>
        <w:autoSpaceDE w:val="0"/>
        <w:autoSpaceDN w:val="0"/>
        <w:adjustRightInd w:val="0"/>
        <w:ind w:left="851"/>
        <w:rPr>
          <w:i/>
          <w:iCs/>
          <w:noProof/>
          <w:sz w:val="24"/>
          <w:szCs w:val="24"/>
          <w:u w:val="single"/>
        </w:rPr>
      </w:pPr>
      <w:r w:rsidRPr="00E95879">
        <w:rPr>
          <w:i/>
          <w:iCs/>
          <w:noProof/>
          <w:sz w:val="24"/>
          <w:szCs w:val="24"/>
          <w:u w:val="single"/>
        </w:rPr>
        <w:t>Post-markedsføringsundersøgelse i pædiatriske patienter (H6D-JE-TD01)</w:t>
      </w:r>
    </w:p>
    <w:p w:rsidR="00973B20" w:rsidRPr="007807BC" w:rsidRDefault="00973B20" w:rsidP="00973B20">
      <w:pPr>
        <w:autoSpaceDE w:val="0"/>
        <w:autoSpaceDN w:val="0"/>
        <w:adjustRightInd w:val="0"/>
        <w:ind w:left="851"/>
        <w:rPr>
          <w:noProof/>
          <w:sz w:val="24"/>
          <w:szCs w:val="24"/>
        </w:rPr>
      </w:pPr>
      <w:r w:rsidRPr="007807BC">
        <w:rPr>
          <w:noProof/>
          <w:sz w:val="24"/>
          <w:szCs w:val="24"/>
        </w:rPr>
        <w:t xml:space="preserve">Sikkerhedsdata blev indsamlet under et observationsstudie udført efter markedsføring i Japan, der omfattede 391 pædiatriske PAH-patienter (2 års maksimal observationsperiode). Gennemsnitsalderen for patienterne i undersøgelsen var 5,7 ± 5,3 år, inklusiv 79 patienter i alderen &lt; 1 år, 41 i alderen 1 til &lt; 2 år, 122 i alderen 2 til 6 år, 110 i alderen 7 til 14 år og 39 i alderen 15 til 17 år. Bivirkninger blev rapporteret hos 123 patienter (31,5 %). Incidensen af bivirkninger (≥ 5 patienter) var pulmonal hypertension (3,6 %); hovedpine (2,8 %); hjertesvigt og nedsat trombocyttal (2,0 % hver); epistaxis og øvre luftvejsinfektion (1,8 % hver); bronkitis, diarré og unormal leverfunktion (1,5 % hver); og gastroenteritis, proteintabende gastroenteropati og øget aspartataminotransferase (1,3 % hver). Incidensen af </w:t>
      </w:r>
      <w:r w:rsidRPr="007807BC">
        <w:rPr>
          <w:i/>
          <w:iCs/>
          <w:noProof/>
          <w:sz w:val="24"/>
          <w:szCs w:val="24"/>
        </w:rPr>
        <w:t xml:space="preserve">SAE'er </w:t>
      </w:r>
      <w:r w:rsidRPr="007807BC">
        <w:rPr>
          <w:noProof/>
          <w:sz w:val="24"/>
          <w:szCs w:val="24"/>
        </w:rPr>
        <w:t>var 12,0 % (≥ 3 patienter), inklusiv pulmonal hypertension (3,6 %), hjertesvigt (1,5 %) og lungebetændelse (0,8 %). Seksten dødsfald (4,1 %) blev rapporteret; ingen var relateret til tadalafil.</w:t>
      </w:r>
    </w:p>
    <w:p w:rsidR="00973B20" w:rsidRPr="00600057" w:rsidRDefault="00973B20" w:rsidP="00973B20">
      <w:pPr>
        <w:ind w:left="851"/>
        <w:rPr>
          <w:b/>
          <w:i/>
          <w:noProof/>
          <w:sz w:val="24"/>
          <w:szCs w:val="24"/>
        </w:rPr>
      </w:pPr>
    </w:p>
    <w:p w:rsidR="00973B20" w:rsidRPr="002C448C" w:rsidRDefault="00973B20" w:rsidP="00973B20">
      <w:pPr>
        <w:autoSpaceDE w:val="0"/>
        <w:autoSpaceDN w:val="0"/>
        <w:adjustRightInd w:val="0"/>
        <w:ind w:left="851"/>
        <w:rPr>
          <w:sz w:val="24"/>
          <w:szCs w:val="24"/>
          <w:u w:val="single"/>
        </w:rPr>
      </w:pPr>
      <w:r w:rsidRPr="002C448C">
        <w:rPr>
          <w:noProof/>
          <w:sz w:val="24"/>
          <w:szCs w:val="24"/>
          <w:u w:val="single"/>
        </w:rPr>
        <w:t>Indberetning af formodede bivirkninger</w:t>
      </w:r>
    </w:p>
    <w:p w:rsidR="00973B20" w:rsidRDefault="00973B20" w:rsidP="00973B20">
      <w:pPr>
        <w:autoSpaceDE w:val="0"/>
        <w:autoSpaceDN w:val="0"/>
        <w:adjustRightInd w:val="0"/>
        <w:ind w:left="851"/>
        <w:rPr>
          <w:noProof/>
          <w:sz w:val="24"/>
          <w:szCs w:val="24"/>
        </w:rPr>
      </w:pPr>
      <w:r w:rsidRPr="002C448C">
        <w:rPr>
          <w:noProof/>
          <w:sz w:val="24"/>
          <w:szCs w:val="24"/>
        </w:rPr>
        <w:t>Når lægemidlet er godkendt, er indberetning af formodede bivirkninger vigtig.</w:t>
      </w:r>
      <w:r w:rsidRPr="002C448C">
        <w:rPr>
          <w:sz w:val="24"/>
          <w:szCs w:val="24"/>
        </w:rPr>
        <w:t xml:space="preserve"> </w:t>
      </w:r>
      <w:r w:rsidRPr="002C448C">
        <w:rPr>
          <w:noProof/>
          <w:sz w:val="24"/>
          <w:szCs w:val="24"/>
        </w:rPr>
        <w:t>Det muliggør løbende overvågning af benefit/risk-forholdet for lægemidlet.</w:t>
      </w:r>
      <w:r w:rsidRPr="002C448C">
        <w:rPr>
          <w:sz w:val="24"/>
          <w:szCs w:val="24"/>
        </w:rPr>
        <w:t xml:space="preserve"> </w:t>
      </w:r>
      <w:r>
        <w:rPr>
          <w:noProof/>
          <w:sz w:val="24"/>
          <w:szCs w:val="24"/>
        </w:rPr>
        <w:t>Sundhedspersoner</w:t>
      </w:r>
      <w:r w:rsidRPr="002C448C">
        <w:rPr>
          <w:noProof/>
          <w:sz w:val="24"/>
          <w:szCs w:val="24"/>
        </w:rPr>
        <w:t xml:space="preserve"> anmodes om at indberette alle formodede bivirkninger via:</w:t>
      </w:r>
    </w:p>
    <w:p w:rsidR="00973B20" w:rsidRPr="002C448C" w:rsidRDefault="00973B20" w:rsidP="00973B20">
      <w:pPr>
        <w:autoSpaceDE w:val="0"/>
        <w:autoSpaceDN w:val="0"/>
        <w:adjustRightInd w:val="0"/>
        <w:ind w:left="851"/>
        <w:rPr>
          <w:noProof/>
          <w:sz w:val="24"/>
          <w:szCs w:val="24"/>
        </w:rPr>
      </w:pPr>
    </w:p>
    <w:p w:rsidR="00973B20" w:rsidRPr="002C448C" w:rsidRDefault="00973B20" w:rsidP="00973B20">
      <w:pPr>
        <w:autoSpaceDE w:val="0"/>
        <w:autoSpaceDN w:val="0"/>
        <w:adjustRightInd w:val="0"/>
        <w:ind w:left="851"/>
        <w:rPr>
          <w:noProof/>
          <w:sz w:val="24"/>
          <w:szCs w:val="24"/>
        </w:rPr>
      </w:pPr>
      <w:r w:rsidRPr="002C448C">
        <w:rPr>
          <w:noProof/>
          <w:sz w:val="24"/>
          <w:szCs w:val="24"/>
        </w:rPr>
        <w:t>Lægemiddelstyrelsen</w:t>
      </w:r>
    </w:p>
    <w:p w:rsidR="00973B20" w:rsidRPr="002C448C" w:rsidRDefault="00973B20" w:rsidP="00973B20">
      <w:pPr>
        <w:autoSpaceDE w:val="0"/>
        <w:autoSpaceDN w:val="0"/>
        <w:adjustRightInd w:val="0"/>
        <w:ind w:left="851"/>
        <w:rPr>
          <w:noProof/>
          <w:sz w:val="24"/>
          <w:szCs w:val="24"/>
        </w:rPr>
      </w:pPr>
      <w:r w:rsidRPr="002C448C">
        <w:rPr>
          <w:noProof/>
          <w:sz w:val="24"/>
          <w:szCs w:val="24"/>
        </w:rPr>
        <w:t>Axel Heides Gade 1</w:t>
      </w:r>
    </w:p>
    <w:p w:rsidR="00973B20" w:rsidRPr="002C448C" w:rsidRDefault="00973B20" w:rsidP="00973B20">
      <w:pPr>
        <w:autoSpaceDE w:val="0"/>
        <w:autoSpaceDN w:val="0"/>
        <w:adjustRightInd w:val="0"/>
        <w:ind w:left="851"/>
        <w:rPr>
          <w:noProof/>
          <w:sz w:val="24"/>
          <w:szCs w:val="24"/>
        </w:rPr>
      </w:pPr>
      <w:r w:rsidRPr="002C448C">
        <w:rPr>
          <w:noProof/>
          <w:sz w:val="24"/>
          <w:szCs w:val="24"/>
        </w:rPr>
        <w:t>DK-2300 København S</w:t>
      </w:r>
    </w:p>
    <w:p w:rsidR="00973B20" w:rsidRDefault="00973B20" w:rsidP="00973B20">
      <w:pPr>
        <w:autoSpaceDE w:val="0"/>
        <w:autoSpaceDN w:val="0"/>
        <w:adjustRightInd w:val="0"/>
        <w:ind w:left="851"/>
      </w:pPr>
      <w:r>
        <w:rPr>
          <w:noProof/>
          <w:sz w:val="24"/>
          <w:szCs w:val="24"/>
        </w:rPr>
        <w:t xml:space="preserve">Websted: </w:t>
      </w:r>
      <w:hyperlink r:id="rId8" w:history="1">
        <w:r w:rsidRPr="00C9162E">
          <w:rPr>
            <w:rStyle w:val="Hyperlink"/>
          </w:rPr>
          <w:t>www.meldenbivirkning.dk</w:t>
        </w:r>
      </w:hyperlink>
    </w:p>
    <w:p w:rsidR="00C07FC7" w:rsidRPr="00881BA4" w:rsidRDefault="00C07FC7" w:rsidP="00C07FC7">
      <w:pPr>
        <w:pStyle w:val="Sidehoved"/>
        <w:tabs>
          <w:tab w:val="left" w:pos="851"/>
        </w:tabs>
        <w:ind w:left="851" w:hanging="851"/>
        <w:rPr>
          <w:szCs w:val="24"/>
        </w:rPr>
      </w:pPr>
    </w:p>
    <w:p w:rsidR="00C07FC7" w:rsidRPr="002C448C" w:rsidRDefault="00C07FC7" w:rsidP="00C07FC7">
      <w:pPr>
        <w:tabs>
          <w:tab w:val="left" w:pos="851"/>
        </w:tabs>
        <w:ind w:left="851" w:hanging="851"/>
        <w:rPr>
          <w:b/>
          <w:sz w:val="24"/>
          <w:szCs w:val="24"/>
        </w:rPr>
      </w:pPr>
      <w:r w:rsidRPr="002C448C">
        <w:rPr>
          <w:b/>
          <w:sz w:val="24"/>
          <w:szCs w:val="24"/>
        </w:rPr>
        <w:t>4.9</w:t>
      </w:r>
      <w:r w:rsidRPr="002C448C">
        <w:rPr>
          <w:b/>
          <w:sz w:val="24"/>
          <w:szCs w:val="24"/>
        </w:rPr>
        <w:tab/>
        <w:t>Overdosering</w:t>
      </w:r>
    </w:p>
    <w:p w:rsidR="00C07FC7" w:rsidRPr="002C448C" w:rsidRDefault="00C07FC7" w:rsidP="00C07FC7">
      <w:pPr>
        <w:ind w:left="851"/>
        <w:rPr>
          <w:sz w:val="24"/>
          <w:szCs w:val="24"/>
        </w:rPr>
      </w:pPr>
      <w:r w:rsidRPr="002C448C">
        <w:rPr>
          <w:sz w:val="24"/>
          <w:szCs w:val="24"/>
        </w:rPr>
        <w:t xml:space="preserve">Enkeltdoser på op til 500 mg er givet til raske forsøgspersoner, og flere daglige doser af op til 100 mg er givet til patienter. Bivirkningerne var de samme som dem, der ses ved lavere doser. </w:t>
      </w:r>
      <w:r w:rsidRPr="002C448C">
        <w:rPr>
          <w:sz w:val="24"/>
          <w:szCs w:val="24"/>
        </w:rPr>
        <w:br/>
        <w:t xml:space="preserve">I tilfælde af overdosering iværksættes normal støttende behandling efter behov. Hæmodialyse bidrager ubetydeligt til elimination af </w:t>
      </w:r>
      <w:proofErr w:type="spellStart"/>
      <w:r w:rsidRPr="002C448C">
        <w:rPr>
          <w:sz w:val="24"/>
          <w:szCs w:val="24"/>
        </w:rPr>
        <w:t>tadalafil</w:t>
      </w:r>
      <w:proofErr w:type="spellEnd"/>
      <w:r w:rsidRPr="002C448C">
        <w:rPr>
          <w:sz w:val="24"/>
          <w:szCs w:val="24"/>
        </w:rPr>
        <w:t>.</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4.10</w:t>
      </w:r>
      <w:r w:rsidRPr="002C448C">
        <w:rPr>
          <w:b/>
          <w:sz w:val="24"/>
          <w:szCs w:val="24"/>
        </w:rPr>
        <w:tab/>
        <w:t>Udlevering</w:t>
      </w:r>
    </w:p>
    <w:p w:rsidR="00C07FC7" w:rsidRPr="002C448C" w:rsidRDefault="00C07FC7" w:rsidP="00C07FC7">
      <w:pPr>
        <w:tabs>
          <w:tab w:val="left" w:pos="851"/>
        </w:tabs>
        <w:ind w:left="851"/>
        <w:rPr>
          <w:sz w:val="24"/>
          <w:szCs w:val="24"/>
        </w:rPr>
      </w:pPr>
      <w:r>
        <w:rPr>
          <w:sz w:val="24"/>
          <w:szCs w:val="24"/>
        </w:rPr>
        <w:t>B</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5.</w:t>
      </w:r>
      <w:r w:rsidRPr="002C448C">
        <w:rPr>
          <w:b/>
          <w:sz w:val="24"/>
          <w:szCs w:val="24"/>
        </w:rPr>
        <w:tab/>
        <w:t>FARMAKOLOGISKE EGENSKABER</w:t>
      </w:r>
    </w:p>
    <w:p w:rsidR="00C07FC7" w:rsidRPr="002C448C" w:rsidRDefault="00C07FC7" w:rsidP="00C07FC7">
      <w:pPr>
        <w:tabs>
          <w:tab w:val="left" w:pos="851"/>
        </w:tabs>
        <w:ind w:left="851" w:hanging="851"/>
        <w:rPr>
          <w:sz w:val="24"/>
          <w:szCs w:val="24"/>
        </w:rPr>
      </w:pPr>
    </w:p>
    <w:p w:rsidR="00C07FC7" w:rsidRPr="002C448C" w:rsidRDefault="00C07FC7" w:rsidP="007404D0">
      <w:pPr>
        <w:keepNext/>
        <w:tabs>
          <w:tab w:val="num" w:pos="851"/>
        </w:tabs>
        <w:ind w:left="851" w:hanging="851"/>
        <w:rPr>
          <w:b/>
          <w:sz w:val="24"/>
          <w:szCs w:val="24"/>
        </w:rPr>
      </w:pPr>
      <w:r w:rsidRPr="002C448C">
        <w:rPr>
          <w:b/>
          <w:sz w:val="24"/>
          <w:szCs w:val="24"/>
        </w:rPr>
        <w:t>5.1</w:t>
      </w:r>
      <w:r w:rsidRPr="002C448C">
        <w:rPr>
          <w:b/>
          <w:sz w:val="24"/>
          <w:szCs w:val="24"/>
        </w:rPr>
        <w:tab/>
      </w:r>
      <w:proofErr w:type="spellStart"/>
      <w:r w:rsidRPr="002C448C">
        <w:rPr>
          <w:b/>
          <w:sz w:val="24"/>
          <w:szCs w:val="24"/>
        </w:rPr>
        <w:t>Farmakodynamiske</w:t>
      </w:r>
      <w:proofErr w:type="spellEnd"/>
      <w:r w:rsidRPr="002C448C">
        <w:rPr>
          <w:b/>
          <w:sz w:val="24"/>
          <w:szCs w:val="24"/>
        </w:rPr>
        <w:t xml:space="preserve"> egenskaber</w:t>
      </w:r>
    </w:p>
    <w:p w:rsidR="00973B20" w:rsidRDefault="00973B20" w:rsidP="00973B20">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U</w:t>
      </w:r>
      <w:r>
        <w:rPr>
          <w:sz w:val="24"/>
          <w:szCs w:val="24"/>
        </w:rPr>
        <w:t>rologika</w:t>
      </w:r>
      <w:proofErr w:type="spellEnd"/>
      <w:r>
        <w:rPr>
          <w:sz w:val="24"/>
          <w:szCs w:val="24"/>
        </w:rPr>
        <w:t xml:space="preserve">, lægemidler anvendt ved </w:t>
      </w:r>
      <w:proofErr w:type="spellStart"/>
      <w:r>
        <w:rPr>
          <w:sz w:val="24"/>
          <w:szCs w:val="24"/>
        </w:rPr>
        <w:t>erektil</w:t>
      </w:r>
      <w:proofErr w:type="spellEnd"/>
      <w:r>
        <w:rPr>
          <w:sz w:val="24"/>
          <w:szCs w:val="24"/>
        </w:rPr>
        <w:t xml:space="preserve"> dysfunktion.</w:t>
      </w:r>
    </w:p>
    <w:p w:rsidR="00C07FC7" w:rsidRPr="00973B20" w:rsidRDefault="00973B20" w:rsidP="00973B20">
      <w:pPr>
        <w:keepNext/>
        <w:ind w:left="851"/>
        <w:rPr>
          <w:sz w:val="24"/>
          <w:szCs w:val="24"/>
        </w:rPr>
      </w:pPr>
      <w:r>
        <w:rPr>
          <w:sz w:val="24"/>
          <w:szCs w:val="24"/>
        </w:rPr>
        <w:t>ATC-kode: G 04 BE 08</w:t>
      </w:r>
      <w:r>
        <w:rPr>
          <w:sz w:val="24"/>
          <w:szCs w:val="24"/>
        </w:rPr>
        <w:t>.</w:t>
      </w:r>
    </w:p>
    <w:p w:rsidR="00973B20" w:rsidRPr="00973B20" w:rsidRDefault="00973B20" w:rsidP="00973B20">
      <w:pPr>
        <w:keepNext/>
        <w:ind w:left="851"/>
        <w:rPr>
          <w:sz w:val="24"/>
          <w:szCs w:val="24"/>
        </w:rPr>
      </w:pPr>
    </w:p>
    <w:p w:rsidR="00973B20" w:rsidRPr="002C448C" w:rsidRDefault="00973B20" w:rsidP="00973B20">
      <w:pPr>
        <w:keepNext/>
        <w:ind w:left="851"/>
        <w:rPr>
          <w:sz w:val="24"/>
          <w:szCs w:val="24"/>
          <w:u w:val="single"/>
        </w:rPr>
      </w:pPr>
      <w:r w:rsidRPr="002C448C">
        <w:rPr>
          <w:sz w:val="24"/>
          <w:szCs w:val="24"/>
          <w:u w:val="single"/>
        </w:rPr>
        <w:t>Virkningsmekanisme</w:t>
      </w:r>
    </w:p>
    <w:p w:rsidR="00973B20" w:rsidRDefault="00973B20" w:rsidP="00973B20">
      <w:pPr>
        <w:ind w:left="851"/>
        <w:rPr>
          <w:sz w:val="24"/>
          <w:szCs w:val="24"/>
        </w:rPr>
      </w:pPr>
      <w:proofErr w:type="spellStart"/>
      <w:r w:rsidRPr="002C448C">
        <w:rPr>
          <w:sz w:val="24"/>
          <w:szCs w:val="24"/>
        </w:rPr>
        <w:t>Tadalafil</w:t>
      </w:r>
      <w:proofErr w:type="spellEnd"/>
      <w:r w:rsidRPr="002C448C">
        <w:rPr>
          <w:sz w:val="24"/>
          <w:szCs w:val="24"/>
        </w:rPr>
        <w:t xml:space="preserve"> er en potent og selektiv, </w:t>
      </w:r>
      <w:proofErr w:type="gramStart"/>
      <w:r w:rsidRPr="002C448C">
        <w:rPr>
          <w:sz w:val="24"/>
          <w:szCs w:val="24"/>
        </w:rPr>
        <w:t>reversibel</w:t>
      </w:r>
      <w:proofErr w:type="gramEnd"/>
      <w:r w:rsidRPr="002C448C">
        <w:rPr>
          <w:sz w:val="24"/>
          <w:szCs w:val="24"/>
        </w:rPr>
        <w:t xml:space="preserve"> hæmmer af </w:t>
      </w:r>
      <w:proofErr w:type="spellStart"/>
      <w:r w:rsidRPr="002C448C">
        <w:rPr>
          <w:sz w:val="24"/>
          <w:szCs w:val="24"/>
        </w:rPr>
        <w:t>phosphodiesterase</w:t>
      </w:r>
      <w:proofErr w:type="spellEnd"/>
      <w:r w:rsidRPr="002C448C">
        <w:rPr>
          <w:sz w:val="24"/>
          <w:szCs w:val="24"/>
        </w:rPr>
        <w:t xml:space="preserve"> type 5 (PDE5), som er det specifik enzym, der er ansvarlig for nedbrydningen af cyklisk </w:t>
      </w:r>
      <w:proofErr w:type="spellStart"/>
      <w:r w:rsidRPr="002C448C">
        <w:rPr>
          <w:sz w:val="24"/>
          <w:szCs w:val="24"/>
        </w:rPr>
        <w:t>guanosinmonophosphat</w:t>
      </w:r>
      <w:proofErr w:type="spellEnd"/>
      <w:r w:rsidRPr="002C448C">
        <w:rPr>
          <w:sz w:val="24"/>
          <w:szCs w:val="24"/>
        </w:rPr>
        <w:t xml:space="preserve"> (</w:t>
      </w:r>
      <w:proofErr w:type="spellStart"/>
      <w:r w:rsidRPr="002C448C">
        <w:rPr>
          <w:sz w:val="24"/>
          <w:szCs w:val="24"/>
        </w:rPr>
        <w:t>cGMP</w:t>
      </w:r>
      <w:proofErr w:type="spellEnd"/>
      <w:r w:rsidRPr="002C448C">
        <w:rPr>
          <w:sz w:val="24"/>
          <w:szCs w:val="24"/>
        </w:rPr>
        <w:t>).</w:t>
      </w:r>
    </w:p>
    <w:p w:rsidR="00973B20" w:rsidRPr="002C448C" w:rsidRDefault="00973B20" w:rsidP="00973B20">
      <w:pPr>
        <w:ind w:left="851" w:hanging="851"/>
        <w:rPr>
          <w:sz w:val="24"/>
          <w:szCs w:val="24"/>
        </w:rPr>
      </w:pPr>
    </w:p>
    <w:p w:rsidR="00973B20" w:rsidRDefault="00973B20" w:rsidP="00973B20">
      <w:pPr>
        <w:ind w:left="851"/>
        <w:rPr>
          <w:i/>
          <w:noProof/>
          <w:sz w:val="24"/>
          <w:szCs w:val="24"/>
        </w:rPr>
      </w:pPr>
      <w:r>
        <w:rPr>
          <w:i/>
          <w:noProof/>
          <w:sz w:val="24"/>
          <w:szCs w:val="24"/>
        </w:rPr>
        <w:t xml:space="preserve">Erektil dysfunktion og benign prostatahyperplasia </w:t>
      </w:r>
    </w:p>
    <w:p w:rsidR="00973B20" w:rsidRDefault="00973B20" w:rsidP="00973B20">
      <w:pPr>
        <w:ind w:left="851"/>
        <w:rPr>
          <w:sz w:val="24"/>
          <w:szCs w:val="24"/>
        </w:rPr>
      </w:pPr>
      <w:r>
        <w:rPr>
          <w:sz w:val="24"/>
          <w:szCs w:val="24"/>
        </w:rPr>
        <w:t xml:space="preserve">Når seksuel stimulation medfører lokal frigivelse af nitrogenoxid, giver </w:t>
      </w:r>
      <w:proofErr w:type="spellStart"/>
      <w:r>
        <w:rPr>
          <w:sz w:val="24"/>
          <w:szCs w:val="24"/>
        </w:rPr>
        <w:t>tadalafils</w:t>
      </w:r>
      <w:proofErr w:type="spellEnd"/>
      <w:r>
        <w:rPr>
          <w:sz w:val="24"/>
          <w:szCs w:val="24"/>
        </w:rPr>
        <w:t xml:space="preserve"> hæmning af PDE5 øgede mængder af </w:t>
      </w:r>
      <w:proofErr w:type="spellStart"/>
      <w:r>
        <w:rPr>
          <w:sz w:val="24"/>
          <w:szCs w:val="24"/>
        </w:rPr>
        <w:t>cGMP</w:t>
      </w:r>
      <w:proofErr w:type="spellEnd"/>
      <w:r>
        <w:rPr>
          <w:sz w:val="24"/>
          <w:szCs w:val="24"/>
        </w:rPr>
        <w:t xml:space="preserve"> i corpus </w:t>
      </w:r>
      <w:proofErr w:type="spellStart"/>
      <w:r>
        <w:rPr>
          <w:sz w:val="24"/>
          <w:szCs w:val="24"/>
        </w:rPr>
        <w:t>cavernosum</w:t>
      </w:r>
      <w:proofErr w:type="spellEnd"/>
      <w:r>
        <w:rPr>
          <w:sz w:val="24"/>
          <w:szCs w:val="24"/>
        </w:rPr>
        <w:t xml:space="preserve">. Dette medfører afslapning af den glatte muskulatur og tilstrømning af blod til de </w:t>
      </w:r>
      <w:proofErr w:type="spellStart"/>
      <w:r>
        <w:rPr>
          <w:sz w:val="24"/>
          <w:szCs w:val="24"/>
        </w:rPr>
        <w:t>penile</w:t>
      </w:r>
      <w:proofErr w:type="spellEnd"/>
      <w:r>
        <w:rPr>
          <w:sz w:val="24"/>
          <w:szCs w:val="24"/>
        </w:rPr>
        <w:t xml:space="preserve"> væv, hvorved erektionen fremkommer. Ved behandling af </w:t>
      </w:r>
      <w:proofErr w:type="spellStart"/>
      <w:r>
        <w:rPr>
          <w:sz w:val="24"/>
          <w:szCs w:val="24"/>
        </w:rPr>
        <w:t>erektil</w:t>
      </w:r>
      <w:proofErr w:type="spellEnd"/>
      <w:r>
        <w:rPr>
          <w:sz w:val="24"/>
          <w:szCs w:val="24"/>
        </w:rPr>
        <w:t xml:space="preserve"> dysfunktion har </w:t>
      </w:r>
      <w:proofErr w:type="spellStart"/>
      <w:r>
        <w:rPr>
          <w:sz w:val="24"/>
          <w:szCs w:val="24"/>
        </w:rPr>
        <w:t>tadalafil</w:t>
      </w:r>
      <w:proofErr w:type="spellEnd"/>
      <w:r>
        <w:rPr>
          <w:sz w:val="24"/>
          <w:szCs w:val="24"/>
        </w:rPr>
        <w:t xml:space="preserve"> ingen effekt uden seksuel stimulation. </w:t>
      </w:r>
    </w:p>
    <w:p w:rsidR="00973B20" w:rsidRDefault="00973B20" w:rsidP="00973B20">
      <w:pPr>
        <w:ind w:left="851"/>
        <w:rPr>
          <w:sz w:val="24"/>
          <w:szCs w:val="24"/>
        </w:rPr>
      </w:pPr>
    </w:p>
    <w:p w:rsidR="00973B20" w:rsidRDefault="00973B20" w:rsidP="00973B20">
      <w:pPr>
        <w:ind w:left="851"/>
        <w:rPr>
          <w:sz w:val="24"/>
          <w:szCs w:val="24"/>
        </w:rPr>
      </w:pPr>
      <w:r>
        <w:rPr>
          <w:sz w:val="24"/>
          <w:szCs w:val="24"/>
        </w:rPr>
        <w:t xml:space="preserve">Effekten af PDE5-hæmning på </w:t>
      </w:r>
      <w:proofErr w:type="spellStart"/>
      <w:r>
        <w:rPr>
          <w:sz w:val="24"/>
          <w:szCs w:val="24"/>
        </w:rPr>
        <w:t>cGMP</w:t>
      </w:r>
      <w:proofErr w:type="spellEnd"/>
      <w:r>
        <w:rPr>
          <w:sz w:val="24"/>
          <w:szCs w:val="24"/>
        </w:rPr>
        <w:t xml:space="preserve">-koncentrationen i corpus </w:t>
      </w:r>
      <w:proofErr w:type="spellStart"/>
      <w:r>
        <w:rPr>
          <w:sz w:val="24"/>
          <w:szCs w:val="24"/>
        </w:rPr>
        <w:t>cavernosum</w:t>
      </w:r>
      <w:proofErr w:type="spellEnd"/>
      <w:r>
        <w:rPr>
          <w:sz w:val="24"/>
          <w:szCs w:val="24"/>
        </w:rPr>
        <w:t xml:space="preserve"> er også observeret i den glatte muskulatur i prostata, blære og de tilførende kar. Den resulterende </w:t>
      </w:r>
      <w:proofErr w:type="spellStart"/>
      <w:r>
        <w:rPr>
          <w:sz w:val="24"/>
          <w:szCs w:val="24"/>
        </w:rPr>
        <w:t>vaskulære</w:t>
      </w:r>
      <w:proofErr w:type="spellEnd"/>
      <w:r>
        <w:rPr>
          <w:sz w:val="24"/>
          <w:szCs w:val="24"/>
        </w:rPr>
        <w:t xml:space="preserve"> afslapning øger blodgennemstrømningen, og det kan være denne mekanisme, som medfører reducerede symptomer ved benign </w:t>
      </w:r>
      <w:proofErr w:type="spellStart"/>
      <w:r>
        <w:rPr>
          <w:sz w:val="24"/>
          <w:szCs w:val="24"/>
        </w:rPr>
        <w:t>prostatahyperplasi</w:t>
      </w:r>
      <w:proofErr w:type="spellEnd"/>
      <w:r>
        <w:rPr>
          <w:sz w:val="24"/>
          <w:szCs w:val="24"/>
        </w:rPr>
        <w:t xml:space="preserve">. De </w:t>
      </w:r>
      <w:proofErr w:type="spellStart"/>
      <w:r>
        <w:rPr>
          <w:sz w:val="24"/>
          <w:szCs w:val="24"/>
        </w:rPr>
        <w:t>vaskulære</w:t>
      </w:r>
      <w:proofErr w:type="spellEnd"/>
      <w:r>
        <w:rPr>
          <w:sz w:val="24"/>
          <w:szCs w:val="24"/>
        </w:rPr>
        <w:t xml:space="preserve"> virkninger suppleres muligvis af hæmning af aktiviteten af blærens </w:t>
      </w:r>
      <w:proofErr w:type="spellStart"/>
      <w:r>
        <w:rPr>
          <w:sz w:val="24"/>
          <w:szCs w:val="24"/>
        </w:rPr>
        <w:t>afferente</w:t>
      </w:r>
      <w:proofErr w:type="spellEnd"/>
      <w:r>
        <w:rPr>
          <w:sz w:val="24"/>
          <w:szCs w:val="24"/>
        </w:rPr>
        <w:t xml:space="preserve"> nerver og afslapning af den glatte muskulatur i prostata og blære. </w:t>
      </w:r>
    </w:p>
    <w:p w:rsidR="00973B20" w:rsidRDefault="00973B20" w:rsidP="00973B20">
      <w:pPr>
        <w:ind w:left="851" w:hanging="851"/>
        <w:rPr>
          <w:sz w:val="24"/>
          <w:szCs w:val="24"/>
        </w:rPr>
      </w:pPr>
    </w:p>
    <w:p w:rsidR="00973B20" w:rsidRDefault="00973B20" w:rsidP="00973B20">
      <w:pPr>
        <w:ind w:left="851"/>
        <w:rPr>
          <w:i/>
          <w:sz w:val="24"/>
          <w:szCs w:val="24"/>
        </w:rPr>
      </w:pPr>
      <w:proofErr w:type="spellStart"/>
      <w:r>
        <w:rPr>
          <w:i/>
          <w:sz w:val="24"/>
          <w:szCs w:val="24"/>
        </w:rPr>
        <w:t>Pulmonær</w:t>
      </w:r>
      <w:proofErr w:type="spellEnd"/>
      <w:r>
        <w:rPr>
          <w:i/>
          <w:sz w:val="24"/>
          <w:szCs w:val="24"/>
        </w:rPr>
        <w:t xml:space="preserve"> arteriel hypertension</w:t>
      </w:r>
    </w:p>
    <w:p w:rsidR="00973B20" w:rsidRDefault="00973B20" w:rsidP="00973B20">
      <w:pPr>
        <w:autoSpaceDE w:val="0"/>
        <w:autoSpaceDN w:val="0"/>
        <w:adjustRightInd w:val="0"/>
        <w:ind w:left="851"/>
        <w:rPr>
          <w:sz w:val="24"/>
          <w:szCs w:val="24"/>
          <w:lang w:eastAsia="da-DK"/>
        </w:rPr>
      </w:pPr>
      <w:proofErr w:type="spellStart"/>
      <w:r>
        <w:rPr>
          <w:sz w:val="24"/>
          <w:szCs w:val="24"/>
          <w:lang w:eastAsia="da-DK"/>
        </w:rPr>
        <w:t>Pulmonal</w:t>
      </w:r>
      <w:proofErr w:type="spellEnd"/>
      <w:r>
        <w:rPr>
          <w:sz w:val="24"/>
          <w:szCs w:val="24"/>
          <w:lang w:eastAsia="da-DK"/>
        </w:rPr>
        <w:t xml:space="preserve"> arteriel hypertension er forbundet med nedsat frigørelse af nitrogenoxid fra det </w:t>
      </w:r>
      <w:proofErr w:type="spellStart"/>
      <w:r>
        <w:rPr>
          <w:sz w:val="24"/>
          <w:szCs w:val="24"/>
          <w:lang w:eastAsia="da-DK"/>
        </w:rPr>
        <w:t>vaskulære</w:t>
      </w:r>
      <w:proofErr w:type="spellEnd"/>
      <w:r>
        <w:rPr>
          <w:sz w:val="24"/>
          <w:szCs w:val="24"/>
          <w:lang w:eastAsia="da-DK"/>
        </w:rPr>
        <w:t xml:space="preserve"> </w:t>
      </w:r>
      <w:proofErr w:type="spellStart"/>
      <w:r>
        <w:rPr>
          <w:sz w:val="24"/>
          <w:szCs w:val="24"/>
          <w:lang w:eastAsia="da-DK"/>
        </w:rPr>
        <w:t>endotel</w:t>
      </w:r>
      <w:proofErr w:type="spellEnd"/>
      <w:r>
        <w:rPr>
          <w:sz w:val="24"/>
          <w:szCs w:val="24"/>
          <w:lang w:eastAsia="da-DK"/>
        </w:rPr>
        <w:t xml:space="preserve">, og en deraf følgende reduktion af </w:t>
      </w:r>
      <w:proofErr w:type="spellStart"/>
      <w:r>
        <w:rPr>
          <w:sz w:val="24"/>
          <w:szCs w:val="24"/>
          <w:lang w:eastAsia="da-DK"/>
        </w:rPr>
        <w:t>cGMP</w:t>
      </w:r>
      <w:proofErr w:type="spellEnd"/>
      <w:r>
        <w:rPr>
          <w:sz w:val="24"/>
          <w:szCs w:val="24"/>
          <w:lang w:eastAsia="da-DK"/>
        </w:rPr>
        <w:t xml:space="preserve">- koncentrationen i den glatte muskulatur i </w:t>
      </w:r>
      <w:proofErr w:type="spellStart"/>
      <w:r>
        <w:rPr>
          <w:sz w:val="24"/>
          <w:szCs w:val="24"/>
          <w:lang w:eastAsia="da-DK"/>
        </w:rPr>
        <w:t>pulmonale</w:t>
      </w:r>
      <w:proofErr w:type="spellEnd"/>
      <w:r>
        <w:rPr>
          <w:sz w:val="24"/>
          <w:szCs w:val="24"/>
          <w:lang w:eastAsia="da-DK"/>
        </w:rPr>
        <w:t xml:space="preserve"> blodkar. PDE5 er den dominerende </w:t>
      </w:r>
      <w:proofErr w:type="spellStart"/>
      <w:r>
        <w:rPr>
          <w:sz w:val="24"/>
          <w:szCs w:val="24"/>
          <w:lang w:eastAsia="da-DK"/>
        </w:rPr>
        <w:t>phosphodiesterase</w:t>
      </w:r>
      <w:proofErr w:type="spellEnd"/>
      <w:r>
        <w:rPr>
          <w:sz w:val="24"/>
          <w:szCs w:val="24"/>
          <w:lang w:eastAsia="da-DK"/>
        </w:rPr>
        <w:t xml:space="preserve"> i </w:t>
      </w:r>
      <w:proofErr w:type="spellStart"/>
      <w:r>
        <w:rPr>
          <w:sz w:val="24"/>
          <w:szCs w:val="24"/>
          <w:lang w:eastAsia="da-DK"/>
        </w:rPr>
        <w:t>pulmonale</w:t>
      </w:r>
      <w:proofErr w:type="spellEnd"/>
      <w:r>
        <w:rPr>
          <w:sz w:val="24"/>
          <w:szCs w:val="24"/>
          <w:lang w:eastAsia="da-DK"/>
        </w:rPr>
        <w:t xml:space="preserve"> blodkar. </w:t>
      </w:r>
      <w:proofErr w:type="spellStart"/>
      <w:r>
        <w:rPr>
          <w:sz w:val="24"/>
          <w:szCs w:val="24"/>
          <w:lang w:eastAsia="da-DK"/>
        </w:rPr>
        <w:t>Tadalafils</w:t>
      </w:r>
      <w:proofErr w:type="spellEnd"/>
      <w:r>
        <w:rPr>
          <w:sz w:val="24"/>
          <w:szCs w:val="24"/>
          <w:lang w:eastAsia="da-DK"/>
        </w:rPr>
        <w:t xml:space="preserve"> hæmning af PDE5 øger koncentrationen af </w:t>
      </w:r>
      <w:proofErr w:type="spellStart"/>
      <w:r>
        <w:rPr>
          <w:sz w:val="24"/>
          <w:szCs w:val="24"/>
          <w:lang w:eastAsia="da-DK"/>
        </w:rPr>
        <w:t>cGMP</w:t>
      </w:r>
      <w:proofErr w:type="spellEnd"/>
      <w:r>
        <w:rPr>
          <w:sz w:val="24"/>
          <w:szCs w:val="24"/>
          <w:lang w:eastAsia="da-DK"/>
        </w:rPr>
        <w:t xml:space="preserve"> og resulterer i afslapning af de glatte muskelceller i blodkarrene i lungerne og dilatation af den </w:t>
      </w:r>
      <w:proofErr w:type="spellStart"/>
      <w:r>
        <w:rPr>
          <w:sz w:val="24"/>
          <w:szCs w:val="24"/>
          <w:lang w:eastAsia="da-DK"/>
        </w:rPr>
        <w:t>pulmonale</w:t>
      </w:r>
      <w:proofErr w:type="spellEnd"/>
      <w:r>
        <w:rPr>
          <w:sz w:val="24"/>
          <w:szCs w:val="24"/>
          <w:lang w:eastAsia="da-DK"/>
        </w:rPr>
        <w:t xml:space="preserve"> </w:t>
      </w:r>
      <w:proofErr w:type="spellStart"/>
      <w:r>
        <w:rPr>
          <w:sz w:val="24"/>
          <w:szCs w:val="24"/>
          <w:lang w:eastAsia="da-DK"/>
        </w:rPr>
        <w:t>karseng</w:t>
      </w:r>
      <w:proofErr w:type="spellEnd"/>
      <w:r>
        <w:rPr>
          <w:sz w:val="24"/>
          <w:szCs w:val="24"/>
          <w:lang w:eastAsia="da-DK"/>
        </w:rPr>
        <w:t>.</w:t>
      </w:r>
    </w:p>
    <w:p w:rsidR="00973B20" w:rsidRDefault="00973B20" w:rsidP="00973B20">
      <w:pPr>
        <w:ind w:left="851" w:hanging="851"/>
        <w:rPr>
          <w:sz w:val="24"/>
          <w:szCs w:val="24"/>
          <w:u w:val="single"/>
        </w:rPr>
      </w:pPr>
    </w:p>
    <w:p w:rsidR="00973B20" w:rsidRDefault="00973B20" w:rsidP="00973B20">
      <w:pPr>
        <w:ind w:left="851"/>
        <w:rPr>
          <w:sz w:val="24"/>
          <w:szCs w:val="24"/>
          <w:u w:val="single"/>
        </w:rPr>
      </w:pPr>
      <w:proofErr w:type="spellStart"/>
      <w:r>
        <w:rPr>
          <w:sz w:val="24"/>
          <w:szCs w:val="24"/>
          <w:u w:val="single"/>
        </w:rPr>
        <w:t>Farmakodynamisk</w:t>
      </w:r>
      <w:proofErr w:type="spellEnd"/>
      <w:r>
        <w:rPr>
          <w:sz w:val="24"/>
          <w:szCs w:val="24"/>
          <w:u w:val="single"/>
        </w:rPr>
        <w:t xml:space="preserve"> virkning</w:t>
      </w:r>
    </w:p>
    <w:p w:rsidR="00973B20" w:rsidRDefault="00973B20" w:rsidP="00973B20">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-undersøgelser har vist, at </w:t>
      </w:r>
      <w:proofErr w:type="spellStart"/>
      <w:r>
        <w:rPr>
          <w:sz w:val="24"/>
          <w:szCs w:val="24"/>
        </w:rPr>
        <w:t>tadalafil</w:t>
      </w:r>
      <w:proofErr w:type="spellEnd"/>
      <w:r>
        <w:rPr>
          <w:sz w:val="24"/>
          <w:szCs w:val="24"/>
        </w:rPr>
        <w:t xml:space="preserve"> er en selektiv inhibitor af PDE5. PDE5 er et enzym, som findes i den glatte muskulatur i corpus </w:t>
      </w:r>
      <w:proofErr w:type="spellStart"/>
      <w:r>
        <w:rPr>
          <w:sz w:val="24"/>
          <w:szCs w:val="24"/>
        </w:rPr>
        <w:t>cavernosum</w:t>
      </w:r>
      <w:proofErr w:type="spellEnd"/>
      <w:r>
        <w:rPr>
          <w:sz w:val="24"/>
          <w:szCs w:val="24"/>
        </w:rPr>
        <w:t xml:space="preserve">, i </w:t>
      </w:r>
      <w:proofErr w:type="spellStart"/>
      <w:r>
        <w:rPr>
          <w:sz w:val="24"/>
          <w:szCs w:val="24"/>
        </w:rPr>
        <w:t>vaskulær</w:t>
      </w:r>
      <w:proofErr w:type="spellEnd"/>
      <w:r>
        <w:rPr>
          <w:sz w:val="24"/>
          <w:szCs w:val="24"/>
        </w:rPr>
        <w:t xml:space="preserve"> og </w:t>
      </w:r>
      <w:proofErr w:type="spellStart"/>
      <w:r>
        <w:rPr>
          <w:sz w:val="24"/>
          <w:szCs w:val="24"/>
        </w:rPr>
        <w:t>visceral</w:t>
      </w:r>
      <w:proofErr w:type="spellEnd"/>
      <w:r>
        <w:rPr>
          <w:sz w:val="24"/>
          <w:szCs w:val="24"/>
        </w:rPr>
        <w:t xml:space="preserve"> glat muskulatur, skeletmuskulatur, blodplader, nyrer, lunger samt </w:t>
      </w:r>
      <w:proofErr w:type="spellStart"/>
      <w:r>
        <w:rPr>
          <w:sz w:val="24"/>
          <w:szCs w:val="24"/>
        </w:rPr>
        <w:t>cerebellum</w:t>
      </w:r>
      <w:proofErr w:type="spellEnd"/>
      <w:r>
        <w:rPr>
          <w:sz w:val="24"/>
          <w:szCs w:val="24"/>
        </w:rPr>
        <w:t xml:space="preserve">. </w:t>
      </w:r>
      <w:proofErr w:type="spellStart"/>
      <w:r>
        <w:rPr>
          <w:sz w:val="24"/>
          <w:szCs w:val="24"/>
        </w:rPr>
        <w:t>Tadalafils</w:t>
      </w:r>
      <w:proofErr w:type="spellEnd"/>
      <w:r>
        <w:rPr>
          <w:sz w:val="24"/>
          <w:szCs w:val="24"/>
        </w:rPr>
        <w:t xml:space="preserve"> effekt er mere potent på PDE5 end på andre </w:t>
      </w:r>
      <w:proofErr w:type="spellStart"/>
      <w:r>
        <w:rPr>
          <w:sz w:val="24"/>
          <w:szCs w:val="24"/>
        </w:rPr>
        <w:t>phosphodiesteraser</w:t>
      </w:r>
      <w:proofErr w:type="spellEnd"/>
      <w:r>
        <w:rPr>
          <w:sz w:val="24"/>
          <w:szCs w:val="24"/>
        </w:rPr>
        <w:t xml:space="preserve">. </w:t>
      </w:r>
      <w:proofErr w:type="spellStart"/>
      <w:r>
        <w:rPr>
          <w:sz w:val="24"/>
          <w:szCs w:val="24"/>
        </w:rPr>
        <w:t>Tadalafil</w:t>
      </w:r>
      <w:proofErr w:type="spellEnd"/>
      <w:r>
        <w:rPr>
          <w:sz w:val="24"/>
          <w:szCs w:val="24"/>
        </w:rPr>
        <w:t xml:space="preserve"> er &gt; 10.000 gange mere potent overfor PDE5 end for PDE1, PDE2 og PDE4, som er enzymer, der findes i hjerte, hjerne, blodårer, lever og andre organer. </w:t>
      </w:r>
      <w:proofErr w:type="spellStart"/>
      <w:r>
        <w:rPr>
          <w:sz w:val="24"/>
          <w:szCs w:val="24"/>
        </w:rPr>
        <w:t>Tadalafil</w:t>
      </w:r>
      <w:proofErr w:type="spellEnd"/>
      <w:r>
        <w:rPr>
          <w:sz w:val="24"/>
          <w:szCs w:val="24"/>
        </w:rPr>
        <w:t xml:space="preserve"> er &gt; 10.000 gange mere potent overfor PDE5 end for PDE3, som er et enzym, der findes i hjerte og blodkar. Denne selektivitet for PDE5 i forhold til PDE3 er vigtig, fordi PDE3 er et enzym, der er involveret i hjertets </w:t>
      </w:r>
      <w:proofErr w:type="spellStart"/>
      <w:r>
        <w:rPr>
          <w:sz w:val="24"/>
          <w:szCs w:val="24"/>
        </w:rPr>
        <w:t>kontraktivitet</w:t>
      </w:r>
      <w:proofErr w:type="spellEnd"/>
      <w:r>
        <w:rPr>
          <w:sz w:val="24"/>
          <w:szCs w:val="24"/>
        </w:rPr>
        <w:t xml:space="preserve">. </w:t>
      </w:r>
      <w:proofErr w:type="spellStart"/>
      <w:r>
        <w:rPr>
          <w:sz w:val="24"/>
          <w:szCs w:val="24"/>
        </w:rPr>
        <w:t>Tadalafil</w:t>
      </w:r>
      <w:proofErr w:type="spellEnd"/>
      <w:r>
        <w:rPr>
          <w:sz w:val="24"/>
          <w:szCs w:val="24"/>
        </w:rPr>
        <w:t xml:space="preserve"> er tilmed ca. 700 gange mere potent overfor PDE5 end for PDE6, som er et enzym, der findes i </w:t>
      </w:r>
      <w:proofErr w:type="spellStart"/>
      <w:r>
        <w:rPr>
          <w:sz w:val="24"/>
          <w:szCs w:val="24"/>
        </w:rPr>
        <w:t>retina</w:t>
      </w:r>
      <w:proofErr w:type="spellEnd"/>
      <w:r>
        <w:rPr>
          <w:sz w:val="24"/>
          <w:szCs w:val="24"/>
        </w:rPr>
        <w:t xml:space="preserve">, og som er ansvarlig for </w:t>
      </w:r>
      <w:proofErr w:type="spellStart"/>
      <w:r>
        <w:rPr>
          <w:sz w:val="24"/>
          <w:szCs w:val="24"/>
        </w:rPr>
        <w:t>fototransduktionen</w:t>
      </w:r>
      <w:proofErr w:type="spellEnd"/>
      <w:r>
        <w:rPr>
          <w:sz w:val="24"/>
          <w:szCs w:val="24"/>
        </w:rPr>
        <w:t xml:space="preserve">. </w:t>
      </w:r>
      <w:proofErr w:type="spellStart"/>
      <w:r>
        <w:rPr>
          <w:sz w:val="24"/>
          <w:szCs w:val="24"/>
        </w:rPr>
        <w:t>Tadalafil</w:t>
      </w:r>
      <w:proofErr w:type="spellEnd"/>
      <w:r>
        <w:rPr>
          <w:sz w:val="24"/>
          <w:szCs w:val="24"/>
        </w:rPr>
        <w:t xml:space="preserve"> er også &gt; 10.000 gange mere potent overfor PDE5 end for PDE7- PDE10.</w:t>
      </w:r>
    </w:p>
    <w:p w:rsidR="00973B20" w:rsidRDefault="00973B20" w:rsidP="00973B20">
      <w:pPr>
        <w:ind w:left="851" w:hanging="851"/>
        <w:rPr>
          <w:sz w:val="24"/>
          <w:szCs w:val="24"/>
        </w:rPr>
      </w:pPr>
    </w:p>
    <w:p w:rsidR="00973B20" w:rsidRDefault="00973B20" w:rsidP="00973B20">
      <w:pPr>
        <w:ind w:left="851"/>
        <w:rPr>
          <w:sz w:val="24"/>
          <w:szCs w:val="24"/>
          <w:u w:val="single"/>
        </w:rPr>
      </w:pPr>
      <w:r>
        <w:rPr>
          <w:sz w:val="24"/>
          <w:szCs w:val="24"/>
          <w:u w:val="single"/>
        </w:rPr>
        <w:t>Klinisk virkning og sikkerhed</w:t>
      </w:r>
    </w:p>
    <w:p w:rsidR="00973B20" w:rsidRDefault="00973B20" w:rsidP="00973B20">
      <w:pPr>
        <w:ind w:left="851" w:hanging="851"/>
        <w:rPr>
          <w:sz w:val="24"/>
          <w:szCs w:val="24"/>
        </w:rPr>
      </w:pPr>
    </w:p>
    <w:p w:rsidR="00973B20" w:rsidRDefault="00973B20" w:rsidP="00973B20">
      <w:pPr>
        <w:ind w:left="851"/>
        <w:rPr>
          <w:i/>
          <w:sz w:val="24"/>
          <w:szCs w:val="24"/>
        </w:rPr>
      </w:pPr>
      <w:proofErr w:type="spellStart"/>
      <w:r>
        <w:rPr>
          <w:i/>
          <w:sz w:val="24"/>
          <w:szCs w:val="24"/>
        </w:rPr>
        <w:t>Erektil</w:t>
      </w:r>
      <w:proofErr w:type="spellEnd"/>
      <w:r>
        <w:rPr>
          <w:i/>
          <w:sz w:val="24"/>
          <w:szCs w:val="24"/>
        </w:rPr>
        <w:t xml:space="preserve"> dysfunktion</w:t>
      </w:r>
    </w:p>
    <w:p w:rsidR="00973B20" w:rsidRDefault="00973B20" w:rsidP="00973B20">
      <w:pPr>
        <w:ind w:left="851"/>
        <w:rPr>
          <w:sz w:val="24"/>
          <w:szCs w:val="24"/>
        </w:rPr>
      </w:pPr>
      <w:r>
        <w:rPr>
          <w:sz w:val="24"/>
          <w:szCs w:val="24"/>
        </w:rPr>
        <w:lastRenderedPageBreak/>
        <w:t xml:space="preserve">Der blev udført tre kliniske studier med 1.054 patienter i hjemlige omgivelser for at bestemme virkningsperioden for </w:t>
      </w:r>
      <w:proofErr w:type="spellStart"/>
      <w:r>
        <w:rPr>
          <w:sz w:val="24"/>
          <w:szCs w:val="24"/>
        </w:rPr>
        <w:t>tadalafil</w:t>
      </w:r>
      <w:proofErr w:type="spellEnd"/>
      <w:r>
        <w:rPr>
          <w:sz w:val="24"/>
          <w:szCs w:val="24"/>
        </w:rPr>
        <w:t xml:space="preserve"> taget efter behov. </w:t>
      </w:r>
      <w:proofErr w:type="spellStart"/>
      <w:r>
        <w:rPr>
          <w:sz w:val="24"/>
          <w:szCs w:val="24"/>
        </w:rPr>
        <w:t>Tadalafil</w:t>
      </w:r>
      <w:proofErr w:type="spellEnd"/>
      <w:r>
        <w:rPr>
          <w:sz w:val="24"/>
          <w:szCs w:val="24"/>
        </w:rPr>
        <w:t xml:space="preserve"> udviste statistisk signifikant forbedring i forhold til placebo i den </w:t>
      </w:r>
      <w:proofErr w:type="spellStart"/>
      <w:r>
        <w:rPr>
          <w:sz w:val="24"/>
          <w:szCs w:val="24"/>
        </w:rPr>
        <w:t>erektile</w:t>
      </w:r>
      <w:proofErr w:type="spellEnd"/>
      <w:r>
        <w:rPr>
          <w:sz w:val="24"/>
          <w:szCs w:val="24"/>
        </w:rPr>
        <w:t xml:space="preserve"> funktion og i evnen til at gennemføre et samleje i op til 36 timer efter doseringen såvel som i patienternes evne til at opnå og opretholde erektioner til gennemførelse af samleje så tidligt som 16 minutter efter dosering. </w:t>
      </w:r>
    </w:p>
    <w:p w:rsidR="00973B20" w:rsidRDefault="00973B20" w:rsidP="00973B20">
      <w:pPr>
        <w:ind w:left="851"/>
        <w:rPr>
          <w:sz w:val="24"/>
          <w:szCs w:val="24"/>
        </w:rPr>
      </w:pPr>
    </w:p>
    <w:p w:rsidR="00973B20" w:rsidRDefault="00973B20" w:rsidP="00973B20">
      <w:pPr>
        <w:ind w:left="851"/>
        <w:rPr>
          <w:sz w:val="24"/>
          <w:szCs w:val="24"/>
        </w:rPr>
      </w:pPr>
      <w:r>
        <w:rPr>
          <w:sz w:val="24"/>
          <w:szCs w:val="24"/>
        </w:rPr>
        <w:t xml:space="preserve">For vedvarende doser af </w:t>
      </w:r>
      <w:proofErr w:type="spellStart"/>
      <w:r>
        <w:rPr>
          <w:sz w:val="24"/>
          <w:szCs w:val="24"/>
        </w:rPr>
        <w:t>tadalafil</w:t>
      </w:r>
      <w:proofErr w:type="spellEnd"/>
      <w:r>
        <w:rPr>
          <w:sz w:val="24"/>
          <w:szCs w:val="24"/>
        </w:rPr>
        <w:t xml:space="preserve"> mellem 2 og 100 mg er der blevet evalueret 16 kliniske studier med 3.250 involverede patienter med varierende grad (mild, moderat, alvorlig) af </w:t>
      </w:r>
      <w:proofErr w:type="spellStart"/>
      <w:r>
        <w:rPr>
          <w:sz w:val="24"/>
          <w:szCs w:val="24"/>
        </w:rPr>
        <w:t>erektil</w:t>
      </w:r>
      <w:proofErr w:type="spellEnd"/>
      <w:r>
        <w:rPr>
          <w:sz w:val="24"/>
          <w:szCs w:val="24"/>
        </w:rPr>
        <w:t xml:space="preserve"> dysfunktion, ætiologi, alder (21-86 år) og etnicitet. De fleste patienter rapporterede </w:t>
      </w:r>
      <w:proofErr w:type="spellStart"/>
      <w:r>
        <w:rPr>
          <w:sz w:val="24"/>
          <w:szCs w:val="24"/>
        </w:rPr>
        <w:t>erektil</w:t>
      </w:r>
      <w:proofErr w:type="spellEnd"/>
      <w:r>
        <w:rPr>
          <w:sz w:val="24"/>
          <w:szCs w:val="24"/>
        </w:rPr>
        <w:t xml:space="preserve"> dysfunktion med en varighed på et år. I de primære undersøgelser af effekt hos den generelle population, 81 % af patienterne rapporterede at </w:t>
      </w:r>
      <w:proofErr w:type="spellStart"/>
      <w:r>
        <w:rPr>
          <w:sz w:val="24"/>
          <w:szCs w:val="24"/>
        </w:rPr>
        <w:t>tadalafil</w:t>
      </w:r>
      <w:proofErr w:type="spellEnd"/>
      <w:r>
        <w:rPr>
          <w:sz w:val="24"/>
          <w:szCs w:val="24"/>
        </w:rPr>
        <w:t xml:space="preserve"> havde forbedret deres erektion, sammenlignet med 35 % ved brug af placebo. Desuden blev der rapporteret forbedring, ved alle kategorier af grader af </w:t>
      </w:r>
      <w:proofErr w:type="spellStart"/>
      <w:r>
        <w:rPr>
          <w:sz w:val="24"/>
          <w:szCs w:val="24"/>
        </w:rPr>
        <w:t>erektil</w:t>
      </w:r>
      <w:proofErr w:type="spellEnd"/>
      <w:r>
        <w:rPr>
          <w:sz w:val="24"/>
          <w:szCs w:val="24"/>
        </w:rPr>
        <w:t xml:space="preserve"> dysfunktion, ved indtagelse af </w:t>
      </w:r>
      <w:proofErr w:type="spellStart"/>
      <w:r>
        <w:rPr>
          <w:sz w:val="24"/>
          <w:szCs w:val="24"/>
        </w:rPr>
        <w:t>tadalafil</w:t>
      </w:r>
      <w:proofErr w:type="spellEnd"/>
      <w:r>
        <w:rPr>
          <w:sz w:val="24"/>
          <w:szCs w:val="24"/>
        </w:rPr>
        <w:t xml:space="preserve"> (86 %, 83 %, og 72 % for mild, moderat, og alvorlig, sammenlignet med 45 %, 42 %, og 19 % med placebo). I de primære undersøgelser af effekt var andelen af vellykkede forsøg på samleje per patient behandlet med </w:t>
      </w:r>
      <w:proofErr w:type="spellStart"/>
      <w:r>
        <w:rPr>
          <w:sz w:val="24"/>
          <w:szCs w:val="24"/>
        </w:rPr>
        <w:t>tadalafil</w:t>
      </w:r>
      <w:proofErr w:type="spellEnd"/>
      <w:r>
        <w:rPr>
          <w:sz w:val="24"/>
          <w:szCs w:val="24"/>
        </w:rPr>
        <w:t xml:space="preserve"> 75 % sammenlignet med 32 % ved brug af placebo. </w:t>
      </w:r>
    </w:p>
    <w:p w:rsidR="00973B20" w:rsidRDefault="00973B20" w:rsidP="00973B20">
      <w:pPr>
        <w:ind w:left="851" w:hanging="851"/>
        <w:rPr>
          <w:sz w:val="24"/>
          <w:szCs w:val="24"/>
        </w:rPr>
      </w:pPr>
      <w:r>
        <w:rPr>
          <w:sz w:val="24"/>
          <w:szCs w:val="24"/>
        </w:rPr>
        <w:t xml:space="preserve"> </w:t>
      </w:r>
    </w:p>
    <w:p w:rsidR="00973B20" w:rsidRDefault="00973B20" w:rsidP="00973B20">
      <w:pPr>
        <w:ind w:left="851"/>
        <w:rPr>
          <w:sz w:val="24"/>
          <w:szCs w:val="24"/>
        </w:rPr>
      </w:pPr>
      <w:proofErr w:type="spellStart"/>
      <w:r>
        <w:rPr>
          <w:sz w:val="24"/>
          <w:szCs w:val="24"/>
        </w:rPr>
        <w:t>Tadalafil</w:t>
      </w:r>
      <w:proofErr w:type="spellEnd"/>
      <w:r>
        <w:rPr>
          <w:sz w:val="24"/>
          <w:szCs w:val="24"/>
        </w:rPr>
        <w:t xml:space="preserve"> blev initialt undersøgt i doser på 2,5, 5 og 10 mg én gang daglig i 3 kliniske studier med 853 patienter af forskellig alder (21-82 år) og forskellig etnisk oprindelse og med </w:t>
      </w:r>
      <w:proofErr w:type="spellStart"/>
      <w:r>
        <w:rPr>
          <w:sz w:val="24"/>
          <w:szCs w:val="24"/>
        </w:rPr>
        <w:t>erektil</w:t>
      </w:r>
      <w:proofErr w:type="spellEnd"/>
      <w:r>
        <w:rPr>
          <w:sz w:val="24"/>
          <w:szCs w:val="24"/>
        </w:rPr>
        <w:t xml:space="preserve"> dysfunktion af forskellige sværhedsgrader (mild, moderat, svær) og ætiologi. I de to primære undersøgelser af effekt hos den generelle population var den gennemsnitlige andel af vellykkede forsøg på samleje per patient 57% og 67 % på </w:t>
      </w:r>
      <w:proofErr w:type="spellStart"/>
      <w:r>
        <w:rPr>
          <w:sz w:val="24"/>
          <w:szCs w:val="24"/>
        </w:rPr>
        <w:t>tadalafil</w:t>
      </w:r>
      <w:proofErr w:type="spellEnd"/>
      <w:r>
        <w:rPr>
          <w:sz w:val="24"/>
          <w:szCs w:val="24"/>
        </w:rPr>
        <w:t xml:space="preserve"> 5 mg og 50 % på </w:t>
      </w:r>
      <w:proofErr w:type="spellStart"/>
      <w:r>
        <w:rPr>
          <w:sz w:val="24"/>
          <w:szCs w:val="24"/>
        </w:rPr>
        <w:t>tadalafil</w:t>
      </w:r>
      <w:proofErr w:type="spellEnd"/>
      <w:r>
        <w:rPr>
          <w:sz w:val="24"/>
          <w:szCs w:val="24"/>
        </w:rPr>
        <w:t xml:space="preserve"> 2,5 mg sammenlignet med 31 og 37 % med placebo. I studiet med patienter, der havde </w:t>
      </w:r>
      <w:proofErr w:type="spellStart"/>
      <w:r>
        <w:rPr>
          <w:sz w:val="24"/>
          <w:szCs w:val="24"/>
        </w:rPr>
        <w:t>erektil</w:t>
      </w:r>
      <w:proofErr w:type="spellEnd"/>
      <w:r>
        <w:rPr>
          <w:sz w:val="24"/>
          <w:szCs w:val="24"/>
        </w:rPr>
        <w:t xml:space="preserve"> dysfunktion sekundært til diabetes, var den gennemsnitlige andel af vellykkede forsøg per patient henholdsvis 41 og 46 % på </w:t>
      </w:r>
      <w:proofErr w:type="spellStart"/>
      <w:r>
        <w:rPr>
          <w:sz w:val="24"/>
          <w:szCs w:val="24"/>
        </w:rPr>
        <w:t>tadalafil</w:t>
      </w:r>
      <w:proofErr w:type="spellEnd"/>
      <w:r>
        <w:rPr>
          <w:sz w:val="24"/>
          <w:szCs w:val="24"/>
        </w:rPr>
        <w:t xml:space="preserve"> 5 mg og 2,5 mg, sammenlignet med 28 % med placebo. De fleste patienter i disse tre studier havde effekt af tidligere </w:t>
      </w:r>
      <w:proofErr w:type="spellStart"/>
      <w:r>
        <w:rPr>
          <w:sz w:val="24"/>
          <w:szCs w:val="24"/>
        </w:rPr>
        <w:t>p.n</w:t>
      </w:r>
      <w:proofErr w:type="spellEnd"/>
      <w:r>
        <w:rPr>
          <w:sz w:val="24"/>
          <w:szCs w:val="24"/>
        </w:rPr>
        <w:t xml:space="preserve">.-behandling med PDE5-inhibitorer. I et efterfølgende studie blev 217 patienter, som var behandlingsnaive med hensyn til PDE5-inhibitorer, randomiseret til </w:t>
      </w:r>
      <w:proofErr w:type="spellStart"/>
      <w:r>
        <w:rPr>
          <w:sz w:val="24"/>
          <w:szCs w:val="24"/>
        </w:rPr>
        <w:t>tadalafil</w:t>
      </w:r>
      <w:proofErr w:type="spellEnd"/>
      <w:r>
        <w:rPr>
          <w:sz w:val="24"/>
          <w:szCs w:val="24"/>
        </w:rPr>
        <w:t xml:space="preserve"> 5 mg en gang daglig versus placebo. Den gennemsnitlige andel af vellykkede forsøg på samleje var 68% for </w:t>
      </w:r>
      <w:proofErr w:type="spellStart"/>
      <w:r>
        <w:rPr>
          <w:sz w:val="24"/>
          <w:szCs w:val="24"/>
        </w:rPr>
        <w:t>tadalafil</w:t>
      </w:r>
      <w:proofErr w:type="spellEnd"/>
      <w:r>
        <w:rPr>
          <w:sz w:val="24"/>
          <w:szCs w:val="24"/>
        </w:rPr>
        <w:t>-patienter sammenlignet med 52% for patienter på placebo.</w:t>
      </w:r>
    </w:p>
    <w:p w:rsidR="00973B20" w:rsidRDefault="00973B20" w:rsidP="00973B20">
      <w:pPr>
        <w:ind w:left="851" w:hanging="851"/>
        <w:rPr>
          <w:sz w:val="24"/>
          <w:szCs w:val="24"/>
        </w:rPr>
      </w:pPr>
    </w:p>
    <w:p w:rsidR="00973B20" w:rsidRDefault="00973B20" w:rsidP="00973B20">
      <w:pPr>
        <w:ind w:left="851"/>
        <w:rPr>
          <w:i/>
          <w:sz w:val="24"/>
          <w:szCs w:val="24"/>
        </w:rPr>
      </w:pPr>
      <w:r>
        <w:rPr>
          <w:i/>
          <w:sz w:val="24"/>
          <w:szCs w:val="24"/>
        </w:rPr>
        <w:t xml:space="preserve">Benign </w:t>
      </w:r>
      <w:proofErr w:type="spellStart"/>
      <w:r>
        <w:rPr>
          <w:i/>
          <w:sz w:val="24"/>
          <w:szCs w:val="24"/>
        </w:rPr>
        <w:t>prostatahyperplasi</w:t>
      </w:r>
      <w:proofErr w:type="spellEnd"/>
    </w:p>
    <w:p w:rsidR="00973B20" w:rsidRDefault="00973B20" w:rsidP="00973B20">
      <w:pPr>
        <w:ind w:left="851"/>
        <w:rPr>
          <w:sz w:val="24"/>
          <w:szCs w:val="24"/>
        </w:rPr>
      </w:pPr>
      <w:proofErr w:type="spellStart"/>
      <w:r>
        <w:rPr>
          <w:sz w:val="24"/>
          <w:szCs w:val="24"/>
        </w:rPr>
        <w:t>Tadalafil</w:t>
      </w:r>
      <w:proofErr w:type="spellEnd"/>
      <w:r>
        <w:rPr>
          <w:sz w:val="24"/>
          <w:szCs w:val="24"/>
        </w:rPr>
        <w:t xml:space="preserve"> blev undersøgt i 4 kliniske studier, som varede i 12 uger og inkluderede over 1.500 patienter med tegn og symptomer på benign </w:t>
      </w:r>
      <w:proofErr w:type="spellStart"/>
      <w:r>
        <w:rPr>
          <w:sz w:val="24"/>
          <w:szCs w:val="24"/>
        </w:rPr>
        <w:t>prostatahyperplasi</w:t>
      </w:r>
      <w:proofErr w:type="spellEnd"/>
      <w:r>
        <w:rPr>
          <w:sz w:val="24"/>
          <w:szCs w:val="24"/>
        </w:rPr>
        <w:t xml:space="preserve">. Forbedringen i den totale </w:t>
      </w:r>
      <w:r>
        <w:rPr>
          <w:i/>
          <w:iCs/>
          <w:sz w:val="24"/>
          <w:szCs w:val="24"/>
        </w:rPr>
        <w:t xml:space="preserve">international </w:t>
      </w:r>
      <w:proofErr w:type="spellStart"/>
      <w:r>
        <w:rPr>
          <w:i/>
          <w:iCs/>
          <w:sz w:val="24"/>
          <w:szCs w:val="24"/>
        </w:rPr>
        <w:t>prostate</w:t>
      </w:r>
      <w:proofErr w:type="spellEnd"/>
      <w:r>
        <w:rPr>
          <w:i/>
          <w:iCs/>
          <w:sz w:val="24"/>
          <w:szCs w:val="24"/>
        </w:rPr>
        <w:t xml:space="preserve"> symptom score </w:t>
      </w:r>
      <w:r>
        <w:rPr>
          <w:sz w:val="24"/>
          <w:szCs w:val="24"/>
        </w:rPr>
        <w:t xml:space="preserve">med </w:t>
      </w:r>
      <w:proofErr w:type="spellStart"/>
      <w:r>
        <w:rPr>
          <w:sz w:val="24"/>
          <w:szCs w:val="24"/>
        </w:rPr>
        <w:t>tadalafil</w:t>
      </w:r>
      <w:proofErr w:type="spellEnd"/>
      <w:r>
        <w:rPr>
          <w:sz w:val="24"/>
          <w:szCs w:val="24"/>
        </w:rPr>
        <w:t xml:space="preserve"> 5 mg i de fire studier var -4,8, -5,6, -6,1 og -6,3 sammenlignet med -2,2, -3,6, -3,8 og -4,2 for placebo. Forbedringen i den totale </w:t>
      </w:r>
      <w:r>
        <w:rPr>
          <w:i/>
          <w:iCs/>
          <w:sz w:val="24"/>
          <w:szCs w:val="24"/>
        </w:rPr>
        <w:t xml:space="preserve">international </w:t>
      </w:r>
      <w:proofErr w:type="spellStart"/>
      <w:r>
        <w:rPr>
          <w:i/>
          <w:iCs/>
          <w:sz w:val="24"/>
          <w:szCs w:val="24"/>
        </w:rPr>
        <w:t>prostate</w:t>
      </w:r>
      <w:proofErr w:type="spellEnd"/>
      <w:r>
        <w:rPr>
          <w:i/>
          <w:iCs/>
          <w:sz w:val="24"/>
          <w:szCs w:val="24"/>
        </w:rPr>
        <w:t xml:space="preserve"> symptom score </w:t>
      </w:r>
      <w:r>
        <w:rPr>
          <w:sz w:val="24"/>
          <w:szCs w:val="24"/>
        </w:rPr>
        <w:t xml:space="preserve">er set så tidligt som efter 1 uge. I et af studierne, som også omfattede </w:t>
      </w:r>
      <w:proofErr w:type="spellStart"/>
      <w:r>
        <w:rPr>
          <w:sz w:val="24"/>
          <w:szCs w:val="24"/>
        </w:rPr>
        <w:t>tamsulosin</w:t>
      </w:r>
      <w:proofErr w:type="spellEnd"/>
      <w:r>
        <w:rPr>
          <w:sz w:val="24"/>
          <w:szCs w:val="24"/>
        </w:rPr>
        <w:t xml:space="preserve"> 0,4 mg som aktiv </w:t>
      </w:r>
      <w:proofErr w:type="spellStart"/>
      <w:r>
        <w:rPr>
          <w:sz w:val="24"/>
          <w:szCs w:val="24"/>
        </w:rPr>
        <w:t>komparator</w:t>
      </w:r>
      <w:proofErr w:type="spellEnd"/>
      <w:r>
        <w:rPr>
          <w:sz w:val="24"/>
          <w:szCs w:val="24"/>
        </w:rPr>
        <w:t xml:space="preserve">, var forbedringen i den totale </w:t>
      </w:r>
      <w:r>
        <w:rPr>
          <w:i/>
          <w:iCs/>
          <w:sz w:val="24"/>
          <w:szCs w:val="24"/>
        </w:rPr>
        <w:t xml:space="preserve">international </w:t>
      </w:r>
      <w:proofErr w:type="spellStart"/>
      <w:r>
        <w:rPr>
          <w:i/>
          <w:iCs/>
          <w:sz w:val="24"/>
          <w:szCs w:val="24"/>
        </w:rPr>
        <w:t>prostate</w:t>
      </w:r>
      <w:proofErr w:type="spellEnd"/>
      <w:r>
        <w:rPr>
          <w:i/>
          <w:iCs/>
          <w:sz w:val="24"/>
          <w:szCs w:val="24"/>
        </w:rPr>
        <w:t xml:space="preserve"> symptom score </w:t>
      </w:r>
      <w:r>
        <w:rPr>
          <w:sz w:val="24"/>
          <w:szCs w:val="24"/>
        </w:rPr>
        <w:t xml:space="preserve">med CIALIS 5 mg, </w:t>
      </w:r>
      <w:proofErr w:type="spellStart"/>
      <w:r>
        <w:rPr>
          <w:sz w:val="24"/>
          <w:szCs w:val="24"/>
        </w:rPr>
        <w:t>tamsulosin</w:t>
      </w:r>
      <w:proofErr w:type="spellEnd"/>
      <w:r>
        <w:rPr>
          <w:sz w:val="24"/>
          <w:szCs w:val="24"/>
        </w:rPr>
        <w:t xml:space="preserve"> og placebo henholdsvis -6,3, -5,7 og -4,2.</w:t>
      </w:r>
    </w:p>
    <w:p w:rsidR="00973B20" w:rsidRDefault="00973B20" w:rsidP="00973B20">
      <w:pPr>
        <w:ind w:left="851" w:hanging="851"/>
        <w:rPr>
          <w:i/>
          <w:sz w:val="24"/>
          <w:szCs w:val="24"/>
        </w:rPr>
      </w:pPr>
    </w:p>
    <w:p w:rsidR="00973B20" w:rsidRDefault="00973B20" w:rsidP="00973B20">
      <w:pPr>
        <w:ind w:left="851"/>
        <w:rPr>
          <w:i/>
          <w:sz w:val="24"/>
          <w:szCs w:val="24"/>
        </w:rPr>
      </w:pPr>
      <w:proofErr w:type="spellStart"/>
      <w:r>
        <w:rPr>
          <w:i/>
          <w:sz w:val="24"/>
          <w:szCs w:val="24"/>
        </w:rPr>
        <w:t>Pulmonal</w:t>
      </w:r>
      <w:proofErr w:type="spellEnd"/>
      <w:r>
        <w:rPr>
          <w:i/>
          <w:sz w:val="24"/>
          <w:szCs w:val="24"/>
        </w:rPr>
        <w:t xml:space="preserve"> arteriel hypertension (PAH) hos voksne</w:t>
      </w:r>
    </w:p>
    <w:p w:rsidR="00973B20" w:rsidRDefault="00973B20" w:rsidP="00973B20">
      <w:pPr>
        <w:ind w:left="851"/>
        <w:rPr>
          <w:sz w:val="24"/>
          <w:szCs w:val="24"/>
        </w:rPr>
      </w:pPr>
      <w:r>
        <w:rPr>
          <w:sz w:val="24"/>
          <w:szCs w:val="24"/>
        </w:rPr>
        <w:t xml:space="preserve">Et randomiseret dobbeltblindt placebokontrolleret studie blev udført på 405 patienter med </w:t>
      </w:r>
      <w:proofErr w:type="spellStart"/>
      <w:r>
        <w:rPr>
          <w:sz w:val="24"/>
          <w:szCs w:val="24"/>
        </w:rPr>
        <w:t>pulmonal</w:t>
      </w:r>
      <w:proofErr w:type="spellEnd"/>
      <w:r>
        <w:rPr>
          <w:sz w:val="24"/>
          <w:szCs w:val="24"/>
        </w:rPr>
        <w:t xml:space="preserve"> arteriel hypertension. Tilladt tillægsbehandling inkluderede </w:t>
      </w:r>
      <w:proofErr w:type="spellStart"/>
      <w:r>
        <w:rPr>
          <w:sz w:val="24"/>
          <w:szCs w:val="24"/>
        </w:rPr>
        <w:t>bosentan</w:t>
      </w:r>
      <w:proofErr w:type="spellEnd"/>
      <w:r>
        <w:rPr>
          <w:sz w:val="24"/>
          <w:szCs w:val="24"/>
        </w:rPr>
        <w:t xml:space="preserve"> (stabil vedligeholdelsesdosis på op til 125 mg to gange daglig) og kontinuerlig </w:t>
      </w:r>
      <w:proofErr w:type="spellStart"/>
      <w:r>
        <w:rPr>
          <w:sz w:val="24"/>
          <w:szCs w:val="24"/>
        </w:rPr>
        <w:t>antikoagulans</w:t>
      </w:r>
      <w:r>
        <w:rPr>
          <w:sz w:val="24"/>
          <w:szCs w:val="24"/>
        </w:rPr>
        <w:softHyphen/>
        <w:t>behandling</w:t>
      </w:r>
      <w:proofErr w:type="spellEnd"/>
      <w:r>
        <w:rPr>
          <w:sz w:val="24"/>
          <w:szCs w:val="24"/>
        </w:rPr>
        <w:t xml:space="preserve">, </w:t>
      </w:r>
      <w:proofErr w:type="spellStart"/>
      <w:r>
        <w:rPr>
          <w:sz w:val="24"/>
          <w:szCs w:val="24"/>
        </w:rPr>
        <w:t>digoxin</w:t>
      </w:r>
      <w:proofErr w:type="spellEnd"/>
      <w:r>
        <w:rPr>
          <w:sz w:val="24"/>
          <w:szCs w:val="24"/>
        </w:rPr>
        <w:t xml:space="preserve">, </w:t>
      </w:r>
      <w:proofErr w:type="spellStart"/>
      <w:r>
        <w:rPr>
          <w:sz w:val="24"/>
          <w:szCs w:val="24"/>
        </w:rPr>
        <w:t>diuretika</w:t>
      </w:r>
      <w:proofErr w:type="spellEnd"/>
      <w:r>
        <w:rPr>
          <w:sz w:val="24"/>
          <w:szCs w:val="24"/>
        </w:rPr>
        <w:t xml:space="preserve"> og oxygen. I studiet fik mere end halvdelen (53,3 %) af patienterne samtidig </w:t>
      </w:r>
      <w:proofErr w:type="spellStart"/>
      <w:r>
        <w:rPr>
          <w:sz w:val="24"/>
          <w:szCs w:val="24"/>
        </w:rPr>
        <w:t>bosentanbehandling</w:t>
      </w:r>
      <w:proofErr w:type="spellEnd"/>
      <w:r>
        <w:rPr>
          <w:sz w:val="24"/>
          <w:szCs w:val="24"/>
        </w:rPr>
        <w:t>.</w:t>
      </w:r>
    </w:p>
    <w:p w:rsidR="00973B20" w:rsidRDefault="00973B20" w:rsidP="00973B20">
      <w:pPr>
        <w:ind w:left="851" w:hanging="851"/>
        <w:rPr>
          <w:sz w:val="24"/>
          <w:szCs w:val="24"/>
        </w:rPr>
      </w:pPr>
    </w:p>
    <w:p w:rsidR="00973B20" w:rsidRDefault="00973B20" w:rsidP="00973B20">
      <w:pPr>
        <w:ind w:left="851"/>
        <w:rPr>
          <w:sz w:val="24"/>
          <w:szCs w:val="24"/>
        </w:rPr>
      </w:pPr>
      <w:r>
        <w:rPr>
          <w:sz w:val="24"/>
          <w:szCs w:val="24"/>
        </w:rPr>
        <w:lastRenderedPageBreak/>
        <w:t>Patienterne blev randomiseret til en af fem behandlingsgrupper (</w:t>
      </w:r>
      <w:proofErr w:type="spellStart"/>
      <w:r>
        <w:rPr>
          <w:sz w:val="24"/>
          <w:szCs w:val="24"/>
        </w:rPr>
        <w:t>tadalafil</w:t>
      </w:r>
      <w:proofErr w:type="spellEnd"/>
      <w:r>
        <w:rPr>
          <w:sz w:val="24"/>
          <w:szCs w:val="24"/>
        </w:rPr>
        <w:t xml:space="preserve"> 2,5 mg, 10 mg, 20 mg, 40 mg eller placebo). Patienterne, der indgik, var mindst 12 år og havde en PAH-diagnose, som var enten idiopatisk, relateret til </w:t>
      </w:r>
      <w:proofErr w:type="spellStart"/>
      <w:r>
        <w:rPr>
          <w:sz w:val="24"/>
          <w:szCs w:val="24"/>
        </w:rPr>
        <w:t>kollagensygdom</w:t>
      </w:r>
      <w:proofErr w:type="spellEnd"/>
      <w:r>
        <w:rPr>
          <w:sz w:val="24"/>
          <w:szCs w:val="24"/>
        </w:rPr>
        <w:t xml:space="preserve">, relateret til brug af </w:t>
      </w:r>
      <w:proofErr w:type="spellStart"/>
      <w:r>
        <w:rPr>
          <w:sz w:val="24"/>
          <w:szCs w:val="24"/>
        </w:rPr>
        <w:t>anoreksika</w:t>
      </w:r>
      <w:proofErr w:type="spellEnd"/>
      <w:r>
        <w:rPr>
          <w:sz w:val="24"/>
          <w:szCs w:val="24"/>
        </w:rPr>
        <w:t xml:space="preserve">, relateret til human immundefekt virus (HIV) infektion, associeret med </w:t>
      </w:r>
      <w:proofErr w:type="spellStart"/>
      <w:r>
        <w:rPr>
          <w:sz w:val="24"/>
          <w:szCs w:val="24"/>
        </w:rPr>
        <w:t>atrieseptumdefekt</w:t>
      </w:r>
      <w:proofErr w:type="spellEnd"/>
      <w:r>
        <w:rPr>
          <w:sz w:val="24"/>
          <w:szCs w:val="24"/>
        </w:rPr>
        <w:t xml:space="preserve"> eller associeret med kirurgisk behandling af medfødt systemisk til </w:t>
      </w:r>
      <w:proofErr w:type="spellStart"/>
      <w:r>
        <w:rPr>
          <w:sz w:val="24"/>
          <w:szCs w:val="24"/>
        </w:rPr>
        <w:t>pulmonal</w:t>
      </w:r>
      <w:proofErr w:type="spellEnd"/>
      <w:r>
        <w:rPr>
          <w:sz w:val="24"/>
          <w:szCs w:val="24"/>
        </w:rPr>
        <w:t xml:space="preserve"> shunt af mindst et års varighed (for eksempel </w:t>
      </w:r>
      <w:proofErr w:type="spellStart"/>
      <w:r>
        <w:rPr>
          <w:sz w:val="24"/>
          <w:szCs w:val="24"/>
        </w:rPr>
        <w:t>ventrikulær</w:t>
      </w:r>
      <w:proofErr w:type="spellEnd"/>
      <w:r>
        <w:rPr>
          <w:sz w:val="24"/>
          <w:szCs w:val="24"/>
        </w:rPr>
        <w:t xml:space="preserve"> septumdefekt,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 xml:space="preserve"> </w:t>
      </w:r>
      <w:proofErr w:type="spellStart"/>
      <w:r>
        <w:rPr>
          <w:sz w:val="24"/>
          <w:szCs w:val="24"/>
        </w:rPr>
        <w:t>persistens</w:t>
      </w:r>
      <w:proofErr w:type="spellEnd"/>
      <w:r>
        <w:rPr>
          <w:sz w:val="24"/>
          <w:szCs w:val="24"/>
        </w:rPr>
        <w:t>). Gennemsnitsalderen af alle patienterne var 54 år (interval 14 til 90 år) og hovedparten var af kaukasisk oprindelse (80,5 %) og kvinder (78,3 %).</w:t>
      </w:r>
    </w:p>
    <w:p w:rsidR="00973B20" w:rsidRDefault="00973B20" w:rsidP="00973B20">
      <w:pPr>
        <w:ind w:left="851"/>
        <w:rPr>
          <w:sz w:val="24"/>
          <w:szCs w:val="24"/>
        </w:rPr>
      </w:pPr>
      <w:r>
        <w:rPr>
          <w:sz w:val="24"/>
          <w:szCs w:val="24"/>
        </w:rPr>
        <w:t xml:space="preserve">Ætiologien af </w:t>
      </w:r>
      <w:proofErr w:type="spellStart"/>
      <w:r>
        <w:rPr>
          <w:sz w:val="24"/>
          <w:szCs w:val="24"/>
        </w:rPr>
        <w:t>pulmonal</w:t>
      </w:r>
      <w:proofErr w:type="spellEnd"/>
      <w:r>
        <w:rPr>
          <w:sz w:val="24"/>
          <w:szCs w:val="24"/>
        </w:rPr>
        <w:t xml:space="preserve"> arteriel hypertension var overvejende idiopatisk PAH (61,0 %) og relateret til </w:t>
      </w:r>
      <w:proofErr w:type="spellStart"/>
      <w:r>
        <w:rPr>
          <w:sz w:val="24"/>
          <w:szCs w:val="24"/>
        </w:rPr>
        <w:t>vaskulær</w:t>
      </w:r>
      <w:proofErr w:type="spellEnd"/>
      <w:r>
        <w:rPr>
          <w:sz w:val="24"/>
          <w:szCs w:val="24"/>
        </w:rPr>
        <w:t xml:space="preserve"> bindevævssygdom (23,5 %). De fleste af patienterne var klassificeret til World Health Organization (WHO) funktionsklasse III (65,2 %) eller II (32,1 %). Den gennemsnitlige 6 minutters gangdistance (6MWD) var ved baseline 343,6 meter.</w:t>
      </w:r>
    </w:p>
    <w:p w:rsidR="00973B20" w:rsidRDefault="00973B20" w:rsidP="00973B20">
      <w:pPr>
        <w:ind w:left="851" w:hanging="851"/>
        <w:rPr>
          <w:sz w:val="24"/>
          <w:szCs w:val="24"/>
        </w:rPr>
      </w:pPr>
    </w:p>
    <w:p w:rsidR="00973B20" w:rsidRDefault="00973B20" w:rsidP="00973B20">
      <w:pPr>
        <w:ind w:left="851"/>
        <w:rPr>
          <w:sz w:val="24"/>
          <w:szCs w:val="24"/>
        </w:rPr>
      </w:pPr>
      <w:r>
        <w:rPr>
          <w:sz w:val="24"/>
          <w:szCs w:val="24"/>
        </w:rPr>
        <w:t xml:space="preserve">Det primære endepunkt var ændring i 6 minutters gangdistancen (6MWD) fra baseline ved uge 16. Kun </w:t>
      </w:r>
      <w:proofErr w:type="spellStart"/>
      <w:r>
        <w:rPr>
          <w:sz w:val="24"/>
          <w:szCs w:val="24"/>
        </w:rPr>
        <w:t>tadalafil</w:t>
      </w:r>
      <w:proofErr w:type="spellEnd"/>
      <w:r>
        <w:rPr>
          <w:sz w:val="24"/>
          <w:szCs w:val="24"/>
        </w:rPr>
        <w:t xml:space="preserve"> 40 mg opnåede det signifikansniveau, der var defineret i protokollen, med en placebokorrigeret gennemsnitlig stigning i 6MWD på 26 meter (p=0,0004; 95 % CI: 9,5-44,0; Præspecificeret </w:t>
      </w:r>
      <w:proofErr w:type="spellStart"/>
      <w:r>
        <w:rPr>
          <w:sz w:val="24"/>
          <w:szCs w:val="24"/>
        </w:rPr>
        <w:t>Hodges</w:t>
      </w:r>
      <w:proofErr w:type="spellEnd"/>
      <w:r>
        <w:rPr>
          <w:sz w:val="24"/>
          <w:szCs w:val="24"/>
        </w:rPr>
        <w:t>-Lehman metode) (gennemsnit 33 meter, 95 % CI: 15,2-50,3). Gangdistanceforbedringen var tydelig efter 8 ugers behandling. Der sås signifikant bedring (p&lt;0,01) i 6MWD i 12. uge hvor patienterne blev bedt om at udsætte indtagelsen af studiemedicinen for at afspejle det aktive indholdsstofs dalkoncentration (</w:t>
      </w:r>
      <w:proofErr w:type="spellStart"/>
      <w:r>
        <w:rPr>
          <w:sz w:val="24"/>
          <w:szCs w:val="24"/>
        </w:rPr>
        <w:t>trough</w:t>
      </w:r>
      <w:proofErr w:type="spellEnd"/>
      <w:r>
        <w:rPr>
          <w:sz w:val="24"/>
          <w:szCs w:val="24"/>
        </w:rPr>
        <w:t xml:space="preserve"> koncentration). Resultaterne var generelt ens i subgrupper efter alder, køn, PAH- ætiologi og baseline WHO funktionsklasse og 6MWD. Den placebokorrigerede gennemsnitlige stigning i 6MWD var 17 meter (p=0,09; 95 % CI: -7,1-43,0; præspecificeret </w:t>
      </w:r>
      <w:proofErr w:type="spellStart"/>
      <w:r>
        <w:rPr>
          <w:sz w:val="24"/>
          <w:szCs w:val="24"/>
        </w:rPr>
        <w:t>Hodges</w:t>
      </w:r>
      <w:proofErr w:type="spellEnd"/>
      <w:r>
        <w:rPr>
          <w:sz w:val="24"/>
          <w:szCs w:val="24"/>
        </w:rPr>
        <w:t xml:space="preserve">-Lehman metode) (gennemsnitlig 23 meter, 95 % CI; -2,4-47,8) hos de patienter, der fik </w:t>
      </w:r>
      <w:proofErr w:type="spellStart"/>
      <w:r>
        <w:rPr>
          <w:sz w:val="24"/>
          <w:szCs w:val="24"/>
        </w:rPr>
        <w:t>tadalafil</w:t>
      </w:r>
      <w:proofErr w:type="spellEnd"/>
      <w:r>
        <w:rPr>
          <w:sz w:val="24"/>
          <w:szCs w:val="24"/>
        </w:rPr>
        <w:t xml:space="preserve"> 40 mg i tillæg til deres samtidige medicin </w:t>
      </w:r>
      <w:proofErr w:type="spellStart"/>
      <w:r>
        <w:rPr>
          <w:sz w:val="24"/>
          <w:szCs w:val="24"/>
        </w:rPr>
        <w:t>bosentan</w:t>
      </w:r>
      <w:proofErr w:type="spellEnd"/>
      <w:r>
        <w:rPr>
          <w:sz w:val="24"/>
          <w:szCs w:val="24"/>
        </w:rPr>
        <w:t xml:space="preserve"> (n=39), og var 39 meter (p&lt;0,01, 95 % CI: 13,0-66,0; præspecificeret </w:t>
      </w:r>
      <w:proofErr w:type="spellStart"/>
      <w:r>
        <w:rPr>
          <w:sz w:val="24"/>
          <w:szCs w:val="24"/>
        </w:rPr>
        <w:t>Hodges</w:t>
      </w:r>
      <w:proofErr w:type="spellEnd"/>
      <w:r>
        <w:rPr>
          <w:sz w:val="24"/>
          <w:szCs w:val="24"/>
        </w:rPr>
        <w:t xml:space="preserve">-Lehman metode) (gennemsnit 44 meter, 95 % CI: 19,7-69,0) hos de patienter, som kun fik </w:t>
      </w:r>
      <w:proofErr w:type="spellStart"/>
      <w:r>
        <w:rPr>
          <w:sz w:val="24"/>
          <w:szCs w:val="24"/>
        </w:rPr>
        <w:t>tadalafil</w:t>
      </w:r>
      <w:proofErr w:type="spellEnd"/>
      <w:r>
        <w:rPr>
          <w:sz w:val="24"/>
          <w:szCs w:val="24"/>
        </w:rPr>
        <w:t xml:space="preserve"> 40 mg (n=37).</w:t>
      </w:r>
    </w:p>
    <w:p w:rsidR="00973B20" w:rsidRDefault="00973B20" w:rsidP="00973B20">
      <w:pPr>
        <w:ind w:left="851" w:hanging="851"/>
        <w:rPr>
          <w:sz w:val="24"/>
          <w:szCs w:val="24"/>
        </w:rPr>
      </w:pPr>
    </w:p>
    <w:p w:rsidR="00973B20" w:rsidRDefault="00973B20" w:rsidP="00973B20">
      <w:pPr>
        <w:ind w:left="851"/>
        <w:rPr>
          <w:sz w:val="24"/>
          <w:szCs w:val="24"/>
        </w:rPr>
      </w:pPr>
      <w:r>
        <w:rPr>
          <w:sz w:val="24"/>
          <w:szCs w:val="24"/>
        </w:rPr>
        <w:t xml:space="preserve">Antallet af patienter med forbedring i WHO-funktionsklasse efter uge 16 var ens i gruppen, der fik </w:t>
      </w:r>
      <w:proofErr w:type="spellStart"/>
      <w:r>
        <w:rPr>
          <w:sz w:val="24"/>
          <w:szCs w:val="24"/>
        </w:rPr>
        <w:t>tadalafil</w:t>
      </w:r>
      <w:proofErr w:type="spellEnd"/>
      <w:r>
        <w:rPr>
          <w:sz w:val="24"/>
          <w:szCs w:val="24"/>
        </w:rPr>
        <w:t xml:space="preserve"> 40 mg, og placebogruppen (23 % versus 21 %). Hyppigheden af klinisk forværring i uge 16 var lavere hos patienter, der blev behandlet med </w:t>
      </w:r>
      <w:proofErr w:type="spellStart"/>
      <w:r>
        <w:rPr>
          <w:sz w:val="24"/>
          <w:szCs w:val="24"/>
        </w:rPr>
        <w:t>tadalafil</w:t>
      </w:r>
      <w:proofErr w:type="spellEnd"/>
      <w:r>
        <w:rPr>
          <w:sz w:val="24"/>
          <w:szCs w:val="24"/>
        </w:rPr>
        <w:t xml:space="preserve"> 40 mg (5 %; 4 af 79 patienter), end for placebogruppen (16 %; 13 ud af 82 patienter). Ændringer i Borg dyspnø-score var lille og ikke- signifikant for både placebo og </w:t>
      </w:r>
      <w:proofErr w:type="spellStart"/>
      <w:r>
        <w:rPr>
          <w:sz w:val="24"/>
          <w:szCs w:val="24"/>
        </w:rPr>
        <w:t>tadalafil</w:t>
      </w:r>
      <w:proofErr w:type="spellEnd"/>
      <w:r>
        <w:rPr>
          <w:sz w:val="24"/>
          <w:szCs w:val="24"/>
        </w:rPr>
        <w:t xml:space="preserve"> 40 mg.</w:t>
      </w:r>
    </w:p>
    <w:p w:rsidR="00973B20" w:rsidRDefault="00973B20" w:rsidP="00973B20">
      <w:pPr>
        <w:ind w:left="851"/>
        <w:rPr>
          <w:sz w:val="24"/>
          <w:szCs w:val="24"/>
        </w:rPr>
      </w:pPr>
    </w:p>
    <w:p w:rsidR="00973B20" w:rsidRDefault="00973B20" w:rsidP="00973B20">
      <w:pPr>
        <w:ind w:left="851"/>
        <w:rPr>
          <w:sz w:val="24"/>
          <w:szCs w:val="24"/>
        </w:rPr>
      </w:pPr>
      <w:r>
        <w:rPr>
          <w:sz w:val="24"/>
          <w:szCs w:val="24"/>
        </w:rPr>
        <w:t xml:space="preserve">Ydermere blev der i forhold til placebo fundet forbedringer med </w:t>
      </w:r>
      <w:proofErr w:type="spellStart"/>
      <w:r>
        <w:rPr>
          <w:sz w:val="24"/>
          <w:szCs w:val="24"/>
        </w:rPr>
        <w:t>tadalafil</w:t>
      </w:r>
      <w:proofErr w:type="spellEnd"/>
      <w:r>
        <w:rPr>
          <w:sz w:val="24"/>
          <w:szCs w:val="24"/>
        </w:rPr>
        <w:t xml:space="preserve"> 40 mg i SF-36-domænerne vedrørende fysisk funktion, fysisk rolle, legemssmerter, generel sundhed, vitalitet og social funktion. Der blev ikke set forbedringer i SF-36-domænerne emotionel rolle og mental velbefindende. Forbedringer i forhold til placebo blev set med </w:t>
      </w:r>
      <w:proofErr w:type="spellStart"/>
      <w:r>
        <w:rPr>
          <w:sz w:val="24"/>
          <w:szCs w:val="24"/>
        </w:rPr>
        <w:t>tadalafil</w:t>
      </w:r>
      <w:proofErr w:type="spellEnd"/>
      <w:r>
        <w:rPr>
          <w:sz w:val="24"/>
          <w:szCs w:val="24"/>
        </w:rPr>
        <w:t xml:space="preserve"> 40 mg i </w:t>
      </w:r>
      <w:proofErr w:type="spellStart"/>
      <w:r>
        <w:rPr>
          <w:sz w:val="24"/>
          <w:szCs w:val="24"/>
        </w:rPr>
        <w:t>EuroQol</w:t>
      </w:r>
      <w:proofErr w:type="spellEnd"/>
      <w:r>
        <w:rPr>
          <w:sz w:val="24"/>
          <w:szCs w:val="24"/>
        </w:rPr>
        <w:t xml:space="preserve"> (EQ-5D) US og UK indeksscore omfattende mobilitet, </w:t>
      </w:r>
      <w:proofErr w:type="spellStart"/>
      <w:r>
        <w:rPr>
          <w:sz w:val="24"/>
          <w:szCs w:val="24"/>
        </w:rPr>
        <w:t>self-care</w:t>
      </w:r>
      <w:proofErr w:type="spellEnd"/>
      <w:r>
        <w:rPr>
          <w:sz w:val="24"/>
          <w:szCs w:val="24"/>
        </w:rPr>
        <w:t xml:space="preserve">, almindelige aktiviteter, smerte/ubehag, angst/depressionstegn og på den visuelle analogskala (VAS). </w:t>
      </w:r>
    </w:p>
    <w:p w:rsidR="00973B20" w:rsidRDefault="00973B20" w:rsidP="00973B20">
      <w:pPr>
        <w:ind w:left="851"/>
        <w:rPr>
          <w:sz w:val="24"/>
          <w:szCs w:val="24"/>
        </w:rPr>
      </w:pPr>
    </w:p>
    <w:p w:rsidR="00973B20" w:rsidRDefault="00973B20" w:rsidP="00973B20">
      <w:pPr>
        <w:ind w:left="851"/>
        <w:rPr>
          <w:sz w:val="24"/>
          <w:szCs w:val="24"/>
        </w:rPr>
      </w:pPr>
      <w:proofErr w:type="spellStart"/>
      <w:r>
        <w:rPr>
          <w:sz w:val="24"/>
          <w:szCs w:val="24"/>
        </w:rPr>
        <w:t>Kardiopulmonal</w:t>
      </w:r>
      <w:proofErr w:type="spellEnd"/>
      <w:r>
        <w:rPr>
          <w:sz w:val="24"/>
          <w:szCs w:val="24"/>
        </w:rPr>
        <w:t xml:space="preserve"> </w:t>
      </w:r>
      <w:proofErr w:type="spellStart"/>
      <w:r>
        <w:rPr>
          <w:sz w:val="24"/>
          <w:szCs w:val="24"/>
        </w:rPr>
        <w:t>hæmodynamik</w:t>
      </w:r>
      <w:proofErr w:type="spellEnd"/>
      <w:r>
        <w:rPr>
          <w:sz w:val="24"/>
          <w:szCs w:val="24"/>
        </w:rPr>
        <w:t xml:space="preserve"> blev udført hos 93 patienter. </w:t>
      </w:r>
      <w:proofErr w:type="spellStart"/>
      <w:r>
        <w:rPr>
          <w:sz w:val="24"/>
          <w:szCs w:val="24"/>
        </w:rPr>
        <w:t>Tadalafil</w:t>
      </w:r>
      <w:proofErr w:type="spellEnd"/>
      <w:r>
        <w:rPr>
          <w:sz w:val="24"/>
          <w:szCs w:val="24"/>
        </w:rPr>
        <w:t xml:space="preserve"> 40 mg forøgede det </w:t>
      </w:r>
      <w:proofErr w:type="spellStart"/>
      <w:r>
        <w:rPr>
          <w:sz w:val="24"/>
          <w:szCs w:val="24"/>
        </w:rPr>
        <w:t>kardielle</w:t>
      </w:r>
      <w:proofErr w:type="spellEnd"/>
      <w:r>
        <w:rPr>
          <w:sz w:val="24"/>
          <w:szCs w:val="24"/>
        </w:rPr>
        <w:t xml:space="preserve"> output (0,6 l/min) og reducerede det </w:t>
      </w:r>
      <w:proofErr w:type="spellStart"/>
      <w:r>
        <w:rPr>
          <w:sz w:val="24"/>
          <w:szCs w:val="24"/>
        </w:rPr>
        <w:t>pulmonale</w:t>
      </w:r>
      <w:proofErr w:type="spellEnd"/>
      <w:r>
        <w:rPr>
          <w:sz w:val="24"/>
          <w:szCs w:val="24"/>
        </w:rPr>
        <w:t xml:space="preserve"> arterietryk (-4,3 </w:t>
      </w:r>
      <w:proofErr w:type="spellStart"/>
      <w:r>
        <w:rPr>
          <w:sz w:val="24"/>
          <w:szCs w:val="24"/>
        </w:rPr>
        <w:t>mmHg</w:t>
      </w:r>
      <w:proofErr w:type="spellEnd"/>
      <w:r>
        <w:rPr>
          <w:sz w:val="24"/>
          <w:szCs w:val="24"/>
        </w:rPr>
        <w:t xml:space="preserve">) og den </w:t>
      </w:r>
      <w:proofErr w:type="spellStart"/>
      <w:r>
        <w:rPr>
          <w:sz w:val="24"/>
          <w:szCs w:val="24"/>
        </w:rPr>
        <w:t>pulmonale</w:t>
      </w:r>
      <w:proofErr w:type="spellEnd"/>
      <w:r>
        <w:rPr>
          <w:sz w:val="24"/>
          <w:szCs w:val="24"/>
        </w:rPr>
        <w:t xml:space="preserve"> </w:t>
      </w:r>
      <w:proofErr w:type="spellStart"/>
      <w:r>
        <w:rPr>
          <w:sz w:val="24"/>
          <w:szCs w:val="24"/>
        </w:rPr>
        <w:t>vaskulære</w:t>
      </w:r>
      <w:proofErr w:type="spellEnd"/>
      <w:r>
        <w:rPr>
          <w:sz w:val="24"/>
          <w:szCs w:val="24"/>
        </w:rPr>
        <w:t xml:space="preserve"> modstand (-209dyn.s/cm5) sammenlignet med baseline (p&lt;0,05). Derimod viste post hoc-analyser, at ændringerne fra baseline i de </w:t>
      </w:r>
      <w:proofErr w:type="spellStart"/>
      <w:r>
        <w:rPr>
          <w:sz w:val="24"/>
          <w:szCs w:val="24"/>
        </w:rPr>
        <w:t>kardiopulmonale</w:t>
      </w:r>
      <w:proofErr w:type="spellEnd"/>
      <w:r>
        <w:rPr>
          <w:sz w:val="24"/>
          <w:szCs w:val="24"/>
        </w:rPr>
        <w:t xml:space="preserve"> </w:t>
      </w:r>
      <w:proofErr w:type="spellStart"/>
      <w:r>
        <w:rPr>
          <w:sz w:val="24"/>
          <w:szCs w:val="24"/>
        </w:rPr>
        <w:t>hæmodynamiske</w:t>
      </w:r>
      <w:proofErr w:type="spellEnd"/>
      <w:r>
        <w:rPr>
          <w:sz w:val="24"/>
          <w:szCs w:val="24"/>
        </w:rPr>
        <w:t xml:space="preserve"> parametre for 40 mg </w:t>
      </w:r>
      <w:proofErr w:type="spellStart"/>
      <w:r>
        <w:rPr>
          <w:sz w:val="24"/>
          <w:szCs w:val="24"/>
        </w:rPr>
        <w:t>tadalafil</w:t>
      </w:r>
      <w:proofErr w:type="spellEnd"/>
      <w:r>
        <w:rPr>
          <w:sz w:val="24"/>
          <w:szCs w:val="24"/>
        </w:rPr>
        <w:t xml:space="preserve">-behandlingsgruppen ikke var signifikant forskellig sammenlignet med placebogruppen. </w:t>
      </w:r>
    </w:p>
    <w:p w:rsidR="00973B20" w:rsidRDefault="00973B20" w:rsidP="00973B20">
      <w:pPr>
        <w:ind w:left="851"/>
        <w:rPr>
          <w:sz w:val="24"/>
          <w:szCs w:val="24"/>
        </w:rPr>
      </w:pPr>
    </w:p>
    <w:p w:rsidR="00973B20" w:rsidRPr="00CF3312" w:rsidRDefault="00973B20" w:rsidP="00973B20">
      <w:pPr>
        <w:ind w:left="851"/>
        <w:rPr>
          <w:sz w:val="24"/>
          <w:szCs w:val="24"/>
          <w:u w:val="single"/>
        </w:rPr>
      </w:pPr>
      <w:r w:rsidRPr="00CF3312">
        <w:rPr>
          <w:i/>
          <w:iCs/>
          <w:sz w:val="24"/>
          <w:szCs w:val="24"/>
          <w:u w:val="single"/>
        </w:rPr>
        <w:t xml:space="preserve">Langtidsbehandling </w:t>
      </w:r>
    </w:p>
    <w:p w:rsidR="00973B20" w:rsidRDefault="00973B20" w:rsidP="00973B20">
      <w:pPr>
        <w:ind w:left="851"/>
        <w:rPr>
          <w:sz w:val="24"/>
          <w:szCs w:val="24"/>
        </w:rPr>
      </w:pPr>
      <w:r>
        <w:rPr>
          <w:sz w:val="24"/>
          <w:szCs w:val="24"/>
        </w:rPr>
        <w:lastRenderedPageBreak/>
        <w:t xml:space="preserve">357 personer fra det placebokontrollerede studie indgik i et </w:t>
      </w:r>
      <w:proofErr w:type="spellStart"/>
      <w:r>
        <w:rPr>
          <w:sz w:val="24"/>
          <w:szCs w:val="24"/>
        </w:rPr>
        <w:t>langtids</w:t>
      </w:r>
      <w:proofErr w:type="spellEnd"/>
      <w:r>
        <w:rPr>
          <w:sz w:val="24"/>
          <w:szCs w:val="24"/>
        </w:rPr>
        <w:t xml:space="preserve">-forlængelsesstudie. Af disse havde 311 patienter været behandlet med </w:t>
      </w:r>
      <w:proofErr w:type="spellStart"/>
      <w:r>
        <w:rPr>
          <w:sz w:val="24"/>
          <w:szCs w:val="24"/>
        </w:rPr>
        <w:t>tadalafil</w:t>
      </w:r>
      <w:proofErr w:type="spellEnd"/>
      <w:r>
        <w:rPr>
          <w:sz w:val="24"/>
          <w:szCs w:val="24"/>
        </w:rPr>
        <w:t xml:space="preserve"> i mindst 6 måneder og 293 i et år (gennemsnitlig behandlingstid 365 dage; interval 2 dage til 415 dage). Overlevelsesraten efter 1 år var 96,4 % for de patienter, der var data for. Desuden syntes 6 minutters gangdistancen og WHO-funktionsklassen at være stabil hos de patienter, der blev behandlet med </w:t>
      </w:r>
      <w:proofErr w:type="spellStart"/>
      <w:r>
        <w:rPr>
          <w:sz w:val="24"/>
          <w:szCs w:val="24"/>
        </w:rPr>
        <w:t>tadalafil</w:t>
      </w:r>
      <w:proofErr w:type="spellEnd"/>
      <w:r>
        <w:rPr>
          <w:sz w:val="24"/>
          <w:szCs w:val="24"/>
        </w:rPr>
        <w:t xml:space="preserve"> i et år.</w:t>
      </w:r>
    </w:p>
    <w:p w:rsidR="00973B20" w:rsidRDefault="00973B20" w:rsidP="00973B20">
      <w:pPr>
        <w:ind w:left="851" w:hanging="851"/>
        <w:rPr>
          <w:sz w:val="24"/>
          <w:szCs w:val="24"/>
        </w:rPr>
      </w:pPr>
    </w:p>
    <w:p w:rsidR="00973B20" w:rsidRDefault="00973B20" w:rsidP="00973B20">
      <w:pPr>
        <w:autoSpaceDE w:val="0"/>
        <w:autoSpaceDN w:val="0"/>
        <w:adjustRightInd w:val="0"/>
        <w:ind w:left="851"/>
        <w:rPr>
          <w:sz w:val="24"/>
          <w:szCs w:val="24"/>
        </w:rPr>
      </w:pPr>
      <w:r w:rsidRPr="007807BC">
        <w:rPr>
          <w:sz w:val="24"/>
          <w:szCs w:val="24"/>
        </w:rPr>
        <w:t xml:space="preserve">Administreret til raske forsøgspersoner, viste </w:t>
      </w:r>
      <w:proofErr w:type="spellStart"/>
      <w:r w:rsidRPr="007807BC">
        <w:rPr>
          <w:sz w:val="24"/>
          <w:szCs w:val="24"/>
        </w:rPr>
        <w:t>tadalafil</w:t>
      </w:r>
      <w:proofErr w:type="spellEnd"/>
      <w:r w:rsidRPr="007807BC">
        <w:rPr>
          <w:sz w:val="24"/>
          <w:szCs w:val="24"/>
        </w:rPr>
        <w:t xml:space="preserve"> 20 mg ingen signifikant forskel i forhold til</w:t>
      </w:r>
      <w:r>
        <w:rPr>
          <w:sz w:val="24"/>
          <w:szCs w:val="24"/>
        </w:rPr>
        <w:t xml:space="preserve"> </w:t>
      </w:r>
      <w:r w:rsidRPr="007807BC">
        <w:rPr>
          <w:sz w:val="24"/>
          <w:szCs w:val="24"/>
        </w:rPr>
        <w:t>placebo på det liggende systoliske og diastoliske blodtryk (gennemsnitligt maksimalt fald på</w:t>
      </w:r>
      <w:r>
        <w:rPr>
          <w:sz w:val="24"/>
          <w:szCs w:val="24"/>
        </w:rPr>
        <w:t xml:space="preserve"> </w:t>
      </w:r>
      <w:r w:rsidRPr="007807BC">
        <w:rPr>
          <w:sz w:val="24"/>
          <w:szCs w:val="24"/>
        </w:rPr>
        <w:t>henholdsvis 1,6 og 0,8 mm Hg), på det stående systoliske og diastoliske blodtryk (gennemsnitligt</w:t>
      </w:r>
      <w:r>
        <w:rPr>
          <w:sz w:val="24"/>
          <w:szCs w:val="24"/>
        </w:rPr>
        <w:t xml:space="preserve"> </w:t>
      </w:r>
      <w:r w:rsidRPr="007807BC">
        <w:rPr>
          <w:sz w:val="24"/>
          <w:szCs w:val="24"/>
        </w:rPr>
        <w:t>maksimalt fald på henholdsvis 0,2 og 4,6 mm Hg) og ingen signifikant ændring i hjertefrekvens.</w:t>
      </w:r>
      <w:r>
        <w:rPr>
          <w:sz w:val="24"/>
          <w:szCs w:val="24"/>
        </w:rPr>
        <w:t xml:space="preserve"> </w:t>
      </w:r>
    </w:p>
    <w:p w:rsidR="00973B20" w:rsidRDefault="00973B20" w:rsidP="00973B20">
      <w:pPr>
        <w:autoSpaceDE w:val="0"/>
        <w:autoSpaceDN w:val="0"/>
        <w:adjustRightInd w:val="0"/>
        <w:ind w:left="851"/>
        <w:rPr>
          <w:sz w:val="24"/>
          <w:szCs w:val="24"/>
        </w:rPr>
      </w:pPr>
    </w:p>
    <w:p w:rsidR="00973B20" w:rsidRDefault="00973B20" w:rsidP="00973B20">
      <w:pPr>
        <w:autoSpaceDE w:val="0"/>
        <w:autoSpaceDN w:val="0"/>
        <w:adjustRightInd w:val="0"/>
        <w:ind w:left="851"/>
        <w:rPr>
          <w:sz w:val="24"/>
          <w:szCs w:val="24"/>
        </w:rPr>
      </w:pPr>
      <w:r w:rsidRPr="007807BC">
        <w:rPr>
          <w:sz w:val="24"/>
          <w:szCs w:val="24"/>
        </w:rPr>
        <w:t xml:space="preserve">I en undersøgelse med henblik på at vurdere </w:t>
      </w:r>
      <w:proofErr w:type="spellStart"/>
      <w:r w:rsidRPr="007807BC">
        <w:rPr>
          <w:sz w:val="24"/>
          <w:szCs w:val="24"/>
        </w:rPr>
        <w:t>tadalafils</w:t>
      </w:r>
      <w:proofErr w:type="spellEnd"/>
      <w:r w:rsidRPr="007807BC">
        <w:rPr>
          <w:sz w:val="24"/>
          <w:szCs w:val="24"/>
        </w:rPr>
        <w:t xml:space="preserve"> virkning på synet, blev der ikke fundet nogen</w:t>
      </w:r>
      <w:r>
        <w:rPr>
          <w:sz w:val="24"/>
          <w:szCs w:val="24"/>
        </w:rPr>
        <w:t xml:space="preserve"> </w:t>
      </w:r>
      <w:r w:rsidRPr="007807BC">
        <w:rPr>
          <w:sz w:val="24"/>
          <w:szCs w:val="24"/>
        </w:rPr>
        <w:t xml:space="preserve">forringelse af evnen til at skelne farver (blå/grøn) ved brug af </w:t>
      </w:r>
      <w:proofErr w:type="spellStart"/>
      <w:r w:rsidRPr="007807BC">
        <w:rPr>
          <w:sz w:val="24"/>
          <w:szCs w:val="24"/>
        </w:rPr>
        <w:t>Farnsworth-Munsell</w:t>
      </w:r>
      <w:proofErr w:type="spellEnd"/>
      <w:r w:rsidRPr="007807BC">
        <w:rPr>
          <w:sz w:val="24"/>
          <w:szCs w:val="24"/>
        </w:rPr>
        <w:t xml:space="preserve"> 100-nuancer testen.</w:t>
      </w:r>
      <w:r>
        <w:rPr>
          <w:sz w:val="24"/>
          <w:szCs w:val="24"/>
        </w:rPr>
        <w:t xml:space="preserve"> </w:t>
      </w:r>
      <w:r w:rsidRPr="007807BC">
        <w:rPr>
          <w:sz w:val="24"/>
          <w:szCs w:val="24"/>
        </w:rPr>
        <w:t xml:space="preserve">Dette resultat er i overensstemmelse med </w:t>
      </w:r>
      <w:proofErr w:type="spellStart"/>
      <w:r w:rsidRPr="007807BC">
        <w:rPr>
          <w:sz w:val="24"/>
          <w:szCs w:val="24"/>
        </w:rPr>
        <w:t>tadalafils</w:t>
      </w:r>
      <w:proofErr w:type="spellEnd"/>
      <w:r w:rsidRPr="007807BC">
        <w:rPr>
          <w:sz w:val="24"/>
          <w:szCs w:val="24"/>
        </w:rPr>
        <w:t xml:space="preserve"> lave affinitet for PDE6 sammenlignet med PDE5.</w:t>
      </w:r>
      <w:r>
        <w:rPr>
          <w:sz w:val="24"/>
          <w:szCs w:val="24"/>
        </w:rPr>
        <w:t xml:space="preserve"> </w:t>
      </w:r>
      <w:r w:rsidRPr="007807BC">
        <w:rPr>
          <w:sz w:val="24"/>
          <w:szCs w:val="24"/>
        </w:rPr>
        <w:t>Rapporter vedrørende ændringer i farvesynet var sjældne (&lt; 0,1 %) på tværs af alle studier.</w:t>
      </w:r>
      <w:r>
        <w:rPr>
          <w:sz w:val="24"/>
          <w:szCs w:val="24"/>
        </w:rPr>
        <w:t xml:space="preserve"> </w:t>
      </w:r>
    </w:p>
    <w:p w:rsidR="00973B20" w:rsidRDefault="00973B20" w:rsidP="00973B20">
      <w:pPr>
        <w:autoSpaceDE w:val="0"/>
        <w:autoSpaceDN w:val="0"/>
        <w:adjustRightInd w:val="0"/>
        <w:ind w:left="851"/>
        <w:rPr>
          <w:sz w:val="24"/>
          <w:szCs w:val="24"/>
        </w:rPr>
      </w:pPr>
    </w:p>
    <w:p w:rsidR="00973B20" w:rsidRDefault="00973B20" w:rsidP="00973B20">
      <w:pPr>
        <w:autoSpaceDE w:val="0"/>
        <w:autoSpaceDN w:val="0"/>
        <w:adjustRightInd w:val="0"/>
        <w:ind w:left="851"/>
        <w:rPr>
          <w:sz w:val="24"/>
          <w:szCs w:val="24"/>
        </w:rPr>
      </w:pPr>
      <w:r w:rsidRPr="007807BC">
        <w:rPr>
          <w:sz w:val="24"/>
          <w:szCs w:val="24"/>
        </w:rPr>
        <w:t xml:space="preserve">Der er blevet udført tre studier hos mænd for at vurdere den mulige effekt på </w:t>
      </w:r>
      <w:proofErr w:type="spellStart"/>
      <w:r w:rsidRPr="007807BC">
        <w:rPr>
          <w:sz w:val="24"/>
          <w:szCs w:val="24"/>
        </w:rPr>
        <w:t>spermatogenesen</w:t>
      </w:r>
      <w:proofErr w:type="spellEnd"/>
      <w:r w:rsidRPr="007807BC">
        <w:rPr>
          <w:sz w:val="24"/>
          <w:szCs w:val="24"/>
        </w:rPr>
        <w:t xml:space="preserve"> af</w:t>
      </w:r>
      <w:r>
        <w:rPr>
          <w:sz w:val="24"/>
          <w:szCs w:val="24"/>
        </w:rPr>
        <w:t xml:space="preserve"> </w:t>
      </w:r>
      <w:proofErr w:type="spellStart"/>
      <w:r w:rsidRPr="007807BC">
        <w:rPr>
          <w:sz w:val="24"/>
          <w:szCs w:val="24"/>
        </w:rPr>
        <w:t>tadalafil</w:t>
      </w:r>
      <w:proofErr w:type="spellEnd"/>
      <w:r w:rsidRPr="007807BC">
        <w:rPr>
          <w:sz w:val="24"/>
          <w:szCs w:val="24"/>
        </w:rPr>
        <w:t xml:space="preserve"> 10 mg (ét 6 måneders studie) og 20 mg (ét 6 måneders og ét 9 måneders studie), daglig</w:t>
      </w:r>
      <w:r>
        <w:rPr>
          <w:sz w:val="24"/>
          <w:szCs w:val="24"/>
        </w:rPr>
        <w:t xml:space="preserve"> </w:t>
      </w:r>
      <w:r w:rsidRPr="007807BC">
        <w:rPr>
          <w:sz w:val="24"/>
          <w:szCs w:val="24"/>
        </w:rPr>
        <w:t xml:space="preserve">administration. To af disse tre studier viste et fald i </w:t>
      </w:r>
      <w:proofErr w:type="spellStart"/>
      <w:r w:rsidRPr="007807BC">
        <w:rPr>
          <w:sz w:val="24"/>
          <w:szCs w:val="24"/>
        </w:rPr>
        <w:t>spermatocyttal</w:t>
      </w:r>
      <w:proofErr w:type="spellEnd"/>
      <w:r w:rsidRPr="007807BC">
        <w:rPr>
          <w:sz w:val="24"/>
          <w:szCs w:val="24"/>
        </w:rPr>
        <w:t xml:space="preserve"> og </w:t>
      </w:r>
      <w:proofErr w:type="spellStart"/>
      <w:r w:rsidRPr="007807BC">
        <w:rPr>
          <w:sz w:val="24"/>
          <w:szCs w:val="24"/>
        </w:rPr>
        <w:t>spermatocytkoncentration</w:t>
      </w:r>
      <w:proofErr w:type="spellEnd"/>
      <w:r w:rsidRPr="007807BC">
        <w:rPr>
          <w:sz w:val="24"/>
          <w:szCs w:val="24"/>
        </w:rPr>
        <w:t>, der</w:t>
      </w:r>
      <w:r>
        <w:rPr>
          <w:sz w:val="24"/>
          <w:szCs w:val="24"/>
        </w:rPr>
        <w:t xml:space="preserve"> </w:t>
      </w:r>
      <w:r w:rsidRPr="007807BC">
        <w:rPr>
          <w:sz w:val="24"/>
          <w:szCs w:val="24"/>
        </w:rPr>
        <w:t xml:space="preserve">var relateret til </w:t>
      </w:r>
      <w:proofErr w:type="spellStart"/>
      <w:r w:rsidRPr="007807BC">
        <w:rPr>
          <w:sz w:val="24"/>
          <w:szCs w:val="24"/>
        </w:rPr>
        <w:t>tadalafil</w:t>
      </w:r>
      <w:proofErr w:type="spellEnd"/>
      <w:r w:rsidRPr="007807BC">
        <w:rPr>
          <w:sz w:val="24"/>
          <w:szCs w:val="24"/>
        </w:rPr>
        <w:t xml:space="preserve"> behandling. Det anses dog ikke for sandsynligt, at disse fald havde nogen</w:t>
      </w:r>
      <w:r>
        <w:rPr>
          <w:sz w:val="24"/>
          <w:szCs w:val="24"/>
        </w:rPr>
        <w:t xml:space="preserve"> </w:t>
      </w:r>
      <w:r w:rsidRPr="007807BC">
        <w:rPr>
          <w:sz w:val="24"/>
          <w:szCs w:val="24"/>
        </w:rPr>
        <w:t xml:space="preserve">klinisk relevans. Disse følger var ikke associeret med ændringer i andre parametre såsom </w:t>
      </w:r>
      <w:proofErr w:type="spellStart"/>
      <w:r w:rsidRPr="007807BC">
        <w:rPr>
          <w:sz w:val="24"/>
          <w:szCs w:val="24"/>
        </w:rPr>
        <w:t>motilitet</w:t>
      </w:r>
      <w:proofErr w:type="spellEnd"/>
      <w:r w:rsidRPr="007807BC">
        <w:rPr>
          <w:sz w:val="24"/>
          <w:szCs w:val="24"/>
        </w:rPr>
        <w:t>,</w:t>
      </w:r>
      <w:r>
        <w:rPr>
          <w:sz w:val="24"/>
          <w:szCs w:val="24"/>
        </w:rPr>
        <w:t xml:space="preserve"> </w:t>
      </w:r>
      <w:r w:rsidRPr="007807BC">
        <w:rPr>
          <w:sz w:val="24"/>
          <w:szCs w:val="24"/>
        </w:rPr>
        <w:t>morfologi og FSH.</w:t>
      </w:r>
    </w:p>
    <w:p w:rsidR="00973B20" w:rsidRDefault="00973B20" w:rsidP="00973B20">
      <w:pPr>
        <w:ind w:left="851" w:hanging="851"/>
        <w:rPr>
          <w:sz w:val="24"/>
          <w:szCs w:val="24"/>
        </w:rPr>
      </w:pPr>
    </w:p>
    <w:p w:rsidR="00973B20" w:rsidRDefault="00973B20" w:rsidP="00973B20">
      <w:pPr>
        <w:ind w:left="851"/>
        <w:rPr>
          <w:sz w:val="24"/>
          <w:szCs w:val="24"/>
          <w:u w:val="single"/>
        </w:rPr>
      </w:pPr>
      <w:r>
        <w:rPr>
          <w:sz w:val="24"/>
          <w:szCs w:val="24"/>
          <w:u w:val="single"/>
        </w:rPr>
        <w:t>Pædiatrisk population</w:t>
      </w:r>
    </w:p>
    <w:p w:rsidR="00973B20" w:rsidRDefault="00973B20" w:rsidP="00973B20">
      <w:pPr>
        <w:ind w:left="851"/>
        <w:rPr>
          <w:rFonts w:ascii="TimesNewRomanPS-ItalicMT" w:hAnsi="TimesNewRomanPS-ItalicMT" w:cs="TimesNewRomanPS-ItalicMT"/>
          <w:i/>
          <w:iCs/>
          <w:sz w:val="24"/>
          <w:szCs w:val="24"/>
          <w:lang w:eastAsia="da-DK"/>
        </w:rPr>
      </w:pPr>
    </w:p>
    <w:p w:rsidR="00973B20" w:rsidRPr="00EB15AE" w:rsidRDefault="00973B20" w:rsidP="00973B20">
      <w:pPr>
        <w:ind w:left="851"/>
        <w:rPr>
          <w:rFonts w:ascii="TimesNewRomanPS-ItalicMT" w:hAnsi="TimesNewRomanPS-ItalicMT" w:cs="TimesNewRomanPS-ItalicMT"/>
          <w:i/>
          <w:iCs/>
          <w:sz w:val="24"/>
          <w:szCs w:val="24"/>
          <w:lang w:eastAsia="da-DK"/>
        </w:rPr>
      </w:pPr>
      <w:proofErr w:type="spellStart"/>
      <w:r w:rsidRPr="00EB15AE">
        <w:rPr>
          <w:rFonts w:ascii="TimesNewRomanPS-ItalicMT" w:hAnsi="TimesNewRomanPS-ItalicMT" w:cs="TimesNewRomanPS-ItalicMT"/>
          <w:i/>
          <w:iCs/>
          <w:sz w:val="24"/>
          <w:szCs w:val="24"/>
          <w:lang w:eastAsia="da-DK"/>
        </w:rPr>
        <w:t>Pulmonal</w:t>
      </w:r>
      <w:proofErr w:type="spellEnd"/>
      <w:r w:rsidRPr="00EB15AE">
        <w:rPr>
          <w:rFonts w:ascii="TimesNewRomanPS-ItalicMT" w:hAnsi="TimesNewRomanPS-ItalicMT" w:cs="TimesNewRomanPS-ItalicMT"/>
          <w:i/>
          <w:iCs/>
          <w:sz w:val="24"/>
          <w:szCs w:val="24"/>
          <w:lang w:eastAsia="da-DK"/>
        </w:rPr>
        <w:t xml:space="preserve"> arteriel hypertension hos børn</w:t>
      </w:r>
    </w:p>
    <w:p w:rsidR="00973B20" w:rsidRPr="007807BC" w:rsidRDefault="00973B20" w:rsidP="00973B20">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I alt blev 35 pædiatriske patienter med PAH i alderen 6 til &lt;18 år behandlet i </w:t>
      </w:r>
      <w:proofErr w:type="gramStart"/>
      <w:r w:rsidRPr="007807BC">
        <w:rPr>
          <w:rFonts w:ascii="TimesNewRomanPS-ItalicMT" w:hAnsi="TimesNewRomanPS-ItalicMT" w:cs="TimesNewRomanPS-ItalicMT"/>
          <w:sz w:val="24"/>
          <w:szCs w:val="24"/>
          <w:lang w:eastAsia="da-DK"/>
        </w:rPr>
        <w:t>et 2-perioders add-on</w:t>
      </w:r>
      <w:proofErr w:type="gramEnd"/>
      <w:r w:rsidRPr="007807BC">
        <w:rPr>
          <w:rFonts w:ascii="TimesNewRomanPS-ItalicMT" w:hAnsi="TimesNewRomanPS-ItalicMT" w:cs="TimesNewRomanPS-ItalicMT"/>
          <w:sz w:val="24"/>
          <w:szCs w:val="24"/>
          <w:lang w:eastAsia="da-DK"/>
        </w:rPr>
        <w:t xml:space="preserve"> (i tillæg til patientens nuværende </w:t>
      </w:r>
      <w:proofErr w:type="spellStart"/>
      <w:r w:rsidRPr="007807BC">
        <w:rPr>
          <w:rFonts w:ascii="TimesNewRomanPS-ItalicMT" w:hAnsi="TimesNewRomanPS-ItalicMT" w:cs="TimesNewRomanPS-ItalicMT"/>
          <w:sz w:val="24"/>
          <w:szCs w:val="24"/>
          <w:lang w:eastAsia="da-DK"/>
        </w:rPr>
        <w:t>endotelinreceptorantagonist</w:t>
      </w:r>
      <w:proofErr w:type="spellEnd"/>
      <w:r w:rsidRPr="007807BC">
        <w:rPr>
          <w:rFonts w:ascii="TimesNewRomanPS-ItalicMT" w:hAnsi="TimesNewRomanPS-ItalicMT" w:cs="TimesNewRomanPS-ItalicMT"/>
          <w:sz w:val="24"/>
          <w:szCs w:val="24"/>
          <w:lang w:eastAsia="da-DK"/>
        </w:rPr>
        <w:t xml:space="preserve">) studie (H6D-MC-LVHV) for at evaluere </w:t>
      </w:r>
      <w:proofErr w:type="spellStart"/>
      <w:r w:rsidRPr="007807BC">
        <w:rPr>
          <w:rFonts w:ascii="TimesNewRomanPS-ItalicMT" w:hAnsi="TimesNewRomanPS-ItalicMT" w:cs="TimesNewRomanPS-ItalicMT"/>
          <w:sz w:val="24"/>
          <w:szCs w:val="24"/>
          <w:lang w:eastAsia="da-DK"/>
        </w:rPr>
        <w:t>tadalafils</w:t>
      </w:r>
      <w:proofErr w:type="spellEnd"/>
      <w:r w:rsidRPr="007807BC">
        <w:rPr>
          <w:rFonts w:ascii="TimesNewRomanPS-ItalicMT" w:hAnsi="TimesNewRomanPS-ItalicMT" w:cs="TimesNewRomanPS-ItalicMT"/>
          <w:sz w:val="24"/>
          <w:szCs w:val="24"/>
          <w:lang w:eastAsia="da-DK"/>
        </w:rPr>
        <w:t xml:space="preserve"> effekt, sikkerhed og PK. I den 6-måneders dobbeltblindede periode (periode 1) fik 17 patienter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og 18 patienter fik placebo. </w:t>
      </w:r>
    </w:p>
    <w:p w:rsidR="00973B20" w:rsidRPr="007807BC" w:rsidRDefault="00973B20" w:rsidP="00973B20">
      <w:pPr>
        <w:ind w:left="851"/>
        <w:rPr>
          <w:rFonts w:ascii="TimesNewRomanPS-ItalicMT" w:hAnsi="TimesNewRomanPS-ItalicMT" w:cs="TimesNewRomanPS-ItalicMT"/>
          <w:sz w:val="24"/>
          <w:szCs w:val="24"/>
          <w:lang w:eastAsia="da-DK"/>
        </w:rPr>
      </w:pPr>
    </w:p>
    <w:p w:rsidR="00973B20" w:rsidRDefault="00973B20" w:rsidP="00973B20">
      <w:pPr>
        <w:ind w:left="851"/>
        <w:rPr>
          <w:rFonts w:ascii="TimesNewRomanPS-ItalicMT" w:hAnsi="TimesNewRomanPS-ItalicMT" w:cs="TimesNewRomanPS-ItalicMT"/>
          <w:sz w:val="24"/>
          <w:szCs w:val="24"/>
          <w:lang w:eastAsia="da-DK"/>
        </w:rPr>
      </w:pP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-dosen blev administreret baseret på patientens vægt ved screeningsbesøget. Størstedelen af patienterne (25 [71,4 %]) vejede ≥ 40 kg og fik 40 mg, mens resten (10 [28,6 %]) vejede ≥ 25 kg til &lt; 40 kg og fik 20 mg. Der var 16 mandlige og 19 kvindelige patienter i dette studie; medianalderen for den samlede population var 14,2 år (varierede fra 6,2 til 17,9 år). Ingen patienter i alderen &lt; 6 år blev inkluderet i studiet. </w:t>
      </w:r>
      <w:proofErr w:type="spellStart"/>
      <w:r w:rsidRPr="007807BC">
        <w:rPr>
          <w:rFonts w:ascii="TimesNewRomanPS-ItalicMT" w:hAnsi="TimesNewRomanPS-ItalicMT" w:cs="TimesNewRomanPS-ItalicMT"/>
          <w:sz w:val="24"/>
          <w:szCs w:val="24"/>
          <w:lang w:eastAsia="da-DK"/>
        </w:rPr>
        <w:t>Pulmonal</w:t>
      </w:r>
      <w:proofErr w:type="spellEnd"/>
      <w:r w:rsidRPr="007807BC">
        <w:rPr>
          <w:rFonts w:ascii="TimesNewRomanPS-ItalicMT" w:hAnsi="TimesNewRomanPS-ItalicMT" w:cs="TimesNewRomanPS-ItalicMT"/>
          <w:sz w:val="24"/>
          <w:szCs w:val="24"/>
          <w:lang w:eastAsia="da-DK"/>
        </w:rPr>
        <w:t xml:space="preserve"> arteriel hypertension ætiologier var overvejende IPAH (74,3 %) og PAH forbundet med vedvarende eller tilbagevendende </w:t>
      </w:r>
      <w:proofErr w:type="spellStart"/>
      <w:r w:rsidRPr="007807BC">
        <w:rPr>
          <w:rFonts w:ascii="TimesNewRomanPS-ItalicMT" w:hAnsi="TimesNewRomanPS-ItalicMT" w:cs="TimesNewRomanPS-ItalicMT"/>
          <w:sz w:val="24"/>
          <w:szCs w:val="24"/>
          <w:lang w:eastAsia="da-DK"/>
        </w:rPr>
        <w:t>pulmonal</w:t>
      </w:r>
      <w:proofErr w:type="spellEnd"/>
      <w:r w:rsidRPr="007807BC">
        <w:rPr>
          <w:rFonts w:ascii="TimesNewRomanPS-ItalicMT" w:hAnsi="TimesNewRomanPS-ItalicMT" w:cs="TimesNewRomanPS-ItalicMT"/>
          <w:sz w:val="24"/>
          <w:szCs w:val="24"/>
          <w:lang w:eastAsia="da-DK"/>
        </w:rPr>
        <w:t xml:space="preserve"> hypertension efter behandling af en medfødt systemisk til </w:t>
      </w:r>
      <w:proofErr w:type="spellStart"/>
      <w:r w:rsidRPr="007807BC">
        <w:rPr>
          <w:rFonts w:ascii="TimesNewRomanPS-ItalicMT" w:hAnsi="TimesNewRomanPS-ItalicMT" w:cs="TimesNewRomanPS-ItalicMT"/>
          <w:sz w:val="24"/>
          <w:szCs w:val="24"/>
          <w:lang w:eastAsia="da-DK"/>
        </w:rPr>
        <w:t>pulmonal</w:t>
      </w:r>
      <w:proofErr w:type="spellEnd"/>
      <w:r w:rsidRPr="007807BC">
        <w:rPr>
          <w:rFonts w:ascii="TimesNewRomanPS-ItalicMT" w:hAnsi="TimesNewRomanPS-ItalicMT" w:cs="TimesNewRomanPS-ItalicMT"/>
          <w:sz w:val="24"/>
          <w:szCs w:val="24"/>
          <w:lang w:eastAsia="da-DK"/>
        </w:rPr>
        <w:t xml:space="preserve"> shunt (25,7 %). Størstedelen af patienterne var i WHO funktionsklasse II (80 %). </w:t>
      </w:r>
    </w:p>
    <w:p w:rsidR="00973B20" w:rsidRDefault="00973B20" w:rsidP="00973B20">
      <w:pPr>
        <w:ind w:left="851"/>
        <w:rPr>
          <w:rFonts w:ascii="TimesNewRomanPS-ItalicMT" w:hAnsi="TimesNewRomanPS-ItalicMT" w:cs="TimesNewRomanPS-ItalicMT"/>
          <w:sz w:val="24"/>
          <w:szCs w:val="24"/>
          <w:lang w:eastAsia="da-DK"/>
        </w:rPr>
      </w:pPr>
    </w:p>
    <w:p w:rsidR="00973B20" w:rsidRDefault="00973B20" w:rsidP="00973B20">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Det primære formål med periode 1 var at evaluere effekten af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sammenlignet med placebo til at forbedre 6MWD fra baseline til uge 24, vurderet hos patienter ≥ 6 til &lt; 18 år, som var udviklingsmæssigt i stand til at udføre en 6MW test. For den primære analyse (MMRM) var L</w:t>
      </w:r>
      <w:r>
        <w:rPr>
          <w:rFonts w:ascii="TimesNewRomanPS-ItalicMT" w:hAnsi="TimesNewRomanPS-ItalicMT" w:cs="TimesNewRomanPS-ItalicMT"/>
          <w:sz w:val="24"/>
          <w:szCs w:val="24"/>
          <w:lang w:eastAsia="da-DK"/>
        </w:rPr>
        <w:t>S-</w:t>
      </w:r>
      <w:r w:rsidRPr="007807BC">
        <w:rPr>
          <w:rFonts w:ascii="TimesNewRomanPS-ItalicMT" w:hAnsi="TimesNewRomanPS-ItalicMT" w:cs="TimesNewRomanPS-ItalicMT"/>
          <w:sz w:val="24"/>
          <w:szCs w:val="24"/>
          <w:lang w:eastAsia="da-DK"/>
        </w:rPr>
        <w:t xml:space="preserve">gennemsnitsændringen (Standard </w:t>
      </w:r>
      <w:proofErr w:type="spellStart"/>
      <w:r w:rsidRPr="007807BC">
        <w:rPr>
          <w:rFonts w:ascii="TimesNewRomanPS-ItalicMT" w:hAnsi="TimesNewRomanPS-ItalicMT" w:cs="TimesNewRomanPS-ItalicMT"/>
          <w:sz w:val="24"/>
          <w:szCs w:val="24"/>
          <w:lang w:eastAsia="da-DK"/>
        </w:rPr>
        <w:t>Error</w:t>
      </w:r>
      <w:proofErr w:type="spellEnd"/>
      <w:r w:rsidRPr="007807BC">
        <w:rPr>
          <w:rFonts w:ascii="TimesNewRomanPS-ItalicMT" w:hAnsi="TimesNewRomanPS-ItalicMT" w:cs="TimesNewRomanPS-ItalicMT"/>
          <w:sz w:val="24"/>
          <w:szCs w:val="24"/>
          <w:lang w:eastAsia="da-DK"/>
        </w:rPr>
        <w:t xml:space="preserve">: SE) ændret fra baseline til 24 uger i 6MWD 60 (SE: 20,4) meter for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og 37 (SE: 20,8) meter for placebo.</w:t>
      </w:r>
    </w:p>
    <w:p w:rsidR="00973B20" w:rsidRDefault="00973B20" w:rsidP="00973B20">
      <w:pPr>
        <w:ind w:left="851"/>
        <w:rPr>
          <w:rFonts w:ascii="TimesNewRomanPS-ItalicMT" w:hAnsi="TimesNewRomanPS-ItalicMT" w:cs="TimesNewRomanPS-ItalicMT"/>
          <w:sz w:val="24"/>
          <w:szCs w:val="24"/>
          <w:lang w:eastAsia="da-DK"/>
        </w:rPr>
      </w:pPr>
    </w:p>
    <w:p w:rsidR="00973B20" w:rsidRPr="007807BC" w:rsidRDefault="00973B20" w:rsidP="00973B20">
      <w:pPr>
        <w:ind w:left="851"/>
        <w:rPr>
          <w:rFonts w:ascii="TimesNewRomanPS-ItalicMT" w:hAnsi="TimesNewRomanPS-ItalicMT" w:cs="TimesNewRomanPS-ItalicMT"/>
          <w:sz w:val="24"/>
          <w:szCs w:val="24"/>
          <w:lang w:eastAsia="da-DK"/>
        </w:rPr>
      </w:pPr>
      <w:proofErr w:type="spellStart"/>
      <w:r w:rsidRPr="007807BC">
        <w:rPr>
          <w:rFonts w:ascii="TimesNewRomanPS-ItalicMT" w:hAnsi="TimesNewRomanPS-ItalicMT" w:cs="TimesNewRomanPS-ItalicMT"/>
          <w:sz w:val="24"/>
          <w:szCs w:val="24"/>
          <w:lang w:eastAsia="da-DK"/>
        </w:rPr>
        <w:lastRenderedPageBreak/>
        <w:t>Ydreligere</w:t>
      </w:r>
      <w:proofErr w:type="spellEnd"/>
      <w:r w:rsidRPr="007807BC">
        <w:rPr>
          <w:rFonts w:ascii="TimesNewRomanPS-ItalicMT" w:hAnsi="TimesNewRomanPS-ItalicMT" w:cs="TimesNewRomanPS-ItalicMT"/>
          <w:sz w:val="24"/>
          <w:szCs w:val="24"/>
          <w:lang w:eastAsia="da-DK"/>
        </w:rPr>
        <w:t xml:space="preserve"> blev der hos pædiatriske patienter med PAH i alderen ≥ 2 til &lt; 18 år desuden brugt en eksponerings-respons-model (ER) til at forudsige 6MWD baseret på pædiatrisk eksponering efter 20 eller 40 mg daglige doser estimeret ved hjælp af en populations PK-model og en etableret voksen E</w:t>
      </w:r>
      <w:r>
        <w:rPr>
          <w:rFonts w:ascii="TimesNewRomanPS-ItalicMT" w:hAnsi="TimesNewRomanPS-ItalicMT" w:cs="TimesNewRomanPS-ItalicMT"/>
          <w:sz w:val="24"/>
          <w:szCs w:val="24"/>
          <w:lang w:eastAsia="da-DK"/>
        </w:rPr>
        <w:t xml:space="preserve">R </w:t>
      </w:r>
      <w:r w:rsidRPr="007807BC">
        <w:rPr>
          <w:rFonts w:ascii="TimesNewRomanPS-ItalicMT" w:hAnsi="TimesNewRomanPS-ItalicMT" w:cs="TimesNewRomanPS-ItalicMT"/>
          <w:sz w:val="24"/>
          <w:szCs w:val="24"/>
          <w:lang w:eastAsia="da-DK"/>
        </w:rPr>
        <w:t>model (H6D-MC-LVGY). Modellen viste lighed i respons mellem den modelforudsagte og den faktisk observerede 6MWD hos pædiatriske patienter i alderen 6 til &lt; 18 år fra undersøgelse H6D</w:t>
      </w:r>
      <w:r>
        <w:rPr>
          <w:rFonts w:ascii="TimesNewRomanPS-ItalicMT" w:hAnsi="TimesNewRomanPS-ItalicMT" w:cs="TimesNewRomanPS-ItalicMT"/>
          <w:sz w:val="24"/>
          <w:szCs w:val="24"/>
          <w:lang w:eastAsia="da-DK"/>
        </w:rPr>
        <w:t>-</w:t>
      </w:r>
      <w:r w:rsidRPr="007807BC">
        <w:rPr>
          <w:rFonts w:ascii="TimesNewRomanPS-ItalicMT" w:hAnsi="TimesNewRomanPS-ItalicMT" w:cs="TimesNewRomanPS-ItalicMT"/>
          <w:sz w:val="24"/>
          <w:szCs w:val="24"/>
          <w:lang w:eastAsia="da-DK"/>
        </w:rPr>
        <w:t xml:space="preserve">MC-LVHV. </w:t>
      </w:r>
    </w:p>
    <w:p w:rsidR="00973B20" w:rsidRPr="007807BC" w:rsidRDefault="00973B20" w:rsidP="00973B20">
      <w:pPr>
        <w:ind w:left="851"/>
        <w:rPr>
          <w:rFonts w:ascii="TimesNewRomanPS-ItalicMT" w:hAnsi="TimesNewRomanPS-ItalicMT" w:cs="TimesNewRomanPS-ItalicMT"/>
          <w:sz w:val="24"/>
          <w:szCs w:val="24"/>
          <w:lang w:eastAsia="da-DK"/>
        </w:rPr>
      </w:pPr>
    </w:p>
    <w:p w:rsidR="00973B20" w:rsidRDefault="00973B20" w:rsidP="00973B20">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Der var ingen bekræftede tilfælde af klinisk forværring i nogen af behandlingsgrupperne i periode 1. Andelen af patienter med forbedring i WHO funktionsklasse fra baseline til uge 24 var 40 % i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-gruppen sammenlignet med 20 % i placebogruppen. Derudover blev en positiv tendens til potentiel effekt i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mod placebogruppen også observeret i målinger såsom NT-Pro-BNP (behandlingsforskel: -127,4</w:t>
      </w:r>
      <w:r>
        <w:rPr>
          <w:rFonts w:ascii="TimesNewRomanPS-ItalicMT" w:hAnsi="TimesNewRomanPS-ItalicMT" w:cs="TimesNewRomanPS-ItalicMT"/>
          <w:sz w:val="24"/>
          <w:szCs w:val="24"/>
          <w:lang w:eastAsia="da-DK"/>
        </w:rPr>
        <w:t>;</w:t>
      </w:r>
      <w:r w:rsidRPr="007807BC">
        <w:rPr>
          <w:rFonts w:ascii="TimesNewRomanPS-ItalicMT" w:hAnsi="TimesNewRomanPS-ItalicMT" w:cs="TimesNewRomanPS-ItalicMT"/>
          <w:sz w:val="24"/>
          <w:szCs w:val="24"/>
          <w:lang w:eastAsia="da-DK"/>
        </w:rPr>
        <w:t xml:space="preserve"> 95 % </w:t>
      </w:r>
    </w:p>
    <w:p w:rsidR="00973B20" w:rsidRPr="007807BC" w:rsidRDefault="00973B20" w:rsidP="00973B20">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CI, -247,05 til -7,80), ekkokardiografiske parametre (TAPSE: behandlingsforskel 0,43), 95 % CI, 0,14 til 0,71; venstre ventrikel EI-systolisk: behandlingsforskel -0,40</w:t>
      </w:r>
      <w:r>
        <w:rPr>
          <w:rFonts w:ascii="TimesNewRomanPS-ItalicMT" w:hAnsi="TimesNewRomanPS-ItalicMT" w:cs="TimesNewRomanPS-ItalicMT"/>
          <w:sz w:val="24"/>
          <w:szCs w:val="24"/>
          <w:lang w:eastAsia="da-DK"/>
        </w:rPr>
        <w:t>;</w:t>
      </w:r>
      <w:r w:rsidRPr="007807BC">
        <w:rPr>
          <w:rFonts w:ascii="TimesNewRomanPS-ItalicMT" w:hAnsi="TimesNewRomanPS-ItalicMT" w:cs="TimesNewRomanPS-ItalicMT"/>
          <w:sz w:val="24"/>
          <w:szCs w:val="24"/>
          <w:lang w:eastAsia="da-DK"/>
        </w:rPr>
        <w:t xml:space="preserve"> 95 % CI, -0,87 til 0,07; venstre </w:t>
      </w:r>
      <w:proofErr w:type="spellStart"/>
      <w:r w:rsidRPr="007807BC">
        <w:rPr>
          <w:rFonts w:ascii="TimesNewRomanPS-ItalicMT" w:hAnsi="TimesNewRomanPS-ItalicMT" w:cs="TimesNewRomanPS-ItalicMT"/>
          <w:sz w:val="24"/>
          <w:szCs w:val="24"/>
          <w:lang w:eastAsia="da-DK"/>
        </w:rPr>
        <w:t>ventrikulær</w:t>
      </w:r>
      <w:proofErr w:type="spellEnd"/>
      <w:r w:rsidRPr="007807BC">
        <w:rPr>
          <w:rFonts w:ascii="TimesNewRomanPS-ItalicMT" w:hAnsi="TimesNewRomanPS-ItalicMT" w:cs="TimesNewRomanPS-ItalicMT"/>
          <w:sz w:val="24"/>
          <w:szCs w:val="24"/>
          <w:lang w:eastAsia="da-DK"/>
        </w:rPr>
        <w:t xml:space="preserve"> EI-diastolisk: behandlingsforskel -0,17</w:t>
      </w:r>
      <w:r>
        <w:rPr>
          <w:rFonts w:ascii="TimesNewRomanPS-ItalicMT" w:hAnsi="TimesNewRomanPS-ItalicMT" w:cs="TimesNewRomanPS-ItalicMT"/>
          <w:sz w:val="24"/>
          <w:szCs w:val="24"/>
          <w:lang w:eastAsia="da-DK"/>
        </w:rPr>
        <w:t>;</w:t>
      </w:r>
      <w:r w:rsidRPr="007807BC">
        <w:rPr>
          <w:rFonts w:ascii="TimesNewRomanPS-ItalicMT" w:hAnsi="TimesNewRomanPS-ItalicMT" w:cs="TimesNewRomanPS-ItalicMT"/>
          <w:sz w:val="24"/>
          <w:szCs w:val="24"/>
          <w:lang w:eastAsia="da-DK"/>
        </w:rPr>
        <w:t xml:space="preserve"> 95 % CI, -0,43 til 0,09; 2 patienter med rapporteret </w:t>
      </w:r>
      <w:proofErr w:type="spellStart"/>
      <w:r w:rsidRPr="007807BC">
        <w:rPr>
          <w:rFonts w:ascii="TimesNewRomanPS-ItalicMT" w:hAnsi="TimesNewRomanPS-ItalicMT" w:cs="TimesNewRomanPS-ItalicMT"/>
          <w:sz w:val="24"/>
          <w:szCs w:val="24"/>
          <w:lang w:eastAsia="da-DK"/>
        </w:rPr>
        <w:t>perikardiel</w:t>
      </w:r>
      <w:proofErr w:type="spellEnd"/>
      <w:r w:rsidRPr="007807BC">
        <w:rPr>
          <w:rFonts w:ascii="TimesNewRomanPS-ItalicMT" w:hAnsi="TimesNewRomanPS-ItalicMT" w:cs="TimesNewRomanPS-ItalicMT"/>
          <w:sz w:val="24"/>
          <w:szCs w:val="24"/>
          <w:lang w:eastAsia="da-DK"/>
        </w:rPr>
        <w:t xml:space="preserve"> </w:t>
      </w:r>
      <w:proofErr w:type="spellStart"/>
      <w:r w:rsidRPr="007807BC">
        <w:rPr>
          <w:rFonts w:ascii="TimesNewRomanPS-ItalicMT" w:hAnsi="TimesNewRomanPS-ItalicMT" w:cs="TimesNewRomanPS-ItalicMT"/>
          <w:sz w:val="24"/>
          <w:szCs w:val="24"/>
          <w:lang w:eastAsia="da-DK"/>
        </w:rPr>
        <w:t>effusion</w:t>
      </w:r>
      <w:proofErr w:type="spellEnd"/>
      <w:r w:rsidRPr="007807BC">
        <w:rPr>
          <w:rFonts w:ascii="TimesNewRomanPS-ItalicMT" w:hAnsi="TimesNewRomanPS-ItalicMT" w:cs="TimesNewRomanPS-ItalicMT"/>
          <w:sz w:val="24"/>
          <w:szCs w:val="24"/>
          <w:lang w:eastAsia="da-DK"/>
        </w:rPr>
        <w:t xml:space="preserve"> fra placebogruppen og ingen fra </w:t>
      </w:r>
      <w:proofErr w:type="spellStart"/>
      <w:r w:rsidRPr="007807BC">
        <w:rPr>
          <w:rFonts w:ascii="TimesNewRomanPS-ItalicMT" w:hAnsi="TimesNewRomanPS-ItalicMT" w:cs="TimesNewRomanPS-ItalicMT"/>
          <w:sz w:val="24"/>
          <w:szCs w:val="24"/>
          <w:lang w:eastAsia="da-DK"/>
        </w:rPr>
        <w:t>tadalafilgruppen</w:t>
      </w:r>
      <w:proofErr w:type="spellEnd"/>
      <w:r w:rsidRPr="007807BC">
        <w:rPr>
          <w:rFonts w:ascii="TimesNewRomanPS-ItalicMT" w:hAnsi="TimesNewRomanPS-ItalicMT" w:cs="TimesNewRomanPS-ItalicMT"/>
          <w:sz w:val="24"/>
          <w:szCs w:val="24"/>
          <w:lang w:eastAsia="da-DK"/>
        </w:rPr>
        <w:t xml:space="preserve">) og CGI-I (forbedret i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64,3 %, placebo 46,7 %).</w:t>
      </w:r>
    </w:p>
    <w:p w:rsidR="00973B20" w:rsidRDefault="00973B20" w:rsidP="00973B20">
      <w:pPr>
        <w:ind w:left="851"/>
        <w:rPr>
          <w:rFonts w:ascii="TimesNewRomanPS-ItalicMT" w:hAnsi="TimesNewRomanPS-ItalicMT" w:cs="TimesNewRomanPS-ItalicMT"/>
          <w:i/>
          <w:iCs/>
          <w:sz w:val="24"/>
          <w:szCs w:val="24"/>
          <w:lang w:eastAsia="da-DK"/>
        </w:rPr>
      </w:pPr>
    </w:p>
    <w:p w:rsidR="00973B20" w:rsidRDefault="00973B20" w:rsidP="00973B20">
      <w:pPr>
        <w:ind w:left="851"/>
        <w:rPr>
          <w:rFonts w:ascii="TimesNewRomanPS-ItalicMT" w:hAnsi="TimesNewRomanPS-ItalicMT" w:cs="TimesNewRomanPS-ItalicMT"/>
          <w:i/>
          <w:iCs/>
          <w:sz w:val="24"/>
          <w:szCs w:val="24"/>
          <w:lang w:eastAsia="da-DK"/>
        </w:rPr>
      </w:pPr>
      <w:r w:rsidRPr="00EB15AE">
        <w:rPr>
          <w:rFonts w:ascii="TimesNewRomanPS-ItalicMT" w:hAnsi="TimesNewRomanPS-ItalicMT" w:cs="TimesNewRomanPS-ItalicMT"/>
          <w:i/>
          <w:iCs/>
          <w:sz w:val="24"/>
          <w:szCs w:val="24"/>
          <w:lang w:eastAsia="da-DK"/>
        </w:rPr>
        <w:t>Langsigtede udvidelsesdata</w:t>
      </w:r>
      <w:r>
        <w:rPr>
          <w:rFonts w:ascii="TimesNewRomanPS-ItalicMT" w:hAnsi="TimesNewRomanPS-ItalicMT" w:cs="TimesNewRomanPS-ItalicMT"/>
          <w:i/>
          <w:iCs/>
          <w:sz w:val="24"/>
          <w:szCs w:val="24"/>
          <w:lang w:eastAsia="da-DK"/>
        </w:rPr>
        <w:t xml:space="preserve"> </w:t>
      </w:r>
    </w:p>
    <w:p w:rsidR="00973B20" w:rsidRPr="007807BC" w:rsidRDefault="00973B20" w:rsidP="00973B20">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I alt gik 32 patienter fra det placebokontrollerede studie (H6D-MC-LVHV) ind i den open-label 2-årige forlængelsesperiode (periode 2), hvor alle patienter fik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svarende til deres vægtkohorterelaterede dosis. Det primære formål med periode 2 var at evaluere den langsigtede sikkerhed af </w:t>
      </w:r>
      <w:proofErr w:type="spellStart"/>
      <w:r w:rsidRPr="007807BC">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w:t>
      </w:r>
    </w:p>
    <w:p w:rsidR="00973B20" w:rsidRPr="007807BC" w:rsidRDefault="00973B20" w:rsidP="00973B20">
      <w:pPr>
        <w:ind w:left="851"/>
        <w:rPr>
          <w:rFonts w:ascii="TimesNewRomanPS-ItalicMT" w:hAnsi="TimesNewRomanPS-ItalicMT" w:cs="TimesNewRomanPS-ItalicMT"/>
          <w:sz w:val="24"/>
          <w:szCs w:val="24"/>
          <w:lang w:eastAsia="da-DK"/>
        </w:rPr>
      </w:pPr>
    </w:p>
    <w:p w:rsidR="00973B20" w:rsidRPr="007807BC" w:rsidRDefault="00973B20" w:rsidP="00973B20">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I alt gennemførte 26 patienter opfølgningen, hvor der ikke blev observeret nye sikkerhedssignaler. Klinisk forværring blev oplevet hos 5 patienter; 1 havde nyopstået synkope, 2 havde en stigning i </w:t>
      </w:r>
      <w:proofErr w:type="spellStart"/>
      <w:r w:rsidRPr="007807BC">
        <w:rPr>
          <w:rFonts w:ascii="TimesNewRomanPS-ItalicMT" w:hAnsi="TimesNewRomanPS-ItalicMT" w:cs="TimesNewRomanPS-ItalicMT"/>
          <w:sz w:val="24"/>
          <w:szCs w:val="24"/>
          <w:lang w:eastAsia="da-DK"/>
        </w:rPr>
        <w:t>endotelinreceptorantagonistdosen</w:t>
      </w:r>
      <w:proofErr w:type="spellEnd"/>
      <w:r w:rsidRPr="007807BC">
        <w:rPr>
          <w:rFonts w:ascii="TimesNewRomanPS-ItalicMT" w:hAnsi="TimesNewRomanPS-ItalicMT" w:cs="TimesNewRomanPS-ItalicMT"/>
          <w:sz w:val="24"/>
          <w:szCs w:val="24"/>
          <w:lang w:eastAsia="da-DK"/>
        </w:rPr>
        <w:t xml:space="preserve">, 1 fik tilføjelse af ny PAH-specifik </w:t>
      </w:r>
      <w:proofErr w:type="spellStart"/>
      <w:r w:rsidRPr="007807BC">
        <w:rPr>
          <w:rFonts w:ascii="TimesNewRomanPS-ItalicMT" w:hAnsi="TimesNewRomanPS-ItalicMT" w:cs="TimesNewRomanPS-ItalicMT"/>
          <w:sz w:val="24"/>
          <w:szCs w:val="24"/>
          <w:lang w:eastAsia="da-DK"/>
        </w:rPr>
        <w:t>konkomitant</w:t>
      </w:r>
      <w:proofErr w:type="spellEnd"/>
      <w:r w:rsidRPr="007807BC">
        <w:rPr>
          <w:rFonts w:ascii="TimesNewRomanPS-ItalicMT" w:hAnsi="TimesNewRomanPS-ItalicMT" w:cs="TimesNewRomanPS-ItalicMT"/>
          <w:sz w:val="24"/>
          <w:szCs w:val="24"/>
          <w:lang w:eastAsia="da-DK"/>
        </w:rPr>
        <w:t xml:space="preserve"> behandling og 1 blev indlagt på grund af PAH-progression. WHO-funktionsklassen blev opretholdt eller forbedret hos størstedelen af patienterne i slutningen af periode 2.</w:t>
      </w:r>
    </w:p>
    <w:p w:rsidR="00973B20" w:rsidRDefault="00973B20" w:rsidP="00973B20">
      <w:pPr>
        <w:ind w:left="851"/>
        <w:rPr>
          <w:rFonts w:ascii="TimesNewRomanPS-ItalicMT" w:hAnsi="TimesNewRomanPS-ItalicMT" w:cs="TimesNewRomanPS-ItalicMT"/>
          <w:i/>
          <w:iCs/>
          <w:sz w:val="24"/>
          <w:szCs w:val="24"/>
          <w:lang w:eastAsia="da-DK"/>
        </w:rPr>
      </w:pPr>
    </w:p>
    <w:p w:rsidR="00973B20" w:rsidRDefault="00973B20" w:rsidP="00973B20">
      <w:pPr>
        <w:ind w:left="851"/>
        <w:rPr>
          <w:rFonts w:ascii="TimesNewRomanPS-ItalicMT" w:hAnsi="TimesNewRomanPS-ItalicMT" w:cs="TimesNewRomanPS-ItalicMT"/>
          <w:i/>
          <w:iCs/>
          <w:sz w:val="24"/>
          <w:szCs w:val="24"/>
          <w:lang w:eastAsia="da-DK"/>
        </w:rPr>
      </w:pPr>
      <w:proofErr w:type="spellStart"/>
      <w:r w:rsidRPr="00EB15AE">
        <w:rPr>
          <w:rFonts w:ascii="TimesNewRomanPS-ItalicMT" w:hAnsi="TimesNewRomanPS-ItalicMT" w:cs="TimesNewRomanPS-ItalicMT"/>
          <w:i/>
          <w:iCs/>
          <w:sz w:val="24"/>
          <w:szCs w:val="24"/>
          <w:lang w:eastAsia="da-DK"/>
        </w:rPr>
        <w:t>Farmakodynamiske</w:t>
      </w:r>
      <w:proofErr w:type="spellEnd"/>
      <w:r w:rsidRPr="00EB15AE">
        <w:rPr>
          <w:rFonts w:ascii="TimesNewRomanPS-ItalicMT" w:hAnsi="TimesNewRomanPS-ItalicMT" w:cs="TimesNewRomanPS-ItalicMT"/>
          <w:i/>
          <w:iCs/>
          <w:sz w:val="24"/>
          <w:szCs w:val="24"/>
          <w:lang w:eastAsia="da-DK"/>
        </w:rPr>
        <w:t xml:space="preserve"> virkninger hos børn &lt; 6 år</w:t>
      </w:r>
    </w:p>
    <w:p w:rsidR="00973B20" w:rsidRPr="007807BC" w:rsidRDefault="00973B20" w:rsidP="00973B20">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På grund af begrænset tilgængelighed af </w:t>
      </w:r>
      <w:proofErr w:type="spellStart"/>
      <w:r w:rsidRPr="007807BC">
        <w:rPr>
          <w:rFonts w:ascii="TimesNewRomanPS-ItalicMT" w:hAnsi="TimesNewRomanPS-ItalicMT" w:cs="TimesNewRomanPS-ItalicMT"/>
          <w:sz w:val="24"/>
          <w:szCs w:val="24"/>
          <w:lang w:eastAsia="da-DK"/>
        </w:rPr>
        <w:t>farmakodynamiske</w:t>
      </w:r>
      <w:proofErr w:type="spellEnd"/>
      <w:r w:rsidRPr="007807BC">
        <w:rPr>
          <w:rFonts w:ascii="TimesNewRomanPS-ItalicMT" w:hAnsi="TimesNewRomanPS-ItalicMT" w:cs="TimesNewRomanPS-ItalicMT"/>
          <w:sz w:val="24"/>
          <w:szCs w:val="24"/>
          <w:lang w:eastAsia="da-DK"/>
        </w:rPr>
        <w:t xml:space="preserve"> målinger og mangel på et passende og godkendt klinisk endepunkt hos børn under 6 år, ekstrapoleres virkningen i denne population ved at matche eksponeringen til det effektive dosisområde for voksne. </w:t>
      </w:r>
    </w:p>
    <w:p w:rsidR="00973B20" w:rsidRPr="007807BC" w:rsidRDefault="00973B20" w:rsidP="00973B20">
      <w:pPr>
        <w:ind w:left="851"/>
        <w:rPr>
          <w:rFonts w:ascii="TimesNewRomanPS-ItalicMT" w:hAnsi="TimesNewRomanPS-ItalicMT" w:cs="TimesNewRomanPS-ItalicMT"/>
          <w:sz w:val="24"/>
          <w:szCs w:val="24"/>
          <w:lang w:eastAsia="da-DK"/>
        </w:rPr>
      </w:pPr>
    </w:p>
    <w:p w:rsidR="00973B20" w:rsidRPr="007807BC" w:rsidRDefault="00973B20" w:rsidP="00973B20">
      <w:pPr>
        <w:ind w:left="851"/>
        <w:rPr>
          <w:rFonts w:ascii="TimesNewRomanPS-ItalicMT" w:hAnsi="TimesNewRomanPS-ItalicMT" w:cs="TimesNewRomanPS-ItalicMT"/>
          <w:sz w:val="24"/>
          <w:szCs w:val="24"/>
          <w:lang w:eastAsia="da-DK"/>
        </w:rPr>
      </w:pPr>
      <w:r w:rsidRPr="007807BC">
        <w:rPr>
          <w:rFonts w:ascii="TimesNewRomanPS-ItalicMT" w:hAnsi="TimesNewRomanPS-ItalicMT" w:cs="TimesNewRomanPS-ItalicMT"/>
          <w:sz w:val="24"/>
          <w:szCs w:val="24"/>
          <w:lang w:eastAsia="da-DK"/>
        </w:rPr>
        <w:t xml:space="preserve">Dosering og virkning af </w:t>
      </w:r>
      <w:proofErr w:type="spellStart"/>
      <w:r>
        <w:rPr>
          <w:rFonts w:ascii="TimesNewRomanPS-ItalicMT" w:hAnsi="TimesNewRomanPS-ItalicMT" w:cs="TimesNewRomanPS-ItalicMT"/>
          <w:sz w:val="24"/>
          <w:szCs w:val="24"/>
          <w:lang w:eastAsia="da-DK"/>
        </w:rPr>
        <w:t>tadalafil</w:t>
      </w:r>
      <w:proofErr w:type="spellEnd"/>
      <w:r w:rsidRPr="007807BC">
        <w:rPr>
          <w:rFonts w:ascii="TimesNewRomanPS-ItalicMT" w:hAnsi="TimesNewRomanPS-ItalicMT" w:cs="TimesNewRomanPS-ItalicMT"/>
          <w:sz w:val="24"/>
          <w:szCs w:val="24"/>
          <w:lang w:eastAsia="da-DK"/>
        </w:rPr>
        <w:t xml:space="preserve"> er ikke blevet fastslået til børn under 2 år.</w:t>
      </w:r>
    </w:p>
    <w:p w:rsidR="00973B20" w:rsidRDefault="00973B20" w:rsidP="00973B20">
      <w:pPr>
        <w:ind w:left="851"/>
        <w:rPr>
          <w:rFonts w:ascii="TimesNewRomanPS-ItalicMT" w:hAnsi="TimesNewRomanPS-ItalicMT" w:cs="TimesNewRomanPS-ItalicMT"/>
          <w:i/>
          <w:iCs/>
          <w:sz w:val="24"/>
          <w:szCs w:val="24"/>
          <w:lang w:eastAsia="da-DK"/>
        </w:rPr>
      </w:pPr>
    </w:p>
    <w:p w:rsidR="00973B20" w:rsidRPr="007807BC" w:rsidRDefault="00973B20" w:rsidP="00973B20">
      <w:pPr>
        <w:ind w:left="851"/>
        <w:rPr>
          <w:sz w:val="28"/>
          <w:szCs w:val="28"/>
        </w:rPr>
      </w:pPr>
      <w:proofErr w:type="spellStart"/>
      <w:r w:rsidRPr="007807BC">
        <w:rPr>
          <w:rFonts w:ascii="TimesNewRomanPS-ItalicMT" w:hAnsi="TimesNewRomanPS-ItalicMT" w:cs="TimesNewRomanPS-ItalicMT"/>
          <w:i/>
          <w:iCs/>
          <w:sz w:val="24"/>
          <w:szCs w:val="24"/>
          <w:lang w:eastAsia="da-DK"/>
        </w:rPr>
        <w:t>Duchennes</w:t>
      </w:r>
      <w:proofErr w:type="spellEnd"/>
      <w:r w:rsidRPr="007807BC">
        <w:rPr>
          <w:rFonts w:ascii="TimesNewRomanPS-ItalicMT" w:hAnsi="TimesNewRomanPS-ItalicMT" w:cs="TimesNewRomanPS-ItalicMT"/>
          <w:i/>
          <w:iCs/>
          <w:sz w:val="24"/>
          <w:szCs w:val="24"/>
          <w:lang w:eastAsia="da-DK"/>
        </w:rPr>
        <w:t xml:space="preserve"> muskeldystrofi</w:t>
      </w:r>
      <w:r w:rsidRPr="007807BC">
        <w:rPr>
          <w:sz w:val="28"/>
          <w:szCs w:val="28"/>
        </w:rPr>
        <w:t xml:space="preserve"> </w:t>
      </w:r>
    </w:p>
    <w:p w:rsidR="00973B20" w:rsidRDefault="00973B20" w:rsidP="00973B20">
      <w:pPr>
        <w:ind w:left="851"/>
        <w:rPr>
          <w:sz w:val="24"/>
          <w:szCs w:val="24"/>
        </w:rPr>
      </w:pPr>
      <w:r>
        <w:rPr>
          <w:sz w:val="24"/>
          <w:szCs w:val="24"/>
        </w:rPr>
        <w:t xml:space="preserve">I et studie med </w:t>
      </w:r>
      <w:proofErr w:type="spellStart"/>
      <w:r>
        <w:rPr>
          <w:sz w:val="24"/>
          <w:szCs w:val="24"/>
        </w:rPr>
        <w:t>tadalafil</w:t>
      </w:r>
      <w:proofErr w:type="spellEnd"/>
      <w:r>
        <w:rPr>
          <w:sz w:val="24"/>
          <w:szCs w:val="24"/>
        </w:rPr>
        <w:t xml:space="preserve"> udført hos børn med </w:t>
      </w:r>
      <w:proofErr w:type="spellStart"/>
      <w:r>
        <w:rPr>
          <w:sz w:val="24"/>
          <w:szCs w:val="24"/>
        </w:rPr>
        <w:t>Duchennes</w:t>
      </w:r>
      <w:proofErr w:type="spellEnd"/>
      <w:r>
        <w:rPr>
          <w:sz w:val="24"/>
          <w:szCs w:val="24"/>
        </w:rPr>
        <w:t xml:space="preserve"> muskeldystrofi (DMD) blev der ikke påvist nogen effekt. Det randomiserede, dobbeltblinde, placebokontrollerede studie med 3 parallelle arme blev gennemført hos 331 drenge med DMD i alderen 7-14 år, som samtidig fik </w:t>
      </w:r>
      <w:proofErr w:type="spellStart"/>
      <w:r>
        <w:rPr>
          <w:sz w:val="24"/>
          <w:szCs w:val="24"/>
        </w:rPr>
        <w:t>kortikosteroid</w:t>
      </w:r>
      <w:proofErr w:type="spellEnd"/>
      <w:r>
        <w:rPr>
          <w:sz w:val="24"/>
          <w:szCs w:val="24"/>
        </w:rPr>
        <w:t xml:space="preserve">. Studiet havde en 48-ugers dobbeltblind periode, hvor patienterne blev randomiseret til at få en daglig dosis </w:t>
      </w:r>
      <w:proofErr w:type="spellStart"/>
      <w:r>
        <w:rPr>
          <w:sz w:val="24"/>
          <w:szCs w:val="24"/>
        </w:rPr>
        <w:t>tadalafil</w:t>
      </w:r>
      <w:proofErr w:type="spellEnd"/>
      <w:r>
        <w:rPr>
          <w:sz w:val="24"/>
          <w:szCs w:val="24"/>
        </w:rPr>
        <w:t xml:space="preserve"> på 0,3 mg/kg eller 0,6 mg/kg eller placebo. </w:t>
      </w:r>
      <w:proofErr w:type="spellStart"/>
      <w:r>
        <w:rPr>
          <w:sz w:val="24"/>
          <w:szCs w:val="24"/>
        </w:rPr>
        <w:t>Tadalafil</w:t>
      </w:r>
      <w:proofErr w:type="spellEnd"/>
      <w:r>
        <w:rPr>
          <w:sz w:val="24"/>
          <w:szCs w:val="24"/>
        </w:rPr>
        <w:t xml:space="preserve"> viste ingen effekt på at forsinke nedgangen i mobilitet, målt ved 6 minutters gangtest (6MWD), som var det primære endepunkt: Den gennemsnitlige ændring i 6MWD efter 48 uger, bestemt ved mindste kvadraters metode (LS), var -51,0 meter i placebogruppen, sammenlignet med -64,7 meter i </w:t>
      </w:r>
      <w:proofErr w:type="spellStart"/>
      <w:r>
        <w:rPr>
          <w:sz w:val="24"/>
          <w:szCs w:val="24"/>
        </w:rPr>
        <w:t>tadalafilgruppen</w:t>
      </w:r>
      <w:proofErr w:type="spellEnd"/>
      <w:r>
        <w:rPr>
          <w:sz w:val="24"/>
          <w:szCs w:val="24"/>
        </w:rPr>
        <w:t xml:space="preserve"> med 0,3 mg/kg (p = 0,307) og -59,1 meter i </w:t>
      </w:r>
      <w:proofErr w:type="spellStart"/>
      <w:r>
        <w:rPr>
          <w:sz w:val="24"/>
          <w:szCs w:val="24"/>
        </w:rPr>
        <w:t>tadalafilgruppen</w:t>
      </w:r>
      <w:proofErr w:type="spellEnd"/>
      <w:r>
        <w:rPr>
          <w:sz w:val="24"/>
          <w:szCs w:val="24"/>
        </w:rPr>
        <w:t xml:space="preserve"> med 0,6 mg/kg (p = 0,538). Ydermere blev der ikke påvist nogen effekt for de sekundære endepunkter i dette studie. De samlede resultater vedrørende sikkerhed var generelt i overensstemmelse med den kendte sikkerhedsprofil for </w:t>
      </w:r>
      <w:proofErr w:type="spellStart"/>
      <w:r>
        <w:rPr>
          <w:sz w:val="24"/>
          <w:szCs w:val="24"/>
        </w:rPr>
        <w:lastRenderedPageBreak/>
        <w:t>tadalafil</w:t>
      </w:r>
      <w:proofErr w:type="spellEnd"/>
      <w:r>
        <w:rPr>
          <w:sz w:val="24"/>
          <w:szCs w:val="24"/>
        </w:rPr>
        <w:t xml:space="preserve"> og med bivirkninger, som kan forventes i en pædiatrisk DMD-population, som får </w:t>
      </w:r>
      <w:proofErr w:type="spellStart"/>
      <w:r>
        <w:rPr>
          <w:sz w:val="24"/>
          <w:szCs w:val="24"/>
        </w:rPr>
        <w:t>kortikosteroider</w:t>
      </w:r>
      <w:proofErr w:type="spellEnd"/>
      <w:r>
        <w:rPr>
          <w:sz w:val="24"/>
          <w:szCs w:val="24"/>
        </w:rPr>
        <w:t xml:space="preserve">. </w:t>
      </w:r>
    </w:p>
    <w:p w:rsidR="00973B20" w:rsidRDefault="00973B20" w:rsidP="00973B20">
      <w:pPr>
        <w:ind w:left="851"/>
        <w:rPr>
          <w:sz w:val="24"/>
          <w:szCs w:val="24"/>
        </w:rPr>
      </w:pPr>
    </w:p>
    <w:p w:rsidR="00C07FC7" w:rsidRDefault="00973B20" w:rsidP="00973B20">
      <w:pPr>
        <w:tabs>
          <w:tab w:val="left" w:pos="851"/>
        </w:tabs>
        <w:ind w:left="851"/>
        <w:rPr>
          <w:sz w:val="24"/>
          <w:szCs w:val="24"/>
        </w:rPr>
      </w:pPr>
      <w:r>
        <w:rPr>
          <w:sz w:val="24"/>
          <w:szCs w:val="24"/>
        </w:rPr>
        <w:t xml:space="preserve">Det Europæiske Lægemiddelagentur har udsat forpligtelsen til at fremlægge resultaterne af studier med </w:t>
      </w:r>
      <w:proofErr w:type="spellStart"/>
      <w:r>
        <w:rPr>
          <w:sz w:val="24"/>
          <w:szCs w:val="24"/>
        </w:rPr>
        <w:t>tadalafil</w:t>
      </w:r>
      <w:proofErr w:type="spellEnd"/>
      <w:r>
        <w:rPr>
          <w:sz w:val="24"/>
          <w:szCs w:val="24"/>
        </w:rPr>
        <w:t xml:space="preserve"> i alle undergrupper af den pædiatriske population ved behandling af </w:t>
      </w:r>
      <w:proofErr w:type="spellStart"/>
      <w:r>
        <w:rPr>
          <w:sz w:val="24"/>
          <w:szCs w:val="24"/>
        </w:rPr>
        <w:t>erektil</w:t>
      </w:r>
      <w:proofErr w:type="spellEnd"/>
      <w:r>
        <w:rPr>
          <w:sz w:val="24"/>
          <w:szCs w:val="24"/>
        </w:rPr>
        <w:t xml:space="preserve"> dysfunktion (se pkt. 4.2 for oplysninger om pædiatrisk anvendelse).</w:t>
      </w:r>
    </w:p>
    <w:p w:rsidR="00973B20" w:rsidRPr="002C448C" w:rsidRDefault="00973B20" w:rsidP="00973B20">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5.2</w:t>
      </w:r>
      <w:r w:rsidRPr="002C448C">
        <w:rPr>
          <w:b/>
          <w:sz w:val="24"/>
          <w:szCs w:val="24"/>
        </w:rPr>
        <w:tab/>
      </w:r>
      <w:proofErr w:type="spellStart"/>
      <w:r w:rsidRPr="002C448C">
        <w:rPr>
          <w:b/>
          <w:sz w:val="24"/>
          <w:szCs w:val="24"/>
        </w:rPr>
        <w:t>Farmakokinetiske</w:t>
      </w:r>
      <w:proofErr w:type="spellEnd"/>
      <w:r w:rsidRPr="002C448C">
        <w:rPr>
          <w:b/>
          <w:sz w:val="24"/>
          <w:szCs w:val="24"/>
        </w:rPr>
        <w:t xml:space="preserve"> egenskaber</w:t>
      </w:r>
    </w:p>
    <w:p w:rsidR="00C07FC7" w:rsidRDefault="00C07FC7" w:rsidP="00C07FC7">
      <w:pPr>
        <w:suppressAutoHyphens/>
        <w:ind w:left="851" w:hanging="851"/>
        <w:rPr>
          <w:sz w:val="24"/>
          <w:szCs w:val="24"/>
          <w:u w:val="single"/>
        </w:rPr>
      </w:pPr>
    </w:p>
    <w:p w:rsidR="00973B20" w:rsidRDefault="00973B20" w:rsidP="00973B20">
      <w:pPr>
        <w:suppressAutoHyphens/>
        <w:ind w:left="851"/>
        <w:rPr>
          <w:sz w:val="24"/>
          <w:szCs w:val="24"/>
          <w:u w:val="single"/>
        </w:rPr>
      </w:pPr>
      <w:r>
        <w:rPr>
          <w:sz w:val="24"/>
          <w:szCs w:val="24"/>
          <w:u w:val="single"/>
        </w:rPr>
        <w:t>Absorption</w:t>
      </w:r>
    </w:p>
    <w:p w:rsidR="00973B20" w:rsidRDefault="00973B20" w:rsidP="00973B20">
      <w:pPr>
        <w:suppressAutoHyphens/>
        <w:ind w:left="851"/>
        <w:rPr>
          <w:sz w:val="24"/>
          <w:szCs w:val="24"/>
        </w:rPr>
      </w:pPr>
      <w:proofErr w:type="spellStart"/>
      <w:r>
        <w:rPr>
          <w:sz w:val="24"/>
          <w:szCs w:val="24"/>
        </w:rPr>
        <w:t>Tadalafil</w:t>
      </w:r>
      <w:proofErr w:type="spellEnd"/>
      <w:r>
        <w:rPr>
          <w:sz w:val="24"/>
          <w:szCs w:val="24"/>
        </w:rPr>
        <w:t xml:space="preserve"> absorberes hurtigt efter oral administration, og den gennemsnitlige maksimale plasma- koncentration (</w:t>
      </w:r>
      <w:proofErr w:type="spellStart"/>
      <w:r>
        <w:rPr>
          <w:sz w:val="24"/>
          <w:szCs w:val="24"/>
        </w:rPr>
        <w:t>C</w:t>
      </w:r>
      <w:r>
        <w:rPr>
          <w:sz w:val="24"/>
          <w:szCs w:val="24"/>
          <w:vertAlign w:val="subscript"/>
        </w:rPr>
        <w:t>max</w:t>
      </w:r>
      <w:proofErr w:type="spellEnd"/>
      <w:r>
        <w:rPr>
          <w:sz w:val="24"/>
          <w:szCs w:val="24"/>
        </w:rPr>
        <w:t xml:space="preserve">) opnås efter en mediantid på 4 timer efter administration. </w:t>
      </w:r>
      <w:proofErr w:type="spellStart"/>
      <w:r>
        <w:rPr>
          <w:sz w:val="24"/>
          <w:szCs w:val="24"/>
        </w:rPr>
        <w:t>Farmakokinetiske</w:t>
      </w:r>
      <w:proofErr w:type="spellEnd"/>
      <w:r>
        <w:rPr>
          <w:sz w:val="24"/>
          <w:szCs w:val="24"/>
        </w:rPr>
        <w:t xml:space="preserve"> studier har vist, at </w:t>
      </w:r>
      <w:proofErr w:type="spellStart"/>
      <w:r>
        <w:rPr>
          <w:sz w:val="24"/>
          <w:szCs w:val="24"/>
        </w:rPr>
        <w:t>tadalafil</w:t>
      </w:r>
      <w:proofErr w:type="spellEnd"/>
      <w:r>
        <w:rPr>
          <w:sz w:val="24"/>
          <w:szCs w:val="24"/>
        </w:rPr>
        <w:t xml:space="preserve">-tabletter og oral suspension er bioækvivalente baseret på </w:t>
      </w:r>
      <w:proofErr w:type="gramStart"/>
      <w:r>
        <w:rPr>
          <w:sz w:val="24"/>
          <w:szCs w:val="24"/>
        </w:rPr>
        <w:t>AUC(</w:t>
      </w:r>
      <w:proofErr w:type="gramEnd"/>
      <w:r>
        <w:rPr>
          <w:sz w:val="24"/>
          <w:szCs w:val="24"/>
        </w:rPr>
        <w:t>0-</w:t>
      </w:r>
      <w:r w:rsidRPr="007807BC">
        <w:rPr>
          <w:sz w:val="24"/>
          <w:szCs w:val="24"/>
        </w:rPr>
        <w:t>∞</w:t>
      </w:r>
      <w:r>
        <w:rPr>
          <w:sz w:val="24"/>
          <w:szCs w:val="24"/>
        </w:rPr>
        <w:t xml:space="preserve">). Den absolutte biotilgængelighed af </w:t>
      </w:r>
      <w:proofErr w:type="spellStart"/>
      <w:r>
        <w:rPr>
          <w:sz w:val="24"/>
          <w:szCs w:val="24"/>
        </w:rPr>
        <w:t>tadalafil</w:t>
      </w:r>
      <w:proofErr w:type="spellEnd"/>
      <w:r>
        <w:rPr>
          <w:sz w:val="24"/>
          <w:szCs w:val="24"/>
        </w:rPr>
        <w:t xml:space="preserve"> efter oral administration er ikke bestemt.</w:t>
      </w:r>
    </w:p>
    <w:p w:rsidR="00973B20" w:rsidRDefault="00973B20" w:rsidP="00973B20">
      <w:pPr>
        <w:suppressAutoHyphens/>
        <w:ind w:left="851"/>
        <w:rPr>
          <w:sz w:val="24"/>
          <w:szCs w:val="24"/>
        </w:rPr>
      </w:pPr>
    </w:p>
    <w:p w:rsidR="00973B20" w:rsidRDefault="00973B20" w:rsidP="00973B20">
      <w:pPr>
        <w:suppressAutoHyphens/>
        <w:ind w:left="851"/>
        <w:rPr>
          <w:sz w:val="24"/>
          <w:szCs w:val="24"/>
        </w:rPr>
      </w:pPr>
      <w:r>
        <w:rPr>
          <w:sz w:val="24"/>
          <w:szCs w:val="24"/>
        </w:rPr>
        <w:t xml:space="preserve">Hverken hastigheden eller omfanget af absorptionen af </w:t>
      </w:r>
      <w:proofErr w:type="spellStart"/>
      <w:r>
        <w:rPr>
          <w:sz w:val="24"/>
          <w:szCs w:val="24"/>
        </w:rPr>
        <w:t>tadalafil</w:t>
      </w:r>
      <w:proofErr w:type="spellEnd"/>
      <w:r>
        <w:rPr>
          <w:sz w:val="24"/>
          <w:szCs w:val="24"/>
        </w:rPr>
        <w:t xml:space="preserve"> filmovertrukne tabletter påvirkes af fødeindtagelse, så </w:t>
      </w:r>
      <w:proofErr w:type="spellStart"/>
      <w:r>
        <w:rPr>
          <w:sz w:val="24"/>
          <w:szCs w:val="24"/>
        </w:rPr>
        <w:t>Tadalafil</w:t>
      </w:r>
      <w:proofErr w:type="spellEnd"/>
      <w:r>
        <w:rPr>
          <w:sz w:val="24"/>
          <w:szCs w:val="24"/>
        </w:rPr>
        <w:t xml:space="preserve"> "Sandoz" kan tages med eller uden mad. Effekten af samtidig madindtagelse på hastigheden og omfanget af absorptionen med </w:t>
      </w:r>
      <w:proofErr w:type="spellStart"/>
      <w:r>
        <w:rPr>
          <w:sz w:val="24"/>
          <w:szCs w:val="24"/>
        </w:rPr>
        <w:t>tadalafil</w:t>
      </w:r>
      <w:proofErr w:type="spellEnd"/>
      <w:r>
        <w:rPr>
          <w:sz w:val="24"/>
          <w:szCs w:val="24"/>
        </w:rPr>
        <w:t xml:space="preserve"> oral suspension er ikke blevet undersøgt; derfor bør </w:t>
      </w:r>
      <w:proofErr w:type="spellStart"/>
      <w:r>
        <w:rPr>
          <w:sz w:val="24"/>
          <w:szCs w:val="24"/>
        </w:rPr>
        <w:t>tadalafil</w:t>
      </w:r>
      <w:proofErr w:type="spellEnd"/>
      <w:r>
        <w:rPr>
          <w:sz w:val="24"/>
          <w:szCs w:val="24"/>
        </w:rPr>
        <w:t xml:space="preserve"> suspension tages på tom mave og mindst 1 time før eller 2 timer efter et måltid. Doseringstidspunktet (morgen versus aften efter administration af en enkelt dosis på 10 mg) havde ingen klinisk relevante indvirkninger på hastigheden eller omfanget af absorptionen. Til børn blev </w:t>
      </w:r>
      <w:proofErr w:type="spellStart"/>
      <w:r>
        <w:rPr>
          <w:sz w:val="24"/>
          <w:szCs w:val="24"/>
        </w:rPr>
        <w:t>tadalafil</w:t>
      </w:r>
      <w:proofErr w:type="spellEnd"/>
      <w:r>
        <w:rPr>
          <w:sz w:val="24"/>
          <w:szCs w:val="24"/>
        </w:rPr>
        <w:t xml:space="preserve"> doseret i kliniske studier og post- markedsføringsstudier uden hensyn til fødevarer, hvilket var uden sikkerhedsproblemer.</w:t>
      </w:r>
    </w:p>
    <w:p w:rsidR="00973B20" w:rsidRDefault="00973B20" w:rsidP="00973B20">
      <w:pPr>
        <w:suppressAutoHyphens/>
        <w:rPr>
          <w:sz w:val="24"/>
          <w:szCs w:val="24"/>
        </w:rPr>
      </w:pPr>
    </w:p>
    <w:p w:rsidR="00973B20" w:rsidRDefault="00973B20" w:rsidP="00973B20">
      <w:pPr>
        <w:keepNext/>
        <w:suppressAutoHyphens/>
        <w:ind w:left="851"/>
        <w:rPr>
          <w:sz w:val="24"/>
          <w:szCs w:val="24"/>
          <w:u w:val="single"/>
        </w:rPr>
      </w:pPr>
      <w:r>
        <w:rPr>
          <w:sz w:val="24"/>
          <w:szCs w:val="24"/>
          <w:u w:val="single"/>
        </w:rPr>
        <w:t>Fordeling</w:t>
      </w:r>
    </w:p>
    <w:p w:rsidR="00973B20" w:rsidRDefault="00973B20" w:rsidP="00973B20">
      <w:pPr>
        <w:suppressAutoHyphens/>
        <w:ind w:left="851"/>
        <w:rPr>
          <w:sz w:val="24"/>
          <w:szCs w:val="24"/>
        </w:rPr>
      </w:pPr>
      <w:r>
        <w:rPr>
          <w:sz w:val="24"/>
          <w:szCs w:val="24"/>
        </w:rPr>
        <w:t xml:space="preserve">Det gennemsnitlige fordelingsvolumen er ca. 77 l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hvilket indikerer, at </w:t>
      </w:r>
      <w:proofErr w:type="spellStart"/>
      <w:r>
        <w:rPr>
          <w:sz w:val="24"/>
          <w:szCs w:val="24"/>
        </w:rPr>
        <w:t>tadalafil</w:t>
      </w:r>
      <w:proofErr w:type="spellEnd"/>
      <w:r>
        <w:rPr>
          <w:sz w:val="24"/>
          <w:szCs w:val="24"/>
        </w:rPr>
        <w:t xml:space="preserve"> fordeles i vævet. Ved terapeutiske koncentrationer er 94 % af </w:t>
      </w:r>
      <w:proofErr w:type="spellStart"/>
      <w:r>
        <w:rPr>
          <w:sz w:val="24"/>
          <w:szCs w:val="24"/>
        </w:rPr>
        <w:t>tadalafil</w:t>
      </w:r>
      <w:proofErr w:type="spellEnd"/>
      <w:r>
        <w:rPr>
          <w:sz w:val="24"/>
          <w:szCs w:val="24"/>
        </w:rPr>
        <w:t xml:space="preserve"> i plasma bundet til proteiner.</w:t>
      </w:r>
    </w:p>
    <w:p w:rsidR="00973B20" w:rsidRDefault="00973B20" w:rsidP="00973B20">
      <w:pPr>
        <w:suppressAutoHyphens/>
        <w:ind w:left="851"/>
        <w:rPr>
          <w:sz w:val="24"/>
          <w:szCs w:val="24"/>
        </w:rPr>
      </w:pPr>
      <w:r>
        <w:rPr>
          <w:sz w:val="24"/>
          <w:szCs w:val="24"/>
        </w:rPr>
        <w:t>Proteinbindingen påvirkes ikke ved nedsat nyrefunktion.</w:t>
      </w:r>
    </w:p>
    <w:p w:rsidR="00973B20" w:rsidRDefault="00973B20" w:rsidP="00973B20">
      <w:pPr>
        <w:suppressAutoHyphens/>
        <w:ind w:left="851"/>
        <w:rPr>
          <w:sz w:val="24"/>
          <w:szCs w:val="24"/>
        </w:rPr>
      </w:pPr>
      <w:r>
        <w:rPr>
          <w:sz w:val="24"/>
          <w:szCs w:val="24"/>
        </w:rPr>
        <w:t>Hos raske forsøgspersoner genfandt man mindre end 0,0005 % af den administrerede dosis i sperma.</w:t>
      </w:r>
    </w:p>
    <w:p w:rsidR="00973B20" w:rsidRDefault="00973B20" w:rsidP="00973B20">
      <w:pPr>
        <w:suppressAutoHyphens/>
        <w:ind w:left="851" w:hanging="851"/>
        <w:rPr>
          <w:sz w:val="24"/>
          <w:szCs w:val="24"/>
        </w:rPr>
      </w:pPr>
    </w:p>
    <w:p w:rsidR="00973B20" w:rsidRDefault="00973B20" w:rsidP="00973B20">
      <w:pPr>
        <w:suppressAutoHyphens/>
        <w:ind w:left="851"/>
        <w:rPr>
          <w:sz w:val="24"/>
          <w:szCs w:val="24"/>
          <w:u w:val="single"/>
        </w:rPr>
      </w:pPr>
      <w:r>
        <w:rPr>
          <w:sz w:val="24"/>
          <w:szCs w:val="24"/>
          <w:u w:val="single"/>
        </w:rPr>
        <w:t>Biotransformation</w:t>
      </w:r>
    </w:p>
    <w:p w:rsidR="00973B20" w:rsidRDefault="00973B20" w:rsidP="00973B20">
      <w:pPr>
        <w:suppressAutoHyphens/>
        <w:ind w:left="851"/>
        <w:rPr>
          <w:sz w:val="24"/>
          <w:szCs w:val="24"/>
        </w:rPr>
      </w:pPr>
      <w:proofErr w:type="spellStart"/>
      <w:r>
        <w:rPr>
          <w:sz w:val="24"/>
          <w:szCs w:val="24"/>
        </w:rPr>
        <w:t>Tadalafil</w:t>
      </w:r>
      <w:proofErr w:type="spellEnd"/>
      <w:r>
        <w:rPr>
          <w:sz w:val="24"/>
          <w:szCs w:val="24"/>
        </w:rPr>
        <w:t xml:space="preserve"> </w:t>
      </w:r>
      <w:proofErr w:type="spellStart"/>
      <w:r>
        <w:rPr>
          <w:sz w:val="24"/>
          <w:szCs w:val="24"/>
        </w:rPr>
        <w:t>metaboliseres</w:t>
      </w:r>
      <w:proofErr w:type="spellEnd"/>
      <w:r>
        <w:rPr>
          <w:sz w:val="24"/>
          <w:szCs w:val="24"/>
        </w:rPr>
        <w:t xml:space="preserve"> overvejende af </w:t>
      </w:r>
      <w:proofErr w:type="spellStart"/>
      <w:r>
        <w:rPr>
          <w:sz w:val="24"/>
          <w:szCs w:val="24"/>
        </w:rPr>
        <w:t>cytokrom</w:t>
      </w:r>
      <w:proofErr w:type="spellEnd"/>
      <w:r>
        <w:rPr>
          <w:sz w:val="24"/>
          <w:szCs w:val="24"/>
        </w:rPr>
        <w:t xml:space="preserve"> P450 (CYP) 3A4 </w:t>
      </w:r>
      <w:proofErr w:type="spellStart"/>
      <w:r>
        <w:rPr>
          <w:sz w:val="24"/>
          <w:szCs w:val="24"/>
        </w:rPr>
        <w:t>isoformen</w:t>
      </w:r>
      <w:proofErr w:type="spellEnd"/>
      <w:r>
        <w:rPr>
          <w:sz w:val="24"/>
          <w:szCs w:val="24"/>
        </w:rPr>
        <w:t xml:space="preserve">. Den væsentligste cirkulerende metabolit er </w:t>
      </w:r>
      <w:proofErr w:type="spellStart"/>
      <w:r>
        <w:rPr>
          <w:sz w:val="24"/>
          <w:szCs w:val="24"/>
        </w:rPr>
        <w:t>methylcatecholglucoronid</w:t>
      </w:r>
      <w:proofErr w:type="spellEnd"/>
      <w:r>
        <w:rPr>
          <w:sz w:val="24"/>
          <w:szCs w:val="24"/>
        </w:rPr>
        <w:t xml:space="preserve">. Denne metabolit er mindst 13.000 gange mindre potent overfor PDE5 end </w:t>
      </w:r>
      <w:proofErr w:type="spellStart"/>
      <w:r>
        <w:rPr>
          <w:sz w:val="24"/>
          <w:szCs w:val="24"/>
        </w:rPr>
        <w:t>tadalafil</w:t>
      </w:r>
      <w:proofErr w:type="spellEnd"/>
      <w:r>
        <w:rPr>
          <w:sz w:val="24"/>
          <w:szCs w:val="24"/>
        </w:rPr>
        <w:t>. På den baggrund anses den ikke for at være klinisk aktiv ved de observerede metabolitkoncentrationer.</w:t>
      </w:r>
    </w:p>
    <w:p w:rsidR="00973B20" w:rsidRDefault="00973B20" w:rsidP="00973B20">
      <w:pPr>
        <w:suppressAutoHyphens/>
        <w:ind w:left="851" w:hanging="851"/>
        <w:rPr>
          <w:sz w:val="24"/>
          <w:szCs w:val="24"/>
        </w:rPr>
      </w:pPr>
    </w:p>
    <w:p w:rsidR="00973B20" w:rsidRDefault="00973B20" w:rsidP="00973B20">
      <w:pPr>
        <w:suppressAutoHyphens/>
        <w:ind w:left="851"/>
        <w:rPr>
          <w:sz w:val="24"/>
          <w:szCs w:val="24"/>
          <w:u w:val="single"/>
        </w:rPr>
      </w:pPr>
      <w:r>
        <w:rPr>
          <w:sz w:val="24"/>
          <w:szCs w:val="24"/>
          <w:u w:val="single"/>
        </w:rPr>
        <w:t>Elimination</w:t>
      </w:r>
    </w:p>
    <w:p w:rsidR="00973B20" w:rsidRDefault="00973B20" w:rsidP="00973B20">
      <w:pPr>
        <w:suppressAutoHyphens/>
        <w:ind w:left="851"/>
        <w:rPr>
          <w:sz w:val="24"/>
          <w:szCs w:val="24"/>
        </w:rPr>
      </w:pPr>
      <w:r>
        <w:rPr>
          <w:sz w:val="24"/>
          <w:szCs w:val="24"/>
        </w:rPr>
        <w:t xml:space="preserve">Den gennemsnitlige </w:t>
      </w:r>
      <w:proofErr w:type="spellStart"/>
      <w:r>
        <w:rPr>
          <w:sz w:val="24"/>
          <w:szCs w:val="24"/>
        </w:rPr>
        <w:t>clearance</w:t>
      </w:r>
      <w:proofErr w:type="spellEnd"/>
      <w:r>
        <w:rPr>
          <w:sz w:val="24"/>
          <w:szCs w:val="24"/>
        </w:rPr>
        <w:t xml:space="preserve"> for </w:t>
      </w:r>
      <w:proofErr w:type="spellStart"/>
      <w:r>
        <w:rPr>
          <w:sz w:val="24"/>
          <w:szCs w:val="24"/>
        </w:rPr>
        <w:t>tadalafil</w:t>
      </w:r>
      <w:proofErr w:type="spellEnd"/>
      <w:r>
        <w:rPr>
          <w:sz w:val="24"/>
          <w:szCs w:val="24"/>
        </w:rPr>
        <w:t xml:space="preserve"> efter oral indgift er 3,4 l/time ved </w:t>
      </w:r>
      <w:proofErr w:type="spellStart"/>
      <w:r>
        <w:rPr>
          <w:sz w:val="24"/>
          <w:szCs w:val="24"/>
        </w:rPr>
        <w:t>steady</w:t>
      </w:r>
      <w:proofErr w:type="spellEnd"/>
      <w:r>
        <w:rPr>
          <w:sz w:val="24"/>
          <w:szCs w:val="24"/>
        </w:rPr>
        <w:t xml:space="preserve"> </w:t>
      </w:r>
      <w:proofErr w:type="spellStart"/>
      <w:r>
        <w:rPr>
          <w:sz w:val="24"/>
          <w:szCs w:val="24"/>
        </w:rPr>
        <w:t>state</w:t>
      </w:r>
      <w:proofErr w:type="spellEnd"/>
      <w:r>
        <w:rPr>
          <w:sz w:val="24"/>
          <w:szCs w:val="24"/>
        </w:rPr>
        <w:t xml:space="preserve">, og den gennemsnitlige terminale halveringstid er 16 timer hos raske forsøgspersoner. </w:t>
      </w:r>
      <w:r>
        <w:rPr>
          <w:sz w:val="24"/>
          <w:szCs w:val="24"/>
        </w:rPr>
        <w:br/>
      </w:r>
      <w:proofErr w:type="spellStart"/>
      <w:r>
        <w:rPr>
          <w:sz w:val="24"/>
          <w:szCs w:val="24"/>
        </w:rPr>
        <w:t>Tadalafil</w:t>
      </w:r>
      <w:proofErr w:type="spellEnd"/>
      <w:r>
        <w:rPr>
          <w:sz w:val="24"/>
          <w:szCs w:val="24"/>
        </w:rPr>
        <w:t xml:space="preserve"> udskilles overvejende som inaktive metabolitter, for størsteparten i fæces (ca. 61 % af dosis) og i mindre grad i urinen (ca. 36 % af dosis).</w:t>
      </w:r>
    </w:p>
    <w:p w:rsidR="00973B20" w:rsidRDefault="00973B20" w:rsidP="00973B20">
      <w:pPr>
        <w:suppressAutoHyphens/>
        <w:ind w:left="851"/>
        <w:rPr>
          <w:sz w:val="24"/>
          <w:szCs w:val="24"/>
        </w:rPr>
      </w:pPr>
    </w:p>
    <w:p w:rsidR="00973B20" w:rsidRDefault="00973B20" w:rsidP="00973B20">
      <w:pPr>
        <w:suppressAutoHyphens/>
        <w:ind w:left="851"/>
        <w:rPr>
          <w:sz w:val="24"/>
          <w:szCs w:val="24"/>
          <w:u w:val="single"/>
        </w:rPr>
      </w:pPr>
      <w:r>
        <w:rPr>
          <w:sz w:val="24"/>
          <w:szCs w:val="24"/>
          <w:u w:val="single"/>
        </w:rPr>
        <w:t>Linearitet/non-linearitet</w:t>
      </w:r>
    </w:p>
    <w:p w:rsidR="00973B20" w:rsidRDefault="00973B20" w:rsidP="00973B20">
      <w:pPr>
        <w:suppressAutoHyphens/>
        <w:ind w:left="851"/>
        <w:rPr>
          <w:sz w:val="24"/>
          <w:szCs w:val="24"/>
        </w:rPr>
      </w:pPr>
      <w:proofErr w:type="spellStart"/>
      <w:r>
        <w:rPr>
          <w:spacing w:val="2"/>
          <w:sz w:val="24"/>
          <w:szCs w:val="24"/>
        </w:rPr>
        <w:t>T</w:t>
      </w:r>
      <w:r>
        <w:rPr>
          <w:sz w:val="24"/>
          <w:szCs w:val="24"/>
        </w:rPr>
        <w:t>ada</w:t>
      </w:r>
      <w:r>
        <w:rPr>
          <w:spacing w:val="1"/>
          <w:sz w:val="24"/>
          <w:szCs w:val="24"/>
        </w:rPr>
        <w:t>l</w:t>
      </w:r>
      <w:r>
        <w:rPr>
          <w:sz w:val="24"/>
          <w:szCs w:val="24"/>
        </w:rPr>
        <w:t>a</w:t>
      </w:r>
      <w:r>
        <w:rPr>
          <w:spacing w:val="1"/>
          <w:sz w:val="24"/>
          <w:szCs w:val="24"/>
        </w:rPr>
        <w:t>fil</w:t>
      </w:r>
      <w:r>
        <w:rPr>
          <w:sz w:val="24"/>
          <w:szCs w:val="24"/>
        </w:rPr>
        <w:t>s</w:t>
      </w:r>
      <w:proofErr w:type="spellEnd"/>
      <w:r>
        <w:rPr>
          <w:spacing w:val="1"/>
          <w:sz w:val="24"/>
          <w:szCs w:val="24"/>
        </w:rPr>
        <w:t xml:space="preserve"> f</w:t>
      </w:r>
      <w:r>
        <w:rPr>
          <w:sz w:val="24"/>
          <w:szCs w:val="24"/>
        </w:rPr>
        <w:t>a</w:t>
      </w:r>
      <w:r>
        <w:rPr>
          <w:spacing w:val="1"/>
          <w:sz w:val="24"/>
          <w:szCs w:val="24"/>
        </w:rPr>
        <w:t>r</w:t>
      </w:r>
      <w:r>
        <w:rPr>
          <w:spacing w:val="-4"/>
          <w:sz w:val="24"/>
          <w:szCs w:val="24"/>
        </w:rPr>
        <w:t>m</w:t>
      </w:r>
      <w:r>
        <w:rPr>
          <w:sz w:val="24"/>
          <w:szCs w:val="24"/>
        </w:rPr>
        <w:t>a</w:t>
      </w:r>
      <w:r>
        <w:rPr>
          <w:spacing w:val="-2"/>
          <w:sz w:val="24"/>
          <w:szCs w:val="24"/>
        </w:rPr>
        <w:t>k</w:t>
      </w:r>
      <w:r>
        <w:rPr>
          <w:sz w:val="24"/>
          <w:szCs w:val="24"/>
        </w:rPr>
        <w:t>o</w:t>
      </w:r>
      <w:r>
        <w:rPr>
          <w:spacing w:val="-2"/>
          <w:sz w:val="24"/>
          <w:szCs w:val="24"/>
        </w:rPr>
        <w:t>k</w:t>
      </w:r>
      <w:r>
        <w:rPr>
          <w:spacing w:val="1"/>
          <w:sz w:val="24"/>
          <w:szCs w:val="24"/>
        </w:rPr>
        <w:t>i</w:t>
      </w:r>
      <w:r>
        <w:rPr>
          <w:sz w:val="24"/>
          <w:szCs w:val="24"/>
        </w:rPr>
        <w:t>ne</w:t>
      </w:r>
      <w:r>
        <w:rPr>
          <w:spacing w:val="1"/>
          <w:sz w:val="24"/>
          <w:szCs w:val="24"/>
        </w:rPr>
        <w:t>ti</w:t>
      </w:r>
      <w:r>
        <w:rPr>
          <w:sz w:val="24"/>
          <w:szCs w:val="24"/>
        </w:rPr>
        <w:t>k</w:t>
      </w:r>
      <w:r>
        <w:rPr>
          <w:spacing w:val="-2"/>
          <w:sz w:val="24"/>
          <w:szCs w:val="24"/>
        </w:rPr>
        <w:t xml:space="preserve"> </w:t>
      </w:r>
      <w:r>
        <w:rPr>
          <w:sz w:val="24"/>
          <w:szCs w:val="24"/>
        </w:rPr>
        <w:t>hos</w:t>
      </w:r>
      <w:r>
        <w:rPr>
          <w:spacing w:val="1"/>
          <w:sz w:val="24"/>
          <w:szCs w:val="24"/>
        </w:rPr>
        <w:t xml:space="preserve"> r</w:t>
      </w:r>
      <w:r>
        <w:rPr>
          <w:sz w:val="24"/>
          <w:szCs w:val="24"/>
        </w:rPr>
        <w:t>as</w:t>
      </w:r>
      <w:r>
        <w:rPr>
          <w:spacing w:val="-2"/>
          <w:sz w:val="24"/>
          <w:szCs w:val="24"/>
        </w:rPr>
        <w:t>k</w:t>
      </w:r>
      <w:r>
        <w:rPr>
          <w:sz w:val="24"/>
          <w:szCs w:val="24"/>
        </w:rPr>
        <w:t>e</w:t>
      </w:r>
      <w:r>
        <w:rPr>
          <w:spacing w:val="1"/>
          <w:sz w:val="24"/>
          <w:szCs w:val="24"/>
        </w:rPr>
        <w:t xml:space="preserve"> f</w:t>
      </w:r>
      <w:r>
        <w:rPr>
          <w:sz w:val="24"/>
          <w:szCs w:val="24"/>
        </w:rPr>
        <w:t>o</w:t>
      </w:r>
      <w:r>
        <w:rPr>
          <w:spacing w:val="1"/>
          <w:sz w:val="24"/>
          <w:szCs w:val="24"/>
        </w:rPr>
        <w:t>r</w:t>
      </w:r>
      <w:r>
        <w:rPr>
          <w:sz w:val="24"/>
          <w:szCs w:val="24"/>
        </w:rPr>
        <w:t>sø</w:t>
      </w:r>
      <w:r>
        <w:rPr>
          <w:spacing w:val="-2"/>
          <w:sz w:val="24"/>
          <w:szCs w:val="24"/>
        </w:rPr>
        <w:t>g</w:t>
      </w:r>
      <w:r>
        <w:rPr>
          <w:sz w:val="24"/>
          <w:szCs w:val="24"/>
        </w:rPr>
        <w:t>spe</w:t>
      </w:r>
      <w:r>
        <w:rPr>
          <w:spacing w:val="1"/>
          <w:sz w:val="24"/>
          <w:szCs w:val="24"/>
        </w:rPr>
        <w:t>r</w:t>
      </w:r>
      <w:r>
        <w:rPr>
          <w:sz w:val="24"/>
          <w:szCs w:val="24"/>
        </w:rPr>
        <w:t>soner</w:t>
      </w:r>
      <w:r>
        <w:rPr>
          <w:spacing w:val="1"/>
          <w:sz w:val="24"/>
          <w:szCs w:val="24"/>
        </w:rPr>
        <w:t xml:space="preserve"> </w:t>
      </w:r>
      <w:r>
        <w:rPr>
          <w:sz w:val="24"/>
          <w:szCs w:val="24"/>
        </w:rPr>
        <w:t>er</w:t>
      </w:r>
      <w:r>
        <w:rPr>
          <w:spacing w:val="1"/>
          <w:sz w:val="24"/>
          <w:szCs w:val="24"/>
        </w:rPr>
        <w:t xml:space="preserve"> li</w:t>
      </w:r>
      <w:r>
        <w:rPr>
          <w:sz w:val="24"/>
          <w:szCs w:val="24"/>
        </w:rPr>
        <w:t>ne</w:t>
      </w:r>
      <w:r>
        <w:rPr>
          <w:spacing w:val="-1"/>
          <w:sz w:val="24"/>
          <w:szCs w:val="24"/>
        </w:rPr>
        <w:t>æ</w:t>
      </w:r>
      <w:r>
        <w:rPr>
          <w:sz w:val="24"/>
          <w:szCs w:val="24"/>
        </w:rPr>
        <w:t>r</w:t>
      </w:r>
      <w:r>
        <w:rPr>
          <w:spacing w:val="1"/>
          <w:sz w:val="24"/>
          <w:szCs w:val="24"/>
        </w:rPr>
        <w:t xml:space="preserve"> </w:t>
      </w:r>
      <w:r>
        <w:rPr>
          <w:spacing w:val="-4"/>
          <w:sz w:val="24"/>
          <w:szCs w:val="24"/>
        </w:rPr>
        <w:t>m</w:t>
      </w:r>
      <w:r>
        <w:rPr>
          <w:sz w:val="24"/>
          <w:szCs w:val="24"/>
        </w:rPr>
        <w:t>ed hens</w:t>
      </w:r>
      <w:r>
        <w:rPr>
          <w:spacing w:val="-2"/>
          <w:sz w:val="24"/>
          <w:szCs w:val="24"/>
        </w:rPr>
        <w:t>y</w:t>
      </w:r>
      <w:r>
        <w:rPr>
          <w:sz w:val="24"/>
          <w:szCs w:val="24"/>
        </w:rPr>
        <w:t xml:space="preserve">n </w:t>
      </w:r>
      <w:r>
        <w:rPr>
          <w:spacing w:val="1"/>
          <w:sz w:val="24"/>
          <w:szCs w:val="24"/>
        </w:rPr>
        <w:t>ti</w:t>
      </w:r>
      <w:r>
        <w:rPr>
          <w:sz w:val="24"/>
          <w:szCs w:val="24"/>
        </w:rPr>
        <w:t>l</w:t>
      </w:r>
      <w:r>
        <w:rPr>
          <w:spacing w:val="1"/>
          <w:sz w:val="24"/>
          <w:szCs w:val="24"/>
        </w:rPr>
        <w:t xml:space="preserve"> ti</w:t>
      </w:r>
      <w:r>
        <w:rPr>
          <w:sz w:val="24"/>
          <w:szCs w:val="24"/>
        </w:rPr>
        <w:t>d og</w:t>
      </w:r>
      <w:r>
        <w:rPr>
          <w:spacing w:val="-2"/>
          <w:sz w:val="24"/>
          <w:szCs w:val="24"/>
        </w:rPr>
        <w:t xml:space="preserve"> </w:t>
      </w:r>
      <w:r>
        <w:rPr>
          <w:sz w:val="24"/>
          <w:szCs w:val="24"/>
        </w:rPr>
        <w:t>dos</w:t>
      </w:r>
      <w:r>
        <w:rPr>
          <w:spacing w:val="1"/>
          <w:sz w:val="24"/>
          <w:szCs w:val="24"/>
        </w:rPr>
        <w:t>i</w:t>
      </w:r>
      <w:r>
        <w:rPr>
          <w:sz w:val="24"/>
          <w:szCs w:val="24"/>
        </w:rPr>
        <w:t xml:space="preserve">s. I dosisområdet 2,5-20 mg </w:t>
      </w:r>
      <w:proofErr w:type="spellStart"/>
      <w:r>
        <w:rPr>
          <w:sz w:val="24"/>
          <w:szCs w:val="24"/>
        </w:rPr>
        <w:t>tadalafil</w:t>
      </w:r>
      <w:proofErr w:type="spellEnd"/>
      <w:r>
        <w:rPr>
          <w:sz w:val="24"/>
          <w:szCs w:val="24"/>
        </w:rPr>
        <w:t xml:space="preserve"> øges eksponeringen (AUC) proportionalt med dosis hos raske forsøgspersoner. Mellem 20 mg og 40 mg sås en mindre end proportional stigning i eksponeringen. Ved indtagelse af </w:t>
      </w:r>
      <w:proofErr w:type="spellStart"/>
      <w:r>
        <w:rPr>
          <w:sz w:val="24"/>
          <w:szCs w:val="24"/>
        </w:rPr>
        <w:t>tadalafil</w:t>
      </w:r>
      <w:proofErr w:type="spellEnd"/>
      <w:r>
        <w:rPr>
          <w:sz w:val="24"/>
          <w:szCs w:val="24"/>
        </w:rPr>
        <w:t xml:space="preserve"> 20 mg og 40 mg en gang daglig opnås </w:t>
      </w:r>
      <w:proofErr w:type="spellStart"/>
      <w:r>
        <w:rPr>
          <w:sz w:val="24"/>
          <w:szCs w:val="24"/>
        </w:rPr>
        <w:t>steady-</w:t>
      </w:r>
      <w:r>
        <w:rPr>
          <w:sz w:val="24"/>
          <w:szCs w:val="24"/>
        </w:rPr>
        <w:lastRenderedPageBreak/>
        <w:t>state</w:t>
      </w:r>
      <w:proofErr w:type="spellEnd"/>
      <w:r>
        <w:rPr>
          <w:sz w:val="24"/>
          <w:szCs w:val="24"/>
        </w:rPr>
        <w:t xml:space="preserve"> plasmakoncentration i løbet af 5 dage, og eksponeringen er ca. 1,5 gange så stor som efter en enkelt dosis.</w:t>
      </w:r>
    </w:p>
    <w:p w:rsidR="00973B20" w:rsidRDefault="00973B20" w:rsidP="00973B20">
      <w:pPr>
        <w:suppressAutoHyphens/>
        <w:ind w:left="851" w:hanging="851"/>
        <w:rPr>
          <w:sz w:val="24"/>
          <w:szCs w:val="24"/>
        </w:rPr>
      </w:pPr>
    </w:p>
    <w:p w:rsidR="00973B20" w:rsidRDefault="00973B20" w:rsidP="00973B20">
      <w:pPr>
        <w:suppressAutoHyphens/>
        <w:ind w:left="851"/>
        <w:rPr>
          <w:sz w:val="24"/>
          <w:szCs w:val="24"/>
          <w:u w:val="single"/>
        </w:rPr>
      </w:pPr>
      <w:r>
        <w:rPr>
          <w:sz w:val="24"/>
          <w:szCs w:val="24"/>
          <w:u w:val="single"/>
        </w:rPr>
        <w:t>Populationsfarmakokinetik</w:t>
      </w:r>
    </w:p>
    <w:p w:rsidR="00973B20" w:rsidRDefault="00973B20" w:rsidP="00973B20">
      <w:pPr>
        <w:suppressAutoHyphens/>
        <w:ind w:left="851"/>
        <w:rPr>
          <w:sz w:val="24"/>
          <w:szCs w:val="24"/>
        </w:rPr>
      </w:pPr>
      <w:r>
        <w:rPr>
          <w:sz w:val="24"/>
          <w:szCs w:val="24"/>
        </w:rPr>
        <w:t xml:space="preserve">Farmakokinetikken bestemt med hensyn til populationer hos patienter med </w:t>
      </w:r>
      <w:proofErr w:type="spellStart"/>
      <w:r>
        <w:rPr>
          <w:sz w:val="24"/>
          <w:szCs w:val="24"/>
        </w:rPr>
        <w:t>erektil</w:t>
      </w:r>
      <w:proofErr w:type="spellEnd"/>
      <w:r>
        <w:rPr>
          <w:sz w:val="24"/>
          <w:szCs w:val="24"/>
        </w:rPr>
        <w:t xml:space="preserve"> dysfunktion er den samme som farmakokinetikken hos raske forsøgspersoner.</w:t>
      </w:r>
    </w:p>
    <w:p w:rsidR="00973B20" w:rsidRDefault="00973B20" w:rsidP="00973B20">
      <w:pPr>
        <w:suppressAutoHyphens/>
        <w:ind w:left="851"/>
        <w:rPr>
          <w:sz w:val="24"/>
          <w:szCs w:val="24"/>
        </w:rPr>
      </w:pPr>
    </w:p>
    <w:p w:rsidR="00973B20" w:rsidRDefault="00973B20" w:rsidP="00973B20">
      <w:pPr>
        <w:suppressAutoHyphens/>
        <w:ind w:left="851"/>
        <w:rPr>
          <w:sz w:val="24"/>
          <w:szCs w:val="24"/>
        </w:rPr>
      </w:pPr>
      <w:r>
        <w:rPr>
          <w:sz w:val="24"/>
          <w:szCs w:val="24"/>
        </w:rPr>
        <w:t xml:space="preserve">Hos patienter med PAH, der ikke samtidig fik </w:t>
      </w:r>
      <w:proofErr w:type="spellStart"/>
      <w:r>
        <w:rPr>
          <w:sz w:val="24"/>
          <w:szCs w:val="24"/>
        </w:rPr>
        <w:t>bosentan</w:t>
      </w:r>
      <w:proofErr w:type="spellEnd"/>
      <w:r>
        <w:rPr>
          <w:sz w:val="24"/>
          <w:szCs w:val="24"/>
        </w:rPr>
        <w:t xml:space="preserve">, var den gennemsnitlige </w:t>
      </w:r>
      <w:proofErr w:type="spellStart"/>
      <w:r>
        <w:rPr>
          <w:sz w:val="24"/>
          <w:szCs w:val="24"/>
        </w:rPr>
        <w:t>tadalafileksponering</w:t>
      </w:r>
      <w:proofErr w:type="spellEnd"/>
      <w:r>
        <w:rPr>
          <w:sz w:val="24"/>
          <w:szCs w:val="24"/>
        </w:rPr>
        <w:t xml:space="preserve"> ved </w:t>
      </w:r>
      <w:proofErr w:type="spellStart"/>
      <w:r>
        <w:rPr>
          <w:sz w:val="24"/>
          <w:szCs w:val="24"/>
        </w:rPr>
        <w:t>steady-state</w:t>
      </w:r>
      <w:proofErr w:type="spellEnd"/>
      <w:r>
        <w:rPr>
          <w:sz w:val="24"/>
          <w:szCs w:val="24"/>
        </w:rPr>
        <w:t xml:space="preserve"> efter indtagelse af 40 mg 26 % højere sammenlignet med raske frivillige. Der var ingen klinisk signifikant forskel på </w:t>
      </w:r>
      <w:proofErr w:type="spellStart"/>
      <w:r>
        <w:rPr>
          <w:sz w:val="24"/>
          <w:szCs w:val="24"/>
        </w:rPr>
        <w:t>C</w:t>
      </w:r>
      <w:r>
        <w:rPr>
          <w:sz w:val="24"/>
          <w:szCs w:val="24"/>
          <w:vertAlign w:val="subscript"/>
        </w:rPr>
        <w:t>max</w:t>
      </w:r>
      <w:proofErr w:type="spellEnd"/>
      <w:r>
        <w:rPr>
          <w:sz w:val="24"/>
          <w:szCs w:val="24"/>
          <w:vertAlign w:val="subscript"/>
        </w:rPr>
        <w:t xml:space="preserve"> </w:t>
      </w:r>
      <w:r>
        <w:rPr>
          <w:sz w:val="24"/>
          <w:szCs w:val="24"/>
        </w:rPr>
        <w:t xml:space="preserve">sammenlignet med raske frivillige. Resultaterne indikerer en lavere </w:t>
      </w:r>
      <w:proofErr w:type="spellStart"/>
      <w:r>
        <w:rPr>
          <w:sz w:val="24"/>
          <w:szCs w:val="24"/>
        </w:rPr>
        <w:t>tadalafilclearance</w:t>
      </w:r>
      <w:proofErr w:type="spellEnd"/>
      <w:r>
        <w:rPr>
          <w:sz w:val="24"/>
          <w:szCs w:val="24"/>
        </w:rPr>
        <w:t xml:space="preserve"> hos patienter med </w:t>
      </w:r>
      <w:proofErr w:type="spellStart"/>
      <w:r>
        <w:rPr>
          <w:sz w:val="24"/>
          <w:szCs w:val="24"/>
        </w:rPr>
        <w:t>pulmonal</w:t>
      </w:r>
      <w:proofErr w:type="spellEnd"/>
      <w:r>
        <w:rPr>
          <w:sz w:val="24"/>
          <w:szCs w:val="24"/>
        </w:rPr>
        <w:t xml:space="preserve"> hypertension sammenlignet med raske frivillige.</w:t>
      </w:r>
    </w:p>
    <w:p w:rsidR="00973B20" w:rsidRDefault="00973B20" w:rsidP="00973B20">
      <w:pPr>
        <w:suppressAutoHyphens/>
        <w:ind w:left="851" w:hanging="851"/>
        <w:rPr>
          <w:sz w:val="24"/>
          <w:szCs w:val="24"/>
        </w:rPr>
      </w:pPr>
    </w:p>
    <w:p w:rsidR="00973B20" w:rsidRDefault="00973B20" w:rsidP="00973B20">
      <w:pPr>
        <w:suppressAutoHyphens/>
        <w:ind w:left="851"/>
        <w:rPr>
          <w:sz w:val="24"/>
          <w:szCs w:val="24"/>
          <w:u w:val="single"/>
        </w:rPr>
      </w:pPr>
      <w:r>
        <w:rPr>
          <w:sz w:val="24"/>
          <w:szCs w:val="24"/>
          <w:u w:val="single"/>
        </w:rPr>
        <w:t>Særlige populationer</w:t>
      </w:r>
    </w:p>
    <w:p w:rsidR="00973B20" w:rsidRDefault="00973B20" w:rsidP="00973B20">
      <w:pPr>
        <w:suppressAutoHyphens/>
        <w:ind w:left="851" w:hanging="851"/>
        <w:rPr>
          <w:sz w:val="24"/>
          <w:szCs w:val="24"/>
        </w:rPr>
      </w:pPr>
    </w:p>
    <w:p w:rsidR="00973B20" w:rsidRPr="00E31142" w:rsidRDefault="00973B20" w:rsidP="00973B20">
      <w:pPr>
        <w:suppressAutoHyphens/>
        <w:ind w:left="851"/>
        <w:rPr>
          <w:i/>
          <w:sz w:val="24"/>
          <w:szCs w:val="24"/>
          <w:u w:val="single"/>
        </w:rPr>
      </w:pPr>
      <w:r w:rsidRPr="00E31142">
        <w:rPr>
          <w:i/>
          <w:sz w:val="24"/>
          <w:szCs w:val="24"/>
          <w:u w:val="single"/>
        </w:rPr>
        <w:t>Ældre</w:t>
      </w:r>
    </w:p>
    <w:p w:rsidR="00973B20" w:rsidRDefault="00973B20" w:rsidP="00973B20">
      <w:pPr>
        <w:suppressAutoHyphens/>
        <w:ind w:left="851"/>
        <w:rPr>
          <w:sz w:val="24"/>
          <w:szCs w:val="24"/>
        </w:rPr>
      </w:pPr>
      <w:r>
        <w:rPr>
          <w:sz w:val="24"/>
          <w:szCs w:val="24"/>
        </w:rPr>
        <w:t xml:space="preserve">Raske ældre forsøgspersoner (65 år eller derover) udviste en lavere </w:t>
      </w:r>
      <w:proofErr w:type="spellStart"/>
      <w:r>
        <w:rPr>
          <w:sz w:val="24"/>
          <w:szCs w:val="24"/>
        </w:rPr>
        <w:t>clearance</w:t>
      </w:r>
      <w:proofErr w:type="spellEnd"/>
      <w:r>
        <w:rPr>
          <w:sz w:val="24"/>
          <w:szCs w:val="24"/>
        </w:rPr>
        <w:t xml:space="preserve"> af </w:t>
      </w:r>
      <w:proofErr w:type="spellStart"/>
      <w:r>
        <w:rPr>
          <w:sz w:val="24"/>
          <w:szCs w:val="24"/>
        </w:rPr>
        <w:t>tadalafil</w:t>
      </w:r>
      <w:proofErr w:type="spellEnd"/>
      <w:r>
        <w:rPr>
          <w:sz w:val="24"/>
          <w:szCs w:val="24"/>
        </w:rPr>
        <w:t xml:space="preserve"> efter oral indgift af en dosis på 10 mg, hvilket resulterede i en 25 % højere eksponering (AUC) end hos raske forsøgspersoner mellem 19 og 45 år. Denne alderseffekt er ikke klinisk signifikant og berettiger ikke en justering af dosis.</w:t>
      </w:r>
    </w:p>
    <w:p w:rsidR="00973B20" w:rsidRDefault="00973B20" w:rsidP="00973B20">
      <w:pPr>
        <w:suppressAutoHyphens/>
        <w:ind w:left="851" w:hanging="851"/>
        <w:rPr>
          <w:sz w:val="24"/>
          <w:szCs w:val="24"/>
        </w:rPr>
      </w:pPr>
    </w:p>
    <w:p w:rsidR="00973B20" w:rsidRPr="00E31142" w:rsidRDefault="00973B20" w:rsidP="00973B20">
      <w:pPr>
        <w:suppressAutoHyphens/>
        <w:ind w:left="851"/>
        <w:rPr>
          <w:i/>
          <w:sz w:val="24"/>
          <w:szCs w:val="24"/>
          <w:u w:val="single"/>
        </w:rPr>
      </w:pPr>
      <w:r w:rsidRPr="00E31142">
        <w:rPr>
          <w:i/>
          <w:sz w:val="24"/>
          <w:szCs w:val="24"/>
          <w:u w:val="single"/>
        </w:rPr>
        <w:t>Nyreinsufficiens</w:t>
      </w:r>
    </w:p>
    <w:p w:rsidR="00973B20" w:rsidRDefault="00973B20" w:rsidP="00973B20">
      <w:pPr>
        <w:suppressAutoHyphens/>
        <w:ind w:left="851"/>
        <w:rPr>
          <w:sz w:val="24"/>
          <w:szCs w:val="24"/>
        </w:rPr>
      </w:pPr>
      <w:r>
        <w:rPr>
          <w:sz w:val="24"/>
          <w:szCs w:val="24"/>
        </w:rPr>
        <w:t xml:space="preserve">I kliniske farmakologiske undersøgelser med enkelt-indgift af </w:t>
      </w:r>
      <w:proofErr w:type="spellStart"/>
      <w:r>
        <w:rPr>
          <w:sz w:val="24"/>
          <w:szCs w:val="24"/>
        </w:rPr>
        <w:t>tadalafil</w:t>
      </w:r>
      <w:proofErr w:type="spellEnd"/>
      <w:r>
        <w:rPr>
          <w:sz w:val="24"/>
          <w:szCs w:val="24"/>
        </w:rPr>
        <w:t xml:space="preserve"> (5 mg til 20 mg) var eksponeringen for </w:t>
      </w:r>
      <w:proofErr w:type="spellStart"/>
      <w:r>
        <w:rPr>
          <w:sz w:val="24"/>
          <w:szCs w:val="24"/>
        </w:rPr>
        <w:t>tadalafil</w:t>
      </w:r>
      <w:proofErr w:type="spellEnd"/>
      <w:r>
        <w:rPr>
          <w:sz w:val="24"/>
          <w:szCs w:val="24"/>
        </w:rPr>
        <w:t xml:space="preserve"> (AUC) ca. fordoblet hos forsøgspersoner med mild (</w:t>
      </w:r>
      <w:proofErr w:type="spellStart"/>
      <w:r>
        <w:rPr>
          <w:sz w:val="24"/>
          <w:szCs w:val="24"/>
        </w:rPr>
        <w:t>kreatinin-clearance</w:t>
      </w:r>
      <w:proofErr w:type="spellEnd"/>
      <w:r>
        <w:rPr>
          <w:sz w:val="24"/>
          <w:szCs w:val="24"/>
        </w:rPr>
        <w:t xml:space="preserve"> 51 til 80 ml/min) eller moderat (</w:t>
      </w:r>
      <w:proofErr w:type="spellStart"/>
      <w:r>
        <w:rPr>
          <w:sz w:val="24"/>
          <w:szCs w:val="24"/>
        </w:rPr>
        <w:t>kreatinin-clearance</w:t>
      </w:r>
      <w:proofErr w:type="spellEnd"/>
      <w:r>
        <w:rPr>
          <w:sz w:val="24"/>
          <w:szCs w:val="24"/>
        </w:rPr>
        <w:t xml:space="preserve"> 31 til 50 ml/min) nyrefunktionsnedsættelse samt hos dialysepatienter med nyresvigt i slutstadie. Hos hæmodialysepatienter var </w:t>
      </w:r>
      <w:proofErr w:type="spellStart"/>
      <w:r>
        <w:rPr>
          <w:sz w:val="24"/>
          <w:szCs w:val="24"/>
        </w:rPr>
        <w:t>C</w:t>
      </w:r>
      <w:r>
        <w:rPr>
          <w:sz w:val="24"/>
          <w:szCs w:val="24"/>
          <w:vertAlign w:val="subscript"/>
        </w:rPr>
        <w:t>max</w:t>
      </w:r>
      <w:proofErr w:type="spellEnd"/>
      <w:r>
        <w:rPr>
          <w:sz w:val="24"/>
          <w:szCs w:val="24"/>
        </w:rPr>
        <w:t xml:space="preserve"> 41 % højere end hos raske forsøgspersoner. Hæmodialyse bidrager ubetydeligt til eliminationen af </w:t>
      </w:r>
      <w:proofErr w:type="spellStart"/>
      <w:r>
        <w:rPr>
          <w:sz w:val="24"/>
          <w:szCs w:val="24"/>
        </w:rPr>
        <w:t>tadalafil</w:t>
      </w:r>
      <w:proofErr w:type="spellEnd"/>
      <w:r>
        <w:rPr>
          <w:sz w:val="24"/>
          <w:szCs w:val="24"/>
        </w:rPr>
        <w:t>.</w:t>
      </w:r>
    </w:p>
    <w:p w:rsidR="00973B20" w:rsidRDefault="00973B20" w:rsidP="00973B20">
      <w:pPr>
        <w:suppressAutoHyphens/>
        <w:ind w:left="851"/>
        <w:rPr>
          <w:sz w:val="24"/>
          <w:szCs w:val="24"/>
        </w:rPr>
      </w:pPr>
    </w:p>
    <w:p w:rsidR="00973B20" w:rsidRDefault="00973B20" w:rsidP="00973B20">
      <w:pPr>
        <w:suppressAutoHyphens/>
        <w:ind w:left="851"/>
        <w:rPr>
          <w:sz w:val="24"/>
          <w:szCs w:val="24"/>
        </w:rPr>
      </w:pPr>
      <w:r>
        <w:rPr>
          <w:sz w:val="24"/>
          <w:szCs w:val="24"/>
        </w:rPr>
        <w:t xml:space="preserve">På grund af en øget </w:t>
      </w:r>
      <w:proofErr w:type="spellStart"/>
      <w:r>
        <w:rPr>
          <w:sz w:val="24"/>
          <w:szCs w:val="24"/>
        </w:rPr>
        <w:t>tadalafileksponering</w:t>
      </w:r>
      <w:proofErr w:type="spellEnd"/>
      <w:r>
        <w:rPr>
          <w:sz w:val="24"/>
          <w:szCs w:val="24"/>
        </w:rPr>
        <w:t xml:space="preserve"> (AUC), begrænset klinisk erfaring og manglende mulighed for at påvirke </w:t>
      </w:r>
      <w:proofErr w:type="spellStart"/>
      <w:r>
        <w:rPr>
          <w:sz w:val="24"/>
          <w:szCs w:val="24"/>
        </w:rPr>
        <w:t>clearance</w:t>
      </w:r>
      <w:proofErr w:type="spellEnd"/>
      <w:r>
        <w:rPr>
          <w:sz w:val="24"/>
          <w:szCs w:val="24"/>
        </w:rPr>
        <w:t xml:space="preserve"> ved dialyse anbefales </w:t>
      </w:r>
      <w:proofErr w:type="spellStart"/>
      <w:r>
        <w:rPr>
          <w:sz w:val="24"/>
          <w:szCs w:val="24"/>
        </w:rPr>
        <w:t>tadalafil</w:t>
      </w:r>
      <w:proofErr w:type="spellEnd"/>
      <w:r>
        <w:rPr>
          <w:sz w:val="24"/>
          <w:szCs w:val="24"/>
        </w:rPr>
        <w:t xml:space="preserve"> ikke til patienter med svært nedsat nyrefunktion.</w:t>
      </w:r>
    </w:p>
    <w:p w:rsidR="00973B20" w:rsidRDefault="00973B20" w:rsidP="00973B20">
      <w:pPr>
        <w:suppressAutoHyphens/>
        <w:ind w:left="851" w:hanging="851"/>
        <w:rPr>
          <w:sz w:val="24"/>
          <w:szCs w:val="24"/>
        </w:rPr>
      </w:pPr>
    </w:p>
    <w:p w:rsidR="00973B20" w:rsidRPr="007807BC" w:rsidRDefault="00973B20" w:rsidP="00973B20">
      <w:pPr>
        <w:suppressAutoHyphens/>
        <w:ind w:left="851"/>
        <w:rPr>
          <w:i/>
          <w:sz w:val="24"/>
          <w:szCs w:val="24"/>
          <w:u w:val="single"/>
        </w:rPr>
      </w:pPr>
      <w:r w:rsidRPr="007807BC">
        <w:rPr>
          <w:i/>
          <w:sz w:val="24"/>
          <w:szCs w:val="24"/>
          <w:u w:val="single"/>
        </w:rPr>
        <w:t>Leverinsufficiens</w:t>
      </w:r>
    </w:p>
    <w:p w:rsidR="00973B20" w:rsidRDefault="00973B20" w:rsidP="00973B20">
      <w:pPr>
        <w:suppressAutoHyphens/>
        <w:ind w:left="851"/>
        <w:rPr>
          <w:sz w:val="24"/>
          <w:szCs w:val="24"/>
        </w:rPr>
      </w:pPr>
      <w:r>
        <w:rPr>
          <w:sz w:val="24"/>
          <w:szCs w:val="24"/>
        </w:rPr>
        <w:t xml:space="preserve">Eksponeringen for </w:t>
      </w:r>
      <w:proofErr w:type="spellStart"/>
      <w:r>
        <w:rPr>
          <w:sz w:val="24"/>
          <w:szCs w:val="24"/>
        </w:rPr>
        <w:t>tadalafil</w:t>
      </w:r>
      <w:proofErr w:type="spellEnd"/>
      <w:r>
        <w:rPr>
          <w:sz w:val="24"/>
          <w:szCs w:val="24"/>
        </w:rPr>
        <w:t xml:space="preserve"> (AUC) hos forsøgspersoner med mild og moderat leverfunktionsnedsættelse (Child-</w:t>
      </w:r>
      <w:proofErr w:type="spellStart"/>
      <w:r>
        <w:rPr>
          <w:sz w:val="24"/>
          <w:szCs w:val="24"/>
        </w:rPr>
        <w:t>Pugh</w:t>
      </w:r>
      <w:proofErr w:type="spellEnd"/>
      <w:r>
        <w:rPr>
          <w:sz w:val="24"/>
          <w:szCs w:val="24"/>
        </w:rPr>
        <w:t xml:space="preserve"> klasse A og B) er sammenlignelig med eksponeringen hos raske forsøgspersoner ved administration af en dosis på 10 mg. Der er begrænsede kliniske data vedrørende sikkerheden af </w:t>
      </w:r>
      <w:proofErr w:type="spellStart"/>
      <w:r>
        <w:rPr>
          <w:sz w:val="24"/>
          <w:szCs w:val="24"/>
        </w:rPr>
        <w:t>tadalafil</w:t>
      </w:r>
      <w:proofErr w:type="spellEnd"/>
      <w:r>
        <w:rPr>
          <w:sz w:val="24"/>
          <w:szCs w:val="24"/>
        </w:rPr>
        <w:t xml:space="preserve"> hos patienter med svær leverinsufficiens (Child-</w:t>
      </w:r>
      <w:proofErr w:type="spellStart"/>
      <w:r>
        <w:rPr>
          <w:sz w:val="24"/>
          <w:szCs w:val="24"/>
        </w:rPr>
        <w:t>Pugh</w:t>
      </w:r>
      <w:proofErr w:type="spellEnd"/>
      <w:r>
        <w:rPr>
          <w:sz w:val="24"/>
          <w:szCs w:val="24"/>
        </w:rPr>
        <w:t xml:space="preserve"> klasse C). Hvis der ordineres </w:t>
      </w:r>
      <w:proofErr w:type="spellStart"/>
      <w:r>
        <w:rPr>
          <w:sz w:val="24"/>
          <w:szCs w:val="24"/>
        </w:rPr>
        <w:t>tadalafil</w:t>
      </w:r>
      <w:proofErr w:type="spellEnd"/>
      <w:r>
        <w:rPr>
          <w:sz w:val="24"/>
          <w:szCs w:val="24"/>
        </w:rPr>
        <w:t>, bør der foretages en omhyggelig benefit/</w:t>
      </w:r>
      <w:proofErr w:type="spellStart"/>
      <w:r>
        <w:rPr>
          <w:sz w:val="24"/>
          <w:szCs w:val="24"/>
        </w:rPr>
        <w:t>risk</w:t>
      </w:r>
      <w:proofErr w:type="spellEnd"/>
      <w:r>
        <w:rPr>
          <w:sz w:val="24"/>
          <w:szCs w:val="24"/>
        </w:rPr>
        <w:t xml:space="preserve"> vurdering af den ordinerende læge. </w:t>
      </w:r>
      <w:r>
        <w:rPr>
          <w:sz w:val="24"/>
          <w:szCs w:val="24"/>
          <w:lang w:eastAsia="da-DK"/>
        </w:rPr>
        <w:t xml:space="preserve">Der er ingen tilgængelige data for indtagelse af doser højere end 10 mg </w:t>
      </w:r>
      <w:proofErr w:type="spellStart"/>
      <w:r>
        <w:rPr>
          <w:sz w:val="24"/>
          <w:szCs w:val="24"/>
          <w:lang w:eastAsia="da-DK"/>
        </w:rPr>
        <w:t>tadalafil</w:t>
      </w:r>
      <w:proofErr w:type="spellEnd"/>
      <w:r>
        <w:rPr>
          <w:sz w:val="24"/>
          <w:szCs w:val="24"/>
          <w:lang w:eastAsia="da-DK"/>
        </w:rPr>
        <w:t xml:space="preserve"> hos patienter med nedsat leverfunktion. </w:t>
      </w:r>
      <w:r>
        <w:rPr>
          <w:spacing w:val="-1"/>
          <w:sz w:val="24"/>
          <w:szCs w:val="24"/>
        </w:rPr>
        <w:t>D</w:t>
      </w:r>
      <w:r>
        <w:rPr>
          <w:sz w:val="24"/>
          <w:szCs w:val="24"/>
        </w:rPr>
        <w:t>er</w:t>
      </w:r>
      <w:r>
        <w:rPr>
          <w:spacing w:val="1"/>
          <w:sz w:val="24"/>
          <w:szCs w:val="24"/>
        </w:rPr>
        <w:t xml:space="preserve"> </w:t>
      </w:r>
      <w:r>
        <w:rPr>
          <w:sz w:val="24"/>
          <w:szCs w:val="24"/>
        </w:rPr>
        <w:t>er</w:t>
      </w:r>
      <w:r>
        <w:rPr>
          <w:spacing w:val="1"/>
          <w:sz w:val="24"/>
          <w:szCs w:val="24"/>
        </w:rPr>
        <w:t xml:space="preserve"> i</w:t>
      </w:r>
      <w:r>
        <w:rPr>
          <w:sz w:val="24"/>
          <w:szCs w:val="24"/>
        </w:rPr>
        <w:t>n</w:t>
      </w:r>
      <w:r>
        <w:rPr>
          <w:spacing w:val="-2"/>
          <w:sz w:val="24"/>
          <w:szCs w:val="24"/>
        </w:rPr>
        <w:t>g</w:t>
      </w:r>
      <w:r>
        <w:rPr>
          <w:sz w:val="24"/>
          <w:szCs w:val="24"/>
        </w:rPr>
        <w:t>en da</w:t>
      </w:r>
      <w:r>
        <w:rPr>
          <w:spacing w:val="1"/>
          <w:sz w:val="24"/>
          <w:szCs w:val="24"/>
        </w:rPr>
        <w:t>t</w:t>
      </w:r>
      <w:r>
        <w:rPr>
          <w:sz w:val="24"/>
          <w:szCs w:val="24"/>
        </w:rPr>
        <w:t>a</w:t>
      </w:r>
      <w:r>
        <w:rPr>
          <w:spacing w:val="1"/>
          <w:sz w:val="24"/>
          <w:szCs w:val="24"/>
        </w:rPr>
        <w:t xml:space="preserve"> </w:t>
      </w:r>
      <w:r>
        <w:rPr>
          <w:sz w:val="24"/>
          <w:szCs w:val="24"/>
        </w:rPr>
        <w:t>om</w:t>
      </w:r>
      <w:r>
        <w:rPr>
          <w:spacing w:val="-4"/>
          <w:sz w:val="24"/>
          <w:szCs w:val="24"/>
        </w:rPr>
        <w:t xml:space="preserve">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z w:val="24"/>
          <w:szCs w:val="24"/>
        </w:rPr>
        <w:t>s</w:t>
      </w:r>
      <w:r>
        <w:rPr>
          <w:spacing w:val="1"/>
          <w:sz w:val="24"/>
          <w:szCs w:val="24"/>
        </w:rPr>
        <w:t>tr</w:t>
      </w:r>
      <w:r>
        <w:rPr>
          <w:sz w:val="24"/>
          <w:szCs w:val="24"/>
        </w:rPr>
        <w:t>a</w:t>
      </w:r>
      <w:r>
        <w:rPr>
          <w:spacing w:val="1"/>
          <w:sz w:val="24"/>
          <w:szCs w:val="24"/>
        </w:rPr>
        <w:t>ti</w:t>
      </w:r>
      <w:r>
        <w:rPr>
          <w:sz w:val="24"/>
          <w:szCs w:val="24"/>
        </w:rPr>
        <w:t>on af</w:t>
      </w:r>
      <w:r>
        <w:rPr>
          <w:spacing w:val="1"/>
          <w:sz w:val="24"/>
          <w:szCs w:val="24"/>
        </w:rPr>
        <w:t xml:space="preserve"> </w:t>
      </w:r>
      <w:r>
        <w:rPr>
          <w:sz w:val="24"/>
          <w:szCs w:val="24"/>
        </w:rPr>
        <w:t xml:space="preserve">én </w:t>
      </w:r>
      <w:r>
        <w:rPr>
          <w:spacing w:val="-2"/>
          <w:sz w:val="24"/>
          <w:szCs w:val="24"/>
        </w:rPr>
        <w:t>g</w:t>
      </w:r>
      <w:r>
        <w:rPr>
          <w:sz w:val="24"/>
          <w:szCs w:val="24"/>
        </w:rPr>
        <w:t>ang</w:t>
      </w:r>
      <w:r>
        <w:rPr>
          <w:spacing w:val="-2"/>
          <w:sz w:val="24"/>
          <w:szCs w:val="24"/>
        </w:rPr>
        <w:t xml:space="preserve"> </w:t>
      </w:r>
      <w:r>
        <w:rPr>
          <w:sz w:val="24"/>
          <w:szCs w:val="24"/>
        </w:rPr>
        <w:t>daglig</w:t>
      </w:r>
      <w:r>
        <w:rPr>
          <w:spacing w:val="1"/>
          <w:sz w:val="24"/>
          <w:szCs w:val="24"/>
        </w:rPr>
        <w:t xml:space="preserve"> </w:t>
      </w:r>
      <w:r>
        <w:rPr>
          <w:sz w:val="24"/>
          <w:szCs w:val="24"/>
        </w:rPr>
        <w:t>do</w:t>
      </w:r>
      <w:r>
        <w:rPr>
          <w:spacing w:val="1"/>
          <w:sz w:val="24"/>
          <w:szCs w:val="24"/>
        </w:rPr>
        <w:t>s</w:t>
      </w:r>
      <w:r>
        <w:rPr>
          <w:sz w:val="24"/>
          <w:szCs w:val="24"/>
        </w:rPr>
        <w:t>e</w:t>
      </w:r>
      <w:r>
        <w:rPr>
          <w:spacing w:val="1"/>
          <w:sz w:val="24"/>
          <w:szCs w:val="24"/>
        </w:rPr>
        <w:t>ri</w:t>
      </w:r>
      <w:r>
        <w:rPr>
          <w:sz w:val="24"/>
          <w:szCs w:val="24"/>
        </w:rPr>
        <w:t>ng</w:t>
      </w:r>
      <w:r>
        <w:rPr>
          <w:spacing w:val="-2"/>
          <w:sz w:val="24"/>
          <w:szCs w:val="24"/>
        </w:rPr>
        <w:t xml:space="preserve"> </w:t>
      </w:r>
      <w:r>
        <w:rPr>
          <w:sz w:val="24"/>
          <w:szCs w:val="24"/>
        </w:rPr>
        <w:t>af</w:t>
      </w:r>
      <w:r>
        <w:rPr>
          <w:spacing w:val="1"/>
          <w:sz w:val="24"/>
          <w:szCs w:val="24"/>
        </w:rPr>
        <w:t xml:space="preserve"> </w:t>
      </w:r>
      <w:proofErr w:type="spellStart"/>
      <w:r>
        <w:rPr>
          <w:spacing w:val="1"/>
          <w:sz w:val="24"/>
          <w:szCs w:val="24"/>
        </w:rPr>
        <w:t>t</w:t>
      </w:r>
      <w:r>
        <w:rPr>
          <w:sz w:val="24"/>
          <w:szCs w:val="24"/>
        </w:rPr>
        <w:t>ada</w:t>
      </w:r>
      <w:r>
        <w:rPr>
          <w:spacing w:val="1"/>
          <w:sz w:val="24"/>
          <w:szCs w:val="24"/>
        </w:rPr>
        <w:t>l</w:t>
      </w:r>
      <w:r>
        <w:rPr>
          <w:sz w:val="24"/>
          <w:szCs w:val="24"/>
        </w:rPr>
        <w:t>a</w:t>
      </w:r>
      <w:r>
        <w:rPr>
          <w:spacing w:val="1"/>
          <w:sz w:val="24"/>
          <w:szCs w:val="24"/>
        </w:rPr>
        <w:t>fi</w:t>
      </w:r>
      <w:r>
        <w:rPr>
          <w:sz w:val="24"/>
          <w:szCs w:val="24"/>
        </w:rPr>
        <w:t>l</w:t>
      </w:r>
      <w:proofErr w:type="spellEnd"/>
      <w:r>
        <w:rPr>
          <w:spacing w:val="1"/>
          <w:sz w:val="24"/>
          <w:szCs w:val="24"/>
        </w:rPr>
        <w:t xml:space="preserve"> </w:t>
      </w:r>
      <w:r>
        <w:rPr>
          <w:sz w:val="24"/>
          <w:szCs w:val="24"/>
        </w:rPr>
        <w:t>hos</w:t>
      </w:r>
      <w:r>
        <w:rPr>
          <w:spacing w:val="1"/>
          <w:sz w:val="24"/>
          <w:szCs w:val="24"/>
        </w:rPr>
        <w:t xml:space="preserve"> </w:t>
      </w:r>
      <w:r>
        <w:rPr>
          <w:sz w:val="24"/>
          <w:szCs w:val="24"/>
        </w:rPr>
        <w:t>pa</w:t>
      </w:r>
      <w:r>
        <w:rPr>
          <w:spacing w:val="1"/>
          <w:sz w:val="24"/>
          <w:szCs w:val="24"/>
        </w:rPr>
        <w:t>ti</w:t>
      </w:r>
      <w:r>
        <w:rPr>
          <w:sz w:val="24"/>
          <w:szCs w:val="24"/>
        </w:rPr>
        <w:t>en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ed nedsat</w:t>
      </w:r>
      <w:r>
        <w:rPr>
          <w:spacing w:val="1"/>
          <w:sz w:val="24"/>
          <w:szCs w:val="24"/>
        </w:rPr>
        <w:t xml:space="preserve"> l</w:t>
      </w:r>
      <w:r>
        <w:rPr>
          <w:sz w:val="24"/>
          <w:szCs w:val="24"/>
        </w:rPr>
        <w:t>e</w:t>
      </w:r>
      <w:r>
        <w:rPr>
          <w:spacing w:val="-2"/>
          <w:sz w:val="24"/>
          <w:szCs w:val="24"/>
        </w:rPr>
        <w:t>v</w:t>
      </w:r>
      <w:r>
        <w:rPr>
          <w:sz w:val="24"/>
          <w:szCs w:val="24"/>
        </w:rPr>
        <w:t>er</w:t>
      </w:r>
      <w:r>
        <w:rPr>
          <w:spacing w:val="1"/>
          <w:sz w:val="24"/>
          <w:szCs w:val="24"/>
        </w:rPr>
        <w:t>f</w:t>
      </w:r>
      <w:r>
        <w:rPr>
          <w:sz w:val="24"/>
          <w:szCs w:val="24"/>
        </w:rPr>
        <w:t>un</w:t>
      </w:r>
      <w:r>
        <w:rPr>
          <w:spacing w:val="-2"/>
          <w:sz w:val="24"/>
          <w:szCs w:val="24"/>
        </w:rPr>
        <w:t>k</w:t>
      </w:r>
      <w:r>
        <w:rPr>
          <w:spacing w:val="1"/>
          <w:sz w:val="24"/>
          <w:szCs w:val="24"/>
        </w:rPr>
        <w:t>ti</w:t>
      </w:r>
      <w:r>
        <w:rPr>
          <w:sz w:val="24"/>
          <w:szCs w:val="24"/>
        </w:rPr>
        <w:t>on. Der er ikke udført studier med patienter, der lider af svær levercirrose (Child-</w:t>
      </w:r>
      <w:proofErr w:type="spellStart"/>
      <w:r>
        <w:rPr>
          <w:sz w:val="24"/>
          <w:szCs w:val="24"/>
        </w:rPr>
        <w:t>Pugh</w:t>
      </w:r>
      <w:proofErr w:type="spellEnd"/>
      <w:r>
        <w:rPr>
          <w:sz w:val="24"/>
          <w:szCs w:val="24"/>
        </w:rPr>
        <w:t xml:space="preserve"> klasse C), og derfor anbefales </w:t>
      </w:r>
      <w:proofErr w:type="spellStart"/>
      <w:r>
        <w:rPr>
          <w:sz w:val="24"/>
          <w:szCs w:val="24"/>
        </w:rPr>
        <w:t>tadalafil</w:t>
      </w:r>
      <w:proofErr w:type="spellEnd"/>
      <w:r>
        <w:rPr>
          <w:sz w:val="24"/>
          <w:szCs w:val="24"/>
        </w:rPr>
        <w:t xml:space="preserve"> ikke til disse patienter.</w:t>
      </w:r>
    </w:p>
    <w:p w:rsidR="00973B20" w:rsidRDefault="00973B20" w:rsidP="00973B20">
      <w:pPr>
        <w:suppressAutoHyphens/>
        <w:ind w:left="851" w:hanging="851"/>
        <w:rPr>
          <w:sz w:val="24"/>
          <w:szCs w:val="24"/>
        </w:rPr>
      </w:pPr>
    </w:p>
    <w:p w:rsidR="00973B20" w:rsidRPr="007807BC" w:rsidRDefault="00973B20" w:rsidP="00973B20">
      <w:pPr>
        <w:suppressAutoHyphens/>
        <w:ind w:left="851"/>
        <w:rPr>
          <w:i/>
          <w:sz w:val="24"/>
          <w:szCs w:val="24"/>
          <w:u w:val="single"/>
        </w:rPr>
      </w:pPr>
      <w:r w:rsidRPr="007807BC">
        <w:rPr>
          <w:i/>
          <w:sz w:val="24"/>
          <w:szCs w:val="24"/>
          <w:u w:val="single"/>
        </w:rPr>
        <w:t>Patienter med diabetes</w:t>
      </w:r>
    </w:p>
    <w:p w:rsidR="00973B20" w:rsidRDefault="00973B20" w:rsidP="00973B20">
      <w:pPr>
        <w:suppressAutoHyphens/>
        <w:ind w:left="851"/>
        <w:rPr>
          <w:sz w:val="24"/>
          <w:szCs w:val="24"/>
        </w:rPr>
      </w:pPr>
      <w:r>
        <w:rPr>
          <w:sz w:val="24"/>
          <w:szCs w:val="24"/>
        </w:rPr>
        <w:t xml:space="preserve">Eksponeringen for </w:t>
      </w:r>
      <w:proofErr w:type="spellStart"/>
      <w:r>
        <w:rPr>
          <w:sz w:val="24"/>
          <w:szCs w:val="24"/>
        </w:rPr>
        <w:t>tadalafil</w:t>
      </w:r>
      <w:proofErr w:type="spellEnd"/>
      <w:r>
        <w:rPr>
          <w:sz w:val="24"/>
          <w:szCs w:val="24"/>
        </w:rPr>
        <w:t xml:space="preserve"> (AUC) efter en dosis på 10 mg hos patienter med diabetes var ca. 19% lavere end AUC hos raske forsøgspersoner. Denne forskel berettiger ikke en justering af dosis.</w:t>
      </w:r>
    </w:p>
    <w:p w:rsidR="00973B20" w:rsidRDefault="00973B20" w:rsidP="00973B20">
      <w:pPr>
        <w:suppressAutoHyphens/>
        <w:ind w:left="851" w:hanging="851"/>
        <w:rPr>
          <w:sz w:val="24"/>
          <w:szCs w:val="24"/>
        </w:rPr>
      </w:pPr>
    </w:p>
    <w:p w:rsidR="00973B20" w:rsidRPr="007807BC" w:rsidRDefault="00973B20" w:rsidP="00973B20">
      <w:pPr>
        <w:suppressAutoHyphens/>
        <w:ind w:left="851"/>
        <w:rPr>
          <w:i/>
          <w:sz w:val="24"/>
          <w:szCs w:val="24"/>
          <w:u w:val="single"/>
        </w:rPr>
      </w:pPr>
      <w:r w:rsidRPr="007807BC">
        <w:rPr>
          <w:i/>
          <w:sz w:val="24"/>
          <w:szCs w:val="24"/>
          <w:u w:val="single"/>
        </w:rPr>
        <w:t>Race</w:t>
      </w:r>
    </w:p>
    <w:p w:rsidR="00973B20" w:rsidRDefault="00973B20" w:rsidP="00973B20">
      <w:pPr>
        <w:suppressAutoHyphens/>
        <w:ind w:left="851"/>
        <w:rPr>
          <w:sz w:val="24"/>
          <w:szCs w:val="24"/>
        </w:rPr>
      </w:pPr>
      <w:proofErr w:type="spellStart"/>
      <w:r>
        <w:rPr>
          <w:sz w:val="24"/>
          <w:szCs w:val="24"/>
        </w:rPr>
        <w:lastRenderedPageBreak/>
        <w:t>Farmakokinetiske</w:t>
      </w:r>
      <w:proofErr w:type="spellEnd"/>
      <w:r>
        <w:rPr>
          <w:sz w:val="24"/>
          <w:szCs w:val="24"/>
        </w:rPr>
        <w:t xml:space="preserve"> studier har inkluderet personer og patienter fra forskellige etniske grupper, og der er ikke set nogen forskel i den typiske </w:t>
      </w:r>
      <w:proofErr w:type="spellStart"/>
      <w:r>
        <w:rPr>
          <w:sz w:val="24"/>
          <w:szCs w:val="24"/>
        </w:rPr>
        <w:t>tadalafil</w:t>
      </w:r>
      <w:proofErr w:type="spellEnd"/>
      <w:r>
        <w:rPr>
          <w:sz w:val="24"/>
          <w:szCs w:val="24"/>
        </w:rPr>
        <w:t>-eksponering. Der kræves ingen dosisjustering.</w:t>
      </w:r>
    </w:p>
    <w:p w:rsidR="00973B20" w:rsidRDefault="00973B20" w:rsidP="00973B20">
      <w:pPr>
        <w:suppressAutoHyphens/>
        <w:ind w:left="851" w:hanging="851"/>
        <w:rPr>
          <w:sz w:val="24"/>
          <w:szCs w:val="24"/>
        </w:rPr>
      </w:pPr>
    </w:p>
    <w:p w:rsidR="00973B20" w:rsidRPr="007807BC" w:rsidRDefault="00973B20" w:rsidP="00973B20">
      <w:pPr>
        <w:suppressAutoHyphens/>
        <w:ind w:left="851"/>
        <w:rPr>
          <w:i/>
          <w:sz w:val="24"/>
          <w:szCs w:val="24"/>
          <w:u w:val="single"/>
        </w:rPr>
      </w:pPr>
      <w:r w:rsidRPr="007807BC">
        <w:rPr>
          <w:i/>
          <w:sz w:val="24"/>
          <w:szCs w:val="24"/>
          <w:u w:val="single"/>
        </w:rPr>
        <w:t>Køn</w:t>
      </w:r>
    </w:p>
    <w:p w:rsidR="00973B20" w:rsidRDefault="00973B20" w:rsidP="00973B20">
      <w:pPr>
        <w:suppressAutoHyphens/>
        <w:ind w:left="851"/>
        <w:rPr>
          <w:sz w:val="24"/>
          <w:szCs w:val="24"/>
        </w:rPr>
      </w:pPr>
      <w:r>
        <w:rPr>
          <w:sz w:val="24"/>
          <w:szCs w:val="24"/>
        </w:rPr>
        <w:t xml:space="preserve">Der er ikke set klinisk relevant forskel på eksponeringen af raske kvinder og mænd ved indtagelse af enkelte og flere </w:t>
      </w:r>
      <w:proofErr w:type="spellStart"/>
      <w:r>
        <w:rPr>
          <w:sz w:val="24"/>
          <w:szCs w:val="24"/>
        </w:rPr>
        <w:t>tadalafil</w:t>
      </w:r>
      <w:proofErr w:type="spellEnd"/>
      <w:r>
        <w:rPr>
          <w:sz w:val="24"/>
          <w:szCs w:val="24"/>
        </w:rPr>
        <w:t>-doser. Der kræves således ingen dosisjustering.</w:t>
      </w:r>
    </w:p>
    <w:p w:rsidR="00973B20" w:rsidRDefault="00973B20" w:rsidP="00973B20">
      <w:pPr>
        <w:suppressAutoHyphens/>
        <w:ind w:left="851"/>
        <w:rPr>
          <w:sz w:val="24"/>
          <w:szCs w:val="24"/>
        </w:rPr>
      </w:pPr>
    </w:p>
    <w:p w:rsidR="00973B20" w:rsidRPr="007807BC" w:rsidRDefault="00973B20" w:rsidP="00973B20">
      <w:pPr>
        <w:suppressAutoHyphens/>
        <w:ind w:left="851"/>
        <w:rPr>
          <w:i/>
          <w:iCs/>
          <w:sz w:val="24"/>
          <w:szCs w:val="24"/>
          <w:u w:val="single"/>
        </w:rPr>
      </w:pPr>
      <w:r w:rsidRPr="007807BC">
        <w:rPr>
          <w:i/>
          <w:iCs/>
          <w:sz w:val="24"/>
          <w:szCs w:val="24"/>
          <w:u w:val="single"/>
        </w:rPr>
        <w:t>Pædiatrisk population</w:t>
      </w:r>
    </w:p>
    <w:p w:rsidR="00973B20" w:rsidRDefault="00973B20" w:rsidP="00973B20">
      <w:pPr>
        <w:suppressAutoHyphens/>
        <w:ind w:left="851"/>
        <w:rPr>
          <w:sz w:val="24"/>
          <w:szCs w:val="24"/>
        </w:rPr>
      </w:pPr>
      <w:r w:rsidRPr="0020687B">
        <w:rPr>
          <w:sz w:val="24"/>
          <w:szCs w:val="24"/>
        </w:rPr>
        <w:t>Baseret på data fra 36 pædiatriske patienter med PAH i alderen 2 til &lt; 18 år,</w:t>
      </w:r>
      <w:r>
        <w:rPr>
          <w:sz w:val="24"/>
          <w:szCs w:val="24"/>
        </w:rPr>
        <w:t xml:space="preserve"> </w:t>
      </w:r>
      <w:r w:rsidRPr="0020687B">
        <w:rPr>
          <w:sz w:val="24"/>
          <w:szCs w:val="24"/>
        </w:rPr>
        <w:t xml:space="preserve">havde kropsvægt ikke nogen indflydelse på </w:t>
      </w:r>
      <w:proofErr w:type="spellStart"/>
      <w:r w:rsidRPr="0020687B">
        <w:rPr>
          <w:sz w:val="24"/>
          <w:szCs w:val="24"/>
        </w:rPr>
        <w:t>clearance</w:t>
      </w:r>
      <w:proofErr w:type="spellEnd"/>
      <w:r w:rsidRPr="0020687B">
        <w:rPr>
          <w:sz w:val="24"/>
          <w:szCs w:val="24"/>
        </w:rPr>
        <w:t xml:space="preserve"> af </w:t>
      </w:r>
      <w:proofErr w:type="spellStart"/>
      <w:r w:rsidRPr="0020687B">
        <w:rPr>
          <w:sz w:val="24"/>
          <w:szCs w:val="24"/>
        </w:rPr>
        <w:t>tadalafil</w:t>
      </w:r>
      <w:proofErr w:type="spellEnd"/>
      <w:r w:rsidRPr="0020687B">
        <w:rPr>
          <w:sz w:val="24"/>
          <w:szCs w:val="24"/>
        </w:rPr>
        <w:t>; AUC-værdierne i alle pædiatriske</w:t>
      </w:r>
      <w:r>
        <w:rPr>
          <w:sz w:val="24"/>
          <w:szCs w:val="24"/>
        </w:rPr>
        <w:t xml:space="preserve"> </w:t>
      </w:r>
      <w:r w:rsidRPr="0020687B">
        <w:rPr>
          <w:sz w:val="24"/>
          <w:szCs w:val="24"/>
        </w:rPr>
        <w:t>vægtgrupper svarer til værdierne hos voksne patienter ved samme dosis. Kropsvægt viste sig at være</w:t>
      </w:r>
      <w:r>
        <w:rPr>
          <w:sz w:val="24"/>
          <w:szCs w:val="24"/>
        </w:rPr>
        <w:t xml:space="preserve"> </w:t>
      </w:r>
      <w:r w:rsidRPr="0020687B">
        <w:rPr>
          <w:sz w:val="24"/>
          <w:szCs w:val="24"/>
        </w:rPr>
        <w:t>en prædiktor for maksimal eksponering hos børn; på grund af denne vægtpåvirkning er dosis 20 mg</w:t>
      </w:r>
      <w:r>
        <w:rPr>
          <w:sz w:val="24"/>
          <w:szCs w:val="24"/>
        </w:rPr>
        <w:t xml:space="preserve"> </w:t>
      </w:r>
      <w:r w:rsidRPr="0020687B">
        <w:rPr>
          <w:sz w:val="24"/>
          <w:szCs w:val="24"/>
        </w:rPr>
        <w:t>dagligt til pædiatriske patienter ≥ 2 år</w:t>
      </w:r>
      <w:r>
        <w:rPr>
          <w:sz w:val="24"/>
          <w:szCs w:val="24"/>
        </w:rPr>
        <w:t>,</w:t>
      </w:r>
      <w:r w:rsidRPr="0020687B">
        <w:rPr>
          <w:sz w:val="24"/>
          <w:szCs w:val="24"/>
        </w:rPr>
        <w:t xml:space="preserve"> der vejer &lt; 40 kg, og </w:t>
      </w:r>
      <w:proofErr w:type="spellStart"/>
      <w:r w:rsidRPr="0020687B">
        <w:rPr>
          <w:sz w:val="24"/>
          <w:szCs w:val="24"/>
        </w:rPr>
        <w:t>C</w:t>
      </w:r>
      <w:r w:rsidRPr="007807BC">
        <w:rPr>
          <w:sz w:val="24"/>
          <w:szCs w:val="24"/>
          <w:vertAlign w:val="subscript"/>
        </w:rPr>
        <w:t>max</w:t>
      </w:r>
      <w:proofErr w:type="spellEnd"/>
      <w:r w:rsidRPr="0020687B">
        <w:rPr>
          <w:sz w:val="24"/>
          <w:szCs w:val="24"/>
        </w:rPr>
        <w:t xml:space="preserve"> forventes at svare til pædiatriske</w:t>
      </w:r>
      <w:r>
        <w:rPr>
          <w:sz w:val="24"/>
          <w:szCs w:val="24"/>
        </w:rPr>
        <w:t xml:space="preserve"> </w:t>
      </w:r>
      <w:r w:rsidRPr="0020687B">
        <w:rPr>
          <w:sz w:val="24"/>
          <w:szCs w:val="24"/>
        </w:rPr>
        <w:t xml:space="preserve">patienter, der vejer ≥ 40 kg, </w:t>
      </w:r>
      <w:r>
        <w:rPr>
          <w:sz w:val="24"/>
          <w:szCs w:val="24"/>
        </w:rPr>
        <w:t xml:space="preserve">og som </w:t>
      </w:r>
      <w:r w:rsidRPr="0020687B">
        <w:rPr>
          <w:sz w:val="24"/>
          <w:szCs w:val="24"/>
        </w:rPr>
        <w:t xml:space="preserve">tager 40 mg dagligt. </w:t>
      </w:r>
      <w:proofErr w:type="spellStart"/>
      <w:r w:rsidRPr="0020687B">
        <w:rPr>
          <w:sz w:val="24"/>
          <w:szCs w:val="24"/>
        </w:rPr>
        <w:t>T</w:t>
      </w:r>
      <w:r w:rsidRPr="007807BC">
        <w:rPr>
          <w:sz w:val="24"/>
          <w:szCs w:val="24"/>
          <w:vertAlign w:val="subscript"/>
        </w:rPr>
        <w:t>max</w:t>
      </w:r>
      <w:proofErr w:type="spellEnd"/>
      <w:r w:rsidRPr="007807BC">
        <w:rPr>
          <w:sz w:val="24"/>
          <w:szCs w:val="24"/>
          <w:vertAlign w:val="subscript"/>
        </w:rPr>
        <w:t xml:space="preserve"> </w:t>
      </w:r>
      <w:r w:rsidRPr="0020687B">
        <w:rPr>
          <w:sz w:val="24"/>
          <w:szCs w:val="24"/>
        </w:rPr>
        <w:t>for tabletten blev estimeret til ca. 4 timer og</w:t>
      </w:r>
      <w:r>
        <w:rPr>
          <w:sz w:val="24"/>
          <w:szCs w:val="24"/>
        </w:rPr>
        <w:t xml:space="preserve"> </w:t>
      </w:r>
      <w:r w:rsidRPr="0020687B">
        <w:rPr>
          <w:sz w:val="24"/>
          <w:szCs w:val="24"/>
        </w:rPr>
        <w:t xml:space="preserve">var uafhængig af kropsvægt. </w:t>
      </w:r>
      <w:proofErr w:type="spellStart"/>
      <w:r w:rsidRPr="0020687B">
        <w:rPr>
          <w:sz w:val="24"/>
          <w:szCs w:val="24"/>
        </w:rPr>
        <w:t>Tadalafils</w:t>
      </w:r>
      <w:proofErr w:type="spellEnd"/>
      <w:r w:rsidRPr="0020687B">
        <w:rPr>
          <w:sz w:val="24"/>
          <w:szCs w:val="24"/>
        </w:rPr>
        <w:t xml:space="preserve"> halveringstid blev estimeret til at variere fra 13,6 til 24,2 timer</w:t>
      </w:r>
      <w:r>
        <w:rPr>
          <w:sz w:val="24"/>
          <w:szCs w:val="24"/>
        </w:rPr>
        <w:t xml:space="preserve"> </w:t>
      </w:r>
      <w:r w:rsidRPr="0020687B">
        <w:rPr>
          <w:sz w:val="24"/>
          <w:szCs w:val="24"/>
        </w:rPr>
        <w:t>for et område på 10 til 80 kg kropsvægt og viste ingen klinisk relevante forskelle.</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5.3</w:t>
      </w:r>
      <w:r w:rsidRPr="002C448C">
        <w:rPr>
          <w:b/>
          <w:sz w:val="24"/>
          <w:szCs w:val="24"/>
        </w:rPr>
        <w:tab/>
      </w:r>
      <w:r w:rsidR="00973B20">
        <w:rPr>
          <w:b/>
          <w:sz w:val="24"/>
          <w:szCs w:val="24"/>
        </w:rPr>
        <w:t>Non-</w:t>
      </w:r>
      <w:r w:rsidRPr="002C448C">
        <w:rPr>
          <w:b/>
          <w:sz w:val="24"/>
          <w:szCs w:val="24"/>
        </w:rPr>
        <w:t>kliniske sikkerhedsdata</w:t>
      </w:r>
    </w:p>
    <w:p w:rsidR="00C07FC7" w:rsidRDefault="00C07FC7" w:rsidP="00C07FC7">
      <w:pPr>
        <w:numPr>
          <w:ilvl w:val="12"/>
          <w:numId w:val="0"/>
        </w:numPr>
        <w:ind w:left="851" w:right="11"/>
        <w:rPr>
          <w:sz w:val="24"/>
          <w:szCs w:val="24"/>
        </w:rPr>
      </w:pPr>
      <w:r>
        <w:rPr>
          <w:sz w:val="24"/>
          <w:szCs w:val="24"/>
        </w:rPr>
        <w:t xml:space="preserve">Prækliniske data viser ingen speciel risiko for mennesker vurderet ud fra konventionelle studier af sikkerhedsfarmakologi, toksicitet efter gentagne doser, genotoksicitet, </w:t>
      </w:r>
      <w:proofErr w:type="spellStart"/>
      <w:r>
        <w:rPr>
          <w:sz w:val="24"/>
          <w:szCs w:val="24"/>
        </w:rPr>
        <w:t>karcinogenicitet</w:t>
      </w:r>
      <w:proofErr w:type="spellEnd"/>
      <w:r>
        <w:rPr>
          <w:sz w:val="24"/>
          <w:szCs w:val="24"/>
        </w:rPr>
        <w:t xml:space="preserve"> samt reproduktions- og udviklingstoksicitet.</w:t>
      </w:r>
    </w:p>
    <w:p w:rsidR="00C07FC7" w:rsidRDefault="00C07FC7" w:rsidP="00C07FC7">
      <w:pPr>
        <w:numPr>
          <w:ilvl w:val="12"/>
          <w:numId w:val="0"/>
        </w:numPr>
        <w:ind w:left="851" w:right="11" w:hanging="851"/>
        <w:rPr>
          <w:sz w:val="24"/>
          <w:szCs w:val="24"/>
        </w:rPr>
      </w:pPr>
    </w:p>
    <w:p w:rsidR="00C07FC7" w:rsidRDefault="00C07FC7" w:rsidP="00C07FC7">
      <w:pPr>
        <w:numPr>
          <w:ilvl w:val="12"/>
          <w:numId w:val="0"/>
        </w:numPr>
        <w:ind w:left="851" w:right="11"/>
        <w:rPr>
          <w:sz w:val="24"/>
          <w:szCs w:val="24"/>
        </w:rPr>
      </w:pPr>
      <w:r>
        <w:rPr>
          <w:sz w:val="24"/>
          <w:szCs w:val="24"/>
        </w:rPr>
        <w:t xml:space="preserve">Der var ingen tegn på </w:t>
      </w:r>
      <w:proofErr w:type="spellStart"/>
      <w:r>
        <w:rPr>
          <w:sz w:val="24"/>
          <w:szCs w:val="24"/>
        </w:rPr>
        <w:t>teratogenicitet</w:t>
      </w:r>
      <w:proofErr w:type="spellEnd"/>
      <w:r>
        <w:rPr>
          <w:sz w:val="24"/>
          <w:szCs w:val="24"/>
        </w:rPr>
        <w:t xml:space="preserve">, embryotoksicitet eller </w:t>
      </w:r>
      <w:proofErr w:type="spellStart"/>
      <w:r>
        <w:rPr>
          <w:sz w:val="24"/>
          <w:szCs w:val="24"/>
        </w:rPr>
        <w:t>føtotoksicitet</w:t>
      </w:r>
      <w:proofErr w:type="spellEnd"/>
      <w:r>
        <w:rPr>
          <w:sz w:val="24"/>
          <w:szCs w:val="24"/>
        </w:rPr>
        <w:t xml:space="preserve"> hos rotter eller mus, der fik op til 1000 mg </w:t>
      </w:r>
      <w:proofErr w:type="spellStart"/>
      <w:r>
        <w:rPr>
          <w:sz w:val="24"/>
          <w:szCs w:val="24"/>
        </w:rPr>
        <w:t>tadalafil</w:t>
      </w:r>
      <w:proofErr w:type="spellEnd"/>
      <w:r>
        <w:rPr>
          <w:sz w:val="24"/>
          <w:szCs w:val="24"/>
        </w:rPr>
        <w:t xml:space="preserve">/kg/dag. I et prænatalt og </w:t>
      </w:r>
      <w:proofErr w:type="spellStart"/>
      <w:r>
        <w:rPr>
          <w:sz w:val="24"/>
          <w:szCs w:val="24"/>
        </w:rPr>
        <w:t>postnatalt</w:t>
      </w:r>
      <w:proofErr w:type="spellEnd"/>
      <w:r>
        <w:rPr>
          <w:sz w:val="24"/>
          <w:szCs w:val="24"/>
        </w:rPr>
        <w:t xml:space="preserve"> udviklingsforsøg hos rotter var den dosis, hvor der ikke sås effekt, 30 mg/kg/dag. Hos den drægtige rotte var AUC for beregnet frit aktivt stof ved denne dosis ca. 18 gange større end den humane AUC ved en 20 mg dosis.</w:t>
      </w:r>
    </w:p>
    <w:p w:rsidR="00C07FC7" w:rsidRDefault="00C07FC7" w:rsidP="00C07FC7">
      <w:pPr>
        <w:numPr>
          <w:ilvl w:val="12"/>
          <w:numId w:val="0"/>
        </w:numPr>
        <w:ind w:left="851" w:right="11" w:hanging="851"/>
        <w:rPr>
          <w:sz w:val="24"/>
          <w:szCs w:val="24"/>
        </w:rPr>
      </w:pPr>
    </w:p>
    <w:p w:rsidR="00C07FC7" w:rsidRDefault="00C07FC7" w:rsidP="00C07FC7">
      <w:pPr>
        <w:numPr>
          <w:ilvl w:val="12"/>
          <w:numId w:val="0"/>
        </w:numPr>
        <w:ind w:left="851" w:right="11"/>
        <w:rPr>
          <w:sz w:val="24"/>
          <w:szCs w:val="24"/>
        </w:rPr>
      </w:pPr>
      <w:r>
        <w:rPr>
          <w:sz w:val="24"/>
          <w:szCs w:val="24"/>
        </w:rPr>
        <w:t xml:space="preserve">Der sås ingen forringelse af fertiliteten hos han- og hunrotter. Hos hunde, som fik </w:t>
      </w:r>
      <w:proofErr w:type="spellStart"/>
      <w:r>
        <w:rPr>
          <w:sz w:val="24"/>
          <w:szCs w:val="24"/>
        </w:rPr>
        <w:t>tadalafil</w:t>
      </w:r>
      <w:proofErr w:type="spellEnd"/>
      <w:r>
        <w:rPr>
          <w:sz w:val="24"/>
          <w:szCs w:val="24"/>
        </w:rPr>
        <w:t xml:space="preserve"> daglig i 6 til 12 måneder i doser på 25 mg/kg/dag (hvilket resulterer i en mindst 3 gange større eksponering (fra 3,7 til 18,6) end den, som ses hos mennesker ved en enkelt dosis på 20 mg) og højere, sås regression af det </w:t>
      </w:r>
      <w:proofErr w:type="spellStart"/>
      <w:r>
        <w:rPr>
          <w:sz w:val="24"/>
          <w:szCs w:val="24"/>
        </w:rPr>
        <w:t>seminiferøse</w:t>
      </w:r>
      <w:proofErr w:type="spellEnd"/>
      <w:r>
        <w:rPr>
          <w:sz w:val="24"/>
          <w:szCs w:val="24"/>
        </w:rPr>
        <w:t xml:space="preserve"> </w:t>
      </w:r>
      <w:proofErr w:type="spellStart"/>
      <w:r>
        <w:rPr>
          <w:sz w:val="24"/>
          <w:szCs w:val="24"/>
        </w:rPr>
        <w:t>tubulære</w:t>
      </w:r>
      <w:proofErr w:type="spellEnd"/>
      <w:r>
        <w:rPr>
          <w:sz w:val="24"/>
          <w:szCs w:val="24"/>
        </w:rPr>
        <w:t xml:space="preserve"> </w:t>
      </w:r>
      <w:proofErr w:type="spellStart"/>
      <w:r>
        <w:rPr>
          <w:sz w:val="24"/>
          <w:szCs w:val="24"/>
        </w:rPr>
        <w:t>epithel</w:t>
      </w:r>
      <w:proofErr w:type="spellEnd"/>
      <w:r>
        <w:rPr>
          <w:sz w:val="24"/>
          <w:szCs w:val="24"/>
        </w:rPr>
        <w:t xml:space="preserve">, som medførte nedsat </w:t>
      </w:r>
      <w:proofErr w:type="spellStart"/>
      <w:r>
        <w:rPr>
          <w:sz w:val="24"/>
          <w:szCs w:val="24"/>
        </w:rPr>
        <w:t>spermatogenese</w:t>
      </w:r>
      <w:proofErr w:type="spellEnd"/>
      <w:r>
        <w:rPr>
          <w:sz w:val="24"/>
          <w:szCs w:val="24"/>
        </w:rPr>
        <w:t xml:space="preserve"> hos nogle hunde. Se også pkt. 5.1.</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6.</w:t>
      </w:r>
      <w:r w:rsidRPr="002C448C">
        <w:rPr>
          <w:b/>
          <w:sz w:val="24"/>
          <w:szCs w:val="24"/>
        </w:rPr>
        <w:tab/>
        <w:t>FARMACEUTISKE OPLYSNINGER</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6.1</w:t>
      </w:r>
      <w:r w:rsidRPr="002C448C">
        <w:rPr>
          <w:b/>
          <w:sz w:val="24"/>
          <w:szCs w:val="24"/>
        </w:rPr>
        <w:tab/>
        <w:t>Hjælpestoffer</w:t>
      </w:r>
    </w:p>
    <w:p w:rsidR="00C07FC7" w:rsidRPr="004366AD" w:rsidRDefault="00C07FC7" w:rsidP="00C07FC7">
      <w:pPr>
        <w:ind w:left="851"/>
        <w:rPr>
          <w:sz w:val="24"/>
          <w:szCs w:val="24"/>
          <w:u w:val="single"/>
        </w:rPr>
      </w:pPr>
    </w:p>
    <w:p w:rsidR="00C07FC7" w:rsidRPr="004366AD" w:rsidRDefault="00C07FC7" w:rsidP="00C07FC7">
      <w:pPr>
        <w:ind w:left="851"/>
        <w:rPr>
          <w:sz w:val="24"/>
          <w:szCs w:val="24"/>
          <w:u w:val="single"/>
        </w:rPr>
      </w:pPr>
      <w:r w:rsidRPr="004366AD">
        <w:rPr>
          <w:sz w:val="24"/>
          <w:szCs w:val="24"/>
          <w:u w:val="single"/>
        </w:rPr>
        <w:t xml:space="preserve">Tabletkerne: </w:t>
      </w:r>
    </w:p>
    <w:p w:rsidR="00C07FC7" w:rsidRPr="004366AD" w:rsidRDefault="00C07FC7" w:rsidP="00C07FC7">
      <w:pPr>
        <w:ind w:left="851"/>
        <w:rPr>
          <w:sz w:val="24"/>
          <w:szCs w:val="24"/>
        </w:rPr>
      </w:pPr>
      <w:proofErr w:type="spellStart"/>
      <w:r w:rsidRPr="004366AD">
        <w:rPr>
          <w:sz w:val="24"/>
          <w:szCs w:val="24"/>
        </w:rPr>
        <w:t>Lactosemonohydrat</w:t>
      </w:r>
      <w:proofErr w:type="spellEnd"/>
    </w:p>
    <w:p w:rsidR="00C07FC7" w:rsidRPr="004366AD" w:rsidRDefault="00C07FC7" w:rsidP="00C07FC7">
      <w:pPr>
        <w:ind w:left="851"/>
        <w:rPr>
          <w:sz w:val="24"/>
          <w:szCs w:val="24"/>
        </w:rPr>
      </w:pPr>
      <w:proofErr w:type="spellStart"/>
      <w:r w:rsidRPr="004366AD">
        <w:rPr>
          <w:sz w:val="24"/>
          <w:szCs w:val="24"/>
        </w:rPr>
        <w:t>Natriumlaurilsulfat</w:t>
      </w:r>
      <w:proofErr w:type="spellEnd"/>
    </w:p>
    <w:p w:rsidR="00C07FC7" w:rsidRPr="004366AD" w:rsidRDefault="00C07FC7" w:rsidP="00C07FC7">
      <w:pPr>
        <w:ind w:left="851"/>
        <w:rPr>
          <w:sz w:val="24"/>
          <w:szCs w:val="24"/>
        </w:rPr>
      </w:pPr>
      <w:proofErr w:type="spellStart"/>
      <w:r w:rsidRPr="004366AD">
        <w:rPr>
          <w:sz w:val="24"/>
          <w:szCs w:val="24"/>
        </w:rPr>
        <w:t>Povidon</w:t>
      </w:r>
      <w:proofErr w:type="spellEnd"/>
      <w:r w:rsidRPr="004366AD">
        <w:rPr>
          <w:sz w:val="24"/>
          <w:szCs w:val="24"/>
        </w:rPr>
        <w:t xml:space="preserve"> K-12</w:t>
      </w:r>
    </w:p>
    <w:p w:rsidR="00C07FC7" w:rsidRDefault="00C07FC7" w:rsidP="00C07FC7">
      <w:pPr>
        <w:ind w:left="851"/>
        <w:rPr>
          <w:sz w:val="24"/>
          <w:szCs w:val="24"/>
          <w:lang w:val="en-US"/>
        </w:rPr>
      </w:pPr>
      <w:proofErr w:type="spellStart"/>
      <w:r>
        <w:rPr>
          <w:sz w:val="24"/>
          <w:szCs w:val="24"/>
          <w:lang w:val="en-US"/>
        </w:rPr>
        <w:t>Crospovidon</w:t>
      </w:r>
      <w:proofErr w:type="spellEnd"/>
      <w:r>
        <w:rPr>
          <w:sz w:val="24"/>
          <w:szCs w:val="24"/>
          <w:lang w:val="en-US"/>
        </w:rPr>
        <w:t xml:space="preserve"> (type B)</w:t>
      </w:r>
    </w:p>
    <w:p w:rsidR="00C07FC7" w:rsidRDefault="00C07FC7" w:rsidP="00C07FC7">
      <w:pPr>
        <w:ind w:left="851"/>
        <w:rPr>
          <w:sz w:val="24"/>
          <w:szCs w:val="24"/>
          <w:lang w:val="en-US"/>
        </w:rPr>
      </w:pPr>
      <w:proofErr w:type="spellStart"/>
      <w:r>
        <w:rPr>
          <w:sz w:val="24"/>
          <w:szCs w:val="24"/>
          <w:lang w:val="en-US"/>
        </w:rPr>
        <w:t>Natriumstearylfumarat</w:t>
      </w:r>
      <w:proofErr w:type="spellEnd"/>
    </w:p>
    <w:p w:rsidR="00C07FC7" w:rsidRDefault="00C07FC7" w:rsidP="00C07FC7">
      <w:pPr>
        <w:ind w:left="851"/>
        <w:rPr>
          <w:sz w:val="24"/>
          <w:szCs w:val="24"/>
          <w:lang w:val="en-US"/>
        </w:rPr>
      </w:pPr>
    </w:p>
    <w:p w:rsidR="00F250F4" w:rsidRPr="00AB041C" w:rsidRDefault="00F250F4" w:rsidP="00F250F4">
      <w:pPr>
        <w:ind w:left="851"/>
        <w:rPr>
          <w:sz w:val="24"/>
          <w:szCs w:val="24"/>
          <w:u w:val="single"/>
          <w:lang w:val="en-US"/>
        </w:rPr>
      </w:pPr>
      <w:proofErr w:type="spellStart"/>
      <w:r w:rsidRPr="00AB041C">
        <w:rPr>
          <w:sz w:val="24"/>
          <w:szCs w:val="24"/>
          <w:u w:val="single"/>
          <w:lang w:val="en-US"/>
        </w:rPr>
        <w:t>Filmovertræk</w:t>
      </w:r>
      <w:proofErr w:type="spellEnd"/>
      <w:r w:rsidRPr="00AB041C">
        <w:rPr>
          <w:sz w:val="24"/>
          <w:szCs w:val="24"/>
          <w:u w:val="single"/>
          <w:lang w:val="en-US"/>
        </w:rPr>
        <w:t xml:space="preserve">: </w:t>
      </w:r>
    </w:p>
    <w:p w:rsidR="00F250F4" w:rsidRPr="00F250F4" w:rsidRDefault="00F250F4" w:rsidP="00F250F4">
      <w:pPr>
        <w:ind w:left="851"/>
        <w:rPr>
          <w:sz w:val="24"/>
          <w:szCs w:val="24"/>
        </w:rPr>
      </w:pPr>
      <w:r w:rsidRPr="00F250F4">
        <w:rPr>
          <w:sz w:val="24"/>
          <w:szCs w:val="24"/>
        </w:rPr>
        <w:t>Polyvinylalkohol (E1203)</w:t>
      </w:r>
    </w:p>
    <w:p w:rsidR="00F250F4" w:rsidRPr="00F250F4" w:rsidRDefault="00F250F4" w:rsidP="00F250F4">
      <w:pPr>
        <w:ind w:left="851"/>
        <w:rPr>
          <w:sz w:val="24"/>
          <w:szCs w:val="24"/>
        </w:rPr>
      </w:pPr>
      <w:proofErr w:type="spellStart"/>
      <w:r w:rsidRPr="00F250F4">
        <w:rPr>
          <w:sz w:val="24"/>
          <w:szCs w:val="24"/>
        </w:rPr>
        <w:t>Macrogol</w:t>
      </w:r>
      <w:proofErr w:type="spellEnd"/>
      <w:r w:rsidRPr="00F250F4">
        <w:rPr>
          <w:sz w:val="24"/>
          <w:szCs w:val="24"/>
        </w:rPr>
        <w:t xml:space="preserve"> 3350 (E1521)</w:t>
      </w:r>
    </w:p>
    <w:p w:rsidR="00C07FC7" w:rsidRPr="00F250F4" w:rsidRDefault="00C07FC7" w:rsidP="00C07FC7">
      <w:pPr>
        <w:ind w:left="851"/>
        <w:rPr>
          <w:sz w:val="24"/>
          <w:szCs w:val="24"/>
        </w:rPr>
      </w:pPr>
      <w:r w:rsidRPr="00F250F4">
        <w:rPr>
          <w:sz w:val="24"/>
          <w:szCs w:val="24"/>
        </w:rPr>
        <w:lastRenderedPageBreak/>
        <w:t>Titandioxid (E171)</w:t>
      </w:r>
    </w:p>
    <w:p w:rsidR="00C07FC7" w:rsidRPr="00F250F4" w:rsidRDefault="00C07FC7" w:rsidP="00C07FC7">
      <w:pPr>
        <w:ind w:left="851"/>
        <w:rPr>
          <w:sz w:val="24"/>
          <w:szCs w:val="24"/>
        </w:rPr>
      </w:pPr>
      <w:proofErr w:type="spellStart"/>
      <w:r w:rsidRPr="00F250F4">
        <w:rPr>
          <w:sz w:val="24"/>
          <w:szCs w:val="24"/>
        </w:rPr>
        <w:t>Talcum</w:t>
      </w:r>
      <w:proofErr w:type="spellEnd"/>
    </w:p>
    <w:p w:rsidR="00C07FC7" w:rsidRPr="00F250F4" w:rsidRDefault="00C07FC7" w:rsidP="00C07FC7">
      <w:pPr>
        <w:ind w:left="851"/>
        <w:rPr>
          <w:sz w:val="24"/>
          <w:szCs w:val="24"/>
        </w:rPr>
      </w:pPr>
      <w:r w:rsidRPr="00F250F4">
        <w:rPr>
          <w:sz w:val="24"/>
          <w:szCs w:val="24"/>
        </w:rPr>
        <w:t>Gul jernoxid (E172)</w:t>
      </w:r>
    </w:p>
    <w:p w:rsidR="00C07FC7" w:rsidRPr="00AB041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6.2</w:t>
      </w:r>
      <w:r w:rsidRPr="002C448C">
        <w:rPr>
          <w:b/>
          <w:sz w:val="24"/>
          <w:szCs w:val="24"/>
        </w:rPr>
        <w:tab/>
        <w:t>Uforligeligheder</w:t>
      </w:r>
    </w:p>
    <w:p w:rsidR="00C07FC7" w:rsidRPr="002C448C" w:rsidRDefault="00C07FC7" w:rsidP="00C07FC7">
      <w:pPr>
        <w:ind w:left="851"/>
        <w:rPr>
          <w:sz w:val="24"/>
          <w:szCs w:val="24"/>
        </w:rPr>
      </w:pPr>
      <w:r w:rsidRPr="002C448C">
        <w:rPr>
          <w:sz w:val="24"/>
          <w:szCs w:val="24"/>
        </w:rPr>
        <w:t>Ikke relevant.</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6.3</w:t>
      </w:r>
      <w:r w:rsidRPr="002C448C">
        <w:rPr>
          <w:b/>
          <w:sz w:val="24"/>
          <w:szCs w:val="24"/>
        </w:rPr>
        <w:tab/>
        <w:t>Opbevaringstid</w:t>
      </w:r>
    </w:p>
    <w:p w:rsidR="00946E8C" w:rsidRDefault="00C07FC7" w:rsidP="006B5CA6">
      <w:pPr>
        <w:ind w:left="851" w:hanging="851"/>
        <w:rPr>
          <w:sz w:val="24"/>
          <w:szCs w:val="24"/>
        </w:rPr>
      </w:pPr>
      <w:r w:rsidRPr="002C448C">
        <w:rPr>
          <w:sz w:val="24"/>
          <w:szCs w:val="24"/>
        </w:rPr>
        <w:tab/>
      </w:r>
      <w:r w:rsidR="00946E8C" w:rsidRPr="002C448C">
        <w:rPr>
          <w:sz w:val="24"/>
          <w:szCs w:val="24"/>
        </w:rPr>
        <w:t>2 år</w:t>
      </w:r>
      <w:r w:rsidR="006B5CA6">
        <w:rPr>
          <w:sz w:val="24"/>
          <w:szCs w:val="24"/>
        </w:rPr>
        <w:t>.</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6.4</w:t>
      </w:r>
      <w:r w:rsidRPr="002C448C">
        <w:rPr>
          <w:b/>
          <w:sz w:val="24"/>
          <w:szCs w:val="24"/>
        </w:rPr>
        <w:tab/>
        <w:t>Særlige opbevaringsforhold</w:t>
      </w:r>
    </w:p>
    <w:p w:rsidR="00C07FC7" w:rsidRPr="002C448C" w:rsidRDefault="00C07FC7" w:rsidP="00C07FC7">
      <w:pPr>
        <w:ind w:left="851"/>
        <w:rPr>
          <w:sz w:val="24"/>
          <w:szCs w:val="24"/>
          <w:highlight w:val="yellow"/>
        </w:rPr>
      </w:pPr>
      <w:r w:rsidRPr="002C448C">
        <w:rPr>
          <w:noProof/>
          <w:sz w:val="24"/>
          <w:szCs w:val="24"/>
        </w:rPr>
        <w:t xml:space="preserve">Dette </w:t>
      </w:r>
      <w:r>
        <w:rPr>
          <w:noProof/>
          <w:sz w:val="24"/>
          <w:szCs w:val="24"/>
        </w:rPr>
        <w:t xml:space="preserve">lægemiddel </w:t>
      </w:r>
      <w:r w:rsidRPr="002C448C">
        <w:rPr>
          <w:noProof/>
          <w:sz w:val="24"/>
          <w:szCs w:val="24"/>
        </w:rPr>
        <w:t xml:space="preserve">kræver ingen særlige </w:t>
      </w:r>
      <w:r>
        <w:rPr>
          <w:noProof/>
          <w:sz w:val="24"/>
          <w:szCs w:val="24"/>
        </w:rPr>
        <w:t xml:space="preserve">forholdsregler vedrørende </w:t>
      </w:r>
      <w:r w:rsidRPr="002C448C">
        <w:rPr>
          <w:noProof/>
          <w:sz w:val="24"/>
          <w:szCs w:val="24"/>
        </w:rPr>
        <w:t>op</w:t>
      </w:r>
      <w:r>
        <w:rPr>
          <w:noProof/>
          <w:sz w:val="24"/>
          <w:szCs w:val="24"/>
        </w:rPr>
        <w:t>b</w:t>
      </w:r>
      <w:r w:rsidRPr="002C448C">
        <w:rPr>
          <w:noProof/>
          <w:sz w:val="24"/>
          <w:szCs w:val="24"/>
        </w:rPr>
        <w:t>evaring</w:t>
      </w:r>
      <w:r>
        <w:rPr>
          <w:noProof/>
          <w:sz w:val="24"/>
          <w:szCs w:val="24"/>
        </w:rPr>
        <w:t>en</w:t>
      </w:r>
      <w:r w:rsidRPr="002C448C">
        <w:rPr>
          <w:noProof/>
          <w:sz w:val="24"/>
          <w:szCs w:val="24"/>
        </w:rPr>
        <w:t>.</w:t>
      </w:r>
    </w:p>
    <w:p w:rsidR="00C07FC7" w:rsidRPr="002C448C" w:rsidRDefault="00C07FC7" w:rsidP="00C07FC7">
      <w:pPr>
        <w:tabs>
          <w:tab w:val="left" w:pos="851"/>
        </w:tabs>
        <w:ind w:left="851" w:hanging="851"/>
        <w:rPr>
          <w:sz w:val="24"/>
          <w:szCs w:val="24"/>
        </w:rPr>
      </w:pPr>
    </w:p>
    <w:p w:rsidR="00C07FC7" w:rsidRDefault="00C07FC7" w:rsidP="00C07FC7">
      <w:pPr>
        <w:tabs>
          <w:tab w:val="left" w:pos="851"/>
        </w:tabs>
        <w:ind w:left="851" w:hanging="851"/>
        <w:rPr>
          <w:b/>
          <w:sz w:val="24"/>
          <w:szCs w:val="24"/>
        </w:rPr>
      </w:pPr>
      <w:r w:rsidRPr="002C448C">
        <w:rPr>
          <w:b/>
          <w:sz w:val="24"/>
          <w:szCs w:val="24"/>
        </w:rPr>
        <w:t>6.5</w:t>
      </w:r>
      <w:r w:rsidRPr="002C448C">
        <w:rPr>
          <w:b/>
          <w:sz w:val="24"/>
          <w:szCs w:val="24"/>
        </w:rPr>
        <w:tab/>
      </w:r>
      <w:r>
        <w:rPr>
          <w:b/>
          <w:sz w:val="24"/>
          <w:szCs w:val="24"/>
        </w:rPr>
        <w:t>Emballagetype og pakningsstørrelser</w:t>
      </w:r>
    </w:p>
    <w:p w:rsidR="00C07FC7" w:rsidRDefault="006B5CA6" w:rsidP="00C07FC7">
      <w:pPr>
        <w:suppressAutoHyphens/>
        <w:ind w:left="851"/>
        <w:rPr>
          <w:sz w:val="24"/>
          <w:szCs w:val="24"/>
        </w:rPr>
      </w:pPr>
      <w:r>
        <w:rPr>
          <w:sz w:val="24"/>
          <w:szCs w:val="24"/>
        </w:rPr>
        <w:t>Blister.</w:t>
      </w:r>
    </w:p>
    <w:p w:rsidR="00C07FC7" w:rsidRDefault="00C07FC7" w:rsidP="00C07FC7">
      <w:pPr>
        <w:tabs>
          <w:tab w:val="left" w:pos="851"/>
        </w:tabs>
        <w:ind w:left="851" w:hanging="851"/>
        <w:rPr>
          <w:sz w:val="24"/>
          <w:szCs w:val="24"/>
        </w:rPr>
      </w:pPr>
    </w:p>
    <w:p w:rsidR="00C07FC7" w:rsidRPr="007404D0" w:rsidRDefault="00C07FC7" w:rsidP="00C07FC7">
      <w:pPr>
        <w:tabs>
          <w:tab w:val="left" w:pos="851"/>
        </w:tabs>
        <w:ind w:left="851" w:hanging="851"/>
        <w:rPr>
          <w:b/>
          <w:sz w:val="24"/>
          <w:szCs w:val="24"/>
        </w:rPr>
      </w:pPr>
      <w:r>
        <w:rPr>
          <w:b/>
          <w:sz w:val="24"/>
          <w:szCs w:val="24"/>
        </w:rPr>
        <w:t>6.6</w:t>
      </w:r>
      <w:r>
        <w:rPr>
          <w:b/>
          <w:sz w:val="24"/>
          <w:szCs w:val="24"/>
        </w:rPr>
        <w:tab/>
      </w:r>
      <w:r w:rsidR="007404D0" w:rsidRPr="007404D0">
        <w:rPr>
          <w:b/>
          <w:sz w:val="24"/>
          <w:szCs w:val="24"/>
        </w:rPr>
        <w:t xml:space="preserve">Regler for </w:t>
      </w:r>
      <w:r w:rsidR="00973B20">
        <w:rPr>
          <w:b/>
          <w:sz w:val="24"/>
          <w:szCs w:val="24"/>
        </w:rPr>
        <w:t>bortskaffelse</w:t>
      </w:r>
      <w:r w:rsidR="007404D0" w:rsidRPr="007404D0">
        <w:rPr>
          <w:b/>
          <w:sz w:val="24"/>
          <w:szCs w:val="24"/>
        </w:rPr>
        <w:t xml:space="preserve"> og anden håndtering</w:t>
      </w:r>
      <w:r w:rsidRPr="007404D0">
        <w:rPr>
          <w:b/>
          <w:sz w:val="24"/>
          <w:szCs w:val="24"/>
        </w:rPr>
        <w:t xml:space="preserve"> </w:t>
      </w:r>
    </w:p>
    <w:p w:rsidR="00C07FC7" w:rsidRDefault="00C07FC7" w:rsidP="00C07FC7">
      <w:pPr>
        <w:ind w:left="851"/>
        <w:rPr>
          <w:sz w:val="24"/>
          <w:szCs w:val="24"/>
        </w:rPr>
      </w:pPr>
      <w:r>
        <w:rPr>
          <w:sz w:val="24"/>
          <w:szCs w:val="24"/>
        </w:rPr>
        <w:t>Ikke anvendt lægemiddel samt affald heraf skal bortskaffes i henhold til lokale retningslinjer.</w:t>
      </w:r>
    </w:p>
    <w:p w:rsidR="00C07FC7" w:rsidRDefault="00C07FC7" w:rsidP="00C07FC7">
      <w:pPr>
        <w:tabs>
          <w:tab w:val="left" w:pos="851"/>
        </w:tabs>
        <w:ind w:left="851" w:hanging="851"/>
        <w:jc w:val="both"/>
        <w:rPr>
          <w:sz w:val="24"/>
          <w:szCs w:val="24"/>
        </w:rPr>
      </w:pPr>
    </w:p>
    <w:p w:rsidR="00C07FC7" w:rsidRDefault="00C07FC7" w:rsidP="00C07FC7">
      <w:pPr>
        <w:tabs>
          <w:tab w:val="left" w:pos="851"/>
        </w:tabs>
        <w:ind w:left="851" w:hanging="851"/>
        <w:rPr>
          <w:b/>
          <w:sz w:val="24"/>
          <w:szCs w:val="24"/>
        </w:rPr>
      </w:pPr>
      <w:r>
        <w:rPr>
          <w:b/>
          <w:sz w:val="24"/>
          <w:szCs w:val="24"/>
        </w:rPr>
        <w:t>7.</w:t>
      </w:r>
      <w:r>
        <w:rPr>
          <w:b/>
          <w:sz w:val="24"/>
          <w:szCs w:val="24"/>
        </w:rPr>
        <w:tab/>
        <w:t>INDEHAVER AF MARKEDSFØRINGSTILLADELSEN</w:t>
      </w:r>
    </w:p>
    <w:p w:rsidR="006B5CA6" w:rsidRPr="002F2B9C" w:rsidRDefault="006B5CA6" w:rsidP="006B5CA6">
      <w:pPr>
        <w:ind w:left="851"/>
        <w:rPr>
          <w:lang w:eastAsia="da-DK"/>
        </w:rPr>
      </w:pPr>
      <w:r w:rsidRPr="002F2B9C">
        <w:rPr>
          <w:lang w:eastAsia="da-DK"/>
        </w:rPr>
        <w:t>2care4 ApS</w:t>
      </w:r>
    </w:p>
    <w:p w:rsidR="006B5CA6" w:rsidRPr="002F2B9C" w:rsidRDefault="006B5CA6" w:rsidP="006B5CA6">
      <w:pPr>
        <w:ind w:left="851"/>
        <w:rPr>
          <w:lang w:eastAsia="da-DK"/>
        </w:rPr>
      </w:pPr>
      <w:r>
        <w:rPr>
          <w:lang w:eastAsia="da-DK"/>
        </w:rPr>
        <w:t>Stenhuggervej 12</w:t>
      </w:r>
    </w:p>
    <w:p w:rsidR="006B5CA6" w:rsidRPr="002F2B9C" w:rsidRDefault="006B5CA6" w:rsidP="006B5CA6">
      <w:pPr>
        <w:ind w:left="851"/>
        <w:rPr>
          <w:lang w:eastAsia="da-DK"/>
        </w:rPr>
      </w:pPr>
      <w:r w:rsidRPr="002F2B9C">
        <w:rPr>
          <w:lang w:eastAsia="da-DK"/>
        </w:rPr>
        <w:t>6710 Esbjerg V</w:t>
      </w:r>
    </w:p>
    <w:p w:rsidR="00C07FC7" w:rsidRPr="002C448C" w:rsidRDefault="00C07FC7" w:rsidP="00943B9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8.</w:t>
      </w:r>
      <w:r w:rsidRPr="002C448C">
        <w:rPr>
          <w:b/>
          <w:sz w:val="24"/>
          <w:szCs w:val="24"/>
        </w:rPr>
        <w:tab/>
        <w:t>MARKEDSFØRINGSTILLADELSESNUMMER (</w:t>
      </w:r>
      <w:r w:rsidR="00973B20">
        <w:rPr>
          <w:b/>
          <w:sz w:val="24"/>
          <w:szCs w:val="24"/>
        </w:rPr>
        <w:t>-</w:t>
      </w:r>
      <w:r w:rsidRPr="002C448C">
        <w:rPr>
          <w:b/>
          <w:sz w:val="24"/>
          <w:szCs w:val="24"/>
        </w:rPr>
        <w:t>NUMRE)</w:t>
      </w:r>
    </w:p>
    <w:p w:rsidR="00C07FC7" w:rsidRPr="002C448C" w:rsidRDefault="006B5CA6" w:rsidP="00C07FC7">
      <w:pPr>
        <w:tabs>
          <w:tab w:val="left" w:pos="1843"/>
        </w:tabs>
        <w:suppressAutoHyphens/>
        <w:ind w:left="851"/>
        <w:rPr>
          <w:sz w:val="24"/>
          <w:szCs w:val="24"/>
        </w:rPr>
      </w:pPr>
      <w:r>
        <w:rPr>
          <w:sz w:val="24"/>
          <w:szCs w:val="24"/>
        </w:rPr>
        <w:t>67604</w:t>
      </w:r>
    </w:p>
    <w:p w:rsidR="00C07FC7" w:rsidRPr="002C448C" w:rsidRDefault="00C07FC7" w:rsidP="00C07FC7">
      <w:pPr>
        <w:tabs>
          <w:tab w:val="left" w:pos="851"/>
        </w:tabs>
        <w:ind w:left="851" w:hanging="851"/>
        <w:jc w:val="both"/>
        <w:rPr>
          <w:sz w:val="24"/>
          <w:szCs w:val="24"/>
        </w:rPr>
      </w:pPr>
    </w:p>
    <w:p w:rsidR="00D37585" w:rsidRDefault="00C07FC7" w:rsidP="00C07FC7">
      <w:pPr>
        <w:tabs>
          <w:tab w:val="left" w:pos="851"/>
        </w:tabs>
        <w:ind w:left="851" w:hanging="851"/>
        <w:rPr>
          <w:b/>
          <w:sz w:val="24"/>
          <w:szCs w:val="24"/>
        </w:rPr>
      </w:pPr>
      <w:r w:rsidRPr="002C448C">
        <w:rPr>
          <w:b/>
          <w:sz w:val="24"/>
          <w:szCs w:val="24"/>
        </w:rPr>
        <w:t>9.</w:t>
      </w:r>
      <w:r w:rsidRPr="002C448C">
        <w:rPr>
          <w:b/>
          <w:sz w:val="24"/>
          <w:szCs w:val="24"/>
        </w:rPr>
        <w:tab/>
      </w:r>
      <w:r>
        <w:rPr>
          <w:b/>
          <w:sz w:val="24"/>
          <w:szCs w:val="24"/>
        </w:rPr>
        <w:t>DATO FOR FØRSTE MARKEDSFØRINGSTILLADELSE</w:t>
      </w:r>
    </w:p>
    <w:p w:rsidR="00C07FC7" w:rsidRDefault="00D37585" w:rsidP="00C07FC7">
      <w:pPr>
        <w:tabs>
          <w:tab w:val="left" w:pos="851"/>
        </w:tabs>
        <w:ind w:left="851" w:hanging="851"/>
        <w:rPr>
          <w:sz w:val="24"/>
          <w:szCs w:val="24"/>
        </w:rPr>
      </w:pPr>
      <w:r>
        <w:rPr>
          <w:sz w:val="24"/>
          <w:szCs w:val="24"/>
        </w:rPr>
        <w:tab/>
      </w:r>
      <w:r w:rsidR="006B5CA6">
        <w:rPr>
          <w:sz w:val="24"/>
          <w:szCs w:val="24"/>
        </w:rPr>
        <w:t>2</w:t>
      </w:r>
      <w:r w:rsidR="003A7555">
        <w:rPr>
          <w:sz w:val="24"/>
          <w:szCs w:val="24"/>
        </w:rPr>
        <w:t>4</w:t>
      </w:r>
      <w:r w:rsidR="006B5CA6">
        <w:rPr>
          <w:sz w:val="24"/>
          <w:szCs w:val="24"/>
        </w:rPr>
        <w:t>. maj 2022</w:t>
      </w:r>
    </w:p>
    <w:p w:rsidR="00C07FC7" w:rsidRPr="002C448C" w:rsidRDefault="00C07FC7" w:rsidP="00C07FC7">
      <w:pPr>
        <w:tabs>
          <w:tab w:val="left" w:pos="851"/>
        </w:tabs>
        <w:ind w:left="851" w:hanging="851"/>
        <w:rPr>
          <w:sz w:val="24"/>
          <w:szCs w:val="24"/>
        </w:rPr>
      </w:pPr>
    </w:p>
    <w:p w:rsidR="00C07FC7" w:rsidRPr="002C448C" w:rsidRDefault="00C07FC7" w:rsidP="00C07FC7">
      <w:pPr>
        <w:tabs>
          <w:tab w:val="left" w:pos="851"/>
        </w:tabs>
        <w:ind w:left="851" w:hanging="851"/>
        <w:rPr>
          <w:b/>
          <w:sz w:val="24"/>
          <w:szCs w:val="24"/>
        </w:rPr>
      </w:pPr>
      <w:r w:rsidRPr="002C448C">
        <w:rPr>
          <w:b/>
          <w:sz w:val="24"/>
          <w:szCs w:val="24"/>
        </w:rPr>
        <w:t>10.</w:t>
      </w:r>
      <w:r w:rsidRPr="002C448C">
        <w:rPr>
          <w:b/>
          <w:sz w:val="24"/>
          <w:szCs w:val="24"/>
        </w:rPr>
        <w:tab/>
        <w:t>DATO FOR ÆNDRING AF TEKSTEN</w:t>
      </w:r>
    </w:p>
    <w:p w:rsidR="00C07FC7" w:rsidRPr="002C448C" w:rsidRDefault="00C07FC7" w:rsidP="00C07FC7">
      <w:pPr>
        <w:tabs>
          <w:tab w:val="left" w:pos="851"/>
        </w:tabs>
        <w:ind w:left="851" w:hanging="851"/>
        <w:rPr>
          <w:sz w:val="24"/>
          <w:szCs w:val="24"/>
        </w:rPr>
      </w:pPr>
      <w:r>
        <w:rPr>
          <w:sz w:val="24"/>
          <w:szCs w:val="24"/>
        </w:rPr>
        <w:tab/>
      </w:r>
      <w:r w:rsidR="0076390F" w:rsidRPr="0076390F">
        <w:rPr>
          <w:sz w:val="24"/>
          <w:szCs w:val="24"/>
        </w:rPr>
        <w:t>26. februar 2024</w:t>
      </w:r>
    </w:p>
    <w:p w:rsidR="00C07FC7" w:rsidRPr="00EB09C5" w:rsidRDefault="00C07FC7" w:rsidP="00C07FC7"/>
    <w:p w:rsidR="00C07FC7" w:rsidRPr="0037443C" w:rsidRDefault="00C07FC7" w:rsidP="00C07FC7"/>
    <w:p w:rsidR="009260DE" w:rsidRPr="00FF1406" w:rsidRDefault="009260DE" w:rsidP="00C07FC7">
      <w:pPr>
        <w:rPr>
          <w:b/>
        </w:rPr>
      </w:pPr>
    </w:p>
    <w:sectPr w:rsidR="009260DE" w:rsidRPr="00FF140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90F" w:rsidRDefault="0076390F">
      <w:r>
        <w:separator/>
      </w:r>
    </w:p>
  </w:endnote>
  <w:endnote w:type="continuationSeparator" w:id="0">
    <w:p w:rsidR="0076390F" w:rsidRDefault="0076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90F" w:rsidRDefault="0076390F">
    <w:pPr>
      <w:pStyle w:val="Sidefod"/>
      <w:pBdr>
        <w:bottom w:val="single" w:sz="6" w:space="1" w:color="auto"/>
      </w:pBdr>
    </w:pPr>
  </w:p>
  <w:p w:rsidR="0076390F" w:rsidRDefault="0076390F" w:rsidP="00C42586">
    <w:pPr>
      <w:pStyle w:val="Sidefod"/>
      <w:tabs>
        <w:tab w:val="clear" w:pos="4819"/>
        <w:tab w:val="left" w:pos="8505"/>
      </w:tabs>
      <w:rPr>
        <w:i/>
        <w:sz w:val="18"/>
        <w:szCs w:val="18"/>
      </w:rPr>
    </w:pPr>
  </w:p>
  <w:p w:rsidR="0076390F" w:rsidRPr="00B373D7" w:rsidRDefault="0076390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Tadalafil Sandoz (2care4),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90F" w:rsidRDefault="0076390F">
      <w:r>
        <w:separator/>
      </w:r>
    </w:p>
  </w:footnote>
  <w:footnote w:type="continuationSeparator" w:id="0">
    <w:p w:rsidR="0076390F" w:rsidRDefault="0076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E66F9"/>
    <w:multiLevelType w:val="hybridMultilevel"/>
    <w:tmpl w:val="6A549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CC5E29"/>
    <w:multiLevelType w:val="hybridMultilevel"/>
    <w:tmpl w:val="23EA3F6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BD07BC"/>
    <w:multiLevelType w:val="hybridMultilevel"/>
    <w:tmpl w:val="49ACE40E"/>
    <w:lvl w:ilvl="0" w:tplc="04090001">
      <w:start w:val="1"/>
      <w:numFmt w:val="bullet"/>
      <w:lvlText w:val=""/>
      <w:lvlJc w:val="left"/>
      <w:pPr>
        <w:ind w:left="360" w:hanging="360"/>
      </w:pPr>
      <w:rPr>
        <w:rFonts w:ascii="Symbol" w:hAnsi="Symbol" w:hint="default"/>
      </w:rPr>
    </w:lvl>
    <w:lvl w:ilvl="1" w:tplc="A7F635D6">
      <w:numFmt w:val="bullet"/>
      <w:lvlText w:val="-"/>
      <w:lvlJc w:val="left"/>
      <w:pPr>
        <w:ind w:left="1440" w:hanging="720"/>
      </w:pPr>
      <w:rPr>
        <w:rFonts w:ascii="Times New Roman" w:eastAsia="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A9259B2"/>
    <w:multiLevelType w:val="hybridMultilevel"/>
    <w:tmpl w:val="7B32CAA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72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5"/>
  </w:num>
  <w:num w:numId="10">
    <w:abstractNumId w:val="0"/>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FC7"/>
    <w:rsid w:val="000259B9"/>
    <w:rsid w:val="00041491"/>
    <w:rsid w:val="00050D16"/>
    <w:rsid w:val="00074F2A"/>
    <w:rsid w:val="000A1CA8"/>
    <w:rsid w:val="000A466B"/>
    <w:rsid w:val="000B058C"/>
    <w:rsid w:val="000E4EE6"/>
    <w:rsid w:val="001166C0"/>
    <w:rsid w:val="001454E2"/>
    <w:rsid w:val="00206CE8"/>
    <w:rsid w:val="0021526C"/>
    <w:rsid w:val="00283A2B"/>
    <w:rsid w:val="002B30AD"/>
    <w:rsid w:val="002C2C01"/>
    <w:rsid w:val="00313AA0"/>
    <w:rsid w:val="003A29AE"/>
    <w:rsid w:val="003A32D7"/>
    <w:rsid w:val="003A7555"/>
    <w:rsid w:val="003B369D"/>
    <w:rsid w:val="003B4074"/>
    <w:rsid w:val="003C769A"/>
    <w:rsid w:val="003D42E4"/>
    <w:rsid w:val="003F1838"/>
    <w:rsid w:val="004366AD"/>
    <w:rsid w:val="0045746C"/>
    <w:rsid w:val="0049104B"/>
    <w:rsid w:val="004E3B12"/>
    <w:rsid w:val="005246B7"/>
    <w:rsid w:val="00532310"/>
    <w:rsid w:val="00560ECC"/>
    <w:rsid w:val="00565F0F"/>
    <w:rsid w:val="00594A86"/>
    <w:rsid w:val="00596D86"/>
    <w:rsid w:val="005D2B56"/>
    <w:rsid w:val="00637F5A"/>
    <w:rsid w:val="006560B1"/>
    <w:rsid w:val="006756DD"/>
    <w:rsid w:val="006B5CA6"/>
    <w:rsid w:val="00737275"/>
    <w:rsid w:val="00737655"/>
    <w:rsid w:val="007404D0"/>
    <w:rsid w:val="00740EEC"/>
    <w:rsid w:val="0076390F"/>
    <w:rsid w:val="0078011A"/>
    <w:rsid w:val="00782AF4"/>
    <w:rsid w:val="00790EE7"/>
    <w:rsid w:val="007B6649"/>
    <w:rsid w:val="0081546F"/>
    <w:rsid w:val="0082576E"/>
    <w:rsid w:val="00881BA4"/>
    <w:rsid w:val="008932FA"/>
    <w:rsid w:val="00907F75"/>
    <w:rsid w:val="009260DE"/>
    <w:rsid w:val="0093258A"/>
    <w:rsid w:val="00943B98"/>
    <w:rsid w:val="00946E8C"/>
    <w:rsid w:val="00973B20"/>
    <w:rsid w:val="009809FD"/>
    <w:rsid w:val="009C7BA3"/>
    <w:rsid w:val="009D1F5A"/>
    <w:rsid w:val="00AB041C"/>
    <w:rsid w:val="00AB5E7E"/>
    <w:rsid w:val="00B003BF"/>
    <w:rsid w:val="00B373D7"/>
    <w:rsid w:val="00B5121B"/>
    <w:rsid w:val="00BB4544"/>
    <w:rsid w:val="00C07FC7"/>
    <w:rsid w:val="00C36276"/>
    <w:rsid w:val="00C42586"/>
    <w:rsid w:val="00C60CCD"/>
    <w:rsid w:val="00C84483"/>
    <w:rsid w:val="00C95551"/>
    <w:rsid w:val="00CA6FAB"/>
    <w:rsid w:val="00CB20D7"/>
    <w:rsid w:val="00CC31A7"/>
    <w:rsid w:val="00CE3260"/>
    <w:rsid w:val="00D020B0"/>
    <w:rsid w:val="00D11748"/>
    <w:rsid w:val="00D366CF"/>
    <w:rsid w:val="00D37585"/>
    <w:rsid w:val="00DA649B"/>
    <w:rsid w:val="00E108AA"/>
    <w:rsid w:val="00E31812"/>
    <w:rsid w:val="00E3749A"/>
    <w:rsid w:val="00E7437F"/>
    <w:rsid w:val="00E865B8"/>
    <w:rsid w:val="00EA228E"/>
    <w:rsid w:val="00EC0B9B"/>
    <w:rsid w:val="00ED5E9F"/>
    <w:rsid w:val="00F250F4"/>
    <w:rsid w:val="00F66D4F"/>
    <w:rsid w:val="00F87204"/>
    <w:rsid w:val="00FB6D01"/>
    <w:rsid w:val="00FF14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0EF97"/>
  <w15:chartTrackingRefBased/>
  <w15:docId w15:val="{3BDAE91B-D99B-46F6-8A4B-36E8C8A9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B2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C07FC7"/>
    <w:rPr>
      <w:color w:val="808080"/>
    </w:rPr>
  </w:style>
  <w:style w:type="paragraph" w:styleId="Listeafsnit">
    <w:name w:val="List Paragraph"/>
    <w:basedOn w:val="Normal"/>
    <w:uiPriority w:val="34"/>
    <w:qFormat/>
    <w:rsid w:val="00C07FC7"/>
    <w:pPr>
      <w:ind w:left="720"/>
      <w:contextualSpacing/>
    </w:pPr>
    <w:rPr>
      <w:sz w:val="22"/>
    </w:rPr>
  </w:style>
  <w:style w:type="table" w:styleId="Tabel-Gitter">
    <w:name w:val="Table Grid"/>
    <w:basedOn w:val="Tabel-Normal"/>
    <w:rsid w:val="00C07F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C07FC7"/>
    <w:rPr>
      <w:color w:val="0563C1" w:themeColor="hyperlink"/>
      <w:u w:val="single"/>
    </w:rPr>
  </w:style>
  <w:style w:type="paragraph" w:customStyle="1" w:styleId="Default">
    <w:name w:val="Default"/>
    <w:rsid w:val="00737655"/>
    <w:pPr>
      <w:autoSpaceDE w:val="0"/>
      <w:autoSpaceDN w:val="0"/>
      <w:adjustRightInd w:val="0"/>
    </w:pPr>
    <w:rPr>
      <w:rFonts w:eastAsia="PMingLiU"/>
      <w:color w:val="000000"/>
      <w:sz w:val="24"/>
      <w:szCs w:val="24"/>
      <w:lang w:val="en-US" w:eastAsia="en-US"/>
    </w:rPr>
  </w:style>
  <w:style w:type="character" w:customStyle="1" w:styleId="ui-provider">
    <w:name w:val="ui-provider"/>
    <w:basedOn w:val="Standardskrifttypeiafsnit"/>
    <w:rsid w:val="00737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351669">
      <w:bodyDiv w:val="1"/>
      <w:marLeft w:val="0"/>
      <w:marRight w:val="0"/>
      <w:marTop w:val="0"/>
      <w:marBottom w:val="0"/>
      <w:divBdr>
        <w:top w:val="none" w:sz="0" w:space="0" w:color="auto"/>
        <w:left w:val="none" w:sz="0" w:space="0" w:color="auto"/>
        <w:bottom w:val="none" w:sz="0" w:space="0" w:color="auto"/>
        <w:right w:val="none" w:sz="0" w:space="0" w:color="auto"/>
      </w:divBdr>
    </w:div>
    <w:div w:id="509442663">
      <w:bodyDiv w:val="1"/>
      <w:marLeft w:val="0"/>
      <w:marRight w:val="0"/>
      <w:marTop w:val="0"/>
      <w:marBottom w:val="0"/>
      <w:divBdr>
        <w:top w:val="none" w:sz="0" w:space="0" w:color="auto"/>
        <w:left w:val="none" w:sz="0" w:space="0" w:color="auto"/>
        <w:bottom w:val="none" w:sz="0" w:space="0" w:color="auto"/>
        <w:right w:val="none" w:sz="0" w:space="0" w:color="auto"/>
      </w:divBdr>
    </w:div>
    <w:div w:id="909771857">
      <w:bodyDiv w:val="1"/>
      <w:marLeft w:val="0"/>
      <w:marRight w:val="0"/>
      <w:marTop w:val="0"/>
      <w:marBottom w:val="0"/>
      <w:divBdr>
        <w:top w:val="none" w:sz="0" w:space="0" w:color="auto"/>
        <w:left w:val="none" w:sz="0" w:space="0" w:color="auto"/>
        <w:bottom w:val="none" w:sz="0" w:space="0" w:color="auto"/>
        <w:right w:val="none" w:sz="0" w:space="0" w:color="auto"/>
      </w:divBdr>
    </w:div>
    <w:div w:id="921722474">
      <w:bodyDiv w:val="1"/>
      <w:marLeft w:val="0"/>
      <w:marRight w:val="0"/>
      <w:marTop w:val="0"/>
      <w:marBottom w:val="0"/>
      <w:divBdr>
        <w:top w:val="none" w:sz="0" w:space="0" w:color="auto"/>
        <w:left w:val="none" w:sz="0" w:space="0" w:color="auto"/>
        <w:bottom w:val="none" w:sz="0" w:space="0" w:color="auto"/>
        <w:right w:val="none" w:sz="0" w:space="0" w:color="auto"/>
      </w:divBdr>
    </w:div>
    <w:div w:id="1133865617">
      <w:bodyDiv w:val="1"/>
      <w:marLeft w:val="0"/>
      <w:marRight w:val="0"/>
      <w:marTop w:val="0"/>
      <w:marBottom w:val="0"/>
      <w:divBdr>
        <w:top w:val="none" w:sz="0" w:space="0" w:color="auto"/>
        <w:left w:val="none" w:sz="0" w:space="0" w:color="auto"/>
        <w:bottom w:val="none" w:sz="0" w:space="0" w:color="auto"/>
        <w:right w:val="none" w:sz="0" w:space="0" w:color="auto"/>
      </w:divBdr>
    </w:div>
    <w:div w:id="1185480761">
      <w:bodyDiv w:val="1"/>
      <w:marLeft w:val="0"/>
      <w:marRight w:val="0"/>
      <w:marTop w:val="0"/>
      <w:marBottom w:val="0"/>
      <w:divBdr>
        <w:top w:val="none" w:sz="0" w:space="0" w:color="auto"/>
        <w:left w:val="none" w:sz="0" w:space="0" w:color="auto"/>
        <w:bottom w:val="none" w:sz="0" w:space="0" w:color="auto"/>
        <w:right w:val="none" w:sz="0" w:space="0" w:color="auto"/>
      </w:divBdr>
    </w:div>
    <w:div w:id="1366297214">
      <w:bodyDiv w:val="1"/>
      <w:marLeft w:val="0"/>
      <w:marRight w:val="0"/>
      <w:marTop w:val="0"/>
      <w:marBottom w:val="0"/>
      <w:divBdr>
        <w:top w:val="none" w:sz="0" w:space="0" w:color="auto"/>
        <w:left w:val="none" w:sz="0" w:space="0" w:color="auto"/>
        <w:bottom w:val="none" w:sz="0" w:space="0" w:color="auto"/>
        <w:right w:val="none" w:sz="0" w:space="0" w:color="auto"/>
      </w:divBdr>
    </w:div>
    <w:div w:id="18654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9464</Words>
  <Characters>58435</Characters>
  <Application>Microsoft Office Word</Application>
  <DocSecurity>0</DocSecurity>
  <Lines>486</Lines>
  <Paragraphs>135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2024032492_x000d_
Opdatering pkt. 4.1, 4.2, 4.3, 4.4, 4.5, 4.8, 5.1, 5.2, samt overskrifter iht. QRD.</dc:description>
  <cp:lastModifiedBy>Victoria Becker</cp:lastModifiedBy>
  <cp:revision>5</cp:revision>
  <cp:lastPrinted>2012-08-22T08:53:00Z</cp:lastPrinted>
  <dcterms:created xsi:type="dcterms:W3CDTF">2024-03-18T11:28:00Z</dcterms:created>
  <dcterms:modified xsi:type="dcterms:W3CDTF">2024-03-18T11:58:00Z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