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AA321" w14:textId="77777777" w:rsidR="004A3BF4" w:rsidRPr="00303008" w:rsidRDefault="00056601" w:rsidP="004A3BF4">
      <w:pPr>
        <w:rPr>
          <w:sz w:val="24"/>
          <w:szCs w:val="24"/>
          <w:lang w:val="en-GB"/>
        </w:rPr>
      </w:pPr>
      <w:r w:rsidRPr="00303008">
        <w:rPr>
          <w:noProof/>
          <w:sz w:val="24"/>
          <w:szCs w:val="24"/>
          <w:lang w:val="en-GB"/>
        </w:rPr>
        <w:drawing>
          <wp:inline distT="0" distB="0" distL="0" distR="0" wp14:anchorId="0E370769" wp14:editId="7023F8F8">
            <wp:extent cx="2428875" cy="685800"/>
            <wp:effectExtent l="0" t="0" r="9525" b="0"/>
            <wp:docPr id="1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10886" w14:textId="77777777" w:rsidR="006B3847" w:rsidRPr="00303008" w:rsidRDefault="006B3847" w:rsidP="006B3847">
      <w:pPr>
        <w:rPr>
          <w:sz w:val="24"/>
          <w:szCs w:val="24"/>
          <w:lang w:val="en-GB"/>
        </w:rPr>
      </w:pPr>
    </w:p>
    <w:p w14:paraId="4DA0C6DC" w14:textId="496C244A" w:rsidR="006B3847" w:rsidRPr="00303008" w:rsidRDefault="006B3847" w:rsidP="006B3847">
      <w:pPr>
        <w:tabs>
          <w:tab w:val="right" w:pos="9356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ab/>
      </w:r>
      <w:r w:rsidR="00451431">
        <w:rPr>
          <w:b/>
          <w:sz w:val="24"/>
          <w:szCs w:val="24"/>
          <w:lang w:val="en-GB"/>
        </w:rPr>
        <w:t>22 October 2026</w:t>
      </w:r>
    </w:p>
    <w:p w14:paraId="2BF9B905" w14:textId="77777777" w:rsidR="006B3847" w:rsidRPr="00303008" w:rsidRDefault="006B3847" w:rsidP="006B3847">
      <w:pPr>
        <w:rPr>
          <w:sz w:val="24"/>
          <w:szCs w:val="24"/>
          <w:lang w:val="en-GB"/>
        </w:rPr>
      </w:pPr>
    </w:p>
    <w:p w14:paraId="263BB927" w14:textId="77777777" w:rsidR="007C5D2A" w:rsidRPr="00303008" w:rsidRDefault="007C5D2A" w:rsidP="007C5D2A">
      <w:pPr>
        <w:rPr>
          <w:sz w:val="24"/>
          <w:szCs w:val="24"/>
          <w:lang w:val="en-GB"/>
        </w:rPr>
      </w:pPr>
    </w:p>
    <w:p w14:paraId="5C3AD9D1" w14:textId="77777777" w:rsidR="007C5D2A" w:rsidRPr="00303008" w:rsidRDefault="007C5D2A" w:rsidP="007C5D2A">
      <w:pPr>
        <w:rPr>
          <w:sz w:val="24"/>
          <w:szCs w:val="24"/>
          <w:lang w:val="en-GB"/>
        </w:rPr>
      </w:pPr>
    </w:p>
    <w:p w14:paraId="58C32029" w14:textId="77777777" w:rsidR="007C5D2A" w:rsidRPr="00303008" w:rsidRDefault="007C5D2A" w:rsidP="007C5D2A">
      <w:pPr>
        <w:jc w:val="center"/>
        <w:rPr>
          <w:b/>
          <w:sz w:val="24"/>
          <w:szCs w:val="24"/>
          <w:lang w:val="en-GB"/>
        </w:rPr>
      </w:pPr>
      <w:bookmarkStart w:id="0" w:name="_Hlk49158549"/>
      <w:r w:rsidRPr="00303008">
        <w:rPr>
          <w:b/>
          <w:sz w:val="24"/>
          <w:szCs w:val="24"/>
          <w:lang w:val="en-GB"/>
        </w:rPr>
        <w:t>SUMMARY OF PRODUCT CHARACTERISTICS</w:t>
      </w:r>
    </w:p>
    <w:bookmarkEnd w:id="0"/>
    <w:p w14:paraId="50B59AB0" w14:textId="77777777" w:rsidR="007C5D2A" w:rsidRPr="00303008" w:rsidRDefault="007C5D2A" w:rsidP="007C5D2A">
      <w:pPr>
        <w:jc w:val="center"/>
        <w:rPr>
          <w:sz w:val="24"/>
          <w:szCs w:val="24"/>
          <w:lang w:val="en-GB"/>
        </w:rPr>
      </w:pPr>
    </w:p>
    <w:p w14:paraId="61FC2AF3" w14:textId="77777777" w:rsidR="007C5D2A" w:rsidRPr="00303008" w:rsidRDefault="007C5D2A" w:rsidP="007C5D2A">
      <w:pPr>
        <w:jc w:val="center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for</w:t>
      </w:r>
    </w:p>
    <w:p w14:paraId="2208A464" w14:textId="77777777" w:rsidR="007C5D2A" w:rsidRPr="00303008" w:rsidRDefault="007C5D2A" w:rsidP="00D2670E">
      <w:pPr>
        <w:jc w:val="center"/>
        <w:rPr>
          <w:sz w:val="24"/>
          <w:szCs w:val="24"/>
          <w:lang w:val="en-GB"/>
        </w:rPr>
      </w:pPr>
    </w:p>
    <w:p w14:paraId="070B1C43" w14:textId="7523AE6C" w:rsidR="007C5D2A" w:rsidRPr="00303008" w:rsidRDefault="00D2670E" w:rsidP="00D2670E">
      <w:pPr>
        <w:jc w:val="center"/>
        <w:rPr>
          <w:sz w:val="24"/>
          <w:szCs w:val="24"/>
          <w:lang w:val="en-GB"/>
        </w:rPr>
      </w:pPr>
      <w:r w:rsidRPr="00451431">
        <w:rPr>
          <w:b/>
          <w:sz w:val="24"/>
          <w:szCs w:val="24"/>
          <w:lang w:val="en-US"/>
        </w:rPr>
        <w:t>Tafamidis Meglumin "Ethypharm"</w:t>
      </w:r>
    </w:p>
    <w:p w14:paraId="5047DC1A" w14:textId="77777777" w:rsidR="0042292D" w:rsidRPr="00303008" w:rsidRDefault="0042292D" w:rsidP="007C5D2A">
      <w:pPr>
        <w:jc w:val="both"/>
        <w:rPr>
          <w:sz w:val="24"/>
          <w:szCs w:val="24"/>
          <w:lang w:val="en-GB"/>
        </w:rPr>
      </w:pPr>
    </w:p>
    <w:p w14:paraId="6FD3C043" w14:textId="77777777" w:rsidR="008F2F8C" w:rsidRPr="00303008" w:rsidRDefault="008F2F8C" w:rsidP="008F2F8C">
      <w:pPr>
        <w:tabs>
          <w:tab w:val="left" w:pos="8222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0.</w:t>
      </w:r>
      <w:r w:rsidRPr="00303008">
        <w:rPr>
          <w:b/>
          <w:sz w:val="24"/>
          <w:szCs w:val="24"/>
          <w:lang w:val="en-GB"/>
        </w:rPr>
        <w:tab/>
        <w:t>D.SP.NO.</w:t>
      </w:r>
    </w:p>
    <w:p w14:paraId="2983BCFB" w14:textId="2A27B1CC" w:rsidR="008F2F8C" w:rsidRPr="00303008" w:rsidRDefault="00D2670E" w:rsidP="008F2F8C">
      <w:pPr>
        <w:tabs>
          <w:tab w:val="left" w:pos="8222"/>
        </w:tabs>
        <w:ind w:left="85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35076</w:t>
      </w:r>
    </w:p>
    <w:p w14:paraId="3DF5BFBA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</w:p>
    <w:p w14:paraId="17C9148B" w14:textId="77777777" w:rsidR="007C5D2A" w:rsidRPr="00303008" w:rsidRDefault="009925C9" w:rsidP="007C5D2A">
      <w:pPr>
        <w:tabs>
          <w:tab w:val="left" w:pos="851"/>
        </w:tabs>
        <w:ind w:left="851" w:hanging="851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1.</w:t>
      </w:r>
      <w:r w:rsidR="007C5D2A" w:rsidRPr="00303008">
        <w:rPr>
          <w:b/>
          <w:sz w:val="24"/>
          <w:szCs w:val="24"/>
          <w:lang w:val="en-GB"/>
        </w:rPr>
        <w:tab/>
        <w:t>NAME OF THE MEDICINAL PRODUCT</w:t>
      </w:r>
    </w:p>
    <w:p w14:paraId="1039FFA4" w14:textId="77777777" w:rsidR="00D2670E" w:rsidRPr="00D2670E" w:rsidRDefault="00D2670E" w:rsidP="00D2670E">
      <w:pPr>
        <w:tabs>
          <w:tab w:val="left" w:pos="851"/>
        </w:tabs>
        <w:ind w:left="851"/>
        <w:rPr>
          <w:bCs/>
          <w:sz w:val="24"/>
          <w:szCs w:val="24"/>
          <w:lang w:val="en-GB"/>
        </w:rPr>
      </w:pPr>
      <w:r w:rsidRPr="00D2670E">
        <w:rPr>
          <w:bCs/>
          <w:sz w:val="24"/>
          <w:szCs w:val="24"/>
          <w:lang w:val="en-US"/>
        </w:rPr>
        <w:t>Tafamidis Meglumin "Ethypharm"</w:t>
      </w:r>
    </w:p>
    <w:p w14:paraId="012AF1CD" w14:textId="77777777" w:rsidR="007C5D2A" w:rsidRPr="00D2670E" w:rsidRDefault="007C5D2A" w:rsidP="004A3BF4">
      <w:pPr>
        <w:tabs>
          <w:tab w:val="left" w:pos="851"/>
        </w:tabs>
        <w:ind w:left="851"/>
        <w:rPr>
          <w:bCs/>
          <w:sz w:val="24"/>
          <w:szCs w:val="24"/>
          <w:lang w:val="en-GB"/>
        </w:rPr>
      </w:pPr>
    </w:p>
    <w:p w14:paraId="678AEC5C" w14:textId="77777777" w:rsidR="007C5D2A" w:rsidRPr="00303008" w:rsidRDefault="009925C9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2.</w:t>
      </w:r>
      <w:r w:rsidR="007C5D2A" w:rsidRPr="00303008">
        <w:rPr>
          <w:b/>
          <w:sz w:val="24"/>
          <w:szCs w:val="24"/>
          <w:lang w:val="en-GB"/>
        </w:rPr>
        <w:tab/>
        <w:t>QUALITATIVE AND QUANTITATIVE COMPOSITION</w:t>
      </w:r>
    </w:p>
    <w:p w14:paraId="05263FF2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Each soft capsule contains 20 mg of micronised tafamidis meglumine equivalent to 12.2 mg tafamidis.</w:t>
      </w:r>
    </w:p>
    <w:p w14:paraId="276FD0F3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07AFD04C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D2670E">
        <w:rPr>
          <w:sz w:val="24"/>
          <w:szCs w:val="24"/>
          <w:u w:val="single"/>
          <w:lang w:val="en-GB"/>
        </w:rPr>
        <w:t>Excipients with known effect</w:t>
      </w:r>
    </w:p>
    <w:p w14:paraId="0ED72602" w14:textId="676B1B5A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Each soft capsule contains no more than 34 mg of sorbitol (E420) (in the form of 50.14 mg liquid,</w:t>
      </w:r>
      <w:r w:rsidR="00CE5CE3">
        <w:rPr>
          <w:sz w:val="24"/>
          <w:szCs w:val="24"/>
          <w:lang w:val="en-US"/>
        </w:rPr>
        <w:t xml:space="preserve"> </w:t>
      </w:r>
      <w:r w:rsidRPr="00D2670E">
        <w:rPr>
          <w:sz w:val="24"/>
          <w:szCs w:val="24"/>
          <w:lang w:val="en-US"/>
        </w:rPr>
        <w:t>partially dehydrated sorbitol) and lecithin (soya) in trace amounts.</w:t>
      </w:r>
    </w:p>
    <w:p w14:paraId="6ED9D5FE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5F3651D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D2670E">
        <w:rPr>
          <w:sz w:val="24"/>
          <w:szCs w:val="24"/>
          <w:lang w:val="en-GB"/>
        </w:rPr>
        <w:t>For the full list of excipients, see section 6.1.</w:t>
      </w:r>
    </w:p>
    <w:p w14:paraId="59D4F880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5A4E1A7E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3.</w:t>
      </w:r>
      <w:r w:rsidRPr="00303008">
        <w:rPr>
          <w:b/>
          <w:sz w:val="24"/>
          <w:szCs w:val="24"/>
          <w:lang w:val="en-GB"/>
        </w:rPr>
        <w:tab/>
        <w:t>PHARMACEUTICAL FORM</w:t>
      </w:r>
    </w:p>
    <w:p w14:paraId="3D59C846" w14:textId="4D3AA85B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Soft capsule</w:t>
      </w:r>
      <w:r w:rsidR="00CE5CE3">
        <w:rPr>
          <w:sz w:val="24"/>
          <w:szCs w:val="24"/>
          <w:lang w:val="en-US"/>
        </w:rPr>
        <w:t>s</w:t>
      </w:r>
      <w:r w:rsidRPr="00D2670E">
        <w:rPr>
          <w:sz w:val="24"/>
          <w:szCs w:val="24"/>
          <w:lang w:val="en-US"/>
        </w:rPr>
        <w:t xml:space="preserve"> (capsule)</w:t>
      </w:r>
    </w:p>
    <w:p w14:paraId="38650231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47CC0CC9" w14:textId="2BD916E4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Yellow to pale yellow, oblong (approximately 20 mm in length and approximately 8 mm in width)</w:t>
      </w:r>
      <w:r w:rsidR="00CE5CE3">
        <w:rPr>
          <w:sz w:val="24"/>
          <w:szCs w:val="24"/>
          <w:lang w:val="en-US"/>
        </w:rPr>
        <w:t xml:space="preserve"> </w:t>
      </w:r>
      <w:r w:rsidRPr="00D2670E">
        <w:rPr>
          <w:sz w:val="24"/>
          <w:szCs w:val="24"/>
          <w:lang w:val="en-US"/>
        </w:rPr>
        <w:t>soft capsule, imprinted with “LP678” in red. Capsule contains white to pink coloured suspension.</w:t>
      </w:r>
    </w:p>
    <w:p w14:paraId="2580E8B6" w14:textId="77777777" w:rsidR="007C5D2A" w:rsidRPr="00D2670E" w:rsidRDefault="007C5D2A" w:rsidP="004A3BF4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D6C657C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27E2372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</w:t>
      </w:r>
      <w:r w:rsidRPr="00303008">
        <w:rPr>
          <w:b/>
          <w:sz w:val="24"/>
          <w:szCs w:val="24"/>
          <w:lang w:val="en-GB"/>
        </w:rPr>
        <w:tab/>
        <w:t>CLINICAL PARTICULARS</w:t>
      </w:r>
    </w:p>
    <w:p w14:paraId="5C22A308" w14:textId="77777777" w:rsidR="007C5D2A" w:rsidRPr="00303008" w:rsidRDefault="007C5D2A" w:rsidP="004A3BF4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7D542D9" w14:textId="77777777" w:rsidR="007C5D2A" w:rsidRPr="00303008" w:rsidRDefault="007C5D2A" w:rsidP="007C5D2A">
      <w:pPr>
        <w:ind w:left="851" w:hanging="851"/>
        <w:rPr>
          <w:b/>
          <w:sz w:val="24"/>
          <w:szCs w:val="24"/>
          <w:u w:val="single"/>
          <w:lang w:val="en-GB"/>
        </w:rPr>
      </w:pPr>
      <w:r w:rsidRPr="00303008">
        <w:rPr>
          <w:b/>
          <w:sz w:val="24"/>
          <w:szCs w:val="24"/>
          <w:lang w:val="en-GB"/>
        </w:rPr>
        <w:t>4.1</w:t>
      </w:r>
      <w:r w:rsidRPr="00303008">
        <w:rPr>
          <w:b/>
          <w:sz w:val="24"/>
          <w:szCs w:val="24"/>
          <w:lang w:val="en-GB"/>
        </w:rPr>
        <w:tab/>
        <w:t>Therapeutic indications</w:t>
      </w:r>
    </w:p>
    <w:p w14:paraId="41B89FA8" w14:textId="77777777" w:rsidR="00D2670E" w:rsidRPr="00D2670E" w:rsidRDefault="00D2670E" w:rsidP="00D2670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D2670E">
        <w:rPr>
          <w:sz w:val="24"/>
          <w:szCs w:val="24"/>
          <w:lang w:val="en-US"/>
        </w:rPr>
        <w:t>Tafamidis Meglumin "Ethypharm" is indicated for the treatment of transthyretin amyloidosis in adult patients with stage 1 symptomatic polyneuropathy to delay peripheral neurologic impairment.</w:t>
      </w:r>
    </w:p>
    <w:p w14:paraId="3A7ECA27" w14:textId="77777777" w:rsidR="007C5D2A" w:rsidRPr="00D2670E" w:rsidRDefault="007C5D2A" w:rsidP="00A85D26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D1E03E6" w14:textId="77777777" w:rsidR="007C5D2A" w:rsidRPr="00303008" w:rsidRDefault="009925C9" w:rsidP="007C5D2A">
      <w:pPr>
        <w:tabs>
          <w:tab w:val="left" w:pos="851"/>
        </w:tabs>
        <w:ind w:left="851" w:hanging="851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4.2</w:t>
      </w:r>
      <w:r w:rsidR="007C5D2A" w:rsidRPr="00303008">
        <w:rPr>
          <w:b/>
          <w:sz w:val="24"/>
          <w:szCs w:val="24"/>
          <w:lang w:val="en-GB"/>
        </w:rPr>
        <w:tab/>
        <w:t>Posology and method of administration</w:t>
      </w:r>
    </w:p>
    <w:p w14:paraId="0F27F70C" w14:textId="10EDDE0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Treatment should be initiated under the supervision of a physician knowledgeable in the management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of patients with transthyretin amyloid polyneuropathy (ATTR-PN).</w:t>
      </w:r>
    </w:p>
    <w:p w14:paraId="0B3D3C56" w14:textId="106B918E" w:rsidR="00CE5CE3" w:rsidRDefault="00CE5CE3">
      <w:pPr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br w:type="page"/>
      </w:r>
    </w:p>
    <w:p w14:paraId="09BBB45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474072D4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Posology</w:t>
      </w:r>
    </w:p>
    <w:p w14:paraId="0E8202B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recommended dose of tafamidis meglumine is 20 mg orally once daily.</w:t>
      </w:r>
    </w:p>
    <w:p w14:paraId="2CAED5D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A4E44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Tafamidis and tafamidis meglumine are not interchangeable on a per mg basis.</w:t>
      </w:r>
    </w:p>
    <w:p w14:paraId="37B1CF4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B68AA3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If vomiting occurs after dosing, and the intact </w:t>
      </w:r>
      <w:r w:rsidRPr="00C3109A">
        <w:rPr>
          <w:sz w:val="24"/>
          <w:szCs w:val="24"/>
          <w:lang w:val="en-US"/>
        </w:rPr>
        <w:t>Tafamidis Meglumin "Ethypharm"</w:t>
      </w:r>
      <w:r w:rsidRPr="00C3109A">
        <w:rPr>
          <w:sz w:val="24"/>
          <w:szCs w:val="24"/>
          <w:lang w:val="en-GB"/>
        </w:rPr>
        <w:t xml:space="preserve"> capsule is identified, then an additional dose of </w:t>
      </w:r>
      <w:r w:rsidRPr="00C3109A">
        <w:rPr>
          <w:sz w:val="24"/>
          <w:szCs w:val="24"/>
          <w:lang w:val="en-US"/>
        </w:rPr>
        <w:t>Tafamidis Meglumin "Ethypharm"</w:t>
      </w:r>
      <w:r w:rsidRPr="00C3109A">
        <w:rPr>
          <w:sz w:val="24"/>
          <w:szCs w:val="24"/>
          <w:lang w:val="en-GB"/>
        </w:rPr>
        <w:t xml:space="preserve"> should be administered if possible. If no capsule is identified, then no additional dose is necessary, with resumption of dosing the next day as usual.</w:t>
      </w:r>
    </w:p>
    <w:p w14:paraId="39578D6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6ED948F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Special populations</w:t>
      </w:r>
    </w:p>
    <w:p w14:paraId="20D118A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10AC82E3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Elderly</w:t>
      </w:r>
    </w:p>
    <w:p w14:paraId="4525F05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dosage adjustment is required for elderly patients (≥ 65 years) (see section 5.2).</w:t>
      </w:r>
    </w:p>
    <w:p w14:paraId="5B831EF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046C064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Hepatic and renal impairment</w:t>
      </w:r>
    </w:p>
    <w:p w14:paraId="454FA90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dosage adjustment is required for patients with renal or mild and moderate hepatic impairment.</w:t>
      </w:r>
    </w:p>
    <w:p w14:paraId="669CB589" w14:textId="5C30F7BD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Limited data are available in patients with severe renal impairment (creatinine clearance less than or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equal to 30 mL/min). Tafamidis meglumine has not been studied in patients with severe hepatic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impairment and caution is recommended (see section 5.2).</w:t>
      </w:r>
    </w:p>
    <w:p w14:paraId="24ED35C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B356B3D" w14:textId="77777777" w:rsidR="00C3109A" w:rsidRPr="00C3109A" w:rsidRDefault="00C3109A" w:rsidP="00C3109A">
      <w:pPr>
        <w:tabs>
          <w:tab w:val="left" w:pos="851"/>
        </w:tabs>
        <w:ind w:left="851"/>
        <w:rPr>
          <w:bCs/>
          <w:i/>
          <w:iCs/>
          <w:sz w:val="24"/>
          <w:szCs w:val="24"/>
          <w:lang w:val="en-GB"/>
        </w:rPr>
      </w:pPr>
      <w:r w:rsidRPr="00C3109A">
        <w:rPr>
          <w:bCs/>
          <w:i/>
          <w:iCs/>
          <w:sz w:val="24"/>
          <w:szCs w:val="24"/>
          <w:lang w:val="en-GB"/>
        </w:rPr>
        <w:t>Paediatric population</w:t>
      </w:r>
    </w:p>
    <w:p w14:paraId="74BCFC8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There is no relevant use of tafamidis in the paediatric population.</w:t>
      </w:r>
    </w:p>
    <w:p w14:paraId="1131B28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A9A778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 xml:space="preserve">Method of administration </w:t>
      </w:r>
    </w:p>
    <w:p w14:paraId="57057E68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Oral use.</w:t>
      </w:r>
    </w:p>
    <w:p w14:paraId="08CF44F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The soft capsules should be swallowed whole and not crushed or cut (as they contain suspension, see</w:t>
      </w:r>
    </w:p>
    <w:p w14:paraId="12962BED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section 3). Tafamidis Meglumin "Ethypharm" may be taken with or without food.</w:t>
      </w:r>
    </w:p>
    <w:p w14:paraId="5192CDF3" w14:textId="77777777" w:rsidR="007C5D2A" w:rsidRPr="00C3109A" w:rsidRDefault="007C5D2A" w:rsidP="00A85D26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07F3D433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4.3</w:t>
      </w:r>
      <w:r w:rsidRPr="00303008">
        <w:rPr>
          <w:b/>
          <w:sz w:val="24"/>
          <w:szCs w:val="24"/>
          <w:lang w:val="en-GB"/>
        </w:rPr>
        <w:tab/>
        <w:t>Contraindications</w:t>
      </w:r>
    </w:p>
    <w:p w14:paraId="7F36AA9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Hypersensitivity to the active substance, </w:t>
      </w:r>
      <w:r w:rsidRPr="00C3109A">
        <w:rPr>
          <w:sz w:val="24"/>
          <w:szCs w:val="24"/>
          <w:lang w:val="en-US"/>
        </w:rPr>
        <w:t xml:space="preserve">peanuts, soya </w:t>
      </w:r>
      <w:r w:rsidRPr="00C3109A">
        <w:rPr>
          <w:sz w:val="24"/>
          <w:szCs w:val="24"/>
          <w:lang w:val="en-GB"/>
        </w:rPr>
        <w:t>or to any of the excipients listed in section 6.1.</w:t>
      </w:r>
    </w:p>
    <w:p w14:paraId="62EC95C0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939DBA4" w14:textId="77777777" w:rsidR="007C5D2A" w:rsidRPr="00303008" w:rsidRDefault="007C5D2A" w:rsidP="007C5D2A">
      <w:pPr>
        <w:tabs>
          <w:tab w:val="left" w:pos="851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4.4</w:t>
      </w:r>
      <w:r w:rsidRPr="00303008">
        <w:rPr>
          <w:b/>
          <w:sz w:val="24"/>
          <w:szCs w:val="24"/>
          <w:lang w:val="en-GB"/>
        </w:rPr>
        <w:tab/>
        <w:t>Special warnings and precautions for use</w:t>
      </w:r>
    </w:p>
    <w:p w14:paraId="1BBCAB8F" w14:textId="5210E4C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Women of childbearing potential should use appropriate contraception when taking tafamidis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meglumine and continue to use appropriate contraception for 1 month after stopping treatment with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tafamidis meglumine (see section 4.6).</w:t>
      </w:r>
    </w:p>
    <w:p w14:paraId="300E55B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A65DF59" w14:textId="3DFF3681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Tafamidis meglumine should be added to the standard of care for the treatment of patients with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ATTR-PN. Physicians should monitor patients and continue to assess the need for other therapy,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including the need for liver transplantation, as part of this standard of care. As there are no data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available regarding the use of tafamidis meglumine post-liver transplantation, tafamidis meglumine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should be discontinued in patients who undergo liver transplantation.</w:t>
      </w:r>
    </w:p>
    <w:p w14:paraId="51360EE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1E6AF4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Co-administration of tafamidis meglumine with substrates of the breast cancer resistant protein (BCRP) may increase exposure to the BCRP substrate. In case of co-</w:t>
      </w:r>
      <w:r w:rsidRPr="00C3109A">
        <w:rPr>
          <w:sz w:val="24"/>
          <w:szCs w:val="24"/>
          <w:lang w:val="en-GB"/>
        </w:rPr>
        <w:lastRenderedPageBreak/>
        <w:t>administration, patients should be monitored for BCRP substrate related adverse reactions, and dose reduction of the BCRP substrate may be considered (see section 4.5).</w:t>
      </w:r>
    </w:p>
    <w:p w14:paraId="29DE035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532F952" w14:textId="77777777" w:rsidR="00C3109A" w:rsidRPr="00CE5CE3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E5CE3">
        <w:rPr>
          <w:sz w:val="24"/>
          <w:szCs w:val="24"/>
          <w:u w:val="single"/>
          <w:lang w:val="en-GB"/>
        </w:rPr>
        <w:t>Excipients</w:t>
      </w:r>
    </w:p>
    <w:p w14:paraId="4F939B0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This medicinal product contains lecithin (soya) (trace amounts) and sorbitol.</w:t>
      </w:r>
    </w:p>
    <w:p w14:paraId="6CAF260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US"/>
        </w:rPr>
        <w:t>Tafamidis Meglumin "Ethypharm"</w:t>
      </w:r>
      <w:r w:rsidRPr="00C3109A">
        <w:rPr>
          <w:sz w:val="24"/>
          <w:szCs w:val="24"/>
          <w:lang w:val="en-GB"/>
        </w:rPr>
        <w:t xml:space="preserve"> contains soya lecithin (trace amounts). If you are allergic to peanut or soya, do not use this medicinal product.</w:t>
      </w:r>
    </w:p>
    <w:p w14:paraId="16527C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AFA7CD1" w14:textId="1D4839F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This medicinal product contains not more than 34 mg sorbitol (E420) in each capsule (as 50.14 mg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liquid sorbitol partially dehydrated). Sorbitol is a source of fructose.</w:t>
      </w:r>
    </w:p>
    <w:p w14:paraId="5AC9151D" w14:textId="1B36348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additive effect of concomitantly administered products containing sorbitol (or fructose) and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dietary intake of sorbitol (or fructose) should be taken into account.</w:t>
      </w:r>
    </w:p>
    <w:p w14:paraId="65A1961D" w14:textId="7AB95B9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The content of sorbitol in medicinal products for oral use may affect the bioavailability of other</w:t>
      </w:r>
      <w:r w:rsidR="00CE5CE3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medicinal products for oral use administered concomitantly.</w:t>
      </w:r>
    </w:p>
    <w:p w14:paraId="7C5090F5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9D60FC0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4.5</w:t>
      </w:r>
      <w:r w:rsidRPr="00303008">
        <w:rPr>
          <w:b/>
          <w:sz w:val="24"/>
          <w:szCs w:val="24"/>
          <w:lang w:val="en-GB"/>
        </w:rPr>
        <w:tab/>
        <w:t>Interaction with other medicinal products and other forms of interaction</w:t>
      </w:r>
    </w:p>
    <w:p w14:paraId="1AA382F4" w14:textId="704C7BF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a clinical study in healthy volunteers, 20 mg tafamidis meglumine did not induce or inhibit the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cytochrome P450 enzyme CYP3A4.</w:t>
      </w:r>
    </w:p>
    <w:p w14:paraId="0DE37F7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8CC9BA2" w14:textId="562BBEF0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sz w:val="24"/>
          <w:szCs w:val="24"/>
          <w:lang w:val="en-US"/>
        </w:rPr>
        <w:t xml:space="preserve">tafamidis inhibits the efflux transporter BCRP with IC50=1.16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 and may cause drug-druginteractions at clinically relevant concentrations with substrates of this transporter (e.g. methotrexate,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rosuvastatin, atorvastatin, apixaban, rivaroxaban, imatinib). In a clinical study in healthy participants,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exposure of the BCRP substrate rosuvastatin increased approximately 2-fold following multiple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daily doses of 61 mg tafamidis. Therefore, patients should be monitored for BCRP substrate related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adverse reactions when used concomitantly with tafamidis. A dose reduction of the BCRP substrate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may be considered (see section 4.4).</w:t>
      </w:r>
    </w:p>
    <w:p w14:paraId="1C7B710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4270C2F" w14:textId="227B6021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Likewise, tafamidis inhibits the uptake transporters OAT1 and OAT3 (organic anion transporters) with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IC50=2.9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 xml:space="preserve">M and IC50=2.36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M, respectively, and may cause drug-drug interactions at clinically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relevant concentrations with substrates of these transporters (e.g. non-steroidal anti-inflammatory drugs, bumetanide, furosemide, lamivudine, methotrexate, oseltamivir, tenofovir, ganciclovir,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adefovir, cidofovir, zidovudine, zalcitabine). Based on </w:t>
      </w: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sz w:val="24"/>
          <w:szCs w:val="24"/>
          <w:lang w:val="en-US"/>
        </w:rPr>
        <w:t>data, the maximal predicted changes in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AUC of OAT1 and OAT3 substrates were determined to be less than 1.25 for the tafamidis meglumine</w:t>
      </w:r>
    </w:p>
    <w:p w14:paraId="40221E8B" w14:textId="5A9E170D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20 mg dose, therefore, inhibition of OAT1 or OAT3 transporters by tafamidis is not expected to result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in clinically significant interactions.</w:t>
      </w:r>
    </w:p>
    <w:p w14:paraId="77FA834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C8A337A" w14:textId="2BF0626E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interaction studies have been performed evaluating the effect of other medicinal products on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meglumine.</w:t>
      </w:r>
    </w:p>
    <w:p w14:paraId="4CE5A2C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0A3069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C3109A">
        <w:rPr>
          <w:sz w:val="24"/>
          <w:szCs w:val="24"/>
          <w:u w:val="single"/>
          <w:lang w:val="en-US"/>
        </w:rPr>
        <w:t>Laboratory test abnormality</w:t>
      </w:r>
    </w:p>
    <w:p w14:paraId="781B271F" w14:textId="4827750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Tafamidis may decrease serum concentrations of total thyroxine, without an accompanying change in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free thyroxine (T4) or thyroid stimulating hormone (TSH). This observation in total thyroxine values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may likely be the result of reduced thyroxine binding to or displacement from transthyretin (TTR) due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to the high binding affinity tafamidis has to the TTR thyroxine receptor. No corresponding clinical</w:t>
      </w:r>
      <w:r w:rsidR="00CE5CE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findings consistent with thyroid dysfunction have been observed.</w:t>
      </w:r>
    </w:p>
    <w:p w14:paraId="471B5DE5" w14:textId="2CC13AA7" w:rsidR="00CE5CE3" w:rsidRDefault="00CE5CE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0BF3D97C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7FEDE8A3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4.6</w:t>
      </w:r>
      <w:r w:rsidRPr="00303008">
        <w:rPr>
          <w:b/>
          <w:sz w:val="24"/>
          <w:szCs w:val="24"/>
          <w:lang w:val="en-GB"/>
        </w:rPr>
        <w:tab/>
      </w:r>
      <w:r w:rsidR="004860D3">
        <w:rPr>
          <w:b/>
          <w:sz w:val="24"/>
          <w:szCs w:val="24"/>
          <w:lang w:val="en-GB"/>
        </w:rPr>
        <w:t>Fertility, p</w:t>
      </w:r>
      <w:r w:rsidRPr="00303008">
        <w:rPr>
          <w:b/>
          <w:sz w:val="24"/>
          <w:szCs w:val="24"/>
          <w:lang w:val="en-GB"/>
        </w:rPr>
        <w:t>regnancy and lactation</w:t>
      </w:r>
    </w:p>
    <w:p w14:paraId="29BDA1A3" w14:textId="77777777" w:rsidR="003E3263" w:rsidRDefault="003E3263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1E7F43A3" w14:textId="3E7BAD8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C3109A">
        <w:rPr>
          <w:sz w:val="24"/>
          <w:szCs w:val="24"/>
          <w:u w:val="single"/>
          <w:lang w:val="en-US"/>
        </w:rPr>
        <w:t>Women of childbearing potential</w:t>
      </w:r>
    </w:p>
    <w:p w14:paraId="5E536CA2" w14:textId="62437D0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Contraceptive measures should be used by women of childbearing potential during treatment with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meglumine, and for one month after stopping treatment, due to the prolonged half-life.</w:t>
      </w:r>
    </w:p>
    <w:p w14:paraId="417B787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8CA33F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u w:val="single"/>
          <w:lang w:val="en-GB"/>
        </w:rPr>
        <w:t>Pregnancy</w:t>
      </w:r>
    </w:p>
    <w:p w14:paraId="5A0E5019" w14:textId="566C95D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There are no data on the use of tafamidis meglumine in pregnant women. Studies in animals have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shown developmental toxicity (see section 5.3). Tafamidis meglumine is not recommended during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pregnancy and in women of childbearing potential not using contraception.</w:t>
      </w:r>
    </w:p>
    <w:p w14:paraId="7223B74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F3C1E9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u w:val="single"/>
          <w:lang w:val="en-GB"/>
        </w:rPr>
        <w:t>Breast-feeding</w:t>
      </w:r>
    </w:p>
    <w:p w14:paraId="309DCEE2" w14:textId="76B2848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Available data in animals have shown excretion of tafamidis in milk. A risk to the newborns/infants</w:t>
      </w:r>
      <w:r w:rsidR="003E3263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cannot be excluded. Tafamidis meglumine should not be used during breast-feeding.</w:t>
      </w:r>
    </w:p>
    <w:p w14:paraId="3116860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81F75E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Fertility</w:t>
      </w:r>
    </w:p>
    <w:p w14:paraId="79FC13AF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 impairment of fertility has been observed in nonclinical studies (see section 5.3).</w:t>
      </w:r>
    </w:p>
    <w:p w14:paraId="34FC2FED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9C760AD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4.7</w:t>
      </w:r>
      <w:r w:rsidRPr="00303008">
        <w:rPr>
          <w:b/>
          <w:sz w:val="24"/>
          <w:szCs w:val="24"/>
          <w:lang w:val="en-GB"/>
        </w:rPr>
        <w:tab/>
        <w:t>Effects on ability to drive and use machines</w:t>
      </w:r>
    </w:p>
    <w:p w14:paraId="060CB452" w14:textId="77777777" w:rsidR="003E3263" w:rsidRDefault="003E3263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 traffic warning.</w:t>
      </w:r>
    </w:p>
    <w:p w14:paraId="3CF56954" w14:textId="555A58C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 xml:space="preserve">On the basis of the pharmacodynamic and pharmacokinetic profile, tafamidis meglumine is believed to have </w:t>
      </w:r>
      <w:r w:rsidRPr="00C3109A">
        <w:rPr>
          <w:sz w:val="24"/>
          <w:szCs w:val="24"/>
          <w:lang w:val="en-GB"/>
        </w:rPr>
        <w:t>no or negligible influence on the ability to drive or use machines.</w:t>
      </w:r>
    </w:p>
    <w:p w14:paraId="7B2DA709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16DF44A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4.8</w:t>
      </w:r>
      <w:r w:rsidRPr="00303008">
        <w:rPr>
          <w:b/>
          <w:sz w:val="24"/>
          <w:szCs w:val="24"/>
          <w:lang w:val="en-GB"/>
        </w:rPr>
        <w:tab/>
        <w:t>Undesirable effects</w:t>
      </w:r>
    </w:p>
    <w:p w14:paraId="25C2E426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0B754DB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Summary of the safety profile</w:t>
      </w:r>
    </w:p>
    <w:p w14:paraId="128CE4A1" w14:textId="03A5B42A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 overall clinical data reflect exposure of 127 patients with ATTR-PN to 20 mg of tafamidis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meglumine administered daily for an average of 538 days (ranging from 15 to 994 days). The adverse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reactions were generally mild or moderate in severity.</w:t>
      </w:r>
    </w:p>
    <w:p w14:paraId="422BA245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</w:p>
    <w:p w14:paraId="1EFD0A3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Tabulated list of adverse reactions</w:t>
      </w:r>
    </w:p>
    <w:p w14:paraId="73C64C26" w14:textId="3020833B" w:rsidR="00C3109A" w:rsidRPr="00C3109A" w:rsidRDefault="00C3109A" w:rsidP="003E3263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Adverse reactions are listed below by MedDRA System Organ Class (SOC) and frequency categories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using the standard convention: very common (≥ 1/10), common (≥ 1/100 to &lt; 1/10), and uncommon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(≥ 1/1 000 to &lt; 1/100). Within the frequency group, adverse reactions are presented in order of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decreasing seriousness. Adverse reactions reported from the clinical programme in the tabular listing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below reflect the rates at which they occurred in the phase 3, double-blind, placebo-controlled study</w:t>
      </w:r>
      <w:r w:rsidR="003E3263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(Fx-005).</w:t>
      </w:r>
    </w:p>
    <w:p w14:paraId="19644EC2" w14:textId="77777777" w:rsidR="00C3109A" w:rsidRPr="00C3109A" w:rsidRDefault="00C3109A" w:rsidP="00C3109A">
      <w:pPr>
        <w:tabs>
          <w:tab w:val="left" w:pos="851"/>
        </w:tabs>
        <w:ind w:left="851"/>
        <w:rPr>
          <w:i/>
          <w:sz w:val="24"/>
          <w:szCs w:val="24"/>
          <w:lang w:val="en-GB"/>
        </w:rPr>
      </w:pPr>
    </w:p>
    <w:tbl>
      <w:tblPr>
        <w:tblStyle w:val="Tabel-Gitter"/>
        <w:tblW w:w="5953" w:type="dxa"/>
        <w:tblInd w:w="846" w:type="dxa"/>
        <w:tblLook w:val="04A0" w:firstRow="1" w:lastRow="0" w:firstColumn="1" w:lastColumn="0" w:noHBand="0" w:noVBand="1"/>
      </w:tblPr>
      <w:tblGrid>
        <w:gridCol w:w="2977"/>
        <w:gridCol w:w="2976"/>
      </w:tblGrid>
      <w:tr w:rsidR="00C3109A" w:rsidRPr="00C3109A" w14:paraId="24FBDD8F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332E" w14:textId="77777777" w:rsidR="00C3109A" w:rsidRPr="00C3109A" w:rsidRDefault="00C3109A" w:rsidP="003E3263">
            <w:pPr>
              <w:ind w:left="33"/>
              <w:rPr>
                <w:b/>
                <w:iCs/>
                <w:sz w:val="24"/>
                <w:szCs w:val="24"/>
                <w:lang w:val="en-GB"/>
              </w:rPr>
            </w:pPr>
            <w:r w:rsidRPr="00C3109A">
              <w:rPr>
                <w:b/>
                <w:bCs/>
                <w:iCs/>
                <w:sz w:val="24"/>
                <w:szCs w:val="24"/>
                <w:lang w:val="fr-FR"/>
              </w:rPr>
              <w:t>System Organ Class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4938" w14:textId="77777777" w:rsidR="00C3109A" w:rsidRPr="00C3109A" w:rsidRDefault="00C3109A" w:rsidP="003E3263">
            <w:pPr>
              <w:ind w:left="39"/>
              <w:rPr>
                <w:b/>
                <w:iCs/>
                <w:sz w:val="24"/>
                <w:szCs w:val="24"/>
                <w:lang w:val="en-GB"/>
              </w:rPr>
            </w:pPr>
            <w:r w:rsidRPr="00C3109A">
              <w:rPr>
                <w:b/>
                <w:bCs/>
                <w:iCs/>
                <w:sz w:val="24"/>
                <w:szCs w:val="24"/>
                <w:lang w:val="fr-FR"/>
              </w:rPr>
              <w:t>Very common</w:t>
            </w:r>
          </w:p>
        </w:tc>
      </w:tr>
      <w:tr w:rsidR="00C3109A" w:rsidRPr="00C3109A" w14:paraId="5C400AF7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8639" w14:textId="77777777" w:rsidR="00C3109A" w:rsidRPr="00C3109A" w:rsidRDefault="00C3109A" w:rsidP="003E3263">
            <w:pPr>
              <w:ind w:left="33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Infections and Infestations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194A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Urinary tract infection</w:t>
            </w:r>
          </w:p>
        </w:tc>
      </w:tr>
      <w:tr w:rsidR="00C3109A" w:rsidRPr="00C3109A" w14:paraId="6E814D8F" w14:textId="77777777" w:rsidTr="003E3263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92D4" w14:textId="77777777" w:rsidR="00C3109A" w:rsidRPr="00C3109A" w:rsidRDefault="00C3109A" w:rsidP="003E3263">
            <w:pPr>
              <w:ind w:left="33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Gastrointestinal disorders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947A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fr-FR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Diarrhoea</w:t>
            </w:r>
          </w:p>
          <w:p w14:paraId="723ECE68" w14:textId="77777777" w:rsidR="00C3109A" w:rsidRPr="00C3109A" w:rsidRDefault="00C3109A" w:rsidP="003E3263">
            <w:pPr>
              <w:ind w:left="39"/>
              <w:rPr>
                <w:bCs/>
                <w:iCs/>
                <w:sz w:val="24"/>
                <w:szCs w:val="24"/>
                <w:lang w:val="en-GB"/>
              </w:rPr>
            </w:pPr>
            <w:r w:rsidRPr="00C3109A">
              <w:rPr>
                <w:bCs/>
                <w:iCs/>
                <w:sz w:val="24"/>
                <w:szCs w:val="24"/>
                <w:lang w:val="fr-FR"/>
              </w:rPr>
              <w:t>Upper abdominal pain</w:t>
            </w:r>
          </w:p>
        </w:tc>
      </w:tr>
    </w:tbl>
    <w:p w14:paraId="718968CC" w14:textId="0E46D5C2" w:rsidR="003E3263" w:rsidRDefault="003E3263" w:rsidP="00C3109A">
      <w:pPr>
        <w:tabs>
          <w:tab w:val="left" w:pos="851"/>
        </w:tabs>
        <w:ind w:left="851"/>
        <w:rPr>
          <w:b/>
          <w:iCs/>
          <w:sz w:val="24"/>
          <w:szCs w:val="24"/>
          <w:lang w:val="en-GB"/>
        </w:rPr>
      </w:pPr>
    </w:p>
    <w:p w14:paraId="4E832740" w14:textId="77777777" w:rsidR="003E3263" w:rsidRDefault="003E3263">
      <w:pPr>
        <w:rPr>
          <w:b/>
          <w:iCs/>
          <w:sz w:val="24"/>
          <w:szCs w:val="24"/>
          <w:lang w:val="en-GB"/>
        </w:rPr>
      </w:pPr>
      <w:r>
        <w:rPr>
          <w:b/>
          <w:iCs/>
          <w:sz w:val="24"/>
          <w:szCs w:val="24"/>
          <w:lang w:val="en-GB"/>
        </w:rPr>
        <w:br w:type="page"/>
      </w:r>
    </w:p>
    <w:p w14:paraId="7DFA817F" w14:textId="77777777" w:rsidR="00C3109A" w:rsidRPr="003E3263" w:rsidRDefault="00C3109A" w:rsidP="00C3109A">
      <w:pPr>
        <w:tabs>
          <w:tab w:val="left" w:pos="851"/>
        </w:tabs>
        <w:ind w:left="851"/>
        <w:rPr>
          <w:b/>
          <w:iCs/>
          <w:sz w:val="24"/>
          <w:szCs w:val="24"/>
          <w:lang w:val="en-GB"/>
        </w:rPr>
      </w:pPr>
    </w:p>
    <w:p w14:paraId="3F865212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Reporting of suspected adverse reactions</w:t>
      </w:r>
    </w:p>
    <w:p w14:paraId="1F074F0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Reporting suspected adverse reactions after authorisation of the medicinal product is important. It allows continued monitoring of the benefit/risk balance of the medicinal product. Healthcare professionals are asked to report any suspected adverse reactions via:</w:t>
      </w:r>
    </w:p>
    <w:p w14:paraId="766FE59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3DC772C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Lægemiddelstyrelsen</w:t>
      </w:r>
    </w:p>
    <w:p w14:paraId="2789FFB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Axel Heides Gade 1</w:t>
      </w:r>
    </w:p>
    <w:p w14:paraId="7423489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</w:rPr>
      </w:pPr>
      <w:r w:rsidRPr="00C3109A">
        <w:rPr>
          <w:sz w:val="24"/>
          <w:szCs w:val="24"/>
        </w:rPr>
        <w:t>DK-2300 København S</w:t>
      </w:r>
    </w:p>
    <w:p w14:paraId="08A4F5D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Website: www.meldenbivirkning.dk</w:t>
      </w:r>
    </w:p>
    <w:p w14:paraId="781E9872" w14:textId="77777777" w:rsidR="007C5D2A" w:rsidRPr="007A4CC6" w:rsidRDefault="007C5D2A" w:rsidP="007A4CC6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8CB4B38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4.9</w:t>
      </w:r>
      <w:r w:rsidRPr="00303008">
        <w:rPr>
          <w:b/>
          <w:sz w:val="24"/>
          <w:szCs w:val="24"/>
          <w:lang w:val="en-GB"/>
        </w:rPr>
        <w:tab/>
        <w:t>Overdose</w:t>
      </w:r>
    </w:p>
    <w:p w14:paraId="18441EDA" w14:textId="77777777" w:rsidR="003E325D" w:rsidRDefault="003E325D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</w:p>
    <w:p w14:paraId="4FD1F3EB" w14:textId="4F194A4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Symptoms</w:t>
      </w:r>
    </w:p>
    <w:p w14:paraId="2B3FE3EB" w14:textId="0620893F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There is minimal clinical experience with overdose. During clinical trials, two patients diagnosed with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transthyretin amyloid cardiomyopathy (ATTR-CM) accidentally ingested a single tafamidis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meglumine dose of 160 mg without the occurrence of any associated adverse events. The highest dose</w:t>
      </w:r>
      <w:r w:rsidR="003E325D">
        <w:rPr>
          <w:iCs/>
          <w:sz w:val="24"/>
          <w:szCs w:val="24"/>
          <w:lang w:val="en-GB"/>
        </w:rPr>
        <w:t xml:space="preserve"> </w:t>
      </w:r>
      <w:r w:rsidRPr="00C3109A">
        <w:rPr>
          <w:iCs/>
          <w:sz w:val="24"/>
          <w:szCs w:val="24"/>
          <w:lang w:val="en-GB"/>
        </w:rPr>
        <w:t>of tafamidis meglumine given to healthy volunteers in a clinical trial was 480 mg as a single dose.</w:t>
      </w:r>
    </w:p>
    <w:p w14:paraId="4D1787E9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There was one reported treatment-related adverse event of mild hordeolum at this dose.</w:t>
      </w:r>
    </w:p>
    <w:p w14:paraId="1AC5D1CF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</w:p>
    <w:p w14:paraId="320EB5B6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GB"/>
        </w:rPr>
      </w:pPr>
      <w:r w:rsidRPr="00C3109A">
        <w:rPr>
          <w:iCs/>
          <w:sz w:val="24"/>
          <w:szCs w:val="24"/>
          <w:u w:val="single"/>
          <w:lang w:val="en-GB"/>
        </w:rPr>
        <w:t>Management</w:t>
      </w:r>
    </w:p>
    <w:p w14:paraId="795DD3D7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GB"/>
        </w:rPr>
      </w:pPr>
      <w:r w:rsidRPr="00C3109A">
        <w:rPr>
          <w:iCs/>
          <w:sz w:val="24"/>
          <w:szCs w:val="24"/>
          <w:lang w:val="en-GB"/>
        </w:rPr>
        <w:t>In case of overdose, standard supportive measures should be instituted as required.</w:t>
      </w:r>
    </w:p>
    <w:p w14:paraId="4BD9C74C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CBF9316" w14:textId="77777777" w:rsidR="008F2F8C" w:rsidRPr="00451431" w:rsidRDefault="0042292D" w:rsidP="0042292D">
      <w:pPr>
        <w:tabs>
          <w:tab w:val="left" w:pos="851"/>
        </w:tabs>
        <w:rPr>
          <w:b/>
          <w:sz w:val="24"/>
          <w:szCs w:val="24"/>
        </w:rPr>
      </w:pPr>
      <w:r w:rsidRPr="00451431">
        <w:rPr>
          <w:b/>
          <w:sz w:val="24"/>
          <w:szCs w:val="24"/>
        </w:rPr>
        <w:t>4.10</w:t>
      </w:r>
      <w:r w:rsidRPr="00451431">
        <w:rPr>
          <w:b/>
          <w:sz w:val="24"/>
          <w:szCs w:val="24"/>
        </w:rPr>
        <w:tab/>
        <w:t>Legal status</w:t>
      </w:r>
    </w:p>
    <w:p w14:paraId="5C7AA315" w14:textId="6D2BE618" w:rsidR="00AD2E36" w:rsidRPr="00451431" w:rsidRDefault="001F6AF1" w:rsidP="00AD2E36">
      <w:pPr>
        <w:tabs>
          <w:tab w:val="left" w:pos="851"/>
        </w:tabs>
        <w:ind w:left="851"/>
        <w:rPr>
          <w:sz w:val="24"/>
          <w:szCs w:val="24"/>
        </w:rPr>
      </w:pPr>
      <w:r w:rsidRPr="00451431">
        <w:rPr>
          <w:sz w:val="24"/>
          <w:szCs w:val="24"/>
        </w:rPr>
        <w:t>BEGR (kun til sygehuse)</w:t>
      </w:r>
    </w:p>
    <w:p w14:paraId="67CF52A4" w14:textId="77777777" w:rsidR="007C5D2A" w:rsidRPr="00451431" w:rsidRDefault="007C5D2A" w:rsidP="003E0341">
      <w:pPr>
        <w:tabs>
          <w:tab w:val="left" w:pos="851"/>
        </w:tabs>
        <w:ind w:left="851"/>
        <w:rPr>
          <w:sz w:val="24"/>
          <w:szCs w:val="24"/>
        </w:rPr>
      </w:pPr>
    </w:p>
    <w:p w14:paraId="17A23AA4" w14:textId="77777777" w:rsidR="00AD2E36" w:rsidRPr="00451431" w:rsidRDefault="00AD2E36" w:rsidP="003E0341">
      <w:pPr>
        <w:tabs>
          <w:tab w:val="left" w:pos="851"/>
        </w:tabs>
        <w:ind w:left="851"/>
        <w:rPr>
          <w:sz w:val="24"/>
          <w:szCs w:val="24"/>
        </w:rPr>
      </w:pPr>
    </w:p>
    <w:p w14:paraId="45B06FFB" w14:textId="77777777" w:rsidR="007C5D2A" w:rsidRPr="00303008" w:rsidRDefault="007C5D2A" w:rsidP="007C5D2A">
      <w:pPr>
        <w:tabs>
          <w:tab w:val="left" w:pos="851"/>
        </w:tabs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</w:t>
      </w:r>
      <w:r w:rsidRPr="00303008">
        <w:rPr>
          <w:b/>
          <w:sz w:val="24"/>
          <w:szCs w:val="24"/>
          <w:lang w:val="en-GB"/>
        </w:rPr>
        <w:tab/>
        <w:t>PHARMACOLOGICAL PROPERTIES</w:t>
      </w:r>
    </w:p>
    <w:p w14:paraId="1CC4D830" w14:textId="77777777" w:rsidR="007C5D2A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46A66169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5.1</w:t>
      </w:r>
      <w:r w:rsidRPr="00303008">
        <w:rPr>
          <w:b/>
          <w:sz w:val="24"/>
          <w:szCs w:val="24"/>
          <w:lang w:val="en-GB"/>
        </w:rPr>
        <w:tab/>
        <w:t>Pharmacodynamic properties</w:t>
      </w:r>
      <w:r w:rsidRPr="00303008">
        <w:rPr>
          <w:b/>
          <w:sz w:val="24"/>
          <w:szCs w:val="24"/>
          <w:lang w:val="en-GB"/>
        </w:rPr>
        <w:tab/>
      </w:r>
    </w:p>
    <w:p w14:paraId="139BBEFD" w14:textId="2CAE4721" w:rsidR="00C3109A" w:rsidRPr="001F6AF1" w:rsidRDefault="00C3109A" w:rsidP="001F6AF1">
      <w:pPr>
        <w:tabs>
          <w:tab w:val="left" w:pos="851"/>
        </w:tabs>
        <w:ind w:left="851"/>
        <w:outlineLvl w:val="0"/>
        <w:rPr>
          <w:noProof/>
          <w:sz w:val="24"/>
          <w:szCs w:val="24"/>
          <w:lang w:val="en-GB" w:eastAsia="en-US"/>
        </w:rPr>
      </w:pPr>
      <w:r w:rsidRPr="001F6AF1">
        <w:rPr>
          <w:sz w:val="24"/>
          <w:szCs w:val="24"/>
          <w:lang w:val="en-GB" w:eastAsia="en-US"/>
        </w:rPr>
        <w:t xml:space="preserve">Pharmacotherapeutic group: </w:t>
      </w:r>
      <w:r w:rsidRPr="001F6AF1">
        <w:rPr>
          <w:bCs/>
          <w:noProof/>
          <w:sz w:val="24"/>
          <w:szCs w:val="24"/>
          <w:lang w:val="en-GB" w:eastAsia="en-US"/>
        </w:rPr>
        <w:t>Other nervous system drugs, ATC code N07XX08</w:t>
      </w:r>
      <w:r w:rsidR="001F6AF1">
        <w:rPr>
          <w:bCs/>
          <w:noProof/>
          <w:sz w:val="24"/>
          <w:szCs w:val="24"/>
          <w:lang w:val="en-GB" w:eastAsia="en-US"/>
        </w:rPr>
        <w:t>.</w:t>
      </w:r>
    </w:p>
    <w:p w14:paraId="58FAB79E" w14:textId="77777777" w:rsidR="00C3109A" w:rsidRPr="001F6AF1" w:rsidRDefault="00C3109A" w:rsidP="001F6AF1">
      <w:pPr>
        <w:tabs>
          <w:tab w:val="left" w:pos="851"/>
        </w:tabs>
        <w:ind w:left="851"/>
        <w:rPr>
          <w:noProof/>
          <w:sz w:val="24"/>
          <w:szCs w:val="24"/>
          <w:lang w:val="en-GB" w:eastAsia="en-US"/>
        </w:rPr>
      </w:pPr>
    </w:p>
    <w:p w14:paraId="2562FBB8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Mechanism of action</w:t>
      </w:r>
    </w:p>
    <w:p w14:paraId="0033AD28" w14:textId="12254A86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lang w:val="en-US" w:eastAsia="en-US"/>
        </w:rPr>
        <w:t>Tafamidis is a selective stabiliser of TTR. Tafamidis binds to TTR at the thyroxine binding sites,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stabilising the tetramer and slowing dissociation into monomers, the rate-limiting step in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amyloidogenic process.</w:t>
      </w:r>
    </w:p>
    <w:p w14:paraId="59867C65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175F169F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Pharmacodynamic effects</w:t>
      </w:r>
    </w:p>
    <w:p w14:paraId="2B84C1A5" w14:textId="4F87F290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Transthyretin amyloidosis is a severely debilitating condition induced by the accumulation of various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insoluble fibrillar proteins, or amyloid, within the tissues in amounts sufficient to impair normal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function. The dissociation of the transthyretin tetramer to monomers is the rate-limiting step in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pathogenesis of transthyretin amyloidosis. The folded monomers undergo partial denaturation to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produce alternatively folded monomeric amyloidogenic intermediates. These intermediates then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misassemble into soluble oligomers, profilaments, filaments, and amyloid fibrils. Tafamidis binds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negative cooperativity to the two thyroxine binding sites on the native tetrameric form of transthyretin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preventing dissociation into monomers. The inhibition of TTR tetramer dissociation forms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rationale for the use of tafamidis to slow disease progression in stage 1 ATTR-PN patients.</w:t>
      </w:r>
    </w:p>
    <w:p w14:paraId="1F059B34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2D0E165" w14:textId="73775D7F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lastRenderedPageBreak/>
        <w:t>A TTR stabilisation assay was utilised as a pharmacodynamic marker and assessed the stability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TTR tetramer.</w:t>
      </w:r>
    </w:p>
    <w:p w14:paraId="4263B51C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13939F4C" w14:textId="5255799A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Tafamidis stabilised the tetramers of 14 TTR variants tested clinically after once-daily dosing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 xml:space="preserve">tafamidis. Tafamidis also stabilised the TTR tetramer for 25 variants tested </w:t>
      </w:r>
      <w:r w:rsidRPr="001F6AF1">
        <w:rPr>
          <w:i/>
          <w:iCs/>
          <w:sz w:val="24"/>
          <w:szCs w:val="24"/>
          <w:lang w:val="en-US" w:eastAsia="en-US"/>
        </w:rPr>
        <w:t>ex vivo</w:t>
      </w:r>
      <w:r w:rsidRPr="001F6AF1">
        <w:rPr>
          <w:sz w:val="24"/>
          <w:szCs w:val="24"/>
          <w:lang w:val="en-US" w:eastAsia="en-US"/>
        </w:rPr>
        <w:t>, thus demonstrating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TTR stabilisation of 40 amyloidogenic TTR genotypes.</w:t>
      </w:r>
    </w:p>
    <w:p w14:paraId="2152DBF6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02CD2C6F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u w:val="single"/>
          <w:lang w:val="en-GB" w:eastAsia="en-US"/>
        </w:rPr>
      </w:pPr>
      <w:r w:rsidRPr="001F6AF1">
        <w:rPr>
          <w:sz w:val="24"/>
          <w:szCs w:val="24"/>
          <w:u w:val="single"/>
          <w:lang w:val="en-GB" w:eastAsia="en-US"/>
        </w:rPr>
        <w:t>Clinical efficacy and safety</w:t>
      </w:r>
    </w:p>
    <w:p w14:paraId="3BE17F79" w14:textId="63F4C2D0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pivotal study of tafamidis meglumine in stage 1 ATTR-PN patients was an 18-month, multicentre,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randomised, double-blind, placebo-controlled study. The study evaluated the safety and efficacy of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once-daily 20 mg tafamidis meglumine in 128 patients with ATTR-PN with the Val30Met mutation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and primarily stage 1 disease; 126 of the 128 patients did not routinely require assistance with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ambulation. The primary outcome measures were the Neuropathy Impairment Score of the Lower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Limb (NIS-LL – a physician assessment of the neurologic exam of the lower limbs) and the Norfolk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Quality of Life – Diabetic Neuropathy (Norfolk QOL-DN – a patient reported outcome, total quality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of life score [TQOL]). Other outcome measures included composite scores of large nerve fibre (nerve</w:t>
      </w:r>
    </w:p>
    <w:p w14:paraId="28539501" w14:textId="10CC2031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conduction, vibration threshold and heart rate response to deep breathing - HRDB) and small nerve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fibre function (heat pain and cooling threshold and HRDB) and nutritional assessments utilizing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modified body mass index (mBMI – BMI multiplied by serum albumin in g/L). Eighty-six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91 patients completing the 18 month treatment period subsequently enrolled in an open-label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extension study, where they all received once daily 20 mg tafamidis meglumine for an additional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12 months.</w:t>
      </w:r>
    </w:p>
    <w:p w14:paraId="2988033C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6653083" w14:textId="717B51FE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Following 18 months of treatment, more tafamidis meglumine-treated patients were NIS-LL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Responders (change of less than 2 points on NIS-LL) Outcomes for the pre-specified analyses of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primary endpoints are provided in the following table:</w:t>
      </w:r>
    </w:p>
    <w:p w14:paraId="1302D28E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tbl>
      <w:tblPr>
        <w:tblStyle w:val="Tabel-Gitter1"/>
        <w:tblW w:w="9061" w:type="dxa"/>
        <w:tblInd w:w="846" w:type="dxa"/>
        <w:tblLook w:val="04A0" w:firstRow="1" w:lastRow="0" w:firstColumn="1" w:lastColumn="0" w:noHBand="0" w:noVBand="1"/>
      </w:tblPr>
      <w:tblGrid>
        <w:gridCol w:w="5524"/>
        <w:gridCol w:w="1842"/>
        <w:gridCol w:w="1695"/>
      </w:tblGrid>
      <w:tr w:rsidR="00C3109A" w:rsidRPr="00451431" w14:paraId="34B0488B" w14:textId="77777777" w:rsidTr="001F6AF1">
        <w:trPr>
          <w:tblHeader/>
        </w:trPr>
        <w:tc>
          <w:tcPr>
            <w:tcW w:w="9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579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 versus Placebo: NIS-LL and TQOL at Month 18 (Study Fx-005)</w:t>
            </w:r>
          </w:p>
        </w:tc>
      </w:tr>
      <w:tr w:rsidR="00C3109A" w:rsidRPr="00C3109A" w14:paraId="42EE82E9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C18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56D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lang w:eastAsia="en-US"/>
              </w:rPr>
              <w:t>Placebo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56C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lang w:eastAsia="en-US"/>
              </w:rPr>
              <w:t>Tafamidis meglumine</w:t>
            </w:r>
          </w:p>
        </w:tc>
      </w:tr>
      <w:tr w:rsidR="00C3109A" w:rsidRPr="00C3109A" w14:paraId="4E1783D6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045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Pre-specified ITT Analysis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E2A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N=61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2B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N=64</w:t>
            </w:r>
          </w:p>
        </w:tc>
      </w:tr>
      <w:tr w:rsidR="00C3109A" w:rsidRPr="00C3109A" w14:paraId="52F40194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94B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Responders (% patients)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008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29.5 %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2E6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45.3 %</w:t>
            </w:r>
          </w:p>
        </w:tc>
      </w:tr>
      <w:tr w:rsidR="00C3109A" w:rsidRPr="00C3109A" w14:paraId="5DF1D75B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74A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val="fr-FR" w:eastAsia="en-US"/>
              </w:rPr>
            </w:pPr>
            <w:r w:rsidRPr="00C3109A">
              <w:rPr>
                <w:sz w:val="22"/>
                <w:szCs w:val="22"/>
                <w:lang w:val="fr-FR" w:eastAsia="en-US"/>
              </w:rPr>
              <w:t>Difference (Tafamidis meglumine minus Placebo)</w:t>
            </w:r>
          </w:p>
          <w:p w14:paraId="31A0844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7E2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15.8 %</w:t>
            </w:r>
          </w:p>
          <w:p w14:paraId="0BF5560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-0.9 %, 32.5 % (0.068)</w:t>
            </w:r>
          </w:p>
        </w:tc>
      </w:tr>
      <w:tr w:rsidR="00C3109A" w:rsidRPr="00C3109A" w14:paraId="0F069962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9A39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TQOL Change from Baseline LSMean (SE)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403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7.2 (2.36)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711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2.0 (2.31)</w:t>
            </w:r>
          </w:p>
        </w:tc>
      </w:tr>
      <w:tr w:rsidR="00C3109A" w:rsidRPr="00C3109A" w14:paraId="00092FCF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EFE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Difference in LSMeans (SE)</w:t>
            </w:r>
          </w:p>
          <w:p w14:paraId="559E970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027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-5.2 (3.31)</w:t>
            </w:r>
          </w:p>
          <w:p w14:paraId="010D8DE5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-11.8, 1.3 (0.116)</w:t>
            </w:r>
          </w:p>
        </w:tc>
      </w:tr>
      <w:tr w:rsidR="00C3109A" w:rsidRPr="00C3109A" w14:paraId="446EA325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D2B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Pre-specified Efficacy Evaluable Analysis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BCD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39C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N=45</w:t>
            </w:r>
          </w:p>
        </w:tc>
      </w:tr>
      <w:tr w:rsidR="00C3109A" w:rsidRPr="00C3109A" w14:paraId="1C4B758B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951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Responders (% patients)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543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38.1 %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B3E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60.0 %</w:t>
            </w:r>
          </w:p>
        </w:tc>
      </w:tr>
      <w:tr w:rsidR="00C3109A" w:rsidRPr="00C3109A" w14:paraId="2110A11E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1A0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val="fr-FR" w:eastAsia="en-US"/>
              </w:rPr>
            </w:pPr>
            <w:r w:rsidRPr="00C3109A">
              <w:rPr>
                <w:sz w:val="22"/>
                <w:szCs w:val="22"/>
                <w:lang w:val="fr-FR" w:eastAsia="en-US"/>
              </w:rPr>
              <w:t>Difference (Tafamidis meglumine minus Placebo)</w:t>
            </w:r>
          </w:p>
          <w:p w14:paraId="2A996CA5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BC7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21.9 %</w:t>
            </w:r>
          </w:p>
          <w:p w14:paraId="53EF5EB1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1.4 %, 42.4 % (0.041)</w:t>
            </w:r>
          </w:p>
        </w:tc>
      </w:tr>
      <w:tr w:rsidR="00C3109A" w:rsidRPr="00C3109A" w14:paraId="4D792AED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B63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TQOL Change from Baseline LSMean (SE)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5BC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8.9 (3.08)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C34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0.1 (2.98)</w:t>
            </w:r>
          </w:p>
        </w:tc>
      </w:tr>
      <w:tr w:rsidR="00C3109A" w:rsidRPr="00C3109A" w14:paraId="7278BF66" w14:textId="77777777" w:rsidTr="001F6AF1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AAA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Difference in LSMeans (SE)</w:t>
            </w:r>
          </w:p>
          <w:p w14:paraId="494F995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596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95% CI of Difference (p-value)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76A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-8.8 (4.32)</w:t>
            </w:r>
          </w:p>
          <w:p w14:paraId="6BC4A84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-17.4, -0.2 (0.045)</w:t>
            </w:r>
          </w:p>
        </w:tc>
      </w:tr>
    </w:tbl>
    <w:p w14:paraId="1D53A5F7" w14:textId="5AE9CB71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In the pre-specified ITT NIS-LL Responder analysis, patients who discontinued prior to the 18-month time point due to liver transplantation were categorised as non-responders. The pre-specified Efficacy Evaluable Analysis used observed data for those patients who completed the 18–month treatment per protocol.</w:t>
      </w:r>
    </w:p>
    <w:p w14:paraId="2D12BC97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42D9A7C0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secondary endpoints demonstrated that tafamidis meglumine treatment resulted in less</w:t>
      </w:r>
    </w:p>
    <w:p w14:paraId="6BB823C9" w14:textId="09F00D03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lastRenderedPageBreak/>
        <w:t>deterioration of neurologic function and improved nutritional status (mBMI) compared with placebo,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as shown in the following table.</w:t>
      </w:r>
    </w:p>
    <w:p w14:paraId="1241C956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u w:val="single"/>
          <w:lang w:val="en-GB" w:eastAsia="en-US"/>
        </w:rPr>
      </w:pPr>
    </w:p>
    <w:tbl>
      <w:tblPr>
        <w:tblStyle w:val="Tabel-Gitter1"/>
        <w:tblW w:w="9061" w:type="dxa"/>
        <w:tblInd w:w="846" w:type="dxa"/>
        <w:tblLook w:val="04A0" w:firstRow="1" w:lastRow="0" w:firstColumn="1" w:lastColumn="0" w:noHBand="0" w:noVBand="1"/>
      </w:tblPr>
      <w:tblGrid>
        <w:gridCol w:w="3114"/>
        <w:gridCol w:w="1134"/>
        <w:gridCol w:w="1417"/>
        <w:gridCol w:w="1134"/>
        <w:gridCol w:w="2262"/>
      </w:tblGrid>
      <w:tr w:rsidR="00C3109A" w:rsidRPr="00451431" w14:paraId="14CE79BB" w14:textId="77777777" w:rsidTr="001F6AF1">
        <w:trPr>
          <w:tblHeader/>
        </w:trPr>
        <w:tc>
          <w:tcPr>
            <w:tcW w:w="9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B0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Secondary Endpoints Changes from Baseline to Month 18 LSMean (Standard Error)</w:t>
            </w:r>
          </w:p>
          <w:p w14:paraId="20E88F4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(Intent-to-Treat Population) (Study Fx-005)</w:t>
            </w:r>
          </w:p>
        </w:tc>
      </w:tr>
      <w:tr w:rsidR="00C3109A" w:rsidRPr="00C3109A" w14:paraId="0EFBE197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CA7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436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Placebo</w:t>
            </w:r>
          </w:p>
          <w:p w14:paraId="5F99EA68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6F8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</w:t>
            </w:r>
          </w:p>
          <w:p w14:paraId="743D360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N=64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90C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P-value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E61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Tafamidis meglumine % change</w:t>
            </w:r>
          </w:p>
          <w:p w14:paraId="3A955C1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bCs/>
                <w:sz w:val="22"/>
                <w:szCs w:val="22"/>
                <w:lang w:eastAsia="en-US"/>
              </w:rPr>
            </w:pPr>
            <w:r w:rsidRPr="00C3109A">
              <w:rPr>
                <w:bCs/>
                <w:sz w:val="22"/>
                <w:szCs w:val="22"/>
                <w:lang w:eastAsia="en-US"/>
              </w:rPr>
              <w:t>relative to placebo</w:t>
            </w:r>
          </w:p>
        </w:tc>
      </w:tr>
      <w:tr w:rsidR="00C3109A" w:rsidRPr="00C3109A" w14:paraId="59A2620B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068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NIS-LL change from BL</w:t>
            </w:r>
          </w:p>
          <w:p w14:paraId="4BA9CE2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598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5.8 (0.96)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9CC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2.8 (0.95)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56BE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0.027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6A9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-52 %</w:t>
            </w:r>
          </w:p>
        </w:tc>
      </w:tr>
      <w:tr w:rsidR="00C3109A" w:rsidRPr="00C3109A" w14:paraId="1B2E0E9E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154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Large Fibre change from BL</w:t>
            </w:r>
          </w:p>
          <w:p w14:paraId="7674A04D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9890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3.2 (0.63)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D06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1.5 (0.62)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2EF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0.066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F6B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-53 %</w:t>
            </w:r>
          </w:p>
        </w:tc>
      </w:tr>
      <w:tr w:rsidR="00C3109A" w:rsidRPr="00C3109A" w14:paraId="702159C5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71D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Small Fibre change from BL</w:t>
            </w:r>
          </w:p>
          <w:p w14:paraId="2663A9B7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8C1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1.6 (0.32)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9064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0.3 (0.31)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DDA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0.005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FFA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-81 %</w:t>
            </w:r>
          </w:p>
        </w:tc>
      </w:tr>
      <w:tr w:rsidR="00C3109A" w:rsidRPr="00C3109A" w14:paraId="6E9019CE" w14:textId="77777777" w:rsidTr="001F6AF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CBEF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mBMI change from BL</w:t>
            </w:r>
          </w:p>
          <w:p w14:paraId="570562EB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LSMean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BC13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ind w:left="-251" w:right="-249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-33.8 (11.8)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CB32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39.3 (11.5)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E9AC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&lt; 0.0001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4146" w14:textId="77777777" w:rsidR="00C3109A" w:rsidRPr="00C3109A" w:rsidRDefault="00C3109A" w:rsidP="00C3109A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  <w:lang w:eastAsia="en-US"/>
              </w:rPr>
            </w:pPr>
            <w:r w:rsidRPr="00C3109A">
              <w:rPr>
                <w:sz w:val="22"/>
                <w:szCs w:val="22"/>
                <w:lang w:eastAsia="en-US"/>
              </w:rPr>
              <w:t>NA</w:t>
            </w:r>
          </w:p>
        </w:tc>
      </w:tr>
    </w:tbl>
    <w:p w14:paraId="293AEBF3" w14:textId="44C404BA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mBMI was derived as the product of serum albumin and Body Mass Index.</w:t>
      </w:r>
    </w:p>
    <w:p w14:paraId="547A8359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Based on repeated measures analysis of variance with change from baseline as the dependent variable, an unstructured covariance matrix, treatment, month and treatment-by-month as fixed effects, and subject as a random effect in the model.</w:t>
      </w:r>
    </w:p>
    <w:p w14:paraId="7B0DBE67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2"/>
          <w:szCs w:val="22"/>
          <w:lang w:val="en-US" w:eastAsia="en-US"/>
        </w:rPr>
      </w:pPr>
      <w:r w:rsidRPr="001F6AF1">
        <w:rPr>
          <w:sz w:val="22"/>
          <w:szCs w:val="22"/>
          <w:lang w:val="en-US" w:eastAsia="en-US"/>
        </w:rPr>
        <w:t>NA=not applicable.</w:t>
      </w:r>
    </w:p>
    <w:p w14:paraId="594E63C9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3FA9957" w14:textId="3DA1EBAE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In the open-label extension study, the rate of change in the NIS-LL during the 12 months of treatment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was similar to that observed in those patients randomised and treated with tafamidis in the previous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double blind 18-month period.</w:t>
      </w:r>
    </w:p>
    <w:p w14:paraId="5FD964E3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4D5DF7F6" w14:textId="06DB243F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effects of tafamidis have been assessed in patients with non-Val30Met ATTR-PN in a supportive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open-label study in 21 patients and a post-marketing observational study in 39 patients. Based on the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results of these studies, the mechanism of action of tafamidis and the results on TTR stabilisation,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tafamidis meglumine is expected to be beneficial in patients with stage 1 ATTR-PN due to mutations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other than Val30Met.</w:t>
      </w:r>
    </w:p>
    <w:p w14:paraId="28FE8311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</w:p>
    <w:p w14:paraId="248028FE" w14:textId="0EB90BB4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US" w:eastAsia="en-US"/>
        </w:rPr>
      </w:pPr>
      <w:r w:rsidRPr="001F6AF1">
        <w:rPr>
          <w:sz w:val="24"/>
          <w:szCs w:val="24"/>
          <w:lang w:val="en-US" w:eastAsia="en-US"/>
        </w:rPr>
        <w:t>The effects of tafamidis have been assessed in a double-blind, placebo-controlled, randomised 3-arm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study in 441 patients with transthyretin amyloid cardiomyopathy (ATTR-CM). The primary analysis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of pooled tafamidis meglumine (20 mg and 80 mg) versus placebo demonstrated a significant</w:t>
      </w:r>
      <w:r w:rsidR="001F6AF1">
        <w:rPr>
          <w:sz w:val="24"/>
          <w:szCs w:val="24"/>
          <w:lang w:val="en-US" w:eastAsia="en-US"/>
        </w:rPr>
        <w:t xml:space="preserve"> </w:t>
      </w:r>
      <w:r w:rsidRPr="001F6AF1">
        <w:rPr>
          <w:sz w:val="24"/>
          <w:szCs w:val="24"/>
          <w:lang w:val="en-US" w:eastAsia="en-US"/>
        </w:rPr>
        <w:t>reduction (p=0.0006) in all-cause mortality and frequency of cardiovascular-related hospitalisations.</w:t>
      </w:r>
    </w:p>
    <w:p w14:paraId="63B16A05" w14:textId="77777777" w:rsidR="00C3109A" w:rsidRPr="001F6AF1" w:rsidRDefault="00C3109A" w:rsidP="001F6AF1">
      <w:pPr>
        <w:tabs>
          <w:tab w:val="left" w:pos="851"/>
        </w:tabs>
        <w:autoSpaceDE w:val="0"/>
        <w:autoSpaceDN w:val="0"/>
        <w:adjustRightInd w:val="0"/>
        <w:ind w:left="851"/>
        <w:rPr>
          <w:sz w:val="24"/>
          <w:szCs w:val="24"/>
          <w:lang w:val="en-GB" w:eastAsia="en-US"/>
        </w:rPr>
      </w:pPr>
    </w:p>
    <w:p w14:paraId="4C54E274" w14:textId="3F0F23BB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A supra-therapeutic, single, 400 mg oral dose of tafamidis solution in healthy volunteers demonstrated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no prolongation of the QTc interval.</w:t>
      </w:r>
    </w:p>
    <w:p w14:paraId="6F804844" w14:textId="77777777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</w:p>
    <w:p w14:paraId="0D318C45" w14:textId="7DDC4535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The European Medicines Agency has waived the obligation to submit the results of studies with the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reference medicinal product containing tafamidis in all subsets of the paediatric population in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transthyretin amyloidosis (see section 4.2 for information on paediatric use).</w:t>
      </w:r>
    </w:p>
    <w:p w14:paraId="40DEF2FB" w14:textId="77777777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</w:p>
    <w:p w14:paraId="0CCEDA29" w14:textId="147F80EB" w:rsidR="00C3109A" w:rsidRPr="001F6AF1" w:rsidRDefault="00C3109A" w:rsidP="001F6AF1">
      <w:pPr>
        <w:numPr>
          <w:ilvl w:val="12"/>
          <w:numId w:val="0"/>
        </w:numPr>
        <w:tabs>
          <w:tab w:val="left" w:pos="851"/>
        </w:tabs>
        <w:ind w:left="851" w:right="-2"/>
        <w:rPr>
          <w:bCs/>
          <w:iCs/>
          <w:sz w:val="24"/>
          <w:szCs w:val="24"/>
          <w:lang w:val="en-GB" w:eastAsia="en-US"/>
        </w:rPr>
      </w:pPr>
      <w:r w:rsidRPr="001F6AF1">
        <w:rPr>
          <w:bCs/>
          <w:iCs/>
          <w:sz w:val="24"/>
          <w:szCs w:val="24"/>
          <w:lang w:val="en-GB" w:eastAsia="en-US"/>
        </w:rPr>
        <w:t>The reference medicinal product containing tafamidis meglumine has been authorised under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‘exceptional circumstances’. This means that due to the rarity of the disease it has not been possible to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obtain complete information on the reference medicinal product. The European Medicines Agency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will review any new information which may become available every year and this SmPC will be</w:t>
      </w:r>
      <w:r w:rsidR="001F6AF1">
        <w:rPr>
          <w:bCs/>
          <w:iCs/>
          <w:sz w:val="24"/>
          <w:szCs w:val="24"/>
          <w:lang w:val="en-GB" w:eastAsia="en-US"/>
        </w:rPr>
        <w:t xml:space="preserve"> </w:t>
      </w:r>
      <w:r w:rsidRPr="001F6AF1">
        <w:rPr>
          <w:bCs/>
          <w:iCs/>
          <w:sz w:val="24"/>
          <w:szCs w:val="24"/>
          <w:lang w:val="en-GB" w:eastAsia="en-US"/>
        </w:rPr>
        <w:t>updated as necessary accordingly to the reference medicinal product SmPC.</w:t>
      </w:r>
    </w:p>
    <w:p w14:paraId="76941575" w14:textId="77777777" w:rsidR="00C3109A" w:rsidRPr="00C3109A" w:rsidRDefault="00C3109A" w:rsidP="00C3109A">
      <w:pPr>
        <w:numPr>
          <w:ilvl w:val="12"/>
          <w:numId w:val="0"/>
        </w:numPr>
        <w:tabs>
          <w:tab w:val="left" w:pos="567"/>
        </w:tabs>
        <w:ind w:right="-2"/>
        <w:rPr>
          <w:iCs/>
          <w:noProof/>
          <w:sz w:val="22"/>
          <w:szCs w:val="22"/>
          <w:lang w:val="en-GB" w:eastAsia="en-US"/>
        </w:rPr>
      </w:pPr>
    </w:p>
    <w:p w14:paraId="5E23140A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02C4A86A" w14:textId="77777777" w:rsidR="007C5D2A" w:rsidRPr="00303008" w:rsidRDefault="007C5D2A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5.2</w:t>
      </w:r>
      <w:r w:rsidRPr="00303008">
        <w:rPr>
          <w:b/>
          <w:sz w:val="24"/>
          <w:szCs w:val="24"/>
          <w:lang w:val="en-GB"/>
        </w:rPr>
        <w:tab/>
        <w:t>Pharmacokinetic properties</w:t>
      </w:r>
      <w:r w:rsidRPr="00303008">
        <w:rPr>
          <w:b/>
          <w:sz w:val="24"/>
          <w:szCs w:val="24"/>
          <w:lang w:val="en-GB"/>
        </w:rPr>
        <w:tab/>
      </w:r>
    </w:p>
    <w:p w14:paraId="0568C182" w14:textId="77777777" w:rsidR="005060DB" w:rsidRDefault="005060DB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3BC260F3" w14:textId="0F56863E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Absorption</w:t>
      </w:r>
    </w:p>
    <w:p w14:paraId="0D2DB20D" w14:textId="170F409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After oral administration of the soft capsule once daily, the maximum peak concentration (C</w:t>
      </w:r>
      <w:r w:rsidRPr="00C3109A">
        <w:rPr>
          <w:sz w:val="24"/>
          <w:szCs w:val="24"/>
          <w:vertAlign w:val="subscript"/>
          <w:lang w:val="en-US"/>
        </w:rPr>
        <w:t>max</w:t>
      </w:r>
      <w:r w:rsidRPr="00C3109A">
        <w:rPr>
          <w:sz w:val="24"/>
          <w:szCs w:val="24"/>
          <w:lang w:val="en-US"/>
        </w:rPr>
        <w:t>) is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achieved within a median time (t</w:t>
      </w:r>
      <w:r w:rsidRPr="00C3109A">
        <w:rPr>
          <w:sz w:val="24"/>
          <w:szCs w:val="24"/>
          <w:vertAlign w:val="subscript"/>
          <w:lang w:val="en-US"/>
        </w:rPr>
        <w:t>max</w:t>
      </w:r>
      <w:r w:rsidRPr="00C3109A">
        <w:rPr>
          <w:sz w:val="24"/>
          <w:szCs w:val="24"/>
          <w:lang w:val="en-US"/>
        </w:rPr>
        <w:t>) of 4 hours after dosing in the fasted state. Concomitant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administration of a high fat, high calorie meal altered the rate of absorption, but not the extent of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absorption. These results support the administration of tafamidis with or without food.</w:t>
      </w:r>
    </w:p>
    <w:p w14:paraId="2D145BD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</w:p>
    <w:p w14:paraId="0113122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Distribution</w:t>
      </w:r>
    </w:p>
    <w:p w14:paraId="53AC48F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Tafamidis is highly protein bound (&gt; 99 %) in plasma. The apparent steady-state volume of</w:t>
      </w:r>
    </w:p>
    <w:p w14:paraId="13783407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distribution is 16 litres.</w:t>
      </w:r>
    </w:p>
    <w:p w14:paraId="0570BEFF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097169F" w14:textId="0FDB090C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The extent of tafamidis binding to plasma proteins has been evaluated using animal and human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plasma. The affinity of tafamidis for TTR is greater than that for albumin. Therefore, in plasma,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is likely to bind preferentially to TTR despite the significantly higher concentration of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albumin (600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 xml:space="preserve">M) relative to TTR (3.6 </w:t>
      </w:r>
      <w:r w:rsidRPr="00C3109A">
        <w:rPr>
          <w:sz w:val="24"/>
          <w:szCs w:val="24"/>
          <w:lang w:val="fr-FR"/>
        </w:rPr>
        <w:t>μ</w:t>
      </w:r>
      <w:r w:rsidRPr="00C3109A">
        <w:rPr>
          <w:sz w:val="24"/>
          <w:szCs w:val="24"/>
          <w:lang w:val="en-US"/>
        </w:rPr>
        <w:t>M).</w:t>
      </w:r>
    </w:p>
    <w:p w14:paraId="2F4B8FF4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00DE5FD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  <w:r w:rsidRPr="00C3109A">
        <w:rPr>
          <w:sz w:val="24"/>
          <w:szCs w:val="24"/>
          <w:u w:val="single"/>
          <w:lang w:val="en-GB"/>
        </w:rPr>
        <w:t>Biotransformation and elimination</w:t>
      </w:r>
    </w:p>
    <w:p w14:paraId="14DED964" w14:textId="538A051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US"/>
        </w:rPr>
        <w:t>There is no explicit evidence of biliary excretion of tafamidis in humans. Based on preclinical data, it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is suggested that tafamidis is metabolised by glucuronidation and excreted via the bile. This route of biotransformation is plausible in humans, as approximately 59 % of the total administered dose is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recovered in faeces, and approximately 22 % recovered in urine. Based on population pharmacokinetic</w:t>
      </w:r>
      <w:r w:rsidR="005060DB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results, the apparent oral clearance of tafamidis meglumine is 0.228 L/h and the population mean half-life is approximately 49 hours.</w:t>
      </w:r>
    </w:p>
    <w:p w14:paraId="44468DA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GB"/>
        </w:rPr>
      </w:pPr>
    </w:p>
    <w:p w14:paraId="61B4D53F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Dose and time linearity</w:t>
      </w:r>
    </w:p>
    <w:p w14:paraId="1C38E292" w14:textId="371CE548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Exposure from once-daily dosing with tafamidis meglumine increased with increasing dose up to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480 mg single dose and multiple doses up to 80 mg/day. In general, increases were proportional or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near proportional to dose and tafamidis clearance was stationary over time.</w:t>
      </w:r>
    </w:p>
    <w:p w14:paraId="4D58C66B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3B86F9A3" w14:textId="6C4E7A33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parameters were similar after single and repeated administration of 20 mg tafamidis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meglumine, indicating a lack of induction or inhibition of tafamidis metabolism.</w:t>
      </w:r>
    </w:p>
    <w:p w14:paraId="4423B4DC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71C3D45C" w14:textId="0165790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Results of once-daily dosing with 15 mg to 60 mg oral solution tafamidis meglumine for 14 days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demonstrated that steady-state was achieved by day 14.</w:t>
      </w:r>
    </w:p>
    <w:p w14:paraId="00B6C46A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7E99B4B3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Special populations</w:t>
      </w:r>
    </w:p>
    <w:p w14:paraId="601569DF" w14:textId="77777777" w:rsidR="005060DB" w:rsidRDefault="005060DB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</w:p>
    <w:p w14:paraId="69B63EF2" w14:textId="2CE1736A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Hepatic impairment</w:t>
      </w:r>
    </w:p>
    <w:p w14:paraId="0F3AF4FC" w14:textId="000C0D1E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data indicated decreased systemic exposure (approximately 40 %) and increased total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clearance (0.52 L/h versus 0.31 L/h) of tafamidis meglumine in patients with moderate hepatic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impairment (Child-Pugh Score of 7-9 inclusive) compared to healthy subjects due to a higher unbound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fraction of tafamidis. As patients with moderate hepatic impairment have lower TTR levels than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healthy subjects, dosage adjustment is not necessary as the stoichiometry of tafamidis with its target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protein TTR would be sufficient for stabilisation of the TTR tetramer. The exposure to tafamidis in</w:t>
      </w:r>
      <w:r w:rsidR="005060DB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patients with severe hepatic impairment is unknown.</w:t>
      </w:r>
    </w:p>
    <w:p w14:paraId="63D52DC1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04492686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lastRenderedPageBreak/>
        <w:t>Renal impairment</w:t>
      </w:r>
    </w:p>
    <w:p w14:paraId="05579B41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Tafamidis has not specifically been evaluated in a dedicated study of patients with renal impairment.</w:t>
      </w:r>
    </w:p>
    <w:p w14:paraId="4C011AD8" w14:textId="1DA446C8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The influence of creatinine clearance on tafamidis pharmacokinetics was evaluated in a population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pharmacokinetic analysis in patients with creatinine clearance greater than 18 mL/min.</w:t>
      </w:r>
    </w:p>
    <w:p w14:paraId="6FAC3CA7" w14:textId="7F3F411F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Pharmacokinetic estimates indicated no difference in apparent oral clearance of tafamidis in patients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with creatinine clearance less than 80 mL/min compared to those with creatinine clearance greater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than or equal to 80 mL/min. Dosage adjustment in patients with renal impairment is considered not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necessary.</w:t>
      </w:r>
    </w:p>
    <w:p w14:paraId="3D9FC575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3566FDD5" w14:textId="77777777" w:rsidR="00C3109A" w:rsidRPr="00C3109A" w:rsidRDefault="00C3109A" w:rsidP="00C3109A">
      <w:pPr>
        <w:tabs>
          <w:tab w:val="left" w:pos="851"/>
        </w:tabs>
        <w:ind w:left="851"/>
        <w:rPr>
          <w:i/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>Elderly</w:t>
      </w:r>
    </w:p>
    <w:p w14:paraId="1C3F2934" w14:textId="58CEDAF4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Based on population pharmacokinetic results, subjects ≥ 65 years had an average 15 % lower estimate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of apparent oral clearance at steady-state compared to subjects less than 65 years old. However, the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difference in clearance results in &lt; 20 % increases in mean C</w:t>
      </w:r>
      <w:r w:rsidRPr="00C3109A">
        <w:rPr>
          <w:iCs/>
          <w:sz w:val="24"/>
          <w:szCs w:val="24"/>
          <w:vertAlign w:val="subscript"/>
          <w:lang w:val="en-US"/>
        </w:rPr>
        <w:t>max</w:t>
      </w:r>
      <w:r w:rsidRPr="00C3109A">
        <w:rPr>
          <w:iCs/>
          <w:sz w:val="24"/>
          <w:szCs w:val="24"/>
          <w:lang w:val="en-US"/>
        </w:rPr>
        <w:t xml:space="preserve"> and AUC compared to younger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subjects and is not clinically significant.</w:t>
      </w:r>
    </w:p>
    <w:p w14:paraId="3E1C7460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64A96176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u w:val="single"/>
          <w:lang w:val="en-US"/>
        </w:rPr>
      </w:pPr>
      <w:r w:rsidRPr="00C3109A">
        <w:rPr>
          <w:iCs/>
          <w:sz w:val="24"/>
          <w:szCs w:val="24"/>
          <w:u w:val="single"/>
          <w:lang w:val="en-US"/>
        </w:rPr>
        <w:t>Pharmacokinetic/pharmacodynamic relationships</w:t>
      </w:r>
    </w:p>
    <w:p w14:paraId="512E4EF0" w14:textId="42ADE434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iCs/>
          <w:sz w:val="24"/>
          <w:szCs w:val="24"/>
          <w:lang w:val="en-US"/>
        </w:rPr>
        <w:t>data indicated that tafamidis does not significantly inhibit cytochrome P450 enzymes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CYP1A2, CYP3A4, CYP3A5, CYP2B6, CYP2C8, CYP2C9, CYP2C19, and CYP2D6. Tafamidis is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not expected to cause clinically relevant drug interaction due to induction of CYP1A2, CYP2B6 or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CYP3A4.</w:t>
      </w:r>
    </w:p>
    <w:p w14:paraId="78973F3A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6FAF8819" w14:textId="5D5CAE6C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/>
          <w:iCs/>
          <w:sz w:val="24"/>
          <w:szCs w:val="24"/>
          <w:lang w:val="en-US"/>
        </w:rPr>
        <w:t xml:space="preserve">In vitro </w:t>
      </w:r>
      <w:r w:rsidRPr="00C3109A">
        <w:rPr>
          <w:iCs/>
          <w:sz w:val="24"/>
          <w:szCs w:val="24"/>
          <w:lang w:val="en-US"/>
        </w:rPr>
        <w:t>studies suggest that it is unlikely tafamidis will cause drug interactions at clinically relevant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concentrations with substrates of UDP glucuronosyltransferase (UGT) systemically. Tafamidis may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inhibit intestinal activities of UGT1A1.</w:t>
      </w:r>
    </w:p>
    <w:p w14:paraId="3C05227E" w14:textId="77777777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</w:p>
    <w:p w14:paraId="2624CFF3" w14:textId="579EB921" w:rsidR="00C3109A" w:rsidRPr="00C3109A" w:rsidRDefault="00C3109A" w:rsidP="00C3109A">
      <w:pPr>
        <w:tabs>
          <w:tab w:val="left" w:pos="851"/>
        </w:tabs>
        <w:ind w:left="851"/>
        <w:rPr>
          <w:iCs/>
          <w:sz w:val="24"/>
          <w:szCs w:val="24"/>
          <w:lang w:val="en-US"/>
        </w:rPr>
      </w:pPr>
      <w:r w:rsidRPr="00C3109A">
        <w:rPr>
          <w:iCs/>
          <w:sz w:val="24"/>
          <w:szCs w:val="24"/>
          <w:lang w:val="en-US"/>
        </w:rPr>
        <w:t>Tafamidis showed a low potential to inhibit Multi-Drug Resistant Protein (MDR1) (also known as P-glycoprotein; P-gp) systemically and in the gastrointestinal (GI) tract, organic cation transporter 2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(OCT2), multidrug and toxin extrusion transporter 1 (MATE1) and MATE2K, organic anion</w:t>
      </w:r>
      <w:r w:rsidR="00342E2F">
        <w:rPr>
          <w:iCs/>
          <w:sz w:val="24"/>
          <w:szCs w:val="24"/>
          <w:lang w:val="en-US"/>
        </w:rPr>
        <w:t xml:space="preserve"> </w:t>
      </w:r>
      <w:r w:rsidRPr="00C3109A">
        <w:rPr>
          <w:iCs/>
          <w:sz w:val="24"/>
          <w:szCs w:val="24"/>
          <w:lang w:val="en-US"/>
        </w:rPr>
        <w:t>transporting polypeptide 1B1 (OATP1B1) and OATP1B3 at clinically relevant concentrations.</w:t>
      </w:r>
    </w:p>
    <w:p w14:paraId="68E5E9EA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74BAB92" w14:textId="77777777" w:rsidR="007C5D2A" w:rsidRPr="00303008" w:rsidRDefault="00180A12" w:rsidP="007C5D2A">
      <w:pPr>
        <w:tabs>
          <w:tab w:val="left" w:pos="851"/>
        </w:tabs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5.3</w:t>
      </w:r>
      <w:r w:rsidRPr="00303008">
        <w:rPr>
          <w:b/>
          <w:sz w:val="24"/>
          <w:szCs w:val="24"/>
          <w:lang w:val="en-GB"/>
        </w:rPr>
        <w:tab/>
        <w:t>Preclinical safety data</w:t>
      </w:r>
    </w:p>
    <w:p w14:paraId="7104E0E7" w14:textId="2F0FA6EF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Nonclinical data revealed no special hazard for humans based on conventional studies of safety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pharmacology, fertility and early embryonic development, genotoxicity and carcinogenic potential. In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repeat-dose toxicity and the carcinogenicity studies, the liver appeared as a target organ for toxicity in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different species tested. Liver effects were seen at exposures approximately ≥2.5 times the human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AUC at steady-state at the clinical dose of 20 mg tafamidis meglumine.</w:t>
      </w:r>
    </w:p>
    <w:p w14:paraId="6335047D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5F9DC15F" w14:textId="1D17664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a developmental toxicity study in rabbits, a slight increase in skeletal malformations and variations,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abortions in few females, reduced embryo-foetal survival, and reduction in foetal weights were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observed at exposures approximately ≥ 7.2 times the human AUC at steady-state at the clinical dose of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20 mg tafamidis meglumine.</w:t>
      </w:r>
    </w:p>
    <w:p w14:paraId="421032C0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5D417EE" w14:textId="6F1A844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In the rat pre- and postnatal development study with tafamidis, decreased pup survival and reduced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pup weights were noted following maternal dose administration during pregnancy and lactation at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doses of 15 and 30 mg/kg/day. Decreased pup weights in males were associated with delayed sexual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maturation (preputial separation) at 15 mg/kg/day. Impaired performance in a water-maze test for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 xml:space="preserve">learning and memory was observed at 15 mg/kg/day. </w:t>
      </w:r>
      <w:r w:rsidRPr="00C3109A">
        <w:rPr>
          <w:sz w:val="24"/>
          <w:szCs w:val="24"/>
          <w:lang w:val="en-US"/>
        </w:rPr>
        <w:lastRenderedPageBreak/>
        <w:t>The NOAEL for viability and growth in the F1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generation offspring following maternal dose administration during pregnancy and lactation with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tafamidis was 5 mg/kg/day (human equivalent dose=0.8 mg/kg/day), a dose approximately 4.6 times</w:t>
      </w:r>
      <w:r w:rsidR="00342E2F">
        <w:rPr>
          <w:sz w:val="24"/>
          <w:szCs w:val="24"/>
          <w:lang w:val="en-US"/>
        </w:rPr>
        <w:t xml:space="preserve"> </w:t>
      </w:r>
      <w:r w:rsidRPr="00C3109A">
        <w:rPr>
          <w:sz w:val="24"/>
          <w:szCs w:val="24"/>
          <w:lang w:val="en-US"/>
        </w:rPr>
        <w:t>the clinical dose of 20 mg tafamidis meglumine.</w:t>
      </w:r>
    </w:p>
    <w:p w14:paraId="1B07BECD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32F7DDD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FFC5463" w14:textId="77777777" w:rsidR="007C5D2A" w:rsidRPr="00303008" w:rsidRDefault="009925C9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</w:t>
      </w:r>
      <w:r w:rsidR="007C5D2A" w:rsidRPr="00303008">
        <w:rPr>
          <w:b/>
          <w:sz w:val="24"/>
          <w:szCs w:val="24"/>
          <w:lang w:val="en-GB"/>
        </w:rPr>
        <w:tab/>
        <w:t>PHARMACEUTICAL PARTICULARS</w:t>
      </w:r>
    </w:p>
    <w:p w14:paraId="2E3E3049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2CF1D97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6.1</w:t>
      </w:r>
      <w:r w:rsidRPr="00303008">
        <w:rPr>
          <w:b/>
          <w:sz w:val="24"/>
          <w:szCs w:val="24"/>
          <w:lang w:val="en-GB"/>
        </w:rPr>
        <w:tab/>
        <w:t>List of excipients</w:t>
      </w:r>
    </w:p>
    <w:p w14:paraId="7068EB7B" w14:textId="77777777" w:rsidR="00C3109A" w:rsidRPr="00C3109A" w:rsidRDefault="00C3109A" w:rsidP="00C3109A">
      <w:pPr>
        <w:tabs>
          <w:tab w:val="left" w:pos="851"/>
        </w:tabs>
        <w:ind w:left="851"/>
        <w:rPr>
          <w:i/>
          <w:sz w:val="24"/>
          <w:szCs w:val="24"/>
          <w:lang w:val="en-GB"/>
        </w:rPr>
      </w:pPr>
    </w:p>
    <w:p w14:paraId="041EBE4E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Capsule shell</w:t>
      </w:r>
    </w:p>
    <w:p w14:paraId="2A776A1D" w14:textId="13527002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Gelatine (E441)</w:t>
      </w:r>
    </w:p>
    <w:p w14:paraId="422EA1B8" w14:textId="5C9FB2F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Glycerol (E422)</w:t>
      </w:r>
    </w:p>
    <w:p w14:paraId="11FED8C1" w14:textId="75A1E7C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Yellow iron oxide (E172)</w:t>
      </w:r>
    </w:p>
    <w:p w14:paraId="78CE0D7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Sorbitol, liquid, partially dehydrated</w:t>
      </w:r>
    </w:p>
    <w:p w14:paraId="13E7BEFD" w14:textId="5F4597A8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Titanium dioxide (E171)</w:t>
      </w:r>
    </w:p>
    <w:p w14:paraId="3C96B645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Water purified</w:t>
      </w:r>
    </w:p>
    <w:p w14:paraId="7CDB3E0B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Lecithin</w:t>
      </w:r>
    </w:p>
    <w:p w14:paraId="01E8290E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427BB7B5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Capsule contents</w:t>
      </w:r>
    </w:p>
    <w:p w14:paraId="1F436862" w14:textId="0BD7E446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Macrogol 400 (E1521)</w:t>
      </w:r>
    </w:p>
    <w:p w14:paraId="780848F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Sorbitan oleate</w:t>
      </w:r>
    </w:p>
    <w:p w14:paraId="70E45C55" w14:textId="745CF58B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Polysorbate 80 (E433)</w:t>
      </w:r>
    </w:p>
    <w:p w14:paraId="03B72E08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256D93D8" w14:textId="77777777" w:rsidR="00C3109A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Printing ink</w:t>
      </w:r>
    </w:p>
    <w:p w14:paraId="77CD7C0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Shellac</w:t>
      </w:r>
    </w:p>
    <w:p w14:paraId="211B8849" w14:textId="2D44C4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Carmine (E120)</w:t>
      </w:r>
    </w:p>
    <w:p w14:paraId="38482279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Simeticone</w:t>
      </w:r>
    </w:p>
    <w:p w14:paraId="425F6083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Propylene Glycol</w:t>
      </w:r>
    </w:p>
    <w:p w14:paraId="15A47519" w14:textId="77777777" w:rsidR="007C5D2A" w:rsidRPr="00303008" w:rsidRDefault="007C5D2A" w:rsidP="003D727E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612CF19C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6.2</w:t>
      </w:r>
      <w:r w:rsidRPr="00303008">
        <w:rPr>
          <w:b/>
          <w:sz w:val="24"/>
          <w:szCs w:val="24"/>
          <w:lang w:val="en-GB"/>
        </w:rPr>
        <w:tab/>
        <w:t>Incompatibilities</w:t>
      </w:r>
    </w:p>
    <w:p w14:paraId="74A2707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Not applicable.</w:t>
      </w:r>
    </w:p>
    <w:p w14:paraId="217A99FF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772901E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6.3</w:t>
      </w:r>
      <w:r w:rsidRPr="00303008">
        <w:rPr>
          <w:b/>
          <w:sz w:val="24"/>
          <w:szCs w:val="24"/>
          <w:lang w:val="en-GB"/>
        </w:rPr>
        <w:tab/>
        <w:t>Shelf</w:t>
      </w:r>
      <w:r w:rsidR="00B45DC5">
        <w:rPr>
          <w:b/>
          <w:sz w:val="24"/>
          <w:szCs w:val="24"/>
          <w:lang w:val="en-GB"/>
        </w:rPr>
        <w:t xml:space="preserve"> </w:t>
      </w:r>
      <w:r w:rsidRPr="00303008">
        <w:rPr>
          <w:b/>
          <w:sz w:val="24"/>
          <w:szCs w:val="24"/>
          <w:lang w:val="en-GB"/>
        </w:rPr>
        <w:t>life</w:t>
      </w:r>
    </w:p>
    <w:p w14:paraId="15193994" w14:textId="4231E385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2 years</w:t>
      </w:r>
      <w:r w:rsidR="00BB540F">
        <w:rPr>
          <w:sz w:val="24"/>
          <w:szCs w:val="24"/>
          <w:lang w:val="en-GB"/>
        </w:rPr>
        <w:t>.</w:t>
      </w:r>
    </w:p>
    <w:p w14:paraId="56A5A8E6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2C4D5D11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6.4</w:t>
      </w:r>
      <w:r w:rsidRPr="00303008">
        <w:rPr>
          <w:b/>
          <w:sz w:val="24"/>
          <w:szCs w:val="24"/>
          <w:lang w:val="en-GB"/>
        </w:rPr>
        <w:tab/>
        <w:t>Special precautions for storage</w:t>
      </w:r>
    </w:p>
    <w:p w14:paraId="33A6C739" w14:textId="7DB89B59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Do not store above 30</w:t>
      </w:r>
      <w:r w:rsidR="00BB540F">
        <w:rPr>
          <w:sz w:val="24"/>
          <w:szCs w:val="24"/>
          <w:lang w:val="en-GB"/>
        </w:rPr>
        <w:t xml:space="preserve"> </w:t>
      </w:r>
      <w:r w:rsidRPr="00C3109A">
        <w:rPr>
          <w:sz w:val="24"/>
          <w:szCs w:val="24"/>
          <w:lang w:val="en-GB"/>
        </w:rPr>
        <w:t>°C</w:t>
      </w:r>
      <w:r w:rsidR="00BB540F">
        <w:rPr>
          <w:sz w:val="24"/>
          <w:szCs w:val="24"/>
          <w:lang w:val="en-GB"/>
        </w:rPr>
        <w:t>.</w:t>
      </w:r>
    </w:p>
    <w:p w14:paraId="021C5F09" w14:textId="77777777" w:rsidR="007C5D2A" w:rsidRPr="00303008" w:rsidRDefault="007C5D2A" w:rsidP="003E0341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157685C8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6.5</w:t>
      </w:r>
      <w:r w:rsidRPr="00303008">
        <w:rPr>
          <w:b/>
          <w:sz w:val="24"/>
          <w:szCs w:val="24"/>
          <w:lang w:val="en-GB"/>
        </w:rPr>
        <w:tab/>
        <w:t>Nature and contents of container</w:t>
      </w:r>
    </w:p>
    <w:p w14:paraId="2863CC31" w14:textId="006FFAC3" w:rsidR="00C3109A" w:rsidRPr="00451431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451431">
        <w:rPr>
          <w:sz w:val="24"/>
          <w:szCs w:val="24"/>
          <w:lang w:val="en-US"/>
        </w:rPr>
        <w:t>OPA/Al/PVC – Paper/PET/Al unit-dose perforated blister</w:t>
      </w:r>
      <w:r w:rsidR="00BB540F" w:rsidRPr="00451431">
        <w:rPr>
          <w:sz w:val="24"/>
          <w:szCs w:val="24"/>
          <w:lang w:val="en-US"/>
        </w:rPr>
        <w:t>.</w:t>
      </w:r>
    </w:p>
    <w:p w14:paraId="3A9429B7" w14:textId="77777777" w:rsidR="00BB540F" w:rsidRPr="00451431" w:rsidRDefault="00BB540F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6E4F5428" w14:textId="77777777" w:rsidR="00BB540F" w:rsidRPr="00BB540F" w:rsidRDefault="00C3109A" w:rsidP="00C3109A">
      <w:pPr>
        <w:tabs>
          <w:tab w:val="left" w:pos="851"/>
        </w:tabs>
        <w:ind w:left="851"/>
        <w:rPr>
          <w:sz w:val="24"/>
          <w:szCs w:val="24"/>
          <w:u w:val="single"/>
          <w:lang w:val="en-US"/>
        </w:rPr>
      </w:pPr>
      <w:r w:rsidRPr="00BB540F">
        <w:rPr>
          <w:sz w:val="24"/>
          <w:szCs w:val="24"/>
          <w:u w:val="single"/>
          <w:lang w:val="en-US"/>
        </w:rPr>
        <w:t>Pack sizes</w:t>
      </w:r>
    </w:p>
    <w:p w14:paraId="05F53E11" w14:textId="349976A4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30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 soft capsules and a multipack containing 90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 (3 packs of 30</w:t>
      </w:r>
      <w:r w:rsidR="00BB540F">
        <w:rPr>
          <w:sz w:val="24"/>
          <w:szCs w:val="24"/>
          <w:lang w:val="en-US"/>
        </w:rPr>
        <w:t>×</w:t>
      </w:r>
      <w:r w:rsidRPr="00C3109A">
        <w:rPr>
          <w:sz w:val="24"/>
          <w:szCs w:val="24"/>
          <w:lang w:val="en-US"/>
        </w:rPr>
        <w:t>1) soft</w:t>
      </w:r>
    </w:p>
    <w:p w14:paraId="2C5AD58A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capsules.</w:t>
      </w:r>
    </w:p>
    <w:p w14:paraId="33BECDEC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39EEB8D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C3109A">
        <w:rPr>
          <w:sz w:val="24"/>
          <w:szCs w:val="24"/>
          <w:lang w:val="en-US"/>
        </w:rPr>
        <w:t>Not all pack sizes may be marketed.</w:t>
      </w:r>
    </w:p>
    <w:p w14:paraId="67F78062" w14:textId="77777777" w:rsidR="007C5D2A" w:rsidRPr="00C3109A" w:rsidRDefault="007C5D2A" w:rsidP="003E0341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D050FBD" w14:textId="77777777" w:rsidR="007C5D2A" w:rsidRPr="00303008" w:rsidRDefault="007C5D2A" w:rsidP="007C5D2A">
      <w:pPr>
        <w:ind w:left="851" w:hanging="851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6.6</w:t>
      </w:r>
      <w:r w:rsidRPr="00303008">
        <w:rPr>
          <w:b/>
          <w:sz w:val="24"/>
          <w:szCs w:val="24"/>
          <w:lang w:val="en-GB"/>
        </w:rPr>
        <w:tab/>
        <w:t>Special precautions for disposal and other handling</w:t>
      </w:r>
    </w:p>
    <w:p w14:paraId="7CEBA211" w14:textId="77777777" w:rsidR="00C3109A" w:rsidRPr="00C3109A" w:rsidRDefault="00C3109A" w:rsidP="00C3109A">
      <w:pPr>
        <w:tabs>
          <w:tab w:val="left" w:pos="851"/>
        </w:tabs>
        <w:ind w:left="851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 xml:space="preserve">Any unused medicinal product or waste material should be disposed of in accordance with local requirements. </w:t>
      </w:r>
    </w:p>
    <w:p w14:paraId="462B226A" w14:textId="77777777" w:rsidR="007C5D2A" w:rsidRPr="00303008" w:rsidRDefault="007C5D2A" w:rsidP="00AB4376">
      <w:pPr>
        <w:tabs>
          <w:tab w:val="left" w:pos="851"/>
        </w:tabs>
        <w:ind w:left="851"/>
        <w:rPr>
          <w:sz w:val="24"/>
          <w:szCs w:val="24"/>
          <w:lang w:val="en-GB"/>
        </w:rPr>
      </w:pPr>
    </w:p>
    <w:p w14:paraId="7FD403D6" w14:textId="77777777" w:rsidR="007C5D2A" w:rsidRPr="00303008" w:rsidRDefault="007C5D2A" w:rsidP="007C5D2A">
      <w:pPr>
        <w:tabs>
          <w:tab w:val="left" w:pos="851"/>
        </w:tabs>
        <w:ind w:left="851" w:hanging="851"/>
        <w:jc w:val="both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7.</w:t>
      </w:r>
      <w:r w:rsidRPr="00303008">
        <w:rPr>
          <w:b/>
          <w:sz w:val="24"/>
          <w:szCs w:val="24"/>
          <w:lang w:val="en-GB"/>
        </w:rPr>
        <w:tab/>
        <w:t>MARKETING AUTHORISATION HOLDER</w:t>
      </w:r>
    </w:p>
    <w:p w14:paraId="1E314B0A" w14:textId="77777777" w:rsidR="00C3109A" w:rsidRPr="00C3109A" w:rsidRDefault="00C3109A" w:rsidP="00C3109A">
      <w:pPr>
        <w:tabs>
          <w:tab w:val="left" w:pos="851"/>
        </w:tabs>
        <w:ind w:left="851"/>
        <w:jc w:val="both"/>
        <w:rPr>
          <w:sz w:val="24"/>
          <w:szCs w:val="24"/>
          <w:lang w:val="fr-FR"/>
        </w:rPr>
      </w:pPr>
      <w:r w:rsidRPr="00C3109A">
        <w:rPr>
          <w:sz w:val="24"/>
          <w:szCs w:val="24"/>
          <w:lang w:val="fr-FR"/>
        </w:rPr>
        <w:t>ETHYPHARM</w:t>
      </w:r>
    </w:p>
    <w:p w14:paraId="641886DD" w14:textId="77777777" w:rsidR="00C3109A" w:rsidRPr="00C3109A" w:rsidRDefault="00C3109A" w:rsidP="00C3109A">
      <w:pPr>
        <w:tabs>
          <w:tab w:val="left" w:pos="851"/>
        </w:tabs>
        <w:ind w:left="851"/>
        <w:jc w:val="both"/>
        <w:rPr>
          <w:sz w:val="24"/>
          <w:szCs w:val="24"/>
          <w:lang w:val="fr-FR"/>
        </w:rPr>
      </w:pPr>
      <w:r w:rsidRPr="00C3109A">
        <w:rPr>
          <w:sz w:val="24"/>
          <w:szCs w:val="24"/>
          <w:lang w:val="fr-FR"/>
        </w:rPr>
        <w:t>194 Bureaux de la Colline, Bâtiment D</w:t>
      </w:r>
    </w:p>
    <w:p w14:paraId="1BFAAA06" w14:textId="77777777" w:rsidR="00C3109A" w:rsidRPr="00C3109A" w:rsidRDefault="00C3109A" w:rsidP="00C3109A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92213 Saint-Cloud Cedex</w:t>
      </w:r>
    </w:p>
    <w:p w14:paraId="7A596492" w14:textId="77777777" w:rsidR="00C3109A" w:rsidRPr="00C3109A" w:rsidRDefault="00C3109A" w:rsidP="00C3109A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 w:rsidRPr="00C3109A">
        <w:rPr>
          <w:sz w:val="24"/>
          <w:szCs w:val="24"/>
          <w:lang w:val="en-GB"/>
        </w:rPr>
        <w:t>France</w:t>
      </w:r>
    </w:p>
    <w:p w14:paraId="4B50A2D5" w14:textId="77777777" w:rsidR="007C5D2A" w:rsidRDefault="007C5D2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478CD807" w14:textId="77777777" w:rsidR="007C5D2A" w:rsidRPr="00303008" w:rsidRDefault="007C5D2A" w:rsidP="007C5D2A">
      <w:pPr>
        <w:ind w:left="851" w:hanging="851"/>
        <w:jc w:val="both"/>
        <w:rPr>
          <w:b/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8.</w:t>
      </w:r>
      <w:r w:rsidRPr="00303008">
        <w:rPr>
          <w:b/>
          <w:sz w:val="24"/>
          <w:szCs w:val="24"/>
          <w:lang w:val="en-GB"/>
        </w:rPr>
        <w:tab/>
        <w:t>MARKETING AUTHORISATION NUMBER(S)</w:t>
      </w:r>
    </w:p>
    <w:p w14:paraId="01484E80" w14:textId="766194C1" w:rsidR="007C5D2A" w:rsidRPr="00303008" w:rsidRDefault="00C3109A" w:rsidP="00A85D26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75810</w:t>
      </w:r>
    </w:p>
    <w:p w14:paraId="4DF842B1" w14:textId="77777777" w:rsidR="007C5D2A" w:rsidRPr="00303008" w:rsidRDefault="007C5D2A" w:rsidP="00180A12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48235100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9.</w:t>
      </w:r>
      <w:r w:rsidRPr="00303008">
        <w:rPr>
          <w:b/>
          <w:sz w:val="24"/>
          <w:szCs w:val="24"/>
          <w:lang w:val="en-GB"/>
        </w:rPr>
        <w:tab/>
        <w:t>DATE OF FIRST AUTHORISATION</w:t>
      </w:r>
    </w:p>
    <w:p w14:paraId="0DE743FF" w14:textId="7272E2FC" w:rsidR="007C5D2A" w:rsidRPr="00303008" w:rsidRDefault="00451431" w:rsidP="00A85D26">
      <w:pPr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22 October 2026</w:t>
      </w:r>
    </w:p>
    <w:p w14:paraId="7C283CB0" w14:textId="77777777" w:rsidR="007C5D2A" w:rsidRPr="00303008" w:rsidRDefault="007C5D2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</w:p>
    <w:p w14:paraId="2EAD2ED7" w14:textId="77777777" w:rsidR="007C5D2A" w:rsidRPr="00303008" w:rsidRDefault="007C5D2A" w:rsidP="007C5D2A">
      <w:pPr>
        <w:tabs>
          <w:tab w:val="left" w:pos="851"/>
        </w:tabs>
        <w:jc w:val="both"/>
        <w:rPr>
          <w:sz w:val="24"/>
          <w:szCs w:val="24"/>
          <w:lang w:val="en-GB"/>
        </w:rPr>
      </w:pPr>
      <w:r w:rsidRPr="00303008">
        <w:rPr>
          <w:b/>
          <w:sz w:val="24"/>
          <w:szCs w:val="24"/>
          <w:lang w:val="en-GB"/>
        </w:rPr>
        <w:t>10.</w:t>
      </w:r>
      <w:r w:rsidRPr="00303008">
        <w:rPr>
          <w:b/>
          <w:sz w:val="24"/>
          <w:szCs w:val="24"/>
          <w:lang w:val="en-GB"/>
        </w:rPr>
        <w:tab/>
        <w:t>DATE OF REVISION OF THE TEXT</w:t>
      </w:r>
    </w:p>
    <w:p w14:paraId="44EAAE2B" w14:textId="229ABCBE" w:rsidR="007C5D2A" w:rsidRPr="00303008" w:rsidRDefault="00C3109A" w:rsidP="003E0341">
      <w:pPr>
        <w:tabs>
          <w:tab w:val="left" w:pos="851"/>
        </w:tabs>
        <w:ind w:left="85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-</w:t>
      </w:r>
    </w:p>
    <w:sectPr w:rsidR="007C5D2A" w:rsidRPr="00303008" w:rsidSect="004A3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170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BD74" w14:textId="77777777" w:rsidR="00027AEE" w:rsidRDefault="00027AEE">
      <w:r>
        <w:separator/>
      </w:r>
    </w:p>
  </w:endnote>
  <w:endnote w:type="continuationSeparator" w:id="0">
    <w:p w14:paraId="53EE7D18" w14:textId="77777777" w:rsidR="00027AEE" w:rsidRDefault="0002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BAF90" w14:textId="77777777" w:rsidR="00AC033C" w:rsidRDefault="00AC03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7B20" w14:textId="77777777" w:rsidR="00864538" w:rsidRDefault="00864538">
    <w:pPr>
      <w:pStyle w:val="Sidefod"/>
      <w:pBdr>
        <w:bottom w:val="single" w:sz="6" w:space="1" w:color="auto"/>
      </w:pBdr>
    </w:pPr>
  </w:p>
  <w:p w14:paraId="37CC834C" w14:textId="77777777" w:rsidR="00864538" w:rsidRDefault="00864538">
    <w:pPr>
      <w:pStyle w:val="Sidefod"/>
      <w:tabs>
        <w:tab w:val="clear" w:pos="4819"/>
        <w:tab w:val="left" w:pos="8647"/>
      </w:tabs>
      <w:rPr>
        <w:i/>
        <w:snapToGrid w:val="0"/>
        <w:sz w:val="18"/>
      </w:rPr>
    </w:pPr>
  </w:p>
  <w:p w14:paraId="3BD5BA13" w14:textId="11126459" w:rsidR="00864538" w:rsidRDefault="00E36A80" w:rsidP="00AC033C">
    <w:pPr>
      <w:pStyle w:val="Sidefod"/>
      <w:tabs>
        <w:tab w:val="clear" w:pos="4819"/>
        <w:tab w:val="left" w:pos="8364"/>
      </w:tabs>
      <w:rPr>
        <w:i/>
        <w:sz w:val="18"/>
      </w:rPr>
    </w:pP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FILENAME </w:instrText>
    </w:r>
    <w:r>
      <w:rPr>
        <w:i/>
        <w:snapToGrid w:val="0"/>
        <w:sz w:val="18"/>
      </w:rPr>
      <w:fldChar w:fldCharType="separate"/>
    </w:r>
    <w:r w:rsidR="00C3109A">
      <w:rPr>
        <w:i/>
        <w:noProof/>
        <w:snapToGrid w:val="0"/>
        <w:sz w:val="18"/>
      </w:rPr>
      <w:t>Tafamidis Meglumin Ethypharm, bløde kapsler 20 mg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ab/>
      <w:t xml:space="preserve">Page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PAGE </w:instrText>
    </w:r>
    <w:r>
      <w:rPr>
        <w:i/>
        <w:snapToGrid w:val="0"/>
        <w:sz w:val="18"/>
      </w:rPr>
      <w:fldChar w:fldCharType="separate"/>
    </w:r>
    <w:r w:rsidR="00AC033C">
      <w:rPr>
        <w:i/>
        <w:noProof/>
        <w:snapToGrid w:val="0"/>
        <w:sz w:val="18"/>
      </w:rPr>
      <w:t>1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 xml:space="preserve"> of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NUMPAGES </w:instrText>
    </w:r>
    <w:r>
      <w:rPr>
        <w:i/>
        <w:snapToGrid w:val="0"/>
        <w:sz w:val="18"/>
      </w:rPr>
      <w:fldChar w:fldCharType="separate"/>
    </w:r>
    <w:r w:rsidR="00AC033C">
      <w:rPr>
        <w:i/>
        <w:noProof/>
        <w:snapToGrid w:val="0"/>
        <w:sz w:val="18"/>
      </w:rPr>
      <w:t>3</w:t>
    </w:r>
    <w:r>
      <w:rPr>
        <w:i/>
        <w:snapToGrid w:val="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E3B2" w14:textId="77777777" w:rsidR="00864538" w:rsidRDefault="00864538">
    <w:pPr>
      <w:pStyle w:val="Sidefod"/>
      <w:pBdr>
        <w:bottom w:val="single" w:sz="6" w:space="1" w:color="auto"/>
      </w:pBdr>
      <w:tabs>
        <w:tab w:val="clear" w:pos="4819"/>
        <w:tab w:val="left" w:pos="8789"/>
      </w:tabs>
      <w:rPr>
        <w:i/>
        <w:snapToGrid w:val="0"/>
        <w:sz w:val="18"/>
      </w:rPr>
    </w:pPr>
  </w:p>
  <w:p w14:paraId="56E41867" w14:textId="77777777" w:rsidR="00864538" w:rsidRDefault="00864538">
    <w:pPr>
      <w:pStyle w:val="Sidefod"/>
      <w:tabs>
        <w:tab w:val="clear" w:pos="4819"/>
        <w:tab w:val="left" w:pos="8789"/>
      </w:tabs>
      <w:rPr>
        <w:i/>
        <w:snapToGrid w:val="0"/>
        <w:sz w:val="18"/>
      </w:rPr>
    </w:pPr>
  </w:p>
  <w:p w14:paraId="07890143" w14:textId="695DF2CF" w:rsidR="00864538" w:rsidRDefault="00E36A80">
    <w:pPr>
      <w:pStyle w:val="Sidefod"/>
      <w:tabs>
        <w:tab w:val="clear" w:pos="4819"/>
        <w:tab w:val="left" w:pos="8647"/>
      </w:tabs>
      <w:rPr>
        <w:i/>
        <w:sz w:val="18"/>
      </w:rPr>
    </w:pP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FILENAME </w:instrText>
    </w:r>
    <w:r>
      <w:rPr>
        <w:i/>
        <w:snapToGrid w:val="0"/>
        <w:sz w:val="18"/>
      </w:rPr>
      <w:fldChar w:fldCharType="separate"/>
    </w:r>
    <w:r w:rsidR="00C3109A">
      <w:rPr>
        <w:i/>
        <w:noProof/>
        <w:snapToGrid w:val="0"/>
        <w:sz w:val="18"/>
      </w:rPr>
      <w:t>Tafamidis Meglumin Ethypharm, bløde kapsler 20 mg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ab/>
      <w:t xml:space="preserve">Page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PAGE </w:instrText>
    </w:r>
    <w:r>
      <w:rPr>
        <w:i/>
        <w:snapToGrid w:val="0"/>
        <w:sz w:val="18"/>
      </w:rPr>
      <w:fldChar w:fldCharType="separate"/>
    </w:r>
    <w:r w:rsidR="00D97B77">
      <w:rPr>
        <w:i/>
        <w:noProof/>
        <w:snapToGrid w:val="0"/>
        <w:sz w:val="18"/>
      </w:rPr>
      <w:t>1</w:t>
    </w:r>
    <w:r>
      <w:rPr>
        <w:i/>
        <w:snapToGrid w:val="0"/>
        <w:sz w:val="18"/>
      </w:rPr>
      <w:fldChar w:fldCharType="end"/>
    </w:r>
    <w:r w:rsidR="00864538">
      <w:rPr>
        <w:i/>
        <w:snapToGrid w:val="0"/>
        <w:sz w:val="18"/>
      </w:rPr>
      <w:t xml:space="preserve"> of </w:t>
    </w:r>
    <w:r>
      <w:rPr>
        <w:i/>
        <w:snapToGrid w:val="0"/>
        <w:sz w:val="18"/>
      </w:rPr>
      <w:fldChar w:fldCharType="begin"/>
    </w:r>
    <w:r w:rsidR="00864538">
      <w:rPr>
        <w:i/>
        <w:snapToGrid w:val="0"/>
        <w:sz w:val="18"/>
      </w:rPr>
      <w:instrText xml:space="preserve"> NUMPAGES </w:instrText>
    </w:r>
    <w:r>
      <w:rPr>
        <w:i/>
        <w:snapToGrid w:val="0"/>
        <w:sz w:val="18"/>
      </w:rPr>
      <w:fldChar w:fldCharType="separate"/>
    </w:r>
    <w:r w:rsidR="00E1290F">
      <w:rPr>
        <w:i/>
        <w:noProof/>
        <w:snapToGrid w:val="0"/>
        <w:sz w:val="18"/>
      </w:rPr>
      <w:t>3</w:t>
    </w:r>
    <w:r>
      <w:rPr>
        <w:i/>
        <w:snapToGrid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7669" w14:textId="77777777" w:rsidR="00027AEE" w:rsidRDefault="00027AEE">
      <w:r>
        <w:separator/>
      </w:r>
    </w:p>
  </w:footnote>
  <w:footnote w:type="continuationSeparator" w:id="0">
    <w:p w14:paraId="31F971F2" w14:textId="77777777" w:rsidR="00027AEE" w:rsidRDefault="0002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77AA" w14:textId="77777777" w:rsidR="00AC033C" w:rsidRDefault="00AC033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1C6D" w14:textId="77777777" w:rsidR="00864538" w:rsidRDefault="000D3C9D">
    <w:pPr>
      <w:pStyle w:val="Sidehoved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A8A7" w14:textId="77777777" w:rsidR="00AC033C" w:rsidRDefault="00AC033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A86"/>
    <w:multiLevelType w:val="multilevel"/>
    <w:tmpl w:val="D4ECF4E0"/>
    <w:lvl w:ilvl="0">
      <w:start w:val="4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1" w15:restartNumberingAfterBreak="0">
    <w:nsid w:val="03C2602A"/>
    <w:multiLevelType w:val="hybridMultilevel"/>
    <w:tmpl w:val="EC8C595A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9BE6F9D"/>
    <w:multiLevelType w:val="multilevel"/>
    <w:tmpl w:val="5D748B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num w:numId="1" w16cid:durableId="1515922694">
    <w:abstractNumId w:val="2"/>
  </w:num>
  <w:num w:numId="2" w16cid:durableId="1007639785">
    <w:abstractNumId w:val="0"/>
  </w:num>
  <w:num w:numId="3" w16cid:durableId="1086805281">
    <w:abstractNumId w:val="3"/>
  </w:num>
  <w:num w:numId="4" w16cid:durableId="92722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0E"/>
    <w:rsid w:val="00027AEE"/>
    <w:rsid w:val="00056601"/>
    <w:rsid w:val="000C3846"/>
    <w:rsid w:val="000C6218"/>
    <w:rsid w:val="000D3C9D"/>
    <w:rsid w:val="000F0D47"/>
    <w:rsid w:val="001242DE"/>
    <w:rsid w:val="00180A12"/>
    <w:rsid w:val="001F6AF1"/>
    <w:rsid w:val="00214331"/>
    <w:rsid w:val="00214CF4"/>
    <w:rsid w:val="00281F03"/>
    <w:rsid w:val="0029458A"/>
    <w:rsid w:val="002A1587"/>
    <w:rsid w:val="002B27C5"/>
    <w:rsid w:val="002F6D9C"/>
    <w:rsid w:val="00303008"/>
    <w:rsid w:val="00342E2F"/>
    <w:rsid w:val="00373B55"/>
    <w:rsid w:val="003D727E"/>
    <w:rsid w:val="003E0341"/>
    <w:rsid w:val="003E325D"/>
    <w:rsid w:val="003E3263"/>
    <w:rsid w:val="003E3402"/>
    <w:rsid w:val="003F4736"/>
    <w:rsid w:val="00401B49"/>
    <w:rsid w:val="0042292D"/>
    <w:rsid w:val="004260C3"/>
    <w:rsid w:val="00437D5B"/>
    <w:rsid w:val="00440254"/>
    <w:rsid w:val="00451431"/>
    <w:rsid w:val="004860D3"/>
    <w:rsid w:val="004A3BF4"/>
    <w:rsid w:val="004A5DB3"/>
    <w:rsid w:val="005060DB"/>
    <w:rsid w:val="005152D9"/>
    <w:rsid w:val="00533AD4"/>
    <w:rsid w:val="00534849"/>
    <w:rsid w:val="00560102"/>
    <w:rsid w:val="00562EA1"/>
    <w:rsid w:val="005A498B"/>
    <w:rsid w:val="005C7F82"/>
    <w:rsid w:val="00617BB8"/>
    <w:rsid w:val="006207FF"/>
    <w:rsid w:val="00680052"/>
    <w:rsid w:val="00683267"/>
    <w:rsid w:val="006844E9"/>
    <w:rsid w:val="006B3847"/>
    <w:rsid w:val="0075453D"/>
    <w:rsid w:val="007A4CC6"/>
    <w:rsid w:val="007C3623"/>
    <w:rsid w:val="007C5D2A"/>
    <w:rsid w:val="007F1E00"/>
    <w:rsid w:val="00827444"/>
    <w:rsid w:val="008400E3"/>
    <w:rsid w:val="00864538"/>
    <w:rsid w:val="00873B4F"/>
    <w:rsid w:val="008A24F6"/>
    <w:rsid w:val="008E51AE"/>
    <w:rsid w:val="008F2F8C"/>
    <w:rsid w:val="009925C9"/>
    <w:rsid w:val="00A179D0"/>
    <w:rsid w:val="00A358A3"/>
    <w:rsid w:val="00A46747"/>
    <w:rsid w:val="00A80446"/>
    <w:rsid w:val="00A85D26"/>
    <w:rsid w:val="00A9153A"/>
    <w:rsid w:val="00AB4376"/>
    <w:rsid w:val="00AC033C"/>
    <w:rsid w:val="00AD2E36"/>
    <w:rsid w:val="00B45DC5"/>
    <w:rsid w:val="00BB540F"/>
    <w:rsid w:val="00BD3490"/>
    <w:rsid w:val="00C26226"/>
    <w:rsid w:val="00C3109A"/>
    <w:rsid w:val="00C3571D"/>
    <w:rsid w:val="00C54F0B"/>
    <w:rsid w:val="00C82621"/>
    <w:rsid w:val="00CB1423"/>
    <w:rsid w:val="00CE5CE3"/>
    <w:rsid w:val="00D02508"/>
    <w:rsid w:val="00D2670E"/>
    <w:rsid w:val="00D778CC"/>
    <w:rsid w:val="00D82FE9"/>
    <w:rsid w:val="00D97B77"/>
    <w:rsid w:val="00DB6A85"/>
    <w:rsid w:val="00DF0048"/>
    <w:rsid w:val="00E06B32"/>
    <w:rsid w:val="00E1290F"/>
    <w:rsid w:val="00E36A80"/>
    <w:rsid w:val="00EB21D7"/>
    <w:rsid w:val="00EE3EB7"/>
    <w:rsid w:val="00F57E16"/>
    <w:rsid w:val="00F60336"/>
    <w:rsid w:val="00FD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3C7B0"/>
  <w15:chartTrackingRefBased/>
  <w15:docId w15:val="{2BE04E2E-B76D-42F3-9BCF-4D562901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B55"/>
    <w:rPr>
      <w:sz w:val="23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rsid w:val="00373B55"/>
    <w:pPr>
      <w:jc w:val="center"/>
    </w:pPr>
    <w:rPr>
      <w:b/>
      <w:sz w:val="24"/>
    </w:rPr>
  </w:style>
  <w:style w:type="paragraph" w:styleId="Sidehoved">
    <w:name w:val="header"/>
    <w:basedOn w:val="Normal"/>
    <w:rsid w:val="00373B55"/>
    <w:pPr>
      <w:tabs>
        <w:tab w:val="center" w:pos="4819"/>
        <w:tab w:val="right" w:pos="9638"/>
      </w:tabs>
    </w:pPr>
    <w:rPr>
      <w:sz w:val="24"/>
    </w:rPr>
  </w:style>
  <w:style w:type="paragraph" w:styleId="Sidefod">
    <w:name w:val="footer"/>
    <w:basedOn w:val="Normal"/>
    <w:rsid w:val="00373B55"/>
    <w:pPr>
      <w:tabs>
        <w:tab w:val="center" w:pos="4819"/>
        <w:tab w:val="right" w:pos="9638"/>
      </w:tabs>
    </w:pPr>
    <w:rPr>
      <w:sz w:val="24"/>
    </w:rPr>
  </w:style>
  <w:style w:type="character" w:styleId="Sidetal">
    <w:name w:val="page number"/>
    <w:basedOn w:val="Standardskrifttypeiafsnit"/>
    <w:rsid w:val="00373B55"/>
  </w:style>
  <w:style w:type="character" w:styleId="Kommentarhenvisning">
    <w:name w:val="annotation reference"/>
    <w:basedOn w:val="Standardskrifttypeiafsnit"/>
    <w:semiHidden/>
    <w:rsid w:val="00373B55"/>
    <w:rPr>
      <w:sz w:val="16"/>
    </w:rPr>
  </w:style>
  <w:style w:type="paragraph" w:styleId="Kommentartekst">
    <w:name w:val="annotation text"/>
    <w:basedOn w:val="Normal"/>
    <w:link w:val="KommentartekstTegn"/>
    <w:semiHidden/>
    <w:rsid w:val="00373B55"/>
    <w:rPr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A5DB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A5DB3"/>
    <w:rPr>
      <w:rFonts w:ascii="Tahoma" w:hAnsi="Tahoma" w:cs="Tahoma"/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B4F"/>
    <w:rPr>
      <w:b/>
      <w:bCs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873B4F"/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B4F"/>
    <w:rPr>
      <w:b/>
      <w:bCs/>
    </w:rPr>
  </w:style>
  <w:style w:type="table" w:styleId="Tabel-Gitter">
    <w:name w:val="Table Grid"/>
    <w:basedOn w:val="Tabel-Normal"/>
    <w:uiPriority w:val="59"/>
    <w:rsid w:val="00C31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next w:val="Tabel-Gitter"/>
    <w:rsid w:val="00C3109A"/>
    <w:rPr>
      <w:rFonts w:eastAsia="SimSun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QW_Docs\GOD\docs\National\LGO-RKE-REG%20006-01-SKB%20SPC%20Hum%20skabelon%20-%20engelsk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LGO-RKE-REG 006-01-SKB SPC Hum skabelon - engelsk</Template>
  <TotalTime>37</TotalTime>
  <Pages>11</Pages>
  <Words>3443</Words>
  <Characters>21006</Characters>
  <Application>Microsoft Office Word</Application>
  <DocSecurity>0</DocSecurity>
  <Lines>175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SPC Hum skabelon - engelsk</vt:lpstr>
    </vt:vector>
  </TitlesOfParts>
  <Company/>
  <LinksUpToDate>false</LinksUpToDate>
  <CharactersWithSpaces>24401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Thy Iversen</dc:creator>
  <cp:keywords/>
  <dc:description>2026031208 mt</dc:description>
  <cp:lastModifiedBy>Hanne Thy Iversen</cp:lastModifiedBy>
  <cp:revision>9</cp:revision>
  <cp:lastPrinted>2006-02-24T09:31:00Z</cp:lastPrinted>
  <dcterms:created xsi:type="dcterms:W3CDTF">2026-10-22T08:48:00Z</dcterms:created>
  <dcterms:modified xsi:type="dcterms:W3CDTF">2026-10-22T11:30:00Z</dcterms:modified>
</cp:coreProperties>
</file>