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AA321" w14:textId="77777777" w:rsidR="004A3BF4" w:rsidRPr="00303008" w:rsidRDefault="00056601" w:rsidP="004A3BF4">
      <w:pPr>
        <w:rPr>
          <w:sz w:val="24"/>
          <w:szCs w:val="24"/>
          <w:lang w:val="en-GB"/>
        </w:rPr>
      </w:pPr>
      <w:r w:rsidRPr="00303008">
        <w:rPr>
          <w:noProof/>
          <w:sz w:val="24"/>
          <w:szCs w:val="24"/>
          <w:lang w:val="en-GB"/>
        </w:rPr>
        <w:drawing>
          <wp:inline distT="0" distB="0" distL="0" distR="0" wp14:anchorId="0E370769" wp14:editId="7023F8F8">
            <wp:extent cx="2428875" cy="685800"/>
            <wp:effectExtent l="0" t="0" r="9525" b="0"/>
            <wp:docPr id="1" name="Billede 3" descr="C:\Users\marh\AppData\Local\Microsoft\Windows\Temporary Internet Files\Content.Outlook\3DQ1N8R9\LMST_auto_s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3" descr="C:\Users\marh\AppData\Local\Microsoft\Windows\Temporary Internet Files\Content.Outlook\3DQ1N8R9\LMST_auto_sto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10886" w14:textId="77777777" w:rsidR="006B3847" w:rsidRPr="00303008" w:rsidRDefault="006B3847" w:rsidP="006B3847">
      <w:pPr>
        <w:rPr>
          <w:sz w:val="24"/>
          <w:szCs w:val="24"/>
          <w:lang w:val="en-GB"/>
        </w:rPr>
      </w:pPr>
    </w:p>
    <w:p w14:paraId="4DA0C6DC" w14:textId="39C5D5A0" w:rsidR="006B3847" w:rsidRPr="00303008" w:rsidRDefault="006B3847" w:rsidP="006B3847">
      <w:pPr>
        <w:tabs>
          <w:tab w:val="right" w:pos="9356"/>
        </w:tabs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ab/>
      </w:r>
      <w:r w:rsidR="000F1992">
        <w:rPr>
          <w:b/>
          <w:sz w:val="24"/>
          <w:szCs w:val="24"/>
          <w:lang w:val="en-GB"/>
        </w:rPr>
        <w:t>30 October 2026</w:t>
      </w:r>
    </w:p>
    <w:p w14:paraId="2BF9B905" w14:textId="77777777" w:rsidR="006B3847" w:rsidRPr="00303008" w:rsidRDefault="006B3847" w:rsidP="006B3847">
      <w:pPr>
        <w:rPr>
          <w:sz w:val="24"/>
          <w:szCs w:val="24"/>
          <w:lang w:val="en-GB"/>
        </w:rPr>
      </w:pPr>
    </w:p>
    <w:p w14:paraId="263BB927" w14:textId="77777777" w:rsidR="007C5D2A" w:rsidRPr="00303008" w:rsidRDefault="007C5D2A" w:rsidP="007C5D2A">
      <w:pPr>
        <w:rPr>
          <w:sz w:val="24"/>
          <w:szCs w:val="24"/>
          <w:lang w:val="en-GB"/>
        </w:rPr>
      </w:pPr>
    </w:p>
    <w:p w14:paraId="5C3AD9D1" w14:textId="77777777" w:rsidR="007C5D2A" w:rsidRPr="00303008" w:rsidRDefault="007C5D2A" w:rsidP="007C5D2A">
      <w:pPr>
        <w:rPr>
          <w:sz w:val="24"/>
          <w:szCs w:val="24"/>
          <w:lang w:val="en-GB"/>
        </w:rPr>
      </w:pPr>
    </w:p>
    <w:p w14:paraId="58C32029" w14:textId="77777777" w:rsidR="007C5D2A" w:rsidRPr="00303008" w:rsidRDefault="007C5D2A" w:rsidP="007C5D2A">
      <w:pPr>
        <w:jc w:val="center"/>
        <w:rPr>
          <w:b/>
          <w:sz w:val="24"/>
          <w:szCs w:val="24"/>
          <w:lang w:val="en-GB"/>
        </w:rPr>
      </w:pPr>
      <w:bookmarkStart w:id="0" w:name="_Hlk49158549"/>
      <w:r w:rsidRPr="00303008">
        <w:rPr>
          <w:b/>
          <w:sz w:val="24"/>
          <w:szCs w:val="24"/>
          <w:lang w:val="en-GB"/>
        </w:rPr>
        <w:t>SUMMARY OF PRODUCT CHARACTERISTICS</w:t>
      </w:r>
    </w:p>
    <w:bookmarkEnd w:id="0"/>
    <w:p w14:paraId="50B59AB0" w14:textId="77777777" w:rsidR="007C5D2A" w:rsidRPr="00303008" w:rsidRDefault="007C5D2A" w:rsidP="007C5D2A">
      <w:pPr>
        <w:jc w:val="center"/>
        <w:rPr>
          <w:sz w:val="24"/>
          <w:szCs w:val="24"/>
          <w:lang w:val="en-GB"/>
        </w:rPr>
      </w:pPr>
    </w:p>
    <w:p w14:paraId="61FC2AF3" w14:textId="77777777" w:rsidR="007C5D2A" w:rsidRPr="00303008" w:rsidRDefault="007C5D2A" w:rsidP="007C5D2A">
      <w:pPr>
        <w:jc w:val="center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for</w:t>
      </w:r>
    </w:p>
    <w:p w14:paraId="2208A464" w14:textId="77777777" w:rsidR="007C5D2A" w:rsidRPr="00303008" w:rsidRDefault="007C5D2A" w:rsidP="00D2670E">
      <w:pPr>
        <w:jc w:val="center"/>
        <w:rPr>
          <w:sz w:val="24"/>
          <w:szCs w:val="24"/>
          <w:lang w:val="en-GB"/>
        </w:rPr>
      </w:pPr>
    </w:p>
    <w:p w14:paraId="070B1C43" w14:textId="283D3288" w:rsidR="007C5D2A" w:rsidRPr="00303008" w:rsidRDefault="00D2670E" w:rsidP="00D2670E">
      <w:pPr>
        <w:jc w:val="center"/>
        <w:rPr>
          <w:sz w:val="24"/>
          <w:szCs w:val="24"/>
          <w:lang w:val="en-GB"/>
        </w:rPr>
      </w:pPr>
      <w:r w:rsidRPr="00451431">
        <w:rPr>
          <w:b/>
          <w:sz w:val="24"/>
          <w:szCs w:val="24"/>
          <w:lang w:val="en-US"/>
        </w:rPr>
        <w:t>Tafamidis Meglumin "</w:t>
      </w:r>
      <w:r w:rsidR="00322464">
        <w:rPr>
          <w:b/>
          <w:sz w:val="24"/>
          <w:szCs w:val="24"/>
          <w:lang w:val="en-US"/>
        </w:rPr>
        <w:t>Lotus</w:t>
      </w:r>
      <w:r w:rsidRPr="00451431">
        <w:rPr>
          <w:b/>
          <w:sz w:val="24"/>
          <w:szCs w:val="24"/>
          <w:lang w:val="en-US"/>
        </w:rPr>
        <w:t>"</w:t>
      </w:r>
    </w:p>
    <w:p w14:paraId="5047DC1A" w14:textId="77777777" w:rsidR="0042292D" w:rsidRPr="00303008" w:rsidRDefault="0042292D" w:rsidP="007C5D2A">
      <w:pPr>
        <w:jc w:val="both"/>
        <w:rPr>
          <w:sz w:val="24"/>
          <w:szCs w:val="24"/>
          <w:lang w:val="en-GB"/>
        </w:rPr>
      </w:pPr>
    </w:p>
    <w:p w14:paraId="6FD3C043" w14:textId="77777777" w:rsidR="008F2F8C" w:rsidRPr="00303008" w:rsidRDefault="008F2F8C" w:rsidP="008F2F8C">
      <w:pPr>
        <w:tabs>
          <w:tab w:val="left" w:pos="8222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0.</w:t>
      </w:r>
      <w:r w:rsidRPr="00303008">
        <w:rPr>
          <w:b/>
          <w:sz w:val="24"/>
          <w:szCs w:val="24"/>
          <w:lang w:val="en-GB"/>
        </w:rPr>
        <w:tab/>
        <w:t>D.SP.NO.</w:t>
      </w:r>
    </w:p>
    <w:p w14:paraId="2983BCFB" w14:textId="7B985F40" w:rsidR="008F2F8C" w:rsidRPr="00303008" w:rsidRDefault="00D2670E" w:rsidP="008F2F8C">
      <w:pPr>
        <w:tabs>
          <w:tab w:val="left" w:pos="8222"/>
        </w:tabs>
        <w:ind w:left="851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3</w:t>
      </w:r>
      <w:r w:rsidR="00322464">
        <w:rPr>
          <w:sz w:val="24"/>
          <w:szCs w:val="24"/>
          <w:lang w:val="en-GB"/>
        </w:rPr>
        <w:t>4697</w:t>
      </w:r>
    </w:p>
    <w:p w14:paraId="3DF5BFBA" w14:textId="77777777" w:rsidR="007C5D2A" w:rsidRPr="00303008" w:rsidRDefault="007C5D2A" w:rsidP="007C5D2A">
      <w:pPr>
        <w:tabs>
          <w:tab w:val="left" w:pos="851"/>
        </w:tabs>
        <w:jc w:val="both"/>
        <w:rPr>
          <w:sz w:val="24"/>
          <w:szCs w:val="24"/>
          <w:lang w:val="en-GB"/>
        </w:rPr>
      </w:pPr>
    </w:p>
    <w:p w14:paraId="17C9148B" w14:textId="77777777" w:rsidR="007C5D2A" w:rsidRPr="00303008" w:rsidRDefault="009925C9" w:rsidP="007C5D2A">
      <w:pPr>
        <w:tabs>
          <w:tab w:val="left" w:pos="851"/>
        </w:tabs>
        <w:ind w:left="851" w:hanging="851"/>
        <w:rPr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1.</w:t>
      </w:r>
      <w:r w:rsidR="007C5D2A" w:rsidRPr="00303008">
        <w:rPr>
          <w:b/>
          <w:sz w:val="24"/>
          <w:szCs w:val="24"/>
          <w:lang w:val="en-GB"/>
        </w:rPr>
        <w:tab/>
        <w:t>NAME OF THE MEDICINAL PRODUCT</w:t>
      </w:r>
    </w:p>
    <w:p w14:paraId="1039FFA4" w14:textId="73D36DC1" w:rsidR="00D2670E" w:rsidRPr="00D2670E" w:rsidRDefault="00D2670E" w:rsidP="00D2670E">
      <w:pPr>
        <w:tabs>
          <w:tab w:val="left" w:pos="851"/>
        </w:tabs>
        <w:ind w:left="851"/>
        <w:rPr>
          <w:bCs/>
          <w:sz w:val="24"/>
          <w:szCs w:val="24"/>
          <w:lang w:val="en-GB"/>
        </w:rPr>
      </w:pPr>
      <w:r w:rsidRPr="00D2670E">
        <w:rPr>
          <w:bCs/>
          <w:sz w:val="24"/>
          <w:szCs w:val="24"/>
          <w:lang w:val="en-US"/>
        </w:rPr>
        <w:t>Tafamidis Meglumin "</w:t>
      </w:r>
      <w:r w:rsidR="00322464">
        <w:rPr>
          <w:bCs/>
          <w:sz w:val="24"/>
          <w:szCs w:val="24"/>
          <w:lang w:val="en-US"/>
        </w:rPr>
        <w:t>Lotus</w:t>
      </w:r>
      <w:r w:rsidRPr="00D2670E">
        <w:rPr>
          <w:bCs/>
          <w:sz w:val="24"/>
          <w:szCs w:val="24"/>
          <w:lang w:val="en-US"/>
        </w:rPr>
        <w:t>"</w:t>
      </w:r>
    </w:p>
    <w:p w14:paraId="012AF1CD" w14:textId="77777777" w:rsidR="007C5D2A" w:rsidRPr="00D2670E" w:rsidRDefault="007C5D2A" w:rsidP="004A3BF4">
      <w:pPr>
        <w:tabs>
          <w:tab w:val="left" w:pos="851"/>
        </w:tabs>
        <w:ind w:left="851"/>
        <w:rPr>
          <w:bCs/>
          <w:sz w:val="24"/>
          <w:szCs w:val="24"/>
          <w:lang w:val="en-GB"/>
        </w:rPr>
      </w:pPr>
    </w:p>
    <w:p w14:paraId="678AEC5C" w14:textId="77777777" w:rsidR="007C5D2A" w:rsidRPr="00303008" w:rsidRDefault="009925C9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2.</w:t>
      </w:r>
      <w:r w:rsidR="007C5D2A" w:rsidRPr="00303008">
        <w:rPr>
          <w:b/>
          <w:sz w:val="24"/>
          <w:szCs w:val="24"/>
          <w:lang w:val="en-GB"/>
        </w:rPr>
        <w:tab/>
        <w:t>QUALITATIVE AND QUANTITATIVE COMPOSITION</w:t>
      </w:r>
    </w:p>
    <w:p w14:paraId="05263FF2" w14:textId="77777777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D2670E">
        <w:rPr>
          <w:sz w:val="24"/>
          <w:szCs w:val="24"/>
          <w:lang w:val="en-US"/>
        </w:rPr>
        <w:t>Each soft capsule contains 20 mg of micronised tafamidis meglumine equivalent to 12.2 mg tafamidis.</w:t>
      </w:r>
    </w:p>
    <w:p w14:paraId="276FD0F3" w14:textId="77777777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07AFD04C" w14:textId="77777777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D2670E">
        <w:rPr>
          <w:sz w:val="24"/>
          <w:szCs w:val="24"/>
          <w:u w:val="single"/>
          <w:lang w:val="en-GB"/>
        </w:rPr>
        <w:t>Excipients with known effect</w:t>
      </w:r>
    </w:p>
    <w:p w14:paraId="0ED72602" w14:textId="676B1B5A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D2670E">
        <w:rPr>
          <w:sz w:val="24"/>
          <w:szCs w:val="24"/>
          <w:lang w:val="en-US"/>
        </w:rPr>
        <w:t>Each soft capsule contains no more than 34 mg of sorbitol (E420) (in the form of 50.14 mg liquid,</w:t>
      </w:r>
      <w:r w:rsidR="00CE5CE3">
        <w:rPr>
          <w:sz w:val="24"/>
          <w:szCs w:val="24"/>
          <w:lang w:val="en-US"/>
        </w:rPr>
        <w:t xml:space="preserve"> </w:t>
      </w:r>
      <w:r w:rsidRPr="00D2670E">
        <w:rPr>
          <w:sz w:val="24"/>
          <w:szCs w:val="24"/>
          <w:lang w:val="en-US"/>
        </w:rPr>
        <w:t>partially dehydrated sorbitol) and lecithin (soya) in trace amounts.</w:t>
      </w:r>
    </w:p>
    <w:p w14:paraId="6ED9D5FE" w14:textId="77777777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35F3651D" w14:textId="77777777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D2670E">
        <w:rPr>
          <w:sz w:val="24"/>
          <w:szCs w:val="24"/>
          <w:lang w:val="en-GB"/>
        </w:rPr>
        <w:t>For the full list of excipients, see section 6.1.</w:t>
      </w:r>
    </w:p>
    <w:p w14:paraId="59D4F880" w14:textId="77777777" w:rsidR="007C5D2A" w:rsidRPr="00303008" w:rsidRDefault="007C5D2A" w:rsidP="004A3BF4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5A4E1A7E" w14:textId="77777777" w:rsidR="007C5D2A" w:rsidRPr="00303008" w:rsidRDefault="007C5D2A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3.</w:t>
      </w:r>
      <w:r w:rsidRPr="00303008">
        <w:rPr>
          <w:b/>
          <w:sz w:val="24"/>
          <w:szCs w:val="24"/>
          <w:lang w:val="en-GB"/>
        </w:rPr>
        <w:tab/>
        <w:t>PHARMACEUTICAL FORM</w:t>
      </w:r>
    </w:p>
    <w:p w14:paraId="3D59C846" w14:textId="4D3AA85B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D2670E">
        <w:rPr>
          <w:sz w:val="24"/>
          <w:szCs w:val="24"/>
          <w:lang w:val="en-US"/>
        </w:rPr>
        <w:t>Soft capsule</w:t>
      </w:r>
      <w:r w:rsidR="00CE5CE3">
        <w:rPr>
          <w:sz w:val="24"/>
          <w:szCs w:val="24"/>
          <w:lang w:val="en-US"/>
        </w:rPr>
        <w:t>s</w:t>
      </w:r>
      <w:r w:rsidRPr="00D2670E">
        <w:rPr>
          <w:sz w:val="24"/>
          <w:szCs w:val="24"/>
          <w:lang w:val="en-US"/>
        </w:rPr>
        <w:t xml:space="preserve"> (capsule)</w:t>
      </w:r>
    </w:p>
    <w:p w14:paraId="38650231" w14:textId="77777777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47CC0CC9" w14:textId="2BD916E4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D2670E">
        <w:rPr>
          <w:sz w:val="24"/>
          <w:szCs w:val="24"/>
          <w:lang w:val="en-US"/>
        </w:rPr>
        <w:t>Yellow to pale yellow, oblong (approximately 20 mm in length and approximately 8 mm in width)</w:t>
      </w:r>
      <w:r w:rsidR="00CE5CE3">
        <w:rPr>
          <w:sz w:val="24"/>
          <w:szCs w:val="24"/>
          <w:lang w:val="en-US"/>
        </w:rPr>
        <w:t xml:space="preserve"> </w:t>
      </w:r>
      <w:r w:rsidRPr="00D2670E">
        <w:rPr>
          <w:sz w:val="24"/>
          <w:szCs w:val="24"/>
          <w:lang w:val="en-US"/>
        </w:rPr>
        <w:t>soft capsule, imprinted with “LP678” in red. Capsule contains white to pink coloured suspension.</w:t>
      </w:r>
    </w:p>
    <w:p w14:paraId="2580E8B6" w14:textId="77777777" w:rsidR="007C5D2A" w:rsidRPr="00D2670E" w:rsidRDefault="007C5D2A" w:rsidP="004A3BF4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5D6C657C" w14:textId="77777777" w:rsidR="007C5D2A" w:rsidRPr="00303008" w:rsidRDefault="007C5D2A" w:rsidP="004A3BF4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227E2372" w14:textId="77777777" w:rsidR="007C5D2A" w:rsidRPr="00303008" w:rsidRDefault="007C5D2A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</w:t>
      </w:r>
      <w:r w:rsidRPr="00303008">
        <w:rPr>
          <w:b/>
          <w:sz w:val="24"/>
          <w:szCs w:val="24"/>
          <w:lang w:val="en-GB"/>
        </w:rPr>
        <w:tab/>
        <w:t>CLINICAL PARTICULARS</w:t>
      </w:r>
    </w:p>
    <w:p w14:paraId="5C22A308" w14:textId="77777777" w:rsidR="007C5D2A" w:rsidRPr="00303008" w:rsidRDefault="007C5D2A" w:rsidP="004A3BF4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37D542D9" w14:textId="77777777" w:rsidR="007C5D2A" w:rsidRPr="00303008" w:rsidRDefault="007C5D2A" w:rsidP="007C5D2A">
      <w:pPr>
        <w:ind w:left="851" w:hanging="851"/>
        <w:rPr>
          <w:b/>
          <w:sz w:val="24"/>
          <w:szCs w:val="24"/>
          <w:u w:val="single"/>
          <w:lang w:val="en-GB"/>
        </w:rPr>
      </w:pPr>
      <w:r w:rsidRPr="00303008">
        <w:rPr>
          <w:b/>
          <w:sz w:val="24"/>
          <w:szCs w:val="24"/>
          <w:lang w:val="en-GB"/>
        </w:rPr>
        <w:t>4.1</w:t>
      </w:r>
      <w:r w:rsidRPr="00303008">
        <w:rPr>
          <w:b/>
          <w:sz w:val="24"/>
          <w:szCs w:val="24"/>
          <w:lang w:val="en-GB"/>
        </w:rPr>
        <w:tab/>
        <w:t>Therapeutic indications</w:t>
      </w:r>
    </w:p>
    <w:p w14:paraId="41B89FA8" w14:textId="09F872AA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D2670E">
        <w:rPr>
          <w:sz w:val="24"/>
          <w:szCs w:val="24"/>
          <w:lang w:val="en-US"/>
        </w:rPr>
        <w:t>Tafamidis Meglumin "</w:t>
      </w:r>
      <w:r w:rsidR="00322464">
        <w:rPr>
          <w:sz w:val="24"/>
          <w:szCs w:val="24"/>
          <w:lang w:val="en-US"/>
        </w:rPr>
        <w:t>Lotus</w:t>
      </w:r>
      <w:r w:rsidRPr="00D2670E">
        <w:rPr>
          <w:sz w:val="24"/>
          <w:szCs w:val="24"/>
          <w:lang w:val="en-US"/>
        </w:rPr>
        <w:t>" is indicated for the treatment of transthyretin amyloidosis in adult patients with stage 1 symptomatic polyneuropathy to delay peripheral neurologic impairment.</w:t>
      </w:r>
    </w:p>
    <w:p w14:paraId="3A7ECA27" w14:textId="77777777" w:rsidR="007C5D2A" w:rsidRPr="00D2670E" w:rsidRDefault="007C5D2A" w:rsidP="00A85D26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2D1E03E6" w14:textId="77777777" w:rsidR="007C5D2A" w:rsidRPr="00303008" w:rsidRDefault="009925C9" w:rsidP="007C5D2A">
      <w:pPr>
        <w:tabs>
          <w:tab w:val="left" w:pos="851"/>
        </w:tabs>
        <w:ind w:left="851" w:hanging="851"/>
        <w:rPr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4.2</w:t>
      </w:r>
      <w:r w:rsidR="007C5D2A" w:rsidRPr="00303008">
        <w:rPr>
          <w:b/>
          <w:sz w:val="24"/>
          <w:szCs w:val="24"/>
          <w:lang w:val="en-GB"/>
        </w:rPr>
        <w:tab/>
        <w:t>Posology and method of administration</w:t>
      </w:r>
    </w:p>
    <w:p w14:paraId="0F27F70C" w14:textId="10EDDE08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Treatment should be initiated under the supervision of a physician knowledgeable in the management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of patients with transthyretin amyloid polyneuropathy (ATTR-PN).</w:t>
      </w:r>
    </w:p>
    <w:p w14:paraId="0B3D3C56" w14:textId="106B918E" w:rsidR="00CE5CE3" w:rsidRDefault="00CE5CE3">
      <w:pPr>
        <w:rPr>
          <w:sz w:val="24"/>
          <w:szCs w:val="24"/>
          <w:u w:val="single"/>
          <w:lang w:val="en-US"/>
        </w:rPr>
      </w:pPr>
      <w:r>
        <w:rPr>
          <w:sz w:val="24"/>
          <w:szCs w:val="24"/>
          <w:u w:val="single"/>
          <w:lang w:val="en-US"/>
        </w:rPr>
        <w:br w:type="page"/>
      </w:r>
    </w:p>
    <w:p w14:paraId="09BBB45B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</w:p>
    <w:p w14:paraId="474072D4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3109A">
        <w:rPr>
          <w:sz w:val="24"/>
          <w:szCs w:val="24"/>
          <w:u w:val="single"/>
          <w:lang w:val="en-GB"/>
        </w:rPr>
        <w:t>Posology</w:t>
      </w:r>
    </w:p>
    <w:p w14:paraId="0E8202B7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The recommended dose of tafamidis meglumine is 20 mg orally once daily.</w:t>
      </w:r>
    </w:p>
    <w:p w14:paraId="2CAED5D6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4A4E44CA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Tafamidis and tafamidis meglumine are not interchangeable on a per mg basis.</w:t>
      </w:r>
    </w:p>
    <w:p w14:paraId="37B1CF4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3B68AA3C" w14:textId="7331CC8B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 xml:space="preserve">If vomiting occurs after dosing, and the intact </w:t>
      </w:r>
      <w:r w:rsidRPr="00C3109A">
        <w:rPr>
          <w:sz w:val="24"/>
          <w:szCs w:val="24"/>
          <w:lang w:val="en-US"/>
        </w:rPr>
        <w:t>Tafamidis Meglumin "</w:t>
      </w:r>
      <w:r w:rsidR="00322464">
        <w:rPr>
          <w:sz w:val="24"/>
          <w:szCs w:val="24"/>
          <w:lang w:val="en-US"/>
        </w:rPr>
        <w:t>Lotus</w:t>
      </w:r>
      <w:r w:rsidRPr="00C3109A">
        <w:rPr>
          <w:sz w:val="24"/>
          <w:szCs w:val="24"/>
          <w:lang w:val="en-US"/>
        </w:rPr>
        <w:t>"</w:t>
      </w:r>
      <w:r w:rsidRPr="00C3109A">
        <w:rPr>
          <w:sz w:val="24"/>
          <w:szCs w:val="24"/>
          <w:lang w:val="en-GB"/>
        </w:rPr>
        <w:t xml:space="preserve"> capsule is identified, then an additional dose of </w:t>
      </w:r>
      <w:r w:rsidRPr="00C3109A">
        <w:rPr>
          <w:sz w:val="24"/>
          <w:szCs w:val="24"/>
          <w:lang w:val="en-US"/>
        </w:rPr>
        <w:t>Tafamidis Meglumin "</w:t>
      </w:r>
      <w:r w:rsidR="00322464">
        <w:rPr>
          <w:sz w:val="24"/>
          <w:szCs w:val="24"/>
          <w:lang w:val="en-US"/>
        </w:rPr>
        <w:t>Lotus</w:t>
      </w:r>
      <w:r w:rsidRPr="00C3109A">
        <w:rPr>
          <w:sz w:val="24"/>
          <w:szCs w:val="24"/>
          <w:lang w:val="en-US"/>
        </w:rPr>
        <w:t>"</w:t>
      </w:r>
      <w:r w:rsidRPr="00C3109A">
        <w:rPr>
          <w:sz w:val="24"/>
          <w:szCs w:val="24"/>
          <w:lang w:val="en-GB"/>
        </w:rPr>
        <w:t xml:space="preserve"> should be administered if possible. If no capsule is identified, then no additional dose is necessary, with resumption of dosing the next day as usual.</w:t>
      </w:r>
    </w:p>
    <w:p w14:paraId="39578D6C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6ED948F7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3109A">
        <w:rPr>
          <w:sz w:val="24"/>
          <w:szCs w:val="24"/>
          <w:u w:val="single"/>
          <w:lang w:val="en-GB"/>
        </w:rPr>
        <w:t>Special populations</w:t>
      </w:r>
    </w:p>
    <w:p w14:paraId="20D118AE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</w:p>
    <w:p w14:paraId="10AC82E3" w14:textId="77777777" w:rsidR="00C3109A" w:rsidRPr="00C3109A" w:rsidRDefault="00C3109A" w:rsidP="00C3109A">
      <w:pPr>
        <w:tabs>
          <w:tab w:val="left" w:pos="851"/>
        </w:tabs>
        <w:ind w:left="851"/>
        <w:rPr>
          <w:i/>
          <w:iCs/>
          <w:sz w:val="24"/>
          <w:szCs w:val="24"/>
          <w:lang w:val="en-US"/>
        </w:rPr>
      </w:pPr>
      <w:r w:rsidRPr="00C3109A">
        <w:rPr>
          <w:i/>
          <w:iCs/>
          <w:sz w:val="24"/>
          <w:szCs w:val="24"/>
          <w:lang w:val="en-US"/>
        </w:rPr>
        <w:t>Elderly</w:t>
      </w:r>
    </w:p>
    <w:p w14:paraId="4525F05E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No dosage adjustment is required for elderly patients (≥ 65 years) (see section 5.2).</w:t>
      </w:r>
    </w:p>
    <w:p w14:paraId="5B831EF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5046C064" w14:textId="77777777" w:rsidR="00C3109A" w:rsidRPr="00C3109A" w:rsidRDefault="00C3109A" w:rsidP="00C3109A">
      <w:pPr>
        <w:tabs>
          <w:tab w:val="left" w:pos="851"/>
        </w:tabs>
        <w:ind w:left="851"/>
        <w:rPr>
          <w:i/>
          <w:iCs/>
          <w:sz w:val="24"/>
          <w:szCs w:val="24"/>
          <w:lang w:val="en-US"/>
        </w:rPr>
      </w:pPr>
      <w:r w:rsidRPr="00C3109A">
        <w:rPr>
          <w:i/>
          <w:iCs/>
          <w:sz w:val="24"/>
          <w:szCs w:val="24"/>
          <w:lang w:val="en-US"/>
        </w:rPr>
        <w:t>Hepatic and renal impairment</w:t>
      </w:r>
    </w:p>
    <w:p w14:paraId="454FA90D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No dosage adjustment is required for patients with renal or mild and moderate hepatic impairment.</w:t>
      </w:r>
    </w:p>
    <w:p w14:paraId="669CB589" w14:textId="5C30F7BD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Limited data are available in patients with severe renal impairment (creatinine clearance less than or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equal to 30 mL/min). Tafamidis meglumine has not been studied in patients with severe hepatic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impairment and caution is recommended (see section 5.2).</w:t>
      </w:r>
    </w:p>
    <w:p w14:paraId="24ED35CB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3B356B3D" w14:textId="77777777" w:rsidR="00C3109A" w:rsidRPr="00C3109A" w:rsidRDefault="00C3109A" w:rsidP="00C3109A">
      <w:pPr>
        <w:tabs>
          <w:tab w:val="left" w:pos="851"/>
        </w:tabs>
        <w:ind w:left="851"/>
        <w:rPr>
          <w:bCs/>
          <w:i/>
          <w:iCs/>
          <w:sz w:val="24"/>
          <w:szCs w:val="24"/>
          <w:lang w:val="en-GB"/>
        </w:rPr>
      </w:pPr>
      <w:r w:rsidRPr="00C3109A">
        <w:rPr>
          <w:bCs/>
          <w:i/>
          <w:iCs/>
          <w:sz w:val="24"/>
          <w:szCs w:val="24"/>
          <w:lang w:val="en-GB"/>
        </w:rPr>
        <w:t>Paediatric population</w:t>
      </w:r>
    </w:p>
    <w:p w14:paraId="74BCFC8D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There is no relevant use of tafamidis in the paediatric population.</w:t>
      </w:r>
    </w:p>
    <w:p w14:paraId="1131B286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3A9A778D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3109A">
        <w:rPr>
          <w:sz w:val="24"/>
          <w:szCs w:val="24"/>
          <w:u w:val="single"/>
          <w:lang w:val="en-GB"/>
        </w:rPr>
        <w:t xml:space="preserve">Method of administration </w:t>
      </w:r>
    </w:p>
    <w:p w14:paraId="57057E68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Oral use.</w:t>
      </w:r>
    </w:p>
    <w:p w14:paraId="08CF44FC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The soft capsules should be swallowed whole and not crushed or cut (as they contain suspension, see</w:t>
      </w:r>
    </w:p>
    <w:p w14:paraId="12962BED" w14:textId="64C17ECE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section 3). Tafamidis Meglumin "</w:t>
      </w:r>
      <w:r w:rsidR="00322464">
        <w:rPr>
          <w:iCs/>
          <w:sz w:val="24"/>
          <w:szCs w:val="24"/>
          <w:lang w:val="en-US"/>
        </w:rPr>
        <w:t>Lotus</w:t>
      </w:r>
      <w:r w:rsidRPr="00C3109A">
        <w:rPr>
          <w:iCs/>
          <w:sz w:val="24"/>
          <w:szCs w:val="24"/>
          <w:lang w:val="en-US"/>
        </w:rPr>
        <w:t>" may be taken with or without food.</w:t>
      </w:r>
    </w:p>
    <w:p w14:paraId="5192CDF3" w14:textId="77777777" w:rsidR="007C5D2A" w:rsidRPr="00C3109A" w:rsidRDefault="007C5D2A" w:rsidP="00A85D26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07F3D433" w14:textId="77777777" w:rsidR="007C5D2A" w:rsidRPr="00303008" w:rsidRDefault="007C5D2A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4.3</w:t>
      </w:r>
      <w:r w:rsidRPr="00303008">
        <w:rPr>
          <w:b/>
          <w:sz w:val="24"/>
          <w:szCs w:val="24"/>
          <w:lang w:val="en-GB"/>
        </w:rPr>
        <w:tab/>
        <w:t>Contraindications</w:t>
      </w:r>
    </w:p>
    <w:p w14:paraId="7F36AA9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 xml:space="preserve">Hypersensitivity to the active substance, </w:t>
      </w:r>
      <w:r w:rsidRPr="00C3109A">
        <w:rPr>
          <w:sz w:val="24"/>
          <w:szCs w:val="24"/>
          <w:lang w:val="en-US"/>
        </w:rPr>
        <w:t xml:space="preserve">peanuts, soya </w:t>
      </w:r>
      <w:r w:rsidRPr="00C3109A">
        <w:rPr>
          <w:sz w:val="24"/>
          <w:szCs w:val="24"/>
          <w:lang w:val="en-GB"/>
        </w:rPr>
        <w:t>or to any of the excipients listed in section 6.1.</w:t>
      </w:r>
    </w:p>
    <w:p w14:paraId="62EC95C0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2939DBA4" w14:textId="77777777" w:rsidR="007C5D2A" w:rsidRPr="00303008" w:rsidRDefault="007C5D2A" w:rsidP="007C5D2A">
      <w:pPr>
        <w:tabs>
          <w:tab w:val="left" w:pos="851"/>
        </w:tabs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4.4</w:t>
      </w:r>
      <w:r w:rsidRPr="00303008">
        <w:rPr>
          <w:b/>
          <w:sz w:val="24"/>
          <w:szCs w:val="24"/>
          <w:lang w:val="en-GB"/>
        </w:rPr>
        <w:tab/>
        <w:t>Special warnings and precautions for use</w:t>
      </w:r>
    </w:p>
    <w:p w14:paraId="1BBCAB8F" w14:textId="5210E4C9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Women of childbearing potential should use appropriate contraception when taking tafamidis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meglumine and continue to use appropriate contraception for 1 month after stopping treatment with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tafamidis meglumine (see section 4.6).</w:t>
      </w:r>
    </w:p>
    <w:p w14:paraId="300E55B5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1A65DF59" w14:textId="3DFF3681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Tafamidis meglumine should be added to the standard of care for the treatment of patients with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ATTR-PN. Physicians should monitor patients and continue to assess the need for other therapy,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including the need for liver transplantation, as part of this standard of care. As there are no data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available regarding the use of tafamidis meglumine post-liver transplantation, tafamidis meglumine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should be discontinued in patients who undergo liver transplantation.</w:t>
      </w:r>
    </w:p>
    <w:p w14:paraId="51360EE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21E6AF41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Co-administration of tafamidis meglumine with substrates of the breast cancer resistant protein (BCRP) may increase exposure to the BCRP substrate. In case of co-</w:t>
      </w:r>
      <w:r w:rsidRPr="00C3109A">
        <w:rPr>
          <w:sz w:val="24"/>
          <w:szCs w:val="24"/>
          <w:lang w:val="en-GB"/>
        </w:rPr>
        <w:lastRenderedPageBreak/>
        <w:t>administration, patients should be monitored for BCRP substrate related adverse reactions, and dose reduction of the BCRP substrate may be considered (see section 4.5).</w:t>
      </w:r>
    </w:p>
    <w:p w14:paraId="29DE0357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4532F952" w14:textId="77777777" w:rsidR="00C3109A" w:rsidRPr="00CE5CE3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E5CE3">
        <w:rPr>
          <w:sz w:val="24"/>
          <w:szCs w:val="24"/>
          <w:u w:val="single"/>
          <w:lang w:val="en-GB"/>
        </w:rPr>
        <w:t>Excipients</w:t>
      </w:r>
    </w:p>
    <w:p w14:paraId="4F939B06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This medicinal product contains lecithin (soya) (trace amounts) and sorbitol.</w:t>
      </w:r>
    </w:p>
    <w:p w14:paraId="6CAF2605" w14:textId="72DF7B43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US"/>
        </w:rPr>
        <w:t>Tafamidis Meglumin "</w:t>
      </w:r>
      <w:r w:rsidR="00322464">
        <w:rPr>
          <w:sz w:val="24"/>
          <w:szCs w:val="24"/>
          <w:lang w:val="en-US"/>
        </w:rPr>
        <w:t>Lotus</w:t>
      </w:r>
      <w:r w:rsidRPr="00C3109A">
        <w:rPr>
          <w:sz w:val="24"/>
          <w:szCs w:val="24"/>
          <w:lang w:val="en-US"/>
        </w:rPr>
        <w:t>"</w:t>
      </w:r>
      <w:r w:rsidRPr="00C3109A">
        <w:rPr>
          <w:sz w:val="24"/>
          <w:szCs w:val="24"/>
          <w:lang w:val="en-GB"/>
        </w:rPr>
        <w:t xml:space="preserve"> contains soya lecithin (trace amounts). If you are allergic to peanut or soya, do not use this medicinal product.</w:t>
      </w:r>
    </w:p>
    <w:p w14:paraId="16527CCA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4AFA7CD1" w14:textId="1D4839F2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This medicinal product contains not more than 34 mg sorbitol (E420) in each capsule (as 50.14 mg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liquid sorbitol partially dehydrated). Sorbitol is a source of fructose.</w:t>
      </w:r>
    </w:p>
    <w:p w14:paraId="5AC9151D" w14:textId="1B363484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The additive effect of concomitantly administered products containing sorbitol (or fructose) and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dietary intake of sorbitol (or fructose) should be taken into account.</w:t>
      </w:r>
    </w:p>
    <w:p w14:paraId="65A1961D" w14:textId="7AB95B9B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The content of sorbitol in medicinal products for oral use may affect the bioavailability of other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medicinal products for oral use administered concomitantly.</w:t>
      </w:r>
    </w:p>
    <w:p w14:paraId="7C5090F5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39D60FC0" w14:textId="77777777" w:rsidR="007C5D2A" w:rsidRPr="00303008" w:rsidRDefault="007C5D2A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4.5</w:t>
      </w:r>
      <w:r w:rsidRPr="00303008">
        <w:rPr>
          <w:b/>
          <w:sz w:val="24"/>
          <w:szCs w:val="24"/>
          <w:lang w:val="en-GB"/>
        </w:rPr>
        <w:tab/>
        <w:t>Interaction with other medicinal products and other forms of interaction</w:t>
      </w:r>
    </w:p>
    <w:p w14:paraId="1AA382F4" w14:textId="704C7BF5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In a clinical study in healthy volunteers, 20 mg tafamidis meglumine did not induce or inhibit the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cytochrome P450 enzyme CYP3A4.</w:t>
      </w:r>
    </w:p>
    <w:p w14:paraId="0DE37F7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38CC9BA2" w14:textId="562BBEF0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i/>
          <w:iCs/>
          <w:sz w:val="24"/>
          <w:szCs w:val="24"/>
          <w:lang w:val="en-US"/>
        </w:rPr>
        <w:t xml:space="preserve">In vitro </w:t>
      </w:r>
      <w:r w:rsidRPr="00C3109A">
        <w:rPr>
          <w:sz w:val="24"/>
          <w:szCs w:val="24"/>
          <w:lang w:val="en-US"/>
        </w:rPr>
        <w:t xml:space="preserve">tafamidis inhibits the efflux transporter BCRP with IC50=1.16 </w:t>
      </w:r>
      <w:r w:rsidRPr="00C3109A">
        <w:rPr>
          <w:sz w:val="24"/>
          <w:szCs w:val="24"/>
          <w:lang w:val="fr-FR"/>
        </w:rPr>
        <w:t>μ</w:t>
      </w:r>
      <w:r w:rsidRPr="00C3109A">
        <w:rPr>
          <w:sz w:val="24"/>
          <w:szCs w:val="24"/>
          <w:lang w:val="en-US"/>
        </w:rPr>
        <w:t>M and may cause drug-druginteractions at clinically relevant concentrations with substrates of this transporter (e.g. methotrexate,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rosuvastatin, atorvastatin, apixaban, rivaroxaban, imatinib). In a clinical study in healthy participants,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the exposure of the BCRP substrate rosuvastatin increased approximately 2-fold following multiple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daily doses of 61 mg tafamidis. Therefore, patients should be monitored for BCRP substrate related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adverse reactions when used concomitantly with tafamidis. A dose reduction of the BCRP substrate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may be considered (see section 4.4).</w:t>
      </w:r>
    </w:p>
    <w:p w14:paraId="1C7B710B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54270C2F" w14:textId="227B6021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Likewise, tafamidis inhibits the uptake transporters OAT1 and OAT3 (organic anion transporters) with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 xml:space="preserve">IC50=2.9 </w:t>
      </w:r>
      <w:r w:rsidRPr="00C3109A">
        <w:rPr>
          <w:sz w:val="24"/>
          <w:szCs w:val="24"/>
          <w:lang w:val="fr-FR"/>
        </w:rPr>
        <w:t>μ</w:t>
      </w:r>
      <w:r w:rsidRPr="00C3109A">
        <w:rPr>
          <w:sz w:val="24"/>
          <w:szCs w:val="24"/>
          <w:lang w:val="en-US"/>
        </w:rPr>
        <w:t xml:space="preserve">M and IC50=2.36 </w:t>
      </w:r>
      <w:r w:rsidRPr="00C3109A">
        <w:rPr>
          <w:sz w:val="24"/>
          <w:szCs w:val="24"/>
          <w:lang w:val="fr-FR"/>
        </w:rPr>
        <w:t>μ</w:t>
      </w:r>
      <w:r w:rsidRPr="00C3109A">
        <w:rPr>
          <w:sz w:val="24"/>
          <w:szCs w:val="24"/>
          <w:lang w:val="en-US"/>
        </w:rPr>
        <w:t>M, respectively, and may cause drug-drug interactions at clinically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relevant concentrations with substrates of these transporters (e.g. non-steroidal anti-inflammatory drugs, bumetanide, furosemide, lamivudine, methotrexate, oseltamivir, tenofovir, ganciclovir,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 xml:space="preserve">adefovir, cidofovir, zidovudine, zalcitabine). Based on </w:t>
      </w:r>
      <w:r w:rsidRPr="00C3109A">
        <w:rPr>
          <w:i/>
          <w:iCs/>
          <w:sz w:val="24"/>
          <w:szCs w:val="24"/>
          <w:lang w:val="en-US"/>
        </w:rPr>
        <w:t xml:space="preserve">in vitro </w:t>
      </w:r>
      <w:r w:rsidRPr="00C3109A">
        <w:rPr>
          <w:sz w:val="24"/>
          <w:szCs w:val="24"/>
          <w:lang w:val="en-US"/>
        </w:rPr>
        <w:t>data, the maximal predicted changes in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AUC of OAT1 and OAT3 substrates were determined to be less than 1.25 for the tafamidis meglumine</w:t>
      </w:r>
    </w:p>
    <w:p w14:paraId="40221E8B" w14:textId="5A9E170D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20 mg dose, therefore, inhibition of OAT1 or OAT3 transporters by tafamidis is not expected to result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in clinically significant interactions.</w:t>
      </w:r>
    </w:p>
    <w:p w14:paraId="77FA834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2C8A337A" w14:textId="2BF0626E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No interaction studies have been performed evaluating the effect of other medicinal products on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tafamidis meglumine.</w:t>
      </w:r>
    </w:p>
    <w:p w14:paraId="4CE5A2CA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20A3069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  <w:r w:rsidRPr="00C3109A">
        <w:rPr>
          <w:sz w:val="24"/>
          <w:szCs w:val="24"/>
          <w:u w:val="single"/>
          <w:lang w:val="en-US"/>
        </w:rPr>
        <w:t>Laboratory test abnormality</w:t>
      </w:r>
    </w:p>
    <w:p w14:paraId="781B271F" w14:textId="48277506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Tafamidis may decrease serum concentrations of total thyroxine, without an accompanying change in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free thyroxine (T4) or thyroid stimulating hormone (TSH). This observation in total thyroxine values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may likely be the result of reduced thyroxine binding to or displacement from transthyretin (TTR) due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to the high binding affinity tafamidis has to the TTR thyroxine receptor. No corresponding clinical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findings consistent with thyroid dysfunction have been observed.</w:t>
      </w:r>
    </w:p>
    <w:p w14:paraId="471B5DE5" w14:textId="2CC13AA7" w:rsidR="00CE5CE3" w:rsidRDefault="00CE5CE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14:paraId="0BF3D97C" w14:textId="77777777" w:rsidR="007C5D2A" w:rsidRPr="00C3109A" w:rsidRDefault="007C5D2A" w:rsidP="003E0341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7FEDE8A3" w14:textId="77777777" w:rsidR="007C5D2A" w:rsidRPr="00303008" w:rsidRDefault="007C5D2A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4.6</w:t>
      </w:r>
      <w:r w:rsidRPr="00303008">
        <w:rPr>
          <w:b/>
          <w:sz w:val="24"/>
          <w:szCs w:val="24"/>
          <w:lang w:val="en-GB"/>
        </w:rPr>
        <w:tab/>
      </w:r>
      <w:r w:rsidR="004860D3">
        <w:rPr>
          <w:b/>
          <w:sz w:val="24"/>
          <w:szCs w:val="24"/>
          <w:lang w:val="en-GB"/>
        </w:rPr>
        <w:t>Fertility, p</w:t>
      </w:r>
      <w:r w:rsidRPr="00303008">
        <w:rPr>
          <w:b/>
          <w:sz w:val="24"/>
          <w:szCs w:val="24"/>
          <w:lang w:val="en-GB"/>
        </w:rPr>
        <w:t>regnancy and lactation</w:t>
      </w:r>
    </w:p>
    <w:p w14:paraId="29BDA1A3" w14:textId="77777777" w:rsidR="003E3263" w:rsidRDefault="003E3263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</w:p>
    <w:p w14:paraId="1E7F43A3" w14:textId="3E7BAD8C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  <w:r w:rsidRPr="00C3109A">
        <w:rPr>
          <w:sz w:val="24"/>
          <w:szCs w:val="24"/>
          <w:u w:val="single"/>
          <w:lang w:val="en-US"/>
        </w:rPr>
        <w:t>Women of childbearing potential</w:t>
      </w:r>
    </w:p>
    <w:p w14:paraId="5E536CA2" w14:textId="62437D05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Contraceptive measures should be used by women of childbearing potential during treatment with</w:t>
      </w:r>
      <w:r w:rsidR="003E326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tafamidis meglumine, and for one month after stopping treatment, due to the prolonged half-life.</w:t>
      </w:r>
    </w:p>
    <w:p w14:paraId="417B787D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38CA33FE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u w:val="single"/>
          <w:lang w:val="en-GB"/>
        </w:rPr>
        <w:t>Pregnancy</w:t>
      </w:r>
    </w:p>
    <w:p w14:paraId="5A0E5019" w14:textId="566C95DB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There are no data on the use of tafamidis meglumine in pregnant women. Studies in animals have</w:t>
      </w:r>
      <w:r w:rsidR="003E326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shown developmental toxicity (see section 5.3). Tafamidis meglumine is not recommended during</w:t>
      </w:r>
      <w:r w:rsidR="003E326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pregnancy and in women of childbearing potential not using contraception.</w:t>
      </w:r>
    </w:p>
    <w:p w14:paraId="7223B74E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5F3C1E93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u w:val="single"/>
          <w:lang w:val="en-GB"/>
        </w:rPr>
        <w:t>Breast-feeding</w:t>
      </w:r>
    </w:p>
    <w:p w14:paraId="309DCEE2" w14:textId="76B2848C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Available data in animals have shown excretion of tafamidis in milk. A risk to the newborns/infants</w:t>
      </w:r>
      <w:r w:rsidR="003E326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cannot be excluded. Tafamidis meglumine should not be used during breast-feeding.</w:t>
      </w:r>
    </w:p>
    <w:p w14:paraId="3116860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481F75EE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3109A">
        <w:rPr>
          <w:sz w:val="24"/>
          <w:szCs w:val="24"/>
          <w:u w:val="single"/>
          <w:lang w:val="en-GB"/>
        </w:rPr>
        <w:t>Fertility</w:t>
      </w:r>
    </w:p>
    <w:p w14:paraId="79FC13AF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No impairment of fertility has been observed in nonclinical studies (see section 5.3).</w:t>
      </w:r>
    </w:p>
    <w:p w14:paraId="34FC2FED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49C760AD" w14:textId="77777777" w:rsidR="007C5D2A" w:rsidRPr="00303008" w:rsidRDefault="007C5D2A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4.7</w:t>
      </w:r>
      <w:r w:rsidRPr="00303008">
        <w:rPr>
          <w:b/>
          <w:sz w:val="24"/>
          <w:szCs w:val="24"/>
          <w:lang w:val="en-GB"/>
        </w:rPr>
        <w:tab/>
        <w:t>Effects on ability to drive and use machines</w:t>
      </w:r>
    </w:p>
    <w:p w14:paraId="060CB452" w14:textId="77777777" w:rsidR="003E3263" w:rsidRDefault="003E3263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No traffic warning.</w:t>
      </w:r>
    </w:p>
    <w:p w14:paraId="3CF56954" w14:textId="555A58C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 xml:space="preserve">On the basis of the pharmacodynamic and pharmacokinetic profile, tafamidis meglumine is believed to have </w:t>
      </w:r>
      <w:r w:rsidRPr="00C3109A">
        <w:rPr>
          <w:sz w:val="24"/>
          <w:szCs w:val="24"/>
          <w:lang w:val="en-GB"/>
        </w:rPr>
        <w:t>no or negligible influence on the ability to drive or use machines.</w:t>
      </w:r>
    </w:p>
    <w:p w14:paraId="7B2DA709" w14:textId="77777777" w:rsidR="007C5D2A" w:rsidRPr="00C3109A" w:rsidRDefault="007C5D2A" w:rsidP="003E0341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216DF44A" w14:textId="77777777" w:rsidR="007C5D2A" w:rsidRPr="00303008" w:rsidRDefault="007C5D2A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4.8</w:t>
      </w:r>
      <w:r w:rsidRPr="00303008">
        <w:rPr>
          <w:b/>
          <w:sz w:val="24"/>
          <w:szCs w:val="24"/>
          <w:lang w:val="en-GB"/>
        </w:rPr>
        <w:tab/>
        <w:t>Undesirable effects</w:t>
      </w:r>
    </w:p>
    <w:p w14:paraId="25C2E426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40B754DB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GB"/>
        </w:rPr>
      </w:pPr>
      <w:r w:rsidRPr="00C3109A">
        <w:rPr>
          <w:iCs/>
          <w:sz w:val="24"/>
          <w:szCs w:val="24"/>
          <w:u w:val="single"/>
          <w:lang w:val="en-GB"/>
        </w:rPr>
        <w:t>Summary of the safety profile</w:t>
      </w:r>
    </w:p>
    <w:p w14:paraId="128CE4A1" w14:textId="03A5B42A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GB"/>
        </w:rPr>
      </w:pPr>
      <w:r w:rsidRPr="00C3109A">
        <w:rPr>
          <w:iCs/>
          <w:sz w:val="24"/>
          <w:szCs w:val="24"/>
          <w:lang w:val="en-GB"/>
        </w:rPr>
        <w:t>The overall clinical data reflect exposure of 127 patients with ATTR-PN to 20 mg of tafamidis</w:t>
      </w:r>
      <w:r w:rsidR="003E3263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meglumine administered daily for an average of 538 days (ranging from 15 to 994 days). The adverse</w:t>
      </w:r>
      <w:r w:rsidR="003E3263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reactions were generally mild or moderate in severity.</w:t>
      </w:r>
    </w:p>
    <w:p w14:paraId="422BA245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GB"/>
        </w:rPr>
      </w:pPr>
    </w:p>
    <w:p w14:paraId="1EFD0A3C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GB"/>
        </w:rPr>
      </w:pPr>
      <w:r w:rsidRPr="00C3109A">
        <w:rPr>
          <w:iCs/>
          <w:sz w:val="24"/>
          <w:szCs w:val="24"/>
          <w:u w:val="single"/>
          <w:lang w:val="en-GB"/>
        </w:rPr>
        <w:t>Tabulated list of adverse reactions</w:t>
      </w:r>
    </w:p>
    <w:p w14:paraId="73C64C26" w14:textId="3020833B" w:rsidR="00C3109A" w:rsidRPr="00C3109A" w:rsidRDefault="00C3109A" w:rsidP="003E3263">
      <w:pPr>
        <w:tabs>
          <w:tab w:val="left" w:pos="851"/>
        </w:tabs>
        <w:ind w:left="851"/>
        <w:rPr>
          <w:iCs/>
          <w:sz w:val="24"/>
          <w:szCs w:val="24"/>
          <w:lang w:val="en-GB"/>
        </w:rPr>
      </w:pPr>
      <w:r w:rsidRPr="00C3109A">
        <w:rPr>
          <w:iCs/>
          <w:sz w:val="24"/>
          <w:szCs w:val="24"/>
          <w:lang w:val="en-GB"/>
        </w:rPr>
        <w:t>Adverse reactions are listed below by MedDRA System Organ Class (SOC) and frequency categories</w:t>
      </w:r>
      <w:r w:rsidR="003E3263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using the standard convention: very common (≥ 1/10), common (≥ 1/100 to &lt; 1/10), and uncommon</w:t>
      </w:r>
      <w:r w:rsidR="003E3263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(≥ 1/1 000 to &lt; 1/100). Within the frequency group, adverse reactions are presented in order of</w:t>
      </w:r>
      <w:r w:rsidR="003E3263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decreasing seriousness. Adverse reactions reported from the clinical programme in the tabular listing</w:t>
      </w:r>
      <w:r w:rsidR="003E3263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below reflect the rates at which they occurred in the phase 3, double-blind, placebo-controlled study</w:t>
      </w:r>
      <w:r w:rsidR="003E3263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(Fx-005).</w:t>
      </w:r>
    </w:p>
    <w:p w14:paraId="19644EC2" w14:textId="77777777" w:rsidR="00C3109A" w:rsidRPr="00C3109A" w:rsidRDefault="00C3109A" w:rsidP="00C3109A">
      <w:pPr>
        <w:tabs>
          <w:tab w:val="left" w:pos="851"/>
        </w:tabs>
        <w:ind w:left="851"/>
        <w:rPr>
          <w:i/>
          <w:sz w:val="24"/>
          <w:szCs w:val="24"/>
          <w:lang w:val="en-GB"/>
        </w:rPr>
      </w:pPr>
    </w:p>
    <w:tbl>
      <w:tblPr>
        <w:tblStyle w:val="Tabel-Gitter"/>
        <w:tblW w:w="5953" w:type="dxa"/>
        <w:tblInd w:w="846" w:type="dxa"/>
        <w:tblLook w:val="04A0" w:firstRow="1" w:lastRow="0" w:firstColumn="1" w:lastColumn="0" w:noHBand="0" w:noVBand="1"/>
      </w:tblPr>
      <w:tblGrid>
        <w:gridCol w:w="2977"/>
        <w:gridCol w:w="2976"/>
      </w:tblGrid>
      <w:tr w:rsidR="00C3109A" w:rsidRPr="00C3109A" w14:paraId="24FBDD8F" w14:textId="77777777" w:rsidTr="003E3263"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E332E" w14:textId="77777777" w:rsidR="00C3109A" w:rsidRPr="00C3109A" w:rsidRDefault="00C3109A" w:rsidP="003E3263">
            <w:pPr>
              <w:ind w:left="33"/>
              <w:rPr>
                <w:b/>
                <w:iCs/>
                <w:sz w:val="24"/>
                <w:szCs w:val="24"/>
                <w:lang w:val="en-GB"/>
              </w:rPr>
            </w:pPr>
            <w:r w:rsidRPr="00C3109A">
              <w:rPr>
                <w:b/>
                <w:bCs/>
                <w:iCs/>
                <w:sz w:val="24"/>
                <w:szCs w:val="24"/>
                <w:lang w:val="fr-FR"/>
              </w:rPr>
              <w:t>System Organ Class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E4938" w14:textId="77777777" w:rsidR="00C3109A" w:rsidRPr="00C3109A" w:rsidRDefault="00C3109A" w:rsidP="003E3263">
            <w:pPr>
              <w:ind w:left="39"/>
              <w:rPr>
                <w:b/>
                <w:iCs/>
                <w:sz w:val="24"/>
                <w:szCs w:val="24"/>
                <w:lang w:val="en-GB"/>
              </w:rPr>
            </w:pPr>
            <w:r w:rsidRPr="00C3109A">
              <w:rPr>
                <w:b/>
                <w:bCs/>
                <w:iCs/>
                <w:sz w:val="24"/>
                <w:szCs w:val="24"/>
                <w:lang w:val="fr-FR"/>
              </w:rPr>
              <w:t>Very common</w:t>
            </w:r>
          </w:p>
        </w:tc>
      </w:tr>
      <w:tr w:rsidR="00C3109A" w:rsidRPr="00C3109A" w14:paraId="5C400AF7" w14:textId="77777777" w:rsidTr="003E3263"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F8639" w14:textId="77777777" w:rsidR="00C3109A" w:rsidRPr="00C3109A" w:rsidRDefault="00C3109A" w:rsidP="003E3263">
            <w:pPr>
              <w:ind w:left="33"/>
              <w:rPr>
                <w:bCs/>
                <w:iCs/>
                <w:sz w:val="24"/>
                <w:szCs w:val="24"/>
                <w:lang w:val="en-GB"/>
              </w:rPr>
            </w:pPr>
            <w:r w:rsidRPr="00C3109A">
              <w:rPr>
                <w:bCs/>
                <w:iCs/>
                <w:sz w:val="24"/>
                <w:szCs w:val="24"/>
                <w:lang w:val="fr-FR"/>
              </w:rPr>
              <w:t>Infections and Infestations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D194A" w14:textId="77777777" w:rsidR="00C3109A" w:rsidRPr="00C3109A" w:rsidRDefault="00C3109A" w:rsidP="003E3263">
            <w:pPr>
              <w:ind w:left="39"/>
              <w:rPr>
                <w:bCs/>
                <w:iCs/>
                <w:sz w:val="24"/>
                <w:szCs w:val="24"/>
                <w:lang w:val="en-GB"/>
              </w:rPr>
            </w:pPr>
            <w:r w:rsidRPr="00C3109A">
              <w:rPr>
                <w:bCs/>
                <w:iCs/>
                <w:sz w:val="24"/>
                <w:szCs w:val="24"/>
                <w:lang w:val="fr-FR"/>
              </w:rPr>
              <w:t>Urinary tract infection</w:t>
            </w:r>
          </w:p>
        </w:tc>
      </w:tr>
      <w:tr w:rsidR="00C3109A" w:rsidRPr="00C3109A" w14:paraId="6E814D8F" w14:textId="77777777" w:rsidTr="003E3263"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192D4" w14:textId="77777777" w:rsidR="00C3109A" w:rsidRPr="00C3109A" w:rsidRDefault="00C3109A" w:rsidP="003E3263">
            <w:pPr>
              <w:ind w:left="33"/>
              <w:rPr>
                <w:bCs/>
                <w:iCs/>
                <w:sz w:val="24"/>
                <w:szCs w:val="24"/>
                <w:lang w:val="en-GB"/>
              </w:rPr>
            </w:pPr>
            <w:r w:rsidRPr="00C3109A">
              <w:rPr>
                <w:bCs/>
                <w:iCs/>
                <w:sz w:val="24"/>
                <w:szCs w:val="24"/>
                <w:lang w:val="fr-FR"/>
              </w:rPr>
              <w:t>Gastrointestinal disorders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A947A" w14:textId="77777777" w:rsidR="00C3109A" w:rsidRPr="00C3109A" w:rsidRDefault="00C3109A" w:rsidP="003E3263">
            <w:pPr>
              <w:ind w:left="39"/>
              <w:rPr>
                <w:bCs/>
                <w:iCs/>
                <w:sz w:val="24"/>
                <w:szCs w:val="24"/>
                <w:lang w:val="fr-FR"/>
              </w:rPr>
            </w:pPr>
            <w:r w:rsidRPr="00C3109A">
              <w:rPr>
                <w:bCs/>
                <w:iCs/>
                <w:sz w:val="24"/>
                <w:szCs w:val="24"/>
                <w:lang w:val="fr-FR"/>
              </w:rPr>
              <w:t>Diarrhoea</w:t>
            </w:r>
          </w:p>
          <w:p w14:paraId="723ECE68" w14:textId="77777777" w:rsidR="00C3109A" w:rsidRPr="00C3109A" w:rsidRDefault="00C3109A" w:rsidP="003E3263">
            <w:pPr>
              <w:ind w:left="39"/>
              <w:rPr>
                <w:bCs/>
                <w:iCs/>
                <w:sz w:val="24"/>
                <w:szCs w:val="24"/>
                <w:lang w:val="en-GB"/>
              </w:rPr>
            </w:pPr>
            <w:r w:rsidRPr="00C3109A">
              <w:rPr>
                <w:bCs/>
                <w:iCs/>
                <w:sz w:val="24"/>
                <w:szCs w:val="24"/>
                <w:lang w:val="fr-FR"/>
              </w:rPr>
              <w:t>Upper abdominal pain</w:t>
            </w:r>
          </w:p>
        </w:tc>
      </w:tr>
    </w:tbl>
    <w:p w14:paraId="718968CC" w14:textId="0E46D5C2" w:rsidR="003E3263" w:rsidRDefault="003E3263" w:rsidP="00C3109A">
      <w:pPr>
        <w:tabs>
          <w:tab w:val="left" w:pos="851"/>
        </w:tabs>
        <w:ind w:left="851"/>
        <w:rPr>
          <w:b/>
          <w:iCs/>
          <w:sz w:val="24"/>
          <w:szCs w:val="24"/>
          <w:lang w:val="en-GB"/>
        </w:rPr>
      </w:pPr>
    </w:p>
    <w:p w14:paraId="4E832740" w14:textId="77777777" w:rsidR="003E3263" w:rsidRDefault="003E3263">
      <w:pPr>
        <w:rPr>
          <w:b/>
          <w:iCs/>
          <w:sz w:val="24"/>
          <w:szCs w:val="24"/>
          <w:lang w:val="en-GB"/>
        </w:rPr>
      </w:pPr>
      <w:r>
        <w:rPr>
          <w:b/>
          <w:iCs/>
          <w:sz w:val="24"/>
          <w:szCs w:val="24"/>
          <w:lang w:val="en-GB"/>
        </w:rPr>
        <w:br w:type="page"/>
      </w:r>
    </w:p>
    <w:p w14:paraId="7DFA817F" w14:textId="77777777" w:rsidR="00C3109A" w:rsidRPr="003E3263" w:rsidRDefault="00C3109A" w:rsidP="00C3109A">
      <w:pPr>
        <w:tabs>
          <w:tab w:val="left" w:pos="851"/>
        </w:tabs>
        <w:ind w:left="851"/>
        <w:rPr>
          <w:b/>
          <w:iCs/>
          <w:sz w:val="24"/>
          <w:szCs w:val="24"/>
          <w:lang w:val="en-GB"/>
        </w:rPr>
      </w:pPr>
    </w:p>
    <w:p w14:paraId="3F865212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3109A">
        <w:rPr>
          <w:sz w:val="24"/>
          <w:szCs w:val="24"/>
          <w:u w:val="single"/>
          <w:lang w:val="en-GB"/>
        </w:rPr>
        <w:t>Reporting of suspected adverse reactions</w:t>
      </w:r>
    </w:p>
    <w:p w14:paraId="1F074F0A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Reporting suspected adverse reactions after authorisation of the medicinal product is important. It allows continued monitoring of the benefit/risk balance of the medicinal product. Healthcare professionals are asked to report any suspected adverse reactions via:</w:t>
      </w:r>
    </w:p>
    <w:p w14:paraId="766FE595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3DC772C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</w:rPr>
      </w:pPr>
      <w:r w:rsidRPr="00C3109A">
        <w:rPr>
          <w:sz w:val="24"/>
          <w:szCs w:val="24"/>
        </w:rPr>
        <w:t>Lægemiddelstyrelsen</w:t>
      </w:r>
    </w:p>
    <w:p w14:paraId="2789FFB3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</w:rPr>
      </w:pPr>
      <w:r w:rsidRPr="00C3109A">
        <w:rPr>
          <w:sz w:val="24"/>
          <w:szCs w:val="24"/>
        </w:rPr>
        <w:t>Axel Heides Gade 1</w:t>
      </w:r>
    </w:p>
    <w:p w14:paraId="7423489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</w:rPr>
      </w:pPr>
      <w:r w:rsidRPr="00C3109A">
        <w:rPr>
          <w:sz w:val="24"/>
          <w:szCs w:val="24"/>
        </w:rPr>
        <w:t>DK-2300 København S</w:t>
      </w:r>
    </w:p>
    <w:p w14:paraId="08A4F5DE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Website: www.meldenbivirkning.dk</w:t>
      </w:r>
    </w:p>
    <w:p w14:paraId="781E9872" w14:textId="77777777" w:rsidR="007C5D2A" w:rsidRPr="007A4CC6" w:rsidRDefault="007C5D2A" w:rsidP="007A4CC6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48CB4B38" w14:textId="77777777" w:rsidR="007C5D2A" w:rsidRPr="00303008" w:rsidRDefault="007C5D2A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4.9</w:t>
      </w:r>
      <w:r w:rsidRPr="00303008">
        <w:rPr>
          <w:b/>
          <w:sz w:val="24"/>
          <w:szCs w:val="24"/>
          <w:lang w:val="en-GB"/>
        </w:rPr>
        <w:tab/>
        <w:t>Overdose</w:t>
      </w:r>
    </w:p>
    <w:p w14:paraId="18441EDA" w14:textId="77777777" w:rsidR="003E325D" w:rsidRDefault="003E325D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GB"/>
        </w:rPr>
      </w:pPr>
    </w:p>
    <w:p w14:paraId="4FD1F3EB" w14:textId="4F194A4C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GB"/>
        </w:rPr>
      </w:pPr>
      <w:r w:rsidRPr="00C3109A">
        <w:rPr>
          <w:iCs/>
          <w:sz w:val="24"/>
          <w:szCs w:val="24"/>
          <w:u w:val="single"/>
          <w:lang w:val="en-GB"/>
        </w:rPr>
        <w:t>Symptoms</w:t>
      </w:r>
    </w:p>
    <w:p w14:paraId="2B3FE3EB" w14:textId="0620893F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GB"/>
        </w:rPr>
      </w:pPr>
      <w:r w:rsidRPr="00C3109A">
        <w:rPr>
          <w:iCs/>
          <w:sz w:val="24"/>
          <w:szCs w:val="24"/>
          <w:lang w:val="en-GB"/>
        </w:rPr>
        <w:t>There is minimal clinical experience with overdose. During clinical trials, two patients diagnosed with</w:t>
      </w:r>
      <w:r w:rsidR="003E325D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transthyretin amyloid cardiomyopathy (ATTR-CM) accidentally ingested a single tafamidis</w:t>
      </w:r>
      <w:r w:rsidR="003E325D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meglumine dose of 160 mg without the occurrence of any associated adverse events. The highest dose</w:t>
      </w:r>
      <w:r w:rsidR="003E325D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of tafamidis meglumine given to healthy volunteers in a clinical trial was 480 mg as a single dose.</w:t>
      </w:r>
    </w:p>
    <w:p w14:paraId="4D1787E9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GB"/>
        </w:rPr>
      </w:pPr>
      <w:r w:rsidRPr="00C3109A">
        <w:rPr>
          <w:iCs/>
          <w:sz w:val="24"/>
          <w:szCs w:val="24"/>
          <w:lang w:val="en-GB"/>
        </w:rPr>
        <w:t>There was one reported treatment-related adverse event of mild hordeolum at this dose.</w:t>
      </w:r>
    </w:p>
    <w:p w14:paraId="1AC5D1CF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GB"/>
        </w:rPr>
      </w:pPr>
    </w:p>
    <w:p w14:paraId="320EB5B6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GB"/>
        </w:rPr>
      </w:pPr>
      <w:r w:rsidRPr="00C3109A">
        <w:rPr>
          <w:iCs/>
          <w:sz w:val="24"/>
          <w:szCs w:val="24"/>
          <w:u w:val="single"/>
          <w:lang w:val="en-GB"/>
        </w:rPr>
        <w:t>Management</w:t>
      </w:r>
    </w:p>
    <w:p w14:paraId="795DD3D7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GB"/>
        </w:rPr>
      </w:pPr>
      <w:r w:rsidRPr="00C3109A">
        <w:rPr>
          <w:iCs/>
          <w:sz w:val="24"/>
          <w:szCs w:val="24"/>
          <w:lang w:val="en-GB"/>
        </w:rPr>
        <w:t>In case of overdose, standard supportive measures should be instituted as required.</w:t>
      </w:r>
    </w:p>
    <w:p w14:paraId="4BD9C74C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7CBF9316" w14:textId="77777777" w:rsidR="008F2F8C" w:rsidRPr="00451431" w:rsidRDefault="0042292D" w:rsidP="0042292D">
      <w:pPr>
        <w:tabs>
          <w:tab w:val="left" w:pos="851"/>
        </w:tabs>
        <w:rPr>
          <w:b/>
          <w:sz w:val="24"/>
          <w:szCs w:val="24"/>
        </w:rPr>
      </w:pPr>
      <w:r w:rsidRPr="00451431">
        <w:rPr>
          <w:b/>
          <w:sz w:val="24"/>
          <w:szCs w:val="24"/>
        </w:rPr>
        <w:t>4.10</w:t>
      </w:r>
      <w:r w:rsidRPr="00451431">
        <w:rPr>
          <w:b/>
          <w:sz w:val="24"/>
          <w:szCs w:val="24"/>
        </w:rPr>
        <w:tab/>
        <w:t>Legal status</w:t>
      </w:r>
    </w:p>
    <w:p w14:paraId="5C7AA315" w14:textId="6D2BE618" w:rsidR="00AD2E36" w:rsidRPr="00451431" w:rsidRDefault="001F6AF1" w:rsidP="00AD2E36">
      <w:pPr>
        <w:tabs>
          <w:tab w:val="left" w:pos="851"/>
        </w:tabs>
        <w:ind w:left="851"/>
        <w:rPr>
          <w:sz w:val="24"/>
          <w:szCs w:val="24"/>
        </w:rPr>
      </w:pPr>
      <w:r w:rsidRPr="00451431">
        <w:rPr>
          <w:sz w:val="24"/>
          <w:szCs w:val="24"/>
        </w:rPr>
        <w:t>BEGR (kun til sygehuse)</w:t>
      </w:r>
    </w:p>
    <w:p w14:paraId="67CF52A4" w14:textId="77777777" w:rsidR="007C5D2A" w:rsidRPr="00451431" w:rsidRDefault="007C5D2A" w:rsidP="003E0341">
      <w:pPr>
        <w:tabs>
          <w:tab w:val="left" w:pos="851"/>
        </w:tabs>
        <w:ind w:left="851"/>
        <w:rPr>
          <w:sz w:val="24"/>
          <w:szCs w:val="24"/>
        </w:rPr>
      </w:pPr>
    </w:p>
    <w:p w14:paraId="17A23AA4" w14:textId="77777777" w:rsidR="00AD2E36" w:rsidRPr="00451431" w:rsidRDefault="00AD2E36" w:rsidP="003E0341">
      <w:pPr>
        <w:tabs>
          <w:tab w:val="left" w:pos="851"/>
        </w:tabs>
        <w:ind w:left="851"/>
        <w:rPr>
          <w:sz w:val="24"/>
          <w:szCs w:val="24"/>
        </w:rPr>
      </w:pPr>
    </w:p>
    <w:p w14:paraId="45B06FFB" w14:textId="77777777" w:rsidR="007C5D2A" w:rsidRPr="00303008" w:rsidRDefault="007C5D2A" w:rsidP="007C5D2A">
      <w:pPr>
        <w:tabs>
          <w:tab w:val="left" w:pos="851"/>
        </w:tabs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5.</w:t>
      </w:r>
      <w:r w:rsidRPr="00303008">
        <w:rPr>
          <w:b/>
          <w:sz w:val="24"/>
          <w:szCs w:val="24"/>
          <w:lang w:val="en-GB"/>
        </w:rPr>
        <w:tab/>
        <w:t>PHARMACOLOGICAL PROPERTIES</w:t>
      </w:r>
    </w:p>
    <w:p w14:paraId="1CC4D830" w14:textId="77777777" w:rsidR="007C5D2A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46A66169" w14:textId="77777777" w:rsidR="007C5D2A" w:rsidRPr="00303008" w:rsidRDefault="007C5D2A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5.1</w:t>
      </w:r>
      <w:r w:rsidRPr="00303008">
        <w:rPr>
          <w:b/>
          <w:sz w:val="24"/>
          <w:szCs w:val="24"/>
          <w:lang w:val="en-GB"/>
        </w:rPr>
        <w:tab/>
        <w:t>Pharmacodynamic properties</w:t>
      </w:r>
      <w:r w:rsidRPr="00303008">
        <w:rPr>
          <w:b/>
          <w:sz w:val="24"/>
          <w:szCs w:val="24"/>
          <w:lang w:val="en-GB"/>
        </w:rPr>
        <w:tab/>
      </w:r>
    </w:p>
    <w:p w14:paraId="139BBEFD" w14:textId="2CAE4721" w:rsidR="00C3109A" w:rsidRPr="001F6AF1" w:rsidRDefault="00C3109A" w:rsidP="001F6AF1">
      <w:pPr>
        <w:tabs>
          <w:tab w:val="left" w:pos="851"/>
        </w:tabs>
        <w:ind w:left="851"/>
        <w:outlineLvl w:val="0"/>
        <w:rPr>
          <w:noProof/>
          <w:sz w:val="24"/>
          <w:szCs w:val="24"/>
          <w:lang w:val="en-GB" w:eastAsia="en-US"/>
        </w:rPr>
      </w:pPr>
      <w:r w:rsidRPr="001F6AF1">
        <w:rPr>
          <w:sz w:val="24"/>
          <w:szCs w:val="24"/>
          <w:lang w:val="en-GB" w:eastAsia="en-US"/>
        </w:rPr>
        <w:t xml:space="preserve">Pharmacotherapeutic group: </w:t>
      </w:r>
      <w:r w:rsidRPr="001F6AF1">
        <w:rPr>
          <w:bCs/>
          <w:noProof/>
          <w:sz w:val="24"/>
          <w:szCs w:val="24"/>
          <w:lang w:val="en-GB" w:eastAsia="en-US"/>
        </w:rPr>
        <w:t>Other nervous system drugs, ATC code N07XX08</w:t>
      </w:r>
      <w:r w:rsidR="001F6AF1">
        <w:rPr>
          <w:bCs/>
          <w:noProof/>
          <w:sz w:val="24"/>
          <w:szCs w:val="24"/>
          <w:lang w:val="en-GB" w:eastAsia="en-US"/>
        </w:rPr>
        <w:t>.</w:t>
      </w:r>
    </w:p>
    <w:p w14:paraId="58FAB79E" w14:textId="77777777" w:rsidR="00C3109A" w:rsidRPr="001F6AF1" w:rsidRDefault="00C3109A" w:rsidP="001F6AF1">
      <w:pPr>
        <w:tabs>
          <w:tab w:val="left" w:pos="851"/>
        </w:tabs>
        <w:ind w:left="851"/>
        <w:rPr>
          <w:noProof/>
          <w:sz w:val="24"/>
          <w:szCs w:val="24"/>
          <w:lang w:val="en-GB" w:eastAsia="en-US"/>
        </w:rPr>
      </w:pPr>
    </w:p>
    <w:p w14:paraId="2562FBB8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GB" w:eastAsia="en-US"/>
        </w:rPr>
      </w:pPr>
      <w:r w:rsidRPr="001F6AF1">
        <w:rPr>
          <w:sz w:val="24"/>
          <w:szCs w:val="24"/>
          <w:u w:val="single"/>
          <w:lang w:val="en-GB" w:eastAsia="en-US"/>
        </w:rPr>
        <w:t>Mechanism of action</w:t>
      </w:r>
    </w:p>
    <w:p w14:paraId="0033AD28" w14:textId="12254A86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GB" w:eastAsia="en-US"/>
        </w:rPr>
      </w:pPr>
      <w:r w:rsidRPr="001F6AF1">
        <w:rPr>
          <w:sz w:val="24"/>
          <w:szCs w:val="24"/>
          <w:lang w:val="en-US" w:eastAsia="en-US"/>
        </w:rPr>
        <w:t>Tafamidis is a selective stabiliser of TTR. Tafamidis binds to TTR at the thyroxine binding sites,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stabilising the tetramer and slowing dissociation into monomers, the rate-limiting step in the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amyloidogenic process.</w:t>
      </w:r>
    </w:p>
    <w:p w14:paraId="59867C65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GB" w:eastAsia="en-US"/>
        </w:rPr>
      </w:pPr>
    </w:p>
    <w:p w14:paraId="175F169F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GB" w:eastAsia="en-US"/>
        </w:rPr>
      </w:pPr>
      <w:r w:rsidRPr="001F6AF1">
        <w:rPr>
          <w:sz w:val="24"/>
          <w:szCs w:val="24"/>
          <w:u w:val="single"/>
          <w:lang w:val="en-GB" w:eastAsia="en-US"/>
        </w:rPr>
        <w:t>Pharmacodynamic effects</w:t>
      </w:r>
    </w:p>
    <w:p w14:paraId="2B84C1A5" w14:textId="4F87F290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Transthyretin amyloidosis is a severely debilitating condition induced by the accumulation of various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insoluble fibrillar proteins, or amyloid, within the tissues in amounts sufficient to impair normal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function. The dissociation of the transthyretin tetramer to monomers is the rate-limiting step in the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pathogenesis of transthyretin amyloidosis. The folded monomers undergo partial denaturation to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produce alternatively folded monomeric amyloidogenic intermediates. These intermediates then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misassemble into soluble oligomers, profilaments, filaments, and amyloid fibrils. Tafamidis binds with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negative cooperativity to the two thyroxine binding sites on the native tetrameric form of transthyretin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preventing dissociation into monomers. The inhibition of TTR tetramer dissociation forms the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rationale for the use of tafamidis to slow disease progression in stage 1 ATTR-PN patients.</w:t>
      </w:r>
    </w:p>
    <w:p w14:paraId="1F059B34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</w:p>
    <w:p w14:paraId="22D0E165" w14:textId="73775D7F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lastRenderedPageBreak/>
        <w:t>A TTR stabilisation assay was utilised as a pharmacodynamic marker and assessed the stability of the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TTR tetramer.</w:t>
      </w:r>
    </w:p>
    <w:p w14:paraId="4263B51C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</w:p>
    <w:p w14:paraId="13939F4C" w14:textId="5255799A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Tafamidis stabilised the tetramers of 14 TTR variants tested clinically after once-daily dosing with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 xml:space="preserve">tafamidis. Tafamidis also stabilised the TTR tetramer for 25 variants tested </w:t>
      </w:r>
      <w:r w:rsidRPr="001F6AF1">
        <w:rPr>
          <w:i/>
          <w:iCs/>
          <w:sz w:val="24"/>
          <w:szCs w:val="24"/>
          <w:lang w:val="en-US" w:eastAsia="en-US"/>
        </w:rPr>
        <w:t>ex vivo</w:t>
      </w:r>
      <w:r w:rsidRPr="001F6AF1">
        <w:rPr>
          <w:sz w:val="24"/>
          <w:szCs w:val="24"/>
          <w:lang w:val="en-US" w:eastAsia="en-US"/>
        </w:rPr>
        <w:t>, thus demonstrating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TTR stabilisation of 40 amyloidogenic TTR genotypes.</w:t>
      </w:r>
    </w:p>
    <w:p w14:paraId="2152DBF6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GB" w:eastAsia="en-US"/>
        </w:rPr>
      </w:pPr>
    </w:p>
    <w:p w14:paraId="02CD2C6F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u w:val="single"/>
          <w:lang w:val="en-GB" w:eastAsia="en-US"/>
        </w:rPr>
      </w:pPr>
      <w:r w:rsidRPr="001F6AF1">
        <w:rPr>
          <w:sz w:val="24"/>
          <w:szCs w:val="24"/>
          <w:u w:val="single"/>
          <w:lang w:val="en-GB" w:eastAsia="en-US"/>
        </w:rPr>
        <w:t>Clinical efficacy and safety</w:t>
      </w:r>
    </w:p>
    <w:p w14:paraId="3BE17F79" w14:textId="63F4C2D0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The pivotal study of tafamidis meglumine in stage 1 ATTR-PN patients was an 18-month, multicentre,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randomised, double-blind, placebo-controlled study. The study evaluated the safety and efficacy of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once-daily 20 mg tafamidis meglumine in 128 patients with ATTR-PN with the Val30Met mutation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and primarily stage 1 disease; 126 of the 128 patients did not routinely require assistance with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ambulation. The primary outcome measures were the Neuropathy Impairment Score of the Lower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Limb (NIS-LL – a physician assessment of the neurologic exam of the lower limbs) and the Norfolk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Quality of Life – Diabetic Neuropathy (Norfolk QOL-DN – a patient reported outcome, total quality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of life score [TQOL]). Other outcome measures included composite scores of large nerve fibre (nerve</w:t>
      </w:r>
    </w:p>
    <w:p w14:paraId="28539501" w14:textId="10CC2031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conduction, vibration threshold and heart rate response to deep breathing - HRDB) and small nerve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fibre function (heat pain and cooling threshold and HRDB) and nutritional assessments utilizing the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modified body mass index (mBMI – BMI multiplied by serum albumin in g/L). Eighty-six of the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91 patients completing the 18 month treatment period subsequently enrolled in an open-label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extension study, where they all received once daily 20 mg tafamidis meglumine for an additional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12 months.</w:t>
      </w:r>
    </w:p>
    <w:p w14:paraId="2988033C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</w:p>
    <w:p w14:paraId="26653083" w14:textId="717B51FE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Following 18 months of treatment, more tafamidis meglumine-treated patients were NIS-LL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Responders (change of less than 2 points on NIS-LL) Outcomes for the pre-specified analyses of the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primary endpoints are provided in the following table:</w:t>
      </w:r>
    </w:p>
    <w:p w14:paraId="1302D28E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</w:p>
    <w:tbl>
      <w:tblPr>
        <w:tblStyle w:val="Tabel-Gitter1"/>
        <w:tblW w:w="9061" w:type="dxa"/>
        <w:tblInd w:w="846" w:type="dxa"/>
        <w:tblLook w:val="04A0" w:firstRow="1" w:lastRow="0" w:firstColumn="1" w:lastColumn="0" w:noHBand="0" w:noVBand="1"/>
      </w:tblPr>
      <w:tblGrid>
        <w:gridCol w:w="5524"/>
        <w:gridCol w:w="1842"/>
        <w:gridCol w:w="1695"/>
      </w:tblGrid>
      <w:tr w:rsidR="00C3109A" w:rsidRPr="000F1992" w14:paraId="34B0488B" w14:textId="77777777" w:rsidTr="001F6AF1">
        <w:trPr>
          <w:tblHeader/>
        </w:trPr>
        <w:tc>
          <w:tcPr>
            <w:tcW w:w="9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45791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Tafamidis meglumine versus Placebo: NIS-LL and TQOL at Month 18 (Study Fx-005)</w:t>
            </w:r>
          </w:p>
        </w:tc>
      </w:tr>
      <w:tr w:rsidR="00C3109A" w:rsidRPr="00C3109A" w14:paraId="42EE82E9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C181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56DE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lang w:eastAsia="en-US"/>
              </w:rPr>
              <w:t>Placebo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056CC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lang w:eastAsia="en-US"/>
              </w:rPr>
              <w:t>Tafamidis meglumine</w:t>
            </w:r>
          </w:p>
        </w:tc>
      </w:tr>
      <w:tr w:rsidR="00C3109A" w:rsidRPr="00C3109A" w14:paraId="4E1783D6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0454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Pre-specified ITT Analysis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FE2A2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N=61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62BB4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N=64</w:t>
            </w:r>
          </w:p>
        </w:tc>
      </w:tr>
      <w:tr w:rsidR="00C3109A" w:rsidRPr="00C3109A" w14:paraId="52F40194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994B6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NIS-LL Responders (% patients)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B0082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29.5 %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F2E68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45.3 %</w:t>
            </w:r>
          </w:p>
        </w:tc>
      </w:tr>
      <w:tr w:rsidR="00C3109A" w:rsidRPr="00C3109A" w14:paraId="5DF1D75B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D74A3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596"/>
              <w:rPr>
                <w:sz w:val="22"/>
                <w:szCs w:val="22"/>
                <w:lang w:val="fr-FR" w:eastAsia="en-US"/>
              </w:rPr>
            </w:pPr>
            <w:r w:rsidRPr="00C3109A">
              <w:rPr>
                <w:sz w:val="22"/>
                <w:szCs w:val="22"/>
                <w:lang w:val="fr-FR" w:eastAsia="en-US"/>
              </w:rPr>
              <w:t>Difference (Tafamidis meglumine minus Placebo)</w:t>
            </w:r>
          </w:p>
          <w:p w14:paraId="31A0844E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596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95% CI of Difference (p-value)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7E2C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15.8 %</w:t>
            </w:r>
          </w:p>
          <w:p w14:paraId="0BF55606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-0.9 %, 32.5 % (0.068)</w:t>
            </w:r>
          </w:p>
        </w:tc>
      </w:tr>
      <w:tr w:rsidR="00C3109A" w:rsidRPr="00C3109A" w14:paraId="0F069962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F9A39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TQOL Change from Baseline LSMean (SE)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C4038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7.2 (2.36)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87112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2.0 (2.31)</w:t>
            </w:r>
          </w:p>
        </w:tc>
      </w:tr>
      <w:tr w:rsidR="00C3109A" w:rsidRPr="00C3109A" w14:paraId="00092FCF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EFEA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596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Difference in LSMeans (SE)</w:t>
            </w:r>
          </w:p>
          <w:p w14:paraId="559E9708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596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95% CI of Difference (p-value)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027F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-5.2 (3.31)</w:t>
            </w:r>
          </w:p>
          <w:p w14:paraId="010D8DE5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-11.8, 1.3 (0.116)</w:t>
            </w:r>
          </w:p>
        </w:tc>
      </w:tr>
      <w:tr w:rsidR="00C3109A" w:rsidRPr="00C3109A" w14:paraId="446EA325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BD2B7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Pre-specified Efficacy Evaluable Analysis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BCDC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N=42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D39CA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N=45</w:t>
            </w:r>
          </w:p>
        </w:tc>
      </w:tr>
      <w:tr w:rsidR="00C3109A" w:rsidRPr="00C3109A" w14:paraId="1C4B758B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59516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NIS-LL Responders (% patients)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5543F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38.1 %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DB3E6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60.0 %</w:t>
            </w:r>
          </w:p>
        </w:tc>
      </w:tr>
      <w:tr w:rsidR="00C3109A" w:rsidRPr="00C3109A" w14:paraId="2110A11E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1A0F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596"/>
              <w:rPr>
                <w:sz w:val="22"/>
                <w:szCs w:val="22"/>
                <w:lang w:val="fr-FR" w:eastAsia="en-US"/>
              </w:rPr>
            </w:pPr>
            <w:r w:rsidRPr="00C3109A">
              <w:rPr>
                <w:sz w:val="22"/>
                <w:szCs w:val="22"/>
                <w:lang w:val="fr-FR" w:eastAsia="en-US"/>
              </w:rPr>
              <w:t>Difference (Tafamidis meglumine minus Placebo)</w:t>
            </w:r>
          </w:p>
          <w:p w14:paraId="2A996CA5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596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95% CI of Difference (p-value)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9BC73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21.9 %</w:t>
            </w:r>
          </w:p>
          <w:p w14:paraId="53EF5EB1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1.4 %, 42.4 % (0.041)</w:t>
            </w:r>
          </w:p>
        </w:tc>
      </w:tr>
      <w:tr w:rsidR="00C3109A" w:rsidRPr="00C3109A" w14:paraId="4D792AED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1B632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TQOL Change from Baseline LSMean (SE)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75BC7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8.9 (3.08)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8C34D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0.1 (2.98)</w:t>
            </w:r>
          </w:p>
        </w:tc>
      </w:tr>
      <w:tr w:rsidR="00C3109A" w:rsidRPr="00C3109A" w14:paraId="7278BF66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0AAA7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596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Difference in LSMeans (SE)</w:t>
            </w:r>
          </w:p>
          <w:p w14:paraId="494F995E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596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95% CI of Difference (p-value)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B76AE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-8.8 (4.32)</w:t>
            </w:r>
          </w:p>
          <w:p w14:paraId="6BC4A848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-17.4, -0.2 (0.045)</w:t>
            </w:r>
          </w:p>
        </w:tc>
      </w:tr>
    </w:tbl>
    <w:p w14:paraId="1D53A5F7" w14:textId="5AE9CB71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2"/>
          <w:szCs w:val="22"/>
          <w:lang w:val="en-US" w:eastAsia="en-US"/>
        </w:rPr>
      </w:pPr>
      <w:r w:rsidRPr="001F6AF1">
        <w:rPr>
          <w:sz w:val="22"/>
          <w:szCs w:val="22"/>
          <w:lang w:val="en-US" w:eastAsia="en-US"/>
        </w:rPr>
        <w:t>In the pre-specified ITT NIS-LL Responder analysis, patients who discontinued prior to the 18-month time point due to liver transplantation were categorised as non-responders. The pre-specified Efficacy Evaluable Analysis used observed data for those patients who completed the 18–month treatment per protocol.</w:t>
      </w:r>
    </w:p>
    <w:p w14:paraId="2D12BC97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</w:p>
    <w:p w14:paraId="42D9A7C0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The secondary endpoints demonstrated that tafamidis meglumine treatment resulted in less</w:t>
      </w:r>
    </w:p>
    <w:p w14:paraId="6BB823C9" w14:textId="09F00D03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lastRenderedPageBreak/>
        <w:t>deterioration of neurologic function and improved nutritional status (mBMI) compared with placebo,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as shown in the following table.</w:t>
      </w:r>
    </w:p>
    <w:p w14:paraId="1241C956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u w:val="single"/>
          <w:lang w:val="en-GB" w:eastAsia="en-US"/>
        </w:rPr>
      </w:pPr>
    </w:p>
    <w:tbl>
      <w:tblPr>
        <w:tblStyle w:val="Tabel-Gitter1"/>
        <w:tblW w:w="9061" w:type="dxa"/>
        <w:tblInd w:w="846" w:type="dxa"/>
        <w:tblLook w:val="04A0" w:firstRow="1" w:lastRow="0" w:firstColumn="1" w:lastColumn="0" w:noHBand="0" w:noVBand="1"/>
      </w:tblPr>
      <w:tblGrid>
        <w:gridCol w:w="3114"/>
        <w:gridCol w:w="1134"/>
        <w:gridCol w:w="1417"/>
        <w:gridCol w:w="1134"/>
        <w:gridCol w:w="2262"/>
      </w:tblGrid>
      <w:tr w:rsidR="00C3109A" w:rsidRPr="000F1992" w14:paraId="14CE79BB" w14:textId="77777777" w:rsidTr="001F6AF1">
        <w:trPr>
          <w:tblHeader/>
        </w:trPr>
        <w:tc>
          <w:tcPr>
            <w:tcW w:w="90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5B0B4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Secondary Endpoints Changes from Baseline to Month 18 LSMean (Standard Error)</w:t>
            </w:r>
          </w:p>
          <w:p w14:paraId="20E88F4E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(Intent-to-Treat Population) (Study Fx-005)</w:t>
            </w:r>
          </w:p>
        </w:tc>
      </w:tr>
      <w:tr w:rsidR="00C3109A" w:rsidRPr="00C3109A" w14:paraId="0EFBE197" w14:textId="77777777" w:rsidTr="001F6AF1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CA78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44363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Placebo</w:t>
            </w:r>
          </w:p>
          <w:p w14:paraId="5F99EA68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N=61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6F86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Tafamidis meglumine</w:t>
            </w:r>
          </w:p>
          <w:p w14:paraId="743D360D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N=64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F90C6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P-value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1E61A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Tafamidis meglumine % change</w:t>
            </w:r>
          </w:p>
          <w:p w14:paraId="3A955C1F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relative to placebo</w:t>
            </w:r>
          </w:p>
        </w:tc>
      </w:tr>
      <w:tr w:rsidR="00C3109A" w:rsidRPr="00C3109A" w14:paraId="59A2620B" w14:textId="77777777" w:rsidTr="001F6AF1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068A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NIS-LL change from BL</w:t>
            </w:r>
          </w:p>
          <w:p w14:paraId="4BA9CE2C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LSMean (SE)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75982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5.8 (0.96)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19CCE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2.8 (0.95)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56BE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0.027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16A93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-52 %</w:t>
            </w:r>
          </w:p>
        </w:tc>
      </w:tr>
      <w:tr w:rsidR="00C3109A" w:rsidRPr="00C3109A" w14:paraId="1B2E0E9E" w14:textId="77777777" w:rsidTr="001F6AF1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81544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Large Fibre change from BL</w:t>
            </w:r>
          </w:p>
          <w:p w14:paraId="7674A04D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LSMean (SE)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69890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3.2 (0.63)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7D06A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1.5 (0.62)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32EFA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0.066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DF6B4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-53 %</w:t>
            </w:r>
          </w:p>
        </w:tc>
      </w:tr>
      <w:tr w:rsidR="00C3109A" w:rsidRPr="00C3109A" w14:paraId="702159C5" w14:textId="77777777" w:rsidTr="001F6AF1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71DA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Small Fibre change from BL</w:t>
            </w:r>
          </w:p>
          <w:p w14:paraId="2663A9B7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LSMean (SE)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28C13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1.6 (0.32)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49064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0.3 (0.31)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1DDA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0.005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FFA6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-81 %</w:t>
            </w:r>
          </w:p>
        </w:tc>
      </w:tr>
      <w:tr w:rsidR="00C3109A" w:rsidRPr="00C3109A" w14:paraId="6E9019CE" w14:textId="77777777" w:rsidTr="001F6AF1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CBEF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mBMI change from BL</w:t>
            </w:r>
          </w:p>
          <w:p w14:paraId="570562EB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LSMean (SE)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0BC13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-251" w:right="-249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-33.8 (11.8)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BCB32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39.3 (11.5)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EE9AC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&lt; 0.0001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74146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NA</w:t>
            </w:r>
          </w:p>
        </w:tc>
      </w:tr>
    </w:tbl>
    <w:p w14:paraId="293AEBF3" w14:textId="44C404BA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2"/>
          <w:szCs w:val="22"/>
          <w:lang w:val="en-US" w:eastAsia="en-US"/>
        </w:rPr>
      </w:pPr>
      <w:r w:rsidRPr="001F6AF1">
        <w:rPr>
          <w:sz w:val="22"/>
          <w:szCs w:val="22"/>
          <w:lang w:val="en-US" w:eastAsia="en-US"/>
        </w:rPr>
        <w:t>mBMI was derived as the product of serum albumin and Body Mass Index.</w:t>
      </w:r>
    </w:p>
    <w:p w14:paraId="547A8359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2"/>
          <w:szCs w:val="22"/>
          <w:lang w:val="en-US" w:eastAsia="en-US"/>
        </w:rPr>
      </w:pPr>
      <w:r w:rsidRPr="001F6AF1">
        <w:rPr>
          <w:sz w:val="22"/>
          <w:szCs w:val="22"/>
          <w:lang w:val="en-US" w:eastAsia="en-US"/>
        </w:rPr>
        <w:t>Based on repeated measures analysis of variance with change from baseline as the dependent variable, an unstructured covariance matrix, treatment, month and treatment-by-month as fixed effects, and subject as a random effect in the model.</w:t>
      </w:r>
    </w:p>
    <w:p w14:paraId="7B0DBE67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2"/>
          <w:szCs w:val="22"/>
          <w:lang w:val="en-US" w:eastAsia="en-US"/>
        </w:rPr>
      </w:pPr>
      <w:r w:rsidRPr="001F6AF1">
        <w:rPr>
          <w:sz w:val="22"/>
          <w:szCs w:val="22"/>
          <w:lang w:val="en-US" w:eastAsia="en-US"/>
        </w:rPr>
        <w:t>NA=not applicable.</w:t>
      </w:r>
    </w:p>
    <w:p w14:paraId="594E63C9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</w:p>
    <w:p w14:paraId="23FA9957" w14:textId="3DA1EBAE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In the open-label extension study, the rate of change in the NIS-LL during the 12 months of treatment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was similar to that observed in those patients randomised and treated with tafamidis in the previous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double blind 18-month period.</w:t>
      </w:r>
    </w:p>
    <w:p w14:paraId="5FD964E3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</w:p>
    <w:p w14:paraId="4D5DF7F6" w14:textId="06DB243F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The effects of tafamidis have been assessed in patients with non-Val30Met ATTR-PN in a supportive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open-label study in 21 patients and a post-marketing observational study in 39 patients. Based on the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results of these studies, the mechanism of action of tafamidis and the results on TTR stabilisation,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tafamidis meglumine is expected to be beneficial in patients with stage 1 ATTR-PN due to mutations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other than Val30Met.</w:t>
      </w:r>
    </w:p>
    <w:p w14:paraId="28FE8311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</w:p>
    <w:p w14:paraId="248028FE" w14:textId="0EB90BB4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The effects of tafamidis have been assessed in a double-blind, placebo-controlled, randomised 3-arm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study in 441 patients with transthyretin amyloid cardiomyopathy (ATTR-CM). The primary analysis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of pooled tafamidis meglumine (20 mg and 80 mg) versus placebo demonstrated a significant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reduction (p=0.0006) in all-cause mortality and frequency of cardiovascular-related hospitalisations.</w:t>
      </w:r>
    </w:p>
    <w:p w14:paraId="63B16A05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GB" w:eastAsia="en-US"/>
        </w:rPr>
      </w:pPr>
    </w:p>
    <w:p w14:paraId="4C54E274" w14:textId="3F0F23BB" w:rsidR="00C3109A" w:rsidRPr="001F6AF1" w:rsidRDefault="00C3109A" w:rsidP="001F6AF1">
      <w:pPr>
        <w:numPr>
          <w:ilvl w:val="12"/>
          <w:numId w:val="0"/>
        </w:numPr>
        <w:tabs>
          <w:tab w:val="left" w:pos="851"/>
        </w:tabs>
        <w:ind w:left="851" w:right="-2"/>
        <w:rPr>
          <w:bCs/>
          <w:iCs/>
          <w:sz w:val="24"/>
          <w:szCs w:val="24"/>
          <w:lang w:val="en-GB" w:eastAsia="en-US"/>
        </w:rPr>
      </w:pPr>
      <w:r w:rsidRPr="001F6AF1">
        <w:rPr>
          <w:bCs/>
          <w:iCs/>
          <w:sz w:val="24"/>
          <w:szCs w:val="24"/>
          <w:lang w:val="en-GB" w:eastAsia="en-US"/>
        </w:rPr>
        <w:t>A supra-therapeutic, single, 400 mg oral dose of tafamidis solution in healthy volunteers demonstrated</w:t>
      </w:r>
      <w:r w:rsidR="001F6AF1">
        <w:rPr>
          <w:bCs/>
          <w:iCs/>
          <w:sz w:val="24"/>
          <w:szCs w:val="24"/>
          <w:lang w:val="en-GB" w:eastAsia="en-US"/>
        </w:rPr>
        <w:t xml:space="preserve"> </w:t>
      </w:r>
      <w:r w:rsidRPr="001F6AF1">
        <w:rPr>
          <w:bCs/>
          <w:iCs/>
          <w:sz w:val="24"/>
          <w:szCs w:val="24"/>
          <w:lang w:val="en-GB" w:eastAsia="en-US"/>
        </w:rPr>
        <w:t>no prolongation of the QTc interval.</w:t>
      </w:r>
    </w:p>
    <w:p w14:paraId="6F804844" w14:textId="77777777" w:rsidR="00C3109A" w:rsidRPr="001F6AF1" w:rsidRDefault="00C3109A" w:rsidP="001F6AF1">
      <w:pPr>
        <w:numPr>
          <w:ilvl w:val="12"/>
          <w:numId w:val="0"/>
        </w:numPr>
        <w:tabs>
          <w:tab w:val="left" w:pos="851"/>
        </w:tabs>
        <w:ind w:left="851" w:right="-2"/>
        <w:rPr>
          <w:bCs/>
          <w:iCs/>
          <w:sz w:val="24"/>
          <w:szCs w:val="24"/>
          <w:lang w:val="en-GB" w:eastAsia="en-US"/>
        </w:rPr>
      </w:pPr>
    </w:p>
    <w:p w14:paraId="0D318C45" w14:textId="7DDC4535" w:rsidR="00C3109A" w:rsidRPr="001F6AF1" w:rsidRDefault="00C3109A" w:rsidP="001F6AF1">
      <w:pPr>
        <w:numPr>
          <w:ilvl w:val="12"/>
          <w:numId w:val="0"/>
        </w:numPr>
        <w:tabs>
          <w:tab w:val="left" w:pos="851"/>
        </w:tabs>
        <w:ind w:left="851" w:right="-2"/>
        <w:rPr>
          <w:bCs/>
          <w:iCs/>
          <w:sz w:val="24"/>
          <w:szCs w:val="24"/>
          <w:lang w:val="en-GB" w:eastAsia="en-US"/>
        </w:rPr>
      </w:pPr>
      <w:r w:rsidRPr="001F6AF1">
        <w:rPr>
          <w:bCs/>
          <w:iCs/>
          <w:sz w:val="24"/>
          <w:szCs w:val="24"/>
          <w:lang w:val="en-GB" w:eastAsia="en-US"/>
        </w:rPr>
        <w:t>The European Medicines Agency has waived the obligation to submit the results of studies with the</w:t>
      </w:r>
      <w:r w:rsidR="001F6AF1">
        <w:rPr>
          <w:bCs/>
          <w:iCs/>
          <w:sz w:val="24"/>
          <w:szCs w:val="24"/>
          <w:lang w:val="en-GB" w:eastAsia="en-US"/>
        </w:rPr>
        <w:t xml:space="preserve"> </w:t>
      </w:r>
      <w:r w:rsidRPr="001F6AF1">
        <w:rPr>
          <w:bCs/>
          <w:iCs/>
          <w:sz w:val="24"/>
          <w:szCs w:val="24"/>
          <w:lang w:val="en-GB" w:eastAsia="en-US"/>
        </w:rPr>
        <w:t>reference medicinal product containing tafamidis in all subsets of the paediatric population in</w:t>
      </w:r>
      <w:r w:rsidR="001F6AF1">
        <w:rPr>
          <w:bCs/>
          <w:iCs/>
          <w:sz w:val="24"/>
          <w:szCs w:val="24"/>
          <w:lang w:val="en-GB" w:eastAsia="en-US"/>
        </w:rPr>
        <w:t xml:space="preserve"> </w:t>
      </w:r>
      <w:r w:rsidRPr="001F6AF1">
        <w:rPr>
          <w:bCs/>
          <w:iCs/>
          <w:sz w:val="24"/>
          <w:szCs w:val="24"/>
          <w:lang w:val="en-GB" w:eastAsia="en-US"/>
        </w:rPr>
        <w:t>transthyretin amyloidosis (see section 4.2 for information on paediatric use).</w:t>
      </w:r>
    </w:p>
    <w:p w14:paraId="40DEF2FB" w14:textId="77777777" w:rsidR="00C3109A" w:rsidRPr="001F6AF1" w:rsidRDefault="00C3109A" w:rsidP="001F6AF1">
      <w:pPr>
        <w:numPr>
          <w:ilvl w:val="12"/>
          <w:numId w:val="0"/>
        </w:numPr>
        <w:tabs>
          <w:tab w:val="left" w:pos="851"/>
        </w:tabs>
        <w:ind w:left="851" w:right="-2"/>
        <w:rPr>
          <w:bCs/>
          <w:iCs/>
          <w:sz w:val="24"/>
          <w:szCs w:val="24"/>
          <w:lang w:val="en-GB" w:eastAsia="en-US"/>
        </w:rPr>
      </w:pPr>
    </w:p>
    <w:p w14:paraId="0CCEDA29" w14:textId="147F80EB" w:rsidR="00C3109A" w:rsidRPr="001F6AF1" w:rsidRDefault="00C3109A" w:rsidP="001F6AF1">
      <w:pPr>
        <w:numPr>
          <w:ilvl w:val="12"/>
          <w:numId w:val="0"/>
        </w:numPr>
        <w:tabs>
          <w:tab w:val="left" w:pos="851"/>
        </w:tabs>
        <w:ind w:left="851" w:right="-2"/>
        <w:rPr>
          <w:bCs/>
          <w:iCs/>
          <w:sz w:val="24"/>
          <w:szCs w:val="24"/>
          <w:lang w:val="en-GB" w:eastAsia="en-US"/>
        </w:rPr>
      </w:pPr>
      <w:r w:rsidRPr="001F6AF1">
        <w:rPr>
          <w:bCs/>
          <w:iCs/>
          <w:sz w:val="24"/>
          <w:szCs w:val="24"/>
          <w:lang w:val="en-GB" w:eastAsia="en-US"/>
        </w:rPr>
        <w:t>The reference medicinal product containing tafamidis meglumine has been authorised under</w:t>
      </w:r>
      <w:r w:rsidR="001F6AF1">
        <w:rPr>
          <w:bCs/>
          <w:iCs/>
          <w:sz w:val="24"/>
          <w:szCs w:val="24"/>
          <w:lang w:val="en-GB" w:eastAsia="en-US"/>
        </w:rPr>
        <w:t xml:space="preserve"> </w:t>
      </w:r>
      <w:r w:rsidRPr="001F6AF1">
        <w:rPr>
          <w:bCs/>
          <w:iCs/>
          <w:sz w:val="24"/>
          <w:szCs w:val="24"/>
          <w:lang w:val="en-GB" w:eastAsia="en-US"/>
        </w:rPr>
        <w:t>‘exceptional circumstances’. This means that due to the rarity of the disease it has not been possible to</w:t>
      </w:r>
      <w:r w:rsidR="001F6AF1">
        <w:rPr>
          <w:bCs/>
          <w:iCs/>
          <w:sz w:val="24"/>
          <w:szCs w:val="24"/>
          <w:lang w:val="en-GB" w:eastAsia="en-US"/>
        </w:rPr>
        <w:t xml:space="preserve"> </w:t>
      </w:r>
      <w:r w:rsidRPr="001F6AF1">
        <w:rPr>
          <w:bCs/>
          <w:iCs/>
          <w:sz w:val="24"/>
          <w:szCs w:val="24"/>
          <w:lang w:val="en-GB" w:eastAsia="en-US"/>
        </w:rPr>
        <w:t>obtain complete information on the reference medicinal product. The European Medicines Agency</w:t>
      </w:r>
      <w:r w:rsidR="001F6AF1">
        <w:rPr>
          <w:bCs/>
          <w:iCs/>
          <w:sz w:val="24"/>
          <w:szCs w:val="24"/>
          <w:lang w:val="en-GB" w:eastAsia="en-US"/>
        </w:rPr>
        <w:t xml:space="preserve"> </w:t>
      </w:r>
      <w:r w:rsidRPr="001F6AF1">
        <w:rPr>
          <w:bCs/>
          <w:iCs/>
          <w:sz w:val="24"/>
          <w:szCs w:val="24"/>
          <w:lang w:val="en-GB" w:eastAsia="en-US"/>
        </w:rPr>
        <w:t>will review any new information which may become available every year and this SmPC will be</w:t>
      </w:r>
      <w:r w:rsidR="001F6AF1">
        <w:rPr>
          <w:bCs/>
          <w:iCs/>
          <w:sz w:val="24"/>
          <w:szCs w:val="24"/>
          <w:lang w:val="en-GB" w:eastAsia="en-US"/>
        </w:rPr>
        <w:t xml:space="preserve"> </w:t>
      </w:r>
      <w:r w:rsidRPr="001F6AF1">
        <w:rPr>
          <w:bCs/>
          <w:iCs/>
          <w:sz w:val="24"/>
          <w:szCs w:val="24"/>
          <w:lang w:val="en-GB" w:eastAsia="en-US"/>
        </w:rPr>
        <w:t>updated as necessary accordingly to the reference medicinal product SmPC.</w:t>
      </w:r>
    </w:p>
    <w:p w14:paraId="76941575" w14:textId="77777777" w:rsidR="00C3109A" w:rsidRPr="00C3109A" w:rsidRDefault="00C3109A" w:rsidP="00C3109A">
      <w:pPr>
        <w:numPr>
          <w:ilvl w:val="12"/>
          <w:numId w:val="0"/>
        </w:numPr>
        <w:tabs>
          <w:tab w:val="left" w:pos="567"/>
        </w:tabs>
        <w:ind w:right="-2"/>
        <w:rPr>
          <w:iCs/>
          <w:noProof/>
          <w:sz w:val="22"/>
          <w:szCs w:val="22"/>
          <w:lang w:val="en-GB" w:eastAsia="en-US"/>
        </w:rPr>
      </w:pPr>
    </w:p>
    <w:p w14:paraId="5E23140A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02C4A86A" w14:textId="77777777" w:rsidR="007C5D2A" w:rsidRPr="00303008" w:rsidRDefault="007C5D2A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5.2</w:t>
      </w:r>
      <w:r w:rsidRPr="00303008">
        <w:rPr>
          <w:b/>
          <w:sz w:val="24"/>
          <w:szCs w:val="24"/>
          <w:lang w:val="en-GB"/>
        </w:rPr>
        <w:tab/>
        <w:t>Pharmacokinetic properties</w:t>
      </w:r>
      <w:r w:rsidRPr="00303008">
        <w:rPr>
          <w:b/>
          <w:sz w:val="24"/>
          <w:szCs w:val="24"/>
          <w:lang w:val="en-GB"/>
        </w:rPr>
        <w:tab/>
      </w:r>
    </w:p>
    <w:p w14:paraId="0568C182" w14:textId="77777777" w:rsidR="005060DB" w:rsidRDefault="005060DB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</w:p>
    <w:p w14:paraId="3BC260F3" w14:textId="0F56863E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3109A">
        <w:rPr>
          <w:sz w:val="24"/>
          <w:szCs w:val="24"/>
          <w:u w:val="single"/>
          <w:lang w:val="en-GB"/>
        </w:rPr>
        <w:t>Absorption</w:t>
      </w:r>
    </w:p>
    <w:p w14:paraId="0D2DB20D" w14:textId="170F4094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After oral administration of the soft capsule once daily, the maximum peak concentration (C</w:t>
      </w:r>
      <w:r w:rsidRPr="00C3109A">
        <w:rPr>
          <w:sz w:val="24"/>
          <w:szCs w:val="24"/>
          <w:vertAlign w:val="subscript"/>
          <w:lang w:val="en-US"/>
        </w:rPr>
        <w:t>max</w:t>
      </w:r>
      <w:r w:rsidRPr="00C3109A">
        <w:rPr>
          <w:sz w:val="24"/>
          <w:szCs w:val="24"/>
          <w:lang w:val="en-US"/>
        </w:rPr>
        <w:t>) is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achieved within a median time (t</w:t>
      </w:r>
      <w:r w:rsidRPr="00C3109A">
        <w:rPr>
          <w:sz w:val="24"/>
          <w:szCs w:val="24"/>
          <w:vertAlign w:val="subscript"/>
          <w:lang w:val="en-US"/>
        </w:rPr>
        <w:t>max</w:t>
      </w:r>
      <w:r w:rsidRPr="00C3109A">
        <w:rPr>
          <w:sz w:val="24"/>
          <w:szCs w:val="24"/>
          <w:lang w:val="en-US"/>
        </w:rPr>
        <w:t>) of 4 hours after dosing in the fasted state. Concomitant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administration of a high fat, high calorie meal altered the rate of absorption, but not the extent of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absorption. These results support the administration of tafamidis with or without food.</w:t>
      </w:r>
    </w:p>
    <w:p w14:paraId="2D145BD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</w:p>
    <w:p w14:paraId="0113122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3109A">
        <w:rPr>
          <w:sz w:val="24"/>
          <w:szCs w:val="24"/>
          <w:u w:val="single"/>
          <w:lang w:val="en-GB"/>
        </w:rPr>
        <w:t>Distribution</w:t>
      </w:r>
    </w:p>
    <w:p w14:paraId="53AC48F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Tafamidis is highly protein bound (&gt; 99 %) in plasma. The apparent steady-state volume of</w:t>
      </w:r>
    </w:p>
    <w:p w14:paraId="13783407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distribution is 16 litres.</w:t>
      </w:r>
    </w:p>
    <w:p w14:paraId="0570BEFF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3097169F" w14:textId="0FDB090C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The extent of tafamidis binding to plasma proteins has been evaluated using animal and human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plasma. The affinity of tafamidis for TTR is greater than that for albumin. Therefore, in plasma,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tafamidis is likely to bind preferentially to TTR despite the significantly higher concentration of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 xml:space="preserve">albumin (600 </w:t>
      </w:r>
      <w:r w:rsidRPr="00C3109A">
        <w:rPr>
          <w:sz w:val="24"/>
          <w:szCs w:val="24"/>
          <w:lang w:val="fr-FR"/>
        </w:rPr>
        <w:t>μ</w:t>
      </w:r>
      <w:r w:rsidRPr="00C3109A">
        <w:rPr>
          <w:sz w:val="24"/>
          <w:szCs w:val="24"/>
          <w:lang w:val="en-US"/>
        </w:rPr>
        <w:t xml:space="preserve">M) relative to TTR (3.6 </w:t>
      </w:r>
      <w:r w:rsidRPr="00C3109A">
        <w:rPr>
          <w:sz w:val="24"/>
          <w:szCs w:val="24"/>
          <w:lang w:val="fr-FR"/>
        </w:rPr>
        <w:t>μ</w:t>
      </w:r>
      <w:r w:rsidRPr="00C3109A">
        <w:rPr>
          <w:sz w:val="24"/>
          <w:szCs w:val="24"/>
          <w:lang w:val="en-US"/>
        </w:rPr>
        <w:t>M).</w:t>
      </w:r>
    </w:p>
    <w:p w14:paraId="2F4B8FF4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</w:p>
    <w:p w14:paraId="00DE5FD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3109A">
        <w:rPr>
          <w:sz w:val="24"/>
          <w:szCs w:val="24"/>
          <w:u w:val="single"/>
          <w:lang w:val="en-GB"/>
        </w:rPr>
        <w:t>Biotransformation and elimination</w:t>
      </w:r>
    </w:p>
    <w:p w14:paraId="14DED964" w14:textId="538A0518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US"/>
        </w:rPr>
        <w:t>There is no explicit evidence of biliary excretion of tafamidis in humans. Based on preclinical data, it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is suggested that tafamidis is metabolised by glucuronidation and excreted via the bile. This route of biotransformation is plausible in humans, as approximately 59 % of the total administered dose is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recovered in faeces, and approximately 22 % recovered in urine. Based on population pharmacokinetic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results, the apparent oral clearance of tafamidis meglumine is 0.228 L/h and the population mean half-life is approximately 49 hours.</w:t>
      </w:r>
    </w:p>
    <w:p w14:paraId="44468DA5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</w:p>
    <w:p w14:paraId="61B4D53F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US"/>
        </w:rPr>
      </w:pPr>
      <w:r w:rsidRPr="00C3109A">
        <w:rPr>
          <w:iCs/>
          <w:sz w:val="24"/>
          <w:szCs w:val="24"/>
          <w:u w:val="single"/>
          <w:lang w:val="en-US"/>
        </w:rPr>
        <w:t>Dose and time linearity</w:t>
      </w:r>
    </w:p>
    <w:p w14:paraId="1C38E292" w14:textId="371CE548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Exposure from once-daily dosing with tafamidis meglumine increased with increasing dose up to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480 mg single dose and multiple doses up to 80 mg/day. In general, increases were proportional or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near proportional to dose and tafamidis clearance was stationary over time.</w:t>
      </w:r>
    </w:p>
    <w:p w14:paraId="4D58C66B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</w:p>
    <w:p w14:paraId="3B86F9A3" w14:textId="6C4E7A33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Pharmacokinetic parameters were similar after single and repeated administration of 20 mg tafamidis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meglumine, indicating a lack of induction or inhibition of tafamidis metabolism.</w:t>
      </w:r>
    </w:p>
    <w:p w14:paraId="4423B4DC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</w:p>
    <w:p w14:paraId="71C3D45C" w14:textId="0165790C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Results of once-daily dosing with 15 mg to 60 mg oral solution tafamidis meglumine for 14 days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demonstrated that steady-state was achieved by day 14.</w:t>
      </w:r>
    </w:p>
    <w:p w14:paraId="00B6C46A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</w:p>
    <w:p w14:paraId="7E99B4B3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US"/>
        </w:rPr>
      </w:pPr>
      <w:r w:rsidRPr="00C3109A">
        <w:rPr>
          <w:iCs/>
          <w:sz w:val="24"/>
          <w:szCs w:val="24"/>
          <w:u w:val="single"/>
          <w:lang w:val="en-US"/>
        </w:rPr>
        <w:t>Special populations</w:t>
      </w:r>
    </w:p>
    <w:p w14:paraId="601569DF" w14:textId="77777777" w:rsidR="005060DB" w:rsidRDefault="005060DB" w:rsidP="00C3109A">
      <w:pPr>
        <w:tabs>
          <w:tab w:val="left" w:pos="851"/>
        </w:tabs>
        <w:ind w:left="851"/>
        <w:rPr>
          <w:i/>
          <w:iCs/>
          <w:sz w:val="24"/>
          <w:szCs w:val="24"/>
          <w:lang w:val="en-US"/>
        </w:rPr>
      </w:pPr>
    </w:p>
    <w:p w14:paraId="69B63EF2" w14:textId="2CE1736A" w:rsidR="00C3109A" w:rsidRPr="00C3109A" w:rsidRDefault="00C3109A" w:rsidP="00C3109A">
      <w:pPr>
        <w:tabs>
          <w:tab w:val="left" w:pos="851"/>
        </w:tabs>
        <w:ind w:left="851"/>
        <w:rPr>
          <w:i/>
          <w:iCs/>
          <w:sz w:val="24"/>
          <w:szCs w:val="24"/>
          <w:lang w:val="en-US"/>
        </w:rPr>
      </w:pPr>
      <w:r w:rsidRPr="00C3109A">
        <w:rPr>
          <w:i/>
          <w:iCs/>
          <w:sz w:val="24"/>
          <w:szCs w:val="24"/>
          <w:lang w:val="en-US"/>
        </w:rPr>
        <w:t>Hepatic impairment</w:t>
      </w:r>
    </w:p>
    <w:p w14:paraId="0F3AF4FC" w14:textId="000C0D1E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Pharmacokinetic data indicated decreased systemic exposure (approximately 40 %) and increased total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clearance (0.52 L/h versus 0.31 L/h) of tafamidis meglumine in patients with moderate hepatic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impairment (Child-Pugh Score of 7-9 inclusive) compared to healthy subjects due to a higher unbound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fraction of tafamidis. As patients with moderate hepatic impairment have lower TTR levels than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healthy subjects, dosage adjustment is not necessary as the stoichiometry of tafamidis with its target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protein TTR would be sufficient for stabilisation of the TTR tetramer. The exposure to tafamidis in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patients with severe hepatic impairment is unknown.</w:t>
      </w:r>
    </w:p>
    <w:p w14:paraId="63D52DC1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</w:p>
    <w:p w14:paraId="04492686" w14:textId="77777777" w:rsidR="00C3109A" w:rsidRPr="00C3109A" w:rsidRDefault="00C3109A" w:rsidP="00C3109A">
      <w:pPr>
        <w:tabs>
          <w:tab w:val="left" w:pos="851"/>
        </w:tabs>
        <w:ind w:left="851"/>
        <w:rPr>
          <w:i/>
          <w:iCs/>
          <w:sz w:val="24"/>
          <w:szCs w:val="24"/>
          <w:lang w:val="en-US"/>
        </w:rPr>
      </w:pPr>
      <w:r w:rsidRPr="00C3109A">
        <w:rPr>
          <w:i/>
          <w:iCs/>
          <w:sz w:val="24"/>
          <w:szCs w:val="24"/>
          <w:lang w:val="en-US"/>
        </w:rPr>
        <w:lastRenderedPageBreak/>
        <w:t>Renal impairment</w:t>
      </w:r>
    </w:p>
    <w:p w14:paraId="05579B41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Tafamidis has not specifically been evaluated in a dedicated study of patients with renal impairment.</w:t>
      </w:r>
    </w:p>
    <w:p w14:paraId="4C011AD8" w14:textId="1DA446C8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The influence of creatinine clearance on tafamidis pharmacokinetics was evaluated in a population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pharmacokinetic analysis in patients with creatinine clearance greater than 18 mL/min.</w:t>
      </w:r>
    </w:p>
    <w:p w14:paraId="6FAC3CA7" w14:textId="7F3F411F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Pharmacokinetic estimates indicated no difference in apparent oral clearance of tafamidis in patients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with creatinine clearance less than 80 mL/min compared to those with creatinine clearance greater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than or equal to 80 mL/min. Dosage adjustment in patients with renal impairment is considered not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necessary.</w:t>
      </w:r>
    </w:p>
    <w:p w14:paraId="3D9FC575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</w:p>
    <w:p w14:paraId="3566FDD5" w14:textId="77777777" w:rsidR="00C3109A" w:rsidRPr="00C3109A" w:rsidRDefault="00C3109A" w:rsidP="00C3109A">
      <w:pPr>
        <w:tabs>
          <w:tab w:val="left" w:pos="851"/>
        </w:tabs>
        <w:ind w:left="851"/>
        <w:rPr>
          <w:i/>
          <w:iCs/>
          <w:sz w:val="24"/>
          <w:szCs w:val="24"/>
          <w:lang w:val="en-US"/>
        </w:rPr>
      </w:pPr>
      <w:r w:rsidRPr="00C3109A">
        <w:rPr>
          <w:i/>
          <w:iCs/>
          <w:sz w:val="24"/>
          <w:szCs w:val="24"/>
          <w:lang w:val="en-US"/>
        </w:rPr>
        <w:t>Elderly</w:t>
      </w:r>
    </w:p>
    <w:p w14:paraId="1C3F2934" w14:textId="58CEDAF4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Based on population pharmacokinetic results, subjects ≥ 65 years had an average 15 % lower estimate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of apparent oral clearance at steady-state compared to subjects less than 65 years old. However, the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difference in clearance results in &lt; 20 % increases in mean C</w:t>
      </w:r>
      <w:r w:rsidRPr="00C3109A">
        <w:rPr>
          <w:iCs/>
          <w:sz w:val="24"/>
          <w:szCs w:val="24"/>
          <w:vertAlign w:val="subscript"/>
          <w:lang w:val="en-US"/>
        </w:rPr>
        <w:t>max</w:t>
      </w:r>
      <w:r w:rsidRPr="00C3109A">
        <w:rPr>
          <w:iCs/>
          <w:sz w:val="24"/>
          <w:szCs w:val="24"/>
          <w:lang w:val="en-US"/>
        </w:rPr>
        <w:t xml:space="preserve"> and AUC compared to younger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subjects and is not clinically significant.</w:t>
      </w:r>
    </w:p>
    <w:p w14:paraId="3E1C7460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</w:p>
    <w:p w14:paraId="64A96176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US"/>
        </w:rPr>
      </w:pPr>
      <w:r w:rsidRPr="00C3109A">
        <w:rPr>
          <w:iCs/>
          <w:sz w:val="24"/>
          <w:szCs w:val="24"/>
          <w:u w:val="single"/>
          <w:lang w:val="en-US"/>
        </w:rPr>
        <w:t>Pharmacokinetic/pharmacodynamic relationships</w:t>
      </w:r>
    </w:p>
    <w:p w14:paraId="512E4EF0" w14:textId="42ADE434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/>
          <w:iCs/>
          <w:sz w:val="24"/>
          <w:szCs w:val="24"/>
          <w:lang w:val="en-US"/>
        </w:rPr>
        <w:t xml:space="preserve">In vitro </w:t>
      </w:r>
      <w:r w:rsidRPr="00C3109A">
        <w:rPr>
          <w:iCs/>
          <w:sz w:val="24"/>
          <w:szCs w:val="24"/>
          <w:lang w:val="en-US"/>
        </w:rPr>
        <w:t>data indicated that tafamidis does not significantly inhibit cytochrome P450 enzymes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CYP1A2, CYP3A4, CYP3A5, CYP2B6, CYP2C8, CYP2C9, CYP2C19, and CYP2D6. Tafamidis is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not expected to cause clinically relevant drug interaction due to induction of CYP1A2, CYP2B6 or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CYP3A4.</w:t>
      </w:r>
    </w:p>
    <w:p w14:paraId="78973F3A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</w:p>
    <w:p w14:paraId="6FAF8819" w14:textId="5D5CAE6C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/>
          <w:iCs/>
          <w:sz w:val="24"/>
          <w:szCs w:val="24"/>
          <w:lang w:val="en-US"/>
        </w:rPr>
        <w:t xml:space="preserve">In vitro </w:t>
      </w:r>
      <w:r w:rsidRPr="00C3109A">
        <w:rPr>
          <w:iCs/>
          <w:sz w:val="24"/>
          <w:szCs w:val="24"/>
          <w:lang w:val="en-US"/>
        </w:rPr>
        <w:t>studies suggest that it is unlikely tafamidis will cause drug interactions at clinically relevant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concentrations with substrates of UDP glucuronosyltransferase (UGT) systemically. Tafamidis may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inhibit intestinal activities of UGT1A1.</w:t>
      </w:r>
    </w:p>
    <w:p w14:paraId="3C05227E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</w:p>
    <w:p w14:paraId="2624CFF3" w14:textId="579EB921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Tafamidis showed a low potential to inhibit Multi-Drug Resistant Protein (MDR1) (also known as P-glycoprotein; P-gp) systemically and in the gastrointestinal (GI) tract, organic cation transporter 2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(OCT2), multidrug and toxin extrusion transporter 1 (MATE1) and MATE2K, organic anion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transporting polypeptide 1B1 (OATP1B1) and OATP1B3 at clinically relevant concentrations.</w:t>
      </w:r>
    </w:p>
    <w:p w14:paraId="68E5E9EA" w14:textId="77777777" w:rsidR="007C5D2A" w:rsidRPr="00C3109A" w:rsidRDefault="007C5D2A" w:rsidP="003E0341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574BAB92" w14:textId="77777777" w:rsidR="007C5D2A" w:rsidRPr="00303008" w:rsidRDefault="00180A12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5.3</w:t>
      </w:r>
      <w:r w:rsidRPr="00303008">
        <w:rPr>
          <w:b/>
          <w:sz w:val="24"/>
          <w:szCs w:val="24"/>
          <w:lang w:val="en-GB"/>
        </w:rPr>
        <w:tab/>
        <w:t>Preclinical safety data</w:t>
      </w:r>
    </w:p>
    <w:p w14:paraId="7104E0E7" w14:textId="2F0FA6EF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Nonclinical data revealed no special hazard for humans based on conventional studies of safety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pharmacology, fertility and early embryonic development, genotoxicity and carcinogenic potential. In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repeat-dose toxicity and the carcinogenicity studies, the liver appeared as a target organ for toxicity in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the different species tested. Liver effects were seen at exposures approximately ≥2.5 times the human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AUC at steady-state at the clinical dose of 20 mg tafamidis meglumine.</w:t>
      </w:r>
    </w:p>
    <w:p w14:paraId="6335047D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5F9DC15F" w14:textId="1D176642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In a developmental toxicity study in rabbits, a slight increase in skeletal malformations and variations,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abortions in few females, reduced embryo-foetal survival, and reduction in foetal weights were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observed at exposures approximately ≥ 7.2 times the human AUC at steady-state at the clinical dose of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20 mg tafamidis meglumine.</w:t>
      </w:r>
    </w:p>
    <w:p w14:paraId="421032C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15D417EE" w14:textId="6F1A8446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In the rat pre- and postnatal development study with tafamidis, decreased pup survival and reduced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pup weights were noted following maternal dose administration during pregnancy and lactation at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doses of 15 and 30 mg/kg/day. Decreased pup weights in males were associated with delayed sexual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maturation (preputial separation) at 15 mg/kg/day. Impaired performance in a water-maze test for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 xml:space="preserve">learning and memory was observed at 15 mg/kg/day. </w:t>
      </w:r>
      <w:r w:rsidRPr="00C3109A">
        <w:rPr>
          <w:sz w:val="24"/>
          <w:szCs w:val="24"/>
          <w:lang w:val="en-US"/>
        </w:rPr>
        <w:lastRenderedPageBreak/>
        <w:t>The NOAEL for viability and growth in the F1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generation offspring following maternal dose administration during pregnancy and lactation with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tafamidis was 5 mg/kg/day (human equivalent dose=0.8 mg/kg/day), a dose approximately 4.6 times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the clinical dose of 20 mg tafamidis meglumine.</w:t>
      </w:r>
    </w:p>
    <w:p w14:paraId="1B07BECD" w14:textId="77777777" w:rsidR="007C5D2A" w:rsidRPr="00C3109A" w:rsidRDefault="007C5D2A" w:rsidP="003E0341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132F7DDD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1FFC5463" w14:textId="77777777" w:rsidR="007C5D2A" w:rsidRPr="00303008" w:rsidRDefault="009925C9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6.</w:t>
      </w:r>
      <w:r w:rsidR="007C5D2A" w:rsidRPr="00303008">
        <w:rPr>
          <w:b/>
          <w:sz w:val="24"/>
          <w:szCs w:val="24"/>
          <w:lang w:val="en-GB"/>
        </w:rPr>
        <w:tab/>
        <w:t>PHARMACEUTICAL PARTICULARS</w:t>
      </w:r>
    </w:p>
    <w:p w14:paraId="2E3E3049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22CF1D97" w14:textId="77777777" w:rsidR="007C5D2A" w:rsidRPr="00303008" w:rsidRDefault="007C5D2A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6.1</w:t>
      </w:r>
      <w:r w:rsidRPr="00303008">
        <w:rPr>
          <w:b/>
          <w:sz w:val="24"/>
          <w:szCs w:val="24"/>
          <w:lang w:val="en-GB"/>
        </w:rPr>
        <w:tab/>
        <w:t>List of excipients</w:t>
      </w:r>
    </w:p>
    <w:p w14:paraId="7068EB7B" w14:textId="77777777" w:rsidR="00C3109A" w:rsidRPr="00C3109A" w:rsidRDefault="00C3109A" w:rsidP="00C3109A">
      <w:pPr>
        <w:tabs>
          <w:tab w:val="left" w:pos="851"/>
        </w:tabs>
        <w:ind w:left="851"/>
        <w:rPr>
          <w:i/>
          <w:sz w:val="24"/>
          <w:szCs w:val="24"/>
          <w:lang w:val="en-GB"/>
        </w:rPr>
      </w:pPr>
    </w:p>
    <w:p w14:paraId="041EBE4E" w14:textId="77777777" w:rsidR="00C3109A" w:rsidRPr="00BB540F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  <w:r w:rsidRPr="00BB540F">
        <w:rPr>
          <w:sz w:val="24"/>
          <w:szCs w:val="24"/>
          <w:u w:val="single"/>
          <w:lang w:val="en-US"/>
        </w:rPr>
        <w:t>Capsule shell</w:t>
      </w:r>
    </w:p>
    <w:p w14:paraId="2A776A1D" w14:textId="13527002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Gelatine (E441)</w:t>
      </w:r>
    </w:p>
    <w:p w14:paraId="422EA1B8" w14:textId="5C9FB2F9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Glycerol (E422)</w:t>
      </w:r>
    </w:p>
    <w:p w14:paraId="11FED8C1" w14:textId="75A1E7C6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Yellow iron oxide (E172)</w:t>
      </w:r>
    </w:p>
    <w:p w14:paraId="78CE0D7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Sorbitol, liquid, partially dehydrated</w:t>
      </w:r>
    </w:p>
    <w:p w14:paraId="13E7BEFD" w14:textId="5F4597A8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Titanium dioxide (E171)</w:t>
      </w:r>
    </w:p>
    <w:p w14:paraId="3C96B645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Water purified</w:t>
      </w:r>
    </w:p>
    <w:p w14:paraId="7CDB3E0B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Lecithin</w:t>
      </w:r>
    </w:p>
    <w:p w14:paraId="01E8290E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427BB7B5" w14:textId="77777777" w:rsidR="00C3109A" w:rsidRPr="00BB540F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  <w:r w:rsidRPr="00BB540F">
        <w:rPr>
          <w:sz w:val="24"/>
          <w:szCs w:val="24"/>
          <w:u w:val="single"/>
          <w:lang w:val="en-US"/>
        </w:rPr>
        <w:t>Capsule contents</w:t>
      </w:r>
    </w:p>
    <w:p w14:paraId="1F436862" w14:textId="0BD7E446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Macrogol 400 (E1521)</w:t>
      </w:r>
    </w:p>
    <w:p w14:paraId="780848F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Sorbitan oleate</w:t>
      </w:r>
    </w:p>
    <w:p w14:paraId="70E45C55" w14:textId="745CF58B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Polysorbate 80 (E433)</w:t>
      </w:r>
    </w:p>
    <w:p w14:paraId="03B72E0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256D93D8" w14:textId="77777777" w:rsidR="00C3109A" w:rsidRPr="00BB540F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  <w:r w:rsidRPr="00BB540F">
        <w:rPr>
          <w:sz w:val="24"/>
          <w:szCs w:val="24"/>
          <w:u w:val="single"/>
          <w:lang w:val="en-US"/>
        </w:rPr>
        <w:t>Printing ink</w:t>
      </w:r>
    </w:p>
    <w:p w14:paraId="77CD7C03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Shellac</w:t>
      </w:r>
    </w:p>
    <w:p w14:paraId="211B8849" w14:textId="2D44C4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Carmine (E120)</w:t>
      </w:r>
    </w:p>
    <w:p w14:paraId="38482279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Simeticone</w:t>
      </w:r>
    </w:p>
    <w:p w14:paraId="425F6083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Propylene Glycol</w:t>
      </w:r>
    </w:p>
    <w:p w14:paraId="15A47519" w14:textId="77777777" w:rsidR="007C5D2A" w:rsidRPr="00303008" w:rsidRDefault="007C5D2A" w:rsidP="003D727E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612CF19C" w14:textId="77777777" w:rsidR="007C5D2A" w:rsidRPr="00303008" w:rsidRDefault="007C5D2A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6.2</w:t>
      </w:r>
      <w:r w:rsidRPr="00303008">
        <w:rPr>
          <w:b/>
          <w:sz w:val="24"/>
          <w:szCs w:val="24"/>
          <w:lang w:val="en-GB"/>
        </w:rPr>
        <w:tab/>
        <w:t>Incompatibilities</w:t>
      </w:r>
    </w:p>
    <w:p w14:paraId="74A2707C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Not applicable.</w:t>
      </w:r>
    </w:p>
    <w:p w14:paraId="217A99FF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7772901E" w14:textId="77777777" w:rsidR="007C5D2A" w:rsidRPr="00303008" w:rsidRDefault="007C5D2A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6.3</w:t>
      </w:r>
      <w:r w:rsidRPr="00303008">
        <w:rPr>
          <w:b/>
          <w:sz w:val="24"/>
          <w:szCs w:val="24"/>
          <w:lang w:val="en-GB"/>
        </w:rPr>
        <w:tab/>
        <w:t>Shelf</w:t>
      </w:r>
      <w:r w:rsidR="00B45DC5">
        <w:rPr>
          <w:b/>
          <w:sz w:val="24"/>
          <w:szCs w:val="24"/>
          <w:lang w:val="en-GB"/>
        </w:rPr>
        <w:t xml:space="preserve"> </w:t>
      </w:r>
      <w:r w:rsidRPr="00303008">
        <w:rPr>
          <w:b/>
          <w:sz w:val="24"/>
          <w:szCs w:val="24"/>
          <w:lang w:val="en-GB"/>
        </w:rPr>
        <w:t>life</w:t>
      </w:r>
    </w:p>
    <w:p w14:paraId="15193994" w14:textId="4231E385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2 years</w:t>
      </w:r>
      <w:r w:rsidR="00BB540F">
        <w:rPr>
          <w:sz w:val="24"/>
          <w:szCs w:val="24"/>
          <w:lang w:val="en-GB"/>
        </w:rPr>
        <w:t>.</w:t>
      </w:r>
    </w:p>
    <w:p w14:paraId="56A5A8E6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2C4D5D11" w14:textId="77777777" w:rsidR="007C5D2A" w:rsidRPr="00303008" w:rsidRDefault="007C5D2A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6.4</w:t>
      </w:r>
      <w:r w:rsidRPr="00303008">
        <w:rPr>
          <w:b/>
          <w:sz w:val="24"/>
          <w:szCs w:val="24"/>
          <w:lang w:val="en-GB"/>
        </w:rPr>
        <w:tab/>
        <w:t>Special precautions for storage</w:t>
      </w:r>
    </w:p>
    <w:p w14:paraId="33A6C739" w14:textId="7DB89B59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Do not store above 30</w:t>
      </w:r>
      <w:r w:rsidR="00BB540F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°C</w:t>
      </w:r>
      <w:r w:rsidR="00BB540F">
        <w:rPr>
          <w:sz w:val="24"/>
          <w:szCs w:val="24"/>
          <w:lang w:val="en-GB"/>
        </w:rPr>
        <w:t>.</w:t>
      </w:r>
    </w:p>
    <w:p w14:paraId="021C5F09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157685C8" w14:textId="77777777" w:rsidR="007C5D2A" w:rsidRPr="00303008" w:rsidRDefault="007C5D2A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6.5</w:t>
      </w:r>
      <w:r w:rsidRPr="00303008">
        <w:rPr>
          <w:b/>
          <w:sz w:val="24"/>
          <w:szCs w:val="24"/>
          <w:lang w:val="en-GB"/>
        </w:rPr>
        <w:tab/>
        <w:t>Nature and contents of container</w:t>
      </w:r>
    </w:p>
    <w:p w14:paraId="2863CC31" w14:textId="006FFAC3" w:rsidR="00C3109A" w:rsidRPr="00451431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451431">
        <w:rPr>
          <w:sz w:val="24"/>
          <w:szCs w:val="24"/>
          <w:lang w:val="en-US"/>
        </w:rPr>
        <w:t>OPA/Al/PVC – Paper/PET/Al unit-dose perforated blister</w:t>
      </w:r>
      <w:r w:rsidR="00BB540F" w:rsidRPr="00451431">
        <w:rPr>
          <w:sz w:val="24"/>
          <w:szCs w:val="24"/>
          <w:lang w:val="en-US"/>
        </w:rPr>
        <w:t>.</w:t>
      </w:r>
    </w:p>
    <w:p w14:paraId="3A9429B7" w14:textId="77777777" w:rsidR="00BB540F" w:rsidRPr="00451431" w:rsidRDefault="00BB540F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6E4F5428" w14:textId="77777777" w:rsidR="00BB540F" w:rsidRPr="00BB540F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  <w:r w:rsidRPr="00BB540F">
        <w:rPr>
          <w:sz w:val="24"/>
          <w:szCs w:val="24"/>
          <w:u w:val="single"/>
          <w:lang w:val="en-US"/>
        </w:rPr>
        <w:t>Pack sizes</w:t>
      </w:r>
    </w:p>
    <w:p w14:paraId="05F53E11" w14:textId="349976A4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30</w:t>
      </w:r>
      <w:r w:rsidR="00BB540F">
        <w:rPr>
          <w:sz w:val="24"/>
          <w:szCs w:val="24"/>
          <w:lang w:val="en-US"/>
        </w:rPr>
        <w:t>×</w:t>
      </w:r>
      <w:r w:rsidRPr="00C3109A">
        <w:rPr>
          <w:sz w:val="24"/>
          <w:szCs w:val="24"/>
          <w:lang w:val="en-US"/>
        </w:rPr>
        <w:t>1 soft capsules and a multipack containing 90</w:t>
      </w:r>
      <w:r w:rsidR="00BB540F">
        <w:rPr>
          <w:sz w:val="24"/>
          <w:szCs w:val="24"/>
          <w:lang w:val="en-US"/>
        </w:rPr>
        <w:t>×</w:t>
      </w:r>
      <w:r w:rsidRPr="00C3109A">
        <w:rPr>
          <w:sz w:val="24"/>
          <w:szCs w:val="24"/>
          <w:lang w:val="en-US"/>
        </w:rPr>
        <w:t>1 (3 packs of 30</w:t>
      </w:r>
      <w:r w:rsidR="00BB540F">
        <w:rPr>
          <w:sz w:val="24"/>
          <w:szCs w:val="24"/>
          <w:lang w:val="en-US"/>
        </w:rPr>
        <w:t>×</w:t>
      </w:r>
      <w:r w:rsidRPr="00C3109A">
        <w:rPr>
          <w:sz w:val="24"/>
          <w:szCs w:val="24"/>
          <w:lang w:val="en-US"/>
        </w:rPr>
        <w:t>1) soft</w:t>
      </w:r>
    </w:p>
    <w:p w14:paraId="2C5AD58A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capsules.</w:t>
      </w:r>
    </w:p>
    <w:p w14:paraId="33BECDEC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39EEB8D1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Not all pack sizes may be marketed.</w:t>
      </w:r>
    </w:p>
    <w:p w14:paraId="67F78062" w14:textId="77777777" w:rsidR="007C5D2A" w:rsidRPr="00C3109A" w:rsidRDefault="007C5D2A" w:rsidP="003E0341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1D050FBD" w14:textId="77777777" w:rsidR="007C5D2A" w:rsidRPr="00303008" w:rsidRDefault="007C5D2A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6.6</w:t>
      </w:r>
      <w:r w:rsidRPr="00303008">
        <w:rPr>
          <w:b/>
          <w:sz w:val="24"/>
          <w:szCs w:val="24"/>
          <w:lang w:val="en-GB"/>
        </w:rPr>
        <w:tab/>
        <w:t>Special precautions for disposal and other handling</w:t>
      </w:r>
    </w:p>
    <w:p w14:paraId="7CEBA211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 xml:space="preserve">Any unused medicinal product or waste material should be disposed of in accordance with local requirements. </w:t>
      </w:r>
    </w:p>
    <w:p w14:paraId="462B226A" w14:textId="77777777" w:rsidR="007C5D2A" w:rsidRPr="00303008" w:rsidRDefault="007C5D2A" w:rsidP="00AB4376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7FD403D6" w14:textId="77777777" w:rsidR="007C5D2A" w:rsidRPr="00303008" w:rsidRDefault="007C5D2A" w:rsidP="007C5D2A">
      <w:pPr>
        <w:tabs>
          <w:tab w:val="left" w:pos="851"/>
        </w:tabs>
        <w:ind w:left="851" w:hanging="851"/>
        <w:jc w:val="both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7.</w:t>
      </w:r>
      <w:r w:rsidRPr="00303008">
        <w:rPr>
          <w:b/>
          <w:sz w:val="24"/>
          <w:szCs w:val="24"/>
          <w:lang w:val="en-GB"/>
        </w:rPr>
        <w:tab/>
        <w:t>MARKETING AUTHORISATION HOLDER</w:t>
      </w:r>
    </w:p>
    <w:p w14:paraId="7BFAADA6" w14:textId="77777777" w:rsidR="00322464" w:rsidRPr="00322464" w:rsidRDefault="00322464" w:rsidP="00322464">
      <w:pPr>
        <w:keepLines/>
        <w:ind w:left="851"/>
        <w:rPr>
          <w:noProof/>
          <w:sz w:val="24"/>
          <w:szCs w:val="24"/>
          <w:lang w:val="en-US"/>
        </w:rPr>
      </w:pPr>
      <w:r w:rsidRPr="00322464">
        <w:rPr>
          <w:noProof/>
          <w:sz w:val="24"/>
          <w:szCs w:val="24"/>
          <w:lang w:val="en-US"/>
        </w:rPr>
        <w:t>Lotus Pharma Bulgaria EOOD</w:t>
      </w:r>
    </w:p>
    <w:p w14:paraId="5AE4B8D5" w14:textId="77777777" w:rsidR="00322464" w:rsidRPr="00322464" w:rsidRDefault="00322464" w:rsidP="00322464">
      <w:pPr>
        <w:keepLines/>
        <w:ind w:left="851"/>
        <w:rPr>
          <w:noProof/>
          <w:sz w:val="24"/>
          <w:szCs w:val="24"/>
          <w:lang w:val="en-US"/>
        </w:rPr>
      </w:pPr>
      <w:r w:rsidRPr="00322464">
        <w:rPr>
          <w:noProof/>
          <w:sz w:val="24"/>
          <w:szCs w:val="24"/>
          <w:lang w:val="en-US"/>
        </w:rPr>
        <w:t xml:space="preserve">Cherni Vrah No 102d, Floor 4 </w:t>
      </w:r>
    </w:p>
    <w:p w14:paraId="30DA7F0A" w14:textId="77777777" w:rsidR="00322464" w:rsidRPr="000F1992" w:rsidRDefault="00322464" w:rsidP="00322464">
      <w:pPr>
        <w:keepLines/>
        <w:ind w:left="851"/>
        <w:rPr>
          <w:noProof/>
          <w:sz w:val="24"/>
          <w:szCs w:val="24"/>
          <w:lang w:val="en-US"/>
        </w:rPr>
      </w:pPr>
      <w:r w:rsidRPr="000F1992">
        <w:rPr>
          <w:noProof/>
          <w:sz w:val="24"/>
          <w:szCs w:val="24"/>
          <w:lang w:val="en-US"/>
        </w:rPr>
        <w:t>1407 Sofia</w:t>
      </w:r>
    </w:p>
    <w:p w14:paraId="1393A337" w14:textId="0247A1B3" w:rsidR="00322464" w:rsidRPr="000F1992" w:rsidRDefault="00322464" w:rsidP="00322464">
      <w:pPr>
        <w:keepLines/>
        <w:ind w:left="851"/>
        <w:rPr>
          <w:noProof/>
          <w:sz w:val="24"/>
          <w:szCs w:val="24"/>
          <w:lang w:val="en-US"/>
        </w:rPr>
      </w:pPr>
      <w:r w:rsidRPr="000F1992">
        <w:rPr>
          <w:noProof/>
          <w:sz w:val="24"/>
          <w:szCs w:val="24"/>
          <w:lang w:val="en-US"/>
        </w:rPr>
        <w:t>Bulgaria</w:t>
      </w:r>
    </w:p>
    <w:p w14:paraId="4B50A2D5" w14:textId="77777777" w:rsidR="007C5D2A" w:rsidRPr="00322464" w:rsidRDefault="007C5D2A" w:rsidP="003E0341">
      <w:pPr>
        <w:tabs>
          <w:tab w:val="left" w:pos="851"/>
        </w:tabs>
        <w:ind w:left="851"/>
        <w:jc w:val="both"/>
        <w:rPr>
          <w:sz w:val="24"/>
          <w:szCs w:val="24"/>
          <w:lang w:val="en-GB"/>
        </w:rPr>
      </w:pPr>
    </w:p>
    <w:p w14:paraId="478CD807" w14:textId="77777777" w:rsidR="007C5D2A" w:rsidRPr="00303008" w:rsidRDefault="007C5D2A" w:rsidP="007C5D2A">
      <w:pPr>
        <w:ind w:left="851" w:hanging="851"/>
        <w:jc w:val="both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8.</w:t>
      </w:r>
      <w:r w:rsidRPr="00303008">
        <w:rPr>
          <w:b/>
          <w:sz w:val="24"/>
          <w:szCs w:val="24"/>
          <w:lang w:val="en-GB"/>
        </w:rPr>
        <w:tab/>
        <w:t>MARKETING AUTHORISATION NUMBER(S)</w:t>
      </w:r>
    </w:p>
    <w:p w14:paraId="01484E80" w14:textId="56CF9153" w:rsidR="007C5D2A" w:rsidRPr="00303008" w:rsidRDefault="00322464" w:rsidP="00A85D26">
      <w:pPr>
        <w:tabs>
          <w:tab w:val="left" w:pos="851"/>
        </w:tabs>
        <w:ind w:left="851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74338</w:t>
      </w:r>
    </w:p>
    <w:p w14:paraId="4DF842B1" w14:textId="77777777" w:rsidR="007C5D2A" w:rsidRPr="00303008" w:rsidRDefault="007C5D2A" w:rsidP="00180A12">
      <w:pPr>
        <w:tabs>
          <w:tab w:val="left" w:pos="851"/>
        </w:tabs>
        <w:ind w:left="851"/>
        <w:jc w:val="both"/>
        <w:rPr>
          <w:sz w:val="24"/>
          <w:szCs w:val="24"/>
          <w:lang w:val="en-GB"/>
        </w:rPr>
      </w:pPr>
    </w:p>
    <w:p w14:paraId="48235100" w14:textId="77777777" w:rsidR="007C5D2A" w:rsidRPr="00303008" w:rsidRDefault="007C5D2A" w:rsidP="007C5D2A">
      <w:pPr>
        <w:tabs>
          <w:tab w:val="left" w:pos="851"/>
        </w:tabs>
        <w:jc w:val="both"/>
        <w:rPr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9.</w:t>
      </w:r>
      <w:r w:rsidRPr="00303008">
        <w:rPr>
          <w:b/>
          <w:sz w:val="24"/>
          <w:szCs w:val="24"/>
          <w:lang w:val="en-GB"/>
        </w:rPr>
        <w:tab/>
        <w:t>DATE OF FIRST AUTHORISATION</w:t>
      </w:r>
    </w:p>
    <w:p w14:paraId="0DE743FF" w14:textId="27362A73" w:rsidR="007C5D2A" w:rsidRPr="00303008" w:rsidRDefault="000F1992" w:rsidP="00A85D26">
      <w:pPr>
        <w:ind w:left="851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30 October 2026</w:t>
      </w:r>
    </w:p>
    <w:p w14:paraId="7C283CB0" w14:textId="77777777" w:rsidR="007C5D2A" w:rsidRPr="00303008" w:rsidRDefault="007C5D2A" w:rsidP="003E0341">
      <w:pPr>
        <w:tabs>
          <w:tab w:val="left" w:pos="851"/>
        </w:tabs>
        <w:ind w:left="851"/>
        <w:jc w:val="both"/>
        <w:rPr>
          <w:sz w:val="24"/>
          <w:szCs w:val="24"/>
          <w:lang w:val="en-GB"/>
        </w:rPr>
      </w:pPr>
    </w:p>
    <w:p w14:paraId="2EAD2ED7" w14:textId="77777777" w:rsidR="007C5D2A" w:rsidRPr="00303008" w:rsidRDefault="007C5D2A" w:rsidP="007C5D2A">
      <w:pPr>
        <w:tabs>
          <w:tab w:val="left" w:pos="851"/>
        </w:tabs>
        <w:jc w:val="both"/>
        <w:rPr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10.</w:t>
      </w:r>
      <w:r w:rsidRPr="00303008">
        <w:rPr>
          <w:b/>
          <w:sz w:val="24"/>
          <w:szCs w:val="24"/>
          <w:lang w:val="en-GB"/>
        </w:rPr>
        <w:tab/>
        <w:t>DATE OF REVISION OF THE TEXT</w:t>
      </w:r>
    </w:p>
    <w:p w14:paraId="44EAAE2B" w14:textId="229ABCBE" w:rsidR="007C5D2A" w:rsidRPr="00303008" w:rsidRDefault="00C3109A" w:rsidP="003E0341">
      <w:pPr>
        <w:tabs>
          <w:tab w:val="left" w:pos="851"/>
        </w:tabs>
        <w:ind w:left="851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-</w:t>
      </w:r>
    </w:p>
    <w:sectPr w:rsidR="007C5D2A" w:rsidRPr="00303008" w:rsidSect="004A3B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134" w:bottom="170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C373E" w14:textId="77777777" w:rsidR="001B2BB8" w:rsidRDefault="001B2BB8">
      <w:r>
        <w:separator/>
      </w:r>
    </w:p>
  </w:endnote>
  <w:endnote w:type="continuationSeparator" w:id="0">
    <w:p w14:paraId="42DA9155" w14:textId="77777777" w:rsidR="001B2BB8" w:rsidRDefault="001B2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BAF90" w14:textId="77777777" w:rsidR="00AC033C" w:rsidRDefault="00AC03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7B20" w14:textId="77777777" w:rsidR="00864538" w:rsidRDefault="00864538">
    <w:pPr>
      <w:pStyle w:val="Sidefod"/>
      <w:pBdr>
        <w:bottom w:val="single" w:sz="6" w:space="1" w:color="auto"/>
      </w:pBdr>
    </w:pPr>
  </w:p>
  <w:p w14:paraId="37CC834C" w14:textId="77777777" w:rsidR="00864538" w:rsidRDefault="00864538">
    <w:pPr>
      <w:pStyle w:val="Sidefod"/>
      <w:tabs>
        <w:tab w:val="clear" w:pos="4819"/>
        <w:tab w:val="left" w:pos="8647"/>
      </w:tabs>
      <w:rPr>
        <w:i/>
        <w:snapToGrid w:val="0"/>
        <w:sz w:val="18"/>
      </w:rPr>
    </w:pPr>
  </w:p>
  <w:p w14:paraId="3BD5BA13" w14:textId="11126459" w:rsidR="00864538" w:rsidRDefault="00E36A80" w:rsidP="00AC033C">
    <w:pPr>
      <w:pStyle w:val="Sidefod"/>
      <w:tabs>
        <w:tab w:val="clear" w:pos="4819"/>
        <w:tab w:val="left" w:pos="8364"/>
      </w:tabs>
      <w:rPr>
        <w:i/>
        <w:sz w:val="18"/>
      </w:rPr>
    </w:pPr>
    <w:r>
      <w:rPr>
        <w:i/>
        <w:snapToGrid w:val="0"/>
        <w:sz w:val="18"/>
      </w:rPr>
      <w:fldChar w:fldCharType="begin"/>
    </w:r>
    <w:r w:rsidR="00864538">
      <w:rPr>
        <w:i/>
        <w:snapToGrid w:val="0"/>
        <w:sz w:val="18"/>
      </w:rPr>
      <w:instrText xml:space="preserve"> FILENAME </w:instrText>
    </w:r>
    <w:r>
      <w:rPr>
        <w:i/>
        <w:snapToGrid w:val="0"/>
        <w:sz w:val="18"/>
      </w:rPr>
      <w:fldChar w:fldCharType="separate"/>
    </w:r>
    <w:r w:rsidR="00C3109A">
      <w:rPr>
        <w:i/>
        <w:noProof/>
        <w:snapToGrid w:val="0"/>
        <w:sz w:val="18"/>
      </w:rPr>
      <w:t>Tafamidis Meglumin Ethypharm, bløde kapsler 20 mg</w:t>
    </w:r>
    <w:r>
      <w:rPr>
        <w:i/>
        <w:snapToGrid w:val="0"/>
        <w:sz w:val="18"/>
      </w:rPr>
      <w:fldChar w:fldCharType="end"/>
    </w:r>
    <w:r w:rsidR="00864538">
      <w:rPr>
        <w:i/>
        <w:snapToGrid w:val="0"/>
        <w:sz w:val="18"/>
      </w:rPr>
      <w:tab/>
      <w:t xml:space="preserve">Page </w:t>
    </w:r>
    <w:r>
      <w:rPr>
        <w:i/>
        <w:snapToGrid w:val="0"/>
        <w:sz w:val="18"/>
      </w:rPr>
      <w:fldChar w:fldCharType="begin"/>
    </w:r>
    <w:r w:rsidR="00864538">
      <w:rPr>
        <w:i/>
        <w:snapToGrid w:val="0"/>
        <w:sz w:val="18"/>
      </w:rPr>
      <w:instrText xml:space="preserve"> PAGE </w:instrText>
    </w:r>
    <w:r>
      <w:rPr>
        <w:i/>
        <w:snapToGrid w:val="0"/>
        <w:sz w:val="18"/>
      </w:rPr>
      <w:fldChar w:fldCharType="separate"/>
    </w:r>
    <w:r w:rsidR="00AC033C">
      <w:rPr>
        <w:i/>
        <w:noProof/>
        <w:snapToGrid w:val="0"/>
        <w:sz w:val="18"/>
      </w:rPr>
      <w:t>1</w:t>
    </w:r>
    <w:r>
      <w:rPr>
        <w:i/>
        <w:snapToGrid w:val="0"/>
        <w:sz w:val="18"/>
      </w:rPr>
      <w:fldChar w:fldCharType="end"/>
    </w:r>
    <w:r w:rsidR="00864538">
      <w:rPr>
        <w:i/>
        <w:snapToGrid w:val="0"/>
        <w:sz w:val="18"/>
      </w:rPr>
      <w:t xml:space="preserve"> of </w:t>
    </w:r>
    <w:r>
      <w:rPr>
        <w:i/>
        <w:snapToGrid w:val="0"/>
        <w:sz w:val="18"/>
      </w:rPr>
      <w:fldChar w:fldCharType="begin"/>
    </w:r>
    <w:r w:rsidR="00864538">
      <w:rPr>
        <w:i/>
        <w:snapToGrid w:val="0"/>
        <w:sz w:val="18"/>
      </w:rPr>
      <w:instrText xml:space="preserve"> NUMPAGES </w:instrText>
    </w:r>
    <w:r>
      <w:rPr>
        <w:i/>
        <w:snapToGrid w:val="0"/>
        <w:sz w:val="18"/>
      </w:rPr>
      <w:fldChar w:fldCharType="separate"/>
    </w:r>
    <w:r w:rsidR="00AC033C">
      <w:rPr>
        <w:i/>
        <w:noProof/>
        <w:snapToGrid w:val="0"/>
        <w:sz w:val="18"/>
      </w:rPr>
      <w:t>3</w:t>
    </w:r>
    <w:r>
      <w:rPr>
        <w:i/>
        <w:snapToGrid w:val="0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E3B2" w14:textId="77777777" w:rsidR="00864538" w:rsidRDefault="00864538">
    <w:pPr>
      <w:pStyle w:val="Sidefod"/>
      <w:pBdr>
        <w:bottom w:val="single" w:sz="6" w:space="1" w:color="auto"/>
      </w:pBdr>
      <w:tabs>
        <w:tab w:val="clear" w:pos="4819"/>
        <w:tab w:val="left" w:pos="8789"/>
      </w:tabs>
      <w:rPr>
        <w:i/>
        <w:snapToGrid w:val="0"/>
        <w:sz w:val="18"/>
      </w:rPr>
    </w:pPr>
  </w:p>
  <w:p w14:paraId="56E41867" w14:textId="77777777" w:rsidR="00864538" w:rsidRDefault="00864538">
    <w:pPr>
      <w:pStyle w:val="Sidefod"/>
      <w:tabs>
        <w:tab w:val="clear" w:pos="4819"/>
        <w:tab w:val="left" w:pos="8789"/>
      </w:tabs>
      <w:rPr>
        <w:i/>
        <w:snapToGrid w:val="0"/>
        <w:sz w:val="18"/>
      </w:rPr>
    </w:pPr>
  </w:p>
  <w:p w14:paraId="07890143" w14:textId="695DF2CF" w:rsidR="00864538" w:rsidRDefault="00E36A80">
    <w:pPr>
      <w:pStyle w:val="Sidefod"/>
      <w:tabs>
        <w:tab w:val="clear" w:pos="4819"/>
        <w:tab w:val="left" w:pos="8647"/>
      </w:tabs>
      <w:rPr>
        <w:i/>
        <w:sz w:val="18"/>
      </w:rPr>
    </w:pPr>
    <w:r>
      <w:rPr>
        <w:i/>
        <w:snapToGrid w:val="0"/>
        <w:sz w:val="18"/>
      </w:rPr>
      <w:fldChar w:fldCharType="begin"/>
    </w:r>
    <w:r w:rsidR="00864538">
      <w:rPr>
        <w:i/>
        <w:snapToGrid w:val="0"/>
        <w:sz w:val="18"/>
      </w:rPr>
      <w:instrText xml:space="preserve"> FILENAME </w:instrText>
    </w:r>
    <w:r>
      <w:rPr>
        <w:i/>
        <w:snapToGrid w:val="0"/>
        <w:sz w:val="18"/>
      </w:rPr>
      <w:fldChar w:fldCharType="separate"/>
    </w:r>
    <w:r w:rsidR="00C3109A">
      <w:rPr>
        <w:i/>
        <w:noProof/>
        <w:snapToGrid w:val="0"/>
        <w:sz w:val="18"/>
      </w:rPr>
      <w:t>Tafamidis Meglumin Ethypharm, bløde kapsler 20 mg</w:t>
    </w:r>
    <w:r>
      <w:rPr>
        <w:i/>
        <w:snapToGrid w:val="0"/>
        <w:sz w:val="18"/>
      </w:rPr>
      <w:fldChar w:fldCharType="end"/>
    </w:r>
    <w:r w:rsidR="00864538">
      <w:rPr>
        <w:i/>
        <w:snapToGrid w:val="0"/>
        <w:sz w:val="18"/>
      </w:rPr>
      <w:tab/>
      <w:t xml:space="preserve">Page </w:t>
    </w:r>
    <w:r>
      <w:rPr>
        <w:i/>
        <w:snapToGrid w:val="0"/>
        <w:sz w:val="18"/>
      </w:rPr>
      <w:fldChar w:fldCharType="begin"/>
    </w:r>
    <w:r w:rsidR="00864538">
      <w:rPr>
        <w:i/>
        <w:snapToGrid w:val="0"/>
        <w:sz w:val="18"/>
      </w:rPr>
      <w:instrText xml:space="preserve"> PAGE </w:instrText>
    </w:r>
    <w:r>
      <w:rPr>
        <w:i/>
        <w:snapToGrid w:val="0"/>
        <w:sz w:val="18"/>
      </w:rPr>
      <w:fldChar w:fldCharType="separate"/>
    </w:r>
    <w:r w:rsidR="00D97B77">
      <w:rPr>
        <w:i/>
        <w:noProof/>
        <w:snapToGrid w:val="0"/>
        <w:sz w:val="18"/>
      </w:rPr>
      <w:t>1</w:t>
    </w:r>
    <w:r>
      <w:rPr>
        <w:i/>
        <w:snapToGrid w:val="0"/>
        <w:sz w:val="18"/>
      </w:rPr>
      <w:fldChar w:fldCharType="end"/>
    </w:r>
    <w:r w:rsidR="00864538">
      <w:rPr>
        <w:i/>
        <w:snapToGrid w:val="0"/>
        <w:sz w:val="18"/>
      </w:rPr>
      <w:t xml:space="preserve"> of </w:t>
    </w:r>
    <w:r>
      <w:rPr>
        <w:i/>
        <w:snapToGrid w:val="0"/>
        <w:sz w:val="18"/>
      </w:rPr>
      <w:fldChar w:fldCharType="begin"/>
    </w:r>
    <w:r w:rsidR="00864538">
      <w:rPr>
        <w:i/>
        <w:snapToGrid w:val="0"/>
        <w:sz w:val="18"/>
      </w:rPr>
      <w:instrText xml:space="preserve"> NUMPAGES </w:instrText>
    </w:r>
    <w:r>
      <w:rPr>
        <w:i/>
        <w:snapToGrid w:val="0"/>
        <w:sz w:val="18"/>
      </w:rPr>
      <w:fldChar w:fldCharType="separate"/>
    </w:r>
    <w:r w:rsidR="00E1290F">
      <w:rPr>
        <w:i/>
        <w:noProof/>
        <w:snapToGrid w:val="0"/>
        <w:sz w:val="18"/>
      </w:rPr>
      <w:t>3</w:t>
    </w:r>
    <w:r>
      <w:rPr>
        <w:i/>
        <w:snapToGrid w:val="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670EA" w14:textId="77777777" w:rsidR="001B2BB8" w:rsidRDefault="001B2BB8">
      <w:r>
        <w:separator/>
      </w:r>
    </w:p>
  </w:footnote>
  <w:footnote w:type="continuationSeparator" w:id="0">
    <w:p w14:paraId="215015C1" w14:textId="77777777" w:rsidR="001B2BB8" w:rsidRDefault="001B2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F77AA" w14:textId="77777777" w:rsidR="00AC033C" w:rsidRDefault="00AC033C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21C6D" w14:textId="77777777" w:rsidR="00864538" w:rsidRDefault="000D3C9D">
    <w:pPr>
      <w:pStyle w:val="Sidehoved"/>
      <w:jc w:val="righ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CA8A7" w14:textId="77777777" w:rsidR="00AC033C" w:rsidRDefault="00AC033C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1A86"/>
    <w:multiLevelType w:val="multilevel"/>
    <w:tmpl w:val="D4ECF4E0"/>
    <w:lvl w:ilvl="0">
      <w:start w:val="4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1" w15:restartNumberingAfterBreak="0">
    <w:nsid w:val="03C2602A"/>
    <w:multiLevelType w:val="hybridMultilevel"/>
    <w:tmpl w:val="EC8C595A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4C1732C"/>
    <w:multiLevelType w:val="multilevel"/>
    <w:tmpl w:val="7BE2F61C"/>
    <w:lvl w:ilvl="0">
      <w:start w:val="6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9BE6F9D"/>
    <w:multiLevelType w:val="multilevel"/>
    <w:tmpl w:val="5D748B4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num w:numId="1" w16cid:durableId="1515922694">
    <w:abstractNumId w:val="2"/>
  </w:num>
  <w:num w:numId="2" w16cid:durableId="1007639785">
    <w:abstractNumId w:val="0"/>
  </w:num>
  <w:num w:numId="3" w16cid:durableId="1086805281">
    <w:abstractNumId w:val="3"/>
  </w:num>
  <w:num w:numId="4" w16cid:durableId="927225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70E"/>
    <w:rsid w:val="00027AEE"/>
    <w:rsid w:val="00050725"/>
    <w:rsid w:val="00056601"/>
    <w:rsid w:val="000C3846"/>
    <w:rsid w:val="000C6218"/>
    <w:rsid w:val="000D3C9D"/>
    <w:rsid w:val="000F0D47"/>
    <w:rsid w:val="000F1992"/>
    <w:rsid w:val="001242DE"/>
    <w:rsid w:val="00180A12"/>
    <w:rsid w:val="001B2BB8"/>
    <w:rsid w:val="001F6AF1"/>
    <w:rsid w:val="00214331"/>
    <w:rsid w:val="00214CF4"/>
    <w:rsid w:val="00281F03"/>
    <w:rsid w:val="0029458A"/>
    <w:rsid w:val="002A1587"/>
    <w:rsid w:val="002B27C5"/>
    <w:rsid w:val="002F6D9C"/>
    <w:rsid w:val="00303008"/>
    <w:rsid w:val="00322464"/>
    <w:rsid w:val="00342E2F"/>
    <w:rsid w:val="00373B55"/>
    <w:rsid w:val="003D727E"/>
    <w:rsid w:val="003E0341"/>
    <w:rsid w:val="003E325D"/>
    <w:rsid w:val="003E3263"/>
    <w:rsid w:val="003E3402"/>
    <w:rsid w:val="003F4736"/>
    <w:rsid w:val="00401B49"/>
    <w:rsid w:val="0042292D"/>
    <w:rsid w:val="004260C3"/>
    <w:rsid w:val="00437D5B"/>
    <w:rsid w:val="00440254"/>
    <w:rsid w:val="00451431"/>
    <w:rsid w:val="004860D3"/>
    <w:rsid w:val="004A3BF4"/>
    <w:rsid w:val="004A5DB3"/>
    <w:rsid w:val="005060DB"/>
    <w:rsid w:val="005152D9"/>
    <w:rsid w:val="00533AD4"/>
    <w:rsid w:val="00534849"/>
    <w:rsid w:val="00560102"/>
    <w:rsid w:val="00562EA1"/>
    <w:rsid w:val="005A498B"/>
    <w:rsid w:val="005C7F82"/>
    <w:rsid w:val="00617BB8"/>
    <w:rsid w:val="006207FF"/>
    <w:rsid w:val="00680052"/>
    <w:rsid w:val="00683267"/>
    <w:rsid w:val="00683741"/>
    <w:rsid w:val="006844E9"/>
    <w:rsid w:val="006B3847"/>
    <w:rsid w:val="0075453D"/>
    <w:rsid w:val="007A4CC6"/>
    <w:rsid w:val="007C3623"/>
    <w:rsid w:val="007C5D2A"/>
    <w:rsid w:val="007F1E00"/>
    <w:rsid w:val="00827444"/>
    <w:rsid w:val="008400E3"/>
    <w:rsid w:val="00864538"/>
    <w:rsid w:val="00873B4F"/>
    <w:rsid w:val="008812B3"/>
    <w:rsid w:val="008A24F6"/>
    <w:rsid w:val="008E51AE"/>
    <w:rsid w:val="008F2F8C"/>
    <w:rsid w:val="009925C9"/>
    <w:rsid w:val="00A179D0"/>
    <w:rsid w:val="00A358A3"/>
    <w:rsid w:val="00A46747"/>
    <w:rsid w:val="00A80446"/>
    <w:rsid w:val="00A85D26"/>
    <w:rsid w:val="00A9153A"/>
    <w:rsid w:val="00AB4376"/>
    <w:rsid w:val="00AC033C"/>
    <w:rsid w:val="00AD2E36"/>
    <w:rsid w:val="00B45DC5"/>
    <w:rsid w:val="00BB540F"/>
    <w:rsid w:val="00BD3490"/>
    <w:rsid w:val="00C26226"/>
    <w:rsid w:val="00C3109A"/>
    <w:rsid w:val="00C3571D"/>
    <w:rsid w:val="00C54F0B"/>
    <w:rsid w:val="00C82621"/>
    <w:rsid w:val="00CB1423"/>
    <w:rsid w:val="00CE5CE3"/>
    <w:rsid w:val="00D02508"/>
    <w:rsid w:val="00D2670E"/>
    <w:rsid w:val="00D778CC"/>
    <w:rsid w:val="00D82FE9"/>
    <w:rsid w:val="00D97B77"/>
    <w:rsid w:val="00DB6A85"/>
    <w:rsid w:val="00DF0048"/>
    <w:rsid w:val="00E06B32"/>
    <w:rsid w:val="00E1290F"/>
    <w:rsid w:val="00E36A80"/>
    <w:rsid w:val="00EB21D7"/>
    <w:rsid w:val="00EE3EB7"/>
    <w:rsid w:val="00F57E16"/>
    <w:rsid w:val="00F60336"/>
    <w:rsid w:val="00FD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83C7B0"/>
  <w15:chartTrackingRefBased/>
  <w15:docId w15:val="{2BE04E2E-B76D-42F3-9BCF-4D562901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B55"/>
    <w:rPr>
      <w:sz w:val="23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qFormat/>
    <w:rsid w:val="00373B55"/>
    <w:pPr>
      <w:jc w:val="center"/>
    </w:pPr>
    <w:rPr>
      <w:b/>
      <w:sz w:val="24"/>
    </w:rPr>
  </w:style>
  <w:style w:type="paragraph" w:styleId="Sidehoved">
    <w:name w:val="header"/>
    <w:basedOn w:val="Normal"/>
    <w:rsid w:val="00373B55"/>
    <w:pPr>
      <w:tabs>
        <w:tab w:val="center" w:pos="4819"/>
        <w:tab w:val="right" w:pos="9638"/>
      </w:tabs>
    </w:pPr>
    <w:rPr>
      <w:sz w:val="24"/>
    </w:rPr>
  </w:style>
  <w:style w:type="paragraph" w:styleId="Sidefod">
    <w:name w:val="footer"/>
    <w:basedOn w:val="Normal"/>
    <w:rsid w:val="00373B55"/>
    <w:pPr>
      <w:tabs>
        <w:tab w:val="center" w:pos="4819"/>
        <w:tab w:val="right" w:pos="9638"/>
      </w:tabs>
    </w:pPr>
    <w:rPr>
      <w:sz w:val="24"/>
    </w:rPr>
  </w:style>
  <w:style w:type="character" w:styleId="Sidetal">
    <w:name w:val="page number"/>
    <w:basedOn w:val="Standardskrifttypeiafsnit"/>
    <w:rsid w:val="00373B55"/>
  </w:style>
  <w:style w:type="character" w:styleId="Kommentarhenvisning">
    <w:name w:val="annotation reference"/>
    <w:basedOn w:val="Standardskrifttypeiafsnit"/>
    <w:semiHidden/>
    <w:rsid w:val="00373B55"/>
    <w:rPr>
      <w:sz w:val="16"/>
    </w:rPr>
  </w:style>
  <w:style w:type="paragraph" w:styleId="Kommentartekst">
    <w:name w:val="annotation text"/>
    <w:basedOn w:val="Normal"/>
    <w:link w:val="KommentartekstTegn"/>
    <w:semiHidden/>
    <w:rsid w:val="00373B55"/>
    <w:rPr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A5DB3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A5DB3"/>
    <w:rPr>
      <w:rFonts w:ascii="Tahoma" w:hAnsi="Tahoma" w:cs="Tahoma"/>
      <w:sz w:val="16"/>
      <w:szCs w:val="16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B4F"/>
    <w:rPr>
      <w:b/>
      <w:bCs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873B4F"/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B4F"/>
    <w:rPr>
      <w:b/>
      <w:bCs/>
    </w:rPr>
  </w:style>
  <w:style w:type="table" w:styleId="Tabel-Gitter">
    <w:name w:val="Table Grid"/>
    <w:basedOn w:val="Tabel-Normal"/>
    <w:uiPriority w:val="59"/>
    <w:rsid w:val="00C31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-Gitter1">
    <w:name w:val="Tabel - Gitter1"/>
    <w:basedOn w:val="Tabel-Normal"/>
    <w:next w:val="Tabel-Gitter"/>
    <w:rsid w:val="00C3109A"/>
    <w:rPr>
      <w:rFonts w:eastAsia="SimSun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QW_Docs\GOD\docs\National\LGO-RKE-REG%20006-01-SKB%20SPC%20Hum%20skabelon%20-%20engelsk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LGO-RKE-REG 006-01-SKB SPC Hum skabelon - engelsk</Template>
  <TotalTime>43</TotalTime>
  <Pages>11</Pages>
  <Words>3439</Words>
  <Characters>20980</Characters>
  <Application>Microsoft Office Word</Application>
  <DocSecurity>0</DocSecurity>
  <Lines>174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Thy Iversen</dc:creator>
  <cp:keywords/>
  <dc:description>2025072271 mt</dc:description>
  <cp:lastModifiedBy>Hanne Thy Iversen</cp:lastModifiedBy>
  <cp:revision>11</cp:revision>
  <cp:lastPrinted>2006-02-24T09:31:00Z</cp:lastPrinted>
  <dcterms:created xsi:type="dcterms:W3CDTF">2026-10-22T08:48:00Z</dcterms:created>
  <dcterms:modified xsi:type="dcterms:W3CDTF">2026-10-30T09:22:00Z</dcterms:modified>
</cp:coreProperties>
</file>