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4EE" w:rsidRPr="004543FA" w:rsidRDefault="00B76D2F" w:rsidP="004543FA">
      <w:pPr>
        <w:rPr>
          <w:sz w:val="24"/>
          <w:szCs w:val="24"/>
        </w:rPr>
      </w:pPr>
      <w:r w:rsidRPr="009260DE">
        <w:rPr>
          <w:noProof/>
          <w:sz w:val="24"/>
          <w:szCs w:val="24"/>
          <w:lang w:eastAsia="da-DK"/>
        </w:rPr>
        <w:drawing>
          <wp:anchor distT="0" distB="0" distL="114300" distR="114300" simplePos="0" relativeHeight="251659264" behindDoc="0" locked="0" layoutInCell="1" allowOverlap="1" wp14:anchorId="30B7372C" wp14:editId="7FCC521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B76D2F" w:rsidRPr="00C84483" w:rsidRDefault="00B76D2F" w:rsidP="00B76D2F">
      <w:pPr>
        <w:pStyle w:val="Titel"/>
        <w:tabs>
          <w:tab w:val="right" w:pos="9356"/>
        </w:tabs>
        <w:jc w:val="left"/>
        <w:rPr>
          <w:b w:val="0"/>
          <w:szCs w:val="24"/>
          <w:lang w:eastAsia="en-US"/>
        </w:rPr>
      </w:pPr>
      <w:r w:rsidRPr="00C84483">
        <w:rPr>
          <w:b w:val="0"/>
          <w:szCs w:val="24"/>
          <w:lang w:eastAsia="en-US"/>
        </w:rPr>
        <w:tab/>
      </w:r>
      <w:r w:rsidR="00BD1EB4">
        <w:rPr>
          <w:szCs w:val="24"/>
        </w:rPr>
        <w:t>2</w:t>
      </w:r>
      <w:r w:rsidR="0072511B">
        <w:rPr>
          <w:szCs w:val="24"/>
        </w:rPr>
        <w:t>4</w:t>
      </w:r>
      <w:r w:rsidR="00BD1EB4">
        <w:rPr>
          <w:szCs w:val="24"/>
        </w:rPr>
        <w:t>. oktober 2025</w:t>
      </w:r>
    </w:p>
    <w:p w:rsidR="00B76D2F" w:rsidRPr="00C84483" w:rsidRDefault="00B76D2F" w:rsidP="00B76D2F">
      <w:pPr>
        <w:pStyle w:val="Titel"/>
        <w:jc w:val="left"/>
        <w:rPr>
          <w:b w:val="0"/>
          <w:szCs w:val="24"/>
        </w:rPr>
      </w:pPr>
    </w:p>
    <w:p w:rsidR="00B76D2F" w:rsidRPr="00C84483" w:rsidRDefault="00B76D2F" w:rsidP="00B76D2F">
      <w:pPr>
        <w:pStyle w:val="Titel"/>
        <w:jc w:val="left"/>
        <w:rPr>
          <w:b w:val="0"/>
          <w:szCs w:val="24"/>
        </w:rPr>
      </w:pPr>
    </w:p>
    <w:p w:rsidR="00B76D2F" w:rsidRPr="00C84483" w:rsidRDefault="00B76D2F" w:rsidP="00B76D2F">
      <w:pPr>
        <w:jc w:val="center"/>
        <w:rPr>
          <w:b/>
          <w:sz w:val="24"/>
          <w:szCs w:val="24"/>
        </w:rPr>
      </w:pPr>
      <w:r w:rsidRPr="00C84483">
        <w:rPr>
          <w:b/>
          <w:sz w:val="24"/>
          <w:szCs w:val="24"/>
        </w:rPr>
        <w:t>PRODUKTRESUMÉ</w:t>
      </w:r>
    </w:p>
    <w:p w:rsidR="00B76D2F" w:rsidRPr="00C84483" w:rsidRDefault="00B76D2F" w:rsidP="00B76D2F">
      <w:pPr>
        <w:jc w:val="center"/>
        <w:rPr>
          <w:b/>
          <w:sz w:val="24"/>
          <w:szCs w:val="24"/>
        </w:rPr>
      </w:pPr>
    </w:p>
    <w:p w:rsidR="00B76D2F" w:rsidRDefault="00B76D2F" w:rsidP="00B76D2F">
      <w:pPr>
        <w:jc w:val="center"/>
        <w:rPr>
          <w:b/>
          <w:sz w:val="24"/>
          <w:szCs w:val="24"/>
        </w:rPr>
      </w:pPr>
      <w:r w:rsidRPr="00C84483">
        <w:rPr>
          <w:b/>
          <w:sz w:val="24"/>
          <w:szCs w:val="24"/>
        </w:rPr>
        <w:t>for</w:t>
      </w:r>
    </w:p>
    <w:p w:rsidR="00B76D2F" w:rsidRPr="00C84483" w:rsidRDefault="00B76D2F" w:rsidP="00B76D2F">
      <w:pPr>
        <w:jc w:val="center"/>
        <w:rPr>
          <w:b/>
          <w:sz w:val="24"/>
          <w:szCs w:val="24"/>
        </w:rPr>
      </w:pPr>
    </w:p>
    <w:p w:rsidR="00B76D2F" w:rsidRPr="00C84483" w:rsidRDefault="009C75A1" w:rsidP="00B76D2F">
      <w:pPr>
        <w:jc w:val="center"/>
        <w:rPr>
          <w:b/>
          <w:sz w:val="24"/>
          <w:szCs w:val="24"/>
        </w:rPr>
      </w:pPr>
      <w:proofErr w:type="spellStart"/>
      <w:r>
        <w:rPr>
          <w:b/>
          <w:sz w:val="24"/>
          <w:szCs w:val="24"/>
        </w:rPr>
        <w:t>Taflotan</w:t>
      </w:r>
      <w:proofErr w:type="spellEnd"/>
      <w:r>
        <w:rPr>
          <w:b/>
          <w:sz w:val="24"/>
          <w:szCs w:val="24"/>
        </w:rPr>
        <w:t xml:space="preserve"> Sine</w:t>
      </w:r>
      <w:r w:rsidR="00B76D2F">
        <w:rPr>
          <w:b/>
          <w:sz w:val="24"/>
          <w:szCs w:val="24"/>
        </w:rPr>
        <w:t>, øjendråber, opløsning</w:t>
      </w:r>
      <w:r w:rsidR="00AA51C5">
        <w:rPr>
          <w:b/>
          <w:sz w:val="24"/>
          <w:szCs w:val="24"/>
        </w:rPr>
        <w:t xml:space="preserve"> (</w:t>
      </w:r>
      <w:r w:rsidR="00AA51C5" w:rsidRPr="00AA51C5">
        <w:rPr>
          <w:b/>
          <w:sz w:val="24"/>
          <w:szCs w:val="24"/>
        </w:rPr>
        <w:t>2care4</w:t>
      </w:r>
      <w:r w:rsidR="00AA51C5">
        <w:rPr>
          <w:b/>
          <w:sz w:val="24"/>
          <w:szCs w:val="24"/>
        </w:rPr>
        <w:t>)</w:t>
      </w:r>
    </w:p>
    <w:p w:rsidR="00B76D2F" w:rsidRPr="00C84483" w:rsidRDefault="00B76D2F" w:rsidP="00B76D2F">
      <w:pPr>
        <w:jc w:val="both"/>
        <w:rPr>
          <w:sz w:val="24"/>
          <w:szCs w:val="24"/>
        </w:rPr>
      </w:pPr>
    </w:p>
    <w:p w:rsidR="00B76D2F" w:rsidRPr="00926709" w:rsidRDefault="00B76D2F" w:rsidP="00B76D2F">
      <w:pPr>
        <w:ind w:left="851" w:hanging="851"/>
        <w:jc w:val="both"/>
        <w:rPr>
          <w:sz w:val="24"/>
          <w:szCs w:val="24"/>
        </w:rPr>
      </w:pPr>
    </w:p>
    <w:p w:rsidR="00B76D2F" w:rsidRPr="00926709" w:rsidRDefault="00B76D2F" w:rsidP="00B76D2F">
      <w:pPr>
        <w:ind w:left="851" w:hanging="851"/>
        <w:rPr>
          <w:b/>
          <w:sz w:val="24"/>
          <w:szCs w:val="24"/>
        </w:rPr>
      </w:pPr>
      <w:r w:rsidRPr="00926709">
        <w:rPr>
          <w:b/>
          <w:sz w:val="24"/>
          <w:szCs w:val="24"/>
        </w:rPr>
        <w:t>0.</w:t>
      </w:r>
      <w:r w:rsidRPr="00926709">
        <w:rPr>
          <w:b/>
          <w:sz w:val="24"/>
          <w:szCs w:val="24"/>
        </w:rPr>
        <w:tab/>
        <w:t>D.SP.NR.</w:t>
      </w:r>
    </w:p>
    <w:p w:rsidR="00B76D2F" w:rsidRPr="00926709" w:rsidRDefault="00B76D2F" w:rsidP="00B76D2F">
      <w:pPr>
        <w:ind w:left="851" w:hanging="851"/>
        <w:rPr>
          <w:sz w:val="24"/>
          <w:szCs w:val="24"/>
        </w:rPr>
      </w:pPr>
      <w:r>
        <w:rPr>
          <w:sz w:val="24"/>
          <w:szCs w:val="24"/>
        </w:rPr>
        <w:tab/>
      </w:r>
      <w:r w:rsidRPr="00926709">
        <w:rPr>
          <w:sz w:val="24"/>
          <w:szCs w:val="24"/>
        </w:rPr>
        <w:t>25141</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1.</w:t>
      </w:r>
      <w:r w:rsidRPr="00926709">
        <w:rPr>
          <w:b/>
          <w:sz w:val="24"/>
          <w:szCs w:val="24"/>
        </w:rPr>
        <w:tab/>
        <w:t>LÆGEMIDLETS NAVN</w:t>
      </w:r>
    </w:p>
    <w:p w:rsidR="00B76D2F" w:rsidRPr="00926709" w:rsidRDefault="00B76D2F" w:rsidP="00B76D2F">
      <w:pPr>
        <w:ind w:left="851" w:hanging="851"/>
        <w:rPr>
          <w:sz w:val="24"/>
          <w:szCs w:val="24"/>
        </w:rPr>
      </w:pPr>
      <w:r>
        <w:rPr>
          <w:sz w:val="24"/>
          <w:szCs w:val="24"/>
        </w:rPr>
        <w:tab/>
      </w:r>
      <w:proofErr w:type="spellStart"/>
      <w:r w:rsidR="009C75A1">
        <w:rPr>
          <w:sz w:val="24"/>
          <w:szCs w:val="24"/>
        </w:rPr>
        <w:t>Taflotan</w:t>
      </w:r>
      <w:proofErr w:type="spellEnd"/>
      <w:r w:rsidR="009C75A1">
        <w:rPr>
          <w:sz w:val="24"/>
          <w:szCs w:val="24"/>
        </w:rPr>
        <w:t xml:space="preserve"> Sine</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2.</w:t>
      </w:r>
      <w:r w:rsidRPr="00926709">
        <w:rPr>
          <w:b/>
          <w:sz w:val="24"/>
          <w:szCs w:val="24"/>
        </w:rPr>
        <w:tab/>
        <w:t>KVALITATIV OG KVANTITATIV SAMMENSÆTNING</w:t>
      </w:r>
    </w:p>
    <w:p w:rsidR="00E37306" w:rsidRDefault="00B76D2F" w:rsidP="00E37306">
      <w:pPr>
        <w:spacing w:line="260" w:lineRule="exact"/>
        <w:ind w:left="851" w:hanging="851"/>
        <w:rPr>
          <w:sz w:val="24"/>
          <w:szCs w:val="24"/>
        </w:rPr>
      </w:pPr>
      <w:r>
        <w:rPr>
          <w:sz w:val="24"/>
          <w:szCs w:val="24"/>
        </w:rPr>
        <w:tab/>
      </w:r>
      <w:r w:rsidR="00E37306">
        <w:rPr>
          <w:sz w:val="24"/>
          <w:szCs w:val="24"/>
        </w:rPr>
        <w:t xml:space="preserve">En ml opløsning indeholder 15 mikrogram </w:t>
      </w:r>
      <w:proofErr w:type="spellStart"/>
      <w:r w:rsidR="00E37306">
        <w:rPr>
          <w:sz w:val="24"/>
          <w:szCs w:val="24"/>
        </w:rPr>
        <w:t>tafluprost</w:t>
      </w:r>
      <w:proofErr w:type="spellEnd"/>
      <w:r w:rsidR="00E37306">
        <w:rPr>
          <w:sz w:val="24"/>
          <w:szCs w:val="24"/>
        </w:rPr>
        <w:t>.</w:t>
      </w:r>
    </w:p>
    <w:p w:rsidR="00E37306" w:rsidRDefault="00E37306" w:rsidP="00E37306">
      <w:pPr>
        <w:spacing w:line="260" w:lineRule="exact"/>
        <w:ind w:left="851" w:hanging="851"/>
        <w:rPr>
          <w:sz w:val="24"/>
          <w:szCs w:val="24"/>
        </w:rPr>
      </w:pPr>
      <w:r>
        <w:rPr>
          <w:sz w:val="24"/>
          <w:szCs w:val="24"/>
        </w:rPr>
        <w:tab/>
        <w:t xml:space="preserve">En dråbe indeholder ca. 0,45 mikrogram </w:t>
      </w:r>
      <w:proofErr w:type="spellStart"/>
      <w:r>
        <w:rPr>
          <w:sz w:val="24"/>
          <w:szCs w:val="24"/>
        </w:rPr>
        <w:t>tafluprost</w:t>
      </w:r>
      <w:proofErr w:type="spellEnd"/>
      <w:r>
        <w:rPr>
          <w:sz w:val="24"/>
          <w:szCs w:val="24"/>
        </w:rPr>
        <w:t>.</w:t>
      </w:r>
    </w:p>
    <w:p w:rsidR="00E37306" w:rsidRDefault="00E37306" w:rsidP="00E37306">
      <w:pPr>
        <w:spacing w:line="260" w:lineRule="exact"/>
        <w:ind w:left="851" w:hanging="851"/>
        <w:rPr>
          <w:sz w:val="24"/>
          <w:szCs w:val="24"/>
        </w:rPr>
      </w:pPr>
    </w:p>
    <w:p w:rsidR="00E37306" w:rsidRDefault="00E37306" w:rsidP="00E37306">
      <w:pPr>
        <w:spacing w:line="260" w:lineRule="exact"/>
        <w:ind w:left="851" w:hanging="851"/>
        <w:rPr>
          <w:sz w:val="24"/>
          <w:szCs w:val="24"/>
        </w:rPr>
      </w:pPr>
      <w:r>
        <w:rPr>
          <w:sz w:val="24"/>
          <w:szCs w:val="24"/>
        </w:rPr>
        <w:tab/>
        <w:t xml:space="preserve">Hjælpestof, som behandleren skal være opmærksom på: En ml af øjendråberne indeholder 1,2 mg </w:t>
      </w:r>
      <w:proofErr w:type="spellStart"/>
      <w:r>
        <w:rPr>
          <w:sz w:val="24"/>
          <w:szCs w:val="24"/>
        </w:rPr>
        <w:t>phosphater</w:t>
      </w:r>
      <w:proofErr w:type="spellEnd"/>
      <w:r>
        <w:rPr>
          <w:sz w:val="24"/>
          <w:szCs w:val="24"/>
        </w:rPr>
        <w:t xml:space="preserve"> og en dråbe indeholder cirka 0,04 mg </w:t>
      </w:r>
      <w:proofErr w:type="spellStart"/>
      <w:r>
        <w:rPr>
          <w:sz w:val="24"/>
          <w:szCs w:val="24"/>
        </w:rPr>
        <w:t>phosphater</w:t>
      </w:r>
      <w:proofErr w:type="spellEnd"/>
      <w:r>
        <w:rPr>
          <w:sz w:val="24"/>
          <w:szCs w:val="24"/>
        </w:rPr>
        <w:t>.</w:t>
      </w:r>
    </w:p>
    <w:p w:rsidR="00E37306" w:rsidRDefault="00E37306" w:rsidP="00E37306">
      <w:pPr>
        <w:spacing w:line="260" w:lineRule="exact"/>
        <w:ind w:left="851" w:hanging="851"/>
        <w:rPr>
          <w:sz w:val="24"/>
          <w:szCs w:val="24"/>
        </w:rPr>
      </w:pPr>
    </w:p>
    <w:p w:rsidR="00E37306" w:rsidRDefault="00E37306" w:rsidP="00E37306">
      <w:pPr>
        <w:spacing w:line="260" w:lineRule="exact"/>
        <w:ind w:left="851"/>
        <w:rPr>
          <w:sz w:val="24"/>
          <w:szCs w:val="24"/>
        </w:rPr>
      </w:pPr>
      <w:r>
        <w:rPr>
          <w:sz w:val="24"/>
          <w:szCs w:val="24"/>
        </w:rPr>
        <w:t>Alle hjælpestoffer er anført under pkt. 6.1.</w:t>
      </w:r>
    </w:p>
    <w:p w:rsidR="00B76D2F" w:rsidRPr="00926709" w:rsidRDefault="00B76D2F" w:rsidP="00E37306">
      <w:pPr>
        <w:spacing w:line="260" w:lineRule="exact"/>
        <w:ind w:left="851" w:hanging="851"/>
        <w:rPr>
          <w:sz w:val="24"/>
          <w:szCs w:val="24"/>
        </w:rPr>
      </w:pPr>
    </w:p>
    <w:p w:rsidR="00B76D2F" w:rsidRPr="00926709" w:rsidRDefault="00B76D2F" w:rsidP="00B76D2F">
      <w:pPr>
        <w:ind w:left="851" w:hanging="851"/>
        <w:rPr>
          <w:b/>
          <w:sz w:val="24"/>
          <w:szCs w:val="24"/>
        </w:rPr>
      </w:pPr>
      <w:r w:rsidRPr="00926709">
        <w:rPr>
          <w:b/>
          <w:sz w:val="24"/>
          <w:szCs w:val="24"/>
        </w:rPr>
        <w:t>3.</w:t>
      </w:r>
      <w:r w:rsidRPr="00926709">
        <w:rPr>
          <w:b/>
          <w:sz w:val="24"/>
          <w:szCs w:val="24"/>
        </w:rPr>
        <w:tab/>
        <w:t>LÆGEMIDDELFORM</w:t>
      </w:r>
    </w:p>
    <w:p w:rsidR="00B76D2F" w:rsidRPr="00926709" w:rsidRDefault="00B76D2F" w:rsidP="00B76D2F">
      <w:pPr>
        <w:suppressAutoHyphens/>
        <w:ind w:left="851"/>
        <w:rPr>
          <w:sz w:val="24"/>
          <w:szCs w:val="24"/>
        </w:rPr>
      </w:pPr>
      <w:r w:rsidRPr="00926709">
        <w:rPr>
          <w:sz w:val="24"/>
          <w:szCs w:val="24"/>
        </w:rPr>
        <w:t>Øjendråber, opløsning (øjendråber)</w:t>
      </w:r>
      <w:r w:rsidR="00AA51C5">
        <w:rPr>
          <w:sz w:val="24"/>
          <w:szCs w:val="24"/>
        </w:rPr>
        <w:t xml:space="preserve"> (</w:t>
      </w:r>
      <w:r w:rsidR="00AA51C5" w:rsidRPr="00AA51C5">
        <w:rPr>
          <w:sz w:val="24"/>
          <w:szCs w:val="24"/>
        </w:rPr>
        <w:t>2care4</w:t>
      </w:r>
      <w:r w:rsidR="00AA51C5">
        <w:rPr>
          <w:sz w:val="24"/>
          <w:szCs w:val="24"/>
        </w:rPr>
        <w:t>)</w:t>
      </w:r>
    </w:p>
    <w:p w:rsidR="00B76D2F" w:rsidRPr="00926709" w:rsidRDefault="00B76D2F" w:rsidP="00B76D2F">
      <w:pPr>
        <w:ind w:left="851" w:hanging="851"/>
        <w:rPr>
          <w:sz w:val="24"/>
          <w:szCs w:val="24"/>
        </w:rPr>
      </w:pP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4.</w:t>
      </w:r>
      <w:r w:rsidRPr="00926709">
        <w:rPr>
          <w:b/>
          <w:sz w:val="24"/>
          <w:szCs w:val="24"/>
        </w:rPr>
        <w:tab/>
        <w:t>KLINISKE OPLYSNINGER</w:t>
      </w:r>
    </w:p>
    <w:p w:rsidR="00B76D2F" w:rsidRPr="00926709" w:rsidRDefault="00B76D2F" w:rsidP="00B76D2F">
      <w:pPr>
        <w:ind w:left="851" w:hanging="851"/>
        <w:rPr>
          <w:b/>
          <w:sz w:val="24"/>
          <w:szCs w:val="24"/>
        </w:rPr>
      </w:pPr>
    </w:p>
    <w:p w:rsidR="00B76D2F" w:rsidRPr="00926709" w:rsidRDefault="00B76D2F" w:rsidP="00B76D2F">
      <w:pPr>
        <w:ind w:left="851" w:hanging="851"/>
        <w:rPr>
          <w:b/>
          <w:sz w:val="24"/>
          <w:szCs w:val="24"/>
          <w:u w:val="single"/>
        </w:rPr>
      </w:pPr>
      <w:r w:rsidRPr="00926709">
        <w:rPr>
          <w:b/>
          <w:sz w:val="24"/>
          <w:szCs w:val="24"/>
        </w:rPr>
        <w:t>4.1</w:t>
      </w:r>
      <w:r w:rsidRPr="00926709">
        <w:rPr>
          <w:b/>
          <w:sz w:val="24"/>
          <w:szCs w:val="24"/>
        </w:rPr>
        <w:tab/>
        <w:t>Terapeutiske indikationer</w:t>
      </w:r>
    </w:p>
    <w:p w:rsidR="00B76D2F" w:rsidRPr="00926709" w:rsidRDefault="00B76D2F" w:rsidP="00B76D2F">
      <w:pPr>
        <w:ind w:left="851"/>
        <w:rPr>
          <w:sz w:val="24"/>
          <w:szCs w:val="24"/>
        </w:rPr>
      </w:pPr>
      <w:r w:rsidRPr="00926709">
        <w:rPr>
          <w:sz w:val="24"/>
          <w:szCs w:val="24"/>
        </w:rPr>
        <w:t xml:space="preserve">Reduktion af forhøjet </w:t>
      </w:r>
      <w:proofErr w:type="spellStart"/>
      <w:r w:rsidRPr="00926709">
        <w:rPr>
          <w:sz w:val="24"/>
          <w:szCs w:val="24"/>
        </w:rPr>
        <w:t>intraokulært</w:t>
      </w:r>
      <w:proofErr w:type="spellEnd"/>
      <w:r w:rsidRPr="00926709">
        <w:rPr>
          <w:sz w:val="24"/>
          <w:szCs w:val="24"/>
        </w:rPr>
        <w:t xml:space="preserve"> tryk ved åbenvinklet </w:t>
      </w:r>
      <w:proofErr w:type="spellStart"/>
      <w:r w:rsidRPr="00926709">
        <w:rPr>
          <w:sz w:val="24"/>
          <w:szCs w:val="24"/>
        </w:rPr>
        <w:t>glaukom</w:t>
      </w:r>
      <w:proofErr w:type="spellEnd"/>
      <w:r w:rsidRPr="00926709">
        <w:rPr>
          <w:sz w:val="24"/>
          <w:szCs w:val="24"/>
        </w:rPr>
        <w:t xml:space="preserve"> og </w:t>
      </w:r>
      <w:proofErr w:type="spellStart"/>
      <w:r w:rsidRPr="00926709">
        <w:rPr>
          <w:sz w:val="24"/>
          <w:szCs w:val="24"/>
        </w:rPr>
        <w:t>okulær</w:t>
      </w:r>
      <w:proofErr w:type="spellEnd"/>
      <w:r w:rsidRPr="00926709">
        <w:rPr>
          <w:sz w:val="24"/>
          <w:szCs w:val="24"/>
        </w:rPr>
        <w:t xml:space="preserve"> hypertension.</w:t>
      </w:r>
    </w:p>
    <w:p w:rsidR="00B76D2F" w:rsidRPr="00926709" w:rsidRDefault="00B76D2F" w:rsidP="00B76D2F">
      <w:pPr>
        <w:ind w:left="851" w:hanging="851"/>
        <w:rPr>
          <w:sz w:val="24"/>
          <w:szCs w:val="24"/>
        </w:rPr>
      </w:pPr>
    </w:p>
    <w:p w:rsidR="00B76D2F" w:rsidRPr="00926709" w:rsidRDefault="00B76D2F" w:rsidP="00B76D2F">
      <w:pPr>
        <w:ind w:left="851"/>
        <w:rPr>
          <w:sz w:val="24"/>
          <w:szCs w:val="24"/>
        </w:rPr>
      </w:pPr>
      <w:r w:rsidRPr="00926709">
        <w:rPr>
          <w:sz w:val="24"/>
          <w:szCs w:val="24"/>
        </w:rPr>
        <w:t>Som monoterapi hos patienter:</w:t>
      </w:r>
    </w:p>
    <w:p w:rsidR="00B76D2F" w:rsidRPr="00926709" w:rsidRDefault="00B76D2F" w:rsidP="00B76D2F">
      <w:pPr>
        <w:numPr>
          <w:ilvl w:val="0"/>
          <w:numId w:val="6"/>
        </w:numPr>
        <w:ind w:left="1276" w:hanging="425"/>
        <w:rPr>
          <w:sz w:val="24"/>
          <w:szCs w:val="24"/>
        </w:rPr>
      </w:pPr>
      <w:r w:rsidRPr="00926709">
        <w:rPr>
          <w:sz w:val="24"/>
          <w:szCs w:val="24"/>
        </w:rPr>
        <w:t>som ville have gavn af øjendråber uden konserveringsmiddel</w:t>
      </w:r>
    </w:p>
    <w:p w:rsidR="00B76D2F" w:rsidRPr="00926709" w:rsidRDefault="00B76D2F" w:rsidP="00B76D2F">
      <w:pPr>
        <w:numPr>
          <w:ilvl w:val="0"/>
          <w:numId w:val="6"/>
        </w:numPr>
        <w:ind w:left="1276" w:hanging="425"/>
        <w:rPr>
          <w:sz w:val="24"/>
          <w:szCs w:val="24"/>
        </w:rPr>
      </w:pPr>
      <w:r w:rsidRPr="00926709">
        <w:rPr>
          <w:sz w:val="24"/>
          <w:szCs w:val="24"/>
        </w:rPr>
        <w:t>som ikke responderer tilstrækkeligt på første behandlingsvalg</w:t>
      </w:r>
    </w:p>
    <w:p w:rsidR="00B76D2F" w:rsidRPr="00926709" w:rsidRDefault="00B76D2F" w:rsidP="00B76D2F">
      <w:pPr>
        <w:numPr>
          <w:ilvl w:val="0"/>
          <w:numId w:val="6"/>
        </w:numPr>
        <w:ind w:left="1276" w:hanging="425"/>
        <w:rPr>
          <w:sz w:val="24"/>
          <w:szCs w:val="24"/>
        </w:rPr>
      </w:pPr>
      <w:r w:rsidRPr="00926709">
        <w:rPr>
          <w:sz w:val="24"/>
          <w:szCs w:val="24"/>
        </w:rPr>
        <w:t>som er intolerante eller kontraindicerede over for første behandlingsvalg</w:t>
      </w:r>
    </w:p>
    <w:p w:rsidR="00B76D2F" w:rsidRPr="00926709" w:rsidRDefault="00B76D2F" w:rsidP="00B76D2F">
      <w:pPr>
        <w:ind w:left="851" w:hanging="851"/>
        <w:rPr>
          <w:sz w:val="24"/>
          <w:szCs w:val="24"/>
        </w:rPr>
      </w:pPr>
    </w:p>
    <w:p w:rsidR="00B76D2F" w:rsidRPr="00926709" w:rsidRDefault="00B76D2F" w:rsidP="00B76D2F">
      <w:pPr>
        <w:ind w:left="851"/>
        <w:rPr>
          <w:sz w:val="24"/>
          <w:szCs w:val="24"/>
        </w:rPr>
      </w:pPr>
      <w:r w:rsidRPr="00926709">
        <w:rPr>
          <w:sz w:val="24"/>
          <w:szCs w:val="24"/>
        </w:rPr>
        <w:t>Som supplerende behandling til betablokkere.</w:t>
      </w:r>
    </w:p>
    <w:p w:rsidR="00B76D2F" w:rsidRPr="00926709" w:rsidRDefault="00B76D2F" w:rsidP="00B76D2F">
      <w:pPr>
        <w:ind w:left="851" w:hanging="851"/>
        <w:rPr>
          <w:sz w:val="24"/>
          <w:szCs w:val="24"/>
        </w:rPr>
      </w:pPr>
    </w:p>
    <w:p w:rsidR="00B76D2F" w:rsidRPr="00926709" w:rsidRDefault="009C75A1" w:rsidP="00B76D2F">
      <w:pPr>
        <w:ind w:left="851"/>
        <w:rPr>
          <w:sz w:val="24"/>
          <w:szCs w:val="24"/>
        </w:rPr>
      </w:pPr>
      <w:proofErr w:type="spellStart"/>
      <w:r>
        <w:rPr>
          <w:sz w:val="24"/>
          <w:szCs w:val="24"/>
        </w:rPr>
        <w:t>Taflotan</w:t>
      </w:r>
      <w:proofErr w:type="spellEnd"/>
      <w:r>
        <w:rPr>
          <w:sz w:val="24"/>
          <w:szCs w:val="24"/>
        </w:rPr>
        <w:t xml:space="preserve"> Sine</w:t>
      </w:r>
      <w:r w:rsidR="00B76D2F" w:rsidRPr="00926709">
        <w:rPr>
          <w:sz w:val="24"/>
          <w:szCs w:val="24"/>
        </w:rPr>
        <w:t xml:space="preserve"> er indiceret til brug hos voksne ≥ 18 år.</w:t>
      </w:r>
    </w:p>
    <w:p w:rsidR="00B76D2F" w:rsidRDefault="00B76D2F" w:rsidP="00B76D2F">
      <w:pPr>
        <w:ind w:left="851" w:hanging="851"/>
        <w:rPr>
          <w:sz w:val="24"/>
          <w:szCs w:val="24"/>
        </w:rPr>
      </w:pPr>
    </w:p>
    <w:p w:rsidR="0028731A" w:rsidRDefault="0028731A" w:rsidP="00B76D2F">
      <w:pPr>
        <w:ind w:left="851" w:hanging="851"/>
        <w:rPr>
          <w:sz w:val="24"/>
          <w:szCs w:val="24"/>
        </w:rPr>
      </w:pPr>
    </w:p>
    <w:p w:rsidR="0028731A" w:rsidRDefault="0028731A" w:rsidP="00B76D2F">
      <w:pPr>
        <w:ind w:left="851" w:hanging="851"/>
        <w:rPr>
          <w:sz w:val="24"/>
          <w:szCs w:val="24"/>
        </w:rPr>
      </w:pPr>
    </w:p>
    <w:p w:rsidR="0028731A" w:rsidRPr="00926709" w:rsidRDefault="0028731A" w:rsidP="00B76D2F">
      <w:pPr>
        <w:ind w:left="851" w:hanging="851"/>
        <w:rPr>
          <w:sz w:val="24"/>
          <w:szCs w:val="24"/>
        </w:rPr>
      </w:pPr>
    </w:p>
    <w:p w:rsidR="00B76D2F" w:rsidRDefault="00B76D2F" w:rsidP="00AA51C5">
      <w:pPr>
        <w:ind w:left="851" w:hanging="851"/>
        <w:rPr>
          <w:b/>
          <w:sz w:val="24"/>
          <w:szCs w:val="24"/>
        </w:rPr>
      </w:pPr>
      <w:r w:rsidRPr="00926709">
        <w:rPr>
          <w:b/>
          <w:sz w:val="24"/>
          <w:szCs w:val="24"/>
        </w:rPr>
        <w:lastRenderedPageBreak/>
        <w:t>4.2</w:t>
      </w:r>
      <w:r w:rsidRPr="00926709">
        <w:rPr>
          <w:b/>
          <w:sz w:val="24"/>
          <w:szCs w:val="24"/>
        </w:rPr>
        <w:tab/>
        <w:t xml:space="preserve">Dosering og </w:t>
      </w:r>
      <w:r w:rsidR="00FB3C75" w:rsidRPr="00FB3C75">
        <w:rPr>
          <w:b/>
          <w:sz w:val="24"/>
          <w:szCs w:val="24"/>
        </w:rPr>
        <w:t>administration</w:t>
      </w:r>
    </w:p>
    <w:p w:rsidR="00AA51C5" w:rsidRPr="00AA51C5" w:rsidRDefault="00AA51C5" w:rsidP="00AA51C5">
      <w:pPr>
        <w:ind w:left="851" w:hanging="851"/>
        <w:rPr>
          <w:b/>
          <w:sz w:val="24"/>
          <w:szCs w:val="24"/>
        </w:rPr>
      </w:pPr>
    </w:p>
    <w:p w:rsidR="00B76D2F" w:rsidRPr="00926709" w:rsidRDefault="00B76D2F" w:rsidP="00B76D2F">
      <w:pPr>
        <w:ind w:left="851"/>
        <w:rPr>
          <w:noProof/>
          <w:sz w:val="24"/>
          <w:szCs w:val="24"/>
          <w:u w:val="single"/>
        </w:rPr>
      </w:pPr>
      <w:r w:rsidRPr="00926709">
        <w:rPr>
          <w:noProof/>
          <w:sz w:val="24"/>
          <w:szCs w:val="24"/>
          <w:u w:val="single"/>
        </w:rPr>
        <w:t>Dosering</w:t>
      </w:r>
    </w:p>
    <w:p w:rsidR="00B76D2F" w:rsidRPr="00926709" w:rsidRDefault="00B76D2F" w:rsidP="00B76D2F">
      <w:pPr>
        <w:ind w:left="851"/>
        <w:rPr>
          <w:noProof/>
          <w:sz w:val="24"/>
          <w:szCs w:val="24"/>
        </w:rPr>
      </w:pPr>
      <w:r w:rsidRPr="00926709">
        <w:rPr>
          <w:noProof/>
          <w:sz w:val="24"/>
          <w:szCs w:val="24"/>
        </w:rPr>
        <w:t xml:space="preserve">Den anbefalede dosis er én dråbe </w:t>
      </w:r>
      <w:r w:rsidR="009C75A1">
        <w:rPr>
          <w:noProof/>
          <w:sz w:val="24"/>
          <w:szCs w:val="24"/>
        </w:rPr>
        <w:t>Taflotan Sine</w:t>
      </w:r>
      <w:r w:rsidRPr="00926709">
        <w:rPr>
          <w:noProof/>
          <w:sz w:val="24"/>
          <w:szCs w:val="24"/>
        </w:rPr>
        <w:t xml:space="preserve"> i konjunktivalsækken i det eller de syge øjne en gang dagligt om aftenen.</w:t>
      </w:r>
    </w:p>
    <w:p w:rsidR="00B76D2F" w:rsidRPr="00926709" w:rsidRDefault="00B76D2F" w:rsidP="00B76D2F">
      <w:pPr>
        <w:ind w:left="851" w:hanging="851"/>
        <w:rPr>
          <w:noProof/>
          <w:sz w:val="24"/>
          <w:szCs w:val="24"/>
        </w:rPr>
      </w:pPr>
    </w:p>
    <w:p w:rsidR="00B76D2F" w:rsidRPr="00926709" w:rsidRDefault="00B76D2F" w:rsidP="00B76D2F">
      <w:pPr>
        <w:ind w:left="851"/>
        <w:rPr>
          <w:noProof/>
          <w:sz w:val="24"/>
          <w:szCs w:val="24"/>
        </w:rPr>
      </w:pPr>
      <w:r w:rsidRPr="00926709">
        <w:rPr>
          <w:noProof/>
          <w:sz w:val="24"/>
          <w:szCs w:val="24"/>
        </w:rPr>
        <w:t>Dosis bør ikke overskride én dråbe daglig, da en hyppigere administration kan mindske den sænkende virkning på det intraokulære tryk.</w:t>
      </w:r>
    </w:p>
    <w:p w:rsidR="00B76D2F" w:rsidRPr="00926709" w:rsidRDefault="00B76D2F" w:rsidP="00B76D2F">
      <w:pPr>
        <w:ind w:left="851" w:hanging="851"/>
        <w:rPr>
          <w:noProof/>
          <w:sz w:val="24"/>
          <w:szCs w:val="24"/>
        </w:rPr>
      </w:pPr>
    </w:p>
    <w:p w:rsidR="00B76D2F" w:rsidRPr="00926709" w:rsidRDefault="00B76D2F" w:rsidP="00B76D2F">
      <w:pPr>
        <w:ind w:left="851"/>
        <w:rPr>
          <w:i/>
          <w:noProof/>
          <w:sz w:val="24"/>
          <w:szCs w:val="24"/>
        </w:rPr>
      </w:pPr>
      <w:r w:rsidRPr="00926709">
        <w:rPr>
          <w:i/>
          <w:noProof/>
          <w:sz w:val="24"/>
          <w:szCs w:val="24"/>
        </w:rPr>
        <w:t>Anvendelse til ældre:</w:t>
      </w:r>
    </w:p>
    <w:p w:rsidR="00B76D2F" w:rsidRPr="00926709" w:rsidRDefault="00B76D2F" w:rsidP="00B76D2F">
      <w:pPr>
        <w:ind w:left="851"/>
        <w:rPr>
          <w:noProof/>
          <w:sz w:val="24"/>
          <w:szCs w:val="24"/>
        </w:rPr>
      </w:pPr>
      <w:r w:rsidRPr="00926709">
        <w:rPr>
          <w:noProof/>
          <w:sz w:val="24"/>
          <w:szCs w:val="24"/>
        </w:rPr>
        <w:t>Det er ikke nødvendigt at ændre dosis til ældre patienter.</w:t>
      </w:r>
    </w:p>
    <w:p w:rsidR="00B76D2F" w:rsidRPr="00926709" w:rsidRDefault="00B76D2F" w:rsidP="00B76D2F">
      <w:pPr>
        <w:ind w:left="851" w:hanging="851"/>
        <w:rPr>
          <w:noProof/>
          <w:sz w:val="24"/>
          <w:szCs w:val="24"/>
          <w:u w:val="single"/>
        </w:rPr>
      </w:pPr>
    </w:p>
    <w:p w:rsidR="00B76D2F" w:rsidRPr="00926709" w:rsidRDefault="00B76D2F" w:rsidP="00B76D2F">
      <w:pPr>
        <w:ind w:left="851"/>
        <w:rPr>
          <w:i/>
          <w:noProof/>
          <w:sz w:val="24"/>
          <w:szCs w:val="24"/>
        </w:rPr>
      </w:pPr>
      <w:r w:rsidRPr="00926709">
        <w:rPr>
          <w:i/>
          <w:noProof/>
          <w:sz w:val="24"/>
          <w:szCs w:val="24"/>
        </w:rPr>
        <w:t>Pædiatrisk population:</w:t>
      </w:r>
    </w:p>
    <w:p w:rsidR="00B76D2F" w:rsidRPr="00926709" w:rsidRDefault="00B76D2F" w:rsidP="00B76D2F">
      <w:pPr>
        <w:ind w:left="851"/>
        <w:rPr>
          <w:bCs/>
          <w:iCs/>
          <w:noProof/>
          <w:sz w:val="24"/>
          <w:szCs w:val="24"/>
        </w:rPr>
      </w:pPr>
      <w:r w:rsidRPr="00926709">
        <w:rPr>
          <w:noProof/>
          <w:sz w:val="24"/>
          <w:szCs w:val="24"/>
        </w:rPr>
        <w:t>Tafluprost</w:t>
      </w:r>
      <w:r w:rsidRPr="00926709">
        <w:rPr>
          <w:bCs/>
          <w:iCs/>
          <w:noProof/>
          <w:sz w:val="24"/>
          <w:szCs w:val="24"/>
        </w:rPr>
        <w:t>s sikkerhed og virkning hos børn under 18 år er endnu ikke klarlagt. Der foreligger ingen data.</w:t>
      </w:r>
      <w:r w:rsidRPr="00926709">
        <w:rPr>
          <w:noProof/>
          <w:sz w:val="24"/>
          <w:szCs w:val="24"/>
        </w:rPr>
        <w:t xml:space="preserve"> </w:t>
      </w:r>
    </w:p>
    <w:p w:rsidR="00B76D2F" w:rsidRPr="00926709" w:rsidRDefault="00B76D2F" w:rsidP="00B76D2F">
      <w:pPr>
        <w:ind w:left="851" w:hanging="851"/>
        <w:rPr>
          <w:noProof/>
          <w:sz w:val="24"/>
          <w:szCs w:val="24"/>
          <w:u w:val="single"/>
        </w:rPr>
      </w:pPr>
    </w:p>
    <w:p w:rsidR="00B76D2F" w:rsidRPr="00926709" w:rsidRDefault="00B76D2F" w:rsidP="00B76D2F">
      <w:pPr>
        <w:ind w:left="851"/>
        <w:rPr>
          <w:i/>
          <w:noProof/>
          <w:sz w:val="24"/>
          <w:szCs w:val="24"/>
        </w:rPr>
      </w:pPr>
      <w:r w:rsidRPr="00926709">
        <w:rPr>
          <w:i/>
          <w:noProof/>
          <w:sz w:val="24"/>
          <w:szCs w:val="24"/>
        </w:rPr>
        <w:t>Anvendelse ved nedsat nyre-/leverfunktion</w:t>
      </w:r>
    </w:p>
    <w:p w:rsidR="00B76D2F" w:rsidRPr="00926709" w:rsidRDefault="00B76D2F" w:rsidP="00B76D2F">
      <w:pPr>
        <w:ind w:left="851"/>
        <w:rPr>
          <w:noProof/>
          <w:sz w:val="24"/>
          <w:szCs w:val="24"/>
        </w:rPr>
      </w:pPr>
      <w:r w:rsidRPr="00926709">
        <w:rPr>
          <w:noProof/>
          <w:sz w:val="24"/>
          <w:szCs w:val="24"/>
        </w:rPr>
        <w:t>Tafluprost er ikke blevet undersøgt hos patienter med nedsat nyre-/leverfunktion og skal derfor anvendes med forsigtighed hos disse patienter.</w:t>
      </w:r>
    </w:p>
    <w:p w:rsidR="00B76D2F" w:rsidRPr="00926709" w:rsidRDefault="00B76D2F" w:rsidP="00B76D2F">
      <w:pPr>
        <w:ind w:left="851" w:hanging="851"/>
        <w:rPr>
          <w:noProof/>
          <w:sz w:val="24"/>
          <w:szCs w:val="24"/>
        </w:rPr>
      </w:pPr>
    </w:p>
    <w:p w:rsidR="00B76D2F" w:rsidRPr="00926709" w:rsidRDefault="00B76D2F" w:rsidP="00B76D2F">
      <w:pPr>
        <w:ind w:left="851"/>
        <w:rPr>
          <w:noProof/>
          <w:sz w:val="24"/>
          <w:szCs w:val="24"/>
          <w:u w:val="single"/>
        </w:rPr>
      </w:pPr>
      <w:r w:rsidRPr="00926709">
        <w:rPr>
          <w:noProof/>
          <w:sz w:val="24"/>
          <w:szCs w:val="24"/>
          <w:u w:val="single"/>
        </w:rPr>
        <w:t>Administration</w:t>
      </w:r>
    </w:p>
    <w:p w:rsidR="00B76D2F" w:rsidRPr="00926709" w:rsidRDefault="00B76D2F" w:rsidP="00B76D2F">
      <w:pPr>
        <w:ind w:left="851"/>
        <w:rPr>
          <w:noProof/>
          <w:sz w:val="24"/>
          <w:szCs w:val="24"/>
        </w:rPr>
      </w:pPr>
      <w:r w:rsidRPr="00926709">
        <w:rPr>
          <w:noProof/>
          <w:sz w:val="24"/>
          <w:szCs w:val="24"/>
        </w:rPr>
        <w:t>Patienten skal informeres om korrekt håndtering af flasken. Når flasken bruges for første gang, skal patienten først og fremmest øve sig i at håndtere den, før der inddryppes en dråbe i øjet, ved at holde flasken væk fra øjet og forsigtigt klemme på flasken, så der kommer én dråbe ud. Patienten skal øve sig, indtil han/hun er sikker på, at han/hun kan levere én dråbe ad gangen. Alternativt kan det være, at den ukonserverede variant af det samme lægemiddel i enkeltdosisbeholdere er mere hensigtsmæssig for patienten at anvende.</w:t>
      </w:r>
    </w:p>
    <w:p w:rsidR="00B76D2F" w:rsidRPr="00926709" w:rsidRDefault="00B76D2F" w:rsidP="00B76D2F">
      <w:pPr>
        <w:ind w:left="851"/>
        <w:rPr>
          <w:noProof/>
          <w:sz w:val="24"/>
          <w:szCs w:val="24"/>
        </w:rPr>
      </w:pPr>
    </w:p>
    <w:p w:rsidR="00B76D2F" w:rsidRPr="00926709" w:rsidRDefault="00B76D2F" w:rsidP="00B76D2F">
      <w:pPr>
        <w:ind w:left="851"/>
        <w:rPr>
          <w:noProof/>
          <w:sz w:val="24"/>
          <w:szCs w:val="24"/>
        </w:rPr>
      </w:pPr>
      <w:r w:rsidRPr="00926709">
        <w:rPr>
          <w:noProof/>
          <w:sz w:val="24"/>
          <w:szCs w:val="24"/>
        </w:rPr>
        <w:t>For at undgå potentiel kontaminering af opløsningen, skal patienten ikke røre øjenlåget, de omkringliggende omgivelser eller andre overflader med flaskens dråbespids. Den overskydende væske, som sidder tilbage i dråbespidsen efter inddrypning af øjendråberne, skal straks fjernes, ved at ryste flasken én gang nedad. Dråbespidsen må ikke berøres eller tørres af.</w:t>
      </w:r>
    </w:p>
    <w:p w:rsidR="00B76D2F" w:rsidRPr="00926709" w:rsidRDefault="00B76D2F" w:rsidP="00B76D2F">
      <w:pPr>
        <w:ind w:left="851"/>
        <w:rPr>
          <w:noProof/>
          <w:sz w:val="24"/>
          <w:szCs w:val="24"/>
        </w:rPr>
      </w:pPr>
      <w:r w:rsidRPr="00926709">
        <w:rPr>
          <w:noProof/>
          <w:sz w:val="24"/>
          <w:szCs w:val="24"/>
        </w:rPr>
        <w:t>For at mindske risikoen for at farve huden på øjenlåget mørkere skal patienten tørre al overskydende opløsning af huden. Som det er tilfældet med alle andre øjendråber, anbefales nasolakrimal okklusion eller forsigtig lukning af øjenlåget efter administration. Dette kan reducere den systemiske absorption af lægemidler, der administreres okulært.</w:t>
      </w:r>
    </w:p>
    <w:p w:rsidR="00B76D2F" w:rsidRPr="00926709" w:rsidRDefault="00B76D2F" w:rsidP="00B76D2F">
      <w:pPr>
        <w:ind w:left="851"/>
        <w:rPr>
          <w:noProof/>
          <w:sz w:val="24"/>
          <w:szCs w:val="24"/>
        </w:rPr>
      </w:pPr>
    </w:p>
    <w:p w:rsidR="00B76D2F" w:rsidRPr="00926709" w:rsidRDefault="00B76D2F" w:rsidP="00B76D2F">
      <w:pPr>
        <w:ind w:left="851"/>
        <w:rPr>
          <w:noProof/>
          <w:sz w:val="24"/>
          <w:szCs w:val="24"/>
        </w:rPr>
      </w:pPr>
      <w:r w:rsidRPr="00926709">
        <w:rPr>
          <w:noProof/>
          <w:sz w:val="24"/>
          <w:szCs w:val="24"/>
        </w:rPr>
        <w:t xml:space="preserve">Der vil være et restvolumen på ca. 1 ml, </w:t>
      </w:r>
      <w:r>
        <w:rPr>
          <w:noProof/>
          <w:sz w:val="24"/>
          <w:szCs w:val="24"/>
        </w:rPr>
        <w:t>som ikke kan doseres.</w:t>
      </w:r>
      <w:r w:rsidRPr="00926709">
        <w:rPr>
          <w:noProof/>
          <w:sz w:val="24"/>
          <w:szCs w:val="24"/>
        </w:rPr>
        <w:t xml:space="preserve"> Patienten skal ikke forsøge at tømme flasken.</w:t>
      </w:r>
    </w:p>
    <w:p w:rsidR="00B76D2F" w:rsidRPr="00926709" w:rsidRDefault="00B76D2F" w:rsidP="00B76D2F">
      <w:pPr>
        <w:ind w:left="851"/>
        <w:rPr>
          <w:noProof/>
          <w:sz w:val="24"/>
          <w:szCs w:val="24"/>
        </w:rPr>
      </w:pPr>
    </w:p>
    <w:p w:rsidR="00B76D2F" w:rsidRPr="00926709" w:rsidRDefault="00B76D2F" w:rsidP="00B76D2F">
      <w:pPr>
        <w:ind w:left="851"/>
        <w:rPr>
          <w:noProof/>
          <w:sz w:val="24"/>
          <w:szCs w:val="24"/>
        </w:rPr>
      </w:pPr>
      <w:r w:rsidRPr="00926709">
        <w:rPr>
          <w:noProof/>
          <w:sz w:val="24"/>
          <w:szCs w:val="24"/>
        </w:rPr>
        <w:t>Hvis der anvendes mere end et topikalt oftalmisk lægemiddel, skal hvert lægemiddel administreres med mindst 5 minutters mellemrum.</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4.3</w:t>
      </w:r>
      <w:r w:rsidRPr="00926709">
        <w:rPr>
          <w:b/>
          <w:sz w:val="24"/>
          <w:szCs w:val="24"/>
        </w:rPr>
        <w:tab/>
        <w:t>Kontraindikationer</w:t>
      </w:r>
    </w:p>
    <w:p w:rsidR="00B76D2F" w:rsidRDefault="00B76D2F" w:rsidP="005916DF">
      <w:pPr>
        <w:ind w:left="851"/>
        <w:rPr>
          <w:sz w:val="24"/>
          <w:szCs w:val="24"/>
        </w:rPr>
      </w:pPr>
      <w:r w:rsidRPr="00926709">
        <w:rPr>
          <w:noProof/>
          <w:sz w:val="24"/>
          <w:szCs w:val="24"/>
        </w:rPr>
        <w:t>Overfølsomhed over for det aktive stof eller over for et eller flere af hjælpestofferne anført i pkt. 6.1.</w:t>
      </w:r>
      <w:r>
        <w:rPr>
          <w:sz w:val="24"/>
          <w:szCs w:val="24"/>
        </w:rPr>
        <w:br w:type="page"/>
      </w:r>
    </w:p>
    <w:p w:rsidR="00B76D2F" w:rsidRPr="00926709" w:rsidRDefault="00B76D2F" w:rsidP="00AA51C5">
      <w:pPr>
        <w:rPr>
          <w:sz w:val="24"/>
          <w:szCs w:val="24"/>
        </w:rPr>
      </w:pPr>
    </w:p>
    <w:p w:rsidR="00B76D2F" w:rsidRPr="00926709" w:rsidRDefault="00B76D2F" w:rsidP="00B76D2F">
      <w:pPr>
        <w:ind w:left="851" w:hanging="851"/>
        <w:rPr>
          <w:b/>
          <w:sz w:val="24"/>
          <w:szCs w:val="24"/>
        </w:rPr>
      </w:pPr>
      <w:r w:rsidRPr="00926709">
        <w:rPr>
          <w:b/>
          <w:sz w:val="24"/>
          <w:szCs w:val="24"/>
        </w:rPr>
        <w:t>4.4</w:t>
      </w:r>
      <w:r w:rsidRPr="00926709">
        <w:rPr>
          <w:b/>
          <w:sz w:val="24"/>
          <w:szCs w:val="24"/>
        </w:rPr>
        <w:tab/>
        <w:t>Særlige advarsler og forsigtighedsregler vedrørende brugen</w:t>
      </w:r>
    </w:p>
    <w:p w:rsidR="00B76D2F" w:rsidRPr="00926709" w:rsidRDefault="00B76D2F" w:rsidP="00B76D2F">
      <w:pPr>
        <w:ind w:left="851"/>
        <w:rPr>
          <w:sz w:val="24"/>
          <w:szCs w:val="24"/>
        </w:rPr>
      </w:pPr>
      <w:r w:rsidRPr="00926709">
        <w:rPr>
          <w:sz w:val="24"/>
          <w:szCs w:val="24"/>
        </w:rPr>
        <w:t>Før behandlingen påbegyndes, skal patienterne informeres om risikoen for vækst af øjenvipperne, mørkfarvning af huden på øjenlåget og forøget pigmentering af iris. Nogle af disse ændringer kan være permanente og føre til forskelle i udseendet på øjnene, når kun det ene øje behandles.</w:t>
      </w:r>
    </w:p>
    <w:p w:rsidR="00B76D2F" w:rsidRPr="00926709" w:rsidRDefault="00B76D2F" w:rsidP="00B76D2F">
      <w:pPr>
        <w:ind w:left="851" w:hanging="851"/>
        <w:rPr>
          <w:sz w:val="24"/>
          <w:szCs w:val="24"/>
        </w:rPr>
      </w:pPr>
    </w:p>
    <w:p w:rsidR="00B76D2F" w:rsidRPr="00926709" w:rsidRDefault="00B76D2F" w:rsidP="00B76D2F">
      <w:pPr>
        <w:ind w:left="851"/>
        <w:rPr>
          <w:sz w:val="24"/>
          <w:szCs w:val="24"/>
        </w:rPr>
      </w:pPr>
      <w:r w:rsidRPr="00926709">
        <w:rPr>
          <w:sz w:val="24"/>
          <w:szCs w:val="24"/>
        </w:rPr>
        <w:t>Ændringen i pigmenteringen af iris sker langsomt og ses måske ikke i flere måneder. Ændringen i øjenfarve er hovedsageligt blevet set hos patienter med blandede irisfarver, f.eks. blå</w:t>
      </w:r>
      <w:r w:rsidRPr="00926709">
        <w:rPr>
          <w:sz w:val="24"/>
          <w:szCs w:val="24"/>
        </w:rPr>
        <w:noBreakHyphen/>
        <w:t xml:space="preserve">brun, </w:t>
      </w:r>
      <w:proofErr w:type="spellStart"/>
      <w:r w:rsidRPr="00926709">
        <w:rPr>
          <w:sz w:val="24"/>
          <w:szCs w:val="24"/>
        </w:rPr>
        <w:t>grå</w:t>
      </w:r>
      <w:r w:rsidRPr="00926709">
        <w:rPr>
          <w:sz w:val="24"/>
          <w:szCs w:val="24"/>
        </w:rPr>
        <w:noBreakHyphen/>
        <w:t>brun</w:t>
      </w:r>
      <w:proofErr w:type="spellEnd"/>
      <w:r w:rsidRPr="00926709">
        <w:rPr>
          <w:sz w:val="24"/>
          <w:szCs w:val="24"/>
        </w:rPr>
        <w:t xml:space="preserve">, </w:t>
      </w:r>
      <w:proofErr w:type="spellStart"/>
      <w:r w:rsidRPr="00926709">
        <w:rPr>
          <w:sz w:val="24"/>
          <w:szCs w:val="24"/>
        </w:rPr>
        <w:t>gul</w:t>
      </w:r>
      <w:r w:rsidRPr="00926709">
        <w:rPr>
          <w:sz w:val="24"/>
          <w:szCs w:val="24"/>
        </w:rPr>
        <w:noBreakHyphen/>
        <w:t>brun</w:t>
      </w:r>
      <w:proofErr w:type="spellEnd"/>
      <w:r w:rsidRPr="00926709">
        <w:rPr>
          <w:sz w:val="24"/>
          <w:szCs w:val="24"/>
        </w:rPr>
        <w:t xml:space="preserve"> og </w:t>
      </w:r>
      <w:proofErr w:type="spellStart"/>
      <w:r w:rsidRPr="00926709">
        <w:rPr>
          <w:sz w:val="24"/>
          <w:szCs w:val="24"/>
        </w:rPr>
        <w:t>grøn</w:t>
      </w:r>
      <w:r w:rsidRPr="00926709">
        <w:rPr>
          <w:sz w:val="24"/>
          <w:szCs w:val="24"/>
        </w:rPr>
        <w:noBreakHyphen/>
        <w:t>brun</w:t>
      </w:r>
      <w:proofErr w:type="spellEnd"/>
      <w:r w:rsidRPr="00926709">
        <w:rPr>
          <w:sz w:val="24"/>
          <w:szCs w:val="24"/>
        </w:rPr>
        <w:t xml:space="preserve">. Risikoen for livslang </w:t>
      </w:r>
      <w:proofErr w:type="spellStart"/>
      <w:r w:rsidRPr="00926709">
        <w:rPr>
          <w:sz w:val="24"/>
          <w:szCs w:val="24"/>
        </w:rPr>
        <w:t>heterokromi</w:t>
      </w:r>
      <w:proofErr w:type="spellEnd"/>
      <w:r w:rsidRPr="00926709">
        <w:rPr>
          <w:sz w:val="24"/>
          <w:szCs w:val="24"/>
        </w:rPr>
        <w:t xml:space="preserve"> i øjnene i unilaterale tilfælde er oplagt.</w:t>
      </w:r>
    </w:p>
    <w:p w:rsidR="00B76D2F" w:rsidRPr="00926709" w:rsidRDefault="00B76D2F" w:rsidP="00B76D2F">
      <w:pPr>
        <w:ind w:left="851" w:hanging="851"/>
        <w:rPr>
          <w:sz w:val="24"/>
          <w:szCs w:val="24"/>
        </w:rPr>
      </w:pPr>
    </w:p>
    <w:p w:rsidR="00B76D2F" w:rsidRPr="00926709" w:rsidRDefault="00B76D2F" w:rsidP="00B76D2F">
      <w:pPr>
        <w:ind w:left="851"/>
        <w:rPr>
          <w:sz w:val="24"/>
          <w:szCs w:val="24"/>
        </w:rPr>
      </w:pPr>
      <w:bookmarkStart w:id="0" w:name="_Hlk505870933"/>
      <w:r w:rsidRPr="00926709">
        <w:rPr>
          <w:sz w:val="24"/>
          <w:szCs w:val="24"/>
        </w:rPr>
        <w:t xml:space="preserve">Der er risiko for hårvækst i områder, hvor </w:t>
      </w:r>
      <w:proofErr w:type="spellStart"/>
      <w:r w:rsidRPr="00926709">
        <w:rPr>
          <w:sz w:val="24"/>
          <w:szCs w:val="24"/>
        </w:rPr>
        <w:t>tafluprost</w:t>
      </w:r>
      <w:proofErr w:type="spellEnd"/>
      <w:r w:rsidRPr="00926709">
        <w:rPr>
          <w:sz w:val="24"/>
          <w:szCs w:val="24"/>
        </w:rPr>
        <w:t>-opløsningen gentagne gange kommer i kontakt med hudens overflade.</w:t>
      </w:r>
    </w:p>
    <w:bookmarkEnd w:id="0"/>
    <w:p w:rsidR="00B76D2F" w:rsidRPr="00926709" w:rsidRDefault="00B76D2F" w:rsidP="00B76D2F">
      <w:pPr>
        <w:ind w:left="851" w:hanging="851"/>
        <w:rPr>
          <w:sz w:val="24"/>
          <w:szCs w:val="24"/>
        </w:rPr>
      </w:pPr>
    </w:p>
    <w:p w:rsidR="00B76D2F" w:rsidRPr="00926709" w:rsidRDefault="00B76D2F" w:rsidP="00B76D2F">
      <w:pPr>
        <w:ind w:left="851"/>
        <w:rPr>
          <w:sz w:val="24"/>
          <w:szCs w:val="24"/>
        </w:rPr>
      </w:pPr>
      <w:bookmarkStart w:id="1" w:name="_Hlk485034709"/>
      <w:r w:rsidRPr="00926709">
        <w:rPr>
          <w:sz w:val="24"/>
          <w:szCs w:val="24"/>
        </w:rPr>
        <w:t xml:space="preserve">Der er ingen erfaring med </w:t>
      </w:r>
      <w:proofErr w:type="spellStart"/>
      <w:r w:rsidRPr="00926709">
        <w:rPr>
          <w:sz w:val="24"/>
          <w:szCs w:val="24"/>
        </w:rPr>
        <w:t>tafluprost</w:t>
      </w:r>
      <w:proofErr w:type="spellEnd"/>
      <w:r w:rsidRPr="00926709">
        <w:rPr>
          <w:sz w:val="24"/>
          <w:szCs w:val="24"/>
        </w:rPr>
        <w:t xml:space="preserve"> ved </w:t>
      </w:r>
      <w:proofErr w:type="spellStart"/>
      <w:r w:rsidRPr="00926709">
        <w:rPr>
          <w:sz w:val="24"/>
          <w:szCs w:val="24"/>
        </w:rPr>
        <w:t>neovaskulær</w:t>
      </w:r>
      <w:proofErr w:type="spellEnd"/>
      <w:r w:rsidRPr="00926709">
        <w:rPr>
          <w:sz w:val="24"/>
          <w:szCs w:val="24"/>
        </w:rPr>
        <w:t xml:space="preserve">, snævervinklet eller kongenit </w:t>
      </w:r>
      <w:proofErr w:type="spellStart"/>
      <w:r w:rsidRPr="00926709">
        <w:rPr>
          <w:sz w:val="24"/>
          <w:szCs w:val="24"/>
        </w:rPr>
        <w:t>glaukom</w:t>
      </w:r>
      <w:proofErr w:type="spellEnd"/>
      <w:r w:rsidRPr="00926709">
        <w:rPr>
          <w:sz w:val="24"/>
          <w:szCs w:val="24"/>
        </w:rPr>
        <w:t xml:space="preserve">. Der er kun begrænset erfaring med </w:t>
      </w:r>
      <w:proofErr w:type="spellStart"/>
      <w:r w:rsidRPr="00926709">
        <w:rPr>
          <w:sz w:val="24"/>
          <w:szCs w:val="24"/>
        </w:rPr>
        <w:t>tafluprost</w:t>
      </w:r>
      <w:proofErr w:type="spellEnd"/>
      <w:r w:rsidRPr="00926709">
        <w:rPr>
          <w:sz w:val="24"/>
          <w:szCs w:val="24"/>
        </w:rPr>
        <w:t xml:space="preserve"> hos </w:t>
      </w:r>
      <w:proofErr w:type="spellStart"/>
      <w:r w:rsidRPr="00926709">
        <w:rPr>
          <w:sz w:val="24"/>
          <w:szCs w:val="24"/>
        </w:rPr>
        <w:t>afakiske</w:t>
      </w:r>
      <w:proofErr w:type="spellEnd"/>
      <w:r w:rsidRPr="00926709">
        <w:rPr>
          <w:sz w:val="24"/>
          <w:szCs w:val="24"/>
        </w:rPr>
        <w:t xml:space="preserve"> patienter og ved </w:t>
      </w:r>
      <w:proofErr w:type="spellStart"/>
      <w:r w:rsidRPr="00926709">
        <w:rPr>
          <w:sz w:val="24"/>
          <w:szCs w:val="24"/>
        </w:rPr>
        <w:t>pigmentglaukom</w:t>
      </w:r>
      <w:proofErr w:type="spellEnd"/>
      <w:r w:rsidRPr="00926709">
        <w:rPr>
          <w:sz w:val="24"/>
          <w:szCs w:val="24"/>
        </w:rPr>
        <w:t xml:space="preserve"> eller </w:t>
      </w:r>
      <w:proofErr w:type="spellStart"/>
      <w:r w:rsidRPr="00926709">
        <w:rPr>
          <w:sz w:val="24"/>
          <w:szCs w:val="24"/>
        </w:rPr>
        <w:t>pseudoeksfoliativt</w:t>
      </w:r>
      <w:proofErr w:type="spellEnd"/>
      <w:r w:rsidRPr="00926709">
        <w:rPr>
          <w:sz w:val="24"/>
          <w:szCs w:val="24"/>
        </w:rPr>
        <w:t xml:space="preserve"> </w:t>
      </w:r>
      <w:proofErr w:type="spellStart"/>
      <w:r w:rsidRPr="00926709">
        <w:rPr>
          <w:sz w:val="24"/>
          <w:szCs w:val="24"/>
        </w:rPr>
        <w:t>glaukom</w:t>
      </w:r>
      <w:proofErr w:type="spellEnd"/>
      <w:r w:rsidRPr="00926709">
        <w:rPr>
          <w:sz w:val="24"/>
          <w:szCs w:val="24"/>
        </w:rPr>
        <w:t>.</w:t>
      </w:r>
    </w:p>
    <w:p w:rsidR="00B76D2F" w:rsidRPr="00926709" w:rsidRDefault="00B76D2F" w:rsidP="00B76D2F">
      <w:pPr>
        <w:ind w:left="851" w:hanging="851"/>
        <w:rPr>
          <w:sz w:val="24"/>
          <w:szCs w:val="24"/>
        </w:rPr>
      </w:pPr>
    </w:p>
    <w:p w:rsidR="00B76D2F" w:rsidRPr="00926709" w:rsidRDefault="00B76D2F" w:rsidP="00B76D2F">
      <w:pPr>
        <w:ind w:left="851"/>
        <w:rPr>
          <w:sz w:val="24"/>
          <w:szCs w:val="24"/>
        </w:rPr>
      </w:pPr>
      <w:r w:rsidRPr="00926709">
        <w:rPr>
          <w:sz w:val="24"/>
          <w:szCs w:val="24"/>
        </w:rPr>
        <w:t xml:space="preserve">Det anbefales at udvise forsigtighed ved brug af </w:t>
      </w:r>
      <w:proofErr w:type="spellStart"/>
      <w:r w:rsidRPr="00926709">
        <w:rPr>
          <w:sz w:val="24"/>
          <w:szCs w:val="24"/>
        </w:rPr>
        <w:t>tafluprost</w:t>
      </w:r>
      <w:proofErr w:type="spellEnd"/>
      <w:r w:rsidRPr="00926709">
        <w:rPr>
          <w:sz w:val="24"/>
          <w:szCs w:val="24"/>
        </w:rPr>
        <w:t xml:space="preserve"> hos </w:t>
      </w:r>
      <w:proofErr w:type="spellStart"/>
      <w:r w:rsidRPr="00926709">
        <w:rPr>
          <w:sz w:val="24"/>
          <w:szCs w:val="24"/>
        </w:rPr>
        <w:t>afakiske</w:t>
      </w:r>
      <w:proofErr w:type="spellEnd"/>
      <w:r w:rsidRPr="00926709">
        <w:rPr>
          <w:sz w:val="24"/>
          <w:szCs w:val="24"/>
        </w:rPr>
        <w:t xml:space="preserve"> patienter, </w:t>
      </w:r>
      <w:proofErr w:type="spellStart"/>
      <w:r w:rsidRPr="00926709">
        <w:rPr>
          <w:sz w:val="24"/>
          <w:szCs w:val="24"/>
        </w:rPr>
        <w:t>pseudofakiske</w:t>
      </w:r>
      <w:proofErr w:type="spellEnd"/>
      <w:r w:rsidRPr="00926709">
        <w:rPr>
          <w:sz w:val="24"/>
          <w:szCs w:val="24"/>
        </w:rPr>
        <w:t xml:space="preserve"> patienter med bristet bagerste linsekapsel eller forkammerlinser eller hos patienter med kendte risikofaktorer for </w:t>
      </w:r>
      <w:proofErr w:type="spellStart"/>
      <w:r w:rsidRPr="00926709">
        <w:rPr>
          <w:sz w:val="24"/>
          <w:szCs w:val="24"/>
        </w:rPr>
        <w:t>cystoidt</w:t>
      </w:r>
      <w:proofErr w:type="spellEnd"/>
      <w:r w:rsidRPr="00926709">
        <w:rPr>
          <w:sz w:val="24"/>
          <w:szCs w:val="24"/>
        </w:rPr>
        <w:t xml:space="preserve"> </w:t>
      </w:r>
      <w:proofErr w:type="spellStart"/>
      <w:r w:rsidRPr="00926709">
        <w:rPr>
          <w:sz w:val="24"/>
          <w:szCs w:val="24"/>
        </w:rPr>
        <w:t>makulært</w:t>
      </w:r>
      <w:proofErr w:type="spellEnd"/>
      <w:r w:rsidRPr="00926709">
        <w:rPr>
          <w:sz w:val="24"/>
          <w:szCs w:val="24"/>
        </w:rPr>
        <w:t xml:space="preserve"> ødem eller </w:t>
      </w:r>
      <w:proofErr w:type="spellStart"/>
      <w:r w:rsidRPr="00926709">
        <w:rPr>
          <w:sz w:val="24"/>
          <w:szCs w:val="24"/>
        </w:rPr>
        <w:t>iritis</w:t>
      </w:r>
      <w:proofErr w:type="spellEnd"/>
      <w:r w:rsidRPr="00926709">
        <w:rPr>
          <w:sz w:val="24"/>
          <w:szCs w:val="24"/>
        </w:rPr>
        <w:t>/</w:t>
      </w:r>
      <w:proofErr w:type="spellStart"/>
      <w:r w:rsidRPr="00926709">
        <w:rPr>
          <w:sz w:val="24"/>
          <w:szCs w:val="24"/>
        </w:rPr>
        <w:t>uveitis</w:t>
      </w:r>
      <w:proofErr w:type="spellEnd"/>
      <w:r w:rsidRPr="00926709">
        <w:rPr>
          <w:sz w:val="24"/>
          <w:szCs w:val="24"/>
        </w:rPr>
        <w:t>.</w:t>
      </w:r>
    </w:p>
    <w:p w:rsidR="00B76D2F" w:rsidRPr="00926709" w:rsidRDefault="00B76D2F" w:rsidP="00B76D2F">
      <w:pPr>
        <w:ind w:left="851" w:hanging="851"/>
        <w:rPr>
          <w:sz w:val="24"/>
          <w:szCs w:val="24"/>
        </w:rPr>
      </w:pPr>
    </w:p>
    <w:p w:rsidR="00B76D2F" w:rsidRPr="00926709" w:rsidRDefault="00B76D2F" w:rsidP="00B76D2F">
      <w:pPr>
        <w:ind w:left="851"/>
        <w:rPr>
          <w:sz w:val="24"/>
          <w:szCs w:val="24"/>
        </w:rPr>
      </w:pPr>
      <w:r w:rsidRPr="00926709">
        <w:rPr>
          <w:sz w:val="24"/>
          <w:szCs w:val="24"/>
        </w:rPr>
        <w:t>Der er ingen erfaring hos patienter med alvorlig astma. Disse patienter skal derfor behandles med forsigtighed.</w:t>
      </w:r>
      <w:bookmarkEnd w:id="1"/>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4.5</w:t>
      </w:r>
      <w:r w:rsidRPr="00926709">
        <w:rPr>
          <w:b/>
          <w:sz w:val="24"/>
          <w:szCs w:val="24"/>
        </w:rPr>
        <w:tab/>
        <w:t>Interaktion med andre lægemidler og andre former for interaktion</w:t>
      </w:r>
    </w:p>
    <w:p w:rsidR="00B76D2F" w:rsidRPr="00926709" w:rsidRDefault="00B76D2F" w:rsidP="00B76D2F">
      <w:pPr>
        <w:ind w:left="851"/>
        <w:rPr>
          <w:sz w:val="24"/>
          <w:szCs w:val="24"/>
        </w:rPr>
      </w:pPr>
      <w:r w:rsidRPr="00926709">
        <w:rPr>
          <w:sz w:val="24"/>
          <w:szCs w:val="24"/>
        </w:rPr>
        <w:t xml:space="preserve">Der forventes ikke interaktioner hos mennesker, da systemisk koncentration af </w:t>
      </w:r>
      <w:proofErr w:type="spellStart"/>
      <w:r w:rsidRPr="00926709">
        <w:rPr>
          <w:sz w:val="24"/>
          <w:szCs w:val="24"/>
        </w:rPr>
        <w:t>tafluprost</w:t>
      </w:r>
      <w:proofErr w:type="spellEnd"/>
      <w:r w:rsidRPr="00926709">
        <w:rPr>
          <w:sz w:val="24"/>
          <w:szCs w:val="24"/>
        </w:rPr>
        <w:t xml:space="preserve"> er ekstremt lav efter </w:t>
      </w:r>
      <w:proofErr w:type="spellStart"/>
      <w:r w:rsidRPr="00926709">
        <w:rPr>
          <w:sz w:val="24"/>
          <w:szCs w:val="24"/>
        </w:rPr>
        <w:t>okulær</w:t>
      </w:r>
      <w:proofErr w:type="spellEnd"/>
      <w:r w:rsidRPr="00926709">
        <w:rPr>
          <w:sz w:val="24"/>
          <w:szCs w:val="24"/>
        </w:rPr>
        <w:t xml:space="preserve"> dosering. Derfor er der ikke udført specifikke interaktionsstudier med andre lægemidler med </w:t>
      </w:r>
      <w:proofErr w:type="spellStart"/>
      <w:r w:rsidRPr="00926709">
        <w:rPr>
          <w:sz w:val="24"/>
          <w:szCs w:val="24"/>
        </w:rPr>
        <w:t>tafluprost</w:t>
      </w:r>
      <w:proofErr w:type="spellEnd"/>
      <w:r w:rsidRPr="00926709">
        <w:rPr>
          <w:sz w:val="24"/>
          <w:szCs w:val="24"/>
        </w:rPr>
        <w:t>.</w:t>
      </w:r>
    </w:p>
    <w:p w:rsidR="00B76D2F" w:rsidRPr="00926709" w:rsidRDefault="00B76D2F" w:rsidP="00B76D2F">
      <w:pPr>
        <w:ind w:left="851"/>
        <w:rPr>
          <w:sz w:val="24"/>
          <w:szCs w:val="24"/>
        </w:rPr>
      </w:pPr>
      <w:r w:rsidRPr="00926709">
        <w:rPr>
          <w:sz w:val="24"/>
          <w:szCs w:val="24"/>
        </w:rPr>
        <w:t xml:space="preserve">I kliniske studier blev </w:t>
      </w:r>
      <w:proofErr w:type="spellStart"/>
      <w:r w:rsidRPr="00926709">
        <w:rPr>
          <w:sz w:val="24"/>
          <w:szCs w:val="24"/>
        </w:rPr>
        <w:t>tafluprost</w:t>
      </w:r>
      <w:proofErr w:type="spellEnd"/>
      <w:r w:rsidRPr="00926709">
        <w:rPr>
          <w:sz w:val="24"/>
          <w:szCs w:val="24"/>
        </w:rPr>
        <w:t xml:space="preserve"> anvendt samtidigt med </w:t>
      </w:r>
      <w:proofErr w:type="spellStart"/>
      <w:r w:rsidRPr="00926709">
        <w:rPr>
          <w:sz w:val="24"/>
          <w:szCs w:val="24"/>
        </w:rPr>
        <w:t>timolol</w:t>
      </w:r>
      <w:proofErr w:type="spellEnd"/>
      <w:r w:rsidRPr="00926709">
        <w:rPr>
          <w:sz w:val="24"/>
          <w:szCs w:val="24"/>
        </w:rPr>
        <w:t xml:space="preserve"> uden tegn på interaktion.</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4.6</w:t>
      </w:r>
      <w:r w:rsidRPr="00926709">
        <w:rPr>
          <w:b/>
          <w:sz w:val="24"/>
          <w:szCs w:val="24"/>
        </w:rPr>
        <w:tab/>
      </w:r>
      <w:r w:rsidR="00FB3C75">
        <w:rPr>
          <w:b/>
          <w:sz w:val="24"/>
          <w:szCs w:val="24"/>
        </w:rPr>
        <w:t>Fertilitet, g</w:t>
      </w:r>
      <w:r w:rsidRPr="00926709">
        <w:rPr>
          <w:b/>
          <w:sz w:val="24"/>
          <w:szCs w:val="24"/>
        </w:rPr>
        <w:t>raviditet og amning</w:t>
      </w:r>
    </w:p>
    <w:p w:rsidR="00B76D2F" w:rsidRDefault="00B76D2F" w:rsidP="00B76D2F">
      <w:pPr>
        <w:ind w:left="851" w:hanging="851"/>
        <w:rPr>
          <w:sz w:val="24"/>
          <w:szCs w:val="24"/>
          <w:u w:val="single"/>
        </w:rPr>
      </w:pPr>
    </w:p>
    <w:p w:rsidR="00B76D2F" w:rsidRPr="00926709" w:rsidRDefault="00B76D2F" w:rsidP="00B76D2F">
      <w:pPr>
        <w:ind w:left="851"/>
        <w:rPr>
          <w:sz w:val="24"/>
          <w:szCs w:val="24"/>
          <w:u w:val="single"/>
        </w:rPr>
      </w:pPr>
      <w:r w:rsidRPr="00926709">
        <w:rPr>
          <w:sz w:val="24"/>
          <w:szCs w:val="24"/>
          <w:u w:val="single"/>
        </w:rPr>
        <w:t>Fertile kvinder/prævention</w:t>
      </w:r>
    </w:p>
    <w:p w:rsidR="00B76D2F" w:rsidRPr="00926709" w:rsidRDefault="009C75A1" w:rsidP="00B76D2F">
      <w:pPr>
        <w:ind w:left="851"/>
        <w:rPr>
          <w:sz w:val="24"/>
          <w:szCs w:val="24"/>
        </w:rPr>
      </w:pPr>
      <w:proofErr w:type="spellStart"/>
      <w:r>
        <w:rPr>
          <w:sz w:val="24"/>
          <w:szCs w:val="24"/>
        </w:rPr>
        <w:t>Taflotan</w:t>
      </w:r>
      <w:proofErr w:type="spellEnd"/>
      <w:r>
        <w:rPr>
          <w:sz w:val="24"/>
          <w:szCs w:val="24"/>
        </w:rPr>
        <w:t xml:space="preserve"> Sine</w:t>
      </w:r>
      <w:r w:rsidR="00B76D2F" w:rsidRPr="00926709">
        <w:rPr>
          <w:sz w:val="24"/>
          <w:szCs w:val="24"/>
        </w:rPr>
        <w:t xml:space="preserve"> må ikke anvendes af kvinder i den fødedygtige alder, medmindre der er truffet tilstrækkelige forholdsregler mht. prævention (se pkt. 5.3).</w:t>
      </w:r>
    </w:p>
    <w:p w:rsidR="00B76D2F" w:rsidRPr="00926709" w:rsidRDefault="00B76D2F" w:rsidP="00B76D2F">
      <w:pPr>
        <w:ind w:left="851" w:hanging="851"/>
        <w:rPr>
          <w:sz w:val="24"/>
          <w:szCs w:val="24"/>
        </w:rPr>
      </w:pPr>
    </w:p>
    <w:p w:rsidR="00B76D2F" w:rsidRPr="00926709" w:rsidRDefault="00B76D2F" w:rsidP="00B76D2F">
      <w:pPr>
        <w:ind w:left="851"/>
        <w:rPr>
          <w:sz w:val="24"/>
          <w:szCs w:val="24"/>
          <w:u w:val="single"/>
        </w:rPr>
      </w:pPr>
      <w:r w:rsidRPr="00926709">
        <w:rPr>
          <w:sz w:val="24"/>
          <w:szCs w:val="24"/>
          <w:u w:val="single"/>
        </w:rPr>
        <w:t>Graviditet</w:t>
      </w:r>
    </w:p>
    <w:p w:rsidR="00B76D2F" w:rsidRPr="00926709" w:rsidRDefault="00B76D2F" w:rsidP="00B76D2F">
      <w:pPr>
        <w:ind w:left="851"/>
        <w:rPr>
          <w:sz w:val="24"/>
          <w:szCs w:val="24"/>
        </w:rPr>
      </w:pPr>
      <w:r w:rsidRPr="00926709">
        <w:rPr>
          <w:sz w:val="24"/>
          <w:szCs w:val="24"/>
        </w:rPr>
        <w:t xml:space="preserve">Der foreligger ikke tilstrækkelige data vedrørende anvendelse af </w:t>
      </w:r>
      <w:proofErr w:type="spellStart"/>
      <w:r w:rsidRPr="00926709">
        <w:rPr>
          <w:sz w:val="24"/>
          <w:szCs w:val="24"/>
        </w:rPr>
        <w:t>tafluprost</w:t>
      </w:r>
      <w:proofErr w:type="spellEnd"/>
      <w:r w:rsidRPr="00926709">
        <w:rPr>
          <w:sz w:val="24"/>
          <w:szCs w:val="24"/>
        </w:rPr>
        <w:t xml:space="preserve"> til gravide kvinder. </w:t>
      </w:r>
      <w:proofErr w:type="spellStart"/>
      <w:r w:rsidRPr="00926709">
        <w:rPr>
          <w:sz w:val="24"/>
          <w:szCs w:val="24"/>
        </w:rPr>
        <w:t>Tafluprost</w:t>
      </w:r>
      <w:proofErr w:type="spellEnd"/>
      <w:r w:rsidRPr="00926709">
        <w:rPr>
          <w:sz w:val="24"/>
          <w:szCs w:val="24"/>
        </w:rPr>
        <w:t xml:space="preserve"> kan have skadelige farmakologiske virkninger på graviditeten og/eller fostret/det nyfødte barn. Dyrestudier har påvist reproduktionstoksicitet (se pkt. 5.3). Derfor bør </w:t>
      </w:r>
      <w:proofErr w:type="spellStart"/>
      <w:r w:rsidR="009C75A1">
        <w:rPr>
          <w:sz w:val="24"/>
          <w:szCs w:val="24"/>
        </w:rPr>
        <w:t>Taflotan</w:t>
      </w:r>
      <w:proofErr w:type="spellEnd"/>
      <w:r w:rsidR="009C75A1">
        <w:rPr>
          <w:sz w:val="24"/>
          <w:szCs w:val="24"/>
        </w:rPr>
        <w:t xml:space="preserve"> Sine</w:t>
      </w:r>
      <w:r w:rsidRPr="00926709">
        <w:rPr>
          <w:sz w:val="24"/>
          <w:szCs w:val="24"/>
        </w:rPr>
        <w:t xml:space="preserve"> ikke anvendes under graviditet, medmindre det er klart nødvendigt (i tilfælde, hvor der ikke er andre behandlingsmuligheder).</w:t>
      </w:r>
    </w:p>
    <w:p w:rsidR="00B76D2F" w:rsidRPr="00926709" w:rsidRDefault="00B76D2F" w:rsidP="00B76D2F">
      <w:pPr>
        <w:ind w:left="851" w:hanging="851"/>
        <w:rPr>
          <w:sz w:val="24"/>
          <w:szCs w:val="24"/>
        </w:rPr>
      </w:pPr>
    </w:p>
    <w:p w:rsidR="00B76D2F" w:rsidRPr="00926709" w:rsidRDefault="00B76D2F" w:rsidP="00B76D2F">
      <w:pPr>
        <w:ind w:left="851"/>
        <w:rPr>
          <w:sz w:val="24"/>
          <w:szCs w:val="24"/>
          <w:u w:val="single"/>
        </w:rPr>
      </w:pPr>
      <w:r w:rsidRPr="00926709">
        <w:rPr>
          <w:sz w:val="24"/>
          <w:szCs w:val="24"/>
          <w:u w:val="single"/>
        </w:rPr>
        <w:t>Amning</w:t>
      </w:r>
    </w:p>
    <w:p w:rsidR="00B76D2F" w:rsidRPr="00926709" w:rsidRDefault="00B76D2F" w:rsidP="00B76D2F">
      <w:pPr>
        <w:ind w:left="851"/>
        <w:rPr>
          <w:sz w:val="24"/>
          <w:szCs w:val="24"/>
        </w:rPr>
      </w:pPr>
      <w:r w:rsidRPr="00926709">
        <w:rPr>
          <w:sz w:val="24"/>
          <w:szCs w:val="24"/>
        </w:rPr>
        <w:t xml:space="preserve">Det vides ikke, om </w:t>
      </w:r>
      <w:proofErr w:type="spellStart"/>
      <w:r w:rsidRPr="00926709">
        <w:rPr>
          <w:sz w:val="24"/>
          <w:szCs w:val="24"/>
        </w:rPr>
        <w:t>tafluprost</w:t>
      </w:r>
      <w:proofErr w:type="spellEnd"/>
      <w:r w:rsidRPr="00926709">
        <w:rPr>
          <w:sz w:val="24"/>
          <w:szCs w:val="24"/>
        </w:rPr>
        <w:t xml:space="preserve"> og/eller dets metabolitter udskilles i modermælken. Et studie med rotter har vist udskillelse af </w:t>
      </w:r>
      <w:proofErr w:type="spellStart"/>
      <w:r w:rsidRPr="00926709">
        <w:rPr>
          <w:sz w:val="24"/>
          <w:szCs w:val="24"/>
        </w:rPr>
        <w:t>tafluprost</w:t>
      </w:r>
      <w:proofErr w:type="spellEnd"/>
      <w:r w:rsidRPr="00926709">
        <w:rPr>
          <w:sz w:val="24"/>
          <w:szCs w:val="24"/>
        </w:rPr>
        <w:t xml:space="preserve"> og/eller dets metabolitter i brystmælk efter </w:t>
      </w:r>
      <w:proofErr w:type="spellStart"/>
      <w:r w:rsidRPr="00926709">
        <w:rPr>
          <w:sz w:val="24"/>
          <w:szCs w:val="24"/>
        </w:rPr>
        <w:t>topikalt</w:t>
      </w:r>
      <w:proofErr w:type="spellEnd"/>
      <w:r w:rsidRPr="00926709">
        <w:rPr>
          <w:sz w:val="24"/>
          <w:szCs w:val="24"/>
        </w:rPr>
        <w:t xml:space="preserve"> administration (se pkt. 5.3).</w:t>
      </w:r>
    </w:p>
    <w:p w:rsidR="00B76D2F" w:rsidRPr="00926709" w:rsidRDefault="00B76D2F" w:rsidP="00B76D2F">
      <w:pPr>
        <w:ind w:left="851"/>
        <w:rPr>
          <w:sz w:val="24"/>
          <w:szCs w:val="24"/>
        </w:rPr>
      </w:pPr>
      <w:r w:rsidRPr="00926709">
        <w:rPr>
          <w:sz w:val="24"/>
          <w:szCs w:val="24"/>
        </w:rPr>
        <w:t xml:space="preserve">Derfor må </w:t>
      </w:r>
      <w:proofErr w:type="spellStart"/>
      <w:r w:rsidRPr="00926709">
        <w:rPr>
          <w:sz w:val="24"/>
          <w:szCs w:val="24"/>
        </w:rPr>
        <w:t>tafluprost</w:t>
      </w:r>
      <w:proofErr w:type="spellEnd"/>
      <w:r w:rsidRPr="00926709">
        <w:rPr>
          <w:sz w:val="24"/>
          <w:szCs w:val="24"/>
        </w:rPr>
        <w:t xml:space="preserve"> ikke anvendes under amning. </w:t>
      </w:r>
    </w:p>
    <w:p w:rsidR="00B76D2F" w:rsidRPr="00926709" w:rsidRDefault="00B76D2F" w:rsidP="00B76D2F">
      <w:pPr>
        <w:ind w:left="851" w:hanging="851"/>
        <w:rPr>
          <w:sz w:val="24"/>
          <w:szCs w:val="24"/>
        </w:rPr>
      </w:pPr>
    </w:p>
    <w:p w:rsidR="00B76D2F" w:rsidRPr="00926709" w:rsidRDefault="00B76D2F" w:rsidP="00B76D2F">
      <w:pPr>
        <w:ind w:left="851"/>
        <w:rPr>
          <w:sz w:val="24"/>
          <w:szCs w:val="24"/>
          <w:u w:val="single"/>
        </w:rPr>
      </w:pPr>
      <w:r w:rsidRPr="00926709">
        <w:rPr>
          <w:sz w:val="24"/>
          <w:szCs w:val="24"/>
          <w:u w:val="single"/>
        </w:rPr>
        <w:lastRenderedPageBreak/>
        <w:t>Fertilitet</w:t>
      </w:r>
    </w:p>
    <w:p w:rsidR="00B76D2F" w:rsidRPr="00926709" w:rsidRDefault="00B76D2F" w:rsidP="00B76D2F">
      <w:pPr>
        <w:ind w:left="851"/>
        <w:rPr>
          <w:sz w:val="24"/>
          <w:szCs w:val="24"/>
        </w:rPr>
      </w:pPr>
      <w:r w:rsidRPr="00926709">
        <w:rPr>
          <w:sz w:val="24"/>
          <w:szCs w:val="24"/>
        </w:rPr>
        <w:t xml:space="preserve">Reproduktionsevnen og fertiliteten hos hun- og hanrotter påvirkes ikke af </w:t>
      </w:r>
      <w:proofErr w:type="spellStart"/>
      <w:r w:rsidRPr="00926709">
        <w:rPr>
          <w:sz w:val="24"/>
          <w:szCs w:val="24"/>
        </w:rPr>
        <w:t>tafluprost</w:t>
      </w:r>
      <w:proofErr w:type="spellEnd"/>
      <w:r w:rsidRPr="00926709">
        <w:rPr>
          <w:sz w:val="24"/>
          <w:szCs w:val="24"/>
        </w:rPr>
        <w:t xml:space="preserve"> i intravenøse doser på op til 100 </w:t>
      </w:r>
      <w:proofErr w:type="spellStart"/>
      <w:r w:rsidRPr="00926709">
        <w:rPr>
          <w:sz w:val="24"/>
          <w:szCs w:val="24"/>
        </w:rPr>
        <w:t>μg</w:t>
      </w:r>
      <w:proofErr w:type="spellEnd"/>
      <w:r w:rsidRPr="00926709">
        <w:rPr>
          <w:sz w:val="24"/>
          <w:szCs w:val="24"/>
        </w:rPr>
        <w:t>/kg/dag.</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4.7</w:t>
      </w:r>
      <w:r w:rsidRPr="00926709">
        <w:rPr>
          <w:b/>
          <w:sz w:val="24"/>
          <w:szCs w:val="24"/>
        </w:rPr>
        <w:tab/>
        <w:t>Virkning på evnen til at føre motorkøretøj eller betjene maskiner</w:t>
      </w:r>
    </w:p>
    <w:p w:rsidR="00B76D2F" w:rsidRPr="00926709" w:rsidRDefault="00B76D2F" w:rsidP="00B76D2F">
      <w:pPr>
        <w:ind w:left="851"/>
        <w:rPr>
          <w:sz w:val="24"/>
          <w:szCs w:val="24"/>
        </w:rPr>
      </w:pPr>
      <w:r w:rsidRPr="00926709">
        <w:rPr>
          <w:sz w:val="24"/>
          <w:szCs w:val="24"/>
        </w:rPr>
        <w:t>Ikke mærkning.</w:t>
      </w:r>
    </w:p>
    <w:p w:rsidR="00B76D2F" w:rsidRPr="00926709" w:rsidRDefault="00B76D2F" w:rsidP="00B76D2F">
      <w:pPr>
        <w:ind w:left="851"/>
        <w:rPr>
          <w:sz w:val="24"/>
          <w:szCs w:val="24"/>
        </w:rPr>
      </w:pPr>
      <w:proofErr w:type="spellStart"/>
      <w:r w:rsidRPr="00926709">
        <w:rPr>
          <w:sz w:val="24"/>
          <w:szCs w:val="24"/>
        </w:rPr>
        <w:t>Tafluprost</w:t>
      </w:r>
      <w:proofErr w:type="spellEnd"/>
      <w:r w:rsidRPr="00926709">
        <w:rPr>
          <w:sz w:val="24"/>
          <w:szCs w:val="24"/>
        </w:rPr>
        <w:t xml:space="preserve"> påvirker i mindre grad evnen til at føre motorkøretøj eller betjene maskiner. Hvis synet bliver forbigående sløret efter </w:t>
      </w:r>
      <w:proofErr w:type="spellStart"/>
      <w:r w:rsidRPr="00926709">
        <w:rPr>
          <w:sz w:val="24"/>
          <w:szCs w:val="24"/>
        </w:rPr>
        <w:t>inddrypning</w:t>
      </w:r>
      <w:proofErr w:type="spellEnd"/>
      <w:r w:rsidRPr="00926709">
        <w:rPr>
          <w:sz w:val="24"/>
          <w:szCs w:val="24"/>
        </w:rPr>
        <w:t>, skal patienten vente med at køre bil eller betjene maskiner, til synet er klart igen.</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4.8</w:t>
      </w:r>
      <w:r w:rsidRPr="00926709">
        <w:rPr>
          <w:b/>
          <w:sz w:val="24"/>
          <w:szCs w:val="24"/>
        </w:rPr>
        <w:tab/>
        <w:t>Bivirkninger</w:t>
      </w:r>
    </w:p>
    <w:p w:rsidR="00B76D2F" w:rsidRPr="00926709" w:rsidRDefault="00B76D2F" w:rsidP="00B76D2F">
      <w:pPr>
        <w:ind w:left="851"/>
        <w:rPr>
          <w:noProof/>
          <w:sz w:val="24"/>
          <w:szCs w:val="24"/>
        </w:rPr>
      </w:pPr>
      <w:r w:rsidRPr="00926709">
        <w:rPr>
          <w:noProof/>
          <w:sz w:val="24"/>
          <w:szCs w:val="24"/>
        </w:rPr>
        <w:t>I kliniske studier er over 1.400 patienter blevet behandlet med konserveret tafluprost enten som monoterapi eller som supplerende terapi til timolol 0,5 %. Den hyppigst indberettede behandlingsrelaterede bivirkning var okulær hyperæmi. Den forekom hos ca. 13 % af patienterne, der deltog i kliniske studier med konserveret tafluprost i Europa og USA. Den var mild i de fleste tilfælde og førte til, at gennemsnitligt 0,4 % af patienterne, der deltog i de pivotale studier, ophørte med brugen. I et 3</w:t>
      </w:r>
      <w:r w:rsidRPr="00926709">
        <w:rPr>
          <w:noProof/>
          <w:sz w:val="24"/>
          <w:szCs w:val="24"/>
        </w:rPr>
        <w:noBreakHyphen/>
        <w:t>måneders fase</w:t>
      </w:r>
      <w:r w:rsidRPr="00926709">
        <w:rPr>
          <w:noProof/>
          <w:sz w:val="24"/>
          <w:szCs w:val="24"/>
        </w:rPr>
        <w:noBreakHyphen/>
        <w:t xml:space="preserve">III studie i USA, der sammenlignede den ukonserverede formulering af tafluprost med den ukonserverede formulering af timolol, forekom okulær hyperæmi hos 4,1 % (13/320) af patienter behandlet med tafluprost. </w:t>
      </w:r>
    </w:p>
    <w:p w:rsidR="00B76D2F" w:rsidRPr="00926709" w:rsidRDefault="00B76D2F" w:rsidP="00B76D2F">
      <w:pPr>
        <w:ind w:left="851" w:hanging="851"/>
        <w:rPr>
          <w:noProof/>
          <w:sz w:val="24"/>
          <w:szCs w:val="24"/>
        </w:rPr>
      </w:pPr>
    </w:p>
    <w:p w:rsidR="00B76D2F" w:rsidRPr="00926709" w:rsidRDefault="00B76D2F" w:rsidP="00B76D2F">
      <w:pPr>
        <w:ind w:left="851"/>
        <w:rPr>
          <w:noProof/>
          <w:sz w:val="24"/>
          <w:szCs w:val="24"/>
        </w:rPr>
      </w:pPr>
      <w:r w:rsidRPr="00926709">
        <w:rPr>
          <w:noProof/>
          <w:sz w:val="24"/>
          <w:szCs w:val="24"/>
        </w:rPr>
        <w:t>Følgende behandlingsrelaterede bivirkninger blev indberettet under kliniske studier med tafluprost i Europa og USA efter en maksimal opfølgning på 24 måneder:</w:t>
      </w:r>
    </w:p>
    <w:p w:rsidR="00B76D2F" w:rsidRPr="00926709" w:rsidRDefault="00B76D2F" w:rsidP="00B76D2F">
      <w:pPr>
        <w:ind w:left="851" w:hanging="851"/>
        <w:rPr>
          <w:noProof/>
          <w:sz w:val="24"/>
          <w:szCs w:val="24"/>
        </w:rPr>
      </w:pPr>
    </w:p>
    <w:p w:rsidR="00B76D2F" w:rsidRPr="00926709" w:rsidRDefault="00B76D2F" w:rsidP="00B76D2F">
      <w:pPr>
        <w:ind w:left="851"/>
        <w:rPr>
          <w:noProof/>
          <w:sz w:val="24"/>
          <w:szCs w:val="24"/>
        </w:rPr>
      </w:pPr>
      <w:r w:rsidRPr="00926709">
        <w:rPr>
          <w:noProof/>
          <w:sz w:val="24"/>
          <w:szCs w:val="24"/>
        </w:rPr>
        <w:t>Bivirkningerne er opstillet efter faldende hyppighed inden for hver hyppighedsgruppe.</w:t>
      </w:r>
    </w:p>
    <w:p w:rsidR="00B76D2F" w:rsidRPr="00926709" w:rsidRDefault="00B76D2F" w:rsidP="00B76D2F">
      <w:pPr>
        <w:ind w:left="851" w:hanging="851"/>
        <w:rPr>
          <w:noProof/>
          <w:sz w:val="24"/>
          <w:szCs w:val="24"/>
        </w:rPr>
      </w:pPr>
    </w:p>
    <w:p w:rsidR="00B76D2F" w:rsidRPr="00926709" w:rsidRDefault="00B76D2F" w:rsidP="00B76D2F">
      <w:pPr>
        <w:ind w:left="851"/>
        <w:rPr>
          <w:noProof/>
          <w:sz w:val="24"/>
          <w:szCs w:val="24"/>
          <w:u w:val="single"/>
        </w:rPr>
      </w:pPr>
      <w:r w:rsidRPr="00926709">
        <w:rPr>
          <w:noProof/>
          <w:sz w:val="24"/>
          <w:szCs w:val="24"/>
          <w:u w:val="single"/>
        </w:rPr>
        <w:t>Nervesystemet</w:t>
      </w:r>
    </w:p>
    <w:p w:rsidR="00B76D2F" w:rsidRPr="00926709" w:rsidRDefault="00B76D2F" w:rsidP="00B76D2F">
      <w:pPr>
        <w:ind w:left="851"/>
        <w:rPr>
          <w:noProof/>
          <w:sz w:val="24"/>
          <w:szCs w:val="24"/>
        </w:rPr>
      </w:pPr>
      <w:r w:rsidRPr="00926709">
        <w:rPr>
          <w:noProof/>
          <w:sz w:val="24"/>
          <w:szCs w:val="24"/>
        </w:rPr>
        <w:t>Almindelig (≥1/100 til &lt;1/10): hovedpine</w:t>
      </w:r>
    </w:p>
    <w:p w:rsidR="00B76D2F" w:rsidRPr="00926709" w:rsidRDefault="00B76D2F" w:rsidP="00B76D2F">
      <w:pPr>
        <w:ind w:left="851" w:hanging="851"/>
        <w:rPr>
          <w:noProof/>
          <w:sz w:val="24"/>
          <w:szCs w:val="24"/>
        </w:rPr>
      </w:pPr>
    </w:p>
    <w:p w:rsidR="00B76D2F" w:rsidRPr="00926709" w:rsidRDefault="00B76D2F" w:rsidP="00B76D2F">
      <w:pPr>
        <w:ind w:left="851"/>
        <w:rPr>
          <w:noProof/>
          <w:sz w:val="24"/>
          <w:szCs w:val="24"/>
          <w:u w:val="single"/>
        </w:rPr>
      </w:pPr>
      <w:r w:rsidRPr="00926709">
        <w:rPr>
          <w:noProof/>
          <w:sz w:val="24"/>
          <w:szCs w:val="24"/>
          <w:u w:val="single"/>
        </w:rPr>
        <w:t>Øjne</w:t>
      </w:r>
    </w:p>
    <w:p w:rsidR="00B76D2F" w:rsidRPr="00926709" w:rsidRDefault="00B76D2F" w:rsidP="00B76D2F">
      <w:pPr>
        <w:ind w:left="851"/>
        <w:rPr>
          <w:noProof/>
          <w:sz w:val="24"/>
          <w:szCs w:val="24"/>
        </w:rPr>
      </w:pPr>
      <w:r w:rsidRPr="00926709">
        <w:rPr>
          <w:noProof/>
          <w:sz w:val="24"/>
          <w:szCs w:val="24"/>
        </w:rPr>
        <w:t>Almindelig (≥1/100 til &lt;1/10): øjenkløe, øjenirritation, øjensmerte, konjunktival/okulær hyperæmi, ændringer i øjenvipper (forøget længde, tykkelse og antal af vipper), tørre øjne, fornemmelse af fremmedlegeme i øjnene, misfarvning af øjenvipper, erytem på øjenlåget, overfladisk punktformig keratitis, fotofobi, forøget tåredannelse, sløret syn, reduceret visuel skarphed og øget irispigmentering.</w:t>
      </w:r>
    </w:p>
    <w:p w:rsidR="00B76D2F" w:rsidRPr="00926709" w:rsidRDefault="00B76D2F" w:rsidP="00B76D2F">
      <w:pPr>
        <w:ind w:left="851" w:hanging="851"/>
        <w:rPr>
          <w:b/>
          <w:bCs/>
          <w:noProof/>
          <w:sz w:val="24"/>
          <w:szCs w:val="24"/>
        </w:rPr>
      </w:pPr>
    </w:p>
    <w:p w:rsidR="00B76D2F" w:rsidRPr="00926709" w:rsidRDefault="00B76D2F" w:rsidP="00B76D2F">
      <w:pPr>
        <w:ind w:left="851"/>
        <w:rPr>
          <w:noProof/>
          <w:sz w:val="24"/>
          <w:szCs w:val="24"/>
        </w:rPr>
      </w:pPr>
      <w:r w:rsidRPr="00926709">
        <w:rPr>
          <w:noProof/>
          <w:sz w:val="24"/>
          <w:szCs w:val="24"/>
        </w:rPr>
        <w:t>Ikke almindelig (≥1/1.000 til &lt;1/100): pigmentering på øjenlåget, øjenlågsødem, astenopi, konjunktivalt ødem, øjenudflåd, blefaritis, celler i det forreste kammer, ubehag i øjnene, flare i det forreste kammer, konjunktival pigmentering, konjunktivale follikler, allergisk konjunktivitis og unormal følelse i øjet.</w:t>
      </w:r>
    </w:p>
    <w:p w:rsidR="00B76D2F" w:rsidRPr="00926709" w:rsidRDefault="00B76D2F" w:rsidP="00B76D2F">
      <w:pPr>
        <w:ind w:left="851" w:hanging="851"/>
        <w:rPr>
          <w:noProof/>
          <w:sz w:val="24"/>
          <w:szCs w:val="24"/>
        </w:rPr>
      </w:pPr>
    </w:p>
    <w:p w:rsidR="00B76D2F" w:rsidRPr="00926709" w:rsidRDefault="00B76D2F" w:rsidP="00B76D2F">
      <w:pPr>
        <w:ind w:left="851"/>
        <w:rPr>
          <w:noProof/>
          <w:sz w:val="24"/>
          <w:szCs w:val="24"/>
        </w:rPr>
      </w:pPr>
      <w:r w:rsidRPr="00926709">
        <w:rPr>
          <w:noProof/>
          <w:sz w:val="24"/>
          <w:szCs w:val="24"/>
        </w:rPr>
        <w:t>Ikke kendt (kan ikke estimeres ud for forhåndenværende data): iritis/uveitis, øjenlågets indkærvning fordybet, makulaødem/cystoidt makulaødem.</w:t>
      </w:r>
    </w:p>
    <w:p w:rsidR="00B76D2F" w:rsidRPr="00926709" w:rsidRDefault="00B76D2F" w:rsidP="00B76D2F">
      <w:pPr>
        <w:ind w:left="851" w:hanging="851"/>
        <w:rPr>
          <w:noProof/>
          <w:sz w:val="24"/>
          <w:szCs w:val="24"/>
        </w:rPr>
      </w:pPr>
    </w:p>
    <w:p w:rsidR="00B76D2F" w:rsidRPr="00926709" w:rsidRDefault="00B76D2F" w:rsidP="00B76D2F">
      <w:pPr>
        <w:ind w:left="851"/>
        <w:rPr>
          <w:noProof/>
          <w:sz w:val="24"/>
          <w:szCs w:val="24"/>
        </w:rPr>
      </w:pPr>
      <w:r w:rsidRPr="00926709">
        <w:rPr>
          <w:noProof/>
          <w:sz w:val="24"/>
          <w:szCs w:val="24"/>
        </w:rPr>
        <w:t>Tilfælde af corneaforkalkning er indberettet meget sjældent i forbindelse med brug af øjendråber, som indeholder fosfat, hos nogle patienter med signifikant beskadiget cornea.</w:t>
      </w:r>
    </w:p>
    <w:p w:rsidR="00B76D2F" w:rsidRPr="00926709" w:rsidRDefault="00B76D2F" w:rsidP="00B76D2F">
      <w:pPr>
        <w:ind w:left="851" w:hanging="851"/>
        <w:rPr>
          <w:noProof/>
          <w:sz w:val="24"/>
          <w:szCs w:val="24"/>
        </w:rPr>
      </w:pPr>
    </w:p>
    <w:p w:rsidR="00B76D2F" w:rsidRPr="00926709" w:rsidRDefault="00B76D2F" w:rsidP="00B76D2F">
      <w:pPr>
        <w:ind w:left="851"/>
        <w:rPr>
          <w:noProof/>
          <w:sz w:val="24"/>
          <w:szCs w:val="24"/>
          <w:u w:val="single"/>
        </w:rPr>
      </w:pPr>
      <w:r w:rsidRPr="00926709">
        <w:rPr>
          <w:noProof/>
          <w:sz w:val="24"/>
          <w:szCs w:val="24"/>
          <w:u w:val="single"/>
        </w:rPr>
        <w:t xml:space="preserve">Luftveje, thorax og mediastinum </w:t>
      </w:r>
    </w:p>
    <w:p w:rsidR="00B76D2F" w:rsidRPr="00926709" w:rsidRDefault="00B76D2F" w:rsidP="00B76D2F">
      <w:pPr>
        <w:ind w:left="851"/>
        <w:rPr>
          <w:b/>
          <w:bCs/>
          <w:noProof/>
          <w:sz w:val="24"/>
          <w:szCs w:val="24"/>
        </w:rPr>
      </w:pPr>
      <w:r w:rsidRPr="00926709">
        <w:rPr>
          <w:noProof/>
          <w:sz w:val="24"/>
          <w:szCs w:val="24"/>
        </w:rPr>
        <w:t>Ikke kendt (kan ikke estimeres ud for forhåndenværende data): eksacerbation af astma, dyspnø.</w:t>
      </w:r>
    </w:p>
    <w:p w:rsidR="00B76D2F" w:rsidRPr="00926709" w:rsidRDefault="00B76D2F" w:rsidP="00B76D2F">
      <w:pPr>
        <w:ind w:left="851" w:hanging="851"/>
        <w:rPr>
          <w:b/>
          <w:bCs/>
          <w:noProof/>
          <w:sz w:val="24"/>
          <w:szCs w:val="24"/>
        </w:rPr>
      </w:pPr>
    </w:p>
    <w:p w:rsidR="00B76D2F" w:rsidRPr="00926709" w:rsidRDefault="00B76D2F" w:rsidP="00B76D2F">
      <w:pPr>
        <w:ind w:left="851"/>
        <w:rPr>
          <w:noProof/>
          <w:sz w:val="24"/>
          <w:szCs w:val="24"/>
          <w:u w:val="single"/>
        </w:rPr>
      </w:pPr>
      <w:r w:rsidRPr="00926709">
        <w:rPr>
          <w:noProof/>
          <w:sz w:val="24"/>
          <w:szCs w:val="24"/>
          <w:u w:val="single"/>
        </w:rPr>
        <w:lastRenderedPageBreak/>
        <w:t>Hud og subkutane væv</w:t>
      </w:r>
    </w:p>
    <w:p w:rsidR="00B76D2F" w:rsidRPr="00926709" w:rsidRDefault="00B76D2F" w:rsidP="00B76D2F">
      <w:pPr>
        <w:ind w:left="851"/>
        <w:rPr>
          <w:noProof/>
          <w:sz w:val="24"/>
          <w:szCs w:val="24"/>
        </w:rPr>
      </w:pPr>
      <w:r w:rsidRPr="00926709">
        <w:rPr>
          <w:noProof/>
          <w:sz w:val="24"/>
          <w:szCs w:val="24"/>
        </w:rPr>
        <w:t>Ikke almindelig (≥1/1.000 til &lt;1/100): hypertrikose på øjenlåget.</w:t>
      </w:r>
    </w:p>
    <w:p w:rsidR="00B76D2F" w:rsidRPr="00926709" w:rsidRDefault="00B76D2F" w:rsidP="00B76D2F">
      <w:pPr>
        <w:ind w:left="851" w:hanging="851"/>
        <w:rPr>
          <w:noProof/>
          <w:sz w:val="24"/>
          <w:szCs w:val="24"/>
        </w:rPr>
      </w:pPr>
    </w:p>
    <w:p w:rsidR="00B76D2F" w:rsidRPr="00926709" w:rsidRDefault="00B76D2F" w:rsidP="00B76D2F">
      <w:pPr>
        <w:autoSpaceDE w:val="0"/>
        <w:autoSpaceDN w:val="0"/>
        <w:adjustRightInd w:val="0"/>
        <w:ind w:left="851"/>
        <w:rPr>
          <w:sz w:val="24"/>
          <w:szCs w:val="24"/>
          <w:u w:val="single"/>
        </w:rPr>
      </w:pPr>
      <w:r w:rsidRPr="00926709">
        <w:rPr>
          <w:noProof/>
          <w:sz w:val="24"/>
          <w:szCs w:val="24"/>
          <w:u w:val="single"/>
        </w:rPr>
        <w:t>Indberetning af formodede bivirkninger</w:t>
      </w:r>
    </w:p>
    <w:p w:rsidR="00B76D2F" w:rsidRPr="00926709" w:rsidRDefault="00B76D2F" w:rsidP="00B76D2F">
      <w:pPr>
        <w:autoSpaceDE w:val="0"/>
        <w:autoSpaceDN w:val="0"/>
        <w:adjustRightInd w:val="0"/>
        <w:ind w:left="851"/>
        <w:rPr>
          <w:noProof/>
          <w:sz w:val="24"/>
          <w:szCs w:val="24"/>
        </w:rPr>
      </w:pPr>
      <w:r w:rsidRPr="00926709">
        <w:rPr>
          <w:noProof/>
          <w:sz w:val="24"/>
          <w:szCs w:val="24"/>
        </w:rPr>
        <w:t>Når lægemidlet er godkendt, er indberetning af formodede bivirkninger vigtig.</w:t>
      </w:r>
      <w:r w:rsidRPr="00926709">
        <w:rPr>
          <w:sz w:val="24"/>
          <w:szCs w:val="24"/>
        </w:rPr>
        <w:t xml:space="preserve"> </w:t>
      </w:r>
      <w:r w:rsidRPr="00926709">
        <w:rPr>
          <w:noProof/>
          <w:sz w:val="24"/>
          <w:szCs w:val="24"/>
        </w:rPr>
        <w:t>Det muliggør løbende overvågning af benefit/risk-forholdet for lægemidlet.</w:t>
      </w:r>
      <w:r w:rsidRPr="00926709">
        <w:rPr>
          <w:sz w:val="24"/>
          <w:szCs w:val="24"/>
        </w:rPr>
        <w:t xml:space="preserve"> </w:t>
      </w:r>
      <w:r w:rsidR="00E37306">
        <w:rPr>
          <w:noProof/>
          <w:sz w:val="24"/>
          <w:szCs w:val="24"/>
        </w:rPr>
        <w:t>S</w:t>
      </w:r>
      <w:r w:rsidRPr="00926709">
        <w:rPr>
          <w:noProof/>
          <w:sz w:val="24"/>
          <w:szCs w:val="24"/>
        </w:rPr>
        <w:t>undhedsperson</w:t>
      </w:r>
      <w:r w:rsidR="00E37306">
        <w:rPr>
          <w:noProof/>
          <w:sz w:val="24"/>
          <w:szCs w:val="24"/>
        </w:rPr>
        <w:t>er</w:t>
      </w:r>
      <w:r w:rsidRPr="00926709">
        <w:rPr>
          <w:noProof/>
          <w:sz w:val="24"/>
          <w:szCs w:val="24"/>
        </w:rPr>
        <w:t xml:space="preserve"> anmodes om at indberette alle formodede bivirkninger via: </w:t>
      </w:r>
    </w:p>
    <w:p w:rsidR="00B76D2F" w:rsidRPr="00926709" w:rsidRDefault="00B76D2F" w:rsidP="00B76D2F">
      <w:pPr>
        <w:autoSpaceDE w:val="0"/>
        <w:autoSpaceDN w:val="0"/>
        <w:adjustRightInd w:val="0"/>
        <w:ind w:left="851" w:hanging="851"/>
        <w:rPr>
          <w:noProof/>
          <w:sz w:val="24"/>
          <w:szCs w:val="24"/>
        </w:rPr>
      </w:pPr>
    </w:p>
    <w:p w:rsidR="00B76D2F" w:rsidRPr="00926709" w:rsidRDefault="00B76D2F" w:rsidP="00B76D2F">
      <w:pPr>
        <w:autoSpaceDE w:val="0"/>
        <w:autoSpaceDN w:val="0"/>
        <w:adjustRightInd w:val="0"/>
        <w:ind w:left="851"/>
        <w:rPr>
          <w:noProof/>
          <w:sz w:val="24"/>
          <w:szCs w:val="24"/>
        </w:rPr>
      </w:pPr>
      <w:r w:rsidRPr="00926709">
        <w:rPr>
          <w:noProof/>
          <w:sz w:val="24"/>
          <w:szCs w:val="24"/>
        </w:rPr>
        <w:t xml:space="preserve">Lægemiddelstyrelsen </w:t>
      </w:r>
    </w:p>
    <w:p w:rsidR="00B76D2F" w:rsidRPr="00926709" w:rsidRDefault="00B76D2F" w:rsidP="00B76D2F">
      <w:pPr>
        <w:autoSpaceDE w:val="0"/>
        <w:autoSpaceDN w:val="0"/>
        <w:adjustRightInd w:val="0"/>
        <w:ind w:left="851"/>
        <w:rPr>
          <w:noProof/>
          <w:sz w:val="24"/>
          <w:szCs w:val="24"/>
        </w:rPr>
      </w:pPr>
      <w:r w:rsidRPr="00926709">
        <w:rPr>
          <w:noProof/>
          <w:sz w:val="24"/>
          <w:szCs w:val="24"/>
        </w:rPr>
        <w:t xml:space="preserve">Axel Heides Gade 1 </w:t>
      </w:r>
    </w:p>
    <w:p w:rsidR="00B76D2F" w:rsidRPr="00926709" w:rsidRDefault="00B76D2F" w:rsidP="00B76D2F">
      <w:pPr>
        <w:autoSpaceDE w:val="0"/>
        <w:autoSpaceDN w:val="0"/>
        <w:adjustRightInd w:val="0"/>
        <w:ind w:left="851"/>
        <w:rPr>
          <w:noProof/>
          <w:sz w:val="24"/>
          <w:szCs w:val="24"/>
        </w:rPr>
      </w:pPr>
      <w:r w:rsidRPr="00926709">
        <w:rPr>
          <w:noProof/>
          <w:sz w:val="24"/>
          <w:szCs w:val="24"/>
        </w:rPr>
        <w:t>DK-2300 København S</w:t>
      </w:r>
    </w:p>
    <w:p w:rsidR="00B76D2F" w:rsidRPr="009D4859" w:rsidRDefault="00B76D2F" w:rsidP="00B76D2F">
      <w:pPr>
        <w:autoSpaceDE w:val="0"/>
        <w:autoSpaceDN w:val="0"/>
        <w:adjustRightInd w:val="0"/>
        <w:ind w:left="851"/>
        <w:rPr>
          <w:noProof/>
          <w:sz w:val="24"/>
          <w:szCs w:val="24"/>
        </w:rPr>
      </w:pPr>
      <w:r w:rsidRPr="009D4859">
        <w:rPr>
          <w:noProof/>
          <w:sz w:val="24"/>
          <w:szCs w:val="24"/>
        </w:rPr>
        <w:t xml:space="preserve">Websted: </w:t>
      </w:r>
      <w:hyperlink r:id="rId8" w:history="1">
        <w:r w:rsidRPr="009D4859">
          <w:rPr>
            <w:rStyle w:val="Hyperlink"/>
            <w:noProof/>
            <w:sz w:val="24"/>
            <w:szCs w:val="24"/>
          </w:rPr>
          <w:t>www.meldenbivirkning.dk</w:t>
        </w:r>
      </w:hyperlink>
    </w:p>
    <w:p w:rsidR="00B76D2F" w:rsidRPr="009D4859" w:rsidRDefault="00B76D2F" w:rsidP="00B76D2F">
      <w:pPr>
        <w:pStyle w:val="Sidehoved"/>
        <w:tabs>
          <w:tab w:val="clear" w:pos="4819"/>
          <w:tab w:val="clear" w:pos="9638"/>
        </w:tabs>
        <w:ind w:left="851" w:hanging="851"/>
        <w:rPr>
          <w:szCs w:val="24"/>
        </w:rPr>
      </w:pPr>
    </w:p>
    <w:p w:rsidR="00B76D2F" w:rsidRPr="00926709" w:rsidRDefault="00B76D2F" w:rsidP="00B76D2F">
      <w:pPr>
        <w:ind w:left="851" w:hanging="851"/>
        <w:rPr>
          <w:b/>
          <w:sz w:val="24"/>
          <w:szCs w:val="24"/>
        </w:rPr>
      </w:pPr>
      <w:r w:rsidRPr="00926709">
        <w:rPr>
          <w:b/>
          <w:sz w:val="24"/>
          <w:szCs w:val="24"/>
        </w:rPr>
        <w:t>4.9</w:t>
      </w:r>
      <w:r w:rsidRPr="00926709">
        <w:rPr>
          <w:b/>
          <w:sz w:val="24"/>
          <w:szCs w:val="24"/>
        </w:rPr>
        <w:tab/>
        <w:t>Overdosering</w:t>
      </w:r>
    </w:p>
    <w:p w:rsidR="00B76D2F" w:rsidRPr="00926709" w:rsidRDefault="00B76D2F" w:rsidP="00B76D2F">
      <w:pPr>
        <w:ind w:left="851"/>
        <w:rPr>
          <w:sz w:val="24"/>
          <w:szCs w:val="24"/>
        </w:rPr>
      </w:pPr>
      <w:r w:rsidRPr="00926709">
        <w:rPr>
          <w:sz w:val="24"/>
          <w:szCs w:val="24"/>
        </w:rPr>
        <w:t xml:space="preserve">Det er usandsynligt, at der vil forekomme overdosering efter </w:t>
      </w:r>
      <w:proofErr w:type="spellStart"/>
      <w:r w:rsidRPr="00926709">
        <w:rPr>
          <w:sz w:val="24"/>
          <w:szCs w:val="24"/>
        </w:rPr>
        <w:t>okulær</w:t>
      </w:r>
      <w:proofErr w:type="spellEnd"/>
      <w:r w:rsidRPr="00926709">
        <w:rPr>
          <w:sz w:val="24"/>
          <w:szCs w:val="24"/>
        </w:rPr>
        <w:t xml:space="preserve"> administration.</w:t>
      </w:r>
    </w:p>
    <w:p w:rsidR="00B76D2F" w:rsidRPr="00926709" w:rsidRDefault="00B76D2F" w:rsidP="00B76D2F">
      <w:pPr>
        <w:ind w:left="851"/>
        <w:rPr>
          <w:sz w:val="24"/>
          <w:szCs w:val="24"/>
        </w:rPr>
      </w:pPr>
      <w:r w:rsidRPr="00926709">
        <w:rPr>
          <w:sz w:val="24"/>
          <w:szCs w:val="24"/>
        </w:rPr>
        <w:t>Hvis der forekommer overdosering, bør behandlingen være symptomatisk.</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4.10</w:t>
      </w:r>
      <w:r w:rsidRPr="00926709">
        <w:rPr>
          <w:b/>
          <w:sz w:val="24"/>
          <w:szCs w:val="24"/>
        </w:rPr>
        <w:tab/>
        <w:t>Udlevering</w:t>
      </w:r>
    </w:p>
    <w:p w:rsidR="00B76D2F" w:rsidRPr="00926709" w:rsidRDefault="00B76D2F" w:rsidP="00B76D2F">
      <w:pPr>
        <w:ind w:left="851"/>
        <w:rPr>
          <w:sz w:val="24"/>
          <w:szCs w:val="24"/>
        </w:rPr>
      </w:pPr>
      <w:r>
        <w:rPr>
          <w:sz w:val="24"/>
          <w:szCs w:val="24"/>
        </w:rPr>
        <w:t>B</w:t>
      </w:r>
    </w:p>
    <w:p w:rsidR="00B76D2F" w:rsidRPr="00926709" w:rsidRDefault="00B76D2F" w:rsidP="00B76D2F">
      <w:pPr>
        <w:ind w:left="851" w:hanging="851"/>
        <w:rPr>
          <w:sz w:val="24"/>
          <w:szCs w:val="24"/>
        </w:rPr>
      </w:pP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5.</w:t>
      </w:r>
      <w:r w:rsidRPr="00926709">
        <w:rPr>
          <w:b/>
          <w:sz w:val="24"/>
          <w:szCs w:val="24"/>
        </w:rPr>
        <w:tab/>
        <w:t>FARMAKOLOGISKE EGENSKABER</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5.1</w:t>
      </w:r>
      <w:r w:rsidRPr="00926709">
        <w:rPr>
          <w:b/>
          <w:sz w:val="24"/>
          <w:szCs w:val="24"/>
        </w:rPr>
        <w:tab/>
      </w:r>
      <w:proofErr w:type="spellStart"/>
      <w:r w:rsidRPr="00926709">
        <w:rPr>
          <w:b/>
          <w:sz w:val="24"/>
          <w:szCs w:val="24"/>
        </w:rPr>
        <w:t>Farmakodynamiske</w:t>
      </w:r>
      <w:proofErr w:type="spellEnd"/>
      <w:r w:rsidRPr="00926709">
        <w:rPr>
          <w:b/>
          <w:sz w:val="24"/>
          <w:szCs w:val="24"/>
        </w:rPr>
        <w:t xml:space="preserve"> egenskaber</w:t>
      </w:r>
    </w:p>
    <w:p w:rsidR="00B76D2F" w:rsidRDefault="00B76D2F" w:rsidP="00B76D2F">
      <w:pPr>
        <w:suppressAutoHyphens/>
        <w:ind w:left="851" w:hanging="851"/>
        <w:rPr>
          <w:sz w:val="24"/>
          <w:szCs w:val="24"/>
          <w:u w:val="single"/>
        </w:rPr>
      </w:pPr>
    </w:p>
    <w:p w:rsidR="00FB3C75" w:rsidRPr="00C922B2" w:rsidRDefault="00FB3C75" w:rsidP="00FB3C75">
      <w:pPr>
        <w:tabs>
          <w:tab w:val="left" w:pos="851"/>
        </w:tabs>
        <w:ind w:left="851"/>
        <w:rPr>
          <w:sz w:val="24"/>
          <w:szCs w:val="24"/>
        </w:rPr>
      </w:pPr>
      <w:proofErr w:type="spellStart"/>
      <w:r w:rsidRPr="00C922B2">
        <w:rPr>
          <w:sz w:val="24"/>
          <w:szCs w:val="24"/>
        </w:rPr>
        <w:t>Farmakoterapeutisk</w:t>
      </w:r>
      <w:proofErr w:type="spellEnd"/>
      <w:r w:rsidRPr="00C922B2">
        <w:rPr>
          <w:sz w:val="24"/>
          <w:szCs w:val="24"/>
        </w:rPr>
        <w:t xml:space="preserve"> klassifikation: </w:t>
      </w:r>
      <w:proofErr w:type="spellStart"/>
      <w:r w:rsidRPr="00926709">
        <w:rPr>
          <w:sz w:val="24"/>
          <w:szCs w:val="24"/>
        </w:rPr>
        <w:t>Glaukommidler</w:t>
      </w:r>
      <w:proofErr w:type="spellEnd"/>
      <w:r w:rsidRPr="00926709">
        <w:rPr>
          <w:sz w:val="24"/>
          <w:szCs w:val="24"/>
        </w:rPr>
        <w:t xml:space="preserve">, </w:t>
      </w:r>
      <w:proofErr w:type="spellStart"/>
      <w:r w:rsidRPr="00926709">
        <w:rPr>
          <w:sz w:val="24"/>
          <w:szCs w:val="24"/>
        </w:rPr>
        <w:t>prostaglandinanaloger</w:t>
      </w:r>
      <w:proofErr w:type="spellEnd"/>
      <w:r w:rsidRPr="00926709">
        <w:rPr>
          <w:sz w:val="24"/>
          <w:szCs w:val="24"/>
        </w:rPr>
        <w:t>.</w:t>
      </w:r>
      <w:r>
        <w:rPr>
          <w:sz w:val="24"/>
          <w:szCs w:val="24"/>
        </w:rPr>
        <w:t xml:space="preserve"> </w:t>
      </w:r>
      <w:r>
        <w:rPr>
          <w:sz w:val="24"/>
          <w:szCs w:val="24"/>
        </w:rPr>
        <w:br/>
      </w:r>
      <w:r w:rsidRPr="00926709">
        <w:rPr>
          <w:sz w:val="24"/>
          <w:szCs w:val="24"/>
        </w:rPr>
        <w:t>ATC-kode: S</w:t>
      </w:r>
      <w:r>
        <w:rPr>
          <w:sz w:val="24"/>
          <w:szCs w:val="24"/>
        </w:rPr>
        <w:t xml:space="preserve"> </w:t>
      </w:r>
      <w:r w:rsidRPr="00926709">
        <w:rPr>
          <w:sz w:val="24"/>
          <w:szCs w:val="24"/>
        </w:rPr>
        <w:t>01</w:t>
      </w:r>
      <w:r>
        <w:rPr>
          <w:sz w:val="24"/>
          <w:szCs w:val="24"/>
        </w:rPr>
        <w:t xml:space="preserve"> </w:t>
      </w:r>
      <w:r w:rsidRPr="00926709">
        <w:rPr>
          <w:sz w:val="24"/>
          <w:szCs w:val="24"/>
        </w:rPr>
        <w:t>EE</w:t>
      </w:r>
      <w:r>
        <w:rPr>
          <w:sz w:val="24"/>
          <w:szCs w:val="24"/>
        </w:rPr>
        <w:t xml:space="preserve"> </w:t>
      </w:r>
      <w:r w:rsidRPr="00926709">
        <w:rPr>
          <w:sz w:val="24"/>
          <w:szCs w:val="24"/>
        </w:rPr>
        <w:t>05</w:t>
      </w:r>
      <w:r>
        <w:rPr>
          <w:sz w:val="24"/>
          <w:szCs w:val="24"/>
        </w:rPr>
        <w:t>.</w:t>
      </w:r>
    </w:p>
    <w:p w:rsidR="00FB3C75" w:rsidRDefault="00FB3C75" w:rsidP="00B76D2F">
      <w:pPr>
        <w:suppressAutoHyphens/>
        <w:ind w:left="851"/>
        <w:rPr>
          <w:sz w:val="24"/>
          <w:szCs w:val="24"/>
          <w:u w:val="single"/>
        </w:rPr>
      </w:pPr>
    </w:p>
    <w:p w:rsidR="00B76D2F" w:rsidRPr="00926709" w:rsidRDefault="00B76D2F" w:rsidP="00B76D2F">
      <w:pPr>
        <w:suppressAutoHyphens/>
        <w:ind w:left="851"/>
        <w:rPr>
          <w:sz w:val="24"/>
          <w:szCs w:val="24"/>
          <w:u w:val="single"/>
        </w:rPr>
      </w:pPr>
      <w:r w:rsidRPr="00926709">
        <w:rPr>
          <w:sz w:val="24"/>
          <w:szCs w:val="24"/>
          <w:u w:val="single"/>
        </w:rPr>
        <w:t>Virkningsmekanisme</w:t>
      </w:r>
    </w:p>
    <w:p w:rsidR="00B76D2F" w:rsidRPr="00926709" w:rsidRDefault="00B76D2F" w:rsidP="00B76D2F">
      <w:pPr>
        <w:suppressAutoHyphens/>
        <w:ind w:left="851"/>
        <w:rPr>
          <w:sz w:val="24"/>
          <w:szCs w:val="24"/>
        </w:rPr>
      </w:pPr>
      <w:proofErr w:type="spellStart"/>
      <w:r w:rsidRPr="00926709">
        <w:rPr>
          <w:sz w:val="24"/>
          <w:szCs w:val="24"/>
        </w:rPr>
        <w:t>Tafluprost</w:t>
      </w:r>
      <w:proofErr w:type="spellEnd"/>
      <w:r w:rsidRPr="00926709">
        <w:rPr>
          <w:sz w:val="24"/>
          <w:szCs w:val="24"/>
        </w:rPr>
        <w:t xml:space="preserve"> er en </w:t>
      </w:r>
      <w:proofErr w:type="spellStart"/>
      <w:r w:rsidRPr="00926709">
        <w:rPr>
          <w:sz w:val="24"/>
          <w:szCs w:val="24"/>
        </w:rPr>
        <w:t>fluorineret</w:t>
      </w:r>
      <w:proofErr w:type="spellEnd"/>
      <w:r w:rsidRPr="00926709">
        <w:rPr>
          <w:sz w:val="24"/>
          <w:szCs w:val="24"/>
        </w:rPr>
        <w:t xml:space="preserve"> analog af </w:t>
      </w:r>
      <w:proofErr w:type="spellStart"/>
      <w:r w:rsidRPr="00926709">
        <w:rPr>
          <w:sz w:val="24"/>
          <w:szCs w:val="24"/>
        </w:rPr>
        <w:t>prostaglandin</w:t>
      </w:r>
      <w:proofErr w:type="spellEnd"/>
      <w:r w:rsidRPr="00926709">
        <w:rPr>
          <w:sz w:val="24"/>
          <w:szCs w:val="24"/>
        </w:rPr>
        <w:t xml:space="preserve"> F</w:t>
      </w:r>
      <w:r w:rsidRPr="00926709">
        <w:rPr>
          <w:sz w:val="24"/>
          <w:szCs w:val="24"/>
          <w:vertAlign w:val="subscript"/>
        </w:rPr>
        <w:t>2α</w:t>
      </w:r>
      <w:r w:rsidRPr="00926709">
        <w:rPr>
          <w:sz w:val="24"/>
          <w:szCs w:val="24"/>
        </w:rPr>
        <w:t xml:space="preserve">. </w:t>
      </w:r>
      <w:proofErr w:type="spellStart"/>
      <w:r w:rsidRPr="00926709">
        <w:rPr>
          <w:sz w:val="24"/>
          <w:szCs w:val="24"/>
        </w:rPr>
        <w:t>Tafluprostsyre</w:t>
      </w:r>
      <w:proofErr w:type="spellEnd"/>
      <w:r w:rsidRPr="00926709">
        <w:rPr>
          <w:sz w:val="24"/>
          <w:szCs w:val="24"/>
        </w:rPr>
        <w:t xml:space="preserve">, den biologisk aktive metabolit af </w:t>
      </w:r>
      <w:proofErr w:type="spellStart"/>
      <w:r w:rsidRPr="00926709">
        <w:rPr>
          <w:sz w:val="24"/>
          <w:szCs w:val="24"/>
        </w:rPr>
        <w:t>tafluprost</w:t>
      </w:r>
      <w:proofErr w:type="spellEnd"/>
      <w:r w:rsidRPr="00926709">
        <w:rPr>
          <w:sz w:val="24"/>
          <w:szCs w:val="24"/>
        </w:rPr>
        <w:t xml:space="preserve">, er en højpotent og selektiv agonist af den humane </w:t>
      </w:r>
      <w:proofErr w:type="spellStart"/>
      <w:r w:rsidRPr="00926709">
        <w:rPr>
          <w:sz w:val="24"/>
          <w:szCs w:val="24"/>
        </w:rPr>
        <w:t>prostanoid</w:t>
      </w:r>
      <w:proofErr w:type="spellEnd"/>
      <w:r w:rsidRPr="00926709">
        <w:rPr>
          <w:sz w:val="24"/>
          <w:szCs w:val="24"/>
        </w:rPr>
        <w:t>-FP</w:t>
      </w:r>
      <w:r w:rsidRPr="00926709">
        <w:rPr>
          <w:sz w:val="24"/>
          <w:szCs w:val="24"/>
        </w:rPr>
        <w:noBreakHyphen/>
        <w:t xml:space="preserve">receptor. </w:t>
      </w:r>
      <w:proofErr w:type="spellStart"/>
      <w:r w:rsidRPr="00926709">
        <w:rPr>
          <w:sz w:val="24"/>
          <w:szCs w:val="24"/>
        </w:rPr>
        <w:t>Tafluprostsyre</w:t>
      </w:r>
      <w:proofErr w:type="spellEnd"/>
      <w:r w:rsidRPr="00926709">
        <w:rPr>
          <w:sz w:val="24"/>
          <w:szCs w:val="24"/>
        </w:rPr>
        <w:t xml:space="preserve"> har en 12 gange højere affinitet for FP-receptoren end </w:t>
      </w:r>
      <w:proofErr w:type="spellStart"/>
      <w:r w:rsidRPr="00926709">
        <w:rPr>
          <w:sz w:val="24"/>
          <w:szCs w:val="24"/>
        </w:rPr>
        <w:t>latanoprost</w:t>
      </w:r>
      <w:proofErr w:type="spellEnd"/>
      <w:r w:rsidRPr="00926709">
        <w:rPr>
          <w:sz w:val="24"/>
          <w:szCs w:val="24"/>
        </w:rPr>
        <w:t xml:space="preserve">. </w:t>
      </w:r>
      <w:proofErr w:type="spellStart"/>
      <w:r w:rsidRPr="00926709">
        <w:rPr>
          <w:sz w:val="24"/>
          <w:szCs w:val="24"/>
        </w:rPr>
        <w:t>Farmakodynamiske</w:t>
      </w:r>
      <w:proofErr w:type="spellEnd"/>
      <w:r w:rsidRPr="00926709">
        <w:rPr>
          <w:sz w:val="24"/>
          <w:szCs w:val="24"/>
        </w:rPr>
        <w:t xml:space="preserve"> studier med aber viser, at </w:t>
      </w:r>
      <w:proofErr w:type="spellStart"/>
      <w:r w:rsidRPr="00926709">
        <w:rPr>
          <w:sz w:val="24"/>
          <w:szCs w:val="24"/>
        </w:rPr>
        <w:t>tafluprost</w:t>
      </w:r>
      <w:proofErr w:type="spellEnd"/>
      <w:r w:rsidRPr="00926709">
        <w:rPr>
          <w:sz w:val="24"/>
          <w:szCs w:val="24"/>
        </w:rPr>
        <w:t xml:space="preserve"> reducerer det </w:t>
      </w:r>
      <w:proofErr w:type="spellStart"/>
      <w:r w:rsidRPr="00926709">
        <w:rPr>
          <w:sz w:val="24"/>
          <w:szCs w:val="24"/>
        </w:rPr>
        <w:t>intraokulære</w:t>
      </w:r>
      <w:proofErr w:type="spellEnd"/>
      <w:r w:rsidRPr="00926709">
        <w:rPr>
          <w:sz w:val="24"/>
          <w:szCs w:val="24"/>
        </w:rPr>
        <w:t xml:space="preserve"> tryk (IOP) ved at forøge det </w:t>
      </w:r>
      <w:proofErr w:type="spellStart"/>
      <w:r w:rsidRPr="00926709">
        <w:rPr>
          <w:sz w:val="24"/>
          <w:szCs w:val="24"/>
        </w:rPr>
        <w:t>uveosklerale</w:t>
      </w:r>
      <w:proofErr w:type="spellEnd"/>
      <w:r w:rsidRPr="00926709">
        <w:rPr>
          <w:sz w:val="24"/>
          <w:szCs w:val="24"/>
        </w:rPr>
        <w:t xml:space="preserve"> flow af kammervand. </w:t>
      </w:r>
    </w:p>
    <w:p w:rsidR="00B76D2F" w:rsidRPr="00926709" w:rsidRDefault="00B76D2F" w:rsidP="00B76D2F">
      <w:pPr>
        <w:suppressAutoHyphens/>
        <w:ind w:left="851"/>
        <w:rPr>
          <w:sz w:val="24"/>
          <w:szCs w:val="24"/>
        </w:rPr>
      </w:pPr>
    </w:p>
    <w:p w:rsidR="00B76D2F" w:rsidRPr="00926709" w:rsidRDefault="00B76D2F" w:rsidP="00B76D2F">
      <w:pPr>
        <w:suppressAutoHyphens/>
        <w:ind w:left="851"/>
        <w:rPr>
          <w:sz w:val="24"/>
          <w:szCs w:val="24"/>
          <w:u w:val="single"/>
        </w:rPr>
      </w:pPr>
      <w:proofErr w:type="spellStart"/>
      <w:r w:rsidRPr="00926709">
        <w:rPr>
          <w:sz w:val="24"/>
          <w:szCs w:val="24"/>
          <w:u w:val="single"/>
        </w:rPr>
        <w:t>Farmakodynamisk</w:t>
      </w:r>
      <w:proofErr w:type="spellEnd"/>
      <w:r w:rsidRPr="00926709">
        <w:rPr>
          <w:sz w:val="24"/>
          <w:szCs w:val="24"/>
          <w:u w:val="single"/>
        </w:rPr>
        <w:t xml:space="preserve"> virkning</w:t>
      </w:r>
    </w:p>
    <w:p w:rsidR="00B76D2F" w:rsidRPr="00926709" w:rsidRDefault="00B76D2F" w:rsidP="00B76D2F">
      <w:pPr>
        <w:suppressAutoHyphens/>
        <w:ind w:left="851"/>
        <w:rPr>
          <w:sz w:val="24"/>
          <w:szCs w:val="24"/>
        </w:rPr>
      </w:pPr>
      <w:r w:rsidRPr="00926709">
        <w:rPr>
          <w:sz w:val="24"/>
          <w:szCs w:val="24"/>
        </w:rPr>
        <w:t xml:space="preserve">Studier med </w:t>
      </w:r>
      <w:proofErr w:type="spellStart"/>
      <w:r w:rsidRPr="00926709">
        <w:rPr>
          <w:sz w:val="24"/>
          <w:szCs w:val="24"/>
        </w:rPr>
        <w:t>normotensive</w:t>
      </w:r>
      <w:proofErr w:type="spellEnd"/>
      <w:r w:rsidRPr="00926709">
        <w:rPr>
          <w:sz w:val="24"/>
          <w:szCs w:val="24"/>
        </w:rPr>
        <w:t xml:space="preserve"> og </w:t>
      </w:r>
      <w:proofErr w:type="spellStart"/>
      <w:r w:rsidRPr="00926709">
        <w:rPr>
          <w:sz w:val="24"/>
          <w:szCs w:val="24"/>
        </w:rPr>
        <w:t>okulært</w:t>
      </w:r>
      <w:proofErr w:type="spellEnd"/>
      <w:r w:rsidRPr="00926709">
        <w:rPr>
          <w:sz w:val="24"/>
          <w:szCs w:val="24"/>
        </w:rPr>
        <w:t xml:space="preserve"> </w:t>
      </w:r>
      <w:proofErr w:type="spellStart"/>
      <w:r w:rsidRPr="00926709">
        <w:rPr>
          <w:sz w:val="24"/>
          <w:szCs w:val="24"/>
        </w:rPr>
        <w:t>hypertensive</w:t>
      </w:r>
      <w:proofErr w:type="spellEnd"/>
      <w:r w:rsidRPr="00926709">
        <w:rPr>
          <w:sz w:val="24"/>
          <w:szCs w:val="24"/>
        </w:rPr>
        <w:t xml:space="preserve"> aber viste, at </w:t>
      </w:r>
      <w:proofErr w:type="spellStart"/>
      <w:r w:rsidRPr="00926709">
        <w:rPr>
          <w:sz w:val="24"/>
          <w:szCs w:val="24"/>
        </w:rPr>
        <w:t>tafluprost</w:t>
      </w:r>
      <w:proofErr w:type="spellEnd"/>
      <w:r w:rsidRPr="00926709">
        <w:rPr>
          <w:sz w:val="24"/>
          <w:szCs w:val="24"/>
        </w:rPr>
        <w:t xml:space="preserve"> er et stof, som effektivt reducerer IOP. I studiet, der undersøgte den reducerende virkning på IOP af </w:t>
      </w:r>
      <w:proofErr w:type="spellStart"/>
      <w:r w:rsidRPr="00926709">
        <w:rPr>
          <w:sz w:val="24"/>
          <w:szCs w:val="24"/>
        </w:rPr>
        <w:t>tafluprostmetabolitter</w:t>
      </w:r>
      <w:proofErr w:type="spellEnd"/>
      <w:r w:rsidRPr="00926709">
        <w:rPr>
          <w:sz w:val="24"/>
          <w:szCs w:val="24"/>
        </w:rPr>
        <w:t xml:space="preserve">, var det kun </w:t>
      </w:r>
      <w:proofErr w:type="spellStart"/>
      <w:r w:rsidRPr="00926709">
        <w:rPr>
          <w:sz w:val="24"/>
          <w:szCs w:val="24"/>
        </w:rPr>
        <w:t>tafluprostsyre</w:t>
      </w:r>
      <w:proofErr w:type="spellEnd"/>
      <w:r w:rsidRPr="00926709">
        <w:rPr>
          <w:sz w:val="24"/>
          <w:szCs w:val="24"/>
        </w:rPr>
        <w:t>, der signifikant reducerede IOP.</w:t>
      </w:r>
    </w:p>
    <w:p w:rsidR="00B76D2F" w:rsidRPr="00926709" w:rsidRDefault="00B76D2F" w:rsidP="00B76D2F">
      <w:pPr>
        <w:suppressAutoHyphens/>
        <w:ind w:left="851"/>
        <w:rPr>
          <w:sz w:val="24"/>
          <w:szCs w:val="24"/>
        </w:rPr>
      </w:pPr>
    </w:p>
    <w:p w:rsidR="00B76D2F" w:rsidRPr="00926709" w:rsidRDefault="00B76D2F" w:rsidP="00B76D2F">
      <w:pPr>
        <w:suppressAutoHyphens/>
        <w:ind w:left="851"/>
        <w:rPr>
          <w:sz w:val="24"/>
          <w:szCs w:val="24"/>
        </w:rPr>
      </w:pPr>
      <w:r w:rsidRPr="00926709">
        <w:rPr>
          <w:sz w:val="24"/>
          <w:szCs w:val="24"/>
        </w:rPr>
        <w:t xml:space="preserve">Når kaniner blev behandlet i 4 uger med en </w:t>
      </w:r>
      <w:proofErr w:type="spellStart"/>
      <w:r w:rsidRPr="00926709">
        <w:rPr>
          <w:sz w:val="24"/>
          <w:szCs w:val="24"/>
        </w:rPr>
        <w:t>oftalmisk</w:t>
      </w:r>
      <w:proofErr w:type="spellEnd"/>
      <w:r w:rsidRPr="00926709">
        <w:rPr>
          <w:sz w:val="24"/>
          <w:szCs w:val="24"/>
        </w:rPr>
        <w:t xml:space="preserve"> 0,0015 % </w:t>
      </w:r>
      <w:proofErr w:type="spellStart"/>
      <w:r w:rsidRPr="00926709">
        <w:rPr>
          <w:sz w:val="24"/>
          <w:szCs w:val="24"/>
        </w:rPr>
        <w:t>tafluprostopløsning</w:t>
      </w:r>
      <w:proofErr w:type="spellEnd"/>
      <w:r w:rsidRPr="00926709">
        <w:rPr>
          <w:sz w:val="24"/>
          <w:szCs w:val="24"/>
        </w:rPr>
        <w:t xml:space="preserve"> én gang dagligt, blev blodforsyningen til det optiske nervehoved signifikant forøget (15 %) sammenlignet med udgangsværdierne ved måling med laserpletflowgraf på dag 14 og 28.</w:t>
      </w:r>
    </w:p>
    <w:p w:rsidR="00B76D2F" w:rsidRPr="00926709" w:rsidRDefault="00B76D2F" w:rsidP="00B76D2F">
      <w:pPr>
        <w:suppressAutoHyphens/>
        <w:ind w:left="851"/>
        <w:rPr>
          <w:sz w:val="24"/>
          <w:szCs w:val="24"/>
        </w:rPr>
      </w:pPr>
    </w:p>
    <w:p w:rsidR="00B76D2F" w:rsidRPr="00926709" w:rsidRDefault="00B76D2F" w:rsidP="00B76D2F">
      <w:pPr>
        <w:suppressAutoHyphens/>
        <w:ind w:left="851"/>
        <w:rPr>
          <w:sz w:val="24"/>
          <w:szCs w:val="24"/>
          <w:u w:val="single"/>
        </w:rPr>
      </w:pPr>
      <w:r w:rsidRPr="00926709">
        <w:rPr>
          <w:sz w:val="24"/>
          <w:szCs w:val="24"/>
          <w:u w:val="single"/>
        </w:rPr>
        <w:t>Klinisk virkning</w:t>
      </w:r>
    </w:p>
    <w:p w:rsidR="00B76D2F" w:rsidRPr="00926709" w:rsidRDefault="00B76D2F" w:rsidP="00B76D2F">
      <w:pPr>
        <w:suppressAutoHyphens/>
        <w:ind w:left="851"/>
        <w:rPr>
          <w:sz w:val="24"/>
          <w:szCs w:val="24"/>
        </w:rPr>
      </w:pPr>
      <w:r w:rsidRPr="00926709">
        <w:rPr>
          <w:sz w:val="24"/>
          <w:szCs w:val="24"/>
        </w:rPr>
        <w:t xml:space="preserve">Reduktion af IOP begynder mellem 2 og 4 timer efter den første administration, og den maksimale virkning nås ca. 12 timer efter </w:t>
      </w:r>
      <w:proofErr w:type="spellStart"/>
      <w:r w:rsidRPr="00926709">
        <w:rPr>
          <w:sz w:val="24"/>
          <w:szCs w:val="24"/>
        </w:rPr>
        <w:t>inddrypning</w:t>
      </w:r>
      <w:proofErr w:type="spellEnd"/>
      <w:r w:rsidRPr="00926709">
        <w:rPr>
          <w:sz w:val="24"/>
          <w:szCs w:val="24"/>
        </w:rPr>
        <w:t xml:space="preserve">. Varigheden af virkningen opretholdes i mindst 24 timer. Pivotale studier med en </w:t>
      </w:r>
      <w:proofErr w:type="spellStart"/>
      <w:r w:rsidRPr="00926709">
        <w:rPr>
          <w:sz w:val="24"/>
          <w:szCs w:val="24"/>
        </w:rPr>
        <w:t>tafluprostformulering</w:t>
      </w:r>
      <w:proofErr w:type="spellEnd"/>
      <w:r w:rsidRPr="00926709">
        <w:rPr>
          <w:sz w:val="24"/>
          <w:szCs w:val="24"/>
        </w:rPr>
        <w:t xml:space="preserve">, der indeholder </w:t>
      </w:r>
      <w:proofErr w:type="spellStart"/>
      <w:r w:rsidRPr="00926709">
        <w:rPr>
          <w:sz w:val="24"/>
          <w:szCs w:val="24"/>
        </w:rPr>
        <w:t>benzalkoniumchlorid</w:t>
      </w:r>
      <w:proofErr w:type="spellEnd"/>
      <w:r w:rsidRPr="00926709">
        <w:rPr>
          <w:sz w:val="24"/>
          <w:szCs w:val="24"/>
        </w:rPr>
        <w:t xml:space="preserve"> konserveringsmiddel, har vist, at </w:t>
      </w:r>
      <w:proofErr w:type="spellStart"/>
      <w:r w:rsidRPr="00926709">
        <w:rPr>
          <w:sz w:val="24"/>
          <w:szCs w:val="24"/>
        </w:rPr>
        <w:t>tafluprost</w:t>
      </w:r>
      <w:proofErr w:type="spellEnd"/>
      <w:r w:rsidRPr="00926709">
        <w:rPr>
          <w:sz w:val="24"/>
          <w:szCs w:val="24"/>
        </w:rPr>
        <w:t xml:space="preserve"> er effektiv som monoterapi og har en </w:t>
      </w:r>
      <w:proofErr w:type="gramStart"/>
      <w:r w:rsidRPr="00926709">
        <w:rPr>
          <w:sz w:val="24"/>
          <w:szCs w:val="24"/>
        </w:rPr>
        <w:t>additiv virkning</w:t>
      </w:r>
      <w:proofErr w:type="gramEnd"/>
      <w:r w:rsidRPr="00926709">
        <w:rPr>
          <w:sz w:val="24"/>
          <w:szCs w:val="24"/>
        </w:rPr>
        <w:t xml:space="preserve"> ved administration som supplerende behandling til </w:t>
      </w:r>
      <w:proofErr w:type="spellStart"/>
      <w:r w:rsidRPr="00926709">
        <w:rPr>
          <w:sz w:val="24"/>
          <w:szCs w:val="24"/>
        </w:rPr>
        <w:t>timolol</w:t>
      </w:r>
      <w:proofErr w:type="spellEnd"/>
      <w:r w:rsidRPr="00926709">
        <w:rPr>
          <w:sz w:val="24"/>
          <w:szCs w:val="24"/>
        </w:rPr>
        <w:t>: I et</w:t>
      </w:r>
      <w:r w:rsidRPr="00926709">
        <w:rPr>
          <w:sz w:val="24"/>
          <w:szCs w:val="24"/>
        </w:rPr>
        <w:noBreakHyphen/>
        <w:t xml:space="preserve">måneders studie viste </w:t>
      </w:r>
      <w:proofErr w:type="spellStart"/>
      <w:r w:rsidRPr="00926709">
        <w:rPr>
          <w:sz w:val="24"/>
          <w:szCs w:val="24"/>
        </w:rPr>
        <w:t>tafluprost</w:t>
      </w:r>
      <w:proofErr w:type="spellEnd"/>
      <w:r w:rsidRPr="00926709">
        <w:rPr>
          <w:sz w:val="24"/>
          <w:szCs w:val="24"/>
        </w:rPr>
        <w:t xml:space="preserve"> en signifikant IOP</w:t>
      </w:r>
      <w:r w:rsidRPr="00926709">
        <w:rPr>
          <w:sz w:val="24"/>
          <w:szCs w:val="24"/>
        </w:rPr>
        <w:noBreakHyphen/>
        <w:t xml:space="preserve">sænkende virkning på 6 </w:t>
      </w:r>
      <w:r w:rsidRPr="00926709">
        <w:rPr>
          <w:sz w:val="24"/>
          <w:szCs w:val="24"/>
        </w:rPr>
        <w:lastRenderedPageBreak/>
        <w:t>til 8 </w:t>
      </w:r>
      <w:proofErr w:type="spellStart"/>
      <w:r w:rsidRPr="00926709">
        <w:rPr>
          <w:sz w:val="24"/>
          <w:szCs w:val="24"/>
        </w:rPr>
        <w:t>mmHg</w:t>
      </w:r>
      <w:proofErr w:type="spellEnd"/>
      <w:r w:rsidRPr="00926709">
        <w:rPr>
          <w:sz w:val="24"/>
          <w:szCs w:val="24"/>
        </w:rPr>
        <w:t xml:space="preserve"> på forskellige tidspunkter på dagen i sammenligning med 7 til 9 </w:t>
      </w:r>
      <w:proofErr w:type="spellStart"/>
      <w:r w:rsidRPr="00926709">
        <w:rPr>
          <w:sz w:val="24"/>
          <w:szCs w:val="24"/>
        </w:rPr>
        <w:t>mmHg</w:t>
      </w:r>
      <w:proofErr w:type="spellEnd"/>
      <w:r w:rsidRPr="00926709">
        <w:rPr>
          <w:sz w:val="24"/>
          <w:szCs w:val="24"/>
        </w:rPr>
        <w:t xml:space="preserve"> med </w:t>
      </w:r>
      <w:proofErr w:type="spellStart"/>
      <w:r w:rsidRPr="00926709">
        <w:rPr>
          <w:sz w:val="24"/>
          <w:szCs w:val="24"/>
        </w:rPr>
        <w:t>latanoprost</w:t>
      </w:r>
      <w:proofErr w:type="spellEnd"/>
      <w:r w:rsidRPr="00926709">
        <w:rPr>
          <w:sz w:val="24"/>
          <w:szCs w:val="24"/>
        </w:rPr>
        <w:t>. I et andet 6</w:t>
      </w:r>
      <w:r w:rsidRPr="00926709">
        <w:rPr>
          <w:sz w:val="24"/>
          <w:szCs w:val="24"/>
        </w:rPr>
        <w:noBreakHyphen/>
        <w:t xml:space="preserve">måneders klinisk studie reducerede </w:t>
      </w:r>
      <w:proofErr w:type="spellStart"/>
      <w:r w:rsidRPr="00926709">
        <w:rPr>
          <w:sz w:val="24"/>
          <w:szCs w:val="24"/>
        </w:rPr>
        <w:t>tafluprost</w:t>
      </w:r>
      <w:proofErr w:type="spellEnd"/>
      <w:r w:rsidRPr="00926709">
        <w:rPr>
          <w:sz w:val="24"/>
          <w:szCs w:val="24"/>
        </w:rPr>
        <w:t xml:space="preserve"> IOP med 5 til 7 </w:t>
      </w:r>
      <w:proofErr w:type="spellStart"/>
      <w:r w:rsidRPr="00926709">
        <w:rPr>
          <w:sz w:val="24"/>
          <w:szCs w:val="24"/>
        </w:rPr>
        <w:t>mmHg</w:t>
      </w:r>
      <w:proofErr w:type="spellEnd"/>
      <w:r w:rsidRPr="00926709">
        <w:rPr>
          <w:sz w:val="24"/>
          <w:szCs w:val="24"/>
        </w:rPr>
        <w:t xml:space="preserve"> i sammenligning med 4 til 6 </w:t>
      </w:r>
      <w:proofErr w:type="spellStart"/>
      <w:r w:rsidRPr="00926709">
        <w:rPr>
          <w:sz w:val="24"/>
          <w:szCs w:val="24"/>
        </w:rPr>
        <w:t>mmHg</w:t>
      </w:r>
      <w:proofErr w:type="spellEnd"/>
      <w:r w:rsidRPr="00926709">
        <w:rPr>
          <w:sz w:val="24"/>
          <w:szCs w:val="24"/>
        </w:rPr>
        <w:t xml:space="preserve"> med </w:t>
      </w:r>
      <w:proofErr w:type="spellStart"/>
      <w:r w:rsidRPr="00926709">
        <w:rPr>
          <w:sz w:val="24"/>
          <w:szCs w:val="24"/>
        </w:rPr>
        <w:t>timolol</w:t>
      </w:r>
      <w:proofErr w:type="spellEnd"/>
      <w:r w:rsidRPr="00926709">
        <w:rPr>
          <w:sz w:val="24"/>
          <w:szCs w:val="24"/>
        </w:rPr>
        <w:t xml:space="preserve">. </w:t>
      </w:r>
      <w:proofErr w:type="spellStart"/>
      <w:r w:rsidRPr="00926709">
        <w:rPr>
          <w:sz w:val="24"/>
          <w:szCs w:val="24"/>
        </w:rPr>
        <w:t>Tafluprosts</w:t>
      </w:r>
      <w:proofErr w:type="spellEnd"/>
      <w:r w:rsidRPr="00926709">
        <w:rPr>
          <w:sz w:val="24"/>
          <w:szCs w:val="24"/>
        </w:rPr>
        <w:t xml:space="preserve"> IOP</w:t>
      </w:r>
      <w:r w:rsidRPr="00926709">
        <w:rPr>
          <w:sz w:val="24"/>
          <w:szCs w:val="24"/>
        </w:rPr>
        <w:noBreakHyphen/>
        <w:t>sænkende virkning blev opretholdt i forlængelsen af disse studier op til 12 måneder. I et 6</w:t>
      </w:r>
      <w:r w:rsidRPr="00926709">
        <w:rPr>
          <w:sz w:val="24"/>
          <w:szCs w:val="24"/>
        </w:rPr>
        <w:noBreakHyphen/>
        <w:t xml:space="preserve">ugers studie sammenlignedes den IOP-sænkende effekt af </w:t>
      </w:r>
      <w:proofErr w:type="spellStart"/>
      <w:r w:rsidRPr="00926709">
        <w:rPr>
          <w:sz w:val="24"/>
          <w:szCs w:val="24"/>
        </w:rPr>
        <w:t>tafluprost</w:t>
      </w:r>
      <w:proofErr w:type="spellEnd"/>
      <w:r w:rsidRPr="00926709">
        <w:rPr>
          <w:sz w:val="24"/>
          <w:szCs w:val="24"/>
        </w:rPr>
        <w:t xml:space="preserve"> med dets vehikel som tillæg til </w:t>
      </w:r>
      <w:proofErr w:type="spellStart"/>
      <w:r w:rsidRPr="00926709">
        <w:rPr>
          <w:sz w:val="24"/>
          <w:szCs w:val="24"/>
        </w:rPr>
        <w:t>timolol</w:t>
      </w:r>
      <w:proofErr w:type="spellEnd"/>
      <w:r w:rsidRPr="00926709">
        <w:rPr>
          <w:sz w:val="24"/>
          <w:szCs w:val="24"/>
        </w:rPr>
        <w:t xml:space="preserve">. I sammenligning med udgangsværdierne (målt efter en 4 ugers indledning på </w:t>
      </w:r>
      <w:proofErr w:type="spellStart"/>
      <w:r w:rsidRPr="00926709">
        <w:rPr>
          <w:sz w:val="24"/>
          <w:szCs w:val="24"/>
        </w:rPr>
        <w:t>timolol</w:t>
      </w:r>
      <w:proofErr w:type="spellEnd"/>
      <w:r w:rsidRPr="00926709">
        <w:rPr>
          <w:sz w:val="24"/>
          <w:szCs w:val="24"/>
        </w:rPr>
        <w:t>) var den yderligere IOP</w:t>
      </w:r>
      <w:r w:rsidRPr="00926709">
        <w:rPr>
          <w:sz w:val="24"/>
          <w:szCs w:val="24"/>
        </w:rPr>
        <w:noBreakHyphen/>
        <w:t>sænkende effekt 5 til 6 </w:t>
      </w:r>
      <w:proofErr w:type="spellStart"/>
      <w:r w:rsidRPr="00926709">
        <w:rPr>
          <w:sz w:val="24"/>
          <w:szCs w:val="24"/>
        </w:rPr>
        <w:t>mmHg</w:t>
      </w:r>
      <w:proofErr w:type="spellEnd"/>
      <w:r w:rsidRPr="00926709">
        <w:rPr>
          <w:sz w:val="24"/>
          <w:szCs w:val="24"/>
        </w:rPr>
        <w:t xml:space="preserve"> i </w:t>
      </w:r>
      <w:proofErr w:type="spellStart"/>
      <w:r w:rsidRPr="00926709">
        <w:rPr>
          <w:sz w:val="24"/>
          <w:szCs w:val="24"/>
        </w:rPr>
        <w:t>timolol</w:t>
      </w:r>
      <w:proofErr w:type="spellEnd"/>
      <w:r w:rsidRPr="00926709">
        <w:rPr>
          <w:sz w:val="24"/>
          <w:szCs w:val="24"/>
        </w:rPr>
        <w:noBreakHyphen/>
      </w:r>
      <w:proofErr w:type="spellStart"/>
      <w:r w:rsidRPr="00926709">
        <w:rPr>
          <w:sz w:val="24"/>
          <w:szCs w:val="24"/>
        </w:rPr>
        <w:t>tafluprost</w:t>
      </w:r>
      <w:proofErr w:type="spellEnd"/>
      <w:r>
        <w:rPr>
          <w:sz w:val="24"/>
          <w:szCs w:val="24"/>
        </w:rPr>
        <w:softHyphen/>
        <w:t>-</w:t>
      </w:r>
      <w:r w:rsidRPr="00926709">
        <w:rPr>
          <w:sz w:val="24"/>
          <w:szCs w:val="24"/>
        </w:rPr>
        <w:t>gruppen, og 3 til 4 </w:t>
      </w:r>
      <w:proofErr w:type="spellStart"/>
      <w:r w:rsidRPr="00926709">
        <w:rPr>
          <w:sz w:val="24"/>
          <w:szCs w:val="24"/>
        </w:rPr>
        <w:t>mmHg</w:t>
      </w:r>
      <w:proofErr w:type="spellEnd"/>
      <w:r w:rsidRPr="00926709">
        <w:rPr>
          <w:sz w:val="24"/>
          <w:szCs w:val="24"/>
        </w:rPr>
        <w:t xml:space="preserve"> i </w:t>
      </w:r>
      <w:proofErr w:type="spellStart"/>
      <w:r w:rsidRPr="00926709">
        <w:rPr>
          <w:sz w:val="24"/>
          <w:szCs w:val="24"/>
        </w:rPr>
        <w:t>timolol</w:t>
      </w:r>
      <w:proofErr w:type="spellEnd"/>
      <w:r w:rsidRPr="00926709">
        <w:rPr>
          <w:sz w:val="24"/>
          <w:szCs w:val="24"/>
        </w:rPr>
        <w:noBreakHyphen/>
        <w:t>vehikel</w:t>
      </w:r>
      <w:r w:rsidRPr="00926709">
        <w:rPr>
          <w:sz w:val="24"/>
          <w:szCs w:val="24"/>
        </w:rPr>
        <w:noBreakHyphen/>
        <w:t xml:space="preserve">gruppen. De konserverede og de </w:t>
      </w:r>
      <w:proofErr w:type="spellStart"/>
      <w:r w:rsidRPr="00926709">
        <w:rPr>
          <w:sz w:val="24"/>
          <w:szCs w:val="24"/>
        </w:rPr>
        <w:t>ukonserverede</w:t>
      </w:r>
      <w:proofErr w:type="spellEnd"/>
      <w:r w:rsidRPr="00926709">
        <w:rPr>
          <w:sz w:val="24"/>
          <w:szCs w:val="24"/>
        </w:rPr>
        <w:t xml:space="preserve"> formuleringer af </w:t>
      </w:r>
      <w:proofErr w:type="spellStart"/>
      <w:r w:rsidRPr="00926709">
        <w:rPr>
          <w:sz w:val="24"/>
          <w:szCs w:val="24"/>
        </w:rPr>
        <w:t>tafluprost</w:t>
      </w:r>
      <w:proofErr w:type="spellEnd"/>
      <w:r w:rsidRPr="00926709">
        <w:rPr>
          <w:sz w:val="24"/>
          <w:szCs w:val="24"/>
        </w:rPr>
        <w:t xml:space="preserve"> viste en lignende IOP</w:t>
      </w:r>
      <w:r w:rsidRPr="00926709">
        <w:rPr>
          <w:sz w:val="24"/>
          <w:szCs w:val="24"/>
        </w:rPr>
        <w:noBreakHyphen/>
        <w:t>sænkende virkning på over 5 </w:t>
      </w:r>
      <w:proofErr w:type="spellStart"/>
      <w:r w:rsidRPr="00926709">
        <w:rPr>
          <w:sz w:val="24"/>
          <w:szCs w:val="24"/>
        </w:rPr>
        <w:t>mmHg</w:t>
      </w:r>
      <w:proofErr w:type="spellEnd"/>
      <w:r w:rsidRPr="00926709">
        <w:rPr>
          <w:sz w:val="24"/>
          <w:szCs w:val="24"/>
        </w:rPr>
        <w:t xml:space="preserve"> i et lille tværstudie med en 4 ugers behandlingsperiode. Endvidere i et 3</w:t>
      </w:r>
      <w:r w:rsidRPr="00926709">
        <w:rPr>
          <w:sz w:val="24"/>
          <w:szCs w:val="24"/>
        </w:rPr>
        <w:noBreakHyphen/>
        <w:t xml:space="preserve">måneders studie i USA, der sammenlignede den </w:t>
      </w:r>
      <w:proofErr w:type="spellStart"/>
      <w:r w:rsidRPr="00926709">
        <w:rPr>
          <w:sz w:val="24"/>
          <w:szCs w:val="24"/>
        </w:rPr>
        <w:t>ukonserverede</w:t>
      </w:r>
      <w:proofErr w:type="spellEnd"/>
      <w:r w:rsidRPr="00926709">
        <w:rPr>
          <w:sz w:val="24"/>
          <w:szCs w:val="24"/>
        </w:rPr>
        <w:t xml:space="preserve"> formulering af </w:t>
      </w:r>
      <w:proofErr w:type="spellStart"/>
      <w:r w:rsidRPr="00926709">
        <w:rPr>
          <w:sz w:val="24"/>
          <w:szCs w:val="24"/>
        </w:rPr>
        <w:t>tafluprost</w:t>
      </w:r>
      <w:proofErr w:type="spellEnd"/>
      <w:r w:rsidRPr="00926709">
        <w:rPr>
          <w:sz w:val="24"/>
          <w:szCs w:val="24"/>
        </w:rPr>
        <w:t xml:space="preserve"> med den </w:t>
      </w:r>
      <w:proofErr w:type="spellStart"/>
      <w:r w:rsidRPr="00926709">
        <w:rPr>
          <w:sz w:val="24"/>
          <w:szCs w:val="24"/>
        </w:rPr>
        <w:t>ukonserverede</w:t>
      </w:r>
      <w:proofErr w:type="spellEnd"/>
      <w:r w:rsidRPr="00926709">
        <w:rPr>
          <w:sz w:val="24"/>
          <w:szCs w:val="24"/>
        </w:rPr>
        <w:t xml:space="preserve"> formulering af </w:t>
      </w:r>
      <w:proofErr w:type="spellStart"/>
      <w:r w:rsidRPr="00926709">
        <w:rPr>
          <w:sz w:val="24"/>
          <w:szCs w:val="24"/>
        </w:rPr>
        <w:t>timolol</w:t>
      </w:r>
      <w:proofErr w:type="spellEnd"/>
      <w:r w:rsidRPr="00926709">
        <w:rPr>
          <w:sz w:val="24"/>
          <w:szCs w:val="24"/>
        </w:rPr>
        <w:t>, var den IOP</w:t>
      </w:r>
      <w:r w:rsidRPr="00926709">
        <w:rPr>
          <w:sz w:val="24"/>
          <w:szCs w:val="24"/>
        </w:rPr>
        <w:noBreakHyphen/>
        <w:t xml:space="preserve">sænkende effekt af </w:t>
      </w:r>
      <w:proofErr w:type="spellStart"/>
      <w:r w:rsidRPr="00926709">
        <w:rPr>
          <w:sz w:val="24"/>
          <w:szCs w:val="24"/>
        </w:rPr>
        <w:t>tafluprost</w:t>
      </w:r>
      <w:proofErr w:type="spellEnd"/>
      <w:r w:rsidRPr="00926709">
        <w:rPr>
          <w:sz w:val="24"/>
          <w:szCs w:val="24"/>
        </w:rPr>
        <w:t xml:space="preserve"> mellem 6,2 og 7,4 </w:t>
      </w:r>
      <w:proofErr w:type="spellStart"/>
      <w:r w:rsidRPr="00926709">
        <w:rPr>
          <w:sz w:val="24"/>
          <w:szCs w:val="24"/>
        </w:rPr>
        <w:t>mmHg</w:t>
      </w:r>
      <w:proofErr w:type="spellEnd"/>
      <w:r w:rsidRPr="00926709">
        <w:rPr>
          <w:sz w:val="24"/>
          <w:szCs w:val="24"/>
        </w:rPr>
        <w:t xml:space="preserve"> på forskellige tidspunkter, hvorimod </w:t>
      </w:r>
      <w:proofErr w:type="spellStart"/>
      <w:r w:rsidRPr="00926709">
        <w:rPr>
          <w:sz w:val="24"/>
          <w:szCs w:val="24"/>
        </w:rPr>
        <w:t>timolols</w:t>
      </w:r>
      <w:proofErr w:type="spellEnd"/>
      <w:r w:rsidRPr="00926709">
        <w:rPr>
          <w:sz w:val="24"/>
          <w:szCs w:val="24"/>
        </w:rPr>
        <w:t xml:space="preserve"> varierede mellem 5,3 og 7,5 </w:t>
      </w:r>
      <w:proofErr w:type="spellStart"/>
      <w:r w:rsidRPr="00926709">
        <w:rPr>
          <w:sz w:val="24"/>
          <w:szCs w:val="24"/>
        </w:rPr>
        <w:t>mmHg</w:t>
      </w:r>
      <w:proofErr w:type="spellEnd"/>
      <w:r w:rsidRPr="00926709">
        <w:rPr>
          <w:sz w:val="24"/>
          <w:szCs w:val="24"/>
        </w:rPr>
        <w:t>.</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5.2</w:t>
      </w:r>
      <w:r w:rsidRPr="00926709">
        <w:rPr>
          <w:b/>
          <w:sz w:val="24"/>
          <w:szCs w:val="24"/>
        </w:rPr>
        <w:tab/>
        <w:t>Farmakokinetiske egenskaber</w:t>
      </w:r>
    </w:p>
    <w:p w:rsidR="00B76D2F" w:rsidRPr="00926709" w:rsidRDefault="00B76D2F" w:rsidP="00B76D2F">
      <w:pPr>
        <w:suppressAutoHyphens/>
        <w:ind w:left="851" w:hanging="851"/>
        <w:rPr>
          <w:sz w:val="24"/>
          <w:szCs w:val="24"/>
        </w:rPr>
      </w:pPr>
    </w:p>
    <w:p w:rsidR="00B76D2F" w:rsidRPr="00926709" w:rsidRDefault="00B76D2F" w:rsidP="00B76D2F">
      <w:pPr>
        <w:suppressAutoHyphens/>
        <w:ind w:left="851"/>
        <w:rPr>
          <w:sz w:val="24"/>
          <w:szCs w:val="24"/>
          <w:u w:val="single"/>
        </w:rPr>
      </w:pPr>
      <w:r w:rsidRPr="00926709">
        <w:rPr>
          <w:sz w:val="24"/>
          <w:szCs w:val="24"/>
          <w:u w:val="single"/>
        </w:rPr>
        <w:t>Absorption</w:t>
      </w:r>
    </w:p>
    <w:p w:rsidR="00B76D2F" w:rsidRPr="00926709" w:rsidRDefault="00B76D2F" w:rsidP="00B76D2F">
      <w:pPr>
        <w:suppressAutoHyphens/>
        <w:ind w:left="851"/>
        <w:rPr>
          <w:sz w:val="24"/>
          <w:szCs w:val="24"/>
        </w:rPr>
      </w:pPr>
      <w:r w:rsidRPr="00926709">
        <w:rPr>
          <w:sz w:val="24"/>
          <w:szCs w:val="24"/>
        </w:rPr>
        <w:t xml:space="preserve">Efter én daglig administration med én øjendråbe </w:t>
      </w:r>
      <w:proofErr w:type="spellStart"/>
      <w:r w:rsidRPr="00926709">
        <w:rPr>
          <w:sz w:val="24"/>
          <w:szCs w:val="24"/>
        </w:rPr>
        <w:t>ukonserveret</w:t>
      </w:r>
      <w:proofErr w:type="spellEnd"/>
      <w:r w:rsidRPr="00926709">
        <w:rPr>
          <w:sz w:val="24"/>
          <w:szCs w:val="24"/>
        </w:rPr>
        <w:t xml:space="preserve"> </w:t>
      </w:r>
      <w:proofErr w:type="spellStart"/>
      <w:r w:rsidRPr="00926709">
        <w:rPr>
          <w:sz w:val="24"/>
          <w:szCs w:val="24"/>
        </w:rPr>
        <w:t>tafluprost</w:t>
      </w:r>
      <w:proofErr w:type="spellEnd"/>
      <w:r w:rsidRPr="00926709">
        <w:rPr>
          <w:sz w:val="24"/>
          <w:szCs w:val="24"/>
        </w:rPr>
        <w:t xml:space="preserve"> 0,0015 % i begge øjne i 8 dage var plasmakoncentrationerne af </w:t>
      </w:r>
      <w:proofErr w:type="spellStart"/>
      <w:r w:rsidRPr="00926709">
        <w:rPr>
          <w:sz w:val="24"/>
          <w:szCs w:val="24"/>
        </w:rPr>
        <w:t>tafluprostsyre</w:t>
      </w:r>
      <w:proofErr w:type="spellEnd"/>
      <w:r w:rsidRPr="00926709">
        <w:rPr>
          <w:sz w:val="24"/>
          <w:szCs w:val="24"/>
        </w:rPr>
        <w:t xml:space="preserve"> lave og havde lignende profiler på dag 1 og 8. Plasmakoncentrationerne toppede 10 minutter efter dosering og faldt til under den laveste detekteringsgrænse (10 </w:t>
      </w:r>
      <w:proofErr w:type="spellStart"/>
      <w:r w:rsidRPr="00926709">
        <w:rPr>
          <w:sz w:val="24"/>
          <w:szCs w:val="24"/>
        </w:rPr>
        <w:t>pg</w:t>
      </w:r>
      <w:proofErr w:type="spellEnd"/>
      <w:r w:rsidRPr="00926709">
        <w:rPr>
          <w:sz w:val="24"/>
          <w:szCs w:val="24"/>
        </w:rPr>
        <w:t xml:space="preserve">/ml) før én time efter dosering. </w:t>
      </w:r>
      <w:proofErr w:type="spellStart"/>
      <w:r w:rsidRPr="00926709">
        <w:rPr>
          <w:sz w:val="24"/>
          <w:szCs w:val="24"/>
        </w:rPr>
        <w:t>C</w:t>
      </w:r>
      <w:r w:rsidRPr="00926709">
        <w:rPr>
          <w:sz w:val="24"/>
          <w:szCs w:val="24"/>
          <w:vertAlign w:val="subscript"/>
        </w:rPr>
        <w:t>max</w:t>
      </w:r>
      <w:proofErr w:type="spellEnd"/>
      <w:r w:rsidRPr="00926709">
        <w:rPr>
          <w:sz w:val="24"/>
          <w:szCs w:val="24"/>
        </w:rPr>
        <w:t xml:space="preserve"> (26,2 og 26,6 </w:t>
      </w:r>
      <w:proofErr w:type="spellStart"/>
      <w:r w:rsidRPr="00926709">
        <w:rPr>
          <w:sz w:val="24"/>
          <w:szCs w:val="24"/>
        </w:rPr>
        <w:t>pg</w:t>
      </w:r>
      <w:proofErr w:type="spellEnd"/>
      <w:r w:rsidRPr="00926709">
        <w:rPr>
          <w:sz w:val="24"/>
          <w:szCs w:val="24"/>
        </w:rPr>
        <w:t>/ml) og AUC</w:t>
      </w:r>
      <w:r w:rsidRPr="00926709">
        <w:rPr>
          <w:sz w:val="24"/>
          <w:szCs w:val="24"/>
          <w:vertAlign w:val="subscript"/>
        </w:rPr>
        <w:t xml:space="preserve">0-last </w:t>
      </w:r>
      <w:r w:rsidRPr="00926709">
        <w:rPr>
          <w:sz w:val="24"/>
          <w:szCs w:val="24"/>
        </w:rPr>
        <w:t>(394,3 og 431,9 </w:t>
      </w:r>
      <w:proofErr w:type="spellStart"/>
      <w:r w:rsidRPr="00926709">
        <w:rPr>
          <w:sz w:val="24"/>
          <w:szCs w:val="24"/>
        </w:rPr>
        <w:t>pg</w:t>
      </w:r>
      <w:proofErr w:type="spellEnd"/>
      <w:r w:rsidRPr="00926709">
        <w:rPr>
          <w:sz w:val="24"/>
          <w:szCs w:val="24"/>
        </w:rPr>
        <w:t xml:space="preserve">*min/ml) gennemsnitsværdierne var tilsvarende på dag 1 og 8 og indikerede, at der var opnået en stabil </w:t>
      </w:r>
      <w:r w:rsidR="00E37306">
        <w:rPr>
          <w:sz w:val="24"/>
          <w:szCs w:val="24"/>
        </w:rPr>
        <w:t>lægemiddelkoncentration</w:t>
      </w:r>
      <w:r w:rsidRPr="00926709">
        <w:rPr>
          <w:sz w:val="24"/>
          <w:szCs w:val="24"/>
        </w:rPr>
        <w:t xml:space="preserve"> i den første uge med </w:t>
      </w:r>
      <w:proofErr w:type="spellStart"/>
      <w:r w:rsidRPr="00926709">
        <w:rPr>
          <w:sz w:val="24"/>
          <w:szCs w:val="24"/>
        </w:rPr>
        <w:t>okulær</w:t>
      </w:r>
      <w:proofErr w:type="spellEnd"/>
      <w:r w:rsidRPr="00926709">
        <w:rPr>
          <w:sz w:val="24"/>
          <w:szCs w:val="24"/>
        </w:rPr>
        <w:t xml:space="preserve"> dosering. Der blev ikke detekteret statistisk signifikante forskelle i den systemiske biotilgængelighed mellem den konserverede og den </w:t>
      </w:r>
      <w:proofErr w:type="spellStart"/>
      <w:r w:rsidRPr="00926709">
        <w:rPr>
          <w:sz w:val="24"/>
          <w:szCs w:val="24"/>
        </w:rPr>
        <w:t>ukonserverede</w:t>
      </w:r>
      <w:proofErr w:type="spellEnd"/>
      <w:r w:rsidRPr="00926709">
        <w:rPr>
          <w:sz w:val="24"/>
          <w:szCs w:val="24"/>
        </w:rPr>
        <w:t xml:space="preserve"> formulering.</w:t>
      </w:r>
    </w:p>
    <w:p w:rsidR="00B76D2F" w:rsidRPr="00926709" w:rsidRDefault="00B76D2F" w:rsidP="00B76D2F">
      <w:pPr>
        <w:suppressAutoHyphens/>
        <w:ind w:left="851"/>
        <w:rPr>
          <w:sz w:val="24"/>
          <w:szCs w:val="24"/>
        </w:rPr>
      </w:pPr>
      <w:r w:rsidRPr="00926709">
        <w:rPr>
          <w:sz w:val="24"/>
          <w:szCs w:val="24"/>
        </w:rPr>
        <w:t xml:space="preserve">I et studie med kaniner var absorptionen af </w:t>
      </w:r>
      <w:proofErr w:type="spellStart"/>
      <w:r w:rsidRPr="00926709">
        <w:rPr>
          <w:sz w:val="24"/>
          <w:szCs w:val="24"/>
        </w:rPr>
        <w:t>tafluprost</w:t>
      </w:r>
      <w:proofErr w:type="spellEnd"/>
      <w:r w:rsidRPr="00926709">
        <w:rPr>
          <w:sz w:val="24"/>
          <w:szCs w:val="24"/>
        </w:rPr>
        <w:t xml:space="preserve"> i kammervandet sammenlignelig efter en enkelt </w:t>
      </w:r>
      <w:proofErr w:type="spellStart"/>
      <w:r w:rsidRPr="00926709">
        <w:rPr>
          <w:sz w:val="24"/>
          <w:szCs w:val="24"/>
        </w:rPr>
        <w:t>okulær</w:t>
      </w:r>
      <w:proofErr w:type="spellEnd"/>
      <w:r w:rsidRPr="00926709">
        <w:rPr>
          <w:sz w:val="24"/>
          <w:szCs w:val="24"/>
        </w:rPr>
        <w:t xml:space="preserve"> </w:t>
      </w:r>
      <w:proofErr w:type="spellStart"/>
      <w:r w:rsidRPr="00926709">
        <w:rPr>
          <w:sz w:val="24"/>
          <w:szCs w:val="24"/>
        </w:rPr>
        <w:t>inddrypning</w:t>
      </w:r>
      <w:proofErr w:type="spellEnd"/>
      <w:r w:rsidRPr="00926709">
        <w:rPr>
          <w:sz w:val="24"/>
          <w:szCs w:val="24"/>
        </w:rPr>
        <w:t xml:space="preserve"> med </w:t>
      </w:r>
      <w:proofErr w:type="spellStart"/>
      <w:r w:rsidRPr="00926709">
        <w:rPr>
          <w:sz w:val="24"/>
          <w:szCs w:val="24"/>
        </w:rPr>
        <w:t>ukonserveret</w:t>
      </w:r>
      <w:proofErr w:type="spellEnd"/>
      <w:r w:rsidRPr="00926709">
        <w:rPr>
          <w:sz w:val="24"/>
          <w:szCs w:val="24"/>
        </w:rPr>
        <w:t xml:space="preserve"> eller konserveret </w:t>
      </w:r>
      <w:proofErr w:type="spellStart"/>
      <w:r w:rsidRPr="00926709">
        <w:rPr>
          <w:sz w:val="24"/>
          <w:szCs w:val="24"/>
        </w:rPr>
        <w:t>tafluprost</w:t>
      </w:r>
      <w:proofErr w:type="spellEnd"/>
      <w:r w:rsidRPr="00926709">
        <w:rPr>
          <w:sz w:val="24"/>
          <w:szCs w:val="24"/>
        </w:rPr>
        <w:t xml:space="preserve"> 0,0015 % </w:t>
      </w:r>
      <w:proofErr w:type="spellStart"/>
      <w:r w:rsidRPr="00926709">
        <w:rPr>
          <w:sz w:val="24"/>
          <w:szCs w:val="24"/>
        </w:rPr>
        <w:t>oftalmisk</w:t>
      </w:r>
      <w:proofErr w:type="spellEnd"/>
      <w:r w:rsidRPr="00926709">
        <w:rPr>
          <w:sz w:val="24"/>
          <w:szCs w:val="24"/>
        </w:rPr>
        <w:t xml:space="preserve"> opløsning.</w:t>
      </w:r>
    </w:p>
    <w:p w:rsidR="00B76D2F" w:rsidRPr="00926709" w:rsidRDefault="00B76D2F" w:rsidP="00B76D2F">
      <w:pPr>
        <w:suppressAutoHyphens/>
        <w:ind w:left="851"/>
        <w:rPr>
          <w:sz w:val="24"/>
          <w:szCs w:val="24"/>
        </w:rPr>
      </w:pPr>
    </w:p>
    <w:p w:rsidR="00B76D2F" w:rsidRPr="00926709" w:rsidRDefault="00B76D2F" w:rsidP="00B76D2F">
      <w:pPr>
        <w:suppressAutoHyphens/>
        <w:ind w:left="851"/>
        <w:rPr>
          <w:sz w:val="24"/>
          <w:szCs w:val="24"/>
          <w:u w:val="single"/>
        </w:rPr>
      </w:pPr>
      <w:r w:rsidRPr="00926709">
        <w:rPr>
          <w:sz w:val="24"/>
          <w:szCs w:val="24"/>
          <w:u w:val="single"/>
        </w:rPr>
        <w:t>Fordeling</w:t>
      </w:r>
    </w:p>
    <w:p w:rsidR="00B76D2F" w:rsidRPr="00926709" w:rsidRDefault="00B76D2F" w:rsidP="00B76D2F">
      <w:pPr>
        <w:suppressAutoHyphens/>
        <w:ind w:left="851"/>
        <w:rPr>
          <w:sz w:val="24"/>
          <w:szCs w:val="24"/>
        </w:rPr>
      </w:pPr>
      <w:r w:rsidRPr="00926709">
        <w:rPr>
          <w:sz w:val="24"/>
          <w:szCs w:val="24"/>
        </w:rPr>
        <w:t xml:space="preserve">Hos aber var der ingen specifik fordeling af radioaktivt mærket </w:t>
      </w:r>
      <w:proofErr w:type="spellStart"/>
      <w:r w:rsidRPr="00926709">
        <w:rPr>
          <w:sz w:val="24"/>
          <w:szCs w:val="24"/>
        </w:rPr>
        <w:t>tafluprost</w:t>
      </w:r>
      <w:proofErr w:type="spellEnd"/>
      <w:r w:rsidRPr="00926709">
        <w:rPr>
          <w:sz w:val="24"/>
          <w:szCs w:val="24"/>
        </w:rPr>
        <w:t xml:space="preserve"> i den iris</w:t>
      </w:r>
      <w:r w:rsidRPr="00926709">
        <w:rPr>
          <w:sz w:val="24"/>
          <w:szCs w:val="24"/>
        </w:rPr>
        <w:noBreakHyphen/>
      </w:r>
      <w:proofErr w:type="spellStart"/>
      <w:r w:rsidRPr="00926709">
        <w:rPr>
          <w:sz w:val="24"/>
          <w:szCs w:val="24"/>
        </w:rPr>
        <w:t>ciliære</w:t>
      </w:r>
      <w:proofErr w:type="spellEnd"/>
      <w:r w:rsidRPr="00926709">
        <w:rPr>
          <w:sz w:val="24"/>
          <w:szCs w:val="24"/>
        </w:rPr>
        <w:t xml:space="preserve"> del eller i </w:t>
      </w:r>
      <w:proofErr w:type="spellStart"/>
      <w:r w:rsidRPr="00926709">
        <w:rPr>
          <w:sz w:val="24"/>
          <w:szCs w:val="24"/>
        </w:rPr>
        <w:t>choroidea</w:t>
      </w:r>
      <w:proofErr w:type="spellEnd"/>
      <w:r w:rsidRPr="00926709">
        <w:rPr>
          <w:sz w:val="24"/>
          <w:szCs w:val="24"/>
        </w:rPr>
        <w:t xml:space="preserve"> inklusive det </w:t>
      </w:r>
      <w:proofErr w:type="spellStart"/>
      <w:r w:rsidRPr="00926709">
        <w:rPr>
          <w:sz w:val="24"/>
          <w:szCs w:val="24"/>
        </w:rPr>
        <w:t>retinale</w:t>
      </w:r>
      <w:proofErr w:type="spellEnd"/>
      <w:r w:rsidRPr="00926709">
        <w:rPr>
          <w:sz w:val="24"/>
          <w:szCs w:val="24"/>
        </w:rPr>
        <w:t xml:space="preserve"> pigmentepitel, som indikerede en lav affinitet for melaninpigment. I et helkrops-</w:t>
      </w:r>
      <w:proofErr w:type="spellStart"/>
      <w:r w:rsidRPr="00926709">
        <w:rPr>
          <w:sz w:val="24"/>
          <w:szCs w:val="24"/>
        </w:rPr>
        <w:t>autoradiografistudie</w:t>
      </w:r>
      <w:proofErr w:type="spellEnd"/>
      <w:r w:rsidRPr="00926709">
        <w:rPr>
          <w:sz w:val="24"/>
          <w:szCs w:val="24"/>
        </w:rPr>
        <w:t xml:space="preserve"> med rotter observeredes den højeste koncentration af radioaktivitet i </w:t>
      </w:r>
      <w:proofErr w:type="spellStart"/>
      <w:r w:rsidRPr="00926709">
        <w:rPr>
          <w:sz w:val="24"/>
          <w:szCs w:val="24"/>
        </w:rPr>
        <w:t>cornea</w:t>
      </w:r>
      <w:proofErr w:type="spellEnd"/>
      <w:r w:rsidRPr="00926709">
        <w:rPr>
          <w:sz w:val="24"/>
          <w:szCs w:val="24"/>
        </w:rPr>
        <w:t xml:space="preserve"> efterfulgt af øjenlåg, </w:t>
      </w:r>
      <w:proofErr w:type="spellStart"/>
      <w:r w:rsidRPr="00926709">
        <w:rPr>
          <w:sz w:val="24"/>
          <w:szCs w:val="24"/>
        </w:rPr>
        <w:t>sclera</w:t>
      </w:r>
      <w:proofErr w:type="spellEnd"/>
      <w:r w:rsidRPr="00926709">
        <w:rPr>
          <w:sz w:val="24"/>
          <w:szCs w:val="24"/>
        </w:rPr>
        <w:t xml:space="preserve"> og iris. Uden for øjet fordeles radioaktiviteten til </w:t>
      </w:r>
      <w:proofErr w:type="spellStart"/>
      <w:r w:rsidRPr="00926709">
        <w:rPr>
          <w:sz w:val="24"/>
          <w:szCs w:val="24"/>
        </w:rPr>
        <w:t>apparatus</w:t>
      </w:r>
      <w:proofErr w:type="spellEnd"/>
      <w:r w:rsidRPr="00926709">
        <w:rPr>
          <w:sz w:val="24"/>
          <w:szCs w:val="24"/>
        </w:rPr>
        <w:t xml:space="preserve"> </w:t>
      </w:r>
      <w:proofErr w:type="spellStart"/>
      <w:r w:rsidRPr="00926709">
        <w:rPr>
          <w:sz w:val="24"/>
          <w:szCs w:val="24"/>
        </w:rPr>
        <w:t>lacrimalis</w:t>
      </w:r>
      <w:proofErr w:type="spellEnd"/>
      <w:r w:rsidRPr="00926709">
        <w:rPr>
          <w:sz w:val="24"/>
          <w:szCs w:val="24"/>
        </w:rPr>
        <w:t>, gane, spiserør og mave</w:t>
      </w:r>
      <w:r w:rsidRPr="00926709">
        <w:rPr>
          <w:sz w:val="24"/>
          <w:szCs w:val="24"/>
        </w:rPr>
        <w:noBreakHyphen/>
        <w:t>tarm</w:t>
      </w:r>
      <w:r w:rsidRPr="00926709">
        <w:rPr>
          <w:sz w:val="24"/>
          <w:szCs w:val="24"/>
        </w:rPr>
        <w:noBreakHyphen/>
        <w:t>kanal, nyrer, lever, galdeblære og urinblære.</w:t>
      </w:r>
    </w:p>
    <w:p w:rsidR="00B76D2F" w:rsidRPr="00926709" w:rsidRDefault="00B76D2F" w:rsidP="00B76D2F">
      <w:pPr>
        <w:suppressAutoHyphens/>
        <w:ind w:left="851"/>
        <w:rPr>
          <w:sz w:val="24"/>
          <w:szCs w:val="24"/>
        </w:rPr>
      </w:pPr>
    </w:p>
    <w:p w:rsidR="00B76D2F" w:rsidRPr="00926709" w:rsidRDefault="00B76D2F" w:rsidP="00B76D2F">
      <w:pPr>
        <w:suppressAutoHyphens/>
        <w:ind w:left="851"/>
        <w:rPr>
          <w:sz w:val="24"/>
          <w:szCs w:val="24"/>
        </w:rPr>
      </w:pPr>
      <w:r w:rsidRPr="00926709">
        <w:rPr>
          <w:sz w:val="24"/>
          <w:szCs w:val="24"/>
        </w:rPr>
        <w:t xml:space="preserve">Bindingen af </w:t>
      </w:r>
      <w:proofErr w:type="spellStart"/>
      <w:r w:rsidRPr="00926709">
        <w:rPr>
          <w:sz w:val="24"/>
          <w:szCs w:val="24"/>
        </w:rPr>
        <w:t>tafluprostsyre</w:t>
      </w:r>
      <w:proofErr w:type="spellEnd"/>
      <w:r w:rsidRPr="00926709">
        <w:rPr>
          <w:sz w:val="24"/>
          <w:szCs w:val="24"/>
        </w:rPr>
        <w:t xml:space="preserve"> til humant serumalbumin </w:t>
      </w:r>
      <w:r w:rsidRPr="00926709">
        <w:rPr>
          <w:i/>
          <w:sz w:val="24"/>
          <w:szCs w:val="24"/>
        </w:rPr>
        <w:t xml:space="preserve">in </w:t>
      </w:r>
      <w:proofErr w:type="spellStart"/>
      <w:r w:rsidRPr="00926709">
        <w:rPr>
          <w:i/>
          <w:sz w:val="24"/>
          <w:szCs w:val="24"/>
        </w:rPr>
        <w:t>vitro</w:t>
      </w:r>
      <w:proofErr w:type="spellEnd"/>
      <w:r w:rsidRPr="00926709">
        <w:rPr>
          <w:i/>
          <w:sz w:val="24"/>
          <w:szCs w:val="24"/>
        </w:rPr>
        <w:t xml:space="preserve"> </w:t>
      </w:r>
      <w:r w:rsidRPr="00926709">
        <w:rPr>
          <w:sz w:val="24"/>
          <w:szCs w:val="24"/>
        </w:rPr>
        <w:t>var 99 % ved 500 </w:t>
      </w:r>
      <w:proofErr w:type="spellStart"/>
      <w:r w:rsidRPr="00926709">
        <w:rPr>
          <w:sz w:val="24"/>
          <w:szCs w:val="24"/>
        </w:rPr>
        <w:t>ng</w:t>
      </w:r>
      <w:proofErr w:type="spellEnd"/>
      <w:r w:rsidRPr="00926709">
        <w:rPr>
          <w:sz w:val="24"/>
          <w:szCs w:val="24"/>
        </w:rPr>
        <w:t xml:space="preserve">/ml </w:t>
      </w:r>
      <w:proofErr w:type="spellStart"/>
      <w:r w:rsidRPr="00926709">
        <w:rPr>
          <w:sz w:val="24"/>
          <w:szCs w:val="24"/>
        </w:rPr>
        <w:t>tafluprostsyre</w:t>
      </w:r>
      <w:proofErr w:type="spellEnd"/>
      <w:r w:rsidRPr="00926709">
        <w:rPr>
          <w:sz w:val="24"/>
          <w:szCs w:val="24"/>
        </w:rPr>
        <w:t>.</w:t>
      </w:r>
    </w:p>
    <w:p w:rsidR="00B76D2F" w:rsidRPr="00926709" w:rsidRDefault="00B76D2F" w:rsidP="00B76D2F">
      <w:pPr>
        <w:suppressAutoHyphens/>
        <w:ind w:left="851"/>
        <w:rPr>
          <w:sz w:val="24"/>
          <w:szCs w:val="24"/>
        </w:rPr>
      </w:pPr>
    </w:p>
    <w:p w:rsidR="00B76D2F" w:rsidRPr="00926709" w:rsidRDefault="00B76D2F" w:rsidP="00B76D2F">
      <w:pPr>
        <w:ind w:left="851"/>
        <w:rPr>
          <w:sz w:val="24"/>
          <w:szCs w:val="24"/>
          <w:u w:val="single"/>
        </w:rPr>
      </w:pPr>
      <w:r w:rsidRPr="00926709">
        <w:rPr>
          <w:sz w:val="24"/>
          <w:szCs w:val="24"/>
          <w:u w:val="single"/>
        </w:rPr>
        <w:t>Biotransformation</w:t>
      </w:r>
    </w:p>
    <w:p w:rsidR="00B76D2F" w:rsidRDefault="00B76D2F" w:rsidP="00B76D2F">
      <w:pPr>
        <w:ind w:left="851"/>
        <w:rPr>
          <w:sz w:val="24"/>
          <w:szCs w:val="24"/>
        </w:rPr>
      </w:pPr>
      <w:r w:rsidRPr="00926709">
        <w:rPr>
          <w:sz w:val="24"/>
          <w:szCs w:val="24"/>
        </w:rPr>
        <w:t xml:space="preserve">Den vigtigste metaboliske vej for </w:t>
      </w:r>
      <w:proofErr w:type="spellStart"/>
      <w:r w:rsidRPr="00926709">
        <w:rPr>
          <w:sz w:val="24"/>
          <w:szCs w:val="24"/>
        </w:rPr>
        <w:t>tafluprost</w:t>
      </w:r>
      <w:proofErr w:type="spellEnd"/>
      <w:r w:rsidRPr="00926709">
        <w:rPr>
          <w:sz w:val="24"/>
          <w:szCs w:val="24"/>
        </w:rPr>
        <w:t xml:space="preserve"> hos mennesker, som blev testet </w:t>
      </w:r>
      <w:r w:rsidRPr="00926709">
        <w:rPr>
          <w:i/>
          <w:sz w:val="24"/>
          <w:szCs w:val="24"/>
        </w:rPr>
        <w:t xml:space="preserve">in </w:t>
      </w:r>
      <w:proofErr w:type="spellStart"/>
      <w:r w:rsidRPr="00926709">
        <w:rPr>
          <w:i/>
          <w:sz w:val="24"/>
          <w:szCs w:val="24"/>
        </w:rPr>
        <w:t>vitro</w:t>
      </w:r>
      <w:proofErr w:type="spellEnd"/>
      <w:r w:rsidRPr="00926709">
        <w:rPr>
          <w:sz w:val="24"/>
          <w:szCs w:val="24"/>
        </w:rPr>
        <w:t xml:space="preserve">, er hydrolyse til den farmakologisk aktive metabolit, </w:t>
      </w:r>
      <w:proofErr w:type="spellStart"/>
      <w:r w:rsidRPr="00926709">
        <w:rPr>
          <w:sz w:val="24"/>
          <w:szCs w:val="24"/>
        </w:rPr>
        <w:t>tafluprostsyre</w:t>
      </w:r>
      <w:proofErr w:type="spellEnd"/>
      <w:r w:rsidRPr="00926709">
        <w:rPr>
          <w:sz w:val="24"/>
          <w:szCs w:val="24"/>
        </w:rPr>
        <w:t xml:space="preserve">, som yderligere </w:t>
      </w:r>
      <w:proofErr w:type="spellStart"/>
      <w:r w:rsidRPr="00926709">
        <w:rPr>
          <w:sz w:val="24"/>
          <w:szCs w:val="24"/>
        </w:rPr>
        <w:t>metaboliseres</w:t>
      </w:r>
      <w:proofErr w:type="spellEnd"/>
      <w:r w:rsidRPr="00926709">
        <w:rPr>
          <w:sz w:val="24"/>
          <w:szCs w:val="24"/>
        </w:rPr>
        <w:t xml:space="preserve"> af </w:t>
      </w:r>
      <w:proofErr w:type="spellStart"/>
      <w:r w:rsidRPr="00926709">
        <w:rPr>
          <w:sz w:val="24"/>
          <w:szCs w:val="24"/>
        </w:rPr>
        <w:t>glucoronidation</w:t>
      </w:r>
      <w:proofErr w:type="spellEnd"/>
      <w:r w:rsidRPr="00926709">
        <w:rPr>
          <w:sz w:val="24"/>
          <w:szCs w:val="24"/>
        </w:rPr>
        <w:t xml:space="preserve"> eller betaoxidering. Produkter af betaoxidering, 1,2</w:t>
      </w:r>
      <w:r w:rsidRPr="00926709">
        <w:rPr>
          <w:sz w:val="24"/>
          <w:szCs w:val="24"/>
        </w:rPr>
        <w:noBreakHyphen/>
        <w:t>dinor og 1,2,3,4</w:t>
      </w:r>
      <w:r w:rsidRPr="00926709">
        <w:rPr>
          <w:sz w:val="24"/>
          <w:szCs w:val="24"/>
        </w:rPr>
        <w:noBreakHyphen/>
        <w:t xml:space="preserve">tetranor </w:t>
      </w:r>
      <w:proofErr w:type="spellStart"/>
      <w:r w:rsidRPr="00926709">
        <w:rPr>
          <w:sz w:val="24"/>
          <w:szCs w:val="24"/>
        </w:rPr>
        <w:t>tafluprostsyrer</w:t>
      </w:r>
      <w:proofErr w:type="spellEnd"/>
      <w:r w:rsidRPr="00926709">
        <w:rPr>
          <w:sz w:val="24"/>
          <w:szCs w:val="24"/>
        </w:rPr>
        <w:t xml:space="preserve">, som er farmakologisk inaktive, kan være </w:t>
      </w:r>
      <w:proofErr w:type="spellStart"/>
      <w:r w:rsidRPr="00926709">
        <w:rPr>
          <w:sz w:val="24"/>
          <w:szCs w:val="24"/>
        </w:rPr>
        <w:t>glucuronideret</w:t>
      </w:r>
      <w:proofErr w:type="spellEnd"/>
      <w:r w:rsidRPr="00926709">
        <w:rPr>
          <w:sz w:val="24"/>
          <w:szCs w:val="24"/>
        </w:rPr>
        <w:t xml:space="preserve"> eller </w:t>
      </w:r>
      <w:proofErr w:type="spellStart"/>
      <w:r w:rsidRPr="00926709">
        <w:rPr>
          <w:sz w:val="24"/>
          <w:szCs w:val="24"/>
        </w:rPr>
        <w:t>hydroxyleret</w:t>
      </w:r>
      <w:proofErr w:type="spellEnd"/>
      <w:r w:rsidRPr="00926709">
        <w:rPr>
          <w:sz w:val="24"/>
          <w:szCs w:val="24"/>
        </w:rPr>
        <w:t xml:space="preserve">. </w:t>
      </w:r>
      <w:proofErr w:type="spellStart"/>
      <w:r w:rsidRPr="00926709">
        <w:rPr>
          <w:sz w:val="24"/>
          <w:szCs w:val="24"/>
        </w:rPr>
        <w:t>Cytokrom</w:t>
      </w:r>
      <w:proofErr w:type="spellEnd"/>
      <w:r w:rsidRPr="00926709">
        <w:rPr>
          <w:sz w:val="24"/>
          <w:szCs w:val="24"/>
        </w:rPr>
        <w:t xml:space="preserve"> P450 (CYP) enzymsystemet er ikke involveret i metabolismen af </w:t>
      </w:r>
      <w:proofErr w:type="spellStart"/>
      <w:r w:rsidRPr="00926709">
        <w:rPr>
          <w:sz w:val="24"/>
          <w:szCs w:val="24"/>
        </w:rPr>
        <w:t>tafluprostsyre</w:t>
      </w:r>
      <w:proofErr w:type="spellEnd"/>
      <w:r w:rsidRPr="00926709">
        <w:rPr>
          <w:sz w:val="24"/>
          <w:szCs w:val="24"/>
        </w:rPr>
        <w:t xml:space="preserve">. Baseret på studiet af </w:t>
      </w:r>
      <w:proofErr w:type="spellStart"/>
      <w:r w:rsidRPr="00926709">
        <w:rPr>
          <w:sz w:val="24"/>
          <w:szCs w:val="24"/>
        </w:rPr>
        <w:t>corneavæv</w:t>
      </w:r>
      <w:proofErr w:type="spellEnd"/>
      <w:r w:rsidRPr="00926709">
        <w:rPr>
          <w:sz w:val="24"/>
          <w:szCs w:val="24"/>
        </w:rPr>
        <w:t xml:space="preserve"> hos kaniner og med rensede enzymer er </w:t>
      </w:r>
      <w:proofErr w:type="spellStart"/>
      <w:r w:rsidRPr="00926709">
        <w:rPr>
          <w:sz w:val="24"/>
          <w:szCs w:val="24"/>
        </w:rPr>
        <w:t>hovedesterasen</w:t>
      </w:r>
      <w:proofErr w:type="spellEnd"/>
      <w:r w:rsidRPr="00926709">
        <w:rPr>
          <w:sz w:val="24"/>
          <w:szCs w:val="24"/>
        </w:rPr>
        <w:t xml:space="preserve"> ansvarlig for esterhydrolyse til </w:t>
      </w:r>
      <w:proofErr w:type="spellStart"/>
      <w:r w:rsidRPr="00926709">
        <w:rPr>
          <w:sz w:val="24"/>
          <w:szCs w:val="24"/>
        </w:rPr>
        <w:t>tafluprostsyre</w:t>
      </w:r>
      <w:proofErr w:type="spellEnd"/>
      <w:r w:rsidRPr="00926709">
        <w:rPr>
          <w:sz w:val="24"/>
          <w:szCs w:val="24"/>
        </w:rPr>
        <w:t xml:space="preserve"> </w:t>
      </w:r>
      <w:proofErr w:type="spellStart"/>
      <w:r w:rsidRPr="00926709">
        <w:rPr>
          <w:sz w:val="24"/>
          <w:szCs w:val="24"/>
        </w:rPr>
        <w:lastRenderedPageBreak/>
        <w:t>carboxylesterase</w:t>
      </w:r>
      <w:proofErr w:type="spellEnd"/>
      <w:r w:rsidRPr="00926709">
        <w:rPr>
          <w:sz w:val="24"/>
          <w:szCs w:val="24"/>
        </w:rPr>
        <w:t xml:space="preserve">. </w:t>
      </w:r>
      <w:proofErr w:type="spellStart"/>
      <w:r w:rsidRPr="00926709">
        <w:rPr>
          <w:sz w:val="24"/>
          <w:szCs w:val="24"/>
        </w:rPr>
        <w:t>Butylcholinesterase</w:t>
      </w:r>
      <w:proofErr w:type="spellEnd"/>
      <w:r w:rsidRPr="00926709">
        <w:rPr>
          <w:sz w:val="24"/>
          <w:szCs w:val="24"/>
        </w:rPr>
        <w:t xml:space="preserve">, men ikke </w:t>
      </w:r>
      <w:proofErr w:type="spellStart"/>
      <w:r w:rsidRPr="00926709">
        <w:rPr>
          <w:sz w:val="24"/>
          <w:szCs w:val="24"/>
        </w:rPr>
        <w:t>acetylcholinesterase</w:t>
      </w:r>
      <w:proofErr w:type="spellEnd"/>
      <w:r w:rsidRPr="00926709">
        <w:rPr>
          <w:sz w:val="24"/>
          <w:szCs w:val="24"/>
        </w:rPr>
        <w:t xml:space="preserve">, kan også bidrage til hydrolysen. </w:t>
      </w:r>
    </w:p>
    <w:p w:rsidR="00B76D2F" w:rsidRPr="00926709" w:rsidRDefault="00B76D2F" w:rsidP="00B76D2F">
      <w:pPr>
        <w:ind w:left="851"/>
        <w:rPr>
          <w:sz w:val="24"/>
          <w:szCs w:val="24"/>
        </w:rPr>
      </w:pPr>
    </w:p>
    <w:p w:rsidR="00B76D2F" w:rsidRPr="00926709" w:rsidRDefault="00B76D2F" w:rsidP="00B76D2F">
      <w:pPr>
        <w:ind w:left="851"/>
        <w:rPr>
          <w:sz w:val="24"/>
          <w:szCs w:val="24"/>
          <w:u w:val="single"/>
        </w:rPr>
      </w:pPr>
      <w:r w:rsidRPr="00926709">
        <w:rPr>
          <w:sz w:val="24"/>
          <w:szCs w:val="24"/>
          <w:u w:val="single"/>
        </w:rPr>
        <w:t>Elimination</w:t>
      </w:r>
    </w:p>
    <w:p w:rsidR="00B76D2F" w:rsidRPr="00926709" w:rsidRDefault="00B76D2F" w:rsidP="00B76D2F">
      <w:pPr>
        <w:ind w:left="851"/>
        <w:rPr>
          <w:sz w:val="24"/>
          <w:szCs w:val="24"/>
        </w:rPr>
      </w:pPr>
      <w:r w:rsidRPr="00926709">
        <w:rPr>
          <w:sz w:val="24"/>
          <w:szCs w:val="24"/>
        </w:rPr>
        <w:t xml:space="preserve">Efter administration af </w:t>
      </w:r>
      <w:r w:rsidRPr="00926709">
        <w:rPr>
          <w:sz w:val="24"/>
          <w:szCs w:val="24"/>
          <w:vertAlign w:val="superscript"/>
        </w:rPr>
        <w:t>3</w:t>
      </w:r>
      <w:r w:rsidRPr="00926709">
        <w:rPr>
          <w:sz w:val="24"/>
          <w:szCs w:val="24"/>
        </w:rPr>
        <w:t>H</w:t>
      </w:r>
      <w:r w:rsidRPr="00926709">
        <w:rPr>
          <w:sz w:val="24"/>
          <w:szCs w:val="24"/>
        </w:rPr>
        <w:noBreakHyphen/>
        <w:t xml:space="preserve">tafluprost (0,005 % </w:t>
      </w:r>
      <w:proofErr w:type="spellStart"/>
      <w:r w:rsidRPr="00926709">
        <w:rPr>
          <w:sz w:val="24"/>
          <w:szCs w:val="24"/>
        </w:rPr>
        <w:t>oftalmisk</w:t>
      </w:r>
      <w:proofErr w:type="spellEnd"/>
      <w:r w:rsidRPr="00926709">
        <w:rPr>
          <w:sz w:val="24"/>
          <w:szCs w:val="24"/>
        </w:rPr>
        <w:t xml:space="preserve"> opløsning; 5 </w:t>
      </w:r>
      <w:proofErr w:type="spellStart"/>
      <w:r w:rsidRPr="00926709">
        <w:rPr>
          <w:sz w:val="24"/>
          <w:szCs w:val="24"/>
        </w:rPr>
        <w:t>μl</w:t>
      </w:r>
      <w:proofErr w:type="spellEnd"/>
      <w:r w:rsidRPr="00926709">
        <w:rPr>
          <w:sz w:val="24"/>
          <w:szCs w:val="24"/>
        </w:rPr>
        <w:t xml:space="preserve">/øje) én gang daglig i 21 dage i begge øjne hos rotter, blev ca. 87 % af den totale radioaktive dosis genfundet i </w:t>
      </w:r>
      <w:proofErr w:type="spellStart"/>
      <w:r w:rsidRPr="00926709">
        <w:rPr>
          <w:sz w:val="24"/>
          <w:szCs w:val="24"/>
        </w:rPr>
        <w:t>ekskret</w:t>
      </w:r>
      <w:proofErr w:type="spellEnd"/>
      <w:r w:rsidRPr="00926709">
        <w:rPr>
          <w:sz w:val="24"/>
          <w:szCs w:val="24"/>
        </w:rPr>
        <w:t>. Procentdelen af den totale dosis udskilt i urin var ca. 27</w:t>
      </w:r>
      <w:r w:rsidRPr="00926709">
        <w:rPr>
          <w:sz w:val="24"/>
          <w:szCs w:val="24"/>
        </w:rPr>
        <w:noBreakHyphen/>
        <w:t>38 % og ca. 44</w:t>
      </w:r>
      <w:r w:rsidRPr="00926709">
        <w:rPr>
          <w:sz w:val="24"/>
          <w:szCs w:val="24"/>
        </w:rPr>
        <w:noBreakHyphen/>
        <w:t>58 % af dosen blev udskilt i fæces.</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5.3</w:t>
      </w:r>
      <w:r w:rsidRPr="00926709">
        <w:rPr>
          <w:b/>
          <w:sz w:val="24"/>
          <w:szCs w:val="24"/>
        </w:rPr>
        <w:tab/>
      </w:r>
      <w:r w:rsidR="00FB3C75">
        <w:rPr>
          <w:b/>
          <w:sz w:val="24"/>
          <w:szCs w:val="24"/>
        </w:rPr>
        <w:t>Non-</w:t>
      </w:r>
      <w:r w:rsidRPr="00926709">
        <w:rPr>
          <w:b/>
          <w:sz w:val="24"/>
          <w:szCs w:val="24"/>
        </w:rPr>
        <w:t>kliniske sikkerhedsdata</w:t>
      </w:r>
    </w:p>
    <w:p w:rsidR="00B76D2F" w:rsidRPr="00926709" w:rsidRDefault="00B76D2F" w:rsidP="00B76D2F">
      <w:pPr>
        <w:numPr>
          <w:ilvl w:val="12"/>
          <w:numId w:val="0"/>
        </w:numPr>
        <w:ind w:left="851" w:right="11"/>
        <w:rPr>
          <w:sz w:val="24"/>
          <w:szCs w:val="24"/>
        </w:rPr>
      </w:pPr>
      <w:r w:rsidRPr="00926709">
        <w:rPr>
          <w:sz w:val="24"/>
          <w:szCs w:val="24"/>
        </w:rPr>
        <w:t xml:space="preserve">Prækliniske data viser ingen speciel risiko for mennesker vurderet ud fra konventionelle studier af sikkerhedsfarmakologi, toksicitet efter systemisk gentagne doser, genotoksicitet og </w:t>
      </w:r>
      <w:proofErr w:type="spellStart"/>
      <w:r w:rsidRPr="00926709">
        <w:rPr>
          <w:sz w:val="24"/>
          <w:szCs w:val="24"/>
        </w:rPr>
        <w:t>karcinogent</w:t>
      </w:r>
      <w:proofErr w:type="spellEnd"/>
      <w:r w:rsidRPr="00926709">
        <w:rPr>
          <w:sz w:val="24"/>
          <w:szCs w:val="24"/>
        </w:rPr>
        <w:t xml:space="preserve"> potentiale. Som med andre PGF2</w:t>
      </w:r>
      <w:r w:rsidRPr="00926709">
        <w:rPr>
          <w:sz w:val="24"/>
          <w:szCs w:val="24"/>
        </w:rPr>
        <w:noBreakHyphen/>
        <w:t xml:space="preserve">agonister producerede gentagen dosis af topisk </w:t>
      </w:r>
      <w:proofErr w:type="spellStart"/>
      <w:r w:rsidRPr="00926709">
        <w:rPr>
          <w:sz w:val="24"/>
          <w:szCs w:val="24"/>
        </w:rPr>
        <w:t>okulær</w:t>
      </w:r>
      <w:proofErr w:type="spellEnd"/>
      <w:r w:rsidRPr="00926709">
        <w:rPr>
          <w:sz w:val="24"/>
          <w:szCs w:val="24"/>
        </w:rPr>
        <w:t xml:space="preserve"> administration af </w:t>
      </w:r>
      <w:proofErr w:type="spellStart"/>
      <w:r w:rsidRPr="00926709">
        <w:rPr>
          <w:sz w:val="24"/>
          <w:szCs w:val="24"/>
        </w:rPr>
        <w:t>tafluprost</w:t>
      </w:r>
      <w:proofErr w:type="spellEnd"/>
      <w:r w:rsidRPr="00926709">
        <w:rPr>
          <w:sz w:val="24"/>
          <w:szCs w:val="24"/>
        </w:rPr>
        <w:t xml:space="preserve"> hos aber irreversible virkninger på irispigmenteringen og reversibel forstørrelse af øjenspalten. </w:t>
      </w:r>
    </w:p>
    <w:p w:rsidR="00B76D2F" w:rsidRPr="00926709" w:rsidRDefault="00B76D2F" w:rsidP="00B76D2F">
      <w:pPr>
        <w:numPr>
          <w:ilvl w:val="12"/>
          <w:numId w:val="0"/>
        </w:numPr>
        <w:ind w:left="851" w:right="11" w:hanging="851"/>
        <w:rPr>
          <w:sz w:val="24"/>
          <w:szCs w:val="24"/>
        </w:rPr>
      </w:pPr>
    </w:p>
    <w:p w:rsidR="00B76D2F" w:rsidRPr="00926709" w:rsidRDefault="00B76D2F" w:rsidP="00B76D2F">
      <w:pPr>
        <w:numPr>
          <w:ilvl w:val="12"/>
          <w:numId w:val="0"/>
        </w:numPr>
        <w:ind w:left="851" w:right="11"/>
        <w:rPr>
          <w:sz w:val="24"/>
          <w:szCs w:val="24"/>
        </w:rPr>
      </w:pPr>
      <w:r w:rsidRPr="00926709">
        <w:rPr>
          <w:sz w:val="24"/>
          <w:szCs w:val="24"/>
        </w:rPr>
        <w:t xml:space="preserve">Der blev observeret forøget sammentrækning af uterus hos rotte og kanin </w:t>
      </w:r>
      <w:r w:rsidRPr="00926709">
        <w:rPr>
          <w:i/>
          <w:iCs/>
          <w:sz w:val="24"/>
          <w:szCs w:val="24"/>
        </w:rPr>
        <w:t xml:space="preserve">in </w:t>
      </w:r>
      <w:proofErr w:type="spellStart"/>
      <w:r w:rsidRPr="00926709">
        <w:rPr>
          <w:i/>
          <w:iCs/>
          <w:sz w:val="24"/>
          <w:szCs w:val="24"/>
        </w:rPr>
        <w:t>vitro</w:t>
      </w:r>
      <w:proofErr w:type="spellEnd"/>
      <w:r w:rsidRPr="00926709">
        <w:rPr>
          <w:i/>
          <w:iCs/>
          <w:sz w:val="24"/>
          <w:szCs w:val="24"/>
        </w:rPr>
        <w:t xml:space="preserve"> </w:t>
      </w:r>
      <w:r w:rsidRPr="00926709">
        <w:rPr>
          <w:sz w:val="24"/>
          <w:szCs w:val="24"/>
        </w:rPr>
        <w:t xml:space="preserve">ved </w:t>
      </w:r>
      <w:proofErr w:type="spellStart"/>
      <w:r w:rsidRPr="00926709">
        <w:rPr>
          <w:sz w:val="24"/>
          <w:szCs w:val="24"/>
        </w:rPr>
        <w:t>tafluprostsyrekoncentrationer</w:t>
      </w:r>
      <w:proofErr w:type="spellEnd"/>
      <w:r w:rsidRPr="00926709">
        <w:rPr>
          <w:sz w:val="24"/>
          <w:szCs w:val="24"/>
        </w:rPr>
        <w:t xml:space="preserve">, der overskred hhv. 4 til 40 gange de maksimale plasmakoncentrationer af </w:t>
      </w:r>
      <w:proofErr w:type="spellStart"/>
      <w:r w:rsidRPr="00926709">
        <w:rPr>
          <w:sz w:val="24"/>
          <w:szCs w:val="24"/>
        </w:rPr>
        <w:t>tafluprostsyre</w:t>
      </w:r>
      <w:proofErr w:type="spellEnd"/>
      <w:r w:rsidRPr="00926709">
        <w:rPr>
          <w:sz w:val="24"/>
          <w:szCs w:val="24"/>
        </w:rPr>
        <w:t xml:space="preserve"> hos mennesker. </w:t>
      </w:r>
      <w:proofErr w:type="spellStart"/>
      <w:r w:rsidRPr="00926709">
        <w:rPr>
          <w:sz w:val="24"/>
          <w:szCs w:val="24"/>
        </w:rPr>
        <w:t>Uterotonisk</w:t>
      </w:r>
      <w:proofErr w:type="spellEnd"/>
      <w:r w:rsidRPr="00926709">
        <w:rPr>
          <w:sz w:val="24"/>
          <w:szCs w:val="24"/>
        </w:rPr>
        <w:t xml:space="preserve"> aktivitet af </w:t>
      </w:r>
      <w:proofErr w:type="spellStart"/>
      <w:r w:rsidRPr="00926709">
        <w:rPr>
          <w:sz w:val="24"/>
          <w:szCs w:val="24"/>
        </w:rPr>
        <w:t>tafluprost</w:t>
      </w:r>
      <w:proofErr w:type="spellEnd"/>
      <w:r w:rsidRPr="00926709">
        <w:rPr>
          <w:sz w:val="24"/>
          <w:szCs w:val="24"/>
        </w:rPr>
        <w:t xml:space="preserve"> er ikke blevet testet i humane uterus</w:t>
      </w:r>
      <w:r w:rsidRPr="00926709">
        <w:rPr>
          <w:sz w:val="24"/>
          <w:szCs w:val="24"/>
        </w:rPr>
        <w:noBreakHyphen/>
        <w:t xml:space="preserve">præparater. </w:t>
      </w:r>
    </w:p>
    <w:p w:rsidR="00B76D2F" w:rsidRPr="00926709" w:rsidRDefault="00B76D2F" w:rsidP="00B76D2F">
      <w:pPr>
        <w:numPr>
          <w:ilvl w:val="12"/>
          <w:numId w:val="0"/>
        </w:numPr>
        <w:ind w:left="851" w:right="11" w:hanging="851"/>
        <w:rPr>
          <w:sz w:val="24"/>
          <w:szCs w:val="24"/>
        </w:rPr>
      </w:pPr>
    </w:p>
    <w:p w:rsidR="00B76D2F" w:rsidRPr="00926709" w:rsidRDefault="00B76D2F" w:rsidP="00B76D2F">
      <w:pPr>
        <w:numPr>
          <w:ilvl w:val="12"/>
          <w:numId w:val="0"/>
        </w:numPr>
        <w:ind w:left="851" w:right="11"/>
        <w:rPr>
          <w:sz w:val="24"/>
          <w:szCs w:val="24"/>
        </w:rPr>
      </w:pPr>
      <w:r w:rsidRPr="00926709">
        <w:rPr>
          <w:sz w:val="24"/>
          <w:szCs w:val="24"/>
        </w:rPr>
        <w:t xml:space="preserve">Der blev foretaget reproduktionstoksicitetsstudier hos rotter og kaniner med intravenøs administration. Hos rotter blev der ikke observeret bivirkninger på fertilitet eller tidlig fosterudvikling ved systemisk eksponering over 12.000 gange den maksimale kliniske eksponering baseret på </w:t>
      </w:r>
      <w:proofErr w:type="spellStart"/>
      <w:r w:rsidRPr="00926709">
        <w:rPr>
          <w:sz w:val="24"/>
          <w:szCs w:val="24"/>
        </w:rPr>
        <w:t>C</w:t>
      </w:r>
      <w:r w:rsidRPr="00926709">
        <w:rPr>
          <w:sz w:val="24"/>
          <w:szCs w:val="24"/>
          <w:vertAlign w:val="subscript"/>
        </w:rPr>
        <w:t>max</w:t>
      </w:r>
      <w:proofErr w:type="spellEnd"/>
      <w:r w:rsidRPr="00926709">
        <w:rPr>
          <w:sz w:val="24"/>
          <w:szCs w:val="24"/>
        </w:rPr>
        <w:t xml:space="preserve"> eller mere end 2.200 gange baseret på AUC. </w:t>
      </w:r>
    </w:p>
    <w:p w:rsidR="00B76D2F" w:rsidRPr="00926709" w:rsidRDefault="00B76D2F" w:rsidP="00B76D2F">
      <w:pPr>
        <w:numPr>
          <w:ilvl w:val="12"/>
          <w:numId w:val="0"/>
        </w:numPr>
        <w:ind w:left="851" w:right="11" w:hanging="851"/>
        <w:rPr>
          <w:sz w:val="24"/>
          <w:szCs w:val="24"/>
        </w:rPr>
      </w:pPr>
    </w:p>
    <w:p w:rsidR="00B76D2F" w:rsidRPr="00926709" w:rsidRDefault="00B76D2F" w:rsidP="00B76D2F">
      <w:pPr>
        <w:numPr>
          <w:ilvl w:val="12"/>
          <w:numId w:val="0"/>
        </w:numPr>
        <w:ind w:left="851" w:right="11"/>
        <w:rPr>
          <w:sz w:val="24"/>
          <w:szCs w:val="24"/>
        </w:rPr>
      </w:pPr>
      <w:r w:rsidRPr="00926709">
        <w:rPr>
          <w:sz w:val="24"/>
          <w:szCs w:val="24"/>
        </w:rPr>
        <w:t xml:space="preserve">I konventionelle fosterudviklingsstudier forårsagede </w:t>
      </w:r>
      <w:proofErr w:type="spellStart"/>
      <w:r w:rsidRPr="00926709">
        <w:rPr>
          <w:sz w:val="24"/>
          <w:szCs w:val="24"/>
        </w:rPr>
        <w:t>tafluprost</w:t>
      </w:r>
      <w:proofErr w:type="spellEnd"/>
      <w:r w:rsidRPr="00926709">
        <w:rPr>
          <w:sz w:val="24"/>
          <w:szCs w:val="24"/>
        </w:rPr>
        <w:t xml:space="preserve"> reduktioner i </w:t>
      </w:r>
      <w:proofErr w:type="spellStart"/>
      <w:r w:rsidRPr="00926709">
        <w:rPr>
          <w:sz w:val="24"/>
          <w:szCs w:val="24"/>
        </w:rPr>
        <w:t>føtal</w:t>
      </w:r>
      <w:proofErr w:type="spellEnd"/>
      <w:r w:rsidRPr="00926709">
        <w:rPr>
          <w:sz w:val="24"/>
          <w:szCs w:val="24"/>
        </w:rPr>
        <w:t xml:space="preserve"> kropsvægt og øgede postimplantationstab. </w:t>
      </w:r>
      <w:proofErr w:type="spellStart"/>
      <w:r w:rsidRPr="00926709">
        <w:rPr>
          <w:sz w:val="24"/>
          <w:szCs w:val="24"/>
        </w:rPr>
        <w:t>Tafluprost</w:t>
      </w:r>
      <w:proofErr w:type="spellEnd"/>
      <w:r w:rsidRPr="00926709">
        <w:rPr>
          <w:sz w:val="24"/>
          <w:szCs w:val="24"/>
        </w:rPr>
        <w:t xml:space="preserve"> forøgede forekomsten af skeletabnormiteter hos rotter såvel som forekomsten af misdannelser i kranium, hjerne og rygsøjle hos kaniner. I kaninstudiet var plasmaniveauerne for </w:t>
      </w:r>
      <w:proofErr w:type="spellStart"/>
      <w:r w:rsidRPr="00926709">
        <w:rPr>
          <w:sz w:val="24"/>
          <w:szCs w:val="24"/>
        </w:rPr>
        <w:t>tafluprost</w:t>
      </w:r>
      <w:proofErr w:type="spellEnd"/>
      <w:r w:rsidRPr="00926709">
        <w:rPr>
          <w:sz w:val="24"/>
          <w:szCs w:val="24"/>
        </w:rPr>
        <w:t xml:space="preserve"> og de tilhørende metabolitter under kvantificeringsniveauet.</w:t>
      </w:r>
    </w:p>
    <w:p w:rsidR="00B76D2F" w:rsidRPr="00926709" w:rsidRDefault="00B76D2F" w:rsidP="00B76D2F">
      <w:pPr>
        <w:numPr>
          <w:ilvl w:val="12"/>
          <w:numId w:val="0"/>
        </w:numPr>
        <w:ind w:left="851" w:right="11" w:hanging="851"/>
        <w:rPr>
          <w:sz w:val="24"/>
          <w:szCs w:val="24"/>
        </w:rPr>
      </w:pPr>
    </w:p>
    <w:p w:rsidR="00B76D2F" w:rsidRPr="00926709" w:rsidRDefault="00B76D2F" w:rsidP="00B76D2F">
      <w:pPr>
        <w:numPr>
          <w:ilvl w:val="12"/>
          <w:numId w:val="0"/>
        </w:numPr>
        <w:ind w:left="851" w:right="11"/>
        <w:rPr>
          <w:sz w:val="24"/>
          <w:szCs w:val="24"/>
        </w:rPr>
      </w:pPr>
      <w:r w:rsidRPr="00926709">
        <w:rPr>
          <w:sz w:val="24"/>
          <w:szCs w:val="24"/>
        </w:rPr>
        <w:t xml:space="preserve">I et præ- og </w:t>
      </w:r>
      <w:proofErr w:type="spellStart"/>
      <w:r w:rsidRPr="00926709">
        <w:rPr>
          <w:sz w:val="24"/>
          <w:szCs w:val="24"/>
        </w:rPr>
        <w:t>postnatalt</w:t>
      </w:r>
      <w:proofErr w:type="spellEnd"/>
      <w:r w:rsidRPr="00926709">
        <w:rPr>
          <w:sz w:val="24"/>
          <w:szCs w:val="24"/>
        </w:rPr>
        <w:t xml:space="preserve"> udviklingsstudie med rotter blev der observeret øget mortalitet af nyfødte, lavere kropsvægt og forsinket udfoldning af det ydre øre hos afkom ved </w:t>
      </w:r>
      <w:proofErr w:type="spellStart"/>
      <w:r w:rsidRPr="00926709">
        <w:rPr>
          <w:sz w:val="24"/>
          <w:szCs w:val="24"/>
        </w:rPr>
        <w:t>tafluprostdoser</w:t>
      </w:r>
      <w:proofErr w:type="spellEnd"/>
      <w:r w:rsidRPr="00926709">
        <w:rPr>
          <w:sz w:val="24"/>
          <w:szCs w:val="24"/>
        </w:rPr>
        <w:t xml:space="preserve">, der var 20 gange større end den kliniske dosis. </w:t>
      </w:r>
    </w:p>
    <w:p w:rsidR="00B76D2F" w:rsidRPr="00926709" w:rsidRDefault="00B76D2F" w:rsidP="00B76D2F">
      <w:pPr>
        <w:numPr>
          <w:ilvl w:val="12"/>
          <w:numId w:val="0"/>
        </w:numPr>
        <w:ind w:left="851" w:right="11" w:hanging="851"/>
        <w:rPr>
          <w:sz w:val="24"/>
          <w:szCs w:val="24"/>
        </w:rPr>
      </w:pPr>
    </w:p>
    <w:p w:rsidR="00B76D2F" w:rsidRPr="00926709" w:rsidRDefault="00B76D2F" w:rsidP="00B76D2F">
      <w:pPr>
        <w:numPr>
          <w:ilvl w:val="12"/>
          <w:numId w:val="0"/>
        </w:numPr>
        <w:ind w:left="851" w:right="11"/>
        <w:rPr>
          <w:sz w:val="24"/>
          <w:szCs w:val="24"/>
        </w:rPr>
      </w:pPr>
      <w:r w:rsidRPr="00926709">
        <w:rPr>
          <w:sz w:val="24"/>
          <w:szCs w:val="24"/>
        </w:rPr>
        <w:t xml:space="preserve">Rottestudierne med radioaktivt mærket </w:t>
      </w:r>
      <w:proofErr w:type="spellStart"/>
      <w:r w:rsidRPr="00926709">
        <w:rPr>
          <w:sz w:val="24"/>
          <w:szCs w:val="24"/>
        </w:rPr>
        <w:t>tafluprost</w:t>
      </w:r>
      <w:proofErr w:type="spellEnd"/>
      <w:r w:rsidRPr="00926709">
        <w:rPr>
          <w:sz w:val="24"/>
          <w:szCs w:val="24"/>
        </w:rPr>
        <w:t xml:space="preserve"> viste, at ca. 0,1 % af den topisk anvendte dosis i øjnene blev overført til mælk. Da den aktive metabolits (</w:t>
      </w:r>
      <w:proofErr w:type="spellStart"/>
      <w:r w:rsidRPr="00926709">
        <w:rPr>
          <w:sz w:val="24"/>
          <w:szCs w:val="24"/>
        </w:rPr>
        <w:t>tafluprostsyres</w:t>
      </w:r>
      <w:proofErr w:type="spellEnd"/>
      <w:r w:rsidRPr="00926709">
        <w:rPr>
          <w:sz w:val="24"/>
          <w:szCs w:val="24"/>
        </w:rPr>
        <w:t xml:space="preserve">) halveringstid i plasma er meget kort (ikke sporbar efter 30 minutter hos mennesker), repræsenterede det meste af radioaktiviteten sandsynligvis metabolitter med lille eller ingen farmakologisk aktivitet. Baseret på lægemidlets metabolisme og naturlige </w:t>
      </w:r>
      <w:proofErr w:type="spellStart"/>
      <w:r w:rsidRPr="00926709">
        <w:rPr>
          <w:sz w:val="24"/>
          <w:szCs w:val="24"/>
        </w:rPr>
        <w:t>prostaglandiner</w:t>
      </w:r>
      <w:proofErr w:type="spellEnd"/>
      <w:r w:rsidRPr="00926709">
        <w:rPr>
          <w:sz w:val="24"/>
          <w:szCs w:val="24"/>
        </w:rPr>
        <w:t xml:space="preserve"> forventes den orale biotilgængelighed at være meget lav.</w:t>
      </w:r>
    </w:p>
    <w:p w:rsidR="00B76D2F" w:rsidRPr="00926709" w:rsidRDefault="00B76D2F" w:rsidP="00B76D2F">
      <w:pPr>
        <w:ind w:left="851" w:hanging="851"/>
        <w:rPr>
          <w:sz w:val="24"/>
          <w:szCs w:val="24"/>
        </w:rPr>
      </w:pP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6.</w:t>
      </w:r>
      <w:r w:rsidRPr="00926709">
        <w:rPr>
          <w:b/>
          <w:sz w:val="24"/>
          <w:szCs w:val="24"/>
        </w:rPr>
        <w:tab/>
        <w:t>FARMACEUTISKE OPLYSNINGER</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6.1</w:t>
      </w:r>
      <w:r w:rsidRPr="00926709">
        <w:rPr>
          <w:b/>
          <w:sz w:val="24"/>
          <w:szCs w:val="24"/>
        </w:rPr>
        <w:tab/>
        <w:t>Hjælpestoffer</w:t>
      </w:r>
    </w:p>
    <w:p w:rsidR="00B76D2F" w:rsidRPr="00926709" w:rsidRDefault="00B76D2F" w:rsidP="00B76D2F">
      <w:pPr>
        <w:ind w:left="851"/>
        <w:rPr>
          <w:sz w:val="24"/>
          <w:szCs w:val="24"/>
        </w:rPr>
      </w:pPr>
      <w:r w:rsidRPr="00926709">
        <w:rPr>
          <w:sz w:val="24"/>
          <w:szCs w:val="24"/>
        </w:rPr>
        <w:t>Glycerol</w:t>
      </w:r>
    </w:p>
    <w:p w:rsidR="00B76D2F" w:rsidRPr="00926709" w:rsidRDefault="00B76D2F" w:rsidP="00B76D2F">
      <w:pPr>
        <w:ind w:left="851"/>
        <w:rPr>
          <w:sz w:val="24"/>
          <w:szCs w:val="24"/>
        </w:rPr>
      </w:pPr>
      <w:proofErr w:type="spellStart"/>
      <w:r w:rsidRPr="00926709">
        <w:rPr>
          <w:sz w:val="24"/>
          <w:szCs w:val="24"/>
        </w:rPr>
        <w:t>Natriumdihydrogenfosfatdihydrat</w:t>
      </w:r>
      <w:proofErr w:type="spellEnd"/>
    </w:p>
    <w:p w:rsidR="00B76D2F" w:rsidRPr="00926709" w:rsidRDefault="00B76D2F" w:rsidP="00B76D2F">
      <w:pPr>
        <w:ind w:left="851"/>
        <w:rPr>
          <w:sz w:val="24"/>
          <w:szCs w:val="24"/>
        </w:rPr>
      </w:pPr>
      <w:proofErr w:type="spellStart"/>
      <w:r w:rsidRPr="00926709">
        <w:rPr>
          <w:sz w:val="24"/>
          <w:szCs w:val="24"/>
        </w:rPr>
        <w:t>Dinatriumedetat</w:t>
      </w:r>
      <w:proofErr w:type="spellEnd"/>
    </w:p>
    <w:p w:rsidR="00B76D2F" w:rsidRPr="00926709" w:rsidRDefault="00B76D2F" w:rsidP="00B76D2F">
      <w:pPr>
        <w:ind w:left="851"/>
        <w:rPr>
          <w:sz w:val="24"/>
          <w:szCs w:val="24"/>
        </w:rPr>
      </w:pPr>
      <w:proofErr w:type="spellStart"/>
      <w:r w:rsidRPr="00926709">
        <w:rPr>
          <w:sz w:val="24"/>
          <w:szCs w:val="24"/>
        </w:rPr>
        <w:t>Polysorbat</w:t>
      </w:r>
      <w:proofErr w:type="spellEnd"/>
      <w:r w:rsidRPr="00926709">
        <w:rPr>
          <w:sz w:val="24"/>
          <w:szCs w:val="24"/>
        </w:rPr>
        <w:t> 80</w:t>
      </w:r>
    </w:p>
    <w:p w:rsidR="00B76D2F" w:rsidRPr="00926709" w:rsidRDefault="00B76D2F" w:rsidP="00B76D2F">
      <w:pPr>
        <w:ind w:left="851"/>
        <w:rPr>
          <w:sz w:val="24"/>
          <w:szCs w:val="24"/>
        </w:rPr>
      </w:pPr>
      <w:r>
        <w:rPr>
          <w:sz w:val="24"/>
          <w:szCs w:val="24"/>
        </w:rPr>
        <w:lastRenderedPageBreak/>
        <w:t>Salt</w:t>
      </w:r>
      <w:r w:rsidRPr="00926709">
        <w:rPr>
          <w:sz w:val="24"/>
          <w:szCs w:val="24"/>
        </w:rPr>
        <w:t>syre og/eller natriumhydroxid til pH</w:t>
      </w:r>
      <w:r w:rsidRPr="00926709">
        <w:rPr>
          <w:sz w:val="24"/>
          <w:szCs w:val="24"/>
        </w:rPr>
        <w:noBreakHyphen/>
        <w:t>justering</w:t>
      </w:r>
    </w:p>
    <w:p w:rsidR="00B76D2F" w:rsidRPr="00926709" w:rsidRDefault="00B76D2F" w:rsidP="00B76D2F">
      <w:pPr>
        <w:ind w:left="851"/>
        <w:rPr>
          <w:sz w:val="24"/>
          <w:szCs w:val="24"/>
        </w:rPr>
      </w:pPr>
      <w:r w:rsidRPr="00926709">
        <w:rPr>
          <w:sz w:val="24"/>
          <w:szCs w:val="24"/>
        </w:rPr>
        <w:t>Vand til injektionsvæsker</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6.2</w:t>
      </w:r>
      <w:r w:rsidRPr="00926709">
        <w:rPr>
          <w:b/>
          <w:sz w:val="24"/>
          <w:szCs w:val="24"/>
        </w:rPr>
        <w:tab/>
        <w:t>Uforligeligheder</w:t>
      </w:r>
    </w:p>
    <w:p w:rsidR="00B76D2F" w:rsidRPr="00926709" w:rsidRDefault="00B76D2F" w:rsidP="00B76D2F">
      <w:pPr>
        <w:ind w:left="851"/>
        <w:rPr>
          <w:sz w:val="24"/>
          <w:szCs w:val="24"/>
        </w:rPr>
      </w:pPr>
      <w:r w:rsidRPr="00926709">
        <w:rPr>
          <w:sz w:val="24"/>
          <w:szCs w:val="24"/>
        </w:rPr>
        <w:t>Ikke relevant.</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6.3</w:t>
      </w:r>
      <w:r w:rsidRPr="00926709">
        <w:rPr>
          <w:b/>
          <w:sz w:val="24"/>
          <w:szCs w:val="24"/>
        </w:rPr>
        <w:tab/>
        <w:t>Opbevaringstid</w:t>
      </w:r>
    </w:p>
    <w:p w:rsidR="00B76D2F" w:rsidRPr="00926709" w:rsidRDefault="00B76D2F" w:rsidP="00B76D2F">
      <w:pPr>
        <w:ind w:left="851" w:hanging="851"/>
        <w:rPr>
          <w:spacing w:val="-3"/>
          <w:sz w:val="24"/>
          <w:szCs w:val="24"/>
        </w:rPr>
      </w:pPr>
      <w:r w:rsidRPr="00926709">
        <w:rPr>
          <w:sz w:val="24"/>
          <w:szCs w:val="24"/>
        </w:rPr>
        <w:tab/>
      </w:r>
      <w:r w:rsidRPr="00926709">
        <w:rPr>
          <w:spacing w:val="-3"/>
          <w:sz w:val="24"/>
          <w:szCs w:val="24"/>
        </w:rPr>
        <w:t>3 år.</w:t>
      </w:r>
    </w:p>
    <w:p w:rsidR="00B76D2F" w:rsidRPr="00926709" w:rsidRDefault="00B76D2F" w:rsidP="00B76D2F">
      <w:pPr>
        <w:pStyle w:val="Sidehoved"/>
        <w:tabs>
          <w:tab w:val="clear" w:pos="4819"/>
          <w:tab w:val="clear" w:pos="9638"/>
        </w:tabs>
        <w:ind w:left="851" w:hanging="851"/>
        <w:rPr>
          <w:szCs w:val="24"/>
        </w:rPr>
      </w:pPr>
    </w:p>
    <w:p w:rsidR="00B76D2F" w:rsidRPr="00926709" w:rsidRDefault="00B76D2F" w:rsidP="00B76D2F">
      <w:pPr>
        <w:pStyle w:val="Sidehoved"/>
        <w:tabs>
          <w:tab w:val="clear" w:pos="4819"/>
          <w:tab w:val="clear" w:pos="9638"/>
        </w:tabs>
        <w:ind w:left="851"/>
        <w:rPr>
          <w:szCs w:val="24"/>
        </w:rPr>
      </w:pPr>
      <w:r w:rsidRPr="00926709">
        <w:rPr>
          <w:szCs w:val="24"/>
        </w:rPr>
        <w:t xml:space="preserve">Efter første åbning af flasken: </w:t>
      </w:r>
      <w:r w:rsidR="00FA7AC9">
        <w:rPr>
          <w:szCs w:val="24"/>
        </w:rPr>
        <w:t>3 måneder</w:t>
      </w:r>
      <w:r w:rsidRPr="00926709">
        <w:rPr>
          <w:szCs w:val="24"/>
        </w:rPr>
        <w:t>.</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6.4</w:t>
      </w:r>
      <w:r w:rsidRPr="00926709">
        <w:rPr>
          <w:b/>
          <w:sz w:val="24"/>
          <w:szCs w:val="24"/>
        </w:rPr>
        <w:tab/>
        <w:t>Særlige opbevaringsforhold</w:t>
      </w:r>
    </w:p>
    <w:p w:rsidR="00B76D2F" w:rsidRDefault="00B76D2F" w:rsidP="00B76D2F">
      <w:pPr>
        <w:ind w:left="851"/>
        <w:rPr>
          <w:noProof/>
          <w:sz w:val="24"/>
          <w:szCs w:val="24"/>
        </w:rPr>
      </w:pPr>
      <w:r w:rsidRPr="00926709">
        <w:rPr>
          <w:noProof/>
          <w:sz w:val="24"/>
          <w:szCs w:val="24"/>
        </w:rPr>
        <w:t>Opbevares i køleskab (2 °C – 8 °C). Må ikke nedfryses.</w:t>
      </w:r>
    </w:p>
    <w:p w:rsidR="00B76D2F" w:rsidRPr="00926709" w:rsidRDefault="00B76D2F" w:rsidP="00B76D2F">
      <w:pPr>
        <w:ind w:left="851"/>
        <w:rPr>
          <w:noProof/>
          <w:sz w:val="24"/>
          <w:szCs w:val="24"/>
        </w:rPr>
      </w:pPr>
      <w:r>
        <w:rPr>
          <w:noProof/>
          <w:sz w:val="24"/>
          <w:szCs w:val="24"/>
        </w:rPr>
        <w:t xml:space="preserve">Efter åbning: opbevares ved temperaturer under 25 °C. </w:t>
      </w:r>
    </w:p>
    <w:p w:rsidR="00B76D2F" w:rsidRPr="00926709" w:rsidRDefault="00B76D2F" w:rsidP="00B76D2F">
      <w:pPr>
        <w:ind w:left="851"/>
        <w:rPr>
          <w:noProof/>
          <w:sz w:val="24"/>
          <w:szCs w:val="24"/>
        </w:rPr>
      </w:pPr>
      <w:r w:rsidRPr="00926709">
        <w:rPr>
          <w:noProof/>
          <w:sz w:val="24"/>
          <w:szCs w:val="24"/>
        </w:rPr>
        <w:t>Opbevares i den originale æske for at beskytte mod lys.</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6.5</w:t>
      </w:r>
      <w:r w:rsidRPr="00926709">
        <w:rPr>
          <w:b/>
          <w:sz w:val="24"/>
          <w:szCs w:val="24"/>
        </w:rPr>
        <w:tab/>
        <w:t>Emballagetype og pakningsstørrelser</w:t>
      </w:r>
    </w:p>
    <w:p w:rsidR="00B76D2F" w:rsidRDefault="00AA51C5" w:rsidP="00AA51C5">
      <w:pPr>
        <w:ind w:left="851"/>
        <w:rPr>
          <w:sz w:val="24"/>
          <w:szCs w:val="24"/>
        </w:rPr>
      </w:pPr>
      <w:r w:rsidRPr="00AA51C5">
        <w:rPr>
          <w:sz w:val="24"/>
          <w:szCs w:val="24"/>
        </w:rPr>
        <w:t>Flaske</w:t>
      </w:r>
      <w:r>
        <w:rPr>
          <w:sz w:val="24"/>
          <w:szCs w:val="24"/>
        </w:rPr>
        <w:t>.</w:t>
      </w:r>
    </w:p>
    <w:p w:rsidR="00AA51C5" w:rsidRPr="00926709" w:rsidRDefault="00AA51C5" w:rsidP="00AA51C5">
      <w:pPr>
        <w:ind w:left="851"/>
        <w:rPr>
          <w:sz w:val="24"/>
          <w:szCs w:val="24"/>
        </w:rPr>
      </w:pPr>
    </w:p>
    <w:p w:rsidR="00B76D2F" w:rsidRPr="00926709" w:rsidRDefault="00B76D2F" w:rsidP="00B76D2F">
      <w:pPr>
        <w:ind w:left="851" w:hanging="851"/>
        <w:rPr>
          <w:b/>
          <w:sz w:val="24"/>
          <w:szCs w:val="24"/>
        </w:rPr>
      </w:pPr>
      <w:r w:rsidRPr="00926709">
        <w:rPr>
          <w:b/>
          <w:sz w:val="24"/>
          <w:szCs w:val="24"/>
        </w:rPr>
        <w:t>6.6</w:t>
      </w:r>
      <w:r w:rsidRPr="00926709">
        <w:rPr>
          <w:b/>
          <w:sz w:val="24"/>
          <w:szCs w:val="24"/>
        </w:rPr>
        <w:tab/>
        <w:t xml:space="preserve">Regler for </w:t>
      </w:r>
      <w:r w:rsidR="00FB3C75" w:rsidRPr="00FB3C75">
        <w:rPr>
          <w:b/>
          <w:sz w:val="24"/>
          <w:szCs w:val="24"/>
        </w:rPr>
        <w:t xml:space="preserve">bortskaffelse </w:t>
      </w:r>
      <w:r w:rsidRPr="00926709">
        <w:rPr>
          <w:b/>
          <w:sz w:val="24"/>
          <w:szCs w:val="24"/>
        </w:rPr>
        <w:t>og anden håndtering</w:t>
      </w:r>
    </w:p>
    <w:p w:rsidR="00B76D2F" w:rsidRPr="00926709" w:rsidRDefault="00B76D2F" w:rsidP="00B76D2F">
      <w:pPr>
        <w:ind w:left="851"/>
        <w:rPr>
          <w:sz w:val="24"/>
          <w:szCs w:val="24"/>
        </w:rPr>
      </w:pPr>
      <w:r w:rsidRPr="00926709">
        <w:rPr>
          <w:sz w:val="24"/>
          <w:szCs w:val="24"/>
        </w:rPr>
        <w:t>Ikke anvendt lægemiddel samt affald heraf skal bortskaffes i henhold til lokale retningslinjer.</w:t>
      </w:r>
    </w:p>
    <w:p w:rsidR="00B76D2F" w:rsidRPr="00926709" w:rsidRDefault="00B76D2F" w:rsidP="00B76D2F">
      <w:pPr>
        <w:ind w:left="851" w:hanging="851"/>
        <w:jc w:val="both"/>
        <w:rPr>
          <w:sz w:val="24"/>
          <w:szCs w:val="24"/>
        </w:rPr>
      </w:pPr>
    </w:p>
    <w:p w:rsidR="00B76D2F" w:rsidRPr="00926709" w:rsidRDefault="00B76D2F" w:rsidP="00B76D2F">
      <w:pPr>
        <w:ind w:left="851" w:hanging="851"/>
        <w:rPr>
          <w:b/>
          <w:sz w:val="24"/>
          <w:szCs w:val="24"/>
        </w:rPr>
      </w:pPr>
      <w:r w:rsidRPr="00926709">
        <w:rPr>
          <w:b/>
          <w:sz w:val="24"/>
          <w:szCs w:val="24"/>
        </w:rPr>
        <w:t>7.</w:t>
      </w:r>
      <w:r w:rsidRPr="00926709">
        <w:rPr>
          <w:b/>
          <w:sz w:val="24"/>
          <w:szCs w:val="24"/>
        </w:rPr>
        <w:tab/>
        <w:t>INDEHAVER AF MARKEDSFØRINGSTILLADELSEN</w:t>
      </w:r>
    </w:p>
    <w:p w:rsidR="007B7790" w:rsidRPr="00AA51C5" w:rsidRDefault="007B7790" w:rsidP="007B7790">
      <w:pPr>
        <w:ind w:left="851"/>
        <w:rPr>
          <w:sz w:val="24"/>
          <w:szCs w:val="24"/>
          <w:lang w:eastAsia="da-DK"/>
        </w:rPr>
      </w:pPr>
      <w:r w:rsidRPr="00AA51C5">
        <w:rPr>
          <w:sz w:val="24"/>
          <w:szCs w:val="24"/>
          <w:lang w:eastAsia="da-DK"/>
        </w:rPr>
        <w:t>2care4 ApS</w:t>
      </w:r>
    </w:p>
    <w:p w:rsidR="007B7790" w:rsidRPr="00AA51C5" w:rsidRDefault="007B7790" w:rsidP="007B7790">
      <w:pPr>
        <w:ind w:left="851"/>
        <w:rPr>
          <w:sz w:val="24"/>
          <w:szCs w:val="24"/>
          <w:lang w:eastAsia="da-DK"/>
        </w:rPr>
      </w:pPr>
      <w:r w:rsidRPr="00AA51C5">
        <w:rPr>
          <w:sz w:val="24"/>
          <w:szCs w:val="24"/>
          <w:lang w:eastAsia="da-DK"/>
        </w:rPr>
        <w:t>Stenhuggervej 12</w:t>
      </w:r>
    </w:p>
    <w:p w:rsidR="007B7790" w:rsidRPr="00AA51C5" w:rsidRDefault="007B7790" w:rsidP="007B7790">
      <w:pPr>
        <w:ind w:left="851"/>
        <w:rPr>
          <w:sz w:val="24"/>
          <w:szCs w:val="24"/>
          <w:lang w:eastAsia="da-DK"/>
        </w:rPr>
      </w:pPr>
      <w:r w:rsidRPr="00AA51C5">
        <w:rPr>
          <w:sz w:val="24"/>
          <w:szCs w:val="24"/>
          <w:lang w:eastAsia="da-DK"/>
        </w:rPr>
        <w:t>6710 Esbjerg V</w:t>
      </w:r>
    </w:p>
    <w:p w:rsidR="00B76D2F" w:rsidRPr="00926709" w:rsidRDefault="00B76D2F" w:rsidP="007B7790">
      <w:pPr>
        <w:rPr>
          <w:sz w:val="24"/>
          <w:szCs w:val="24"/>
        </w:rPr>
      </w:pPr>
    </w:p>
    <w:p w:rsidR="00B76D2F" w:rsidRPr="00926709" w:rsidRDefault="00B76D2F" w:rsidP="00B76D2F">
      <w:pPr>
        <w:ind w:left="851" w:hanging="851"/>
        <w:rPr>
          <w:b/>
          <w:sz w:val="24"/>
          <w:szCs w:val="24"/>
        </w:rPr>
      </w:pPr>
      <w:r w:rsidRPr="00926709">
        <w:rPr>
          <w:b/>
          <w:sz w:val="24"/>
          <w:szCs w:val="24"/>
        </w:rPr>
        <w:t>8.</w:t>
      </w:r>
      <w:r w:rsidRPr="00926709">
        <w:rPr>
          <w:b/>
          <w:sz w:val="24"/>
          <w:szCs w:val="24"/>
        </w:rPr>
        <w:tab/>
        <w:t>MARKEDSFØRINGSTILLADELSESNUMMER (</w:t>
      </w:r>
      <w:r w:rsidR="00FB3C75">
        <w:rPr>
          <w:b/>
          <w:sz w:val="24"/>
          <w:szCs w:val="24"/>
        </w:rPr>
        <w:t>-</w:t>
      </w:r>
      <w:r w:rsidRPr="00926709">
        <w:rPr>
          <w:b/>
          <w:sz w:val="24"/>
          <w:szCs w:val="24"/>
        </w:rPr>
        <w:t>NUMRE)</w:t>
      </w:r>
    </w:p>
    <w:p w:rsidR="00B76D2F" w:rsidRDefault="007B7790" w:rsidP="007B7790">
      <w:pPr>
        <w:ind w:left="851"/>
        <w:jc w:val="both"/>
        <w:rPr>
          <w:sz w:val="24"/>
          <w:szCs w:val="24"/>
        </w:rPr>
      </w:pPr>
      <w:r w:rsidRPr="007B7790">
        <w:rPr>
          <w:sz w:val="24"/>
          <w:szCs w:val="24"/>
        </w:rPr>
        <w:t>74662</w:t>
      </w:r>
    </w:p>
    <w:p w:rsidR="007B7790" w:rsidRPr="00926709" w:rsidRDefault="007B7790" w:rsidP="007B7790">
      <w:pPr>
        <w:ind w:left="851"/>
        <w:jc w:val="both"/>
        <w:rPr>
          <w:sz w:val="24"/>
          <w:szCs w:val="24"/>
        </w:rPr>
      </w:pPr>
    </w:p>
    <w:p w:rsidR="00B76D2F" w:rsidRPr="00926709" w:rsidRDefault="00B76D2F" w:rsidP="00B76D2F">
      <w:pPr>
        <w:ind w:left="851" w:hanging="851"/>
        <w:rPr>
          <w:b/>
          <w:sz w:val="24"/>
          <w:szCs w:val="24"/>
        </w:rPr>
      </w:pPr>
      <w:r w:rsidRPr="00926709">
        <w:rPr>
          <w:b/>
          <w:sz w:val="24"/>
          <w:szCs w:val="24"/>
        </w:rPr>
        <w:t>9.</w:t>
      </w:r>
      <w:r w:rsidRPr="00926709">
        <w:rPr>
          <w:b/>
          <w:sz w:val="24"/>
          <w:szCs w:val="24"/>
        </w:rPr>
        <w:tab/>
        <w:t>DATO FOR FØRSTE MARKEDSFØRINGSTILLADELSE</w:t>
      </w:r>
    </w:p>
    <w:p w:rsidR="00B76D2F" w:rsidRPr="00926709" w:rsidRDefault="00BD1EB4" w:rsidP="00B76D2F">
      <w:pPr>
        <w:ind w:left="851"/>
        <w:rPr>
          <w:sz w:val="24"/>
          <w:szCs w:val="24"/>
        </w:rPr>
      </w:pPr>
      <w:r>
        <w:rPr>
          <w:sz w:val="24"/>
          <w:szCs w:val="24"/>
        </w:rPr>
        <w:t>2</w:t>
      </w:r>
      <w:r w:rsidR="0072511B">
        <w:rPr>
          <w:sz w:val="24"/>
          <w:szCs w:val="24"/>
        </w:rPr>
        <w:t>4</w:t>
      </w:r>
      <w:bookmarkStart w:id="2" w:name="_GoBack"/>
      <w:bookmarkEnd w:id="2"/>
      <w:r>
        <w:rPr>
          <w:sz w:val="24"/>
          <w:szCs w:val="24"/>
        </w:rPr>
        <w:t>. oktober 2025</w:t>
      </w:r>
    </w:p>
    <w:p w:rsidR="00B76D2F" w:rsidRPr="00926709" w:rsidRDefault="00B76D2F" w:rsidP="00B76D2F">
      <w:pPr>
        <w:ind w:left="851" w:hanging="851"/>
        <w:rPr>
          <w:sz w:val="24"/>
          <w:szCs w:val="24"/>
        </w:rPr>
      </w:pPr>
    </w:p>
    <w:p w:rsidR="00B76D2F" w:rsidRPr="00926709" w:rsidRDefault="00B76D2F" w:rsidP="00B76D2F">
      <w:pPr>
        <w:ind w:left="851" w:hanging="851"/>
        <w:rPr>
          <w:b/>
          <w:sz w:val="24"/>
          <w:szCs w:val="24"/>
        </w:rPr>
      </w:pPr>
      <w:r w:rsidRPr="00926709">
        <w:rPr>
          <w:b/>
          <w:sz w:val="24"/>
          <w:szCs w:val="24"/>
        </w:rPr>
        <w:t>10.</w:t>
      </w:r>
      <w:r w:rsidRPr="00926709">
        <w:rPr>
          <w:b/>
          <w:sz w:val="24"/>
          <w:szCs w:val="24"/>
        </w:rPr>
        <w:tab/>
        <w:t>DATO FOR ÆNDRING AF TEKSTEN</w:t>
      </w:r>
    </w:p>
    <w:p w:rsidR="00B76D2F" w:rsidRPr="00926709" w:rsidRDefault="00BD1EB4" w:rsidP="00B76D2F">
      <w:pPr>
        <w:ind w:left="851"/>
        <w:rPr>
          <w:sz w:val="24"/>
          <w:szCs w:val="24"/>
        </w:rPr>
      </w:pPr>
      <w:r>
        <w:rPr>
          <w:sz w:val="24"/>
          <w:szCs w:val="24"/>
        </w:rPr>
        <w:t>-</w:t>
      </w:r>
    </w:p>
    <w:p w:rsidR="00B76D2F" w:rsidRPr="006A707A" w:rsidRDefault="00B76D2F" w:rsidP="00B76D2F"/>
    <w:p w:rsidR="00B76D2F" w:rsidRPr="00E31D54" w:rsidRDefault="00B76D2F" w:rsidP="00B76D2F"/>
    <w:p w:rsidR="009260DE" w:rsidRPr="00B76D2F" w:rsidRDefault="009260DE" w:rsidP="00B76D2F"/>
    <w:sectPr w:rsidR="009260DE" w:rsidRPr="00B76D2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D2F" w:rsidRDefault="00B76D2F">
      <w:r>
        <w:separator/>
      </w:r>
    </w:p>
  </w:endnote>
  <w:endnote w:type="continuationSeparator" w:id="0">
    <w:p w:rsidR="00B76D2F" w:rsidRDefault="00B7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B7790">
      <w:rPr>
        <w:i/>
        <w:noProof/>
        <w:sz w:val="18"/>
        <w:szCs w:val="18"/>
      </w:rPr>
      <w:t>Taflotan Sine (2care4), øjendråber, opløsning 15 mikrogram-ml.docx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D2F" w:rsidRDefault="00B76D2F">
      <w:r>
        <w:separator/>
      </w:r>
    </w:p>
  </w:footnote>
  <w:footnote w:type="continuationSeparator" w:id="0">
    <w:p w:rsidR="00B76D2F" w:rsidRDefault="00B76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9D94ED5"/>
    <w:multiLevelType w:val="hybridMultilevel"/>
    <w:tmpl w:val="C1FA2B2A"/>
    <w:lvl w:ilvl="0" w:tplc="04090003">
      <w:start w:val="1"/>
      <w:numFmt w:val="bullet"/>
      <w:lvlText w:val="o"/>
      <w:lvlJc w:val="left"/>
      <w:pPr>
        <w:ind w:left="927" w:hanging="360"/>
      </w:pPr>
      <w:rPr>
        <w:rFonts w:ascii="Courier New" w:hAnsi="Courier New"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2F"/>
    <w:rsid w:val="000259B9"/>
    <w:rsid w:val="00041491"/>
    <w:rsid w:val="00050D16"/>
    <w:rsid w:val="00074F2A"/>
    <w:rsid w:val="000A1CA8"/>
    <w:rsid w:val="000A466B"/>
    <w:rsid w:val="000B058C"/>
    <w:rsid w:val="000E4EE6"/>
    <w:rsid w:val="00115548"/>
    <w:rsid w:val="001354A7"/>
    <w:rsid w:val="001454E2"/>
    <w:rsid w:val="001C4F8E"/>
    <w:rsid w:val="00206CE8"/>
    <w:rsid w:val="0021526C"/>
    <w:rsid w:val="00283A2B"/>
    <w:rsid w:val="0028731A"/>
    <w:rsid w:val="002A648E"/>
    <w:rsid w:val="002B30AD"/>
    <w:rsid w:val="002C2C01"/>
    <w:rsid w:val="00312ACD"/>
    <w:rsid w:val="00335D93"/>
    <w:rsid w:val="00383246"/>
    <w:rsid w:val="003A29AE"/>
    <w:rsid w:val="003A32D7"/>
    <w:rsid w:val="003B4074"/>
    <w:rsid w:val="003C769A"/>
    <w:rsid w:val="003F1838"/>
    <w:rsid w:val="0041699B"/>
    <w:rsid w:val="004543FA"/>
    <w:rsid w:val="0045746C"/>
    <w:rsid w:val="0049104B"/>
    <w:rsid w:val="004E0F25"/>
    <w:rsid w:val="004E3B12"/>
    <w:rsid w:val="00511D41"/>
    <w:rsid w:val="00532310"/>
    <w:rsid w:val="00560ECC"/>
    <w:rsid w:val="00565F0F"/>
    <w:rsid w:val="005916DF"/>
    <w:rsid w:val="00594A86"/>
    <w:rsid w:val="00596D86"/>
    <w:rsid w:val="005B04EE"/>
    <w:rsid w:val="00637F5A"/>
    <w:rsid w:val="006560B1"/>
    <w:rsid w:val="006756DD"/>
    <w:rsid w:val="0072511B"/>
    <w:rsid w:val="00737275"/>
    <w:rsid w:val="00740EEC"/>
    <w:rsid w:val="0078011A"/>
    <w:rsid w:val="00782AF4"/>
    <w:rsid w:val="00790EE7"/>
    <w:rsid w:val="007B6649"/>
    <w:rsid w:val="007B7790"/>
    <w:rsid w:val="0081546F"/>
    <w:rsid w:val="0082576E"/>
    <w:rsid w:val="008B32B9"/>
    <w:rsid w:val="00907F75"/>
    <w:rsid w:val="009260DE"/>
    <w:rsid w:val="0093258A"/>
    <w:rsid w:val="00981E8C"/>
    <w:rsid w:val="009C75A1"/>
    <w:rsid w:val="009C7BA3"/>
    <w:rsid w:val="009D1F5A"/>
    <w:rsid w:val="00A70BBE"/>
    <w:rsid w:val="00AA51C5"/>
    <w:rsid w:val="00B003BF"/>
    <w:rsid w:val="00B373D7"/>
    <w:rsid w:val="00B76D2F"/>
    <w:rsid w:val="00BD1EB4"/>
    <w:rsid w:val="00C36276"/>
    <w:rsid w:val="00C42586"/>
    <w:rsid w:val="00C60CCD"/>
    <w:rsid w:val="00C84483"/>
    <w:rsid w:val="00C95551"/>
    <w:rsid w:val="00CA5F5E"/>
    <w:rsid w:val="00CB20D7"/>
    <w:rsid w:val="00D020B0"/>
    <w:rsid w:val="00D11748"/>
    <w:rsid w:val="00D366CF"/>
    <w:rsid w:val="00DB0B4E"/>
    <w:rsid w:val="00E108AA"/>
    <w:rsid w:val="00E31812"/>
    <w:rsid w:val="00E37306"/>
    <w:rsid w:val="00E3749A"/>
    <w:rsid w:val="00E7437F"/>
    <w:rsid w:val="00E865B8"/>
    <w:rsid w:val="00E97DAF"/>
    <w:rsid w:val="00EC0B9B"/>
    <w:rsid w:val="00EC2FEA"/>
    <w:rsid w:val="00EC7DFE"/>
    <w:rsid w:val="00ED5E9F"/>
    <w:rsid w:val="00F315AF"/>
    <w:rsid w:val="00F66D4F"/>
    <w:rsid w:val="00F841E0"/>
    <w:rsid w:val="00FA7AC9"/>
    <w:rsid w:val="00FB3C75"/>
    <w:rsid w:val="00FB6D01"/>
    <w:rsid w:val="00FE0B54"/>
    <w:rsid w:val="00FF1C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C3E5F"/>
  <w15:chartTrackingRefBased/>
  <w15:docId w15:val="{93709459-1546-41B3-BA61-7F467C9F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B76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211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2420</Words>
  <Characters>15524</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2025084297 _x000d_
Nyt PI SPC</dc:description>
  <cp:lastModifiedBy>Karen Heltoft</cp:lastModifiedBy>
  <cp:revision>9</cp:revision>
  <cp:lastPrinted>2012-08-22T08:53:00Z</cp:lastPrinted>
  <dcterms:created xsi:type="dcterms:W3CDTF">2025-10-22T09:27:00Z</dcterms:created>
  <dcterms:modified xsi:type="dcterms:W3CDTF">2025-10-24T08:35:00Z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