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E744" w14:textId="7349B840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EEE3FFA" wp14:editId="2519491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33F9FE29" w14:textId="77777777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14:paraId="1898384C" w14:textId="15A17BC7" w:rsidR="009260DE" w:rsidRPr="0062532C" w:rsidRDefault="009260DE" w:rsidP="009260DE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62532C" w:rsidRPr="0062532C">
        <w:rPr>
          <w:szCs w:val="24"/>
          <w:lang w:eastAsia="en-US"/>
        </w:rPr>
        <w:t>20. februar 2025</w:t>
      </w:r>
    </w:p>
    <w:p w14:paraId="22B48770" w14:textId="77777777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02BCA6A3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1A51719E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418068EE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76465B95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04345D44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67EAB02D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31758A36" w14:textId="4F7E3EF4" w:rsidR="009260DE" w:rsidRPr="00C84483" w:rsidRDefault="00B23844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Tamsulosin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Zentiva</w:t>
      </w:r>
      <w:proofErr w:type="spellEnd"/>
      <w:r>
        <w:rPr>
          <w:b/>
          <w:sz w:val="24"/>
          <w:szCs w:val="24"/>
        </w:rPr>
        <w:t xml:space="preserve">", </w:t>
      </w:r>
      <w:r w:rsidR="009C43FC">
        <w:rPr>
          <w:b/>
          <w:sz w:val="24"/>
          <w:szCs w:val="24"/>
        </w:rPr>
        <w:t xml:space="preserve">hårde </w:t>
      </w:r>
      <w:r>
        <w:rPr>
          <w:b/>
          <w:sz w:val="24"/>
          <w:szCs w:val="24"/>
        </w:rPr>
        <w:t>kapsler med modificeret udløsning</w:t>
      </w:r>
    </w:p>
    <w:p w14:paraId="0544079F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1DE5159D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787ADA0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14:paraId="1C0A84DA" w14:textId="77777777" w:rsidR="009260DE" w:rsidRPr="00C84483" w:rsidRDefault="00B2384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33650</w:t>
      </w:r>
    </w:p>
    <w:p w14:paraId="5A97581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1A58D7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14:paraId="3CCF3A0D" w14:textId="77777777" w:rsidR="009260DE" w:rsidRPr="00C84483" w:rsidRDefault="00B23844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Tamsulosin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Zentiva</w:t>
      </w:r>
      <w:proofErr w:type="spellEnd"/>
      <w:r>
        <w:rPr>
          <w:sz w:val="24"/>
          <w:szCs w:val="24"/>
        </w:rPr>
        <w:t>"</w:t>
      </w:r>
    </w:p>
    <w:p w14:paraId="74F2C7A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E1738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14:paraId="5D02662F" w14:textId="6CB2356F" w:rsidR="000C3CC8" w:rsidRPr="000C3CC8" w:rsidRDefault="000C3CC8" w:rsidP="000C3CC8">
      <w:pPr>
        <w:tabs>
          <w:tab w:val="left" w:pos="851"/>
        </w:tabs>
        <w:ind w:left="851"/>
        <w:rPr>
          <w:sz w:val="24"/>
          <w:szCs w:val="24"/>
        </w:rPr>
      </w:pPr>
      <w:r w:rsidRPr="000C3CC8">
        <w:rPr>
          <w:sz w:val="24"/>
          <w:szCs w:val="24"/>
        </w:rPr>
        <w:t xml:space="preserve">Hver kapsel indeholder </w:t>
      </w:r>
      <w:proofErr w:type="spellStart"/>
      <w:r w:rsidRPr="000C3CC8">
        <w:rPr>
          <w:sz w:val="24"/>
          <w:szCs w:val="24"/>
        </w:rPr>
        <w:t>tamsulosinhydrochlorid</w:t>
      </w:r>
      <w:proofErr w:type="spellEnd"/>
      <w:r w:rsidRPr="000C3CC8">
        <w:rPr>
          <w:sz w:val="24"/>
          <w:szCs w:val="24"/>
        </w:rPr>
        <w:t xml:space="preserve"> i en mængde på 0,4 mg, hvilket svarer til </w:t>
      </w:r>
      <w:proofErr w:type="spellStart"/>
      <w:r w:rsidRPr="000C3CC8">
        <w:rPr>
          <w:sz w:val="24"/>
          <w:szCs w:val="24"/>
        </w:rPr>
        <w:t>tamsulosin</w:t>
      </w:r>
      <w:proofErr w:type="spellEnd"/>
      <w:r w:rsidRPr="000C3CC8">
        <w:rPr>
          <w:sz w:val="24"/>
          <w:szCs w:val="24"/>
        </w:rPr>
        <w:t xml:space="preserve"> 0,367 mg.</w:t>
      </w:r>
    </w:p>
    <w:p w14:paraId="4016F161" w14:textId="77777777" w:rsidR="000C3CC8" w:rsidRPr="000C3CC8" w:rsidRDefault="000C3CC8" w:rsidP="000C3CC8">
      <w:pPr>
        <w:tabs>
          <w:tab w:val="left" w:pos="851"/>
        </w:tabs>
        <w:ind w:left="851"/>
        <w:rPr>
          <w:sz w:val="24"/>
          <w:szCs w:val="24"/>
        </w:rPr>
      </w:pPr>
    </w:p>
    <w:p w14:paraId="4B36DF5E" w14:textId="0BB8D54B" w:rsidR="000C3CC8" w:rsidRPr="000C3CC8" w:rsidRDefault="000C3CC8" w:rsidP="000C3CC8">
      <w:pPr>
        <w:tabs>
          <w:tab w:val="left" w:pos="851"/>
        </w:tabs>
        <w:ind w:left="851"/>
        <w:rPr>
          <w:sz w:val="24"/>
          <w:szCs w:val="24"/>
        </w:rPr>
      </w:pPr>
      <w:r w:rsidRPr="000C3CC8">
        <w:rPr>
          <w:sz w:val="24"/>
          <w:szCs w:val="24"/>
        </w:rPr>
        <w:t>Alle hjælpestoffer er anført under pkt. 6.1.</w:t>
      </w:r>
    </w:p>
    <w:p w14:paraId="1C44365E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E68358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14:paraId="7295544C" w14:textId="361AEC22" w:rsidR="000C3CC8" w:rsidRPr="000C3CC8" w:rsidRDefault="000C3CC8" w:rsidP="000C3CC8">
      <w:pPr>
        <w:tabs>
          <w:tab w:val="left" w:pos="851"/>
        </w:tabs>
        <w:ind w:left="851"/>
        <w:rPr>
          <w:sz w:val="24"/>
          <w:szCs w:val="24"/>
        </w:rPr>
      </w:pPr>
      <w:r w:rsidRPr="000C3CC8">
        <w:rPr>
          <w:sz w:val="24"/>
          <w:szCs w:val="24"/>
        </w:rPr>
        <w:t>Hård</w:t>
      </w:r>
      <w:r w:rsidR="00482684">
        <w:rPr>
          <w:sz w:val="24"/>
          <w:szCs w:val="24"/>
        </w:rPr>
        <w:t>e</w:t>
      </w:r>
      <w:r w:rsidRPr="000C3CC8">
        <w:rPr>
          <w:sz w:val="24"/>
          <w:szCs w:val="24"/>
        </w:rPr>
        <w:t xml:space="preserve"> kapsl</w:t>
      </w:r>
      <w:r w:rsidR="00482684">
        <w:rPr>
          <w:sz w:val="24"/>
          <w:szCs w:val="24"/>
        </w:rPr>
        <w:t>er</w:t>
      </w:r>
      <w:r w:rsidRPr="000C3CC8">
        <w:rPr>
          <w:sz w:val="24"/>
          <w:szCs w:val="24"/>
        </w:rPr>
        <w:t xml:space="preserve"> med modificeret udløsning</w:t>
      </w:r>
    </w:p>
    <w:p w14:paraId="65CFEB2E" w14:textId="77777777" w:rsidR="000C3CC8" w:rsidRPr="000C3CC8" w:rsidRDefault="000C3CC8" w:rsidP="000C3CC8">
      <w:pPr>
        <w:tabs>
          <w:tab w:val="left" w:pos="851"/>
        </w:tabs>
        <w:ind w:left="851"/>
        <w:rPr>
          <w:sz w:val="24"/>
          <w:szCs w:val="24"/>
        </w:rPr>
      </w:pPr>
    </w:p>
    <w:p w14:paraId="747E4269" w14:textId="41E195FD" w:rsidR="000C3CC8" w:rsidRPr="000C3CC8" w:rsidRDefault="000C3CC8" w:rsidP="000C3CC8">
      <w:pPr>
        <w:tabs>
          <w:tab w:val="left" w:pos="851"/>
        </w:tabs>
        <w:ind w:left="851"/>
        <w:rPr>
          <w:sz w:val="24"/>
          <w:szCs w:val="24"/>
        </w:rPr>
      </w:pPr>
      <w:r w:rsidRPr="000C3CC8">
        <w:rPr>
          <w:sz w:val="24"/>
          <w:szCs w:val="24"/>
        </w:rPr>
        <w:t>Hårde gelatinekapsler, nr. 3 størrelse med orange krop og olivengrøn hætte indeholdende hvide til råhvide pellets.</w:t>
      </w:r>
    </w:p>
    <w:p w14:paraId="2E62150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CE2CC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978ED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14:paraId="2C501784" w14:textId="77777777"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7A2E00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14:paraId="38E353E1" w14:textId="0643E940" w:rsidR="000C3CC8" w:rsidRPr="00482684" w:rsidRDefault="000C3CC8" w:rsidP="000C3CC8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Nedre urinvejssymptomer (LUTS – </w:t>
      </w:r>
      <w:proofErr w:type="spellStart"/>
      <w:r w:rsidRPr="00482684">
        <w:rPr>
          <w:sz w:val="24"/>
          <w:szCs w:val="24"/>
        </w:rPr>
        <w:t>Lower</w:t>
      </w:r>
      <w:proofErr w:type="spellEnd"/>
      <w:r w:rsidRPr="00482684">
        <w:rPr>
          <w:sz w:val="24"/>
          <w:szCs w:val="24"/>
        </w:rPr>
        <w:t xml:space="preserve"> </w:t>
      </w:r>
      <w:proofErr w:type="spellStart"/>
      <w:r w:rsidRPr="00482684">
        <w:rPr>
          <w:sz w:val="24"/>
          <w:szCs w:val="24"/>
        </w:rPr>
        <w:t>Urinary</w:t>
      </w:r>
      <w:proofErr w:type="spellEnd"/>
      <w:r w:rsidRPr="00482684">
        <w:rPr>
          <w:sz w:val="24"/>
          <w:szCs w:val="24"/>
        </w:rPr>
        <w:t xml:space="preserve"> </w:t>
      </w:r>
      <w:proofErr w:type="spellStart"/>
      <w:r w:rsidRPr="00482684">
        <w:rPr>
          <w:sz w:val="24"/>
          <w:szCs w:val="24"/>
        </w:rPr>
        <w:t>Tract</w:t>
      </w:r>
      <w:proofErr w:type="spellEnd"/>
      <w:r w:rsidRPr="00482684">
        <w:rPr>
          <w:sz w:val="24"/>
          <w:szCs w:val="24"/>
        </w:rPr>
        <w:t xml:space="preserve"> Symptoms) associeret med benign </w:t>
      </w:r>
      <w:proofErr w:type="spellStart"/>
      <w:r w:rsidRPr="00482684">
        <w:rPr>
          <w:sz w:val="24"/>
          <w:szCs w:val="24"/>
        </w:rPr>
        <w:t>prostatahyperplasi</w:t>
      </w:r>
      <w:proofErr w:type="spellEnd"/>
      <w:r w:rsidRPr="00482684">
        <w:rPr>
          <w:sz w:val="24"/>
          <w:szCs w:val="24"/>
        </w:rPr>
        <w:t xml:space="preserve"> (BPH).</w:t>
      </w:r>
    </w:p>
    <w:p w14:paraId="6245113E" w14:textId="77777777" w:rsidR="009260DE" w:rsidRPr="0048268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B375B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2C1EC0">
        <w:rPr>
          <w:b/>
          <w:sz w:val="24"/>
          <w:szCs w:val="24"/>
        </w:rPr>
        <w:t>administration</w:t>
      </w:r>
    </w:p>
    <w:p w14:paraId="1519FD86" w14:textId="77777777" w:rsidR="00482684" w:rsidRPr="00482684" w:rsidRDefault="00482684" w:rsidP="00482684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211FCD68" w14:textId="7657E3A9" w:rsidR="00482684" w:rsidRPr="00482684" w:rsidRDefault="00482684" w:rsidP="0048268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482684">
        <w:rPr>
          <w:iCs/>
          <w:sz w:val="24"/>
          <w:szCs w:val="24"/>
          <w:u w:val="single"/>
        </w:rPr>
        <w:t>Dosering</w:t>
      </w:r>
    </w:p>
    <w:p w14:paraId="5C17CC72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En kapsel dagligt efter morgenmaden eller efter dagens første måltid.</w:t>
      </w:r>
    </w:p>
    <w:p w14:paraId="180B1E10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7D8D0DD2" w14:textId="77777777" w:rsidR="00482684" w:rsidRPr="00482684" w:rsidRDefault="00482684" w:rsidP="00482684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482684">
        <w:rPr>
          <w:i/>
          <w:iCs/>
          <w:sz w:val="24"/>
          <w:szCs w:val="24"/>
        </w:rPr>
        <w:t>Lever-/</w:t>
      </w:r>
      <w:proofErr w:type="spellStart"/>
      <w:r w:rsidRPr="00482684">
        <w:rPr>
          <w:i/>
          <w:iCs/>
          <w:sz w:val="24"/>
          <w:szCs w:val="24"/>
        </w:rPr>
        <w:t>nyrefuntktion</w:t>
      </w:r>
      <w:proofErr w:type="spellEnd"/>
    </w:p>
    <w:p w14:paraId="27583278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Dosisjustering er ikke påkrævet hos patienter med nedsat nyrefunktion. </w:t>
      </w:r>
    </w:p>
    <w:p w14:paraId="7D94DEC3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Dosisjustering er ikke påkrævet hos patienter med mild til moderat leverinsufficiens (se også pkt. 4.3).</w:t>
      </w:r>
    </w:p>
    <w:p w14:paraId="5332CF62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5F4AB5D8" w14:textId="77777777" w:rsidR="00482684" w:rsidRPr="00482684" w:rsidRDefault="00482684" w:rsidP="00482684">
      <w:pPr>
        <w:tabs>
          <w:tab w:val="left" w:pos="851"/>
        </w:tabs>
        <w:ind w:left="851"/>
        <w:rPr>
          <w:i/>
          <w:sz w:val="24"/>
          <w:szCs w:val="24"/>
        </w:rPr>
      </w:pPr>
      <w:r w:rsidRPr="00482684">
        <w:rPr>
          <w:i/>
          <w:sz w:val="24"/>
          <w:szCs w:val="24"/>
        </w:rPr>
        <w:t>Pædiatrisk population</w:t>
      </w:r>
    </w:p>
    <w:p w14:paraId="502F181A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Sikkerheden og virkningen af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hos børn &lt; 18 år er ikke fastlagt. Nuværende tilgængelige data er beskrevet i pkt. 5.1.</w:t>
      </w:r>
    </w:p>
    <w:p w14:paraId="39BC8838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10C29FF8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82684">
        <w:rPr>
          <w:sz w:val="24"/>
          <w:szCs w:val="24"/>
          <w:u w:val="single"/>
        </w:rPr>
        <w:t>Administration</w:t>
      </w:r>
    </w:p>
    <w:p w14:paraId="157F957C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Oral anvendelse.</w:t>
      </w:r>
    </w:p>
    <w:p w14:paraId="5A9665DA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Kapslen sluges hel uden at knuse eller tygge, fordi ellers ville den kontrollerede frigivelse af det aktive stof blive påvirket.</w:t>
      </w:r>
    </w:p>
    <w:p w14:paraId="347AB4DE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796CC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14:paraId="178F4877" w14:textId="77777777" w:rsidR="00482684" w:rsidRPr="00482684" w:rsidRDefault="00482684" w:rsidP="00482684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482684">
        <w:rPr>
          <w:sz w:val="24"/>
          <w:szCs w:val="24"/>
        </w:rPr>
        <w:t xml:space="preserve">Overfølsomhed over for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, herunder lægemiddelinduceret </w:t>
      </w:r>
      <w:proofErr w:type="spellStart"/>
      <w:r w:rsidRPr="00482684">
        <w:rPr>
          <w:sz w:val="24"/>
          <w:szCs w:val="24"/>
        </w:rPr>
        <w:t>angioødem</w:t>
      </w:r>
      <w:proofErr w:type="spellEnd"/>
      <w:r w:rsidRPr="00482684">
        <w:rPr>
          <w:sz w:val="24"/>
          <w:szCs w:val="24"/>
        </w:rPr>
        <w:t>, eller over for et eller flere af hjælpestofferne anført i pkt. 6.1.</w:t>
      </w:r>
    </w:p>
    <w:p w14:paraId="6EDBB4F9" w14:textId="77777777" w:rsidR="00482684" w:rsidRPr="00482684" w:rsidRDefault="00482684" w:rsidP="00482684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Ortostatisk</w:t>
      </w:r>
      <w:proofErr w:type="spellEnd"/>
      <w:r w:rsidRPr="00482684">
        <w:rPr>
          <w:sz w:val="24"/>
          <w:szCs w:val="24"/>
        </w:rPr>
        <w:t xml:space="preserve"> hypotension i anamnesen.</w:t>
      </w:r>
    </w:p>
    <w:p w14:paraId="7DBABA0D" w14:textId="77777777" w:rsidR="00482684" w:rsidRPr="00482684" w:rsidRDefault="00482684" w:rsidP="00482684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482684">
        <w:rPr>
          <w:sz w:val="24"/>
          <w:szCs w:val="24"/>
        </w:rPr>
        <w:t>Alvorlig leverinsufficiens.</w:t>
      </w:r>
    </w:p>
    <w:p w14:paraId="3D1155BA" w14:textId="77777777" w:rsidR="009260DE" w:rsidRPr="00C84483" w:rsidRDefault="009260DE" w:rsidP="00981C7C">
      <w:pPr>
        <w:tabs>
          <w:tab w:val="left" w:pos="851"/>
        </w:tabs>
        <w:rPr>
          <w:sz w:val="24"/>
          <w:szCs w:val="24"/>
        </w:rPr>
      </w:pPr>
    </w:p>
    <w:p w14:paraId="5D12953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14:paraId="3F234237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Som for andre α</w:t>
      </w:r>
      <w:r w:rsidRPr="00482684">
        <w:rPr>
          <w:sz w:val="24"/>
          <w:szCs w:val="24"/>
          <w:vertAlign w:val="subscript"/>
        </w:rPr>
        <w:t>1</w:t>
      </w:r>
      <w:r w:rsidRPr="00482684">
        <w:rPr>
          <w:sz w:val="24"/>
          <w:szCs w:val="24"/>
        </w:rPr>
        <w:t xml:space="preserve">-adrenoreceptor-antagonister kan anvendelsen af </w:t>
      </w:r>
      <w:proofErr w:type="spellStart"/>
      <w:r w:rsidRPr="00482684">
        <w:rPr>
          <w:sz w:val="24"/>
          <w:szCs w:val="24"/>
        </w:rPr>
        <w:t>tamsulosinhydrochlorid</w:t>
      </w:r>
      <w:proofErr w:type="spellEnd"/>
      <w:r w:rsidRPr="00482684">
        <w:rPr>
          <w:sz w:val="24"/>
          <w:szCs w:val="24"/>
        </w:rPr>
        <w:t xml:space="preserve"> nedsætte blodtrykket hos nogle personer, hvilket i sjældne tilfælde kan forårsage synkope. Ved de første tegn på </w:t>
      </w:r>
      <w:proofErr w:type="spellStart"/>
      <w:r w:rsidRPr="00482684">
        <w:rPr>
          <w:sz w:val="24"/>
          <w:szCs w:val="24"/>
        </w:rPr>
        <w:t>ortostatisk</w:t>
      </w:r>
      <w:proofErr w:type="spellEnd"/>
      <w:r w:rsidRPr="00482684">
        <w:rPr>
          <w:sz w:val="24"/>
          <w:szCs w:val="24"/>
        </w:rPr>
        <w:t xml:space="preserve"> hypotension (svimmelhed, svaghed), bør patienten sidde eller ligge ned, indtil symptomerne er forsvundet.</w:t>
      </w:r>
    </w:p>
    <w:p w14:paraId="46AFFE30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Før behandlingen med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initieres skal patienten undersøges for at udelukke andre sygdomme, der kan have samme symptomer som benign prostatahypertrofi. </w:t>
      </w:r>
      <w:proofErr w:type="spellStart"/>
      <w:r w:rsidRPr="00482684">
        <w:rPr>
          <w:sz w:val="24"/>
          <w:szCs w:val="24"/>
        </w:rPr>
        <w:t>Rektaleksploration</w:t>
      </w:r>
      <w:proofErr w:type="spellEnd"/>
      <w:r w:rsidRPr="00482684">
        <w:rPr>
          <w:sz w:val="24"/>
          <w:szCs w:val="24"/>
        </w:rPr>
        <w:t xml:space="preserve"> og, om nødvendigt, bestemmelse af serum-prostataspecifikt antigen (PSA) bør udføres før behandling og derefter med regelmæssige intervaller.</w:t>
      </w:r>
    </w:p>
    <w:p w14:paraId="68B758D8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Behandling af patienter med svært nedsat nyrefunktion (</w:t>
      </w:r>
      <w:proofErr w:type="spellStart"/>
      <w:r w:rsidRPr="00482684">
        <w:rPr>
          <w:sz w:val="24"/>
          <w:szCs w:val="24"/>
        </w:rPr>
        <w:t>kreatininclearance</w:t>
      </w:r>
      <w:proofErr w:type="spellEnd"/>
      <w:r w:rsidRPr="00482684">
        <w:rPr>
          <w:sz w:val="24"/>
          <w:szCs w:val="24"/>
        </w:rPr>
        <w:t xml:space="preserve"> på &lt; 10 ml/min) bør foregå med særlig forsigtighed, da denne patientgruppe ikke er blevet undersøgt.</w:t>
      </w:r>
    </w:p>
    <w:p w14:paraId="5CD83567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Angioødem</w:t>
      </w:r>
      <w:proofErr w:type="spellEnd"/>
      <w:r w:rsidRPr="00482684">
        <w:rPr>
          <w:sz w:val="24"/>
          <w:szCs w:val="24"/>
        </w:rPr>
        <w:t xml:space="preserve"> er sjældent rapporteret efter anvendelse af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. Behandlingen skal afbrydes straks, hvis ødemer opstår, og patienten skal monitoreres, indtil ødemet forsvinder, og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skal ikke administreres igen. </w:t>
      </w:r>
    </w:p>
    <w:p w14:paraId="6D858F93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i/>
          <w:sz w:val="24"/>
          <w:szCs w:val="24"/>
        </w:rPr>
        <w:t xml:space="preserve">Intraoperative </w:t>
      </w:r>
      <w:proofErr w:type="spellStart"/>
      <w:r w:rsidRPr="00482684">
        <w:rPr>
          <w:i/>
          <w:sz w:val="24"/>
          <w:szCs w:val="24"/>
        </w:rPr>
        <w:t>Floppy</w:t>
      </w:r>
      <w:proofErr w:type="spellEnd"/>
      <w:r w:rsidRPr="00482684">
        <w:rPr>
          <w:i/>
          <w:sz w:val="24"/>
          <w:szCs w:val="24"/>
        </w:rPr>
        <w:t xml:space="preserve"> Iris </w:t>
      </w:r>
      <w:proofErr w:type="spellStart"/>
      <w:r w:rsidRPr="00482684">
        <w:rPr>
          <w:i/>
          <w:sz w:val="24"/>
          <w:szCs w:val="24"/>
        </w:rPr>
        <w:t>Syndrome</w:t>
      </w:r>
      <w:proofErr w:type="spellEnd"/>
      <w:r w:rsidRPr="00482684">
        <w:rPr>
          <w:sz w:val="24"/>
          <w:szCs w:val="24"/>
        </w:rPr>
        <w:t xml:space="preserve"> (IFIS, en variant af lille pupil syndrom) er blevet observeret hos visse patienter ved operation for grå stær eller grøn stær, hvis de behandles eller tidligere er blevet behandlet med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. IFIS kan øge risikoen for øjenkomplikationerne under og efter operationen. </w:t>
      </w:r>
      <w:proofErr w:type="spellStart"/>
      <w:r w:rsidRPr="00482684">
        <w:rPr>
          <w:sz w:val="24"/>
          <w:szCs w:val="24"/>
        </w:rPr>
        <w:t>Seponering</w:t>
      </w:r>
      <w:proofErr w:type="spellEnd"/>
      <w:r w:rsidRPr="00482684">
        <w:rPr>
          <w:sz w:val="24"/>
          <w:szCs w:val="24"/>
        </w:rPr>
        <w:t xml:space="preserve"> af </w:t>
      </w:r>
      <w:proofErr w:type="spellStart"/>
      <w:r w:rsidRPr="00482684">
        <w:rPr>
          <w:sz w:val="24"/>
          <w:szCs w:val="24"/>
        </w:rPr>
        <w:t>tamsulosinhydrochlorid</w:t>
      </w:r>
      <w:proofErr w:type="spellEnd"/>
      <w:r w:rsidRPr="00482684">
        <w:rPr>
          <w:sz w:val="24"/>
          <w:szCs w:val="24"/>
        </w:rPr>
        <w:t xml:space="preserve"> 1-2 uger før operation for grå stær eller grøn stær har anekdotisk vist sig at være nyttigt, men fordelen ved </w:t>
      </w:r>
      <w:proofErr w:type="spellStart"/>
      <w:r w:rsidRPr="00482684">
        <w:rPr>
          <w:sz w:val="24"/>
          <w:szCs w:val="24"/>
        </w:rPr>
        <w:t>seponering</w:t>
      </w:r>
      <w:proofErr w:type="spellEnd"/>
      <w:r w:rsidRPr="00482684">
        <w:rPr>
          <w:sz w:val="24"/>
          <w:szCs w:val="24"/>
        </w:rPr>
        <w:t xml:space="preserve"> af behandlingen er endnu ikke klarlagt. IFIS er også observeret hos patienter, hvor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har været seponeret i en længere periode før operationen.</w:t>
      </w:r>
    </w:p>
    <w:p w14:paraId="37E1EE78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Initiering af behandling med </w:t>
      </w:r>
      <w:proofErr w:type="spellStart"/>
      <w:r w:rsidRPr="00482684">
        <w:rPr>
          <w:sz w:val="24"/>
          <w:szCs w:val="24"/>
        </w:rPr>
        <w:t>tamsulosinhydrochlorid</w:t>
      </w:r>
      <w:proofErr w:type="spellEnd"/>
      <w:r w:rsidRPr="00482684">
        <w:rPr>
          <w:sz w:val="24"/>
          <w:szCs w:val="24"/>
        </w:rPr>
        <w:t xml:space="preserve"> hos patienter, hvor operation for grå stær eller grøn stær er planlagt, frarådes. Ved forundersøgelsen til operationen bør kirurgen og det </w:t>
      </w:r>
      <w:proofErr w:type="spellStart"/>
      <w:r w:rsidRPr="00482684">
        <w:rPr>
          <w:sz w:val="24"/>
          <w:szCs w:val="24"/>
        </w:rPr>
        <w:t>optalmologiske</w:t>
      </w:r>
      <w:proofErr w:type="spellEnd"/>
      <w:r w:rsidRPr="00482684">
        <w:rPr>
          <w:sz w:val="24"/>
          <w:szCs w:val="24"/>
        </w:rPr>
        <w:t xml:space="preserve"> team tage hensyn til, om patienten, som skal opereres for grå stær eller grøn stær, er i behandling eller har været i behandling med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>, således at der kan træffes de rette foranstaltninger til at håndtere IFIS under operationen.</w:t>
      </w:r>
    </w:p>
    <w:p w14:paraId="71863301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Tamsulosinhydrochlorid</w:t>
      </w:r>
      <w:proofErr w:type="spellEnd"/>
      <w:r w:rsidRPr="00482684">
        <w:rPr>
          <w:sz w:val="24"/>
          <w:szCs w:val="24"/>
        </w:rPr>
        <w:t xml:space="preserve"> bør ikke anvendes i kombination med stærke CYP3A4-hæmmere hos patienter med langsom metabolisme af CYP2D6-fænotype.</w:t>
      </w:r>
    </w:p>
    <w:p w14:paraId="445F9D28" w14:textId="07E323B4" w:rsid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Tamsulosinhydrochlorid</w:t>
      </w:r>
      <w:proofErr w:type="spellEnd"/>
      <w:r w:rsidRPr="00482684">
        <w:rPr>
          <w:sz w:val="24"/>
          <w:szCs w:val="24"/>
        </w:rPr>
        <w:t xml:space="preserve"> bør anvendes med forsigtighed i kombination med stærke og moderate CYP3A4-hæmmere (se pkt. 4.5).</w:t>
      </w:r>
    </w:p>
    <w:p w14:paraId="2FDD5362" w14:textId="77777777" w:rsidR="00981C7C" w:rsidRDefault="00981C7C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7AB83556" w14:textId="77777777" w:rsidR="00981C7C" w:rsidRDefault="00981C7C" w:rsidP="00981C7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bør udvises forsigtighed ved behandling af patienter med </w:t>
      </w:r>
      <w:proofErr w:type="spellStart"/>
      <w:r>
        <w:rPr>
          <w:sz w:val="24"/>
          <w:szCs w:val="24"/>
        </w:rPr>
        <w:t>miktionssynkope</w:t>
      </w:r>
      <w:proofErr w:type="spellEnd"/>
      <w:r>
        <w:rPr>
          <w:sz w:val="24"/>
          <w:szCs w:val="24"/>
        </w:rPr>
        <w:t xml:space="preserve"> i anamnesen.</w:t>
      </w:r>
    </w:p>
    <w:p w14:paraId="50597F97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260A4AAB" w14:textId="77777777" w:rsidR="00482684" w:rsidRPr="00482684" w:rsidRDefault="00482684" w:rsidP="0048268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482684">
        <w:rPr>
          <w:iCs/>
          <w:sz w:val="24"/>
          <w:szCs w:val="24"/>
          <w:u w:val="single"/>
        </w:rPr>
        <w:lastRenderedPageBreak/>
        <w:t>Hjælpestof</w:t>
      </w:r>
    </w:p>
    <w:p w14:paraId="73DF4B06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Dette lægemiddel indeholder mindre en 1 mmol (23 mg) natrium pr. kapsel, dvs. det er i det væsentlige natriumfrit.</w:t>
      </w:r>
    </w:p>
    <w:p w14:paraId="584E1B44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7D25A9A8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14:paraId="54555543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Interaktionsstudier er kun udført hos voksne.</w:t>
      </w:r>
    </w:p>
    <w:p w14:paraId="68B4C7CD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7A61E2DA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Der er ikke observeret interaktioner, når </w:t>
      </w:r>
      <w:proofErr w:type="spellStart"/>
      <w:r w:rsidRPr="00482684">
        <w:rPr>
          <w:sz w:val="24"/>
          <w:szCs w:val="24"/>
        </w:rPr>
        <w:t>tamsulosinhydrochlorid</w:t>
      </w:r>
      <w:proofErr w:type="spellEnd"/>
      <w:r w:rsidRPr="00482684">
        <w:rPr>
          <w:sz w:val="24"/>
          <w:szCs w:val="24"/>
        </w:rPr>
        <w:t xml:space="preserve"> gives sammen med enten </w:t>
      </w:r>
      <w:proofErr w:type="spellStart"/>
      <w:r w:rsidRPr="00482684">
        <w:rPr>
          <w:sz w:val="24"/>
          <w:szCs w:val="24"/>
        </w:rPr>
        <w:t>atenolol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enalapril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nifedipin</w:t>
      </w:r>
      <w:proofErr w:type="spellEnd"/>
      <w:r w:rsidRPr="00482684">
        <w:rPr>
          <w:sz w:val="24"/>
          <w:szCs w:val="24"/>
        </w:rPr>
        <w:t xml:space="preserve"> eller </w:t>
      </w:r>
      <w:proofErr w:type="spellStart"/>
      <w:r w:rsidRPr="00482684">
        <w:rPr>
          <w:sz w:val="24"/>
          <w:szCs w:val="24"/>
        </w:rPr>
        <w:t>theophyllin</w:t>
      </w:r>
      <w:proofErr w:type="spellEnd"/>
      <w:r w:rsidRPr="00482684">
        <w:rPr>
          <w:sz w:val="24"/>
          <w:szCs w:val="24"/>
        </w:rPr>
        <w:t xml:space="preserve">. Sammen med </w:t>
      </w:r>
      <w:proofErr w:type="spellStart"/>
      <w:r w:rsidRPr="00482684">
        <w:rPr>
          <w:sz w:val="24"/>
          <w:szCs w:val="24"/>
        </w:rPr>
        <w:t>cimetidin</w:t>
      </w:r>
      <w:proofErr w:type="spellEnd"/>
      <w:r w:rsidRPr="00482684">
        <w:rPr>
          <w:sz w:val="24"/>
          <w:szCs w:val="24"/>
        </w:rPr>
        <w:t xml:space="preserve"> stiger plasmaniveauet for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, og sammen med </w:t>
      </w:r>
      <w:proofErr w:type="spellStart"/>
      <w:r w:rsidRPr="00482684">
        <w:rPr>
          <w:sz w:val="24"/>
          <w:szCs w:val="24"/>
        </w:rPr>
        <w:t>furosemid</w:t>
      </w:r>
      <w:proofErr w:type="spellEnd"/>
      <w:r w:rsidRPr="00482684">
        <w:rPr>
          <w:sz w:val="24"/>
          <w:szCs w:val="24"/>
        </w:rPr>
        <w:t xml:space="preserve"> falder plasmaniveauet. Det er dog ikke nødvendigt at ændre doseringen, da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bliver inden for det normale område.</w:t>
      </w:r>
    </w:p>
    <w:p w14:paraId="1848CE2B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Hverken </w:t>
      </w:r>
      <w:proofErr w:type="spellStart"/>
      <w:r w:rsidRPr="00482684">
        <w:rPr>
          <w:sz w:val="24"/>
          <w:szCs w:val="24"/>
        </w:rPr>
        <w:t>diazepam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propranolol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trichlormethiazid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chlormadinon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amitriptylin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diclofenac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glibenclamid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simvastatin</w:t>
      </w:r>
      <w:proofErr w:type="spellEnd"/>
      <w:r w:rsidRPr="00482684">
        <w:rPr>
          <w:sz w:val="24"/>
          <w:szCs w:val="24"/>
        </w:rPr>
        <w:t xml:space="preserve"> eller </w:t>
      </w:r>
      <w:proofErr w:type="spellStart"/>
      <w:r w:rsidRPr="00482684">
        <w:rPr>
          <w:sz w:val="24"/>
          <w:szCs w:val="24"/>
        </w:rPr>
        <w:t>warfarin</w:t>
      </w:r>
      <w:proofErr w:type="spellEnd"/>
      <w:r w:rsidRPr="00482684">
        <w:rPr>
          <w:sz w:val="24"/>
          <w:szCs w:val="24"/>
        </w:rPr>
        <w:t xml:space="preserve"> ændrer den frie fraktion af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i </w:t>
      </w:r>
      <w:proofErr w:type="gramStart"/>
      <w:r w:rsidRPr="00482684">
        <w:rPr>
          <w:sz w:val="24"/>
          <w:szCs w:val="24"/>
        </w:rPr>
        <w:t>human plasma</w:t>
      </w:r>
      <w:proofErr w:type="gramEnd"/>
      <w:r w:rsidRPr="00482684">
        <w:rPr>
          <w:sz w:val="24"/>
          <w:szCs w:val="24"/>
        </w:rPr>
        <w:t xml:space="preserve"> </w:t>
      </w:r>
      <w:r w:rsidRPr="00482684">
        <w:rPr>
          <w:i/>
          <w:sz w:val="24"/>
          <w:szCs w:val="24"/>
        </w:rPr>
        <w:t xml:space="preserve">in </w:t>
      </w:r>
      <w:proofErr w:type="spellStart"/>
      <w:r w:rsidRPr="00482684">
        <w:rPr>
          <w:i/>
          <w:sz w:val="24"/>
          <w:szCs w:val="24"/>
        </w:rPr>
        <w:t>vitro</w:t>
      </w:r>
      <w:proofErr w:type="spellEnd"/>
      <w:r w:rsidRPr="00482684">
        <w:rPr>
          <w:sz w:val="24"/>
          <w:szCs w:val="24"/>
        </w:rPr>
        <w:t xml:space="preserve">.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ændrer heller ikke de frie fraktioner af </w:t>
      </w:r>
      <w:proofErr w:type="spellStart"/>
      <w:r w:rsidRPr="00482684">
        <w:rPr>
          <w:sz w:val="24"/>
          <w:szCs w:val="24"/>
        </w:rPr>
        <w:t>diazepam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propranolol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trichlormethiazid</w:t>
      </w:r>
      <w:proofErr w:type="spellEnd"/>
      <w:r w:rsidRPr="00482684">
        <w:rPr>
          <w:sz w:val="24"/>
          <w:szCs w:val="24"/>
        </w:rPr>
        <w:t xml:space="preserve"> og </w:t>
      </w:r>
      <w:proofErr w:type="spellStart"/>
      <w:r w:rsidRPr="00482684">
        <w:rPr>
          <w:sz w:val="24"/>
          <w:szCs w:val="24"/>
        </w:rPr>
        <w:t>chlormadinon</w:t>
      </w:r>
      <w:proofErr w:type="spellEnd"/>
      <w:r w:rsidRPr="00482684">
        <w:rPr>
          <w:sz w:val="24"/>
          <w:szCs w:val="24"/>
        </w:rPr>
        <w:t>.</w:t>
      </w:r>
    </w:p>
    <w:p w14:paraId="3C19FC99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Diclofenac</w:t>
      </w:r>
      <w:proofErr w:type="spellEnd"/>
      <w:r w:rsidRPr="00482684">
        <w:rPr>
          <w:sz w:val="24"/>
          <w:szCs w:val="24"/>
        </w:rPr>
        <w:t xml:space="preserve"> og </w:t>
      </w:r>
      <w:proofErr w:type="spellStart"/>
      <w:r w:rsidRPr="00482684">
        <w:rPr>
          <w:sz w:val="24"/>
          <w:szCs w:val="24"/>
        </w:rPr>
        <w:t>warfarin</w:t>
      </w:r>
      <w:proofErr w:type="spellEnd"/>
      <w:r w:rsidRPr="00482684">
        <w:rPr>
          <w:sz w:val="24"/>
          <w:szCs w:val="24"/>
        </w:rPr>
        <w:t xml:space="preserve"> kan dog øge eliminationshastigheden af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>.</w:t>
      </w:r>
    </w:p>
    <w:p w14:paraId="4BFC3D2B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Samtidig administration af </w:t>
      </w:r>
      <w:proofErr w:type="spellStart"/>
      <w:r w:rsidRPr="00482684">
        <w:rPr>
          <w:sz w:val="24"/>
          <w:szCs w:val="24"/>
        </w:rPr>
        <w:t>tamsulosinhydrochlorid</w:t>
      </w:r>
      <w:proofErr w:type="spellEnd"/>
      <w:r w:rsidRPr="00482684">
        <w:rPr>
          <w:sz w:val="24"/>
          <w:szCs w:val="24"/>
        </w:rPr>
        <w:t xml:space="preserve"> og stærke CYP3A4-hæmmere kan føre til øget eksponering for </w:t>
      </w:r>
      <w:proofErr w:type="spellStart"/>
      <w:r w:rsidRPr="00482684">
        <w:rPr>
          <w:sz w:val="24"/>
          <w:szCs w:val="24"/>
        </w:rPr>
        <w:t>tamsulosinhydrochlorid</w:t>
      </w:r>
      <w:proofErr w:type="spellEnd"/>
      <w:r w:rsidRPr="00482684">
        <w:rPr>
          <w:sz w:val="24"/>
          <w:szCs w:val="24"/>
        </w:rPr>
        <w:t xml:space="preserve">. Samtidig administrering med </w:t>
      </w:r>
      <w:proofErr w:type="spellStart"/>
      <w:r w:rsidRPr="00482684">
        <w:rPr>
          <w:sz w:val="24"/>
          <w:szCs w:val="24"/>
        </w:rPr>
        <w:t>ketoconazol</w:t>
      </w:r>
      <w:proofErr w:type="spellEnd"/>
      <w:r w:rsidRPr="00482684">
        <w:rPr>
          <w:sz w:val="24"/>
          <w:szCs w:val="24"/>
        </w:rPr>
        <w:t xml:space="preserve"> (en kendt stærk CYP3A4-hæmmer) resulterede i øget AUC og </w:t>
      </w:r>
      <w:proofErr w:type="spellStart"/>
      <w:r w:rsidRPr="00482684">
        <w:rPr>
          <w:sz w:val="24"/>
          <w:szCs w:val="24"/>
        </w:rPr>
        <w:t>C</w:t>
      </w:r>
      <w:r w:rsidRPr="00482684">
        <w:rPr>
          <w:sz w:val="24"/>
          <w:szCs w:val="24"/>
          <w:vertAlign w:val="subscript"/>
        </w:rPr>
        <w:t>max</w:t>
      </w:r>
      <w:proofErr w:type="spellEnd"/>
      <w:r w:rsidRPr="00482684">
        <w:rPr>
          <w:sz w:val="24"/>
          <w:szCs w:val="24"/>
        </w:rPr>
        <w:t xml:space="preserve"> for </w:t>
      </w:r>
      <w:proofErr w:type="spellStart"/>
      <w:r w:rsidRPr="00482684">
        <w:rPr>
          <w:sz w:val="24"/>
          <w:szCs w:val="24"/>
        </w:rPr>
        <w:t>tamsulosinhydro</w:t>
      </w:r>
      <w:r w:rsidRPr="00482684">
        <w:rPr>
          <w:sz w:val="24"/>
          <w:szCs w:val="24"/>
        </w:rPr>
        <w:softHyphen/>
        <w:t>chlorid</w:t>
      </w:r>
      <w:proofErr w:type="spellEnd"/>
      <w:r w:rsidRPr="00482684">
        <w:rPr>
          <w:sz w:val="24"/>
          <w:szCs w:val="24"/>
        </w:rPr>
        <w:t xml:space="preserve"> med henholdsvis faktor 2,8 og 2,2.</w:t>
      </w:r>
    </w:p>
    <w:p w14:paraId="26C36E51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Tamsulosinhydrochlorid</w:t>
      </w:r>
      <w:proofErr w:type="spellEnd"/>
      <w:r w:rsidRPr="00482684">
        <w:rPr>
          <w:sz w:val="24"/>
          <w:szCs w:val="24"/>
        </w:rPr>
        <w:t xml:space="preserve"> bør ikke gives samtidig med stærke CYP3A4-hæmmere hos patienter med langsom metabolisme af CYP2D6-fænotype.</w:t>
      </w:r>
    </w:p>
    <w:p w14:paraId="326BEF25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Tamsulosinhydrochlorid</w:t>
      </w:r>
      <w:proofErr w:type="spellEnd"/>
      <w:r w:rsidRPr="00482684">
        <w:rPr>
          <w:sz w:val="24"/>
          <w:szCs w:val="24"/>
        </w:rPr>
        <w:t xml:space="preserve"> bør anvendes med forsigtighed samtidig med stærke og moderate CYP3A4-hæmmere.</w:t>
      </w:r>
    </w:p>
    <w:p w14:paraId="71C2307C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Samtidig administration af </w:t>
      </w:r>
      <w:proofErr w:type="spellStart"/>
      <w:r w:rsidRPr="00482684">
        <w:rPr>
          <w:sz w:val="24"/>
          <w:szCs w:val="24"/>
        </w:rPr>
        <w:t>tamsulosinhydrochlorid</w:t>
      </w:r>
      <w:proofErr w:type="spellEnd"/>
      <w:r w:rsidRPr="00482684">
        <w:rPr>
          <w:sz w:val="24"/>
          <w:szCs w:val="24"/>
        </w:rPr>
        <w:t xml:space="preserve"> og </w:t>
      </w:r>
      <w:proofErr w:type="spellStart"/>
      <w:r w:rsidRPr="00482684">
        <w:rPr>
          <w:sz w:val="24"/>
          <w:szCs w:val="24"/>
        </w:rPr>
        <w:t>paroxetin</w:t>
      </w:r>
      <w:proofErr w:type="spellEnd"/>
      <w:r w:rsidRPr="00482684">
        <w:rPr>
          <w:sz w:val="24"/>
          <w:szCs w:val="24"/>
        </w:rPr>
        <w:t xml:space="preserve">, som er en stærk CYP2D6-hæmmer, resulterede i, at </w:t>
      </w:r>
      <w:proofErr w:type="spellStart"/>
      <w:r w:rsidRPr="00482684">
        <w:rPr>
          <w:sz w:val="24"/>
          <w:szCs w:val="24"/>
        </w:rPr>
        <w:t>tamsulosins</w:t>
      </w:r>
      <w:proofErr w:type="spellEnd"/>
      <w:r w:rsidRPr="00482684">
        <w:rPr>
          <w:sz w:val="24"/>
          <w:szCs w:val="24"/>
        </w:rPr>
        <w:t xml:space="preserve"> </w:t>
      </w:r>
      <w:proofErr w:type="spellStart"/>
      <w:r w:rsidRPr="00482684">
        <w:rPr>
          <w:sz w:val="24"/>
          <w:szCs w:val="24"/>
        </w:rPr>
        <w:t>C</w:t>
      </w:r>
      <w:r w:rsidRPr="00482684">
        <w:rPr>
          <w:sz w:val="24"/>
          <w:szCs w:val="24"/>
          <w:vertAlign w:val="subscript"/>
        </w:rPr>
        <w:t>max</w:t>
      </w:r>
      <w:proofErr w:type="spellEnd"/>
      <w:r w:rsidRPr="00482684">
        <w:rPr>
          <w:sz w:val="24"/>
          <w:szCs w:val="24"/>
        </w:rPr>
        <w:t xml:space="preserve"> og AUC blev forøget med henholdsvis faktor 1,3 og 1,6, men disse stigninger betragtes ikke som klinisk relevante.</w:t>
      </w:r>
    </w:p>
    <w:p w14:paraId="41CB0147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Samtidig indtagelse af andre α</w:t>
      </w:r>
      <w:r w:rsidRPr="00482684">
        <w:rPr>
          <w:sz w:val="24"/>
          <w:szCs w:val="24"/>
          <w:vertAlign w:val="subscript"/>
        </w:rPr>
        <w:t>1</w:t>
      </w:r>
      <w:r w:rsidRPr="00482684">
        <w:rPr>
          <w:sz w:val="24"/>
          <w:szCs w:val="24"/>
        </w:rPr>
        <w:t xml:space="preserve">-adrenoreceptor-antagonister kan medføre </w:t>
      </w:r>
      <w:proofErr w:type="spellStart"/>
      <w:r w:rsidRPr="00482684">
        <w:rPr>
          <w:sz w:val="24"/>
          <w:szCs w:val="24"/>
        </w:rPr>
        <w:t>hypotensive</w:t>
      </w:r>
      <w:proofErr w:type="spellEnd"/>
      <w:r w:rsidRPr="00482684">
        <w:rPr>
          <w:sz w:val="24"/>
          <w:szCs w:val="24"/>
        </w:rPr>
        <w:t xml:space="preserve"> reaktioner.</w:t>
      </w:r>
    </w:p>
    <w:p w14:paraId="49C7FBD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14619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71241E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14:paraId="34413726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er ikke indiceret til behandling af kvinder.</w:t>
      </w:r>
    </w:p>
    <w:p w14:paraId="44ED73A5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Ejakulationslidelser er blevet observeret i kort- og langvarige kliniske studier med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>. Tilfælde af ejakulationslidelser, retrograd ejakulation og ejakulationssvigt er blevet rapporteret efter markedsføring.</w:t>
      </w:r>
    </w:p>
    <w:p w14:paraId="041628D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28A3E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 w:rsidR="0071241E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14:paraId="6F23D34A" w14:textId="58253E6F" w:rsidR="009260DE" w:rsidRDefault="00E72DDC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</w:t>
      </w:r>
      <w:r w:rsidR="00482684">
        <w:rPr>
          <w:sz w:val="24"/>
          <w:szCs w:val="24"/>
        </w:rPr>
        <w:t>ærkning.</w:t>
      </w:r>
    </w:p>
    <w:p w14:paraId="1158BDBD" w14:textId="77777777" w:rsidR="00482684" w:rsidRDefault="00482684" w:rsidP="00482684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Der er ikke udført studier af indflydelsen på evnen til at køre bil og betjene maskiner. Patienter skal dog være opmærksomme på, at der kan opstå svimmelhed.</w:t>
      </w:r>
    </w:p>
    <w:p w14:paraId="4C6DB4F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C3738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14:paraId="26F1D309" w14:textId="77777777" w:rsidR="00482684" w:rsidRDefault="00482684" w:rsidP="00482684">
      <w:pPr>
        <w:tabs>
          <w:tab w:val="left" w:pos="851"/>
        </w:tabs>
        <w:ind w:left="851"/>
        <w:rPr>
          <w:sz w:val="24"/>
          <w:szCs w:val="24"/>
          <w:lang w:val="nb-NO"/>
        </w:rPr>
      </w:pPr>
    </w:p>
    <w:p w14:paraId="56C868E1" w14:textId="2639B878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  <w:lang w:val="nb-NO"/>
        </w:rPr>
      </w:pPr>
      <w:r w:rsidRPr="00482684">
        <w:rPr>
          <w:sz w:val="24"/>
          <w:szCs w:val="24"/>
          <w:u w:val="single"/>
          <w:lang w:val="nb-NO"/>
        </w:rPr>
        <w:t>Liste over bivirkninger i tabelform</w:t>
      </w:r>
    </w:p>
    <w:p w14:paraId="616C55AE" w14:textId="4B8C7517" w:rsid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Hyppigheden af bivirkninger af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anført nedenfor er defineret ved hjælp af følgende konvention: Almindelig (</w:t>
      </w:r>
      <w:r w:rsidRPr="00482684">
        <w:rPr>
          <w:sz w:val="24"/>
          <w:szCs w:val="24"/>
        </w:rPr>
        <w:sym w:font="Symbol" w:char="F0B3"/>
      </w:r>
      <w:r w:rsidRPr="00482684">
        <w:rPr>
          <w:sz w:val="24"/>
          <w:szCs w:val="24"/>
        </w:rPr>
        <w:t xml:space="preserve"> 1/100 til &lt; 1/10), ikke almindelig (</w:t>
      </w:r>
      <w:r w:rsidRPr="00482684">
        <w:rPr>
          <w:sz w:val="24"/>
          <w:szCs w:val="24"/>
        </w:rPr>
        <w:sym w:font="Symbol" w:char="F0B3"/>
      </w:r>
      <w:r w:rsidRPr="00482684">
        <w:rPr>
          <w:sz w:val="24"/>
          <w:szCs w:val="24"/>
        </w:rPr>
        <w:t xml:space="preserve"> 1/1.000 til &lt; 1/100), sjælden (</w:t>
      </w:r>
      <w:r w:rsidRPr="00482684">
        <w:rPr>
          <w:sz w:val="24"/>
          <w:szCs w:val="24"/>
        </w:rPr>
        <w:sym w:font="Symbol" w:char="F0B3"/>
      </w:r>
      <w:r w:rsidRPr="00482684">
        <w:rPr>
          <w:sz w:val="24"/>
          <w:szCs w:val="24"/>
        </w:rPr>
        <w:t xml:space="preserve"> 1/10.000 til &lt; 1/1.000), meget sjælden (&lt; 1/10.000), ikke kendt (kan ikke estimeret ud fra forhåndenværende data).</w:t>
      </w:r>
    </w:p>
    <w:p w14:paraId="6674C94C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Tabel-Gitter"/>
        <w:tblW w:w="8647" w:type="dxa"/>
        <w:tblInd w:w="846" w:type="dxa"/>
        <w:tblLook w:val="04A0" w:firstRow="1" w:lastRow="0" w:firstColumn="1" w:lastColumn="0" w:noHBand="0" w:noVBand="1"/>
      </w:tblPr>
      <w:tblGrid>
        <w:gridCol w:w="3969"/>
        <w:gridCol w:w="1730"/>
        <w:gridCol w:w="2948"/>
      </w:tblGrid>
      <w:tr w:rsidR="00482684" w:rsidRPr="00482684" w14:paraId="45A83D57" w14:textId="77777777" w:rsidTr="00482684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DB2A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b/>
                <w:bCs/>
                <w:sz w:val="24"/>
                <w:szCs w:val="24"/>
                <w:lang w:val="en-GB"/>
              </w:rPr>
              <w:t xml:space="preserve">MedDRA </w:t>
            </w:r>
            <w:r w:rsidRPr="00482684">
              <w:rPr>
                <w:b/>
                <w:bCs/>
                <w:sz w:val="24"/>
                <w:szCs w:val="24"/>
                <w:lang w:val="el-GR"/>
              </w:rPr>
              <w:t>s</w:t>
            </w:r>
            <w:r w:rsidRPr="00482684">
              <w:rPr>
                <w:b/>
                <w:sz w:val="24"/>
                <w:szCs w:val="24"/>
                <w:lang w:val="el-GR"/>
              </w:rPr>
              <w:t>ystemorganklasse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A3C4" w14:textId="77777777" w:rsidR="00482684" w:rsidRPr="00482684" w:rsidRDefault="00482684" w:rsidP="00482684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b/>
                <w:bCs/>
                <w:sz w:val="24"/>
                <w:szCs w:val="24"/>
                <w:lang w:val="en-GB"/>
              </w:rPr>
              <w:t>Frekvens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50F2" w14:textId="77777777" w:rsidR="00482684" w:rsidRPr="00482684" w:rsidRDefault="00482684" w:rsidP="00482684">
            <w:pPr>
              <w:ind w:left="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b/>
                <w:bCs/>
                <w:sz w:val="24"/>
                <w:szCs w:val="24"/>
                <w:lang w:val="el-GR"/>
              </w:rPr>
              <w:t>Bivirkning</w:t>
            </w:r>
          </w:p>
        </w:tc>
      </w:tr>
      <w:tr w:rsidR="00482684" w:rsidRPr="00482684" w14:paraId="3FA59D38" w14:textId="77777777" w:rsidTr="00482684">
        <w:trPr>
          <w:trHeight w:val="28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FBF5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lastRenderedPageBreak/>
              <w:t>Nervesystemet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DF8A" w14:textId="77777777" w:rsidR="00482684" w:rsidRPr="00482684" w:rsidRDefault="00482684" w:rsidP="00482684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Almindelig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7C6F" w14:textId="77777777" w:rsidR="00482684" w:rsidRPr="00482684" w:rsidRDefault="00482684" w:rsidP="00482684">
            <w:pPr>
              <w:ind w:left="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Svimmelhed (1,3 %)</w:t>
            </w:r>
          </w:p>
        </w:tc>
      </w:tr>
      <w:tr w:rsidR="00482684" w:rsidRPr="00482684" w14:paraId="010DC5C1" w14:textId="77777777" w:rsidTr="0048268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4097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B320" w14:textId="77777777" w:rsidR="00482684" w:rsidRPr="00482684" w:rsidRDefault="00482684" w:rsidP="00482684">
            <w:pPr>
              <w:rPr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482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2684">
              <w:rPr>
                <w:sz w:val="24"/>
                <w:szCs w:val="24"/>
                <w:lang w:val="en-GB"/>
              </w:rPr>
              <w:t>almindelig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BD66" w14:textId="77777777" w:rsidR="00482684" w:rsidRPr="00482684" w:rsidRDefault="00482684" w:rsidP="00482684">
            <w:pPr>
              <w:ind w:left="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Hovedpine</w:t>
            </w:r>
          </w:p>
        </w:tc>
      </w:tr>
      <w:tr w:rsidR="00482684" w:rsidRPr="00482684" w14:paraId="52F5278B" w14:textId="77777777" w:rsidTr="0048268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2C79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C9A5" w14:textId="77777777" w:rsidR="00482684" w:rsidRPr="00482684" w:rsidRDefault="00482684" w:rsidP="00482684">
            <w:pPr>
              <w:rPr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Sjælden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79F2" w14:textId="77777777" w:rsidR="00482684" w:rsidRPr="00482684" w:rsidRDefault="00482684" w:rsidP="00482684">
            <w:pPr>
              <w:ind w:left="3"/>
              <w:rPr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Synkope</w:t>
            </w:r>
          </w:p>
        </w:tc>
      </w:tr>
      <w:tr w:rsidR="00482684" w:rsidRPr="00482684" w14:paraId="3693E243" w14:textId="77777777" w:rsidTr="00482684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F3F0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Øjne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FC01" w14:textId="77777777" w:rsidR="00482684" w:rsidRPr="00482684" w:rsidRDefault="00482684" w:rsidP="00482684">
            <w:pPr>
              <w:rPr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482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2684">
              <w:rPr>
                <w:sz w:val="24"/>
                <w:szCs w:val="24"/>
                <w:lang w:val="en-GB"/>
              </w:rPr>
              <w:t>kendt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8694" w14:textId="77777777" w:rsidR="00482684" w:rsidRPr="00482684" w:rsidRDefault="00482684" w:rsidP="00482684">
            <w:pPr>
              <w:ind w:left="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Sløret syn*, nedsat syn*</w:t>
            </w:r>
          </w:p>
        </w:tc>
      </w:tr>
      <w:tr w:rsidR="00482684" w:rsidRPr="00482684" w14:paraId="179EA771" w14:textId="77777777" w:rsidTr="00482684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FFFA" w14:textId="77777777" w:rsidR="00482684" w:rsidRPr="00482684" w:rsidRDefault="00482684" w:rsidP="00482684">
            <w:pPr>
              <w:ind w:left="33"/>
              <w:rPr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Hjerte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F947" w14:textId="77777777" w:rsidR="00482684" w:rsidRPr="00482684" w:rsidRDefault="00482684" w:rsidP="00482684">
            <w:pPr>
              <w:rPr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482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2684">
              <w:rPr>
                <w:sz w:val="24"/>
                <w:szCs w:val="24"/>
                <w:lang w:val="en-GB"/>
              </w:rPr>
              <w:t>almindelig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025E" w14:textId="77777777" w:rsidR="00482684" w:rsidRPr="00482684" w:rsidRDefault="00482684" w:rsidP="00482684">
            <w:pPr>
              <w:ind w:left="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Palpitationer</w:t>
            </w:r>
          </w:p>
        </w:tc>
      </w:tr>
      <w:tr w:rsidR="00482684" w:rsidRPr="00482684" w14:paraId="540546B4" w14:textId="77777777" w:rsidTr="00482684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64FB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bCs/>
                <w:sz w:val="24"/>
                <w:szCs w:val="24"/>
                <w:lang w:val="el-GR"/>
              </w:rPr>
              <w:t>Vaskulære sygdomme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BD3D" w14:textId="77777777" w:rsidR="00482684" w:rsidRPr="00482684" w:rsidRDefault="00482684" w:rsidP="00482684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482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2684">
              <w:rPr>
                <w:sz w:val="24"/>
                <w:szCs w:val="24"/>
                <w:lang w:val="en-GB"/>
              </w:rPr>
              <w:t>almindelig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8EA6" w14:textId="77777777" w:rsidR="00482684" w:rsidRPr="00482684" w:rsidRDefault="00482684" w:rsidP="00482684">
            <w:pPr>
              <w:ind w:left="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Ortostatisk hypotension</w:t>
            </w:r>
          </w:p>
        </w:tc>
      </w:tr>
      <w:tr w:rsidR="00482684" w:rsidRPr="00482684" w14:paraId="27DF9F90" w14:textId="77777777" w:rsidTr="00482684">
        <w:trPr>
          <w:trHeight w:val="28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3D68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Luftveje, thorax og mediastinum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ACB3" w14:textId="77777777" w:rsidR="00482684" w:rsidRPr="00482684" w:rsidRDefault="00482684" w:rsidP="00482684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482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2684">
              <w:rPr>
                <w:sz w:val="24"/>
                <w:szCs w:val="24"/>
                <w:lang w:val="en-GB"/>
              </w:rPr>
              <w:t>almindelig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3AC6" w14:textId="77777777" w:rsidR="00482684" w:rsidRPr="00482684" w:rsidRDefault="00482684" w:rsidP="00482684">
            <w:pPr>
              <w:ind w:left="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Rhinitis</w:t>
            </w:r>
          </w:p>
        </w:tc>
      </w:tr>
      <w:tr w:rsidR="00482684" w:rsidRPr="00482684" w14:paraId="2866F7E8" w14:textId="77777777" w:rsidTr="0048268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24CA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2C2E" w14:textId="77777777" w:rsidR="00482684" w:rsidRPr="00482684" w:rsidRDefault="00482684" w:rsidP="00482684">
            <w:pPr>
              <w:rPr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482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2684">
              <w:rPr>
                <w:sz w:val="24"/>
                <w:szCs w:val="24"/>
                <w:lang w:val="en-GB"/>
              </w:rPr>
              <w:t>kendt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AF88" w14:textId="77777777" w:rsidR="00482684" w:rsidRPr="00482684" w:rsidRDefault="00482684" w:rsidP="00482684">
            <w:pPr>
              <w:ind w:left="3"/>
              <w:rPr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Epistaxis*</w:t>
            </w:r>
          </w:p>
        </w:tc>
      </w:tr>
      <w:tr w:rsidR="00482684" w:rsidRPr="00482684" w14:paraId="313E1A7F" w14:textId="77777777" w:rsidTr="00482684">
        <w:trPr>
          <w:trHeight w:val="56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50BB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Mave-tarm-kanalen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DA6C" w14:textId="77777777" w:rsidR="00482684" w:rsidRPr="00482684" w:rsidRDefault="00482684" w:rsidP="00482684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482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2684">
              <w:rPr>
                <w:sz w:val="24"/>
                <w:szCs w:val="24"/>
                <w:lang w:val="en-GB"/>
              </w:rPr>
              <w:t>almindelig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1575" w14:textId="77777777" w:rsidR="00482684" w:rsidRPr="00482684" w:rsidRDefault="00482684" w:rsidP="00482684">
            <w:pPr>
              <w:ind w:left="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Obstipation, diarré, kvalme, opkastning</w:t>
            </w:r>
          </w:p>
        </w:tc>
      </w:tr>
      <w:tr w:rsidR="00482684" w:rsidRPr="00482684" w14:paraId="1E716690" w14:textId="77777777" w:rsidTr="0048268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50AE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F52F" w14:textId="77777777" w:rsidR="00482684" w:rsidRPr="00482684" w:rsidRDefault="00482684" w:rsidP="00482684">
            <w:pPr>
              <w:rPr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482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2684">
              <w:rPr>
                <w:sz w:val="24"/>
                <w:szCs w:val="24"/>
                <w:lang w:val="en-GB"/>
              </w:rPr>
              <w:t>kendt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DAFA" w14:textId="77777777" w:rsidR="00482684" w:rsidRPr="00482684" w:rsidRDefault="00482684" w:rsidP="00482684">
            <w:pPr>
              <w:ind w:left="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Mundtørhed</w:t>
            </w:r>
            <w:r w:rsidRPr="00482684">
              <w:rPr>
                <w:sz w:val="24"/>
                <w:szCs w:val="24"/>
                <w:lang w:val="en-GB"/>
              </w:rPr>
              <w:t>*</w:t>
            </w:r>
          </w:p>
        </w:tc>
      </w:tr>
      <w:tr w:rsidR="00482684" w:rsidRPr="00482684" w14:paraId="729C3E09" w14:textId="77777777" w:rsidTr="00482684">
        <w:trPr>
          <w:trHeight w:val="28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6F8F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bCs/>
                <w:sz w:val="24"/>
                <w:szCs w:val="24"/>
                <w:lang w:val="el-GR"/>
              </w:rPr>
              <w:t>Hud og subkutane væv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CB91" w14:textId="77777777" w:rsidR="00482684" w:rsidRPr="00482684" w:rsidRDefault="00482684" w:rsidP="00482684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482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2684">
              <w:rPr>
                <w:sz w:val="24"/>
                <w:szCs w:val="24"/>
                <w:lang w:val="en-GB"/>
              </w:rPr>
              <w:t>almindelig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5503" w14:textId="77777777" w:rsidR="00482684" w:rsidRPr="00482684" w:rsidRDefault="00482684" w:rsidP="00482684">
            <w:pPr>
              <w:ind w:left="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Udslæt, pruritus, urticaria</w:t>
            </w:r>
          </w:p>
        </w:tc>
      </w:tr>
      <w:tr w:rsidR="00482684" w:rsidRPr="00482684" w14:paraId="0C6EBA1A" w14:textId="77777777" w:rsidTr="0048268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D953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414F" w14:textId="77777777" w:rsidR="00482684" w:rsidRPr="00482684" w:rsidRDefault="00482684" w:rsidP="00482684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Sjælden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4CCA" w14:textId="77777777" w:rsidR="00482684" w:rsidRPr="00482684" w:rsidRDefault="00482684" w:rsidP="00482684">
            <w:pPr>
              <w:ind w:left="3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Angioødem</w:t>
            </w:r>
          </w:p>
        </w:tc>
      </w:tr>
      <w:tr w:rsidR="00482684" w:rsidRPr="00482684" w14:paraId="4C4278B3" w14:textId="77777777" w:rsidTr="0048268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2D52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6D45" w14:textId="77777777" w:rsidR="00482684" w:rsidRPr="00482684" w:rsidRDefault="00482684" w:rsidP="00482684">
            <w:pPr>
              <w:rPr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Meget</w:t>
            </w:r>
            <w:proofErr w:type="spellEnd"/>
            <w:r w:rsidRPr="00482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2684">
              <w:rPr>
                <w:sz w:val="24"/>
                <w:szCs w:val="24"/>
                <w:lang w:val="en-GB"/>
              </w:rPr>
              <w:t>sjælden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B8AC" w14:textId="77777777" w:rsidR="00482684" w:rsidRPr="00482684" w:rsidRDefault="00482684" w:rsidP="00482684">
            <w:pPr>
              <w:ind w:left="3"/>
              <w:rPr>
                <w:sz w:val="24"/>
                <w:szCs w:val="24"/>
                <w:lang w:val="el-GR"/>
              </w:rPr>
            </w:pPr>
            <w:r w:rsidRPr="00482684">
              <w:rPr>
                <w:sz w:val="24"/>
                <w:szCs w:val="24"/>
                <w:lang w:val="el-GR"/>
              </w:rPr>
              <w:t>Stevens-Johnson syndrom</w:t>
            </w:r>
          </w:p>
        </w:tc>
      </w:tr>
      <w:tr w:rsidR="00482684" w:rsidRPr="00482684" w14:paraId="3E06244E" w14:textId="77777777" w:rsidTr="0048268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392E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5E7F" w14:textId="77777777" w:rsidR="00482684" w:rsidRPr="00482684" w:rsidRDefault="00482684" w:rsidP="00482684">
            <w:pPr>
              <w:rPr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482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2684">
              <w:rPr>
                <w:sz w:val="24"/>
                <w:szCs w:val="24"/>
                <w:lang w:val="en-GB"/>
              </w:rPr>
              <w:t>kendt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FE3C" w14:textId="77777777" w:rsidR="00482684" w:rsidRPr="00482684" w:rsidRDefault="00482684" w:rsidP="00482684">
            <w:pPr>
              <w:ind w:left="3"/>
              <w:rPr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Erythema multiforme*, eksfoliativ dermatitis*</w:t>
            </w:r>
          </w:p>
        </w:tc>
      </w:tr>
      <w:tr w:rsidR="00482684" w:rsidRPr="00482684" w14:paraId="5509F59D" w14:textId="77777777" w:rsidTr="00482684">
        <w:trPr>
          <w:trHeight w:val="79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9C61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l-GR"/>
              </w:rPr>
            </w:pPr>
            <w:r w:rsidRPr="00482684">
              <w:rPr>
                <w:sz w:val="24"/>
                <w:szCs w:val="24"/>
                <w:lang w:val="el-GR"/>
              </w:rPr>
              <w:t>Det reproduktive system og mammae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920" w14:textId="77777777" w:rsidR="00482684" w:rsidRPr="00482684" w:rsidRDefault="00482684" w:rsidP="00482684">
            <w:pPr>
              <w:rPr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Almindelig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9D5" w14:textId="77777777" w:rsidR="00482684" w:rsidRPr="00482684" w:rsidRDefault="00482684" w:rsidP="00482684">
            <w:pPr>
              <w:ind w:left="3"/>
              <w:rPr>
                <w:b/>
                <w:bCs/>
                <w:sz w:val="24"/>
                <w:szCs w:val="24"/>
                <w:lang w:val="el-GR"/>
              </w:rPr>
            </w:pPr>
            <w:r w:rsidRPr="00482684">
              <w:rPr>
                <w:sz w:val="24"/>
                <w:szCs w:val="24"/>
                <w:lang w:val="el-GR"/>
              </w:rPr>
              <w:t>Ejakulations-lidelser, retrograd ejakulation, ejakulationssvigt</w:t>
            </w:r>
          </w:p>
        </w:tc>
      </w:tr>
      <w:tr w:rsidR="00482684" w:rsidRPr="00482684" w14:paraId="1BE193B0" w14:textId="77777777" w:rsidTr="0048268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5B94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2AE9" w14:textId="77777777" w:rsidR="00482684" w:rsidRPr="00482684" w:rsidRDefault="00482684" w:rsidP="00482684">
            <w:pPr>
              <w:rPr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Meget</w:t>
            </w:r>
            <w:proofErr w:type="spellEnd"/>
            <w:r w:rsidRPr="00482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2684">
              <w:rPr>
                <w:sz w:val="24"/>
                <w:szCs w:val="24"/>
                <w:lang w:val="en-GB"/>
              </w:rPr>
              <w:t>sjælden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0715" w14:textId="77777777" w:rsidR="00482684" w:rsidRPr="00482684" w:rsidRDefault="00482684" w:rsidP="00482684">
            <w:pPr>
              <w:ind w:left="3"/>
              <w:rPr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priapisme</w:t>
            </w:r>
          </w:p>
        </w:tc>
      </w:tr>
      <w:tr w:rsidR="00482684" w:rsidRPr="00482684" w14:paraId="1C741D0E" w14:textId="77777777" w:rsidTr="00482684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7F5C" w14:textId="77777777" w:rsidR="00482684" w:rsidRPr="00482684" w:rsidRDefault="00482684" w:rsidP="00482684">
            <w:pPr>
              <w:ind w:left="33"/>
              <w:rPr>
                <w:b/>
                <w:bCs/>
                <w:sz w:val="24"/>
                <w:szCs w:val="24"/>
                <w:lang w:val="el-GR"/>
              </w:rPr>
            </w:pPr>
            <w:r w:rsidRPr="00482684">
              <w:rPr>
                <w:sz w:val="24"/>
                <w:szCs w:val="24"/>
                <w:lang w:val="el-GR"/>
              </w:rPr>
              <w:t>Almene symptomer og reaktioner på administrationsstedet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BDA4" w14:textId="77777777" w:rsidR="00482684" w:rsidRPr="00482684" w:rsidRDefault="00482684" w:rsidP="00482684">
            <w:pPr>
              <w:rPr>
                <w:sz w:val="24"/>
                <w:szCs w:val="24"/>
                <w:lang w:val="en-GB"/>
              </w:rPr>
            </w:pPr>
            <w:proofErr w:type="spellStart"/>
            <w:r w:rsidRPr="00482684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482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2684">
              <w:rPr>
                <w:sz w:val="24"/>
                <w:szCs w:val="24"/>
                <w:lang w:val="en-GB"/>
              </w:rPr>
              <w:t>almindelig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38E2" w14:textId="77777777" w:rsidR="00482684" w:rsidRPr="00482684" w:rsidRDefault="00482684" w:rsidP="00482684">
            <w:pPr>
              <w:ind w:left="3"/>
              <w:rPr>
                <w:b/>
                <w:bCs/>
                <w:sz w:val="24"/>
                <w:szCs w:val="24"/>
                <w:lang w:val="en-GB"/>
              </w:rPr>
            </w:pPr>
            <w:r w:rsidRPr="00482684">
              <w:rPr>
                <w:sz w:val="24"/>
                <w:szCs w:val="24"/>
                <w:lang w:val="el-GR"/>
              </w:rPr>
              <w:t>Asteni</w:t>
            </w:r>
          </w:p>
        </w:tc>
      </w:tr>
    </w:tbl>
    <w:p w14:paraId="2D8B6BBE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*observeret efter markedsføring</w:t>
      </w:r>
    </w:p>
    <w:p w14:paraId="58B120B4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1E407A93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Efter markedsføring er der under operation for grå stær eller grøn stær blevet observeret en variant af lille pupil syndrom, kendt som </w:t>
      </w:r>
      <w:r w:rsidRPr="00482684">
        <w:rPr>
          <w:i/>
          <w:sz w:val="24"/>
          <w:szCs w:val="24"/>
        </w:rPr>
        <w:t xml:space="preserve">Intraoperative </w:t>
      </w:r>
      <w:proofErr w:type="spellStart"/>
      <w:r w:rsidRPr="00482684">
        <w:rPr>
          <w:i/>
          <w:sz w:val="24"/>
          <w:szCs w:val="24"/>
        </w:rPr>
        <w:t>Floppy</w:t>
      </w:r>
      <w:proofErr w:type="spellEnd"/>
      <w:r w:rsidRPr="00482684">
        <w:rPr>
          <w:i/>
          <w:sz w:val="24"/>
          <w:szCs w:val="24"/>
        </w:rPr>
        <w:t xml:space="preserve"> Iris </w:t>
      </w:r>
      <w:proofErr w:type="spellStart"/>
      <w:r w:rsidRPr="00482684">
        <w:rPr>
          <w:i/>
          <w:sz w:val="24"/>
          <w:szCs w:val="24"/>
        </w:rPr>
        <w:t>Syndrome</w:t>
      </w:r>
      <w:proofErr w:type="spellEnd"/>
      <w:r w:rsidRPr="00482684">
        <w:rPr>
          <w:sz w:val="24"/>
          <w:szCs w:val="24"/>
        </w:rPr>
        <w:t xml:space="preserve"> (IFIS), peroperativt </w:t>
      </w:r>
      <w:proofErr w:type="spellStart"/>
      <w:r w:rsidRPr="00482684">
        <w:rPr>
          <w:sz w:val="24"/>
          <w:szCs w:val="24"/>
        </w:rPr>
        <w:t>atonisk</w:t>
      </w:r>
      <w:proofErr w:type="spellEnd"/>
      <w:r w:rsidRPr="00482684">
        <w:rPr>
          <w:sz w:val="24"/>
          <w:szCs w:val="24"/>
        </w:rPr>
        <w:t xml:space="preserve"> iris syndrom, som er blevet associeret med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>-behandling (se også pkt. 4.4).</w:t>
      </w:r>
    </w:p>
    <w:p w14:paraId="2AAB236F" w14:textId="60EB2DD1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Erfaring efter markedsføring: I tillæg til ovennævnte bivirkninger er atrieflimren, </w:t>
      </w:r>
      <w:proofErr w:type="spellStart"/>
      <w:r w:rsidRPr="00482684">
        <w:rPr>
          <w:sz w:val="24"/>
          <w:szCs w:val="24"/>
        </w:rPr>
        <w:t>arytmi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takykardi</w:t>
      </w:r>
      <w:proofErr w:type="spellEnd"/>
      <w:r w:rsidRPr="00482684">
        <w:rPr>
          <w:sz w:val="24"/>
          <w:szCs w:val="24"/>
        </w:rPr>
        <w:t xml:space="preserve"> og dyspnø blevet rapporteret i forbindelse med brug af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. Da disse spontant rapporterede bivirkninger stammer fra den verdensomspændende erfaring efter markedsføring, kan bivirkningsfrekvensen og </w:t>
      </w:r>
      <w:proofErr w:type="spellStart"/>
      <w:r w:rsidRPr="00482684">
        <w:rPr>
          <w:sz w:val="24"/>
          <w:szCs w:val="24"/>
        </w:rPr>
        <w:t>tamsulosins</w:t>
      </w:r>
      <w:proofErr w:type="spellEnd"/>
      <w:r w:rsidRPr="00482684">
        <w:rPr>
          <w:sz w:val="24"/>
          <w:szCs w:val="24"/>
        </w:rPr>
        <w:t xml:space="preserve"> rolle heri, ikke bestemmes med sikkerhed.</w:t>
      </w:r>
    </w:p>
    <w:p w14:paraId="027B1E7D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484D47A0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Indberetning af formodede bivirkninger</w:t>
      </w:r>
    </w:p>
    <w:p w14:paraId="57C19107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482684">
        <w:rPr>
          <w:sz w:val="24"/>
          <w:szCs w:val="24"/>
        </w:rPr>
        <w:t>risk</w:t>
      </w:r>
      <w:proofErr w:type="spellEnd"/>
      <w:r w:rsidRPr="00482684">
        <w:rPr>
          <w:sz w:val="24"/>
          <w:szCs w:val="24"/>
        </w:rPr>
        <w:t>-forholdet for lægemidlet. Sundhedspersoner anmodes om at indberette alle formodede bivirkninger via:</w:t>
      </w:r>
    </w:p>
    <w:p w14:paraId="37E5AA76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00C94072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Lægemiddelstyrelsen</w:t>
      </w:r>
    </w:p>
    <w:p w14:paraId="43BA0525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Axel Heides Gade 1</w:t>
      </w:r>
    </w:p>
    <w:p w14:paraId="52642AF7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DK-2300 København S</w:t>
      </w:r>
    </w:p>
    <w:p w14:paraId="67D138D1" w14:textId="59A16962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Websted: www.meldenbivirkning.dk</w:t>
      </w:r>
    </w:p>
    <w:p w14:paraId="20DD532F" w14:textId="2054C479" w:rsidR="00482684" w:rsidRDefault="004826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0210B3" w14:textId="77777777" w:rsidR="009260DE" w:rsidRPr="00A10294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65CD05D8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14:paraId="381115A9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  <w:lang w:val="nb-NO"/>
        </w:rPr>
      </w:pPr>
    </w:p>
    <w:p w14:paraId="0278CB3E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  <w:lang w:val="nb-NO"/>
        </w:rPr>
      </w:pPr>
      <w:r w:rsidRPr="00482684">
        <w:rPr>
          <w:sz w:val="24"/>
          <w:szCs w:val="24"/>
          <w:u w:val="single"/>
          <w:lang w:val="nb-NO"/>
        </w:rPr>
        <w:t>Symptomer</w:t>
      </w:r>
    </w:p>
    <w:p w14:paraId="6F19AAA4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  <w:lang w:val="nb-NO"/>
        </w:rPr>
        <w:t xml:space="preserve">Overdosering med tamsulosinhydrochlorid kan potentielt resultere i alvorlige hypotensive virkninger. </w:t>
      </w:r>
      <w:r w:rsidRPr="00482684">
        <w:rPr>
          <w:sz w:val="24"/>
          <w:szCs w:val="24"/>
        </w:rPr>
        <w:t xml:space="preserve">Alvorlige </w:t>
      </w:r>
      <w:proofErr w:type="spellStart"/>
      <w:r w:rsidRPr="00482684">
        <w:rPr>
          <w:sz w:val="24"/>
          <w:szCs w:val="24"/>
        </w:rPr>
        <w:t>hypotensive</w:t>
      </w:r>
      <w:proofErr w:type="spellEnd"/>
      <w:r w:rsidRPr="00482684">
        <w:rPr>
          <w:sz w:val="24"/>
          <w:szCs w:val="24"/>
        </w:rPr>
        <w:t xml:space="preserve"> virkninger er observeret ved forskellige grader af overdosering.</w:t>
      </w:r>
    </w:p>
    <w:p w14:paraId="46B43A5C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0B2FB1AB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82684">
        <w:rPr>
          <w:sz w:val="24"/>
          <w:szCs w:val="24"/>
          <w:u w:val="single"/>
        </w:rPr>
        <w:t>Behandling</w:t>
      </w:r>
    </w:p>
    <w:p w14:paraId="3FBFA338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I tilfælde af akut hypotension som følge af overdosering skal der ydes understøttende </w:t>
      </w:r>
      <w:proofErr w:type="spellStart"/>
      <w:r w:rsidRPr="00482684">
        <w:rPr>
          <w:sz w:val="24"/>
          <w:szCs w:val="24"/>
        </w:rPr>
        <w:t>kardiovaskulær</w:t>
      </w:r>
      <w:proofErr w:type="spellEnd"/>
      <w:r w:rsidRPr="00482684">
        <w:rPr>
          <w:sz w:val="24"/>
          <w:szCs w:val="24"/>
        </w:rPr>
        <w:t xml:space="preserve"> behandling. Blodtryk og hjertefrekvens kan normaliseres ved at lægge patienten ned. Hvis dette ikke hjælper, kan der anvendes volumenekspanderende midler og om nødvendigt </w:t>
      </w:r>
      <w:proofErr w:type="spellStart"/>
      <w:r w:rsidRPr="00482684">
        <w:rPr>
          <w:sz w:val="24"/>
          <w:szCs w:val="24"/>
        </w:rPr>
        <w:t>vasopressorer</w:t>
      </w:r>
      <w:proofErr w:type="spellEnd"/>
      <w:r w:rsidRPr="00482684">
        <w:rPr>
          <w:sz w:val="24"/>
          <w:szCs w:val="24"/>
        </w:rPr>
        <w:t xml:space="preserve">. Nyrefunktionen skal overvåges, og der skal iværksættes almene understøttende tiltag. Dialyse hjælper sandsynligvis ikke, da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i meget høj grad bindes til plasmaproteiner.</w:t>
      </w:r>
    </w:p>
    <w:p w14:paraId="35E57ABA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For at hæmme absorptionen kan der anvendes tiltag som f.eks. </w:t>
      </w:r>
      <w:proofErr w:type="spellStart"/>
      <w:r w:rsidRPr="00482684">
        <w:rPr>
          <w:sz w:val="24"/>
          <w:szCs w:val="24"/>
        </w:rPr>
        <w:t>emese</w:t>
      </w:r>
      <w:proofErr w:type="spellEnd"/>
      <w:r w:rsidRPr="00482684">
        <w:rPr>
          <w:sz w:val="24"/>
          <w:szCs w:val="24"/>
        </w:rPr>
        <w:t>. Hvis der er indtaget store mængder, kan der anvendes ventrikelskylning og aktivt kul, og der kan administreres et osmotisk laksativ, såsom natriumsulfat.</w:t>
      </w:r>
    </w:p>
    <w:p w14:paraId="36ED2875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35E6B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14:paraId="05E209DA" w14:textId="1662F5B6" w:rsidR="009260DE" w:rsidRPr="00C84483" w:rsidRDefault="0048268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4BA0A937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888595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979A6D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3B01FD0A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55434C" w14:textId="77777777"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37516D61" w14:textId="54739D5D" w:rsid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Farmakoterapeutisk</w:t>
      </w:r>
      <w:proofErr w:type="spellEnd"/>
      <w:r w:rsidRPr="00482684">
        <w:rPr>
          <w:sz w:val="24"/>
          <w:szCs w:val="24"/>
        </w:rPr>
        <w:t xml:space="preserve"> klassifikation: </w:t>
      </w:r>
      <w:proofErr w:type="spellStart"/>
      <w:r w:rsidRPr="00482684">
        <w:rPr>
          <w:sz w:val="24"/>
          <w:szCs w:val="24"/>
        </w:rPr>
        <w:t>Urologika</w:t>
      </w:r>
      <w:proofErr w:type="spellEnd"/>
      <w:r w:rsidRPr="00482684">
        <w:rPr>
          <w:sz w:val="24"/>
          <w:szCs w:val="24"/>
        </w:rPr>
        <w:t>, midler anvendt ved benign prostatahypertrofi</w:t>
      </w:r>
      <w:r>
        <w:rPr>
          <w:sz w:val="24"/>
          <w:szCs w:val="24"/>
        </w:rPr>
        <w:t xml:space="preserve">, </w:t>
      </w:r>
      <w:r w:rsidRPr="00482684">
        <w:rPr>
          <w:sz w:val="24"/>
          <w:szCs w:val="24"/>
        </w:rPr>
        <w:t>ATC-kode: G04CA02.</w:t>
      </w:r>
    </w:p>
    <w:p w14:paraId="7268DC83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49DDE54D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Produktet anvendes kun til behandling af prostatatilstande. </w:t>
      </w:r>
    </w:p>
    <w:p w14:paraId="60B28440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B887DD1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82684">
        <w:rPr>
          <w:sz w:val="24"/>
          <w:szCs w:val="24"/>
          <w:u w:val="single"/>
        </w:rPr>
        <w:t>Virkningsmekanisme</w:t>
      </w:r>
    </w:p>
    <w:p w14:paraId="7E4F8A59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binder selektivt og </w:t>
      </w:r>
      <w:proofErr w:type="spellStart"/>
      <w:r w:rsidRPr="00482684">
        <w:rPr>
          <w:sz w:val="24"/>
          <w:szCs w:val="24"/>
        </w:rPr>
        <w:t>kompetitivt</w:t>
      </w:r>
      <w:proofErr w:type="spellEnd"/>
      <w:r w:rsidRPr="00482684">
        <w:rPr>
          <w:sz w:val="24"/>
          <w:szCs w:val="24"/>
        </w:rPr>
        <w:t xml:space="preserve"> til de </w:t>
      </w:r>
      <w:proofErr w:type="spellStart"/>
      <w:r w:rsidRPr="00482684">
        <w:rPr>
          <w:sz w:val="24"/>
          <w:szCs w:val="24"/>
        </w:rPr>
        <w:t>postsynaptiske</w:t>
      </w:r>
      <w:proofErr w:type="spellEnd"/>
      <w:r w:rsidRPr="00482684">
        <w:rPr>
          <w:sz w:val="24"/>
          <w:szCs w:val="24"/>
        </w:rPr>
        <w:t xml:space="preserve"> α</w:t>
      </w:r>
      <w:r w:rsidRPr="00482684">
        <w:rPr>
          <w:sz w:val="24"/>
          <w:szCs w:val="24"/>
          <w:vertAlign w:val="subscript"/>
        </w:rPr>
        <w:t>1</w:t>
      </w:r>
      <w:r w:rsidRPr="00482684">
        <w:rPr>
          <w:sz w:val="24"/>
          <w:szCs w:val="24"/>
        </w:rPr>
        <w:t>-adrenoreceptorer, særligt til subtyperne α</w:t>
      </w:r>
      <w:r w:rsidRPr="00482684">
        <w:rPr>
          <w:sz w:val="24"/>
          <w:szCs w:val="24"/>
          <w:vertAlign w:val="subscript"/>
        </w:rPr>
        <w:t>1A</w:t>
      </w:r>
      <w:r w:rsidRPr="00482684">
        <w:rPr>
          <w:sz w:val="24"/>
          <w:szCs w:val="24"/>
        </w:rPr>
        <w:t xml:space="preserve"> og α</w:t>
      </w:r>
      <w:r w:rsidRPr="00482684">
        <w:rPr>
          <w:sz w:val="24"/>
          <w:szCs w:val="24"/>
          <w:vertAlign w:val="subscript"/>
        </w:rPr>
        <w:t>1D</w:t>
      </w:r>
      <w:r w:rsidRPr="00482684">
        <w:rPr>
          <w:sz w:val="24"/>
          <w:szCs w:val="24"/>
        </w:rPr>
        <w:t xml:space="preserve">. Dette resulterer i afslapning af de glatte </w:t>
      </w:r>
      <w:proofErr w:type="gramStart"/>
      <w:r w:rsidRPr="00482684">
        <w:rPr>
          <w:sz w:val="24"/>
          <w:szCs w:val="24"/>
        </w:rPr>
        <w:t>muskulatur</w:t>
      </w:r>
      <w:proofErr w:type="gramEnd"/>
      <w:r w:rsidRPr="00482684">
        <w:rPr>
          <w:sz w:val="24"/>
          <w:szCs w:val="24"/>
        </w:rPr>
        <w:t xml:space="preserve"> i prostata og </w:t>
      </w:r>
      <w:proofErr w:type="spellStart"/>
      <w:r w:rsidRPr="00482684">
        <w:rPr>
          <w:sz w:val="24"/>
          <w:szCs w:val="24"/>
        </w:rPr>
        <w:t>urethra</w:t>
      </w:r>
      <w:proofErr w:type="spellEnd"/>
      <w:r w:rsidRPr="00482684">
        <w:rPr>
          <w:sz w:val="24"/>
          <w:szCs w:val="24"/>
        </w:rPr>
        <w:t xml:space="preserve">, hvilket fører til en reduktion af </w:t>
      </w:r>
      <w:proofErr w:type="spellStart"/>
      <w:r w:rsidRPr="00482684">
        <w:rPr>
          <w:sz w:val="24"/>
          <w:szCs w:val="24"/>
        </w:rPr>
        <w:t>tonus</w:t>
      </w:r>
      <w:proofErr w:type="spellEnd"/>
      <w:r w:rsidRPr="00482684">
        <w:rPr>
          <w:sz w:val="24"/>
          <w:szCs w:val="24"/>
        </w:rPr>
        <w:t xml:space="preserve"> og en forbedring af </w:t>
      </w:r>
      <w:proofErr w:type="spellStart"/>
      <w:r w:rsidRPr="00482684">
        <w:rPr>
          <w:sz w:val="24"/>
          <w:szCs w:val="24"/>
        </w:rPr>
        <w:t>urinflowet</w:t>
      </w:r>
      <w:proofErr w:type="spellEnd"/>
      <w:r w:rsidRPr="00482684">
        <w:rPr>
          <w:sz w:val="24"/>
          <w:szCs w:val="24"/>
        </w:rPr>
        <w:t>.</w:t>
      </w:r>
    </w:p>
    <w:p w14:paraId="4C7B66DA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3525900A" w14:textId="77777777" w:rsidR="00482684" w:rsidRPr="00482684" w:rsidRDefault="00482684" w:rsidP="0048268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proofErr w:type="spellStart"/>
      <w:r w:rsidRPr="00482684">
        <w:rPr>
          <w:iCs/>
          <w:sz w:val="24"/>
          <w:szCs w:val="24"/>
          <w:u w:val="single"/>
        </w:rPr>
        <w:t>Farmakodynamisk</w:t>
      </w:r>
      <w:proofErr w:type="spellEnd"/>
      <w:r w:rsidRPr="00482684">
        <w:rPr>
          <w:iCs/>
          <w:sz w:val="24"/>
          <w:szCs w:val="24"/>
          <w:u w:val="single"/>
        </w:rPr>
        <w:t xml:space="preserve"> virkning</w:t>
      </w:r>
    </w:p>
    <w:p w14:paraId="7D13971C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øger hastigheden af det maksimale </w:t>
      </w:r>
      <w:proofErr w:type="spellStart"/>
      <w:r w:rsidRPr="00482684">
        <w:rPr>
          <w:sz w:val="24"/>
          <w:szCs w:val="24"/>
        </w:rPr>
        <w:t>urinflow</w:t>
      </w:r>
      <w:proofErr w:type="spellEnd"/>
      <w:r w:rsidRPr="00482684">
        <w:rPr>
          <w:sz w:val="24"/>
          <w:szCs w:val="24"/>
        </w:rPr>
        <w:t xml:space="preserve">. Det letter obstruktion ved at afslappe de glatte muskler i prostata og </w:t>
      </w:r>
      <w:proofErr w:type="spellStart"/>
      <w:r w:rsidRPr="00482684">
        <w:rPr>
          <w:sz w:val="24"/>
          <w:szCs w:val="24"/>
        </w:rPr>
        <w:t>urethra</w:t>
      </w:r>
      <w:proofErr w:type="spellEnd"/>
      <w:r w:rsidRPr="00482684">
        <w:rPr>
          <w:sz w:val="24"/>
          <w:szCs w:val="24"/>
        </w:rPr>
        <w:t xml:space="preserve"> og dermed forbedre tømningssymptomerne.</w:t>
      </w:r>
    </w:p>
    <w:p w14:paraId="73991850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Det forbedrer også lagringssymptomer, hvor </w:t>
      </w:r>
      <w:proofErr w:type="spellStart"/>
      <w:r w:rsidRPr="00482684">
        <w:rPr>
          <w:sz w:val="24"/>
          <w:szCs w:val="24"/>
        </w:rPr>
        <w:t>blæreinstabilitet</w:t>
      </w:r>
      <w:proofErr w:type="spellEnd"/>
      <w:r w:rsidRPr="00482684">
        <w:rPr>
          <w:sz w:val="24"/>
          <w:szCs w:val="24"/>
        </w:rPr>
        <w:t xml:space="preserve"> spiller en vigtig rolle.</w:t>
      </w:r>
    </w:p>
    <w:p w14:paraId="53469ABD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Denne effekt på både lagrings- og tømningssymptomerne er opretholdt ved langtidsbehandling. Tidspunktet for et kirurgisk indgreb eller </w:t>
      </w:r>
      <w:proofErr w:type="spellStart"/>
      <w:r w:rsidRPr="00482684">
        <w:rPr>
          <w:sz w:val="24"/>
          <w:szCs w:val="24"/>
        </w:rPr>
        <w:t>kateterisering</w:t>
      </w:r>
      <w:proofErr w:type="spellEnd"/>
      <w:r w:rsidRPr="00482684">
        <w:rPr>
          <w:sz w:val="24"/>
          <w:szCs w:val="24"/>
        </w:rPr>
        <w:t xml:space="preserve"> udskydes signifikant.</w:t>
      </w:r>
    </w:p>
    <w:p w14:paraId="56AB313B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α</w:t>
      </w:r>
      <w:r w:rsidRPr="00482684">
        <w:rPr>
          <w:sz w:val="24"/>
          <w:szCs w:val="24"/>
          <w:vertAlign w:val="subscript"/>
        </w:rPr>
        <w:t>1</w:t>
      </w:r>
      <w:r w:rsidRPr="00482684">
        <w:rPr>
          <w:sz w:val="24"/>
          <w:szCs w:val="24"/>
        </w:rPr>
        <w:t xml:space="preserve">-adrenoreceptor-antagonister kan reducere blodtrykket ved at mindske den perifere modstand. Der blev ikke observeret klinisk signifikant reduktion af blodtrykket i studier med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hos </w:t>
      </w:r>
      <w:proofErr w:type="spellStart"/>
      <w:r w:rsidRPr="00482684">
        <w:rPr>
          <w:sz w:val="24"/>
          <w:szCs w:val="24"/>
        </w:rPr>
        <w:t>normotensive</w:t>
      </w:r>
      <w:proofErr w:type="spellEnd"/>
      <w:r w:rsidRPr="00482684">
        <w:rPr>
          <w:sz w:val="24"/>
          <w:szCs w:val="24"/>
        </w:rPr>
        <w:t xml:space="preserve"> patienter.</w:t>
      </w:r>
    </w:p>
    <w:p w14:paraId="008C85D8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29F7680B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82684">
        <w:rPr>
          <w:sz w:val="24"/>
          <w:szCs w:val="24"/>
          <w:u w:val="single"/>
        </w:rPr>
        <w:t>Pædiatrisk population</w:t>
      </w:r>
    </w:p>
    <w:p w14:paraId="135F26CC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Der blev udført et dobbeltblindet, randomiseret, placebokontrolleret, dosis-bestemmende studie hos børn med neuropatisk blære. I alt blev 161 børn (i alderen 2 til 16 år) randomiseret og behandlet med 1 af 3 dosisniveauer af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(lav [0,001 til </w:t>
      </w:r>
      <w:r w:rsidRPr="00482684">
        <w:rPr>
          <w:sz w:val="24"/>
          <w:szCs w:val="24"/>
        </w:rPr>
        <w:lastRenderedPageBreak/>
        <w:t xml:space="preserve">0,002 mg/kg], medium [0,002 til 0,004 mg/kg] og høj [0,004 til 0,008 mg/kg]) eller placebo. Det primære endepunkt var antallet af patienter, som nedsatte deres </w:t>
      </w:r>
      <w:proofErr w:type="spellStart"/>
      <w:r w:rsidRPr="00482684">
        <w:rPr>
          <w:i/>
          <w:sz w:val="24"/>
          <w:szCs w:val="24"/>
        </w:rPr>
        <w:t>detrusor</w:t>
      </w:r>
      <w:proofErr w:type="spellEnd"/>
      <w:r w:rsidRPr="00482684">
        <w:rPr>
          <w:i/>
          <w:sz w:val="24"/>
          <w:szCs w:val="24"/>
        </w:rPr>
        <w:t xml:space="preserve"> </w:t>
      </w:r>
      <w:proofErr w:type="spellStart"/>
      <w:r w:rsidRPr="00482684">
        <w:rPr>
          <w:i/>
          <w:sz w:val="24"/>
          <w:szCs w:val="24"/>
        </w:rPr>
        <w:t>leak</w:t>
      </w:r>
      <w:proofErr w:type="spellEnd"/>
      <w:r w:rsidRPr="00482684">
        <w:rPr>
          <w:i/>
          <w:sz w:val="24"/>
          <w:szCs w:val="24"/>
        </w:rPr>
        <w:t xml:space="preserve"> point </w:t>
      </w:r>
      <w:proofErr w:type="spellStart"/>
      <w:r w:rsidRPr="00482684">
        <w:rPr>
          <w:i/>
          <w:sz w:val="24"/>
          <w:szCs w:val="24"/>
        </w:rPr>
        <w:t>pressure</w:t>
      </w:r>
      <w:proofErr w:type="spellEnd"/>
      <w:r w:rsidRPr="00482684">
        <w:rPr>
          <w:sz w:val="24"/>
          <w:szCs w:val="24"/>
        </w:rPr>
        <w:t xml:space="preserve"> (LPP) til &lt; 40 cm H</w:t>
      </w:r>
      <w:r w:rsidRPr="00482684">
        <w:rPr>
          <w:sz w:val="24"/>
          <w:szCs w:val="24"/>
          <w:vertAlign w:val="subscript"/>
        </w:rPr>
        <w:t>2</w:t>
      </w:r>
      <w:r w:rsidRPr="00482684">
        <w:rPr>
          <w:sz w:val="24"/>
          <w:szCs w:val="24"/>
        </w:rPr>
        <w:t xml:space="preserve">O baseret på to evalueringer samme dag. Sekundære endepunkter var; faktisk og procentvis ændring fra </w:t>
      </w:r>
      <w:r w:rsidRPr="00482684">
        <w:rPr>
          <w:i/>
          <w:sz w:val="24"/>
          <w:szCs w:val="24"/>
        </w:rPr>
        <w:t>baseline</w:t>
      </w:r>
      <w:r w:rsidRPr="00482684">
        <w:rPr>
          <w:sz w:val="24"/>
          <w:szCs w:val="24"/>
        </w:rPr>
        <w:t xml:space="preserve"> i </w:t>
      </w:r>
      <w:proofErr w:type="spellStart"/>
      <w:r w:rsidRPr="00482684">
        <w:rPr>
          <w:i/>
          <w:sz w:val="24"/>
          <w:szCs w:val="24"/>
        </w:rPr>
        <w:t>detrusor</w:t>
      </w:r>
      <w:proofErr w:type="spellEnd"/>
      <w:r w:rsidRPr="00482684">
        <w:rPr>
          <w:i/>
          <w:sz w:val="24"/>
          <w:szCs w:val="24"/>
        </w:rPr>
        <w:t xml:space="preserve"> </w:t>
      </w:r>
      <w:proofErr w:type="spellStart"/>
      <w:r w:rsidRPr="00482684">
        <w:rPr>
          <w:i/>
          <w:sz w:val="24"/>
          <w:szCs w:val="24"/>
        </w:rPr>
        <w:t>leak</w:t>
      </w:r>
      <w:proofErr w:type="spellEnd"/>
      <w:r w:rsidRPr="00482684">
        <w:rPr>
          <w:i/>
          <w:sz w:val="24"/>
          <w:szCs w:val="24"/>
        </w:rPr>
        <w:t xml:space="preserve"> point </w:t>
      </w:r>
      <w:proofErr w:type="spellStart"/>
      <w:r w:rsidRPr="00482684">
        <w:rPr>
          <w:i/>
          <w:sz w:val="24"/>
          <w:szCs w:val="24"/>
        </w:rPr>
        <w:t>pressure</w:t>
      </w:r>
      <w:proofErr w:type="spellEnd"/>
      <w:r w:rsidRPr="00482684">
        <w:rPr>
          <w:sz w:val="24"/>
          <w:szCs w:val="24"/>
        </w:rPr>
        <w:t xml:space="preserve">, forbedring eller stabilisering af </w:t>
      </w:r>
      <w:proofErr w:type="spellStart"/>
      <w:r w:rsidRPr="00482684">
        <w:rPr>
          <w:sz w:val="24"/>
          <w:szCs w:val="24"/>
        </w:rPr>
        <w:t>hydronefrose</w:t>
      </w:r>
      <w:proofErr w:type="spellEnd"/>
      <w:r w:rsidRPr="00482684">
        <w:rPr>
          <w:sz w:val="24"/>
          <w:szCs w:val="24"/>
        </w:rPr>
        <w:t xml:space="preserve"> og </w:t>
      </w:r>
      <w:proofErr w:type="spellStart"/>
      <w:r w:rsidRPr="00482684">
        <w:rPr>
          <w:sz w:val="24"/>
          <w:szCs w:val="24"/>
        </w:rPr>
        <w:t>hydroureter</w:t>
      </w:r>
      <w:proofErr w:type="spellEnd"/>
      <w:r w:rsidRPr="00482684">
        <w:rPr>
          <w:sz w:val="24"/>
          <w:szCs w:val="24"/>
        </w:rPr>
        <w:t xml:space="preserve"> samt ændring i urinvolumen opnået ved </w:t>
      </w:r>
      <w:proofErr w:type="spellStart"/>
      <w:r w:rsidRPr="00482684">
        <w:rPr>
          <w:sz w:val="24"/>
          <w:szCs w:val="24"/>
        </w:rPr>
        <w:t>kateterisering</w:t>
      </w:r>
      <w:proofErr w:type="spellEnd"/>
      <w:r w:rsidRPr="00482684">
        <w:rPr>
          <w:sz w:val="24"/>
          <w:szCs w:val="24"/>
        </w:rPr>
        <w:t xml:space="preserve"> og antal gange af lækage ved tidspunktet for </w:t>
      </w:r>
      <w:proofErr w:type="spellStart"/>
      <w:r w:rsidRPr="00482684">
        <w:rPr>
          <w:sz w:val="24"/>
          <w:szCs w:val="24"/>
        </w:rPr>
        <w:t>kateterisering</w:t>
      </w:r>
      <w:proofErr w:type="spellEnd"/>
      <w:r w:rsidRPr="00482684">
        <w:rPr>
          <w:sz w:val="24"/>
          <w:szCs w:val="24"/>
        </w:rPr>
        <w:t xml:space="preserve">, som registreret i </w:t>
      </w:r>
      <w:proofErr w:type="spellStart"/>
      <w:r w:rsidRPr="00482684">
        <w:rPr>
          <w:sz w:val="24"/>
          <w:szCs w:val="24"/>
        </w:rPr>
        <w:t>kateteriseringsdagbøger</w:t>
      </w:r>
      <w:proofErr w:type="spellEnd"/>
      <w:r w:rsidRPr="00482684">
        <w:rPr>
          <w:sz w:val="24"/>
          <w:szCs w:val="24"/>
        </w:rPr>
        <w:t xml:space="preserve">. Det blev ikke set nogen statistisk signifikante forskelle mellem placebogruppen og nogle af de 3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>-dosisgrupper for hverken det primære eller nogen sekundære endepunkter. Der blev ikke observeret dosisrespons ved nogen af doseringsniveauerne.</w:t>
      </w:r>
    </w:p>
    <w:p w14:paraId="43269FAD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C8823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2F50A638" w14:textId="77777777" w:rsidR="00482684" w:rsidRDefault="00482684" w:rsidP="0048268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</w:p>
    <w:p w14:paraId="205AF884" w14:textId="3BE084BA" w:rsidR="00482684" w:rsidRPr="00482684" w:rsidRDefault="00482684" w:rsidP="0048268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482684">
        <w:rPr>
          <w:iCs/>
          <w:sz w:val="24"/>
          <w:szCs w:val="24"/>
          <w:u w:val="single"/>
        </w:rPr>
        <w:t>Absorption</w:t>
      </w:r>
    </w:p>
    <w:p w14:paraId="5CFCA03D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absorberes fra tarmen og er næsten fuldstændig biotilgængeligt. Absorptionen af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reduceres af et nyligt indtaget måltid. Ensartet absorption kan etableres ved, at patienten altid tager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efter det samme måltid hver dag.</w:t>
      </w:r>
    </w:p>
    <w:p w14:paraId="629C3E84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viser lineær kinetik.</w:t>
      </w:r>
    </w:p>
    <w:p w14:paraId="1F173F8C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Plasmakoncentrationen af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topper ca. 6 timer efter en enkelt dosis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indtaget efter et måltid. </w:t>
      </w:r>
      <w:proofErr w:type="spellStart"/>
      <w:r w:rsidRPr="00482684">
        <w:rPr>
          <w:sz w:val="24"/>
          <w:szCs w:val="24"/>
        </w:rPr>
        <w:t>Steady</w:t>
      </w:r>
      <w:proofErr w:type="spellEnd"/>
      <w:r w:rsidRPr="00482684">
        <w:rPr>
          <w:sz w:val="24"/>
          <w:szCs w:val="24"/>
        </w:rPr>
        <w:t xml:space="preserve"> </w:t>
      </w:r>
      <w:proofErr w:type="spellStart"/>
      <w:r w:rsidRPr="00482684">
        <w:rPr>
          <w:sz w:val="24"/>
          <w:szCs w:val="24"/>
        </w:rPr>
        <w:t>state</w:t>
      </w:r>
      <w:proofErr w:type="spellEnd"/>
      <w:r w:rsidRPr="00482684">
        <w:rPr>
          <w:sz w:val="24"/>
          <w:szCs w:val="24"/>
        </w:rPr>
        <w:t xml:space="preserve"> opnås på den 5. dag ved gentagen dosering, hvor </w:t>
      </w:r>
      <w:proofErr w:type="spellStart"/>
      <w:r w:rsidRPr="00482684">
        <w:rPr>
          <w:sz w:val="24"/>
          <w:szCs w:val="24"/>
        </w:rPr>
        <w:t>C</w:t>
      </w:r>
      <w:r w:rsidRPr="00482684">
        <w:rPr>
          <w:sz w:val="24"/>
          <w:szCs w:val="24"/>
          <w:vertAlign w:val="subscript"/>
        </w:rPr>
        <w:t>max</w:t>
      </w:r>
      <w:proofErr w:type="spellEnd"/>
      <w:r w:rsidRPr="00482684">
        <w:rPr>
          <w:sz w:val="24"/>
          <w:szCs w:val="24"/>
        </w:rPr>
        <w:t xml:space="preserve"> hos patienter er ca. 2/3 højere end den opnåede plasmakoncentration efter en enkelt dosis. Selvom dette kun er undersøgt hos ældre, forventes det samme resultat hos yngre patienter. </w:t>
      </w:r>
    </w:p>
    <w:p w14:paraId="59ED9F6C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Der er væsentlige inter-patient variationer i plasmaniveauet af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>, både efter enkel og efter gen</w:t>
      </w:r>
      <w:r w:rsidRPr="00482684">
        <w:rPr>
          <w:sz w:val="24"/>
          <w:szCs w:val="24"/>
        </w:rPr>
        <w:softHyphen/>
        <w:t>tagen dosering.</w:t>
      </w:r>
    </w:p>
    <w:p w14:paraId="0C09C99B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6E87EAD7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82684">
        <w:rPr>
          <w:sz w:val="24"/>
          <w:szCs w:val="24"/>
          <w:u w:val="single"/>
        </w:rPr>
        <w:t>Fordeling</w:t>
      </w:r>
    </w:p>
    <w:p w14:paraId="6F492866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Hos mennesker er ca. 99 %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bundet til plasmaproteiner, og fordelingsvolumen er lille (ca. 0,2 l/kg).</w:t>
      </w:r>
    </w:p>
    <w:p w14:paraId="649FB947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5E93CC1B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82684">
        <w:rPr>
          <w:sz w:val="24"/>
          <w:szCs w:val="24"/>
          <w:u w:val="single"/>
        </w:rPr>
        <w:t>Biotransformation</w:t>
      </w:r>
    </w:p>
    <w:p w14:paraId="670A168D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har en lav </w:t>
      </w:r>
      <w:proofErr w:type="spellStart"/>
      <w:r w:rsidRPr="00482684">
        <w:rPr>
          <w:sz w:val="24"/>
          <w:szCs w:val="24"/>
        </w:rPr>
        <w:t>first</w:t>
      </w:r>
      <w:proofErr w:type="spellEnd"/>
      <w:r w:rsidRPr="00482684">
        <w:rPr>
          <w:sz w:val="24"/>
          <w:szCs w:val="24"/>
        </w:rPr>
        <w:t xml:space="preserve"> </w:t>
      </w:r>
      <w:proofErr w:type="spellStart"/>
      <w:r w:rsidRPr="00482684">
        <w:rPr>
          <w:sz w:val="24"/>
          <w:szCs w:val="24"/>
        </w:rPr>
        <w:t>pass</w:t>
      </w:r>
      <w:proofErr w:type="spellEnd"/>
      <w:r w:rsidRPr="00482684">
        <w:rPr>
          <w:sz w:val="24"/>
          <w:szCs w:val="24"/>
        </w:rPr>
        <w:t xml:space="preserve">-metabolisme. Størstedelen af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er til stede i plasma i form af uændret stof.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bliver </w:t>
      </w:r>
      <w:proofErr w:type="spellStart"/>
      <w:r w:rsidRPr="00482684">
        <w:rPr>
          <w:sz w:val="24"/>
          <w:szCs w:val="24"/>
        </w:rPr>
        <w:t>metaboliseret</w:t>
      </w:r>
      <w:proofErr w:type="spellEnd"/>
      <w:r w:rsidRPr="00482684">
        <w:rPr>
          <w:sz w:val="24"/>
          <w:szCs w:val="24"/>
        </w:rPr>
        <w:t xml:space="preserve"> i leveren.</w:t>
      </w:r>
    </w:p>
    <w:p w14:paraId="09100AE6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I studier i rotter viste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sig kun at forårsage en mindre induktion af de </w:t>
      </w:r>
      <w:proofErr w:type="spellStart"/>
      <w:r w:rsidRPr="00482684">
        <w:rPr>
          <w:sz w:val="24"/>
          <w:szCs w:val="24"/>
        </w:rPr>
        <w:t>mikrosomale</w:t>
      </w:r>
      <w:proofErr w:type="spellEnd"/>
      <w:r w:rsidRPr="00482684">
        <w:rPr>
          <w:sz w:val="24"/>
          <w:szCs w:val="24"/>
        </w:rPr>
        <w:t xml:space="preserve"> leverenzymer.</w:t>
      </w:r>
    </w:p>
    <w:p w14:paraId="477ECDB4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i/>
          <w:sz w:val="24"/>
          <w:szCs w:val="24"/>
        </w:rPr>
        <w:t xml:space="preserve">In </w:t>
      </w:r>
      <w:proofErr w:type="spellStart"/>
      <w:r w:rsidRPr="00482684">
        <w:rPr>
          <w:i/>
          <w:sz w:val="24"/>
          <w:szCs w:val="24"/>
        </w:rPr>
        <w:t>vitro</w:t>
      </w:r>
      <w:proofErr w:type="spellEnd"/>
      <w:r w:rsidRPr="00482684">
        <w:rPr>
          <w:sz w:val="24"/>
          <w:szCs w:val="24"/>
        </w:rPr>
        <w:noBreakHyphen/>
        <w:t xml:space="preserve">resultater tyder på, at CYP3A4 og også CYP2D6 er involveret i </w:t>
      </w:r>
      <w:proofErr w:type="spellStart"/>
      <w:r w:rsidRPr="00482684">
        <w:rPr>
          <w:sz w:val="24"/>
          <w:szCs w:val="24"/>
        </w:rPr>
        <w:t>metaboliseringen</w:t>
      </w:r>
      <w:proofErr w:type="spellEnd"/>
      <w:r w:rsidRPr="00482684">
        <w:rPr>
          <w:sz w:val="24"/>
          <w:szCs w:val="24"/>
        </w:rPr>
        <w:t xml:space="preserve"> af </w:t>
      </w:r>
      <w:proofErr w:type="spellStart"/>
      <w:r w:rsidRPr="00482684">
        <w:rPr>
          <w:sz w:val="24"/>
          <w:szCs w:val="24"/>
        </w:rPr>
        <w:t>tamsulosinhydrochlorid</w:t>
      </w:r>
      <w:proofErr w:type="spellEnd"/>
      <w:r w:rsidRPr="00482684">
        <w:rPr>
          <w:sz w:val="24"/>
          <w:szCs w:val="24"/>
        </w:rPr>
        <w:t xml:space="preserve">. Muligvis stammer en mindre del af </w:t>
      </w:r>
      <w:proofErr w:type="spellStart"/>
      <w:r w:rsidRPr="00482684">
        <w:rPr>
          <w:sz w:val="24"/>
          <w:szCs w:val="24"/>
        </w:rPr>
        <w:t>metaboliseringen</w:t>
      </w:r>
      <w:proofErr w:type="spellEnd"/>
      <w:r w:rsidRPr="00482684">
        <w:rPr>
          <w:sz w:val="24"/>
          <w:szCs w:val="24"/>
        </w:rPr>
        <w:t xml:space="preserve"> fra andre CYP </w:t>
      </w:r>
      <w:proofErr w:type="spellStart"/>
      <w:r w:rsidRPr="00482684">
        <w:rPr>
          <w:sz w:val="24"/>
          <w:szCs w:val="24"/>
        </w:rPr>
        <w:t>isoenzymer</w:t>
      </w:r>
      <w:proofErr w:type="spellEnd"/>
      <w:r w:rsidRPr="00482684">
        <w:rPr>
          <w:sz w:val="24"/>
          <w:szCs w:val="24"/>
        </w:rPr>
        <w:t xml:space="preserve">. Hæmning af CYP3A4 og CYP2D6 </w:t>
      </w:r>
      <w:proofErr w:type="spellStart"/>
      <w:r w:rsidRPr="00482684">
        <w:rPr>
          <w:sz w:val="24"/>
          <w:szCs w:val="24"/>
        </w:rPr>
        <w:t>lægemiddelmetaboliserende</w:t>
      </w:r>
      <w:proofErr w:type="spellEnd"/>
      <w:r w:rsidRPr="00482684">
        <w:rPr>
          <w:sz w:val="24"/>
          <w:szCs w:val="24"/>
        </w:rPr>
        <w:t xml:space="preserve"> enzymer kan føre til øget eksponering for </w:t>
      </w:r>
      <w:proofErr w:type="spellStart"/>
      <w:r w:rsidRPr="00482684">
        <w:rPr>
          <w:sz w:val="24"/>
          <w:szCs w:val="24"/>
        </w:rPr>
        <w:t>tamsulosinhydrochlorid</w:t>
      </w:r>
      <w:proofErr w:type="spellEnd"/>
      <w:r w:rsidRPr="00482684">
        <w:rPr>
          <w:sz w:val="24"/>
          <w:szCs w:val="24"/>
        </w:rPr>
        <w:t xml:space="preserve"> (se pkt. 4.4 og 4.5).</w:t>
      </w:r>
    </w:p>
    <w:p w14:paraId="66A65C6A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Dosis justering er ikke nødvendigt i mild lever insufficiens.</w:t>
      </w:r>
    </w:p>
    <w:p w14:paraId="1734292D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Metabolitterne er ikke så effektive og toksiske som det aktive lægemiddel selv.</w:t>
      </w:r>
    </w:p>
    <w:p w14:paraId="471C4E95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23FF7C8D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82684">
        <w:rPr>
          <w:sz w:val="24"/>
          <w:szCs w:val="24"/>
          <w:u w:val="single"/>
        </w:rPr>
        <w:t>Elimination</w:t>
      </w:r>
    </w:p>
    <w:p w14:paraId="1B59FF92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 xml:space="preserve"> og dens metabolitter bliver hovedsageligt udskilt i urinen, hvor ca. 9 % af en dosis er til stede som uændret stof.</w:t>
      </w:r>
    </w:p>
    <w:p w14:paraId="66AE4F6A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Tamsulosins</w:t>
      </w:r>
      <w:proofErr w:type="spellEnd"/>
      <w:r w:rsidRPr="00482684">
        <w:rPr>
          <w:sz w:val="24"/>
          <w:szCs w:val="24"/>
        </w:rPr>
        <w:t xml:space="preserve"> eliminationshalveringstid i patienter er omkring 10 timer (når dosis tages efter et måltid) og 13 timer i </w:t>
      </w:r>
      <w:proofErr w:type="spellStart"/>
      <w:r w:rsidRPr="00482684">
        <w:rPr>
          <w:sz w:val="24"/>
          <w:szCs w:val="24"/>
        </w:rPr>
        <w:t>steady</w:t>
      </w:r>
      <w:proofErr w:type="spellEnd"/>
      <w:r w:rsidRPr="00482684">
        <w:rPr>
          <w:sz w:val="24"/>
          <w:szCs w:val="24"/>
        </w:rPr>
        <w:t xml:space="preserve"> </w:t>
      </w:r>
      <w:proofErr w:type="spellStart"/>
      <w:r w:rsidRPr="00482684">
        <w:rPr>
          <w:sz w:val="24"/>
          <w:szCs w:val="24"/>
        </w:rPr>
        <w:t>state</w:t>
      </w:r>
      <w:proofErr w:type="spellEnd"/>
      <w:r w:rsidRPr="00482684">
        <w:rPr>
          <w:sz w:val="24"/>
          <w:szCs w:val="24"/>
        </w:rPr>
        <w:t>.</w:t>
      </w:r>
    </w:p>
    <w:p w14:paraId="48298B5F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I tilfælde af nyrepåvirkning er der ingen reduktion af </w:t>
      </w:r>
      <w:proofErr w:type="spellStart"/>
      <w:r w:rsidRPr="00482684">
        <w:rPr>
          <w:sz w:val="24"/>
          <w:szCs w:val="24"/>
        </w:rPr>
        <w:t>tamsulosin</w:t>
      </w:r>
      <w:proofErr w:type="spellEnd"/>
      <w:r w:rsidRPr="00482684">
        <w:rPr>
          <w:sz w:val="24"/>
          <w:szCs w:val="24"/>
        </w:rPr>
        <w:t>-doserne dokumenteret.</w:t>
      </w:r>
    </w:p>
    <w:p w14:paraId="6ABE3AFE" w14:textId="4405733B" w:rsidR="00482684" w:rsidRDefault="004826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2283D0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EA17C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BD7931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14:paraId="5EB0A02A" w14:textId="77777777" w:rsidR="00482684" w:rsidRDefault="00482684" w:rsidP="0048268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 xml:space="preserve">Toksicitetsstudier med enkel og efter gentagen dosering er blevet udført i mus, rotter og hunde. Derudover er der udført reproduktionstoksicitetsstudier i rotter, </w:t>
      </w:r>
      <w:proofErr w:type="spellStart"/>
      <w:r>
        <w:rPr>
          <w:sz w:val="24"/>
          <w:szCs w:val="24"/>
        </w:rPr>
        <w:t>carcinogeniciteten</w:t>
      </w:r>
      <w:proofErr w:type="spellEnd"/>
      <w:r>
        <w:rPr>
          <w:sz w:val="24"/>
          <w:szCs w:val="24"/>
        </w:rPr>
        <w:t xml:space="preserve"> i mus og rotter og genotoksiciteten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vivo</w:t>
      </w:r>
      <w:proofErr w:type="spellEnd"/>
      <w:r>
        <w:rPr>
          <w:sz w:val="24"/>
          <w:szCs w:val="24"/>
        </w:rPr>
        <w:t xml:space="preserve"> og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sz w:val="24"/>
          <w:szCs w:val="24"/>
        </w:rPr>
        <w:t>.</w:t>
      </w:r>
    </w:p>
    <w:p w14:paraId="38FD5522" w14:textId="77777777" w:rsid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almene toksicitetsprofil fundet ud fra store doser </w:t>
      </w:r>
      <w:proofErr w:type="spellStart"/>
      <w:r>
        <w:rPr>
          <w:sz w:val="24"/>
          <w:szCs w:val="24"/>
        </w:rPr>
        <w:t>tamsulosin</w:t>
      </w:r>
      <w:proofErr w:type="spellEnd"/>
      <w:r>
        <w:rPr>
          <w:sz w:val="24"/>
          <w:szCs w:val="24"/>
        </w:rPr>
        <w:t xml:space="preserve"> er ækvivalent med den farmakologiske effekt associeret med alfa </w:t>
      </w:r>
      <w:proofErr w:type="spellStart"/>
      <w:r>
        <w:rPr>
          <w:sz w:val="24"/>
          <w:szCs w:val="24"/>
        </w:rPr>
        <w:t>adrenerge</w:t>
      </w:r>
      <w:proofErr w:type="spellEnd"/>
      <w:r>
        <w:rPr>
          <w:sz w:val="24"/>
          <w:szCs w:val="24"/>
        </w:rPr>
        <w:t xml:space="preserve"> antagonister.</w:t>
      </w:r>
    </w:p>
    <w:p w14:paraId="69B7C613" w14:textId="77777777" w:rsid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Ændringer i ECG-aflæsninger fandtes ved meget store doseringer til hunde. Dette regnes dog ikke med at være af klinisk signifikans. </w:t>
      </w:r>
      <w:proofErr w:type="spellStart"/>
      <w:r>
        <w:rPr>
          <w:sz w:val="24"/>
          <w:szCs w:val="24"/>
        </w:rPr>
        <w:t>Tamsulosin</w:t>
      </w:r>
      <w:proofErr w:type="spellEnd"/>
      <w:r>
        <w:rPr>
          <w:sz w:val="24"/>
          <w:szCs w:val="24"/>
        </w:rPr>
        <w:t xml:space="preserve"> har ikke vist signifikante genotoksiske egenskaber.</w:t>
      </w:r>
    </w:p>
    <w:p w14:paraId="4A36C71B" w14:textId="77777777" w:rsid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blevet rapporteret større </w:t>
      </w:r>
      <w:proofErr w:type="spellStart"/>
      <w:r>
        <w:rPr>
          <w:sz w:val="24"/>
          <w:szCs w:val="24"/>
        </w:rPr>
        <w:t>incidens</w:t>
      </w:r>
      <w:proofErr w:type="spellEnd"/>
      <w:r>
        <w:rPr>
          <w:sz w:val="24"/>
          <w:szCs w:val="24"/>
        </w:rPr>
        <w:t xml:space="preserve"> af celledelingsforandringer i brystkirtler hos hunrotter og -mus. Disse fund, som sandsynligvis indirekte hænger sammen med </w:t>
      </w:r>
      <w:proofErr w:type="spellStart"/>
      <w:r>
        <w:rPr>
          <w:sz w:val="24"/>
          <w:szCs w:val="24"/>
        </w:rPr>
        <w:t>hyperprolaktinæmi</w:t>
      </w:r>
      <w:proofErr w:type="spellEnd"/>
      <w:r>
        <w:rPr>
          <w:sz w:val="24"/>
          <w:szCs w:val="24"/>
        </w:rPr>
        <w:t xml:space="preserve"> og kun opstod ved indtagelse af høje doser, menes at være klinisk irrelevante.</w:t>
      </w:r>
    </w:p>
    <w:p w14:paraId="78CE8A4B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9C6AFD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C13C9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14:paraId="653EF833" w14:textId="77777777"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C499F7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14:paraId="0A4B0860" w14:textId="77777777" w:rsid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01C43D6" w14:textId="66D16636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82684">
        <w:rPr>
          <w:sz w:val="24"/>
          <w:szCs w:val="24"/>
          <w:u w:val="single"/>
        </w:rPr>
        <w:t>Kapselindhold</w:t>
      </w:r>
    </w:p>
    <w:p w14:paraId="676342CE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Cellulose, mikrokrystallinsk</w:t>
      </w:r>
    </w:p>
    <w:p w14:paraId="6606BF69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Methacrylsyre-ethylacrylat</w:t>
      </w:r>
      <w:proofErr w:type="spellEnd"/>
      <w:r w:rsidRPr="00482684">
        <w:rPr>
          <w:sz w:val="24"/>
          <w:szCs w:val="24"/>
        </w:rPr>
        <w:t xml:space="preserve"> </w:t>
      </w:r>
      <w:proofErr w:type="spellStart"/>
      <w:r w:rsidRPr="00482684">
        <w:rPr>
          <w:sz w:val="24"/>
          <w:szCs w:val="24"/>
        </w:rPr>
        <w:t>copolymer</w:t>
      </w:r>
      <w:proofErr w:type="spellEnd"/>
      <w:r w:rsidRPr="00482684">
        <w:rPr>
          <w:sz w:val="24"/>
          <w:szCs w:val="24"/>
        </w:rPr>
        <w:t xml:space="preserve"> (1:1) dispersion 30 % (indeholder </w:t>
      </w:r>
      <w:proofErr w:type="spellStart"/>
      <w:r w:rsidRPr="00482684">
        <w:rPr>
          <w:sz w:val="24"/>
          <w:szCs w:val="24"/>
        </w:rPr>
        <w:t>natriumlaurilsulfat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polysorbat</w:t>
      </w:r>
      <w:proofErr w:type="spellEnd"/>
      <w:r w:rsidRPr="00482684">
        <w:rPr>
          <w:sz w:val="24"/>
          <w:szCs w:val="24"/>
        </w:rPr>
        <w:t xml:space="preserve"> 80)</w:t>
      </w:r>
    </w:p>
    <w:p w14:paraId="2BEA1289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Dibutylsebacat</w:t>
      </w:r>
      <w:proofErr w:type="spellEnd"/>
    </w:p>
    <w:p w14:paraId="4DD5E11E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Silica</w:t>
      </w:r>
      <w:proofErr w:type="spellEnd"/>
      <w:r w:rsidRPr="00482684">
        <w:rPr>
          <w:sz w:val="24"/>
          <w:szCs w:val="24"/>
        </w:rPr>
        <w:t>, kolloid vandholdig</w:t>
      </w:r>
    </w:p>
    <w:p w14:paraId="212A2374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684">
        <w:rPr>
          <w:sz w:val="24"/>
          <w:szCs w:val="24"/>
        </w:rPr>
        <w:t>Polysorbat</w:t>
      </w:r>
      <w:proofErr w:type="spellEnd"/>
      <w:r w:rsidRPr="00482684">
        <w:rPr>
          <w:sz w:val="24"/>
          <w:szCs w:val="24"/>
        </w:rPr>
        <w:t xml:space="preserve"> 80 </w:t>
      </w:r>
    </w:p>
    <w:p w14:paraId="689ECDAA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482684">
        <w:rPr>
          <w:sz w:val="24"/>
          <w:szCs w:val="24"/>
          <w:lang w:val="nb-NO"/>
        </w:rPr>
        <w:t>Calciumstearat</w:t>
      </w:r>
    </w:p>
    <w:p w14:paraId="2F44D943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lang w:val="nb-NO"/>
        </w:rPr>
      </w:pPr>
    </w:p>
    <w:p w14:paraId="7F4FA565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  <w:lang w:val="nb-NO"/>
        </w:rPr>
      </w:pPr>
      <w:r w:rsidRPr="00482684">
        <w:rPr>
          <w:sz w:val="24"/>
          <w:szCs w:val="24"/>
          <w:u w:val="single"/>
          <w:lang w:val="nb-NO"/>
        </w:rPr>
        <w:t>Kapsel krop</w:t>
      </w:r>
    </w:p>
    <w:p w14:paraId="2D890D87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482684">
        <w:rPr>
          <w:sz w:val="24"/>
          <w:szCs w:val="24"/>
          <w:lang w:val="nb-NO"/>
        </w:rPr>
        <w:t>Gelatine</w:t>
      </w:r>
    </w:p>
    <w:p w14:paraId="7DD8B501" w14:textId="6727932F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482684">
        <w:rPr>
          <w:sz w:val="24"/>
          <w:szCs w:val="24"/>
          <w:lang w:val="nb-NO"/>
        </w:rPr>
        <w:t>Titandioxid (E171)</w:t>
      </w:r>
    </w:p>
    <w:p w14:paraId="7DA4D3B5" w14:textId="74465CFE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lang w:val="pt-PT"/>
        </w:rPr>
      </w:pPr>
      <w:r w:rsidRPr="00482684">
        <w:rPr>
          <w:sz w:val="24"/>
          <w:szCs w:val="24"/>
          <w:lang w:val="pt-PT"/>
        </w:rPr>
        <w:t>Jernoxid, gul (E172)</w:t>
      </w:r>
    </w:p>
    <w:p w14:paraId="375AB9C5" w14:textId="4A6A8431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lang w:val="pt-PT"/>
        </w:rPr>
      </w:pPr>
      <w:r w:rsidRPr="00482684">
        <w:rPr>
          <w:sz w:val="24"/>
          <w:szCs w:val="24"/>
          <w:lang w:val="pt-PT"/>
        </w:rPr>
        <w:t>Jernoxid, rød (E172)</w:t>
      </w:r>
    </w:p>
    <w:p w14:paraId="2E958D83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lang w:val="pt-PT"/>
        </w:rPr>
      </w:pPr>
    </w:p>
    <w:p w14:paraId="3A62B75A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u w:val="single"/>
          <w:lang w:val="pt-PT"/>
        </w:rPr>
      </w:pPr>
      <w:r w:rsidRPr="00482684">
        <w:rPr>
          <w:sz w:val="24"/>
          <w:szCs w:val="24"/>
          <w:u w:val="single"/>
          <w:lang w:val="pt-PT"/>
        </w:rPr>
        <w:t>Kapsel hætte</w:t>
      </w:r>
    </w:p>
    <w:p w14:paraId="7820CC96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lang w:val="pt-PT"/>
        </w:rPr>
      </w:pPr>
      <w:r w:rsidRPr="00482684">
        <w:rPr>
          <w:sz w:val="24"/>
          <w:szCs w:val="24"/>
          <w:lang w:val="pt-PT"/>
        </w:rPr>
        <w:t>Gelatine</w:t>
      </w:r>
    </w:p>
    <w:p w14:paraId="1D558EFB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lang w:val="pt-PT"/>
        </w:rPr>
      </w:pPr>
      <w:r w:rsidRPr="00482684">
        <w:rPr>
          <w:sz w:val="24"/>
          <w:szCs w:val="24"/>
          <w:lang w:val="pt-PT"/>
        </w:rPr>
        <w:t>Titandioxid (E171)</w:t>
      </w:r>
    </w:p>
    <w:p w14:paraId="765AE9A7" w14:textId="735E38D2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lang w:val="pt-PT"/>
        </w:rPr>
      </w:pPr>
      <w:r w:rsidRPr="00482684">
        <w:rPr>
          <w:sz w:val="24"/>
          <w:szCs w:val="24"/>
          <w:lang w:val="pt-PT"/>
        </w:rPr>
        <w:t>Jernoxid, gul (E172)</w:t>
      </w:r>
    </w:p>
    <w:p w14:paraId="18C2ADE5" w14:textId="00B6B526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lang w:val="pt-PT"/>
        </w:rPr>
      </w:pPr>
      <w:r w:rsidRPr="00482684">
        <w:rPr>
          <w:sz w:val="24"/>
          <w:szCs w:val="24"/>
          <w:lang w:val="pt-PT"/>
        </w:rPr>
        <w:t>Jernoxid, sort (E172)</w:t>
      </w:r>
    </w:p>
    <w:p w14:paraId="7F95F857" w14:textId="7C5012CC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  <w:lang w:val="pt-PT"/>
        </w:rPr>
      </w:pPr>
      <w:r w:rsidRPr="00482684">
        <w:rPr>
          <w:sz w:val="24"/>
          <w:szCs w:val="24"/>
          <w:lang w:val="pt-PT"/>
        </w:rPr>
        <w:t>Indigotin – FD&amp;C Blue 2 (E132)</w:t>
      </w:r>
    </w:p>
    <w:p w14:paraId="1987DD6F" w14:textId="77777777" w:rsidR="009260DE" w:rsidRPr="009C43F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46A52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14:paraId="791128D5" w14:textId="26EE0B75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Ikke relevant.</w:t>
      </w:r>
    </w:p>
    <w:p w14:paraId="37FFECBD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29EF5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14:paraId="13D10454" w14:textId="2F908AC1" w:rsidR="009260DE" w:rsidRPr="0089346F" w:rsidRDefault="00482684" w:rsidP="0089346F">
      <w:pPr>
        <w:tabs>
          <w:tab w:val="left" w:pos="851"/>
        </w:tabs>
        <w:ind w:left="851"/>
        <w:rPr>
          <w:rFonts w:eastAsia="MS Mincho" w:hAnsi="MS Mincho"/>
          <w:noProof/>
          <w:sz w:val="24"/>
          <w:szCs w:val="24"/>
        </w:rPr>
      </w:pPr>
      <w:r>
        <w:rPr>
          <w:sz w:val="24"/>
          <w:szCs w:val="24"/>
        </w:rPr>
        <w:t>3 år.</w:t>
      </w:r>
    </w:p>
    <w:p w14:paraId="549FC4E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50FF0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14:paraId="240BC089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Opbevares ved temperaturer under 25 °C.</w:t>
      </w:r>
    </w:p>
    <w:p w14:paraId="7981343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BD030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14:paraId="7BA13B09" w14:textId="2DDA8BD1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 xml:space="preserve">Transparent PVC/PVDC-Al blister, </w:t>
      </w:r>
      <w:r>
        <w:rPr>
          <w:sz w:val="24"/>
          <w:szCs w:val="24"/>
        </w:rPr>
        <w:t xml:space="preserve">i </w:t>
      </w:r>
      <w:r w:rsidRPr="00482684">
        <w:rPr>
          <w:sz w:val="24"/>
          <w:szCs w:val="24"/>
        </w:rPr>
        <w:t>foldeæske</w:t>
      </w:r>
      <w:r>
        <w:rPr>
          <w:sz w:val="24"/>
          <w:szCs w:val="24"/>
        </w:rPr>
        <w:t>.</w:t>
      </w:r>
    </w:p>
    <w:p w14:paraId="7737725E" w14:textId="77777777" w:rsid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7362B5E3" w14:textId="71B80600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Pakningsstørrelser: 10, 20, 30, 50, 90</w:t>
      </w:r>
      <w:r w:rsidR="009C43FC">
        <w:rPr>
          <w:sz w:val="24"/>
          <w:szCs w:val="24"/>
        </w:rPr>
        <w:t xml:space="preserve"> og</w:t>
      </w:r>
      <w:r w:rsidRPr="00482684">
        <w:rPr>
          <w:sz w:val="24"/>
          <w:szCs w:val="24"/>
        </w:rPr>
        <w:t xml:space="preserve"> 100 kapsler.</w:t>
      </w:r>
    </w:p>
    <w:p w14:paraId="2CE8BBC7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777893F0" w14:textId="13361C43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  <w:r w:rsidRPr="00482684">
        <w:rPr>
          <w:sz w:val="24"/>
          <w:szCs w:val="24"/>
        </w:rPr>
        <w:t>Ikke alle pakningsstørrelser er nødvendigvis markedsført.</w:t>
      </w:r>
    </w:p>
    <w:p w14:paraId="1238E43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9793E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BD7931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14:paraId="319756E2" w14:textId="77777777" w:rsidR="00482684" w:rsidRDefault="00482684" w:rsidP="00482684">
      <w:pPr>
        <w:ind w:left="851" w:hanging="851"/>
        <w:jc w:val="both"/>
        <w:rPr>
          <w:szCs w:val="24"/>
        </w:rPr>
      </w:pPr>
      <w:r>
        <w:rPr>
          <w:sz w:val="24"/>
          <w:szCs w:val="24"/>
        </w:rPr>
        <w:tab/>
      </w:r>
      <w:r>
        <w:rPr>
          <w:noProof/>
          <w:szCs w:val="24"/>
        </w:rPr>
        <w:t>Ingen særlige forholdsregler.</w:t>
      </w:r>
    </w:p>
    <w:p w14:paraId="7C418D01" w14:textId="77777777" w:rsidR="009260DE" w:rsidRPr="00C8448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79CB68D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14:paraId="7E591FB5" w14:textId="2B8B04B5" w:rsidR="00482684" w:rsidRPr="00482684" w:rsidRDefault="00482684" w:rsidP="00482684">
      <w:pPr>
        <w:tabs>
          <w:tab w:val="left" w:pos="851"/>
        </w:tabs>
        <w:ind w:left="851" w:hanging="851"/>
        <w:rPr>
          <w:sz w:val="24"/>
          <w:szCs w:val="24"/>
        </w:rPr>
      </w:pPr>
      <w:r w:rsidRPr="00482684">
        <w:rPr>
          <w:b/>
          <w:sz w:val="24"/>
          <w:szCs w:val="24"/>
        </w:rPr>
        <w:tab/>
      </w:r>
      <w:bookmarkStart w:id="0" w:name="_Hlk157598360"/>
      <w:proofErr w:type="spellStart"/>
      <w:r w:rsidRPr="00482684">
        <w:rPr>
          <w:sz w:val="24"/>
          <w:szCs w:val="24"/>
        </w:rPr>
        <w:t>Zentiva</w:t>
      </w:r>
      <w:proofErr w:type="spellEnd"/>
      <w:r w:rsidRPr="00482684">
        <w:rPr>
          <w:sz w:val="24"/>
          <w:szCs w:val="24"/>
        </w:rPr>
        <w:t xml:space="preserve">, </w:t>
      </w:r>
      <w:proofErr w:type="spellStart"/>
      <w:r w:rsidRPr="00482684">
        <w:rPr>
          <w:sz w:val="24"/>
          <w:szCs w:val="24"/>
        </w:rPr>
        <w:t>k.s</w:t>
      </w:r>
      <w:proofErr w:type="spellEnd"/>
      <w:r w:rsidRPr="00482684">
        <w:rPr>
          <w:sz w:val="24"/>
          <w:szCs w:val="24"/>
        </w:rPr>
        <w:t>.</w:t>
      </w:r>
    </w:p>
    <w:p w14:paraId="3C227145" w14:textId="77777777" w:rsidR="00482684" w:rsidRPr="00482684" w:rsidRDefault="00482684" w:rsidP="00482684">
      <w:pPr>
        <w:tabs>
          <w:tab w:val="left" w:pos="851"/>
        </w:tabs>
        <w:ind w:left="851" w:hanging="851"/>
        <w:rPr>
          <w:sz w:val="24"/>
          <w:szCs w:val="24"/>
        </w:rPr>
      </w:pPr>
      <w:r w:rsidRPr="00482684">
        <w:rPr>
          <w:sz w:val="24"/>
          <w:szCs w:val="24"/>
        </w:rPr>
        <w:tab/>
        <w:t xml:space="preserve">U </w:t>
      </w:r>
      <w:proofErr w:type="spellStart"/>
      <w:r w:rsidRPr="00482684">
        <w:rPr>
          <w:sz w:val="24"/>
          <w:szCs w:val="24"/>
        </w:rPr>
        <w:t>Kabelovny</w:t>
      </w:r>
      <w:proofErr w:type="spellEnd"/>
      <w:r w:rsidRPr="00482684">
        <w:rPr>
          <w:sz w:val="24"/>
          <w:szCs w:val="24"/>
        </w:rPr>
        <w:t xml:space="preserve"> 130</w:t>
      </w:r>
    </w:p>
    <w:p w14:paraId="10602A21" w14:textId="77777777" w:rsidR="00482684" w:rsidRPr="00482684" w:rsidRDefault="00482684" w:rsidP="00482684">
      <w:pPr>
        <w:tabs>
          <w:tab w:val="left" w:pos="851"/>
        </w:tabs>
        <w:ind w:left="851" w:hanging="851"/>
        <w:rPr>
          <w:sz w:val="24"/>
          <w:szCs w:val="24"/>
        </w:rPr>
      </w:pPr>
      <w:r w:rsidRPr="00482684">
        <w:rPr>
          <w:sz w:val="24"/>
          <w:szCs w:val="24"/>
        </w:rPr>
        <w:tab/>
        <w:t>102 37 Prag</w:t>
      </w:r>
    </w:p>
    <w:p w14:paraId="543CE118" w14:textId="77777777" w:rsidR="00482684" w:rsidRPr="00482684" w:rsidRDefault="00482684" w:rsidP="00482684">
      <w:pPr>
        <w:tabs>
          <w:tab w:val="left" w:pos="851"/>
        </w:tabs>
        <w:ind w:left="851" w:hanging="851"/>
        <w:rPr>
          <w:sz w:val="24"/>
          <w:szCs w:val="24"/>
        </w:rPr>
      </w:pPr>
      <w:r w:rsidRPr="00482684">
        <w:rPr>
          <w:sz w:val="24"/>
          <w:szCs w:val="24"/>
        </w:rPr>
        <w:tab/>
        <w:t>Tjekkiet</w:t>
      </w:r>
    </w:p>
    <w:p w14:paraId="3E943CE5" w14:textId="77777777" w:rsidR="00482684" w:rsidRPr="00482684" w:rsidRDefault="00482684" w:rsidP="00482684">
      <w:pPr>
        <w:tabs>
          <w:tab w:val="left" w:pos="851"/>
        </w:tabs>
        <w:ind w:left="851"/>
        <w:rPr>
          <w:sz w:val="24"/>
          <w:szCs w:val="24"/>
        </w:rPr>
      </w:pPr>
    </w:p>
    <w:p w14:paraId="57F0FB9A" w14:textId="77777777" w:rsidR="00482684" w:rsidRPr="00482684" w:rsidRDefault="00482684" w:rsidP="00482684">
      <w:pPr>
        <w:tabs>
          <w:tab w:val="left" w:pos="851"/>
        </w:tabs>
        <w:ind w:left="851"/>
        <w:rPr>
          <w:b/>
          <w:sz w:val="24"/>
          <w:szCs w:val="24"/>
        </w:rPr>
      </w:pPr>
      <w:r w:rsidRPr="00482684">
        <w:rPr>
          <w:b/>
          <w:sz w:val="24"/>
          <w:szCs w:val="24"/>
        </w:rPr>
        <w:t>Repræsentant</w:t>
      </w:r>
    </w:p>
    <w:p w14:paraId="52F117B0" w14:textId="77777777" w:rsidR="00482684" w:rsidRPr="00482684" w:rsidRDefault="00482684" w:rsidP="00482684">
      <w:pPr>
        <w:tabs>
          <w:tab w:val="left" w:pos="851"/>
        </w:tabs>
        <w:ind w:left="851"/>
        <w:rPr>
          <w:bCs/>
          <w:sz w:val="24"/>
          <w:szCs w:val="24"/>
        </w:rPr>
      </w:pPr>
      <w:proofErr w:type="spellStart"/>
      <w:r w:rsidRPr="00482684">
        <w:rPr>
          <w:bCs/>
          <w:sz w:val="24"/>
          <w:szCs w:val="24"/>
        </w:rPr>
        <w:t>Zentiva</w:t>
      </w:r>
      <w:proofErr w:type="spellEnd"/>
      <w:r w:rsidRPr="00482684">
        <w:rPr>
          <w:bCs/>
          <w:sz w:val="24"/>
          <w:szCs w:val="24"/>
        </w:rPr>
        <w:t xml:space="preserve"> Denmark ApS</w:t>
      </w:r>
    </w:p>
    <w:p w14:paraId="0626A57D" w14:textId="77777777" w:rsidR="00482684" w:rsidRPr="00482684" w:rsidRDefault="00482684" w:rsidP="00482684">
      <w:pPr>
        <w:tabs>
          <w:tab w:val="left" w:pos="851"/>
        </w:tabs>
        <w:ind w:left="851"/>
        <w:rPr>
          <w:bCs/>
          <w:sz w:val="24"/>
          <w:szCs w:val="24"/>
        </w:rPr>
      </w:pPr>
      <w:proofErr w:type="spellStart"/>
      <w:r w:rsidRPr="00482684">
        <w:rPr>
          <w:bCs/>
          <w:sz w:val="24"/>
          <w:szCs w:val="24"/>
        </w:rPr>
        <w:t>Høffdingsvej</w:t>
      </w:r>
      <w:proofErr w:type="spellEnd"/>
      <w:r w:rsidRPr="00482684">
        <w:rPr>
          <w:bCs/>
          <w:sz w:val="24"/>
          <w:szCs w:val="24"/>
        </w:rPr>
        <w:t xml:space="preserve"> 34</w:t>
      </w:r>
    </w:p>
    <w:p w14:paraId="13A76B21" w14:textId="6E589F0A" w:rsidR="00482684" w:rsidRDefault="00482684" w:rsidP="00482684">
      <w:pPr>
        <w:tabs>
          <w:tab w:val="left" w:pos="851"/>
        </w:tabs>
        <w:ind w:left="851"/>
        <w:rPr>
          <w:bCs/>
          <w:sz w:val="24"/>
          <w:szCs w:val="24"/>
        </w:rPr>
      </w:pPr>
      <w:r w:rsidRPr="00482684">
        <w:rPr>
          <w:bCs/>
          <w:sz w:val="24"/>
          <w:szCs w:val="24"/>
        </w:rPr>
        <w:t>2500 Valby</w:t>
      </w:r>
      <w:bookmarkEnd w:id="0"/>
    </w:p>
    <w:p w14:paraId="58DA417C" w14:textId="77777777" w:rsidR="00482684" w:rsidRPr="00482684" w:rsidRDefault="00482684" w:rsidP="00482684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6DBE5AD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BF6243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14:paraId="3AAF88D4" w14:textId="373843D5" w:rsidR="009260DE" w:rsidRPr="00C84483" w:rsidRDefault="0048268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70424</w:t>
      </w:r>
    </w:p>
    <w:p w14:paraId="7B20F2C5" w14:textId="77777777"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A0E73E4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14:paraId="6688D7C4" w14:textId="77777777" w:rsidR="006D3103" w:rsidRDefault="006D3103" w:rsidP="006D310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4. juli 2024</w:t>
      </w:r>
    </w:p>
    <w:p w14:paraId="01D03F48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18616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14:paraId="1B5CB73C" w14:textId="1DAF8DFD" w:rsidR="009260DE" w:rsidRPr="00C84483" w:rsidRDefault="006D3103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20. februar 2025</w:t>
      </w:r>
      <w:bookmarkStart w:id="1" w:name="_GoBack"/>
      <w:bookmarkEnd w:id="1"/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1B0AB" w14:textId="77777777" w:rsidR="00B23844" w:rsidRDefault="00B23844">
      <w:r>
        <w:separator/>
      </w:r>
    </w:p>
  </w:endnote>
  <w:endnote w:type="continuationSeparator" w:id="0">
    <w:p w14:paraId="69A400A3" w14:textId="77777777" w:rsidR="00B23844" w:rsidRDefault="00B2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F7BD3" w14:textId="77777777" w:rsidR="000259B9" w:rsidRDefault="000259B9">
    <w:pPr>
      <w:pStyle w:val="Sidefod"/>
      <w:pBdr>
        <w:bottom w:val="single" w:sz="6" w:space="1" w:color="auto"/>
      </w:pBdr>
    </w:pPr>
  </w:p>
  <w:p w14:paraId="206DFBE3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3664E9B7" w14:textId="6A03EAF3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403FE">
      <w:rPr>
        <w:i/>
        <w:noProof/>
        <w:sz w:val="18"/>
        <w:szCs w:val="18"/>
      </w:rPr>
      <w:t>Tamsulosin Zentiva, hårde kapsler med modificeret udløsning 0,4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E418" w14:textId="77777777" w:rsidR="00B23844" w:rsidRDefault="00B23844">
      <w:r>
        <w:separator/>
      </w:r>
    </w:p>
  </w:footnote>
  <w:footnote w:type="continuationSeparator" w:id="0">
    <w:p w14:paraId="0F1E98D2" w14:textId="77777777" w:rsidR="00B23844" w:rsidRDefault="00B2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06F"/>
    <w:multiLevelType w:val="hybridMultilevel"/>
    <w:tmpl w:val="AEEAB7DA"/>
    <w:lvl w:ilvl="0" w:tplc="54C6CA1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44"/>
    <w:rsid w:val="000259B9"/>
    <w:rsid w:val="00041491"/>
    <w:rsid w:val="00050D16"/>
    <w:rsid w:val="000730CA"/>
    <w:rsid w:val="00074F2A"/>
    <w:rsid w:val="000A1CA8"/>
    <w:rsid w:val="000A466B"/>
    <w:rsid w:val="000B058C"/>
    <w:rsid w:val="000C3CC8"/>
    <w:rsid w:val="000D68B0"/>
    <w:rsid w:val="000E4EE6"/>
    <w:rsid w:val="001454E2"/>
    <w:rsid w:val="00206CE8"/>
    <w:rsid w:val="0021526C"/>
    <w:rsid w:val="00283A2B"/>
    <w:rsid w:val="002B30AD"/>
    <w:rsid w:val="002C1EC0"/>
    <w:rsid w:val="002C25B5"/>
    <w:rsid w:val="002C2C01"/>
    <w:rsid w:val="003A29AE"/>
    <w:rsid w:val="003A32D7"/>
    <w:rsid w:val="003B4074"/>
    <w:rsid w:val="003C769A"/>
    <w:rsid w:val="003D3A90"/>
    <w:rsid w:val="003F1838"/>
    <w:rsid w:val="004251C1"/>
    <w:rsid w:val="0045746C"/>
    <w:rsid w:val="00482684"/>
    <w:rsid w:val="0049104B"/>
    <w:rsid w:val="004E3B12"/>
    <w:rsid w:val="00532310"/>
    <w:rsid w:val="00565F0F"/>
    <w:rsid w:val="005804C0"/>
    <w:rsid w:val="00594A86"/>
    <w:rsid w:val="00596D86"/>
    <w:rsid w:val="0062532C"/>
    <w:rsid w:val="00637F5A"/>
    <w:rsid w:val="00641C65"/>
    <w:rsid w:val="006560B1"/>
    <w:rsid w:val="006756DD"/>
    <w:rsid w:val="006D3103"/>
    <w:rsid w:val="0071241E"/>
    <w:rsid w:val="00737275"/>
    <w:rsid w:val="007403FE"/>
    <w:rsid w:val="00740EEC"/>
    <w:rsid w:val="00741EFE"/>
    <w:rsid w:val="0078011A"/>
    <w:rsid w:val="00782AF4"/>
    <w:rsid w:val="00790EE7"/>
    <w:rsid w:val="007B6649"/>
    <w:rsid w:val="0082576E"/>
    <w:rsid w:val="0089346F"/>
    <w:rsid w:val="00904454"/>
    <w:rsid w:val="00907F75"/>
    <w:rsid w:val="009260DE"/>
    <w:rsid w:val="0093258A"/>
    <w:rsid w:val="00981C7C"/>
    <w:rsid w:val="009C43FC"/>
    <w:rsid w:val="009C7BA3"/>
    <w:rsid w:val="009D1F5A"/>
    <w:rsid w:val="00A10294"/>
    <w:rsid w:val="00B003BF"/>
    <w:rsid w:val="00B23844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3749A"/>
    <w:rsid w:val="00E72DDC"/>
    <w:rsid w:val="00E7437F"/>
    <w:rsid w:val="00E865B8"/>
    <w:rsid w:val="00EC0B9B"/>
    <w:rsid w:val="00ED5E9F"/>
    <w:rsid w:val="00EE6F1B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547C0"/>
  <w15:chartTrackingRefBased/>
  <w15:docId w15:val="{B628EA97-71BB-435A-88C8-4D1FAF2F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uiPriority w:val="59"/>
    <w:rsid w:val="0048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8268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82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5</TotalTime>
  <Pages>8</Pages>
  <Words>2106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Daugaard Kristiansen</dc:creator>
  <cp:keywords/>
  <dc:description>2024051754 _x000d_
SPC pkt. 4.3, 4.4</dc:description>
  <cp:lastModifiedBy>Lea Daugaard Kristiansen</cp:lastModifiedBy>
  <cp:revision>4</cp:revision>
  <cp:lastPrinted>2012-08-22T08:53:00Z</cp:lastPrinted>
  <dcterms:created xsi:type="dcterms:W3CDTF">2025-02-12T10:03:00Z</dcterms:created>
  <dcterms:modified xsi:type="dcterms:W3CDTF">2025-02-20T07:46:00Z</dcterms:modified>
</cp:coreProperties>
</file>