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B719D">
        <w:rPr>
          <w:szCs w:val="24"/>
        </w:rPr>
        <w:t>3. oktober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3E2848" w:rsidP="009260DE">
      <w:pPr>
        <w:jc w:val="center"/>
        <w:rPr>
          <w:b/>
          <w:sz w:val="24"/>
          <w:szCs w:val="24"/>
        </w:rPr>
      </w:pPr>
      <w:r>
        <w:rPr>
          <w:b/>
          <w:sz w:val="24"/>
          <w:szCs w:val="24"/>
        </w:rPr>
        <w:t>Tamsulosin</w:t>
      </w:r>
      <w:r w:rsidR="0081109D">
        <w:rPr>
          <w:b/>
          <w:sz w:val="24"/>
          <w:szCs w:val="24"/>
        </w:rPr>
        <w:t>hydrochlorid "Viatris", hårde kapsler med modificeret udløsning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1109D" w:rsidP="009260DE">
      <w:pPr>
        <w:tabs>
          <w:tab w:val="left" w:pos="851"/>
        </w:tabs>
        <w:ind w:left="851"/>
        <w:rPr>
          <w:sz w:val="24"/>
          <w:szCs w:val="24"/>
        </w:rPr>
      </w:pPr>
      <w:r>
        <w:rPr>
          <w:sz w:val="24"/>
          <w:szCs w:val="24"/>
        </w:rPr>
        <w:t>33653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81109D" w:rsidP="009260DE">
      <w:pPr>
        <w:tabs>
          <w:tab w:val="left" w:pos="851"/>
        </w:tabs>
        <w:ind w:left="851"/>
        <w:rPr>
          <w:sz w:val="24"/>
          <w:szCs w:val="24"/>
        </w:rPr>
      </w:pPr>
      <w:r>
        <w:rPr>
          <w:sz w:val="24"/>
          <w:szCs w:val="24"/>
        </w:rPr>
        <w:t>Tamsulosinhydrochlorid "Viatris"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1109D" w:rsidRPr="0081109D" w:rsidRDefault="0081109D" w:rsidP="0081109D">
      <w:pPr>
        <w:tabs>
          <w:tab w:val="left" w:pos="851"/>
        </w:tabs>
        <w:ind w:left="851"/>
        <w:rPr>
          <w:sz w:val="24"/>
          <w:szCs w:val="24"/>
        </w:rPr>
      </w:pPr>
      <w:r w:rsidRPr="0081109D">
        <w:rPr>
          <w:sz w:val="24"/>
          <w:szCs w:val="24"/>
        </w:rPr>
        <w:t>Hver kapsel indeholder 0,4 mg tamsulosinhydrochlorid.</w:t>
      </w:r>
    </w:p>
    <w:p w:rsidR="0081109D" w:rsidRPr="0081109D" w:rsidRDefault="0081109D" w:rsidP="0081109D">
      <w:pPr>
        <w:tabs>
          <w:tab w:val="left" w:pos="851"/>
        </w:tabs>
        <w:ind w:left="851"/>
        <w:rPr>
          <w:sz w:val="24"/>
          <w:szCs w:val="24"/>
        </w:rPr>
      </w:pPr>
    </w:p>
    <w:p w:rsidR="0081109D" w:rsidRPr="0081109D" w:rsidRDefault="0081109D" w:rsidP="0081109D">
      <w:pPr>
        <w:tabs>
          <w:tab w:val="left" w:pos="851"/>
        </w:tabs>
        <w:ind w:left="851"/>
        <w:rPr>
          <w:sz w:val="24"/>
          <w:szCs w:val="24"/>
        </w:rPr>
      </w:pPr>
      <w:r w:rsidRPr="0081109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81109D" w:rsidRDefault="0081109D" w:rsidP="0081109D">
      <w:pPr>
        <w:tabs>
          <w:tab w:val="left" w:pos="851"/>
        </w:tabs>
        <w:ind w:left="851"/>
        <w:rPr>
          <w:sz w:val="24"/>
          <w:szCs w:val="24"/>
        </w:rPr>
      </w:pPr>
      <w:r w:rsidRPr="0081109D">
        <w:rPr>
          <w:sz w:val="24"/>
          <w:szCs w:val="24"/>
        </w:rPr>
        <w:t>Hårde kapsler med modificeret udløsning</w:t>
      </w:r>
    </w:p>
    <w:p w:rsidR="00AE6B8D" w:rsidRPr="0081109D" w:rsidRDefault="00AE6B8D" w:rsidP="0081109D">
      <w:pPr>
        <w:tabs>
          <w:tab w:val="left" w:pos="851"/>
        </w:tabs>
        <w:ind w:left="851"/>
        <w:rPr>
          <w:sz w:val="24"/>
          <w:szCs w:val="24"/>
        </w:rPr>
      </w:pPr>
    </w:p>
    <w:p w:rsidR="0081109D" w:rsidRPr="0081109D" w:rsidRDefault="0081109D" w:rsidP="0081109D">
      <w:pPr>
        <w:tabs>
          <w:tab w:val="left" w:pos="851"/>
        </w:tabs>
        <w:ind w:left="851"/>
        <w:rPr>
          <w:sz w:val="24"/>
          <w:szCs w:val="24"/>
        </w:rPr>
      </w:pPr>
      <w:r w:rsidRPr="0081109D">
        <w:rPr>
          <w:sz w:val="24"/>
          <w:szCs w:val="24"/>
        </w:rPr>
        <w:t>De hårde kapsler er ca. 15,6</w:t>
      </w:r>
      <w:r w:rsidRPr="0081109D">
        <w:rPr>
          <w:sz w:val="24"/>
          <w:szCs w:val="24"/>
        </w:rPr>
        <w:noBreakHyphen/>
        <w:t>16,2 mm lange, lukkede, uigennemsigtige</w:t>
      </w:r>
      <w:r w:rsidR="00AE6B8D">
        <w:rPr>
          <w:sz w:val="24"/>
          <w:szCs w:val="24"/>
        </w:rPr>
        <w:t>,</w:t>
      </w:r>
      <w:r w:rsidRPr="0081109D">
        <w:rPr>
          <w:sz w:val="24"/>
          <w:szCs w:val="24"/>
        </w:rPr>
        <w:t xml:space="preserve"> med orange underdel og olivengrøn overdel.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073FD" w:rsidRPr="00EB719D" w:rsidRDefault="00B073FD" w:rsidP="00B073FD">
      <w:pPr>
        <w:tabs>
          <w:tab w:val="left" w:pos="851"/>
        </w:tabs>
        <w:ind w:left="851"/>
        <w:rPr>
          <w:sz w:val="24"/>
          <w:szCs w:val="24"/>
        </w:rPr>
      </w:pPr>
      <w:r w:rsidRPr="00EB719D">
        <w:rPr>
          <w:sz w:val="24"/>
          <w:szCs w:val="24"/>
        </w:rPr>
        <w:t>Nedre urinvejssymptomer (LUTS – Lower Urinary Tract Symptoms) associeret med benign prostatahyperplasi (BPH).</w:t>
      </w:r>
    </w:p>
    <w:p w:rsidR="009260DE" w:rsidRPr="00EB719D"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B073FD" w:rsidRDefault="00B073FD" w:rsidP="00B073FD">
      <w:pPr>
        <w:tabs>
          <w:tab w:val="left" w:pos="851"/>
        </w:tabs>
        <w:ind w:left="851"/>
        <w:rPr>
          <w:sz w:val="24"/>
          <w:szCs w:val="24"/>
          <w:u w:val="single"/>
        </w:rPr>
      </w:pPr>
    </w:p>
    <w:p w:rsidR="00B073FD" w:rsidRPr="00B073FD" w:rsidRDefault="00B073FD" w:rsidP="00B073FD">
      <w:pPr>
        <w:tabs>
          <w:tab w:val="left" w:pos="851"/>
        </w:tabs>
        <w:ind w:left="851"/>
        <w:rPr>
          <w:sz w:val="24"/>
          <w:szCs w:val="24"/>
          <w:u w:val="single"/>
        </w:rPr>
      </w:pPr>
      <w:r w:rsidRPr="00B073FD">
        <w:rPr>
          <w:sz w:val="24"/>
          <w:szCs w:val="24"/>
          <w:u w:val="single"/>
        </w:rPr>
        <w:t>Dosering</w:t>
      </w:r>
    </w:p>
    <w:p w:rsidR="00B073FD" w:rsidRPr="00B073FD" w:rsidRDefault="00B073FD" w:rsidP="00B073FD">
      <w:pPr>
        <w:tabs>
          <w:tab w:val="left" w:pos="851"/>
        </w:tabs>
        <w:ind w:left="851"/>
        <w:rPr>
          <w:sz w:val="24"/>
          <w:szCs w:val="24"/>
        </w:rPr>
      </w:pPr>
      <w:r w:rsidRPr="00B073FD">
        <w:rPr>
          <w:sz w:val="24"/>
          <w:szCs w:val="24"/>
        </w:rPr>
        <w:t>En kapsel dagligt efter morgenmaden eller efter dagens første måltid.</w:t>
      </w:r>
    </w:p>
    <w:p w:rsidR="00B073FD" w:rsidRPr="00B073FD" w:rsidRDefault="00B073FD" w:rsidP="00B073FD">
      <w:pPr>
        <w:tabs>
          <w:tab w:val="left" w:pos="851"/>
        </w:tabs>
        <w:ind w:left="851"/>
        <w:rPr>
          <w:sz w:val="24"/>
          <w:szCs w:val="24"/>
        </w:rPr>
      </w:pPr>
      <w:r w:rsidRPr="00B073FD">
        <w:rPr>
          <w:sz w:val="24"/>
          <w:szCs w:val="24"/>
        </w:rPr>
        <w:t>Dosisjustering er ikke påkrævet hos patienter med nedsat nyrefunktion. Dosisjustering er ikke påkrævet hos patienter med let til moderat nedsat leverfunktion (se også pkt. 4.3 Kontraindikationer).</w:t>
      </w:r>
    </w:p>
    <w:p w:rsidR="00B073FD" w:rsidRPr="00B073FD" w:rsidRDefault="00B073FD" w:rsidP="00B073FD">
      <w:pPr>
        <w:tabs>
          <w:tab w:val="left" w:pos="851"/>
        </w:tabs>
        <w:ind w:left="851"/>
        <w:rPr>
          <w:sz w:val="24"/>
          <w:szCs w:val="24"/>
        </w:rPr>
      </w:pPr>
    </w:p>
    <w:p w:rsidR="00B073FD" w:rsidRPr="00B073FD" w:rsidRDefault="00B073FD" w:rsidP="00B073FD">
      <w:pPr>
        <w:tabs>
          <w:tab w:val="left" w:pos="851"/>
        </w:tabs>
        <w:ind w:left="851"/>
        <w:rPr>
          <w:sz w:val="24"/>
          <w:szCs w:val="24"/>
        </w:rPr>
      </w:pPr>
      <w:r w:rsidRPr="00B073FD">
        <w:rPr>
          <w:i/>
          <w:sz w:val="24"/>
          <w:szCs w:val="24"/>
        </w:rPr>
        <w:t>Pædiatrisk population</w:t>
      </w:r>
    </w:p>
    <w:p w:rsidR="00B073FD" w:rsidRPr="00B073FD" w:rsidRDefault="00B073FD" w:rsidP="00B073FD">
      <w:pPr>
        <w:tabs>
          <w:tab w:val="left" w:pos="851"/>
        </w:tabs>
        <w:ind w:left="851"/>
        <w:rPr>
          <w:sz w:val="24"/>
          <w:szCs w:val="24"/>
        </w:rPr>
      </w:pPr>
      <w:r w:rsidRPr="00B073FD">
        <w:rPr>
          <w:sz w:val="24"/>
          <w:szCs w:val="24"/>
        </w:rPr>
        <w:t>Der er ingen relevante indikationer for brug af Tamsulosinhydrochlorid "Viatris" til børn.</w:t>
      </w:r>
    </w:p>
    <w:p w:rsidR="00B073FD" w:rsidRPr="00B073FD" w:rsidRDefault="00B073FD" w:rsidP="00B073FD">
      <w:pPr>
        <w:tabs>
          <w:tab w:val="left" w:pos="851"/>
        </w:tabs>
        <w:ind w:left="851"/>
        <w:rPr>
          <w:sz w:val="24"/>
          <w:szCs w:val="24"/>
        </w:rPr>
      </w:pPr>
      <w:r w:rsidRPr="00B073FD">
        <w:rPr>
          <w:sz w:val="24"/>
          <w:szCs w:val="24"/>
        </w:rPr>
        <w:lastRenderedPageBreak/>
        <w:t>Tamsulosins sikkerhed og virkning hos børn i alderen &lt; 18 år er ikke klarlagt. De foreliggende data er beskrevet i pkt. 5.1.</w:t>
      </w:r>
    </w:p>
    <w:p w:rsidR="00B073FD" w:rsidRPr="00B073FD" w:rsidRDefault="00B073FD" w:rsidP="00B073FD">
      <w:pPr>
        <w:tabs>
          <w:tab w:val="left" w:pos="851"/>
        </w:tabs>
        <w:ind w:left="851"/>
        <w:rPr>
          <w:sz w:val="24"/>
          <w:szCs w:val="24"/>
        </w:rPr>
      </w:pPr>
    </w:p>
    <w:p w:rsidR="00B073FD" w:rsidRPr="00B073FD" w:rsidRDefault="00B073FD" w:rsidP="00B073FD">
      <w:pPr>
        <w:tabs>
          <w:tab w:val="left" w:pos="851"/>
        </w:tabs>
        <w:ind w:left="851"/>
        <w:rPr>
          <w:sz w:val="24"/>
          <w:szCs w:val="24"/>
          <w:u w:val="single"/>
        </w:rPr>
      </w:pPr>
      <w:r w:rsidRPr="00B073FD">
        <w:rPr>
          <w:sz w:val="24"/>
          <w:szCs w:val="24"/>
          <w:u w:val="single"/>
        </w:rPr>
        <w:t>Administration</w:t>
      </w:r>
    </w:p>
    <w:p w:rsidR="00B073FD" w:rsidRPr="00B073FD" w:rsidRDefault="00B073FD" w:rsidP="00B073FD">
      <w:pPr>
        <w:tabs>
          <w:tab w:val="left" w:pos="851"/>
        </w:tabs>
        <w:ind w:left="851"/>
        <w:rPr>
          <w:sz w:val="24"/>
          <w:szCs w:val="24"/>
        </w:rPr>
      </w:pPr>
      <w:r w:rsidRPr="00B073FD">
        <w:rPr>
          <w:sz w:val="24"/>
          <w:szCs w:val="24"/>
        </w:rPr>
        <w:t>Oral anvendelse.</w:t>
      </w:r>
    </w:p>
    <w:p w:rsidR="00B073FD" w:rsidRPr="00B073FD" w:rsidRDefault="00B073FD" w:rsidP="00B073FD">
      <w:pPr>
        <w:tabs>
          <w:tab w:val="left" w:pos="851"/>
        </w:tabs>
        <w:ind w:left="851"/>
        <w:rPr>
          <w:sz w:val="24"/>
          <w:szCs w:val="24"/>
        </w:rPr>
      </w:pPr>
    </w:p>
    <w:p w:rsidR="00B073FD" w:rsidRPr="00B073FD" w:rsidRDefault="00B073FD" w:rsidP="00B073FD">
      <w:pPr>
        <w:tabs>
          <w:tab w:val="left" w:pos="851"/>
        </w:tabs>
        <w:ind w:left="851"/>
        <w:rPr>
          <w:sz w:val="24"/>
          <w:szCs w:val="24"/>
        </w:rPr>
      </w:pPr>
      <w:r w:rsidRPr="00B073FD">
        <w:rPr>
          <w:sz w:val="24"/>
          <w:szCs w:val="24"/>
        </w:rPr>
        <w:t>Kapslen skal synkes hel og må ikke knuses eller tygges, da dette påvirker den modificerede udløsning af det aktive stof.</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B073FD" w:rsidRPr="00B073FD" w:rsidRDefault="00B073FD" w:rsidP="00B073FD">
      <w:pPr>
        <w:tabs>
          <w:tab w:val="left" w:pos="851"/>
        </w:tabs>
        <w:ind w:left="851"/>
        <w:rPr>
          <w:sz w:val="24"/>
          <w:szCs w:val="24"/>
        </w:rPr>
      </w:pPr>
      <w:r w:rsidRPr="00B073FD">
        <w:rPr>
          <w:sz w:val="24"/>
          <w:szCs w:val="24"/>
        </w:rPr>
        <w:t>Overfølsomhed over for det aktive stof, herunder lægemiddelinduceret angioødem, eller over for et eller flere af hjælpestofferne anført i pkt. 6.1.</w:t>
      </w:r>
    </w:p>
    <w:p w:rsidR="00B073FD" w:rsidRPr="00B073FD" w:rsidRDefault="00B073FD" w:rsidP="00B073FD">
      <w:pPr>
        <w:tabs>
          <w:tab w:val="left" w:pos="851"/>
        </w:tabs>
        <w:ind w:left="851"/>
        <w:rPr>
          <w:sz w:val="24"/>
          <w:szCs w:val="24"/>
        </w:rPr>
      </w:pPr>
      <w:r w:rsidRPr="00B073FD">
        <w:rPr>
          <w:sz w:val="24"/>
          <w:szCs w:val="24"/>
        </w:rPr>
        <w:t>Tidligere ortostatisk hypotension. Svært nedsat leverfunktion.</w:t>
      </w:r>
    </w:p>
    <w:p w:rsidR="00B073FD" w:rsidRPr="00B073FD" w:rsidRDefault="00B073FD" w:rsidP="00B073F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073FD" w:rsidRPr="00B073FD" w:rsidRDefault="00B073FD" w:rsidP="00B073FD">
      <w:pPr>
        <w:tabs>
          <w:tab w:val="left" w:pos="851"/>
        </w:tabs>
        <w:ind w:left="851"/>
        <w:rPr>
          <w:sz w:val="24"/>
          <w:szCs w:val="24"/>
        </w:rPr>
      </w:pPr>
      <w:r w:rsidRPr="00B073FD">
        <w:rPr>
          <w:sz w:val="24"/>
          <w:szCs w:val="24"/>
        </w:rPr>
        <w:t>Som ved andre alfa-adrenoceptor-antagonister kan der i enkelte tilfælde forekomme nedsat blodtryk under behandling med tamsulosin 0,4 mg, der i sjældne tilfælde kan medføre synkope. Ved de første tegn på ortostatisk hypotension (svimmelhed, svaghed) skal patienten sætte sig eller lægge sig ned, indtil symptomerne er forsvundet.</w:t>
      </w:r>
    </w:p>
    <w:p w:rsidR="00B073FD" w:rsidRPr="00B073FD" w:rsidRDefault="00B073FD" w:rsidP="00B073FD">
      <w:pPr>
        <w:tabs>
          <w:tab w:val="left" w:pos="851"/>
        </w:tabs>
        <w:ind w:left="851"/>
        <w:rPr>
          <w:sz w:val="24"/>
          <w:szCs w:val="24"/>
        </w:rPr>
      </w:pPr>
    </w:p>
    <w:p w:rsidR="00B073FD" w:rsidRPr="00B073FD" w:rsidRDefault="00B073FD" w:rsidP="00B073FD">
      <w:pPr>
        <w:tabs>
          <w:tab w:val="left" w:pos="851"/>
        </w:tabs>
        <w:ind w:left="851"/>
        <w:rPr>
          <w:sz w:val="24"/>
          <w:szCs w:val="24"/>
        </w:rPr>
      </w:pPr>
      <w:r w:rsidRPr="00B073FD">
        <w:rPr>
          <w:sz w:val="24"/>
          <w:szCs w:val="24"/>
        </w:rPr>
        <w:t>Før behandling med tamsulosin 0,4 mg igangsættes, skal patienten undersøges for at udelukke tilstedeværelsen af andre tilstande, der kan give de samme symptomer som benign prostatahyperplasi. Prostata skal undersøges via rektum, og PSA</w:t>
      </w:r>
      <w:r w:rsidRPr="00B073FD">
        <w:rPr>
          <w:sz w:val="24"/>
          <w:szCs w:val="24"/>
        </w:rPr>
        <w:noBreakHyphen/>
        <w:t>tallet (prostataspecifikt antigen) skal om nødvendigt bestemmes før behandlingen og med regelmæssige intervaller derefter.</w:t>
      </w:r>
    </w:p>
    <w:p w:rsidR="00B073FD" w:rsidRPr="00B073FD" w:rsidRDefault="00B073FD" w:rsidP="00B073FD">
      <w:pPr>
        <w:tabs>
          <w:tab w:val="left" w:pos="851"/>
        </w:tabs>
        <w:ind w:left="851"/>
        <w:rPr>
          <w:sz w:val="24"/>
          <w:szCs w:val="24"/>
        </w:rPr>
      </w:pPr>
      <w:r w:rsidRPr="00B073FD">
        <w:rPr>
          <w:sz w:val="24"/>
          <w:szCs w:val="24"/>
        </w:rPr>
        <w:t>Behandlingen af patienter med svært nedsat nyrefunktion (kreatininclearance &lt; 10 ml/min) skal foregå med særlig forsigtighed, da denne patientgruppe ikke er blevet undersøgt.</w:t>
      </w:r>
    </w:p>
    <w:p w:rsidR="00B073FD" w:rsidRPr="00B073FD" w:rsidRDefault="00B073FD" w:rsidP="00B073FD">
      <w:pPr>
        <w:tabs>
          <w:tab w:val="left" w:pos="851"/>
        </w:tabs>
        <w:ind w:left="851"/>
        <w:rPr>
          <w:sz w:val="24"/>
          <w:szCs w:val="24"/>
        </w:rPr>
      </w:pPr>
      <w:r w:rsidRPr="00B073FD">
        <w:rPr>
          <w:sz w:val="24"/>
          <w:szCs w:val="24"/>
        </w:rPr>
        <w:t>Intraoperative Floppy Iris Syndrome (IFIS, perioperativt atonisk iris-syndrom, en variant af lille pupil-syndrom) er blevet observeret hos visse patienter ved kataraktoperation, hvis de behandles eller tidligere er blevet behandlet med tamsulosinhydrochlorid. IFIS kan øge risikoen for øjenkomplikationer under og efter operationen.</w:t>
      </w:r>
    </w:p>
    <w:p w:rsidR="00B073FD" w:rsidRPr="00B073FD" w:rsidRDefault="00B073FD" w:rsidP="00B073FD">
      <w:pPr>
        <w:tabs>
          <w:tab w:val="left" w:pos="851"/>
        </w:tabs>
        <w:ind w:left="851"/>
        <w:rPr>
          <w:sz w:val="24"/>
          <w:szCs w:val="24"/>
        </w:rPr>
      </w:pPr>
      <w:r w:rsidRPr="00B073FD">
        <w:rPr>
          <w:sz w:val="24"/>
          <w:szCs w:val="24"/>
        </w:rPr>
        <w:t>Seponering af tamsulosinhydrochlorid 1-2 uger før kataraktoperation har anekdotisk vist sig at være nyttig, men fordelen ved seponering af behandlingen er endnu ikke klarlagt. IFIS er også blevet rapporteret hos patienter, der havde seponeret behandlingen med tamsulosin i en længere periode inden kataraktoperationen.</w:t>
      </w:r>
    </w:p>
    <w:p w:rsidR="00B073FD" w:rsidRPr="00B073FD" w:rsidRDefault="00B073FD" w:rsidP="00B073FD">
      <w:pPr>
        <w:tabs>
          <w:tab w:val="left" w:pos="851"/>
        </w:tabs>
        <w:ind w:left="851"/>
        <w:rPr>
          <w:sz w:val="24"/>
          <w:szCs w:val="24"/>
        </w:rPr>
      </w:pPr>
      <w:r w:rsidRPr="00B073FD">
        <w:rPr>
          <w:sz w:val="24"/>
          <w:szCs w:val="24"/>
        </w:rPr>
        <w:t>Start af behandling med tamsulosinhydrochlorid hos patienter, hvor kataraktoperation er planlagt, frarådes. Ved forundersøgelsen til operationen bør kirurgen og det oftalmologiske team tage hensyn til, om patienten, som skal opereres for katarakt, er i behandling eller har været i behandling med tamsulosin, således at der kan træffes de rette foranstaltninger til at håndtere IFIS under operationen.</w:t>
      </w:r>
    </w:p>
    <w:p w:rsidR="00B073FD" w:rsidRPr="00B073FD" w:rsidRDefault="00B073FD" w:rsidP="00B073FD">
      <w:pPr>
        <w:tabs>
          <w:tab w:val="left" w:pos="851"/>
        </w:tabs>
        <w:ind w:left="851"/>
        <w:rPr>
          <w:sz w:val="24"/>
          <w:szCs w:val="24"/>
        </w:rPr>
      </w:pPr>
    </w:p>
    <w:p w:rsidR="00B073FD" w:rsidRPr="00B073FD" w:rsidRDefault="00B073FD" w:rsidP="00B073FD">
      <w:pPr>
        <w:tabs>
          <w:tab w:val="left" w:pos="851"/>
        </w:tabs>
        <w:ind w:left="851"/>
        <w:rPr>
          <w:sz w:val="24"/>
          <w:szCs w:val="24"/>
        </w:rPr>
      </w:pPr>
      <w:r w:rsidRPr="00B073FD">
        <w:rPr>
          <w:sz w:val="24"/>
          <w:szCs w:val="24"/>
        </w:rPr>
        <w:t>Tamsulosinhydrochlorid bør ikke anvendes i kombination med stærke CYP3A4-hæmmere hos langsomme CYP2D6-omsættere.</w:t>
      </w:r>
    </w:p>
    <w:p w:rsidR="00B073FD" w:rsidRPr="00B073FD" w:rsidRDefault="00B073FD" w:rsidP="00B073FD">
      <w:pPr>
        <w:tabs>
          <w:tab w:val="left" w:pos="851"/>
        </w:tabs>
        <w:ind w:left="851"/>
        <w:rPr>
          <w:sz w:val="24"/>
          <w:szCs w:val="24"/>
        </w:rPr>
      </w:pPr>
    </w:p>
    <w:p w:rsidR="00B073FD" w:rsidRPr="00B073FD" w:rsidRDefault="00B073FD" w:rsidP="00B073FD">
      <w:pPr>
        <w:tabs>
          <w:tab w:val="left" w:pos="851"/>
        </w:tabs>
        <w:ind w:left="851"/>
        <w:rPr>
          <w:sz w:val="24"/>
          <w:szCs w:val="24"/>
        </w:rPr>
      </w:pPr>
      <w:r w:rsidRPr="00B073FD">
        <w:rPr>
          <w:sz w:val="24"/>
          <w:szCs w:val="24"/>
        </w:rPr>
        <w:t>Tamsulosinhydrochlorid skal anvendes med forsigtighed i kombination med stærke og moderate CYP3A4-hæmmere (se pkt. 4.5).</w:t>
      </w:r>
    </w:p>
    <w:p w:rsidR="00B073FD" w:rsidRPr="00B073FD" w:rsidRDefault="00B073FD" w:rsidP="00B073F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073FD" w:rsidRPr="00B073FD" w:rsidRDefault="00B073FD" w:rsidP="00B073FD">
      <w:pPr>
        <w:tabs>
          <w:tab w:val="left" w:pos="851"/>
        </w:tabs>
        <w:ind w:left="851"/>
        <w:rPr>
          <w:sz w:val="24"/>
          <w:szCs w:val="24"/>
        </w:rPr>
      </w:pPr>
      <w:r w:rsidRPr="00B073FD">
        <w:rPr>
          <w:sz w:val="24"/>
          <w:szCs w:val="24"/>
        </w:rPr>
        <w:t>Interaktionsstudier er kun udført hos voksne.</w:t>
      </w:r>
    </w:p>
    <w:p w:rsidR="00B073FD" w:rsidRPr="00B073FD" w:rsidRDefault="00B073FD" w:rsidP="00B073FD">
      <w:pPr>
        <w:tabs>
          <w:tab w:val="left" w:pos="851"/>
        </w:tabs>
        <w:ind w:left="851"/>
        <w:rPr>
          <w:sz w:val="24"/>
          <w:szCs w:val="24"/>
        </w:rPr>
      </w:pPr>
      <w:r w:rsidRPr="00B073FD">
        <w:rPr>
          <w:sz w:val="24"/>
          <w:szCs w:val="24"/>
        </w:rPr>
        <w:t xml:space="preserve">Der er ikke observeret interaktion, når tamsulosinhydrochlorid gives sammen med atenolol, enalapril eller theophyllin. Sammen med cimetidin stiger plasmaniveauet af </w:t>
      </w:r>
      <w:r w:rsidRPr="00B073FD">
        <w:rPr>
          <w:sz w:val="24"/>
          <w:szCs w:val="24"/>
        </w:rPr>
        <w:lastRenderedPageBreak/>
        <w:t>tamsulosin, og sammen med furosemid falder plasmaniveauet. Da niveauerne forbliver inden for det normale område, er det ikke nødvendigt at ændre doseringen.</w:t>
      </w:r>
    </w:p>
    <w:p w:rsidR="00B073FD" w:rsidRPr="00B073FD" w:rsidRDefault="00B073FD" w:rsidP="00B073FD">
      <w:pPr>
        <w:tabs>
          <w:tab w:val="left" w:pos="851"/>
        </w:tabs>
        <w:ind w:left="851"/>
        <w:rPr>
          <w:sz w:val="24"/>
          <w:szCs w:val="24"/>
        </w:rPr>
      </w:pPr>
      <w:r w:rsidRPr="00B073FD">
        <w:rPr>
          <w:sz w:val="24"/>
          <w:szCs w:val="24"/>
        </w:rPr>
        <w:t xml:space="preserve">Hverken diazepam, propranolol, trichlormethiazid, chlormadinon, amitriptylin, diclofenac, glibenclamid, simvastatin eller warfarin ændrer den frie fraktion af tamsulosin i humant plasma </w:t>
      </w:r>
      <w:r w:rsidRPr="00B073FD">
        <w:rPr>
          <w:i/>
          <w:sz w:val="24"/>
          <w:szCs w:val="24"/>
        </w:rPr>
        <w:t>in vitro</w:t>
      </w:r>
      <w:r w:rsidRPr="00B073FD">
        <w:rPr>
          <w:sz w:val="24"/>
          <w:szCs w:val="24"/>
        </w:rPr>
        <w:t>. Tamsulosin ændrer heller ikke de frie fraktioner af diazepam, propranolol, trichlormethiazid og chlormadinon.</w:t>
      </w:r>
    </w:p>
    <w:p w:rsidR="00B073FD" w:rsidRPr="00B073FD" w:rsidRDefault="00B073FD" w:rsidP="00B073FD">
      <w:pPr>
        <w:tabs>
          <w:tab w:val="left" w:pos="851"/>
        </w:tabs>
        <w:ind w:left="851"/>
        <w:rPr>
          <w:sz w:val="24"/>
          <w:szCs w:val="24"/>
        </w:rPr>
      </w:pPr>
      <w:r w:rsidRPr="00B073FD">
        <w:rPr>
          <w:sz w:val="24"/>
          <w:szCs w:val="24"/>
        </w:rPr>
        <w:t>Diclofenac og warfarin kan dog øge eliminationshastigheden af tamsulosin.</w:t>
      </w:r>
    </w:p>
    <w:p w:rsidR="00B073FD" w:rsidRPr="00B073FD" w:rsidRDefault="00B073FD" w:rsidP="00B073FD">
      <w:pPr>
        <w:tabs>
          <w:tab w:val="left" w:pos="851"/>
        </w:tabs>
        <w:ind w:left="851"/>
        <w:rPr>
          <w:sz w:val="24"/>
          <w:szCs w:val="24"/>
        </w:rPr>
      </w:pPr>
      <w:r w:rsidRPr="00B073FD">
        <w:rPr>
          <w:sz w:val="24"/>
          <w:szCs w:val="24"/>
        </w:rPr>
        <w:t>Samtidig administration af tamsulosinhydrochlorid og stærke CYP3A4-hæmmere kan føre til øget eksponering for tamsulosinhydrochlorid. Samtidig administration med ketoconazol (en kendt stærk CYP3A4-hæmmer) resulterede i øget AUC og C</w:t>
      </w:r>
      <w:r w:rsidRPr="00B073FD">
        <w:rPr>
          <w:sz w:val="24"/>
          <w:szCs w:val="24"/>
          <w:vertAlign w:val="subscript"/>
        </w:rPr>
        <w:t>max</w:t>
      </w:r>
      <w:r w:rsidRPr="00B073FD">
        <w:rPr>
          <w:sz w:val="24"/>
          <w:szCs w:val="24"/>
        </w:rPr>
        <w:t xml:space="preserve"> for tamsulosinhydrochlorid med henholdsvis en faktor 2,8 og 2,2.</w:t>
      </w:r>
    </w:p>
    <w:p w:rsidR="00B073FD" w:rsidRPr="00B073FD" w:rsidRDefault="00B073FD" w:rsidP="00B073FD">
      <w:pPr>
        <w:tabs>
          <w:tab w:val="left" w:pos="851"/>
        </w:tabs>
        <w:ind w:left="851"/>
        <w:rPr>
          <w:sz w:val="24"/>
          <w:szCs w:val="24"/>
        </w:rPr>
      </w:pPr>
      <w:r w:rsidRPr="00B073FD">
        <w:rPr>
          <w:sz w:val="24"/>
          <w:szCs w:val="24"/>
        </w:rPr>
        <w:t>Tamsulosinhydrochlorid bør ikke gives samtidig med stærke CYP3A4-hæmmere hos langsomme CYP2D6-omsættere.</w:t>
      </w:r>
    </w:p>
    <w:p w:rsidR="00B073FD" w:rsidRPr="00B073FD" w:rsidRDefault="00B073FD" w:rsidP="00B073FD">
      <w:pPr>
        <w:tabs>
          <w:tab w:val="left" w:pos="851"/>
        </w:tabs>
        <w:ind w:left="851"/>
        <w:rPr>
          <w:sz w:val="24"/>
          <w:szCs w:val="24"/>
        </w:rPr>
      </w:pPr>
    </w:p>
    <w:p w:rsidR="00B073FD" w:rsidRPr="00B073FD" w:rsidRDefault="00B073FD" w:rsidP="00B073FD">
      <w:pPr>
        <w:tabs>
          <w:tab w:val="left" w:pos="851"/>
        </w:tabs>
        <w:ind w:left="851"/>
        <w:rPr>
          <w:sz w:val="24"/>
          <w:szCs w:val="24"/>
        </w:rPr>
      </w:pPr>
      <w:r w:rsidRPr="00B073FD">
        <w:rPr>
          <w:sz w:val="24"/>
          <w:szCs w:val="24"/>
        </w:rPr>
        <w:t>Tamsulosinhydrochlorid bør anvendes med forsigtighed i kombination med stærke og moderate CYP3A4-hæmmere.</w:t>
      </w:r>
    </w:p>
    <w:p w:rsidR="00B073FD" w:rsidRPr="00B073FD" w:rsidRDefault="00B073FD" w:rsidP="00B073FD">
      <w:pPr>
        <w:tabs>
          <w:tab w:val="left" w:pos="851"/>
        </w:tabs>
        <w:ind w:left="851"/>
        <w:rPr>
          <w:sz w:val="24"/>
          <w:szCs w:val="24"/>
        </w:rPr>
      </w:pPr>
      <w:r w:rsidRPr="00B073FD">
        <w:rPr>
          <w:sz w:val="24"/>
          <w:szCs w:val="24"/>
        </w:rPr>
        <w:t>Samtidig administration af tamsulosinhydrochlorid og paroxetin, en stærk CYP2D6-hæmmer, resulterede i øget C</w:t>
      </w:r>
      <w:r w:rsidRPr="00B073FD">
        <w:rPr>
          <w:sz w:val="24"/>
          <w:szCs w:val="24"/>
          <w:vertAlign w:val="subscript"/>
        </w:rPr>
        <w:t>max</w:t>
      </w:r>
      <w:r w:rsidRPr="00B073FD">
        <w:rPr>
          <w:sz w:val="24"/>
          <w:szCs w:val="24"/>
        </w:rPr>
        <w:t xml:space="preserve"> og AUC for tamsulosinhydrochlorid med henholdsvis faktor 1,3 og 1,6. Denne øgning anses ikke for værende klinisk relevant.</w:t>
      </w:r>
    </w:p>
    <w:p w:rsidR="00B073FD" w:rsidRPr="00B073FD" w:rsidRDefault="00B073FD" w:rsidP="00B073FD">
      <w:pPr>
        <w:tabs>
          <w:tab w:val="left" w:pos="851"/>
        </w:tabs>
        <w:ind w:left="851"/>
        <w:rPr>
          <w:i/>
          <w:sz w:val="24"/>
          <w:szCs w:val="24"/>
        </w:rPr>
      </w:pPr>
      <w:r w:rsidRPr="00B073FD">
        <w:rPr>
          <w:sz w:val="24"/>
          <w:szCs w:val="24"/>
        </w:rPr>
        <w:t>Samtidig administration af andre alfa</w:t>
      </w:r>
      <w:r w:rsidRPr="00B073FD">
        <w:rPr>
          <w:sz w:val="24"/>
          <w:szCs w:val="24"/>
        </w:rPr>
        <w:noBreakHyphen/>
        <w:t>adrenoceptor-antagonister kan medføre hypotensive 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B073FD" w:rsidRPr="00B073FD" w:rsidRDefault="00B073FD" w:rsidP="00B073FD">
      <w:pPr>
        <w:tabs>
          <w:tab w:val="left" w:pos="851"/>
        </w:tabs>
        <w:ind w:left="851"/>
        <w:rPr>
          <w:sz w:val="24"/>
          <w:szCs w:val="24"/>
        </w:rPr>
      </w:pPr>
      <w:r w:rsidRPr="00B073FD">
        <w:rPr>
          <w:sz w:val="24"/>
          <w:szCs w:val="24"/>
        </w:rPr>
        <w:t>Tamsulosin er ikke indiceret til brug hos kvinder.</w:t>
      </w:r>
    </w:p>
    <w:p w:rsidR="00B073FD" w:rsidRPr="00B073FD" w:rsidRDefault="00B073FD" w:rsidP="00B073FD">
      <w:pPr>
        <w:tabs>
          <w:tab w:val="left" w:pos="851"/>
        </w:tabs>
        <w:ind w:left="851"/>
        <w:rPr>
          <w:sz w:val="24"/>
          <w:szCs w:val="24"/>
        </w:rPr>
      </w:pPr>
      <w:r w:rsidRPr="00B073FD">
        <w:rPr>
          <w:sz w:val="24"/>
          <w:szCs w:val="24"/>
        </w:rPr>
        <w:t>Anormal ejakulation er blevet observeret i kort- og langvarige kliniske studier af tamsulosin. Tilfælde af anormal ejakulation, retrograd ejakulation og ejakulationssvigt er blevet rapporteret efter markedsføring.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B073FD" w:rsidRPr="00B073FD" w:rsidRDefault="00B073FD" w:rsidP="00B073FD">
      <w:pPr>
        <w:tabs>
          <w:tab w:val="left" w:pos="851"/>
        </w:tabs>
        <w:ind w:left="851"/>
        <w:rPr>
          <w:sz w:val="24"/>
          <w:szCs w:val="24"/>
        </w:rPr>
      </w:pPr>
      <w:r w:rsidRPr="00B073FD">
        <w:rPr>
          <w:sz w:val="24"/>
          <w:szCs w:val="24"/>
        </w:rPr>
        <w:t>Ikke mærkning.</w:t>
      </w:r>
    </w:p>
    <w:p w:rsidR="00B073FD" w:rsidRPr="00B073FD" w:rsidRDefault="00B073FD" w:rsidP="00B073FD">
      <w:pPr>
        <w:tabs>
          <w:tab w:val="left" w:pos="851"/>
        </w:tabs>
        <w:ind w:left="851"/>
        <w:rPr>
          <w:sz w:val="24"/>
          <w:szCs w:val="24"/>
        </w:rPr>
      </w:pPr>
      <w:r w:rsidRPr="00B073FD">
        <w:rPr>
          <w:sz w:val="24"/>
          <w:szCs w:val="24"/>
        </w:rPr>
        <w:t>Der er ikke foretaget undersøgelser af virkningen på evnen til at føre motorkøretøj og betjene maskiner. Patienterne bør imidlertid være opmærksomme på, at svimmelhed kan forekomme.</w:t>
      </w:r>
    </w:p>
    <w:p w:rsidR="00B073FD" w:rsidRPr="00B073FD" w:rsidRDefault="00B073FD" w:rsidP="00B073F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A7A06" w:rsidRPr="007A29C9" w:rsidRDefault="008A7A06" w:rsidP="008A7A06">
      <w:pPr>
        <w:rPr>
          <w:szCs w:val="22"/>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52"/>
        <w:gridCol w:w="1452"/>
        <w:gridCol w:w="1452"/>
        <w:gridCol w:w="1452"/>
        <w:gridCol w:w="1452"/>
      </w:tblGrid>
      <w:tr w:rsidR="008A7A06" w:rsidRPr="007A29C9" w:rsidTr="00056D6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rPr>
                <w:b/>
                <w:bCs/>
                <w:szCs w:val="22"/>
                <w:lang w:eastAsia="da-DK"/>
              </w:rPr>
            </w:pPr>
            <w:r w:rsidRPr="007A29C9">
              <w:rPr>
                <w:b/>
                <w:bCs/>
                <w:szCs w:val="22"/>
              </w:rPr>
              <w:t>Systemorganklasse</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bCs/>
                <w:color w:val="000000"/>
                <w:szCs w:val="22"/>
              </w:rPr>
            </w:pPr>
            <w:r w:rsidRPr="007A29C9">
              <w:rPr>
                <w:b/>
                <w:bCs/>
                <w:color w:val="000000"/>
                <w:szCs w:val="22"/>
              </w:rPr>
              <w:t>Almindelig</w:t>
            </w:r>
          </w:p>
          <w:p w:rsidR="008A7A06" w:rsidRPr="007A29C9" w:rsidRDefault="008A7A06" w:rsidP="00056D6A">
            <w:pPr>
              <w:spacing w:before="100" w:after="100"/>
              <w:ind w:left="81"/>
              <w:rPr>
                <w:b/>
                <w:bCs/>
                <w:color w:val="000000"/>
                <w:szCs w:val="22"/>
              </w:rPr>
            </w:pPr>
            <w:r w:rsidRPr="007A29C9">
              <w:rPr>
                <w:b/>
                <w:bCs/>
                <w:color w:val="000000"/>
                <w:szCs w:val="22"/>
              </w:rPr>
              <w:t>(≥ 1/100 til</w:t>
            </w:r>
            <w:r w:rsidRPr="007A29C9">
              <w:rPr>
                <w:b/>
                <w:bCs/>
                <w:color w:val="000000"/>
                <w:szCs w:val="22"/>
              </w:rPr>
              <w:br/>
              <w:t>&lt; 1/10)</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bCs/>
                <w:color w:val="000000"/>
                <w:szCs w:val="22"/>
              </w:rPr>
            </w:pPr>
            <w:r w:rsidRPr="007A29C9">
              <w:rPr>
                <w:b/>
                <w:bCs/>
                <w:color w:val="000000"/>
                <w:szCs w:val="22"/>
              </w:rPr>
              <w:t>Ikke almindelig</w:t>
            </w:r>
          </w:p>
          <w:p w:rsidR="008A7A06" w:rsidRPr="007A29C9" w:rsidRDefault="008A7A06" w:rsidP="00056D6A">
            <w:pPr>
              <w:spacing w:before="100" w:after="100"/>
              <w:ind w:left="81"/>
              <w:rPr>
                <w:b/>
                <w:bCs/>
                <w:color w:val="000000"/>
                <w:szCs w:val="22"/>
              </w:rPr>
            </w:pPr>
            <w:r w:rsidRPr="007A29C9">
              <w:rPr>
                <w:b/>
                <w:bCs/>
                <w:color w:val="000000"/>
                <w:szCs w:val="22"/>
              </w:rPr>
              <w:t>(≥ 1/1.000</w:t>
            </w:r>
            <w:r w:rsidRPr="007A29C9">
              <w:rPr>
                <w:b/>
                <w:bCs/>
                <w:color w:val="000000"/>
                <w:szCs w:val="22"/>
              </w:rPr>
              <w:br/>
              <w:t>til &lt; 1/100)</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bCs/>
                <w:color w:val="000000"/>
                <w:szCs w:val="22"/>
              </w:rPr>
            </w:pPr>
            <w:r w:rsidRPr="007A29C9">
              <w:rPr>
                <w:b/>
                <w:bCs/>
                <w:color w:val="000000"/>
                <w:szCs w:val="22"/>
              </w:rPr>
              <w:t>Sjælden</w:t>
            </w:r>
          </w:p>
          <w:p w:rsidR="008A7A06" w:rsidRPr="007A29C9" w:rsidRDefault="008A7A06" w:rsidP="00056D6A">
            <w:pPr>
              <w:spacing w:before="100" w:after="100"/>
              <w:ind w:left="81"/>
              <w:rPr>
                <w:b/>
                <w:bCs/>
                <w:color w:val="000000"/>
                <w:szCs w:val="22"/>
              </w:rPr>
            </w:pPr>
            <w:r w:rsidRPr="007A29C9">
              <w:rPr>
                <w:b/>
                <w:bCs/>
                <w:color w:val="000000"/>
                <w:szCs w:val="22"/>
              </w:rPr>
              <w:t>(≥ 1/10.000</w:t>
            </w:r>
            <w:r w:rsidRPr="007A29C9">
              <w:rPr>
                <w:b/>
                <w:bCs/>
                <w:color w:val="000000"/>
                <w:szCs w:val="22"/>
              </w:rPr>
              <w:br/>
              <w:t>til &lt; 1/1</w:t>
            </w:r>
            <w:r>
              <w:rPr>
                <w:b/>
                <w:bCs/>
                <w:color w:val="000000"/>
                <w:szCs w:val="22"/>
              </w:rPr>
              <w:t>.</w:t>
            </w:r>
            <w:r w:rsidRPr="007A29C9">
              <w:rPr>
                <w:b/>
                <w:bCs/>
                <w:color w:val="000000"/>
                <w:szCs w:val="22"/>
              </w:rPr>
              <w:t>000)</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bCs/>
                <w:color w:val="000000"/>
                <w:szCs w:val="22"/>
              </w:rPr>
            </w:pPr>
            <w:r w:rsidRPr="007A29C9">
              <w:rPr>
                <w:b/>
                <w:bCs/>
                <w:color w:val="000000"/>
                <w:szCs w:val="22"/>
              </w:rPr>
              <w:t>Meget sjælden</w:t>
            </w:r>
          </w:p>
          <w:p w:rsidR="008A7A06" w:rsidRPr="007A29C9" w:rsidRDefault="008A7A06" w:rsidP="00056D6A">
            <w:pPr>
              <w:spacing w:before="100" w:after="100"/>
              <w:ind w:left="81"/>
              <w:rPr>
                <w:b/>
                <w:bCs/>
                <w:color w:val="000000"/>
                <w:szCs w:val="22"/>
              </w:rPr>
            </w:pPr>
            <w:r w:rsidRPr="007A29C9">
              <w:rPr>
                <w:b/>
                <w:bCs/>
                <w:color w:val="000000"/>
                <w:szCs w:val="22"/>
              </w:rPr>
              <w:t>(&lt; 1/10.000)</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ind w:left="14" w:hanging="14"/>
              <w:rPr>
                <w:b/>
                <w:bCs/>
                <w:szCs w:val="22"/>
              </w:rPr>
            </w:pPr>
            <w:r w:rsidRPr="007A29C9">
              <w:rPr>
                <w:b/>
                <w:bCs/>
                <w:szCs w:val="22"/>
              </w:rPr>
              <w:t>Ikke kendt</w:t>
            </w:r>
          </w:p>
          <w:p w:rsidR="008A7A06" w:rsidRPr="007A29C9" w:rsidRDefault="008A7A06" w:rsidP="00056D6A">
            <w:pPr>
              <w:ind w:left="14" w:hanging="14"/>
              <w:rPr>
                <w:b/>
                <w:bCs/>
                <w:szCs w:val="22"/>
              </w:rPr>
            </w:pPr>
            <w:r w:rsidRPr="007A29C9">
              <w:rPr>
                <w:b/>
                <w:bCs/>
                <w:szCs w:val="22"/>
              </w:rPr>
              <w:tab/>
              <w:t>(kan ikke estimeres ud fra forhånden</w:t>
            </w:r>
            <w:r w:rsidRPr="007A29C9">
              <w:rPr>
                <w:b/>
                <w:bCs/>
                <w:szCs w:val="22"/>
              </w:rPr>
              <w:softHyphen/>
              <w:t>værende data)</w:t>
            </w:r>
          </w:p>
          <w:p w:rsidR="008A7A06" w:rsidRPr="007A29C9" w:rsidRDefault="008A7A06" w:rsidP="00056D6A">
            <w:pPr>
              <w:spacing w:before="100" w:after="100"/>
              <w:ind w:left="81"/>
              <w:rPr>
                <w:b/>
                <w:bCs/>
                <w:color w:val="000000"/>
                <w:szCs w:val="22"/>
              </w:rPr>
            </w:pPr>
          </w:p>
        </w:tc>
      </w:tr>
      <w:tr w:rsidR="008A7A06" w:rsidRPr="007A29C9" w:rsidTr="00056D6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szCs w:val="22"/>
              </w:rPr>
            </w:pPr>
            <w:r w:rsidRPr="007A29C9">
              <w:rPr>
                <w:b/>
                <w:color w:val="000000"/>
                <w:szCs w:val="22"/>
              </w:rPr>
              <w:t>Nervesystemet</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szCs w:val="22"/>
              </w:rPr>
            </w:pPr>
            <w:r w:rsidRPr="007A29C9">
              <w:rPr>
                <w:color w:val="000000"/>
                <w:szCs w:val="22"/>
              </w:rPr>
              <w:t>Svimmelhed (1,3 %)</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szCs w:val="22"/>
              </w:rPr>
            </w:pPr>
            <w:r w:rsidRPr="007A29C9">
              <w:rPr>
                <w:color w:val="000000"/>
                <w:szCs w:val="22"/>
              </w:rPr>
              <w:t>Hovedpine</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szCs w:val="22"/>
              </w:rPr>
            </w:pPr>
            <w:r w:rsidRPr="007A29C9">
              <w:rPr>
                <w:color w:val="000000"/>
                <w:szCs w:val="22"/>
              </w:rPr>
              <w:t>Synkope</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ind w:left="81"/>
              <w:rPr>
                <w:szCs w:val="22"/>
              </w:rPr>
            </w:pPr>
          </w:p>
        </w:tc>
      </w:tr>
      <w:tr w:rsidR="008A7A06" w:rsidRPr="007A29C9" w:rsidTr="00056D6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szCs w:val="22"/>
              </w:rPr>
            </w:pPr>
            <w:r w:rsidRPr="007A29C9">
              <w:rPr>
                <w:b/>
                <w:color w:val="000000"/>
                <w:szCs w:val="22"/>
              </w:rPr>
              <w:t>Hjerte</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szCs w:val="22"/>
              </w:rPr>
            </w:pPr>
            <w:r w:rsidRPr="007A29C9">
              <w:rPr>
                <w:color w:val="000000"/>
                <w:szCs w:val="22"/>
              </w:rPr>
              <w:t>Takykardi, palpitationer</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ind w:left="81"/>
              <w:rPr>
                <w:szCs w:val="22"/>
              </w:rPr>
            </w:pPr>
          </w:p>
        </w:tc>
      </w:tr>
      <w:tr w:rsidR="008A7A06" w:rsidRPr="007A29C9" w:rsidTr="00056D6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color w:val="000000"/>
                <w:szCs w:val="22"/>
              </w:rPr>
            </w:pPr>
            <w:r w:rsidRPr="007A29C9">
              <w:rPr>
                <w:b/>
                <w:color w:val="000000"/>
                <w:szCs w:val="22"/>
              </w:rPr>
              <w:t>Øjne</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spacing w:before="100" w:after="100"/>
              <w:ind w:left="81"/>
              <w:rPr>
                <w:color w:val="000000"/>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r w:rsidRPr="007A29C9">
              <w:rPr>
                <w:szCs w:val="22"/>
              </w:rPr>
              <w:t>Sløret syn*, nedsat syn*</w:t>
            </w:r>
          </w:p>
        </w:tc>
      </w:tr>
      <w:tr w:rsidR="008A7A06" w:rsidRPr="007A29C9" w:rsidTr="00056D6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szCs w:val="22"/>
              </w:rPr>
            </w:pPr>
            <w:r w:rsidRPr="007A29C9">
              <w:rPr>
                <w:b/>
                <w:color w:val="000000"/>
                <w:szCs w:val="22"/>
              </w:rPr>
              <w:lastRenderedPageBreak/>
              <w:t>Vaskulære sygdomme</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szCs w:val="22"/>
              </w:rPr>
            </w:pPr>
            <w:r w:rsidRPr="007A29C9">
              <w:rPr>
                <w:color w:val="000000"/>
                <w:szCs w:val="22"/>
              </w:rPr>
              <w:t>Ortostatisk hypotension</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ind w:left="81"/>
              <w:rPr>
                <w:szCs w:val="22"/>
              </w:rPr>
            </w:pPr>
          </w:p>
        </w:tc>
      </w:tr>
      <w:tr w:rsidR="008A7A06" w:rsidRPr="007A29C9" w:rsidTr="00056D6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szCs w:val="22"/>
              </w:rPr>
            </w:pPr>
            <w:r w:rsidRPr="007A29C9">
              <w:rPr>
                <w:b/>
                <w:color w:val="000000"/>
                <w:szCs w:val="22"/>
              </w:rPr>
              <w:t>Luftveje, thorax og mediastinum</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szCs w:val="22"/>
              </w:rPr>
            </w:pPr>
            <w:r w:rsidRPr="007A29C9">
              <w:rPr>
                <w:color w:val="000000"/>
                <w:szCs w:val="22"/>
              </w:rPr>
              <w:t>Rhinitis</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r w:rsidRPr="007A29C9">
              <w:rPr>
                <w:color w:val="333333"/>
                <w:szCs w:val="22"/>
              </w:rPr>
              <w:t>Epistaxis*</w:t>
            </w:r>
          </w:p>
        </w:tc>
      </w:tr>
      <w:tr w:rsidR="008A7A06" w:rsidRPr="007A29C9" w:rsidTr="00056D6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szCs w:val="22"/>
              </w:rPr>
            </w:pPr>
            <w:r w:rsidRPr="007A29C9">
              <w:rPr>
                <w:b/>
                <w:color w:val="000000"/>
                <w:szCs w:val="22"/>
              </w:rPr>
              <w:t>Mave-tarm-kanalen</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color w:val="000000"/>
                <w:szCs w:val="22"/>
              </w:rPr>
            </w:pPr>
            <w:r w:rsidRPr="007A29C9">
              <w:rPr>
                <w:color w:val="000000"/>
                <w:szCs w:val="22"/>
              </w:rPr>
              <w:t>Obstipation, diarré, kvalme, opkastning</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r w:rsidRPr="007A29C9">
              <w:rPr>
                <w:szCs w:val="22"/>
              </w:rPr>
              <w:t>Mundtørhed*</w:t>
            </w:r>
          </w:p>
        </w:tc>
      </w:tr>
      <w:tr w:rsidR="008A7A06" w:rsidRPr="007A29C9" w:rsidTr="00056D6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szCs w:val="22"/>
              </w:rPr>
            </w:pPr>
            <w:r w:rsidRPr="007A29C9">
              <w:rPr>
                <w:b/>
                <w:color w:val="000000"/>
                <w:szCs w:val="22"/>
              </w:rPr>
              <w:t>Hud og subkutane væv</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color w:val="000000"/>
                <w:szCs w:val="22"/>
              </w:rPr>
            </w:pPr>
            <w:r w:rsidRPr="007A29C9">
              <w:rPr>
                <w:color w:val="000000"/>
                <w:szCs w:val="22"/>
              </w:rPr>
              <w:t>Udslæt, pruritus, urticaria</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szCs w:val="22"/>
              </w:rPr>
            </w:pPr>
            <w:r w:rsidRPr="007A29C9">
              <w:rPr>
                <w:color w:val="000000"/>
                <w:szCs w:val="22"/>
              </w:rPr>
              <w:t>Angioødem</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r w:rsidRPr="007A29C9">
              <w:rPr>
                <w:szCs w:val="22"/>
              </w:rPr>
              <w:t> Stevens-Johnson syndrom</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r w:rsidRPr="007A29C9">
              <w:rPr>
                <w:szCs w:val="22"/>
              </w:rPr>
              <w:t>Erythema multiforme*, eksfoliativ dermatitis*</w:t>
            </w:r>
          </w:p>
        </w:tc>
      </w:tr>
      <w:tr w:rsidR="008A7A06" w:rsidRPr="007A29C9" w:rsidTr="00056D6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szCs w:val="22"/>
              </w:rPr>
            </w:pPr>
            <w:r w:rsidRPr="007A29C9">
              <w:rPr>
                <w:b/>
                <w:color w:val="000000"/>
                <w:szCs w:val="22"/>
              </w:rPr>
              <w:t>Det reproduktive system og mammae</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r w:rsidRPr="007A29C9">
              <w:rPr>
                <w:color w:val="000000"/>
                <w:szCs w:val="22"/>
              </w:rPr>
              <w:t>Ejakulations</w:t>
            </w:r>
            <w:r w:rsidRPr="007A29C9">
              <w:rPr>
                <w:color w:val="000000"/>
                <w:szCs w:val="22"/>
              </w:rPr>
              <w:softHyphen/>
              <w:t xml:space="preserve">lidelser, </w:t>
            </w:r>
            <w:r>
              <w:rPr>
                <w:color w:val="000000"/>
                <w:szCs w:val="22"/>
              </w:rPr>
              <w:t xml:space="preserve">herunder </w:t>
            </w:r>
            <w:r w:rsidRPr="007A29C9">
              <w:rPr>
                <w:color w:val="000000"/>
                <w:szCs w:val="22"/>
              </w:rPr>
              <w:t>retrograd ejakulation</w:t>
            </w:r>
            <w:r>
              <w:rPr>
                <w:color w:val="000000"/>
                <w:szCs w:val="22"/>
              </w:rPr>
              <w:t xml:space="preserve"> og</w:t>
            </w:r>
            <w:r w:rsidRPr="007A29C9">
              <w:rPr>
                <w:color w:val="000000"/>
                <w:szCs w:val="22"/>
              </w:rPr>
              <w:t xml:space="preserve"> manglende ejakulation</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spacing w:before="100" w:after="100"/>
              <w:ind w:left="81"/>
              <w:rPr>
                <w:szCs w:val="22"/>
              </w:rPr>
            </w:pPr>
            <w:r w:rsidRPr="007A29C9">
              <w:rPr>
                <w:color w:val="000000"/>
                <w:szCs w:val="22"/>
              </w:rPr>
              <w:t>Priaprisme</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color w:val="000000"/>
                <w:szCs w:val="22"/>
              </w:rPr>
            </w:pPr>
          </w:p>
        </w:tc>
      </w:tr>
      <w:tr w:rsidR="008A7A06" w:rsidRPr="007A29C9" w:rsidTr="00056D6A">
        <w:trPr>
          <w:trHeight w:val="35"/>
          <w:jc w:val="center"/>
        </w:trPr>
        <w:tc>
          <w:tcPr>
            <w:tcW w:w="19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rPr>
                <w:b/>
                <w:szCs w:val="22"/>
              </w:rPr>
            </w:pPr>
            <w:r w:rsidRPr="007A29C9">
              <w:rPr>
                <w:b/>
                <w:color w:val="000000"/>
                <w:szCs w:val="22"/>
              </w:rPr>
              <w:t xml:space="preserve">Almene symptomer og reaktioner </w:t>
            </w:r>
            <w:r>
              <w:rPr>
                <w:b/>
                <w:color w:val="000000"/>
                <w:szCs w:val="22"/>
              </w:rPr>
              <w:t>på</w:t>
            </w:r>
            <w:r w:rsidRPr="007A29C9">
              <w:rPr>
                <w:b/>
                <w:color w:val="000000"/>
                <w:szCs w:val="22"/>
              </w:rPr>
              <w:t xml:space="preserve"> administrations</w:t>
            </w:r>
            <w:r>
              <w:rPr>
                <w:b/>
                <w:color w:val="000000"/>
                <w:szCs w:val="22"/>
              </w:rPr>
              <w:softHyphen/>
            </w:r>
            <w:r w:rsidRPr="007A29C9">
              <w:rPr>
                <w:b/>
                <w:color w:val="000000"/>
                <w:szCs w:val="22"/>
              </w:rPr>
              <w:t>stedet</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jc w:val="both"/>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spacing w:before="100" w:after="100"/>
              <w:ind w:left="81"/>
              <w:jc w:val="both"/>
              <w:rPr>
                <w:szCs w:val="22"/>
              </w:rPr>
            </w:pPr>
            <w:r w:rsidRPr="007A29C9">
              <w:rPr>
                <w:color w:val="000000"/>
                <w:szCs w:val="22"/>
              </w:rPr>
              <w:t>Asteni</w:t>
            </w: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A7A06" w:rsidRPr="007A29C9" w:rsidRDefault="008A7A06" w:rsidP="00056D6A">
            <w:pPr>
              <w:ind w:left="81"/>
              <w:jc w:val="both"/>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ind w:left="81"/>
              <w:rPr>
                <w:szCs w:val="22"/>
              </w:rPr>
            </w:pPr>
          </w:p>
        </w:tc>
        <w:tc>
          <w:tcPr>
            <w:tcW w:w="14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A7A06" w:rsidRPr="007A29C9" w:rsidRDefault="008A7A06" w:rsidP="00056D6A">
            <w:pPr>
              <w:ind w:left="81"/>
              <w:rPr>
                <w:szCs w:val="22"/>
              </w:rPr>
            </w:pPr>
          </w:p>
        </w:tc>
      </w:tr>
    </w:tbl>
    <w:p w:rsidR="008A7A06" w:rsidRPr="007060B9" w:rsidRDefault="008A7A06" w:rsidP="008A7A06">
      <w:pPr>
        <w:pStyle w:val="Brdtekstindrykning"/>
        <w:widowControl w:val="0"/>
        <w:tabs>
          <w:tab w:val="clear" w:pos="0"/>
          <w:tab w:val="left" w:pos="1304"/>
        </w:tabs>
        <w:ind w:left="851" w:right="0" w:hanging="851"/>
        <w:rPr>
          <w:rFonts w:ascii="Times New Roman" w:hAnsi="Times New Roman" w:cs="Times New Roman"/>
          <w:sz w:val="22"/>
          <w:szCs w:val="22"/>
          <w:lang w:val="da-DK"/>
        </w:rPr>
      </w:pPr>
      <w:r w:rsidRPr="007060B9">
        <w:rPr>
          <w:rFonts w:ascii="Times New Roman" w:hAnsi="Times New Roman" w:cs="Times New Roman"/>
          <w:sz w:val="22"/>
          <w:szCs w:val="22"/>
          <w:lang w:val="da-DK"/>
        </w:rPr>
        <w:t xml:space="preserve">* observeret </w:t>
      </w:r>
      <w:r>
        <w:rPr>
          <w:rFonts w:ascii="Times New Roman" w:hAnsi="Times New Roman" w:cs="Times New Roman"/>
          <w:sz w:val="22"/>
          <w:szCs w:val="22"/>
          <w:lang w:val="da-DK"/>
        </w:rPr>
        <w:t>efter markedsføring</w:t>
      </w:r>
    </w:p>
    <w:p w:rsidR="008A7A06" w:rsidRPr="008A7A06" w:rsidRDefault="008A7A06" w:rsidP="008A7A06">
      <w:pPr>
        <w:ind w:left="851"/>
        <w:rPr>
          <w:sz w:val="24"/>
          <w:szCs w:val="24"/>
        </w:rPr>
      </w:pPr>
    </w:p>
    <w:p w:rsidR="008A7A06" w:rsidRPr="008A7A06" w:rsidRDefault="008A7A06" w:rsidP="008A7A06">
      <w:pPr>
        <w:pStyle w:val="Brdtekstindrykning"/>
        <w:widowControl w:val="0"/>
        <w:tabs>
          <w:tab w:val="clear" w:pos="0"/>
          <w:tab w:val="left" w:pos="1304"/>
        </w:tabs>
        <w:ind w:left="851" w:right="0"/>
        <w:jc w:val="left"/>
        <w:rPr>
          <w:rFonts w:ascii="Times New Roman" w:hAnsi="Times New Roman" w:cs="Times New Roman"/>
          <w:lang w:val="da-DK"/>
        </w:rPr>
      </w:pPr>
      <w:r w:rsidRPr="008A7A06">
        <w:rPr>
          <w:rFonts w:ascii="Times New Roman" w:hAnsi="Times New Roman" w:cs="Times New Roman"/>
          <w:lang w:val="da-DK"/>
        </w:rPr>
        <w:t>Under kataraktoperation er en variant af lille pupil-syndrom, kendt som Intraoperative Floppy Iris Syndrome (IFIS, perioperativt atonisk iris-syndrom), blevet associeret med tamsulosin-behandling i forbindelse med overvågning efter markedsføringen (se også pkt. 4.4).</w:t>
      </w:r>
    </w:p>
    <w:p w:rsidR="008A7A06" w:rsidRPr="008A7A06" w:rsidRDefault="008A7A06" w:rsidP="008A7A06">
      <w:pPr>
        <w:pStyle w:val="Brdtekstindrykning"/>
        <w:widowControl w:val="0"/>
        <w:tabs>
          <w:tab w:val="clear" w:pos="0"/>
          <w:tab w:val="left" w:pos="1304"/>
        </w:tabs>
        <w:ind w:left="851" w:right="0"/>
        <w:jc w:val="left"/>
        <w:rPr>
          <w:rFonts w:ascii="Times New Roman" w:hAnsi="Times New Roman" w:cs="Times New Roman"/>
          <w:lang w:val="da-DK"/>
        </w:rPr>
      </w:pPr>
      <w:r w:rsidRPr="008A7A06">
        <w:rPr>
          <w:rFonts w:ascii="Times New Roman" w:hAnsi="Times New Roman" w:cs="Times New Roman"/>
          <w:bCs/>
          <w:lang w:val="da-DK"/>
        </w:rPr>
        <w:t>Erfaring efter markedsføring:</w:t>
      </w:r>
      <w:r w:rsidRPr="008A7A06">
        <w:rPr>
          <w:rFonts w:ascii="Times New Roman" w:hAnsi="Times New Roman" w:cs="Times New Roman"/>
          <w:b/>
          <w:lang w:val="da-DK"/>
        </w:rPr>
        <w:t xml:space="preserve"> </w:t>
      </w:r>
      <w:r w:rsidRPr="008A7A06">
        <w:rPr>
          <w:rFonts w:ascii="Times New Roman" w:hAnsi="Times New Roman" w:cs="Times New Roman"/>
          <w:lang w:val="da-DK"/>
        </w:rPr>
        <w:t xml:space="preserve">Udover ovenstående bivirkninger er atrieflimren, arytmi, takykardi og dyspnø blevet rapporteret i forbindelse med anvendelse af tamsulosin. </w:t>
      </w:r>
      <w:bookmarkStart w:id="0" w:name="_Hlk168474165"/>
      <w:r w:rsidRPr="008A7A06">
        <w:rPr>
          <w:rFonts w:ascii="Times New Roman" w:hAnsi="Times New Roman" w:cs="Times New Roman"/>
          <w:lang w:val="da-DK"/>
        </w:rPr>
        <w:t>Da disse spontant indberettede hændelser stammer fra verdensomspændende erfaringer efter markedsføring, er det ikke muligt på pålidelig vis at fastlægge hyppigheden af disse hændelser og årsagssammenhængen med tamsulosin</w:t>
      </w:r>
      <w:bookmarkEnd w:id="0"/>
      <w:r w:rsidRPr="008A7A06">
        <w:rPr>
          <w:rFonts w:ascii="Times New Roman" w:hAnsi="Times New Roman" w:cs="Times New Roman"/>
          <w:lang w:val="da-DK"/>
        </w:rPr>
        <w:t>.</w:t>
      </w:r>
    </w:p>
    <w:p w:rsidR="008A7A06" w:rsidRPr="008A7A06" w:rsidRDefault="008A7A06" w:rsidP="008A7A06">
      <w:pPr>
        <w:ind w:left="851"/>
        <w:rPr>
          <w:i/>
          <w:noProof/>
          <w:sz w:val="24"/>
          <w:szCs w:val="24"/>
        </w:rPr>
      </w:pPr>
    </w:p>
    <w:p w:rsidR="008A7A06" w:rsidRPr="008A7A06" w:rsidRDefault="008A7A06" w:rsidP="008A7A06">
      <w:pPr>
        <w:autoSpaceDE w:val="0"/>
        <w:autoSpaceDN w:val="0"/>
        <w:adjustRightInd w:val="0"/>
        <w:ind w:left="851"/>
        <w:rPr>
          <w:sz w:val="24"/>
          <w:szCs w:val="24"/>
          <w:u w:val="single"/>
        </w:rPr>
      </w:pPr>
      <w:r w:rsidRPr="008A7A06">
        <w:rPr>
          <w:noProof/>
          <w:sz w:val="24"/>
          <w:szCs w:val="24"/>
          <w:u w:val="single"/>
        </w:rPr>
        <w:t>Indberetning af formodede bivirkninger</w:t>
      </w:r>
    </w:p>
    <w:p w:rsidR="008A7A06" w:rsidRPr="008A7A06" w:rsidRDefault="008A7A06" w:rsidP="008A7A06">
      <w:pPr>
        <w:ind w:left="851"/>
        <w:rPr>
          <w:rStyle w:val="Hyperlink"/>
          <w:sz w:val="24"/>
          <w:szCs w:val="24"/>
        </w:rPr>
      </w:pPr>
      <w:r w:rsidRPr="008A7A06">
        <w:rPr>
          <w:noProof/>
          <w:sz w:val="24"/>
          <w:szCs w:val="24"/>
        </w:rPr>
        <w:t>Når lægemidlet er godkendt, er indberetning af formodede bivirkninger vigtig.</w:t>
      </w:r>
      <w:r w:rsidRPr="008A7A06">
        <w:rPr>
          <w:sz w:val="24"/>
          <w:szCs w:val="24"/>
        </w:rPr>
        <w:t xml:space="preserve"> </w:t>
      </w:r>
      <w:r w:rsidRPr="008A7A06">
        <w:rPr>
          <w:noProof/>
          <w:sz w:val="24"/>
          <w:szCs w:val="24"/>
        </w:rPr>
        <w:t>Det muliggør løbende overvågning af benefit/risk-forholdet for lægemidlet.</w:t>
      </w:r>
      <w:r w:rsidRPr="008A7A06">
        <w:rPr>
          <w:sz w:val="24"/>
          <w:szCs w:val="24"/>
        </w:rPr>
        <w:t xml:space="preserve"> </w:t>
      </w:r>
      <w:r w:rsidRPr="008A7A06">
        <w:rPr>
          <w:noProof/>
          <w:sz w:val="24"/>
          <w:szCs w:val="24"/>
        </w:rPr>
        <w:t>Sundhedspersoner anmodes om at indberette alle formodede bivirkninger via</w:t>
      </w:r>
      <w:r>
        <w:rPr>
          <w:noProof/>
          <w:sz w:val="24"/>
          <w:szCs w:val="24"/>
        </w:rPr>
        <w:t>:</w:t>
      </w:r>
    </w:p>
    <w:p w:rsidR="008A7A06" w:rsidRPr="008A7A06" w:rsidRDefault="008A7A06" w:rsidP="008A7A06">
      <w:pPr>
        <w:ind w:left="851"/>
        <w:rPr>
          <w:rStyle w:val="Hyperlink"/>
          <w:sz w:val="24"/>
          <w:szCs w:val="24"/>
        </w:rPr>
      </w:pPr>
    </w:p>
    <w:p w:rsidR="008A7A06" w:rsidRPr="008A7A06" w:rsidRDefault="008A7A06" w:rsidP="008A7A06">
      <w:pPr>
        <w:ind w:left="851"/>
        <w:rPr>
          <w:noProof/>
          <w:sz w:val="24"/>
          <w:szCs w:val="24"/>
        </w:rPr>
      </w:pPr>
      <w:r w:rsidRPr="008A7A06">
        <w:rPr>
          <w:noProof/>
          <w:sz w:val="24"/>
          <w:szCs w:val="24"/>
        </w:rPr>
        <w:t xml:space="preserve">Lægemiddelstyrelsen </w:t>
      </w:r>
    </w:p>
    <w:p w:rsidR="008A7A06" w:rsidRPr="008A7A06" w:rsidRDefault="008A7A06" w:rsidP="008A7A06">
      <w:pPr>
        <w:ind w:left="851"/>
        <w:rPr>
          <w:noProof/>
          <w:sz w:val="24"/>
          <w:szCs w:val="24"/>
        </w:rPr>
      </w:pPr>
      <w:r w:rsidRPr="008A7A06">
        <w:rPr>
          <w:noProof/>
          <w:sz w:val="24"/>
          <w:szCs w:val="24"/>
        </w:rPr>
        <w:t>Axel Heides Gade 1</w:t>
      </w:r>
    </w:p>
    <w:p w:rsidR="008A7A06" w:rsidRPr="008A7A06" w:rsidRDefault="008A7A06" w:rsidP="008A7A06">
      <w:pPr>
        <w:ind w:left="851"/>
        <w:rPr>
          <w:noProof/>
          <w:sz w:val="24"/>
          <w:szCs w:val="24"/>
        </w:rPr>
      </w:pPr>
      <w:r w:rsidRPr="008A7A06">
        <w:rPr>
          <w:noProof/>
          <w:sz w:val="24"/>
          <w:szCs w:val="24"/>
        </w:rPr>
        <w:t>DK-2300 København S</w:t>
      </w:r>
    </w:p>
    <w:p w:rsidR="008A7A06" w:rsidRPr="008A7A06" w:rsidRDefault="008A7A06" w:rsidP="008A7A06">
      <w:pPr>
        <w:ind w:left="851"/>
        <w:rPr>
          <w:sz w:val="24"/>
          <w:szCs w:val="24"/>
        </w:rPr>
      </w:pPr>
      <w:r w:rsidRPr="008A7A06">
        <w:rPr>
          <w:noProof/>
          <w:sz w:val="24"/>
          <w:szCs w:val="24"/>
        </w:rPr>
        <w:t>Websted: www.meldenbivirkning.dk</w:t>
      </w:r>
    </w:p>
    <w:p w:rsidR="00F466C1" w:rsidRDefault="00F466C1">
      <w:pPr>
        <w:rPr>
          <w:noProof/>
          <w:sz w:val="24"/>
          <w:szCs w:val="24"/>
        </w:rPr>
      </w:pPr>
      <w:r>
        <w:rPr>
          <w:noProof/>
          <w:sz w:val="24"/>
          <w:szCs w:val="24"/>
        </w:rPr>
        <w:br w:type="page"/>
      </w:r>
    </w:p>
    <w:p w:rsidR="008A7A06" w:rsidRPr="008A7A06" w:rsidRDefault="008A7A06" w:rsidP="008A7A06">
      <w:pPr>
        <w:autoSpaceDE w:val="0"/>
        <w:autoSpaceDN w:val="0"/>
        <w:adjustRightInd w:val="0"/>
        <w:ind w:left="851"/>
        <w:rPr>
          <w:noProof/>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F466C1" w:rsidRDefault="00F466C1" w:rsidP="00F466C1">
      <w:pPr>
        <w:tabs>
          <w:tab w:val="left" w:pos="851"/>
        </w:tabs>
        <w:ind w:left="851"/>
        <w:rPr>
          <w:b/>
          <w:bCs/>
          <w:sz w:val="24"/>
          <w:szCs w:val="24"/>
        </w:rPr>
      </w:pPr>
    </w:p>
    <w:p w:rsidR="00F466C1" w:rsidRPr="00F466C1" w:rsidRDefault="00F466C1" w:rsidP="00F466C1">
      <w:pPr>
        <w:tabs>
          <w:tab w:val="left" w:pos="851"/>
        </w:tabs>
        <w:ind w:left="851"/>
        <w:rPr>
          <w:b/>
          <w:bCs/>
          <w:sz w:val="24"/>
          <w:szCs w:val="24"/>
        </w:rPr>
      </w:pPr>
      <w:r w:rsidRPr="00F466C1">
        <w:rPr>
          <w:b/>
          <w:bCs/>
          <w:sz w:val="24"/>
          <w:szCs w:val="24"/>
        </w:rPr>
        <w:t>Symptomer</w:t>
      </w:r>
    </w:p>
    <w:p w:rsidR="00F466C1" w:rsidRPr="00F466C1" w:rsidRDefault="00F466C1" w:rsidP="00F466C1">
      <w:pPr>
        <w:tabs>
          <w:tab w:val="left" w:pos="851"/>
        </w:tabs>
        <w:ind w:left="851"/>
        <w:rPr>
          <w:sz w:val="24"/>
          <w:szCs w:val="24"/>
        </w:rPr>
      </w:pPr>
      <w:r w:rsidRPr="00F466C1">
        <w:rPr>
          <w:sz w:val="24"/>
          <w:szCs w:val="24"/>
        </w:rPr>
        <w:t>Overdosering med tamsulosinhydrochlorid kan potentielt resultere i svære hypotensive reaktioner. Svære hypotensive virkninger er observeret ved forskellige grader af overdosering.</w:t>
      </w:r>
    </w:p>
    <w:p w:rsidR="00F466C1" w:rsidRPr="00F466C1" w:rsidRDefault="00F466C1" w:rsidP="00F466C1">
      <w:pPr>
        <w:tabs>
          <w:tab w:val="left" w:pos="851"/>
        </w:tabs>
        <w:ind w:left="851"/>
        <w:rPr>
          <w:sz w:val="24"/>
          <w:szCs w:val="24"/>
        </w:rPr>
      </w:pPr>
    </w:p>
    <w:p w:rsidR="00F466C1" w:rsidRPr="00F466C1" w:rsidRDefault="00F466C1" w:rsidP="00F466C1">
      <w:pPr>
        <w:tabs>
          <w:tab w:val="left" w:pos="851"/>
        </w:tabs>
        <w:ind w:left="851"/>
        <w:rPr>
          <w:b/>
          <w:sz w:val="24"/>
          <w:szCs w:val="24"/>
        </w:rPr>
      </w:pPr>
      <w:r w:rsidRPr="00F466C1">
        <w:rPr>
          <w:b/>
          <w:sz w:val="24"/>
          <w:szCs w:val="24"/>
        </w:rPr>
        <w:t>Behandling</w:t>
      </w:r>
    </w:p>
    <w:p w:rsidR="00F466C1" w:rsidRPr="00F466C1" w:rsidRDefault="00F466C1" w:rsidP="00F466C1">
      <w:pPr>
        <w:tabs>
          <w:tab w:val="left" w:pos="851"/>
        </w:tabs>
        <w:ind w:left="851"/>
        <w:rPr>
          <w:bCs/>
          <w:sz w:val="24"/>
          <w:szCs w:val="24"/>
        </w:rPr>
      </w:pPr>
      <w:r w:rsidRPr="00F466C1">
        <w:rPr>
          <w:sz w:val="24"/>
          <w:szCs w:val="24"/>
        </w:rPr>
        <w:t>I tilfælde af akut hypotension som følge af overdosering skal der ydes understøttende kardiovaskulær behandling. Blodtryk og hjertefrekvens kan normaliseres ved at lægge patienten ned. Hvis dette ikke hjælper, kan der anvendes volumenekspanderende midler og om nødvendigt vasopressorer. Nyrefunktionen skal overvåges, og der skal iværksættes almene understøttende tiltag. Dialyse hjælper sandsynligvis ikke, da tamsulosin i meget høj grad bindes til plasmaproteiner.</w:t>
      </w:r>
    </w:p>
    <w:p w:rsidR="00F466C1" w:rsidRPr="00F466C1" w:rsidRDefault="00F466C1" w:rsidP="00F466C1">
      <w:pPr>
        <w:tabs>
          <w:tab w:val="left" w:pos="851"/>
        </w:tabs>
        <w:ind w:left="851"/>
        <w:rPr>
          <w:sz w:val="24"/>
          <w:szCs w:val="24"/>
        </w:rPr>
      </w:pPr>
      <w:r w:rsidRPr="00F466C1">
        <w:rPr>
          <w:sz w:val="24"/>
          <w:szCs w:val="24"/>
        </w:rPr>
        <w:t>For at hæmme absorptionen kan der anvendes tiltag som f.eks. emese. Hvis der er indtaget store mængder, kan der anvendes ventrikelskylning og aktivt kul, og der kan administreres et osmotisk laksativ, såsom natriumsulfat.</w:t>
      </w:r>
    </w:p>
    <w:p w:rsidR="00F466C1" w:rsidRPr="00F466C1" w:rsidRDefault="00F466C1" w:rsidP="00F466C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466C1"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B1E06" w:rsidRDefault="004B1E06" w:rsidP="004B1E06">
      <w:pPr>
        <w:tabs>
          <w:tab w:val="left" w:pos="851"/>
        </w:tabs>
        <w:ind w:left="851"/>
        <w:rPr>
          <w:sz w:val="24"/>
          <w:szCs w:val="24"/>
        </w:rPr>
      </w:pPr>
      <w:r w:rsidRPr="004B1E06">
        <w:rPr>
          <w:sz w:val="24"/>
          <w:szCs w:val="24"/>
        </w:rPr>
        <w:t xml:space="preserve">Farmakoterapeutisk klassifikation: </w:t>
      </w:r>
      <w:r>
        <w:rPr>
          <w:sz w:val="24"/>
          <w:szCs w:val="24"/>
        </w:rPr>
        <w:t>A</w:t>
      </w:r>
      <w:r w:rsidRPr="004B1E06">
        <w:rPr>
          <w:sz w:val="24"/>
          <w:szCs w:val="24"/>
        </w:rPr>
        <w:t>lfa</w:t>
      </w:r>
      <w:r w:rsidRPr="004B1E06">
        <w:rPr>
          <w:sz w:val="24"/>
          <w:szCs w:val="24"/>
        </w:rPr>
        <w:noBreakHyphen/>
        <w:t>adrenoreceptor-antagonister, ATC</w:t>
      </w:r>
      <w:r w:rsidRPr="004B1E06">
        <w:rPr>
          <w:sz w:val="24"/>
          <w:szCs w:val="24"/>
        </w:rPr>
        <w:noBreakHyphen/>
        <w:t>kode: G04CA02.</w:t>
      </w:r>
    </w:p>
    <w:p w:rsidR="004B1E06" w:rsidRPr="004B1E06" w:rsidRDefault="004B1E06" w:rsidP="004B1E06">
      <w:pPr>
        <w:tabs>
          <w:tab w:val="left" w:pos="851"/>
        </w:tabs>
        <w:ind w:left="851"/>
        <w:rPr>
          <w:bCs/>
          <w:sz w:val="24"/>
          <w:szCs w:val="24"/>
        </w:rPr>
      </w:pPr>
      <w:r w:rsidRPr="004B1E06">
        <w:rPr>
          <w:sz w:val="24"/>
          <w:szCs w:val="24"/>
        </w:rPr>
        <w:t>Produktet anvendes kun til behandling af prostatatilstande.</w:t>
      </w:r>
    </w:p>
    <w:p w:rsidR="004B1E06" w:rsidRDefault="004B1E06" w:rsidP="004B1E06">
      <w:pPr>
        <w:tabs>
          <w:tab w:val="left" w:pos="851"/>
        </w:tabs>
        <w:ind w:left="851"/>
        <w:rPr>
          <w:bCs/>
          <w:sz w:val="24"/>
          <w:szCs w:val="24"/>
          <w:u w:val="single"/>
        </w:rPr>
      </w:pPr>
    </w:p>
    <w:p w:rsidR="004B1E06" w:rsidRPr="004B1E06" w:rsidRDefault="004B1E06" w:rsidP="004B1E06">
      <w:pPr>
        <w:tabs>
          <w:tab w:val="left" w:pos="851"/>
        </w:tabs>
        <w:ind w:left="851"/>
        <w:rPr>
          <w:bCs/>
          <w:sz w:val="24"/>
          <w:szCs w:val="24"/>
          <w:u w:val="single"/>
        </w:rPr>
      </w:pPr>
      <w:r w:rsidRPr="004B1E06">
        <w:rPr>
          <w:bCs/>
          <w:sz w:val="24"/>
          <w:szCs w:val="24"/>
          <w:u w:val="single"/>
        </w:rPr>
        <w:t>Virkningsmekanisme</w:t>
      </w:r>
    </w:p>
    <w:p w:rsidR="004B1E06" w:rsidRPr="004B1E06" w:rsidRDefault="004B1E06" w:rsidP="004B1E06">
      <w:pPr>
        <w:tabs>
          <w:tab w:val="left" w:pos="851"/>
        </w:tabs>
        <w:ind w:left="851"/>
        <w:rPr>
          <w:sz w:val="24"/>
          <w:szCs w:val="24"/>
        </w:rPr>
      </w:pPr>
      <w:r w:rsidRPr="004B1E06">
        <w:rPr>
          <w:sz w:val="24"/>
          <w:szCs w:val="24"/>
        </w:rPr>
        <w:t>Tamsulosin binder selektivt og kompetitivt til de postsynaptiske alfa-adrenoreceptorer, særligt til undertyperne alfa</w:t>
      </w:r>
      <w:r w:rsidRPr="004B1E06">
        <w:rPr>
          <w:sz w:val="24"/>
          <w:szCs w:val="24"/>
        </w:rPr>
        <w:noBreakHyphen/>
        <w:t>1A og alfa</w:t>
      </w:r>
      <w:r w:rsidRPr="004B1E06">
        <w:rPr>
          <w:sz w:val="24"/>
          <w:szCs w:val="24"/>
        </w:rPr>
        <w:noBreakHyphen/>
        <w:t>1D. Det reducerer tonus af den glatte muskulatur i prostata og urethra.</w:t>
      </w:r>
    </w:p>
    <w:p w:rsidR="004B1E06" w:rsidRPr="004B1E06" w:rsidRDefault="004B1E06" w:rsidP="004B1E06">
      <w:pPr>
        <w:tabs>
          <w:tab w:val="left" w:pos="851"/>
        </w:tabs>
        <w:ind w:left="851"/>
        <w:rPr>
          <w:bCs/>
          <w:sz w:val="24"/>
          <w:szCs w:val="24"/>
          <w:u w:val="single"/>
        </w:rPr>
      </w:pPr>
    </w:p>
    <w:p w:rsidR="004B1E06" w:rsidRPr="004B1E06" w:rsidRDefault="004B1E06" w:rsidP="004B1E06">
      <w:pPr>
        <w:tabs>
          <w:tab w:val="left" w:pos="851"/>
        </w:tabs>
        <w:ind w:left="851"/>
        <w:rPr>
          <w:bCs/>
          <w:sz w:val="24"/>
          <w:szCs w:val="24"/>
          <w:u w:val="single"/>
        </w:rPr>
      </w:pPr>
      <w:r w:rsidRPr="004B1E06">
        <w:rPr>
          <w:bCs/>
          <w:sz w:val="24"/>
          <w:szCs w:val="24"/>
          <w:u w:val="single"/>
        </w:rPr>
        <w:t>Farmakodynamisk virkning</w:t>
      </w:r>
    </w:p>
    <w:p w:rsidR="004B1E06" w:rsidRPr="004B1E06" w:rsidRDefault="004B1E06" w:rsidP="004B1E06">
      <w:pPr>
        <w:tabs>
          <w:tab w:val="left" w:pos="851"/>
        </w:tabs>
        <w:ind w:left="851"/>
        <w:rPr>
          <w:sz w:val="24"/>
          <w:szCs w:val="24"/>
        </w:rPr>
      </w:pPr>
      <w:r w:rsidRPr="004B1E06">
        <w:rPr>
          <w:sz w:val="24"/>
          <w:szCs w:val="24"/>
        </w:rPr>
        <w:t>Tamsulosin 0,4 mg øger hastigheden af maksimum urinflow ved at reducere tonus af den glatte muskulatur i prostata og urethra, hvorved obstruktionen lettes.</w:t>
      </w:r>
    </w:p>
    <w:p w:rsidR="004B1E06" w:rsidRPr="004B1E06" w:rsidRDefault="004B1E06" w:rsidP="004B1E06">
      <w:pPr>
        <w:tabs>
          <w:tab w:val="left" w:pos="851"/>
        </w:tabs>
        <w:ind w:left="851"/>
        <w:rPr>
          <w:sz w:val="24"/>
          <w:szCs w:val="24"/>
        </w:rPr>
      </w:pPr>
      <w:r w:rsidRPr="004B1E06">
        <w:rPr>
          <w:sz w:val="24"/>
          <w:szCs w:val="24"/>
        </w:rPr>
        <w:t>Det forbedrer ligeledes fyldningssymptomer, hvor blæreinstabilitet spiller en vigtig rolle.</w:t>
      </w:r>
    </w:p>
    <w:p w:rsidR="004B1E06" w:rsidRPr="004B1E06" w:rsidRDefault="004B1E06" w:rsidP="004B1E06">
      <w:pPr>
        <w:tabs>
          <w:tab w:val="left" w:pos="851"/>
        </w:tabs>
        <w:ind w:left="851"/>
        <w:rPr>
          <w:bCs/>
          <w:sz w:val="24"/>
          <w:szCs w:val="24"/>
          <w:u w:val="single"/>
        </w:rPr>
      </w:pPr>
      <w:r w:rsidRPr="004B1E06">
        <w:rPr>
          <w:sz w:val="24"/>
          <w:szCs w:val="24"/>
        </w:rPr>
        <w:t>Denne virkning på både fyldnings- og tømningssymptomerne opretholdes ved langtidsbehandling. Behovet for kirurgisk indgreb eller kateterisering kan udskydes signifikant.</w:t>
      </w:r>
    </w:p>
    <w:p w:rsidR="004B1E06" w:rsidRPr="004B1E06" w:rsidRDefault="004B1E06" w:rsidP="004B1E06">
      <w:pPr>
        <w:tabs>
          <w:tab w:val="left" w:pos="851"/>
        </w:tabs>
        <w:ind w:left="851"/>
        <w:rPr>
          <w:sz w:val="24"/>
          <w:szCs w:val="24"/>
        </w:rPr>
      </w:pPr>
      <w:r w:rsidRPr="004B1E06">
        <w:rPr>
          <w:sz w:val="24"/>
          <w:szCs w:val="24"/>
        </w:rPr>
        <w:t>Alfa</w:t>
      </w:r>
      <w:r w:rsidRPr="004B1E06">
        <w:rPr>
          <w:sz w:val="24"/>
          <w:szCs w:val="24"/>
        </w:rPr>
        <w:noBreakHyphen/>
        <w:t>adrenoceptor-antagonister kan reducere blodtrykket ved at mindske den perifere modstand. Der observeredes ingen klinisk signifikant reduktion af blodtrykket under studier med tamsulosin 0,4 mg.</w:t>
      </w:r>
    </w:p>
    <w:p w:rsidR="004B1E06" w:rsidRPr="004B1E06" w:rsidRDefault="004B1E06" w:rsidP="004B1E06">
      <w:pPr>
        <w:tabs>
          <w:tab w:val="left" w:pos="851"/>
        </w:tabs>
        <w:ind w:left="851"/>
        <w:rPr>
          <w:bCs/>
          <w:sz w:val="24"/>
          <w:szCs w:val="24"/>
          <w:u w:val="single"/>
        </w:rPr>
      </w:pPr>
    </w:p>
    <w:p w:rsidR="004B1E06" w:rsidRPr="004B1E06" w:rsidRDefault="004B1E06" w:rsidP="004B1E06">
      <w:pPr>
        <w:tabs>
          <w:tab w:val="left" w:pos="851"/>
        </w:tabs>
        <w:ind w:left="851"/>
        <w:rPr>
          <w:sz w:val="24"/>
          <w:szCs w:val="24"/>
          <w:u w:val="single"/>
        </w:rPr>
      </w:pPr>
      <w:r w:rsidRPr="004B1E06">
        <w:rPr>
          <w:bCs/>
          <w:sz w:val="24"/>
          <w:szCs w:val="24"/>
          <w:u w:val="single"/>
        </w:rPr>
        <w:t>Pædiatrisk population</w:t>
      </w:r>
    </w:p>
    <w:p w:rsidR="004B1E06" w:rsidRPr="004B1E06" w:rsidRDefault="004B1E06" w:rsidP="004B1E06">
      <w:pPr>
        <w:tabs>
          <w:tab w:val="left" w:pos="851"/>
        </w:tabs>
        <w:ind w:left="851"/>
        <w:rPr>
          <w:i/>
          <w:sz w:val="24"/>
          <w:szCs w:val="24"/>
        </w:rPr>
      </w:pPr>
      <w:r w:rsidRPr="004B1E06">
        <w:rPr>
          <w:sz w:val="24"/>
          <w:szCs w:val="24"/>
        </w:rPr>
        <w:t xml:space="preserve">Et dobbelt-blindet, randomiseret, placebokontrolleret, dosis-bestemmende studie blev udført i børn med neuropatisk blære. I alt blev 161 børn (i alderen 2 til 16 år) randomiseret og behandlet med 1 af 3 dosisniveauer af tamsulosin (lav [0,001 til 0,002 mg/kg], medium [0,002 til 0,004 mg/kg] og høj [0,004 til 0,008 mg/kg]) eller placebo. Det primære </w:t>
      </w:r>
      <w:r w:rsidRPr="004B1E06">
        <w:rPr>
          <w:sz w:val="24"/>
          <w:szCs w:val="24"/>
        </w:rPr>
        <w:lastRenderedPageBreak/>
        <w:t xml:space="preserve">endpoint var antallet af patienter, som nedsatte deres </w:t>
      </w:r>
      <w:r w:rsidRPr="004B1E06">
        <w:rPr>
          <w:i/>
          <w:iCs/>
          <w:sz w:val="24"/>
          <w:szCs w:val="24"/>
        </w:rPr>
        <w:t>detrusor leak point pressure</w:t>
      </w:r>
      <w:r w:rsidRPr="004B1E06">
        <w:rPr>
          <w:sz w:val="24"/>
          <w:szCs w:val="24"/>
        </w:rPr>
        <w:t xml:space="preserve"> (LPP) til &lt; 40 cm H</w:t>
      </w:r>
      <w:r w:rsidRPr="004B1E06">
        <w:rPr>
          <w:sz w:val="24"/>
          <w:szCs w:val="24"/>
          <w:vertAlign w:val="subscript"/>
        </w:rPr>
        <w:t>2</w:t>
      </w:r>
      <w:r w:rsidRPr="004B1E06">
        <w:rPr>
          <w:sz w:val="24"/>
          <w:szCs w:val="24"/>
        </w:rPr>
        <w:t xml:space="preserve">O baseret på to evalueringer samme dag. Sekundære endpoints var: Faktisk og procentvis ændring fra </w:t>
      </w:r>
      <w:r w:rsidRPr="004B1E06">
        <w:rPr>
          <w:i/>
          <w:iCs/>
          <w:sz w:val="24"/>
          <w:szCs w:val="24"/>
        </w:rPr>
        <w:t>baseline</w:t>
      </w:r>
      <w:r w:rsidRPr="004B1E06">
        <w:rPr>
          <w:sz w:val="24"/>
          <w:szCs w:val="24"/>
        </w:rPr>
        <w:t xml:space="preserve"> i </w:t>
      </w:r>
      <w:r w:rsidRPr="004B1E06">
        <w:rPr>
          <w:i/>
          <w:iCs/>
          <w:sz w:val="24"/>
          <w:szCs w:val="24"/>
        </w:rPr>
        <w:t>detrusor leak point pressure</w:t>
      </w:r>
      <w:r w:rsidRPr="004B1E06">
        <w:rPr>
          <w:sz w:val="24"/>
          <w:szCs w:val="24"/>
        </w:rPr>
        <w:t>, forbedring eller stabilisering af hydronefrose og hydroureter samt ændring i urinvolumen opnået ved kateterisering og antal gange af lækage ved tidspunktet for katerisering, som registreret i kateteriseringsdagbøger. Ingen statistisk signifikante forskelle blev fundet mellem placebogruppen og nogen af de 3 tamsulosin-dosisgrupper for hverken det primære eller nogen af de sekundære endpoints. Intet dosis-respons blev observeret for nogen af dosisniveauerne.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B1E06" w:rsidRDefault="004B1E06" w:rsidP="004B1E06">
      <w:pPr>
        <w:tabs>
          <w:tab w:val="left" w:pos="851"/>
        </w:tabs>
        <w:ind w:left="851"/>
        <w:rPr>
          <w:sz w:val="24"/>
          <w:szCs w:val="24"/>
          <w:u w:val="single"/>
        </w:rPr>
      </w:pPr>
    </w:p>
    <w:p w:rsidR="004B1E06" w:rsidRPr="004B1E06" w:rsidRDefault="004B1E06" w:rsidP="004B1E06">
      <w:pPr>
        <w:tabs>
          <w:tab w:val="left" w:pos="851"/>
        </w:tabs>
        <w:ind w:left="851"/>
        <w:rPr>
          <w:sz w:val="24"/>
          <w:szCs w:val="24"/>
          <w:u w:val="single"/>
        </w:rPr>
      </w:pPr>
      <w:r w:rsidRPr="004B1E06">
        <w:rPr>
          <w:sz w:val="24"/>
          <w:szCs w:val="24"/>
          <w:u w:val="single"/>
        </w:rPr>
        <w:t>Absorption</w:t>
      </w:r>
    </w:p>
    <w:p w:rsidR="004B1E06" w:rsidRPr="004B1E06" w:rsidRDefault="004B1E06" w:rsidP="004B1E06">
      <w:pPr>
        <w:tabs>
          <w:tab w:val="left" w:pos="851"/>
        </w:tabs>
        <w:ind w:left="851"/>
        <w:rPr>
          <w:sz w:val="24"/>
          <w:szCs w:val="24"/>
        </w:rPr>
      </w:pPr>
      <w:r w:rsidRPr="004B1E06">
        <w:rPr>
          <w:sz w:val="24"/>
          <w:szCs w:val="24"/>
        </w:rPr>
        <w:t xml:space="preserve">Tamsulosinhydrochlorid absorberes i tarmene og er næsten fuldstændigt biotilgængelig. Absorptionen af tamsulosinhydrochlorid reduceres af et nyligt indtaget måltid. Ensartet absorption kan etableres ved, at patienten altid tager </w:t>
      </w:r>
      <w:bookmarkStart w:id="1" w:name="_Hlk168410559"/>
      <w:r w:rsidRPr="004B1E06">
        <w:rPr>
          <w:sz w:val="24"/>
          <w:szCs w:val="24"/>
        </w:rPr>
        <w:t xml:space="preserve">tamsulosin 0,4 mg </w:t>
      </w:r>
      <w:bookmarkEnd w:id="1"/>
      <w:r w:rsidRPr="004B1E06">
        <w:rPr>
          <w:sz w:val="24"/>
          <w:szCs w:val="24"/>
        </w:rPr>
        <w:t>efter det samme måltid hver dag. Tamsulosin udviser lineær kinetik.</w:t>
      </w:r>
    </w:p>
    <w:p w:rsidR="004B1E06" w:rsidRPr="004B1E06" w:rsidRDefault="004B1E06" w:rsidP="004B1E06">
      <w:pPr>
        <w:tabs>
          <w:tab w:val="left" w:pos="851"/>
        </w:tabs>
        <w:ind w:left="851"/>
        <w:rPr>
          <w:sz w:val="24"/>
          <w:szCs w:val="24"/>
        </w:rPr>
      </w:pPr>
      <w:r w:rsidRPr="004B1E06">
        <w:rPr>
          <w:sz w:val="24"/>
          <w:szCs w:val="24"/>
        </w:rPr>
        <w:t xml:space="preserve">Efter en enkelt dosis tamsulosin 0,4 mg efter et måltid topper plasmakoncentrationen af tamsulosin omkring 6 timer senere. I </w:t>
      </w:r>
      <w:r w:rsidRPr="004B1E06">
        <w:rPr>
          <w:i/>
          <w:iCs/>
          <w:sz w:val="24"/>
          <w:szCs w:val="24"/>
        </w:rPr>
        <w:t>steady state</w:t>
      </w:r>
      <w:r w:rsidRPr="004B1E06">
        <w:rPr>
          <w:sz w:val="24"/>
          <w:szCs w:val="24"/>
        </w:rPr>
        <w:t>, der nås på den 5. dag ved gentagen dosering, er C</w:t>
      </w:r>
      <w:r w:rsidRPr="004B1E06">
        <w:rPr>
          <w:sz w:val="24"/>
          <w:szCs w:val="24"/>
          <w:vertAlign w:val="subscript"/>
        </w:rPr>
        <w:t>max</w:t>
      </w:r>
      <w:r w:rsidRPr="004B1E06">
        <w:rPr>
          <w:sz w:val="24"/>
          <w:szCs w:val="24"/>
        </w:rPr>
        <w:t xml:space="preserve"> hos patienten 2/3 højere end den, der opnås efter en enkelt dosis. Selv om dette sås hos ældre patienter, forventes det samme at være tilfældet hos yngre patienter.</w:t>
      </w:r>
    </w:p>
    <w:p w:rsidR="004B1E06" w:rsidRPr="004B1E06" w:rsidRDefault="004B1E06" w:rsidP="004B1E06">
      <w:pPr>
        <w:tabs>
          <w:tab w:val="left" w:pos="851"/>
        </w:tabs>
        <w:ind w:left="851"/>
        <w:rPr>
          <w:sz w:val="24"/>
          <w:szCs w:val="24"/>
        </w:rPr>
      </w:pPr>
      <w:r w:rsidRPr="004B1E06">
        <w:rPr>
          <w:sz w:val="24"/>
          <w:szCs w:val="24"/>
        </w:rPr>
        <w:t>Der er en væsentlig inter-patient plasmaniveauvariation både efter enkel og efter gentagen dosering.</w:t>
      </w:r>
    </w:p>
    <w:p w:rsidR="004B1E06" w:rsidRPr="004B1E06" w:rsidRDefault="004B1E06" w:rsidP="004B1E06">
      <w:pPr>
        <w:tabs>
          <w:tab w:val="left" w:pos="851"/>
        </w:tabs>
        <w:ind w:left="851"/>
        <w:rPr>
          <w:sz w:val="24"/>
          <w:szCs w:val="24"/>
          <w:u w:val="single"/>
        </w:rPr>
      </w:pPr>
    </w:p>
    <w:p w:rsidR="004B1E06" w:rsidRPr="004B1E06" w:rsidRDefault="004B1E06" w:rsidP="004B1E06">
      <w:pPr>
        <w:tabs>
          <w:tab w:val="left" w:pos="851"/>
        </w:tabs>
        <w:ind w:left="851"/>
        <w:rPr>
          <w:sz w:val="24"/>
          <w:szCs w:val="24"/>
          <w:u w:val="single"/>
        </w:rPr>
      </w:pPr>
      <w:r w:rsidRPr="004B1E06">
        <w:rPr>
          <w:sz w:val="24"/>
          <w:szCs w:val="24"/>
          <w:u w:val="single"/>
        </w:rPr>
        <w:t>Fordeling</w:t>
      </w:r>
    </w:p>
    <w:p w:rsidR="004B1E06" w:rsidRPr="004B1E06" w:rsidRDefault="004B1E06" w:rsidP="004B1E06">
      <w:pPr>
        <w:tabs>
          <w:tab w:val="left" w:pos="851"/>
        </w:tabs>
        <w:ind w:left="851"/>
        <w:rPr>
          <w:sz w:val="24"/>
          <w:szCs w:val="24"/>
        </w:rPr>
      </w:pPr>
      <w:r w:rsidRPr="004B1E06">
        <w:rPr>
          <w:sz w:val="24"/>
          <w:szCs w:val="24"/>
        </w:rPr>
        <w:t>Hos mennesker er tamsulosin cirka 99 % bundet til plasmaproteiner, og fordelingsvolumenet er lille (omkring 0,2 l/kg).</w:t>
      </w:r>
    </w:p>
    <w:p w:rsidR="004B1E06" w:rsidRPr="004B1E06" w:rsidRDefault="004B1E06" w:rsidP="004B1E06">
      <w:pPr>
        <w:tabs>
          <w:tab w:val="left" w:pos="851"/>
        </w:tabs>
        <w:ind w:left="851"/>
        <w:rPr>
          <w:sz w:val="24"/>
          <w:szCs w:val="24"/>
          <w:u w:val="single"/>
        </w:rPr>
      </w:pPr>
    </w:p>
    <w:p w:rsidR="004B1E06" w:rsidRPr="004B1E06" w:rsidRDefault="004B1E06" w:rsidP="004B1E06">
      <w:pPr>
        <w:tabs>
          <w:tab w:val="left" w:pos="851"/>
        </w:tabs>
        <w:ind w:left="851"/>
        <w:rPr>
          <w:sz w:val="24"/>
          <w:szCs w:val="24"/>
          <w:u w:val="single"/>
        </w:rPr>
      </w:pPr>
      <w:r w:rsidRPr="004B1E06">
        <w:rPr>
          <w:sz w:val="24"/>
          <w:szCs w:val="24"/>
          <w:u w:val="single"/>
        </w:rPr>
        <w:t>Biotransformation</w:t>
      </w:r>
    </w:p>
    <w:p w:rsidR="004B1E06" w:rsidRPr="004B1E06" w:rsidRDefault="004B1E06" w:rsidP="004B1E06">
      <w:pPr>
        <w:tabs>
          <w:tab w:val="left" w:pos="851"/>
        </w:tabs>
        <w:ind w:left="851"/>
        <w:rPr>
          <w:sz w:val="24"/>
          <w:szCs w:val="24"/>
        </w:rPr>
      </w:pPr>
      <w:r w:rsidRPr="004B1E06">
        <w:rPr>
          <w:sz w:val="24"/>
          <w:szCs w:val="24"/>
        </w:rPr>
        <w:t xml:space="preserve">Tamsulosin har en lav </w:t>
      </w:r>
      <w:r w:rsidRPr="004B1E06">
        <w:rPr>
          <w:i/>
          <w:iCs/>
          <w:sz w:val="24"/>
          <w:szCs w:val="24"/>
        </w:rPr>
        <w:t>first pass</w:t>
      </w:r>
      <w:r w:rsidRPr="004B1E06">
        <w:rPr>
          <w:sz w:val="24"/>
          <w:szCs w:val="24"/>
        </w:rPr>
        <w:t>-effekt og metaboliseres langsomt. Størstedelen af tamsulosin er til stede i plasma i form af uomdannet aktivt stof. Det bliver metaboliseret i leveren.</w:t>
      </w:r>
    </w:p>
    <w:p w:rsidR="004B1E06" w:rsidRPr="004B1E06" w:rsidRDefault="004B1E06" w:rsidP="004B1E06">
      <w:pPr>
        <w:tabs>
          <w:tab w:val="left" w:pos="851"/>
        </w:tabs>
        <w:ind w:left="851"/>
        <w:rPr>
          <w:i/>
          <w:sz w:val="24"/>
          <w:szCs w:val="24"/>
        </w:rPr>
      </w:pPr>
      <w:r w:rsidRPr="004B1E06">
        <w:rPr>
          <w:sz w:val="24"/>
          <w:szCs w:val="24"/>
        </w:rPr>
        <w:t>Hos rotter sås der næsten ingen induktion af mikrosomale leverenzymer</w:t>
      </w:r>
      <w:r w:rsidRPr="004B1E06">
        <w:rPr>
          <w:i/>
          <w:sz w:val="24"/>
          <w:szCs w:val="24"/>
        </w:rPr>
        <w:t xml:space="preserve"> </w:t>
      </w:r>
      <w:r w:rsidRPr="004B1E06">
        <w:rPr>
          <w:iCs/>
          <w:sz w:val="24"/>
          <w:szCs w:val="24"/>
        </w:rPr>
        <w:t>forårsaget af tamsulosin.</w:t>
      </w:r>
    </w:p>
    <w:p w:rsidR="004B1E06" w:rsidRPr="004B1E06" w:rsidRDefault="004B1E06" w:rsidP="004B1E06">
      <w:pPr>
        <w:tabs>
          <w:tab w:val="left" w:pos="851"/>
        </w:tabs>
        <w:ind w:left="851"/>
        <w:rPr>
          <w:sz w:val="24"/>
          <w:szCs w:val="24"/>
        </w:rPr>
      </w:pPr>
      <w:r w:rsidRPr="004B1E06">
        <w:rPr>
          <w:i/>
          <w:sz w:val="24"/>
          <w:szCs w:val="24"/>
        </w:rPr>
        <w:t>In vitro</w:t>
      </w:r>
      <w:r w:rsidRPr="004B1E06">
        <w:rPr>
          <w:sz w:val="24"/>
          <w:szCs w:val="24"/>
        </w:rPr>
        <w:t>-resultater tyder på, at CYP3A4 og også CYP2D6 er involveret i metaboliseringen af tamsulosinhydrochlorid. Muligvis stammer en mindre del af metaboliseringen fra andre CYP</w:t>
      </w:r>
      <w:r w:rsidRPr="004B1E06">
        <w:rPr>
          <w:sz w:val="24"/>
          <w:szCs w:val="24"/>
        </w:rPr>
        <w:noBreakHyphen/>
        <w:t>isoenzymer. En hæmning af de lægemiddelmetaboliserende CYP3A4- og CYP2D6-enzymer kan føre til øget eksponering for tamsulosinhydrochlorid (se pkt. 4.4 og 4.5).</w:t>
      </w:r>
    </w:p>
    <w:p w:rsidR="004B1E06" w:rsidRPr="004B1E06" w:rsidRDefault="004B1E06" w:rsidP="004B1E06">
      <w:pPr>
        <w:tabs>
          <w:tab w:val="left" w:pos="851"/>
        </w:tabs>
        <w:ind w:left="851"/>
        <w:rPr>
          <w:sz w:val="24"/>
          <w:szCs w:val="24"/>
        </w:rPr>
      </w:pPr>
    </w:p>
    <w:p w:rsidR="004B1E06" w:rsidRPr="004B1E06" w:rsidRDefault="004B1E06" w:rsidP="004B1E06">
      <w:pPr>
        <w:tabs>
          <w:tab w:val="left" w:pos="851"/>
        </w:tabs>
        <w:ind w:left="851"/>
        <w:rPr>
          <w:sz w:val="24"/>
          <w:szCs w:val="24"/>
        </w:rPr>
      </w:pPr>
      <w:r w:rsidRPr="004B1E06">
        <w:rPr>
          <w:sz w:val="24"/>
          <w:szCs w:val="24"/>
        </w:rPr>
        <w:t>Ingen af metabolitterne er mere aktive end moderstoffet.</w:t>
      </w:r>
    </w:p>
    <w:p w:rsidR="004B1E06" w:rsidRPr="004B1E06" w:rsidRDefault="004B1E06" w:rsidP="004B1E06">
      <w:pPr>
        <w:tabs>
          <w:tab w:val="left" w:pos="851"/>
        </w:tabs>
        <w:ind w:left="851"/>
        <w:rPr>
          <w:sz w:val="24"/>
          <w:szCs w:val="24"/>
          <w:u w:val="single"/>
        </w:rPr>
      </w:pPr>
    </w:p>
    <w:p w:rsidR="004B1E06" w:rsidRPr="004B1E06" w:rsidRDefault="004B1E06" w:rsidP="004B1E06">
      <w:pPr>
        <w:tabs>
          <w:tab w:val="left" w:pos="851"/>
        </w:tabs>
        <w:ind w:left="851"/>
        <w:rPr>
          <w:sz w:val="24"/>
          <w:szCs w:val="24"/>
          <w:u w:val="single"/>
        </w:rPr>
      </w:pPr>
      <w:r w:rsidRPr="004B1E06">
        <w:rPr>
          <w:sz w:val="24"/>
          <w:szCs w:val="24"/>
          <w:u w:val="single"/>
        </w:rPr>
        <w:t>Elimination</w:t>
      </w:r>
    </w:p>
    <w:p w:rsidR="004B1E06" w:rsidRPr="004B1E06" w:rsidRDefault="004B1E06" w:rsidP="004B1E06">
      <w:pPr>
        <w:tabs>
          <w:tab w:val="left" w:pos="851"/>
        </w:tabs>
        <w:ind w:left="851"/>
        <w:rPr>
          <w:sz w:val="24"/>
          <w:szCs w:val="24"/>
        </w:rPr>
      </w:pPr>
      <w:r w:rsidRPr="004B1E06">
        <w:rPr>
          <w:sz w:val="24"/>
          <w:szCs w:val="24"/>
        </w:rPr>
        <w:t>Tamsulosin og dets metabolitter bliver hovedsageligt udskilt gennem urinen, hvor ca. 9 % af en dosis er til stede i form af uomdannet aktivt stof.</w:t>
      </w:r>
    </w:p>
    <w:p w:rsidR="004B1E06" w:rsidRPr="004B1E06" w:rsidRDefault="004B1E06" w:rsidP="004B1E06">
      <w:pPr>
        <w:tabs>
          <w:tab w:val="left" w:pos="851"/>
        </w:tabs>
        <w:ind w:left="851"/>
        <w:rPr>
          <w:sz w:val="24"/>
          <w:szCs w:val="24"/>
        </w:rPr>
      </w:pPr>
      <w:r w:rsidRPr="004B1E06">
        <w:rPr>
          <w:sz w:val="24"/>
          <w:szCs w:val="24"/>
        </w:rPr>
        <w:t>Eliminationshalveringstiden er blevet målt til henholdsvis ca. 10 og 13 timer efter indgivelse af en enkelt dosis tamsulosin 0,4 mg efter fødeindtagelse og hos patienter i steady state.</w:t>
      </w:r>
    </w:p>
    <w:p w:rsidR="004B1E06" w:rsidRDefault="004B1E06">
      <w:pPr>
        <w:rPr>
          <w:sz w:val="24"/>
          <w:szCs w:val="24"/>
        </w:rPr>
      </w:pPr>
      <w:r>
        <w:rPr>
          <w:sz w:val="24"/>
          <w:szCs w:val="24"/>
        </w:rPr>
        <w:br w:type="page"/>
      </w:r>
    </w:p>
    <w:p w:rsidR="004B1E06" w:rsidRPr="004B1E06" w:rsidRDefault="004B1E06" w:rsidP="004B1E0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4B1E06" w:rsidRPr="004B1E06" w:rsidRDefault="004B1E06" w:rsidP="004B1E06">
      <w:pPr>
        <w:tabs>
          <w:tab w:val="left" w:pos="851"/>
        </w:tabs>
        <w:ind w:left="851"/>
        <w:rPr>
          <w:sz w:val="24"/>
          <w:szCs w:val="24"/>
        </w:rPr>
      </w:pPr>
      <w:r w:rsidRPr="004B1E06">
        <w:rPr>
          <w:sz w:val="24"/>
          <w:szCs w:val="24"/>
        </w:rPr>
        <w:t xml:space="preserve">Der er udført studier af toksicitet efter en enkelt og gentagne doser hos mus, rotter og hunde. Reproduktionstoksicitet er ligeledes blevet undersøgt hos rotter, carcinogenicitet hos mus og rotter samt genotoksicitet </w:t>
      </w:r>
      <w:r w:rsidRPr="004B1E06">
        <w:rPr>
          <w:i/>
          <w:sz w:val="24"/>
          <w:szCs w:val="24"/>
        </w:rPr>
        <w:t>in vivo</w:t>
      </w:r>
      <w:r w:rsidRPr="004B1E06">
        <w:rPr>
          <w:sz w:val="24"/>
          <w:szCs w:val="24"/>
        </w:rPr>
        <w:t xml:space="preserve"> og </w:t>
      </w:r>
      <w:r w:rsidRPr="004B1E06">
        <w:rPr>
          <w:i/>
          <w:sz w:val="24"/>
          <w:szCs w:val="24"/>
        </w:rPr>
        <w:t>in vitro</w:t>
      </w:r>
      <w:r w:rsidRPr="004B1E06">
        <w:rPr>
          <w:sz w:val="24"/>
          <w:szCs w:val="24"/>
        </w:rPr>
        <w:t>.</w:t>
      </w:r>
    </w:p>
    <w:p w:rsidR="004B1E06" w:rsidRPr="004B1E06" w:rsidRDefault="004B1E06" w:rsidP="004B1E06">
      <w:pPr>
        <w:tabs>
          <w:tab w:val="left" w:pos="851"/>
        </w:tabs>
        <w:ind w:left="851"/>
        <w:rPr>
          <w:sz w:val="24"/>
          <w:szCs w:val="24"/>
        </w:rPr>
      </w:pPr>
      <w:r w:rsidRPr="004B1E06">
        <w:rPr>
          <w:sz w:val="24"/>
          <w:szCs w:val="24"/>
        </w:rPr>
        <w:t>Den almene toksicitetsprofil fundet ud fra store doser tamsulosin er ækvivalent med den farmakologiske virkning associeret med alfa-adrenoceptor-antagonister.</w:t>
      </w:r>
    </w:p>
    <w:p w:rsidR="004B1E06" w:rsidRPr="004B1E06" w:rsidRDefault="004B1E06" w:rsidP="004B1E06">
      <w:pPr>
        <w:tabs>
          <w:tab w:val="left" w:pos="851"/>
        </w:tabs>
        <w:ind w:left="851"/>
        <w:rPr>
          <w:sz w:val="24"/>
          <w:szCs w:val="24"/>
        </w:rPr>
      </w:pPr>
      <w:r w:rsidRPr="004B1E06">
        <w:rPr>
          <w:sz w:val="24"/>
          <w:szCs w:val="24"/>
        </w:rPr>
        <w:t>Ændringer i EKG fandtes ved meget store dosisniveauer hos hunde. Dette respons anses dog ikke for at være af klinisk signifikans. Tamsulosin har ikke vist nogen signifikante genotoksiske egenskaber.</w:t>
      </w:r>
    </w:p>
    <w:p w:rsidR="004B1E06" w:rsidRPr="004B1E06" w:rsidRDefault="004B1E06" w:rsidP="004B1E06">
      <w:pPr>
        <w:tabs>
          <w:tab w:val="left" w:pos="851"/>
        </w:tabs>
        <w:ind w:left="851"/>
        <w:rPr>
          <w:sz w:val="24"/>
          <w:szCs w:val="24"/>
        </w:rPr>
      </w:pPr>
      <w:r w:rsidRPr="004B1E06">
        <w:rPr>
          <w:sz w:val="24"/>
          <w:szCs w:val="24"/>
        </w:rPr>
        <w:t>Der er blevet rapporteret øget forekomst af celledelingsforandringer i brystkirtler hos hunrotter og -mus. Disse fund, som sandsynligvis medieres af hyperprolaktinæmi og kun forekommer ved høje dosisniveauer, anses for at være irrelevante.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36B0C" w:rsidRDefault="00B36B0C" w:rsidP="00B36B0C">
      <w:pPr>
        <w:tabs>
          <w:tab w:val="left" w:pos="851"/>
        </w:tabs>
        <w:ind w:left="851"/>
        <w:rPr>
          <w:i/>
          <w:iCs/>
          <w:sz w:val="24"/>
          <w:szCs w:val="24"/>
        </w:rPr>
      </w:pPr>
    </w:p>
    <w:p w:rsidR="00B36B0C" w:rsidRPr="00B36B0C" w:rsidRDefault="00B36B0C" w:rsidP="00B36B0C">
      <w:pPr>
        <w:tabs>
          <w:tab w:val="left" w:pos="851"/>
        </w:tabs>
        <w:ind w:left="851"/>
        <w:rPr>
          <w:iCs/>
          <w:sz w:val="24"/>
          <w:szCs w:val="24"/>
          <w:u w:val="single"/>
        </w:rPr>
      </w:pPr>
      <w:r w:rsidRPr="00B36B0C">
        <w:rPr>
          <w:iCs/>
          <w:sz w:val="24"/>
          <w:szCs w:val="24"/>
          <w:u w:val="single"/>
        </w:rPr>
        <w:t>Pellets</w:t>
      </w:r>
    </w:p>
    <w:p w:rsidR="00B36B0C" w:rsidRPr="00B36B0C" w:rsidRDefault="00B36B0C" w:rsidP="00B36B0C">
      <w:pPr>
        <w:tabs>
          <w:tab w:val="left" w:pos="851"/>
        </w:tabs>
        <w:ind w:left="851"/>
        <w:rPr>
          <w:sz w:val="24"/>
          <w:szCs w:val="24"/>
        </w:rPr>
      </w:pPr>
      <w:r w:rsidRPr="00B36B0C">
        <w:rPr>
          <w:sz w:val="24"/>
          <w:szCs w:val="24"/>
        </w:rPr>
        <w:t>Metacrylsyre – ethylacylatcopolymer (1:1), dispersion 30 %*</w:t>
      </w:r>
    </w:p>
    <w:p w:rsidR="00B36B0C" w:rsidRPr="00B36B0C" w:rsidRDefault="00B36B0C" w:rsidP="00B36B0C">
      <w:pPr>
        <w:tabs>
          <w:tab w:val="left" w:pos="851"/>
        </w:tabs>
        <w:ind w:left="851"/>
        <w:rPr>
          <w:iCs/>
          <w:sz w:val="24"/>
          <w:szCs w:val="24"/>
        </w:rPr>
      </w:pPr>
      <w:r w:rsidRPr="00B36B0C">
        <w:rPr>
          <w:iCs/>
          <w:sz w:val="24"/>
          <w:szCs w:val="24"/>
        </w:rPr>
        <w:t>Cellulose, mikrokrystallinsk</w:t>
      </w:r>
    </w:p>
    <w:p w:rsidR="00B36B0C" w:rsidRPr="00B36B0C" w:rsidRDefault="00B36B0C" w:rsidP="00B36B0C">
      <w:pPr>
        <w:tabs>
          <w:tab w:val="left" w:pos="851"/>
        </w:tabs>
        <w:ind w:left="851"/>
        <w:rPr>
          <w:iCs/>
          <w:sz w:val="24"/>
          <w:szCs w:val="24"/>
        </w:rPr>
      </w:pPr>
      <w:r w:rsidRPr="00B36B0C">
        <w:rPr>
          <w:iCs/>
          <w:sz w:val="24"/>
          <w:szCs w:val="24"/>
        </w:rPr>
        <w:t>Dibutyldebacat</w:t>
      </w:r>
    </w:p>
    <w:p w:rsidR="00B36B0C" w:rsidRPr="00B36B0C" w:rsidRDefault="00B36B0C" w:rsidP="00B36B0C">
      <w:pPr>
        <w:tabs>
          <w:tab w:val="left" w:pos="851"/>
        </w:tabs>
        <w:ind w:left="851"/>
        <w:rPr>
          <w:iCs/>
          <w:sz w:val="24"/>
          <w:szCs w:val="24"/>
        </w:rPr>
      </w:pPr>
      <w:r w:rsidRPr="00B36B0C">
        <w:rPr>
          <w:iCs/>
          <w:sz w:val="24"/>
          <w:szCs w:val="24"/>
        </w:rPr>
        <w:t>Polysorbat 80 (E433)</w:t>
      </w:r>
    </w:p>
    <w:p w:rsidR="00B36B0C" w:rsidRPr="00B36B0C" w:rsidRDefault="00B36B0C" w:rsidP="00B36B0C">
      <w:pPr>
        <w:tabs>
          <w:tab w:val="left" w:pos="851"/>
        </w:tabs>
        <w:ind w:left="851"/>
        <w:rPr>
          <w:iCs/>
          <w:sz w:val="24"/>
          <w:szCs w:val="24"/>
        </w:rPr>
      </w:pPr>
    </w:p>
    <w:p w:rsidR="00B36B0C" w:rsidRPr="00B36B0C" w:rsidRDefault="00B36B0C" w:rsidP="00B36B0C">
      <w:pPr>
        <w:tabs>
          <w:tab w:val="left" w:pos="851"/>
        </w:tabs>
        <w:ind w:left="851"/>
        <w:rPr>
          <w:sz w:val="24"/>
          <w:szCs w:val="24"/>
          <w:u w:val="single"/>
        </w:rPr>
      </w:pPr>
      <w:r w:rsidRPr="00B36B0C">
        <w:rPr>
          <w:sz w:val="24"/>
          <w:szCs w:val="24"/>
          <w:u w:val="single"/>
        </w:rPr>
        <w:t>Overtræk</w:t>
      </w:r>
    </w:p>
    <w:p w:rsidR="00B36B0C" w:rsidRPr="00B36B0C" w:rsidRDefault="00B36B0C" w:rsidP="00B36B0C">
      <w:pPr>
        <w:tabs>
          <w:tab w:val="left" w:pos="851"/>
        </w:tabs>
        <w:ind w:left="851"/>
        <w:rPr>
          <w:sz w:val="24"/>
          <w:szCs w:val="24"/>
        </w:rPr>
      </w:pPr>
      <w:r w:rsidRPr="00B36B0C">
        <w:rPr>
          <w:sz w:val="24"/>
          <w:szCs w:val="24"/>
        </w:rPr>
        <w:t>Metacrylsyre – ethylacrylatcopolymer (1:1), dispersion 30 %*</w:t>
      </w:r>
    </w:p>
    <w:p w:rsidR="00B36B0C" w:rsidRPr="00B36B0C" w:rsidRDefault="00B36B0C" w:rsidP="00B36B0C">
      <w:pPr>
        <w:tabs>
          <w:tab w:val="left" w:pos="851"/>
        </w:tabs>
        <w:ind w:left="851"/>
        <w:rPr>
          <w:iCs/>
          <w:sz w:val="24"/>
          <w:szCs w:val="24"/>
        </w:rPr>
      </w:pPr>
      <w:r w:rsidRPr="00B36B0C">
        <w:rPr>
          <w:iCs/>
          <w:sz w:val="24"/>
          <w:szCs w:val="24"/>
        </w:rPr>
        <w:t>Dibutyldebacat</w:t>
      </w:r>
    </w:p>
    <w:p w:rsidR="00B36B0C" w:rsidRPr="00B36B0C" w:rsidRDefault="00B36B0C" w:rsidP="00B36B0C">
      <w:pPr>
        <w:tabs>
          <w:tab w:val="left" w:pos="851"/>
        </w:tabs>
        <w:ind w:left="851"/>
        <w:rPr>
          <w:iCs/>
          <w:sz w:val="24"/>
          <w:szCs w:val="24"/>
        </w:rPr>
      </w:pPr>
      <w:r w:rsidRPr="00B36B0C">
        <w:rPr>
          <w:iCs/>
          <w:sz w:val="24"/>
          <w:szCs w:val="24"/>
        </w:rPr>
        <w:t>Polysorbat 80 (E433)</w:t>
      </w:r>
    </w:p>
    <w:p w:rsidR="00B36B0C" w:rsidRPr="00B36B0C" w:rsidRDefault="00B36B0C" w:rsidP="00B36B0C">
      <w:pPr>
        <w:tabs>
          <w:tab w:val="left" w:pos="851"/>
        </w:tabs>
        <w:ind w:left="851"/>
        <w:rPr>
          <w:iCs/>
          <w:sz w:val="24"/>
          <w:szCs w:val="24"/>
        </w:rPr>
      </w:pPr>
      <w:r w:rsidRPr="00B36B0C">
        <w:rPr>
          <w:iCs/>
          <w:sz w:val="24"/>
          <w:szCs w:val="24"/>
        </w:rPr>
        <w:t xml:space="preserve">Silica, kolloid </w:t>
      </w:r>
    </w:p>
    <w:p w:rsidR="00B36B0C" w:rsidRPr="00B36B0C" w:rsidRDefault="00B36B0C" w:rsidP="00B36B0C">
      <w:pPr>
        <w:tabs>
          <w:tab w:val="left" w:pos="851"/>
        </w:tabs>
        <w:ind w:left="851"/>
        <w:rPr>
          <w:i/>
          <w:sz w:val="24"/>
          <w:szCs w:val="24"/>
        </w:rPr>
      </w:pPr>
      <w:r w:rsidRPr="00B36B0C">
        <w:rPr>
          <w:i/>
          <w:sz w:val="24"/>
          <w:szCs w:val="24"/>
        </w:rPr>
        <w:t>* Dispersionen indeholder 0,7 % natriumlaurilsulfat Ph. Eur. / NF og 2,3 % polysorbat 80 Ph. Eur. / NF på faststoffet, som emulgatorer</w:t>
      </w:r>
    </w:p>
    <w:p w:rsidR="00B36B0C" w:rsidRPr="00B36B0C" w:rsidRDefault="00B36B0C" w:rsidP="00B36B0C">
      <w:pPr>
        <w:tabs>
          <w:tab w:val="left" w:pos="851"/>
        </w:tabs>
        <w:ind w:left="851"/>
        <w:rPr>
          <w:sz w:val="24"/>
          <w:szCs w:val="24"/>
        </w:rPr>
      </w:pPr>
    </w:p>
    <w:p w:rsidR="00B36B0C" w:rsidRPr="00B36B0C" w:rsidRDefault="00B36B0C" w:rsidP="00B36B0C">
      <w:pPr>
        <w:tabs>
          <w:tab w:val="left" w:pos="851"/>
        </w:tabs>
        <w:ind w:left="851"/>
        <w:rPr>
          <w:sz w:val="24"/>
          <w:szCs w:val="24"/>
        </w:rPr>
      </w:pPr>
      <w:r w:rsidRPr="00B36B0C">
        <w:rPr>
          <w:sz w:val="24"/>
          <w:szCs w:val="24"/>
        </w:rPr>
        <w:t>Calciumstearat</w:t>
      </w:r>
    </w:p>
    <w:p w:rsidR="00B36B0C" w:rsidRPr="00B36B0C" w:rsidRDefault="00B36B0C" w:rsidP="00B36B0C">
      <w:pPr>
        <w:tabs>
          <w:tab w:val="left" w:pos="851"/>
        </w:tabs>
        <w:ind w:left="851"/>
        <w:rPr>
          <w:sz w:val="24"/>
          <w:szCs w:val="24"/>
        </w:rPr>
      </w:pPr>
    </w:p>
    <w:p w:rsidR="00B36B0C" w:rsidRPr="00B36B0C" w:rsidRDefault="00B36B0C" w:rsidP="00B36B0C">
      <w:pPr>
        <w:tabs>
          <w:tab w:val="left" w:pos="851"/>
        </w:tabs>
        <w:ind w:left="851"/>
        <w:rPr>
          <w:iCs/>
          <w:sz w:val="24"/>
          <w:szCs w:val="24"/>
          <w:u w:val="single"/>
        </w:rPr>
      </w:pPr>
      <w:bookmarkStart w:id="2" w:name="_Hlk168474934"/>
      <w:r w:rsidRPr="00B36B0C">
        <w:rPr>
          <w:iCs/>
          <w:sz w:val="24"/>
          <w:szCs w:val="24"/>
          <w:u w:val="single"/>
        </w:rPr>
        <w:t>Hårde gelatinekapsler</w:t>
      </w:r>
    </w:p>
    <w:p w:rsidR="00B36B0C" w:rsidRPr="00B36B0C" w:rsidRDefault="00B36B0C" w:rsidP="00B36B0C">
      <w:pPr>
        <w:tabs>
          <w:tab w:val="left" w:pos="851"/>
        </w:tabs>
        <w:ind w:left="851"/>
        <w:rPr>
          <w:sz w:val="24"/>
          <w:szCs w:val="24"/>
        </w:rPr>
      </w:pPr>
      <w:r w:rsidRPr="00B36B0C">
        <w:rPr>
          <w:sz w:val="24"/>
          <w:szCs w:val="24"/>
        </w:rPr>
        <w:t>Rød jernoxid (E172)</w:t>
      </w:r>
    </w:p>
    <w:p w:rsidR="00B36B0C" w:rsidRPr="00B36B0C" w:rsidRDefault="00B36B0C" w:rsidP="00B36B0C">
      <w:pPr>
        <w:tabs>
          <w:tab w:val="left" w:pos="851"/>
        </w:tabs>
        <w:ind w:left="851"/>
        <w:rPr>
          <w:sz w:val="24"/>
          <w:szCs w:val="24"/>
          <w:lang w:val="pt-PT"/>
        </w:rPr>
      </w:pPr>
      <w:r w:rsidRPr="00B36B0C">
        <w:rPr>
          <w:sz w:val="24"/>
          <w:szCs w:val="24"/>
          <w:lang w:val="pt-PT"/>
        </w:rPr>
        <w:t>Titandioxid (E171)</w:t>
      </w:r>
    </w:p>
    <w:p w:rsidR="00B36B0C" w:rsidRPr="00B36B0C" w:rsidRDefault="00B36B0C" w:rsidP="00B36B0C">
      <w:pPr>
        <w:tabs>
          <w:tab w:val="left" w:pos="851"/>
        </w:tabs>
        <w:ind w:left="851"/>
        <w:rPr>
          <w:sz w:val="24"/>
          <w:szCs w:val="24"/>
          <w:lang w:val="pt-PT"/>
        </w:rPr>
      </w:pPr>
      <w:r w:rsidRPr="00B36B0C">
        <w:rPr>
          <w:sz w:val="24"/>
          <w:szCs w:val="24"/>
          <w:lang w:val="pt-PT"/>
        </w:rPr>
        <w:t>Gul jernoxid (E172)</w:t>
      </w:r>
    </w:p>
    <w:p w:rsidR="00B36B0C" w:rsidRPr="00B36B0C" w:rsidRDefault="00B36B0C" w:rsidP="00B36B0C">
      <w:pPr>
        <w:tabs>
          <w:tab w:val="left" w:pos="851"/>
        </w:tabs>
        <w:ind w:left="851"/>
        <w:rPr>
          <w:sz w:val="24"/>
          <w:szCs w:val="24"/>
        </w:rPr>
      </w:pPr>
      <w:r w:rsidRPr="00B36B0C">
        <w:rPr>
          <w:sz w:val="24"/>
          <w:szCs w:val="24"/>
        </w:rPr>
        <w:t>Sort jernoxid (E172)</w:t>
      </w:r>
    </w:p>
    <w:p w:rsidR="00B36B0C" w:rsidRPr="00B36B0C" w:rsidRDefault="00B36B0C" w:rsidP="00B36B0C">
      <w:pPr>
        <w:tabs>
          <w:tab w:val="left" w:pos="851"/>
        </w:tabs>
        <w:ind w:left="851"/>
        <w:rPr>
          <w:sz w:val="24"/>
          <w:szCs w:val="24"/>
          <w:lang w:val="en-US"/>
        </w:rPr>
      </w:pPr>
      <w:r w:rsidRPr="00B36B0C">
        <w:rPr>
          <w:sz w:val="24"/>
          <w:szCs w:val="24"/>
          <w:lang w:val="en-US"/>
        </w:rPr>
        <w:t>Indigotin – FD&amp;C Blue2 (E132)</w:t>
      </w:r>
    </w:p>
    <w:p w:rsidR="00B36B0C" w:rsidRPr="00B36B0C" w:rsidRDefault="00B36B0C" w:rsidP="00B36B0C">
      <w:pPr>
        <w:tabs>
          <w:tab w:val="left" w:pos="851"/>
        </w:tabs>
        <w:ind w:left="851"/>
        <w:rPr>
          <w:sz w:val="24"/>
          <w:szCs w:val="24"/>
        </w:rPr>
      </w:pPr>
      <w:r w:rsidRPr="00B36B0C">
        <w:rPr>
          <w:sz w:val="24"/>
          <w:szCs w:val="24"/>
        </w:rPr>
        <w:t>Gelatine</w:t>
      </w:r>
      <w:bookmarkEnd w:id="2"/>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B36B0C" w:rsidRPr="00B36B0C" w:rsidRDefault="00B36B0C" w:rsidP="00B36B0C">
      <w:pPr>
        <w:tabs>
          <w:tab w:val="left" w:pos="851"/>
        </w:tabs>
        <w:ind w:left="851"/>
        <w:rPr>
          <w:sz w:val="24"/>
          <w:szCs w:val="24"/>
        </w:rPr>
      </w:pPr>
      <w:r w:rsidRPr="00B36B0C">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B36B0C" w:rsidRPr="00B36B0C" w:rsidRDefault="00B36B0C" w:rsidP="00B36B0C">
      <w:pPr>
        <w:tabs>
          <w:tab w:val="left" w:pos="851"/>
        </w:tabs>
        <w:ind w:left="851"/>
        <w:rPr>
          <w:sz w:val="24"/>
          <w:szCs w:val="24"/>
        </w:rPr>
      </w:pPr>
      <w:r w:rsidRPr="00B36B0C">
        <w:rPr>
          <w:sz w:val="24"/>
          <w:szCs w:val="24"/>
        </w:rPr>
        <w:t>2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42977" w:rsidRPr="00A42977" w:rsidRDefault="00A42977" w:rsidP="00A42977">
      <w:pPr>
        <w:tabs>
          <w:tab w:val="left" w:pos="851"/>
        </w:tabs>
        <w:ind w:left="851"/>
        <w:rPr>
          <w:sz w:val="24"/>
          <w:szCs w:val="24"/>
        </w:rPr>
      </w:pPr>
      <w:r w:rsidRPr="00A42977">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42977" w:rsidRDefault="00A42977" w:rsidP="00A42977">
      <w:pPr>
        <w:tabs>
          <w:tab w:val="left" w:pos="851"/>
        </w:tabs>
        <w:ind w:left="851"/>
        <w:rPr>
          <w:sz w:val="24"/>
          <w:szCs w:val="24"/>
        </w:rPr>
      </w:pPr>
    </w:p>
    <w:p w:rsidR="00A42977" w:rsidRPr="00A42977" w:rsidRDefault="00A42977" w:rsidP="00A42977">
      <w:pPr>
        <w:tabs>
          <w:tab w:val="left" w:pos="851"/>
        </w:tabs>
        <w:ind w:left="851"/>
        <w:rPr>
          <w:sz w:val="24"/>
          <w:szCs w:val="24"/>
          <w:u w:val="single"/>
        </w:rPr>
      </w:pPr>
      <w:r w:rsidRPr="00A42977">
        <w:rPr>
          <w:sz w:val="24"/>
          <w:szCs w:val="24"/>
          <w:u w:val="single"/>
        </w:rPr>
        <w:t>PVC/PVDC-aluminium</w:t>
      </w:r>
      <w:r w:rsidR="00DA15E0">
        <w:rPr>
          <w:sz w:val="24"/>
          <w:szCs w:val="24"/>
          <w:u w:val="single"/>
        </w:rPr>
        <w:t xml:space="preserve"> </w:t>
      </w:r>
      <w:r w:rsidRPr="00A42977">
        <w:rPr>
          <w:sz w:val="24"/>
          <w:szCs w:val="24"/>
          <w:u w:val="single"/>
        </w:rPr>
        <w:t>blisterpakning</w:t>
      </w:r>
    </w:p>
    <w:p w:rsidR="00A42977" w:rsidRPr="00A42977" w:rsidRDefault="00DA15E0" w:rsidP="00A42977">
      <w:pPr>
        <w:tabs>
          <w:tab w:val="left" w:pos="851"/>
        </w:tabs>
        <w:ind w:left="851"/>
        <w:rPr>
          <w:sz w:val="24"/>
          <w:szCs w:val="24"/>
        </w:rPr>
      </w:pPr>
      <w:r>
        <w:rPr>
          <w:sz w:val="24"/>
          <w:szCs w:val="24"/>
        </w:rPr>
        <w:t>Pakningsstørrelser:</w:t>
      </w:r>
      <w:r w:rsidR="00A42977" w:rsidRPr="00A42977">
        <w:rPr>
          <w:sz w:val="24"/>
          <w:szCs w:val="24"/>
        </w:rPr>
        <w:t xml:space="preserve"> 10, 20, 30, 50, 90 </w:t>
      </w:r>
      <w:r w:rsidR="00A42977">
        <w:rPr>
          <w:sz w:val="24"/>
          <w:szCs w:val="24"/>
        </w:rPr>
        <w:t>og</w:t>
      </w:r>
      <w:r w:rsidR="00A42977" w:rsidRPr="00A42977">
        <w:rPr>
          <w:sz w:val="24"/>
          <w:szCs w:val="24"/>
        </w:rPr>
        <w:t xml:space="preserve"> 100 kapsler</w:t>
      </w:r>
      <w:r w:rsidR="00A42977">
        <w:rPr>
          <w:sz w:val="24"/>
          <w:szCs w:val="24"/>
        </w:rPr>
        <w:t>.</w:t>
      </w:r>
    </w:p>
    <w:p w:rsidR="00A42977" w:rsidRPr="00A42977" w:rsidRDefault="00A42977" w:rsidP="00A42977">
      <w:pPr>
        <w:tabs>
          <w:tab w:val="left" w:pos="851"/>
        </w:tabs>
        <w:ind w:left="851"/>
        <w:rPr>
          <w:sz w:val="24"/>
          <w:szCs w:val="24"/>
        </w:rPr>
      </w:pPr>
    </w:p>
    <w:p w:rsidR="00A42977" w:rsidRPr="00A42977" w:rsidRDefault="00A42977" w:rsidP="00A42977">
      <w:pPr>
        <w:tabs>
          <w:tab w:val="left" w:pos="851"/>
        </w:tabs>
        <w:ind w:left="851"/>
        <w:rPr>
          <w:sz w:val="24"/>
          <w:szCs w:val="24"/>
          <w:u w:val="single"/>
        </w:rPr>
      </w:pPr>
      <w:r w:rsidRPr="00A42977">
        <w:rPr>
          <w:sz w:val="24"/>
          <w:szCs w:val="24"/>
          <w:u w:val="single"/>
        </w:rPr>
        <w:t xml:space="preserve">Perforerede </w:t>
      </w:r>
      <w:bookmarkStart w:id="3" w:name="_Hlk168475273"/>
      <w:r w:rsidRPr="00A42977">
        <w:rPr>
          <w:sz w:val="24"/>
          <w:szCs w:val="24"/>
          <w:u w:val="single"/>
        </w:rPr>
        <w:t>PVC/PVDC-aluminium</w:t>
      </w:r>
      <w:r w:rsidR="00DA15E0">
        <w:rPr>
          <w:sz w:val="24"/>
          <w:szCs w:val="24"/>
          <w:u w:val="single"/>
        </w:rPr>
        <w:t xml:space="preserve">-enkeltdosis </w:t>
      </w:r>
      <w:r w:rsidRPr="00A42977">
        <w:rPr>
          <w:sz w:val="24"/>
          <w:szCs w:val="24"/>
          <w:u w:val="single"/>
        </w:rPr>
        <w:t>blisterpakning</w:t>
      </w:r>
    </w:p>
    <w:p w:rsidR="00A42977" w:rsidRPr="00A42977" w:rsidRDefault="00DA15E0" w:rsidP="00A42977">
      <w:pPr>
        <w:tabs>
          <w:tab w:val="left" w:pos="851"/>
        </w:tabs>
        <w:ind w:left="851"/>
        <w:rPr>
          <w:sz w:val="24"/>
          <w:szCs w:val="24"/>
        </w:rPr>
      </w:pPr>
      <w:r>
        <w:rPr>
          <w:sz w:val="24"/>
          <w:szCs w:val="24"/>
        </w:rPr>
        <w:t xml:space="preserve">Pakningsstørrelser: </w:t>
      </w:r>
      <w:bookmarkEnd w:id="3"/>
      <w:r w:rsidR="00A42977" w:rsidRPr="00A42977">
        <w:rPr>
          <w:sz w:val="24"/>
          <w:szCs w:val="24"/>
        </w:rPr>
        <w:t>10×1, 20×1, 30×1, 50×1, 90</w:t>
      </w:r>
      <w:r>
        <w:rPr>
          <w:sz w:val="24"/>
          <w:szCs w:val="24"/>
        </w:rPr>
        <w:t>×1</w:t>
      </w:r>
      <w:r w:rsidR="00A42977" w:rsidRPr="00A42977">
        <w:rPr>
          <w:sz w:val="24"/>
          <w:szCs w:val="24"/>
        </w:rPr>
        <w:t xml:space="preserve"> </w:t>
      </w:r>
      <w:r>
        <w:rPr>
          <w:sz w:val="24"/>
          <w:szCs w:val="24"/>
        </w:rPr>
        <w:t>og</w:t>
      </w:r>
      <w:r w:rsidR="00A42977" w:rsidRPr="00A42977">
        <w:rPr>
          <w:sz w:val="24"/>
          <w:szCs w:val="24"/>
        </w:rPr>
        <w:t xml:space="preserve"> 100×1 kapsler</w:t>
      </w:r>
      <w:r w:rsidR="00A42977">
        <w:rPr>
          <w:sz w:val="24"/>
          <w:szCs w:val="24"/>
        </w:rPr>
        <w:t>.</w:t>
      </w:r>
    </w:p>
    <w:p w:rsidR="00A42977" w:rsidRPr="00A42977" w:rsidRDefault="00A42977" w:rsidP="00A42977">
      <w:pPr>
        <w:tabs>
          <w:tab w:val="left" w:pos="851"/>
        </w:tabs>
        <w:ind w:left="851"/>
        <w:rPr>
          <w:sz w:val="24"/>
          <w:szCs w:val="24"/>
        </w:rPr>
      </w:pPr>
    </w:p>
    <w:p w:rsidR="00A42977" w:rsidRPr="00A42977" w:rsidRDefault="00A42977" w:rsidP="00A42977">
      <w:pPr>
        <w:tabs>
          <w:tab w:val="left" w:pos="851"/>
        </w:tabs>
        <w:ind w:left="851"/>
        <w:rPr>
          <w:sz w:val="24"/>
          <w:szCs w:val="24"/>
          <w:u w:val="single"/>
        </w:rPr>
      </w:pPr>
      <w:r w:rsidRPr="00A42977">
        <w:rPr>
          <w:sz w:val="24"/>
          <w:szCs w:val="24"/>
          <w:u w:val="single"/>
        </w:rPr>
        <w:t>HDPE-beholder med sikkerhedsring og silicagel-tørremiddel i PP-låget</w:t>
      </w:r>
    </w:p>
    <w:p w:rsidR="00A42977" w:rsidRPr="00A42977" w:rsidRDefault="00A42977" w:rsidP="00A42977">
      <w:pPr>
        <w:tabs>
          <w:tab w:val="left" w:pos="851"/>
        </w:tabs>
        <w:ind w:left="851"/>
        <w:rPr>
          <w:sz w:val="24"/>
          <w:szCs w:val="24"/>
        </w:rPr>
      </w:pPr>
      <w:r>
        <w:rPr>
          <w:sz w:val="24"/>
          <w:szCs w:val="24"/>
        </w:rPr>
        <w:t xml:space="preserve">Pakningsstørrelser: </w:t>
      </w:r>
      <w:r w:rsidRPr="00A42977">
        <w:rPr>
          <w:sz w:val="24"/>
          <w:szCs w:val="24"/>
        </w:rPr>
        <w:t xml:space="preserve">30, 35, 50, 60, 90, 100, 112 </w:t>
      </w:r>
      <w:r>
        <w:rPr>
          <w:sz w:val="24"/>
          <w:szCs w:val="24"/>
        </w:rPr>
        <w:t>og</w:t>
      </w:r>
      <w:r w:rsidRPr="00A42977">
        <w:rPr>
          <w:sz w:val="24"/>
          <w:szCs w:val="24"/>
        </w:rPr>
        <w:t xml:space="preserve"> 200 kapsler</w:t>
      </w:r>
      <w:r>
        <w:rPr>
          <w:sz w:val="24"/>
          <w:szCs w:val="24"/>
        </w:rPr>
        <w:t>.</w:t>
      </w:r>
    </w:p>
    <w:p w:rsidR="00A42977" w:rsidRPr="00A42977" w:rsidRDefault="00A42977" w:rsidP="00A42977">
      <w:pPr>
        <w:tabs>
          <w:tab w:val="left" w:pos="851"/>
        </w:tabs>
        <w:ind w:left="851"/>
        <w:rPr>
          <w:sz w:val="24"/>
          <w:szCs w:val="24"/>
        </w:rPr>
      </w:pPr>
    </w:p>
    <w:p w:rsidR="00A42977" w:rsidRPr="00A42977" w:rsidRDefault="00A42977" w:rsidP="00A42977">
      <w:pPr>
        <w:tabs>
          <w:tab w:val="left" w:pos="851"/>
        </w:tabs>
        <w:ind w:left="851"/>
        <w:rPr>
          <w:sz w:val="24"/>
          <w:szCs w:val="24"/>
        </w:rPr>
      </w:pPr>
      <w:r w:rsidRPr="00A42977">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DA15E0" w:rsidRPr="00DA15E0" w:rsidRDefault="00DA15E0" w:rsidP="00DA15E0">
      <w:pPr>
        <w:tabs>
          <w:tab w:val="left" w:pos="851"/>
        </w:tabs>
        <w:ind w:left="851"/>
        <w:rPr>
          <w:sz w:val="24"/>
          <w:szCs w:val="24"/>
        </w:rPr>
      </w:pPr>
      <w:r w:rsidRPr="00DA15E0">
        <w:rPr>
          <w:sz w:val="24"/>
          <w:szCs w:val="24"/>
        </w:rPr>
        <w:t>Ingen særlige forholdsregler ved bortskaffelse.</w:t>
      </w:r>
    </w:p>
    <w:p w:rsidR="00DA15E0" w:rsidRPr="00DA15E0" w:rsidRDefault="00DA15E0" w:rsidP="00DA15E0">
      <w:pPr>
        <w:tabs>
          <w:tab w:val="left" w:pos="851"/>
        </w:tabs>
        <w:ind w:left="851"/>
        <w:rPr>
          <w:sz w:val="24"/>
          <w:szCs w:val="24"/>
        </w:rPr>
      </w:pPr>
    </w:p>
    <w:p w:rsidR="00DA15E0" w:rsidRPr="00DA15E0" w:rsidRDefault="00DA15E0" w:rsidP="00DA15E0">
      <w:pPr>
        <w:tabs>
          <w:tab w:val="left" w:pos="851"/>
        </w:tabs>
        <w:ind w:left="851"/>
        <w:rPr>
          <w:sz w:val="24"/>
          <w:szCs w:val="24"/>
        </w:rPr>
      </w:pPr>
      <w:r w:rsidRPr="00DA15E0">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A15E0" w:rsidRPr="00EB719D" w:rsidRDefault="00DA15E0" w:rsidP="00DA15E0">
      <w:pPr>
        <w:tabs>
          <w:tab w:val="left" w:pos="851"/>
        </w:tabs>
        <w:ind w:left="851"/>
        <w:rPr>
          <w:sz w:val="24"/>
          <w:szCs w:val="24"/>
        </w:rPr>
      </w:pPr>
      <w:bookmarkStart w:id="4" w:name="_Hlk168475413"/>
      <w:r w:rsidRPr="00EB719D">
        <w:rPr>
          <w:sz w:val="24"/>
          <w:szCs w:val="24"/>
        </w:rPr>
        <w:t>Viatris Limited</w:t>
      </w:r>
    </w:p>
    <w:p w:rsidR="00DA15E0" w:rsidRPr="00EB719D" w:rsidRDefault="00DA15E0" w:rsidP="00DA15E0">
      <w:pPr>
        <w:tabs>
          <w:tab w:val="left" w:pos="851"/>
        </w:tabs>
        <w:ind w:left="851"/>
        <w:rPr>
          <w:sz w:val="24"/>
          <w:szCs w:val="24"/>
        </w:rPr>
      </w:pPr>
      <w:r w:rsidRPr="00EB719D">
        <w:rPr>
          <w:sz w:val="24"/>
          <w:szCs w:val="24"/>
        </w:rPr>
        <w:t>Damastown Industrial Park</w:t>
      </w:r>
    </w:p>
    <w:p w:rsidR="00DA15E0" w:rsidRPr="00EB719D" w:rsidRDefault="00DA15E0" w:rsidP="00DA15E0">
      <w:pPr>
        <w:tabs>
          <w:tab w:val="left" w:pos="851"/>
        </w:tabs>
        <w:ind w:left="851"/>
        <w:rPr>
          <w:sz w:val="24"/>
          <w:szCs w:val="24"/>
        </w:rPr>
      </w:pPr>
      <w:r w:rsidRPr="00EB719D">
        <w:rPr>
          <w:sz w:val="24"/>
          <w:szCs w:val="24"/>
        </w:rPr>
        <w:t>Mulhuddart</w:t>
      </w:r>
    </w:p>
    <w:p w:rsidR="00DA15E0" w:rsidRPr="00DA15E0" w:rsidRDefault="00DA15E0" w:rsidP="00DA15E0">
      <w:pPr>
        <w:tabs>
          <w:tab w:val="left" w:pos="851"/>
        </w:tabs>
        <w:ind w:left="851"/>
        <w:rPr>
          <w:sz w:val="24"/>
          <w:szCs w:val="24"/>
        </w:rPr>
      </w:pPr>
      <w:r w:rsidRPr="00DA15E0">
        <w:rPr>
          <w:sz w:val="24"/>
          <w:szCs w:val="24"/>
        </w:rPr>
        <w:t>Dublin 15</w:t>
      </w:r>
    </w:p>
    <w:p w:rsidR="00DA15E0" w:rsidRPr="00DA15E0" w:rsidRDefault="00DA15E0" w:rsidP="00DA15E0">
      <w:pPr>
        <w:tabs>
          <w:tab w:val="left" w:pos="851"/>
        </w:tabs>
        <w:ind w:left="851"/>
        <w:rPr>
          <w:sz w:val="24"/>
          <w:szCs w:val="24"/>
        </w:rPr>
      </w:pPr>
      <w:r w:rsidRPr="00DA15E0">
        <w:rPr>
          <w:sz w:val="24"/>
          <w:szCs w:val="24"/>
        </w:rPr>
        <w:t>DUBLIN</w:t>
      </w:r>
    </w:p>
    <w:p w:rsidR="00DA15E0" w:rsidRPr="00DA15E0" w:rsidRDefault="00DA15E0" w:rsidP="00DA15E0">
      <w:pPr>
        <w:tabs>
          <w:tab w:val="left" w:pos="851"/>
        </w:tabs>
        <w:ind w:left="851"/>
        <w:rPr>
          <w:sz w:val="24"/>
          <w:szCs w:val="24"/>
        </w:rPr>
      </w:pPr>
      <w:r w:rsidRPr="00DA15E0">
        <w:rPr>
          <w:sz w:val="24"/>
          <w:szCs w:val="24"/>
        </w:rPr>
        <w:t>Irland</w:t>
      </w:r>
    </w:p>
    <w:p w:rsidR="00DA15E0" w:rsidRPr="00DA15E0" w:rsidRDefault="00DA15E0" w:rsidP="00DA15E0">
      <w:pPr>
        <w:tabs>
          <w:tab w:val="left" w:pos="851"/>
        </w:tabs>
        <w:ind w:left="851"/>
        <w:rPr>
          <w:sz w:val="24"/>
          <w:szCs w:val="24"/>
        </w:rPr>
      </w:pPr>
    </w:p>
    <w:p w:rsidR="00DA15E0" w:rsidRPr="00DA15E0" w:rsidRDefault="00DA15E0" w:rsidP="00DA15E0">
      <w:pPr>
        <w:tabs>
          <w:tab w:val="left" w:pos="851"/>
        </w:tabs>
        <w:ind w:left="851"/>
        <w:rPr>
          <w:b/>
          <w:bCs/>
          <w:sz w:val="24"/>
          <w:szCs w:val="24"/>
        </w:rPr>
      </w:pPr>
      <w:r w:rsidRPr="00DA15E0">
        <w:rPr>
          <w:b/>
          <w:bCs/>
          <w:sz w:val="24"/>
          <w:szCs w:val="24"/>
        </w:rPr>
        <w:t>Repræsentant</w:t>
      </w:r>
    </w:p>
    <w:p w:rsidR="00DA15E0" w:rsidRPr="00DA15E0" w:rsidRDefault="00DA15E0" w:rsidP="00DA15E0">
      <w:pPr>
        <w:tabs>
          <w:tab w:val="left" w:pos="851"/>
        </w:tabs>
        <w:ind w:left="851"/>
        <w:rPr>
          <w:sz w:val="24"/>
          <w:szCs w:val="24"/>
        </w:rPr>
      </w:pPr>
      <w:r w:rsidRPr="00DA15E0">
        <w:rPr>
          <w:sz w:val="24"/>
          <w:szCs w:val="24"/>
        </w:rPr>
        <w:t>Viatris ApS</w:t>
      </w:r>
    </w:p>
    <w:p w:rsidR="00DA15E0" w:rsidRPr="00DA15E0" w:rsidRDefault="00DA15E0" w:rsidP="00DA15E0">
      <w:pPr>
        <w:tabs>
          <w:tab w:val="left" w:pos="851"/>
        </w:tabs>
        <w:ind w:left="851"/>
        <w:rPr>
          <w:sz w:val="24"/>
          <w:szCs w:val="24"/>
        </w:rPr>
      </w:pPr>
      <w:r w:rsidRPr="00DA15E0">
        <w:rPr>
          <w:sz w:val="24"/>
          <w:szCs w:val="24"/>
        </w:rPr>
        <w:t>Borupvang 1</w:t>
      </w:r>
    </w:p>
    <w:p w:rsidR="00DA15E0" w:rsidRPr="00DA15E0" w:rsidRDefault="00DA15E0" w:rsidP="00DA15E0">
      <w:pPr>
        <w:tabs>
          <w:tab w:val="left" w:pos="851"/>
        </w:tabs>
        <w:ind w:left="851"/>
        <w:rPr>
          <w:sz w:val="24"/>
          <w:szCs w:val="24"/>
        </w:rPr>
      </w:pPr>
      <w:r w:rsidRPr="00DA15E0">
        <w:rPr>
          <w:sz w:val="24"/>
          <w:szCs w:val="24"/>
        </w:rPr>
        <w:t>2750 Ballerup</w:t>
      </w:r>
    </w:p>
    <w:bookmarkEnd w:id="4"/>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C72DE4" w:rsidP="009260DE">
      <w:pPr>
        <w:tabs>
          <w:tab w:val="left" w:pos="851"/>
        </w:tabs>
        <w:ind w:left="851"/>
        <w:rPr>
          <w:sz w:val="24"/>
          <w:szCs w:val="24"/>
        </w:rPr>
      </w:pPr>
      <w:r>
        <w:rPr>
          <w:sz w:val="24"/>
          <w:szCs w:val="24"/>
        </w:rPr>
        <w:t>70445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B719D" w:rsidP="009260DE">
      <w:pPr>
        <w:tabs>
          <w:tab w:val="left" w:pos="851"/>
        </w:tabs>
        <w:ind w:left="851"/>
        <w:rPr>
          <w:sz w:val="24"/>
          <w:szCs w:val="24"/>
        </w:rPr>
      </w:pPr>
      <w:r>
        <w:rPr>
          <w:sz w:val="24"/>
          <w:szCs w:val="24"/>
        </w:rPr>
        <w:t>3. oktober 2024</w:t>
      </w:r>
      <w:bookmarkStart w:id="5" w:name="_GoBack"/>
      <w:bookmarkEnd w:id="5"/>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72DE4"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848" w:rsidRDefault="003E2848">
      <w:r>
        <w:separator/>
      </w:r>
    </w:p>
  </w:endnote>
  <w:endnote w:type="continuationSeparator" w:id="0">
    <w:p w:rsidR="003E2848" w:rsidRDefault="003E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073FD">
      <w:rPr>
        <w:i/>
        <w:noProof/>
        <w:sz w:val="18"/>
        <w:szCs w:val="18"/>
      </w:rPr>
      <w:t>Tamsulosinhydrochlorid Viatris, hårde kapsler med modificeret udløsning 0,4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848" w:rsidRDefault="003E2848">
      <w:r>
        <w:separator/>
      </w:r>
    </w:p>
  </w:footnote>
  <w:footnote w:type="continuationSeparator" w:id="0">
    <w:p w:rsidR="003E2848" w:rsidRDefault="003E2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48"/>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E2848"/>
    <w:rsid w:val="003F1838"/>
    <w:rsid w:val="004251C1"/>
    <w:rsid w:val="0045746C"/>
    <w:rsid w:val="0049104B"/>
    <w:rsid w:val="004B1E06"/>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1109D"/>
    <w:rsid w:val="0082576E"/>
    <w:rsid w:val="0089346F"/>
    <w:rsid w:val="008A7A06"/>
    <w:rsid w:val="00907F75"/>
    <w:rsid w:val="009260DE"/>
    <w:rsid w:val="0093258A"/>
    <w:rsid w:val="009C7BA3"/>
    <w:rsid w:val="009D1F5A"/>
    <w:rsid w:val="00A10294"/>
    <w:rsid w:val="00A42977"/>
    <w:rsid w:val="00AE6B8D"/>
    <w:rsid w:val="00B003BF"/>
    <w:rsid w:val="00B073FD"/>
    <w:rsid w:val="00B36B0C"/>
    <w:rsid w:val="00B373D7"/>
    <w:rsid w:val="00B55271"/>
    <w:rsid w:val="00BD7931"/>
    <w:rsid w:val="00BF6243"/>
    <w:rsid w:val="00C36276"/>
    <w:rsid w:val="00C42586"/>
    <w:rsid w:val="00C45F6B"/>
    <w:rsid w:val="00C60CCD"/>
    <w:rsid w:val="00C72DE4"/>
    <w:rsid w:val="00C84483"/>
    <w:rsid w:val="00C95551"/>
    <w:rsid w:val="00CB20D7"/>
    <w:rsid w:val="00D020B0"/>
    <w:rsid w:val="00D11748"/>
    <w:rsid w:val="00D237F6"/>
    <w:rsid w:val="00D34D98"/>
    <w:rsid w:val="00D366CF"/>
    <w:rsid w:val="00D93992"/>
    <w:rsid w:val="00DA15E0"/>
    <w:rsid w:val="00E108AA"/>
    <w:rsid w:val="00E3749A"/>
    <w:rsid w:val="00E7437F"/>
    <w:rsid w:val="00E865B8"/>
    <w:rsid w:val="00EB719D"/>
    <w:rsid w:val="00EC0B9B"/>
    <w:rsid w:val="00ED5E9F"/>
    <w:rsid w:val="00F466C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DA1C6"/>
  <w15:chartTrackingRefBased/>
  <w15:docId w15:val="{14BC8E0D-A339-4D43-8232-40CCCEED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8A7A06"/>
    <w:rPr>
      <w:color w:val="0000FF"/>
      <w:u w:val="single"/>
    </w:rPr>
  </w:style>
  <w:style w:type="paragraph" w:styleId="Brdtekstindrykning">
    <w:name w:val="Body Text Indent"/>
    <w:basedOn w:val="Normal"/>
    <w:link w:val="BrdtekstindrykningTegn"/>
    <w:unhideWhenUsed/>
    <w:rsid w:val="008A7A06"/>
    <w:pPr>
      <w:tabs>
        <w:tab w:val="left" w:pos="0"/>
      </w:tabs>
      <w:ind w:right="276"/>
      <w:jc w:val="both"/>
    </w:pPr>
    <w:rPr>
      <w:rFonts w:ascii="Arial" w:eastAsia="MS Mincho" w:hAnsi="Arial" w:cs="Arial"/>
      <w:color w:val="000000"/>
      <w:sz w:val="24"/>
      <w:szCs w:val="24"/>
      <w:lang w:val="en-GB" w:eastAsia="ja-JP"/>
    </w:rPr>
  </w:style>
  <w:style w:type="character" w:customStyle="1" w:styleId="BrdtekstindrykningTegn">
    <w:name w:val="Brødtekstindrykning Tegn"/>
    <w:basedOn w:val="Standardskrifttypeiafsnit"/>
    <w:link w:val="Brdtekstindrykning"/>
    <w:rsid w:val="008A7A06"/>
    <w:rPr>
      <w:rFonts w:ascii="Arial" w:eastAsia="MS Mincho" w:hAnsi="Arial" w:cs="Arial"/>
      <w:color w:val="00000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41753731">
      <w:bodyDiv w:val="1"/>
      <w:marLeft w:val="0"/>
      <w:marRight w:val="0"/>
      <w:marTop w:val="0"/>
      <w:marBottom w:val="0"/>
      <w:divBdr>
        <w:top w:val="none" w:sz="0" w:space="0" w:color="auto"/>
        <w:left w:val="none" w:sz="0" w:space="0" w:color="auto"/>
        <w:bottom w:val="none" w:sz="0" w:space="0" w:color="auto"/>
        <w:right w:val="none" w:sz="0" w:space="0" w:color="auto"/>
      </w:divBdr>
    </w:div>
    <w:div w:id="810177731">
      <w:bodyDiv w:val="1"/>
      <w:marLeft w:val="0"/>
      <w:marRight w:val="0"/>
      <w:marTop w:val="0"/>
      <w:marBottom w:val="0"/>
      <w:divBdr>
        <w:top w:val="none" w:sz="0" w:space="0" w:color="auto"/>
        <w:left w:val="none" w:sz="0" w:space="0" w:color="auto"/>
        <w:bottom w:val="none" w:sz="0" w:space="0" w:color="auto"/>
        <w:right w:val="none" w:sz="0" w:space="0" w:color="auto"/>
      </w:divBdr>
    </w:div>
    <w:div w:id="830759100">
      <w:bodyDiv w:val="1"/>
      <w:marLeft w:val="0"/>
      <w:marRight w:val="0"/>
      <w:marTop w:val="0"/>
      <w:marBottom w:val="0"/>
      <w:divBdr>
        <w:top w:val="none" w:sz="0" w:space="0" w:color="auto"/>
        <w:left w:val="none" w:sz="0" w:space="0" w:color="auto"/>
        <w:bottom w:val="none" w:sz="0" w:space="0" w:color="auto"/>
        <w:right w:val="none" w:sz="0" w:space="0" w:color="auto"/>
      </w:divBdr>
    </w:div>
    <w:div w:id="13385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20</TotalTime>
  <Pages>8</Pages>
  <Words>2008</Words>
  <Characters>13671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2023101219 mt</dc:description>
  <cp:lastModifiedBy>Hanne Thy Iversen</cp:lastModifiedBy>
  <cp:revision>12</cp:revision>
  <cp:lastPrinted>2012-08-22T08:53:00Z</cp:lastPrinted>
  <dcterms:created xsi:type="dcterms:W3CDTF">2024-10-02T13:13:00Z</dcterms:created>
  <dcterms:modified xsi:type="dcterms:W3CDTF">2024-10-03T09:23:00Z</dcterms:modified>
</cp:coreProperties>
</file>