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13854" w14:textId="77777777" w:rsidR="009260DE" w:rsidRPr="00552FD4" w:rsidRDefault="0021526C" w:rsidP="009260DE">
      <w:pPr>
        <w:rPr>
          <w:sz w:val="24"/>
          <w:szCs w:val="24"/>
        </w:rPr>
      </w:pPr>
      <w:bookmarkStart w:id="0" w:name="_GoBack"/>
      <w:bookmarkEnd w:id="0"/>
      <w:r w:rsidRPr="00552FD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A60594A" wp14:editId="3D4E592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552FD4">
        <w:rPr>
          <w:sz w:val="24"/>
          <w:szCs w:val="24"/>
        </w:rPr>
        <w:br w:type="textWrapping" w:clear="all"/>
      </w:r>
    </w:p>
    <w:p w14:paraId="4F5992D8" w14:textId="1B8D03B5" w:rsidR="009260DE" w:rsidRPr="00552FD4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552FD4">
        <w:rPr>
          <w:b w:val="0"/>
          <w:szCs w:val="24"/>
          <w:lang w:eastAsia="en-US"/>
        </w:rPr>
        <w:tab/>
      </w:r>
      <w:r w:rsidR="0019716A">
        <w:rPr>
          <w:szCs w:val="24"/>
        </w:rPr>
        <w:t>24. september 2024</w:t>
      </w:r>
    </w:p>
    <w:p w14:paraId="3A635005" w14:textId="77777777" w:rsidR="009260DE" w:rsidRPr="00552FD4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F01AAB5" w14:textId="77777777" w:rsidR="009260DE" w:rsidRPr="00552FD4" w:rsidRDefault="009260DE" w:rsidP="009260DE">
      <w:pPr>
        <w:pStyle w:val="Titel"/>
        <w:jc w:val="left"/>
        <w:rPr>
          <w:b w:val="0"/>
          <w:szCs w:val="24"/>
        </w:rPr>
      </w:pPr>
    </w:p>
    <w:p w14:paraId="4DFEA1E4" w14:textId="77777777" w:rsidR="009260DE" w:rsidRPr="00552FD4" w:rsidRDefault="009260DE" w:rsidP="009260DE">
      <w:pPr>
        <w:pStyle w:val="Titel"/>
        <w:jc w:val="left"/>
        <w:rPr>
          <w:b w:val="0"/>
          <w:szCs w:val="24"/>
        </w:rPr>
      </w:pPr>
    </w:p>
    <w:p w14:paraId="3C959440" w14:textId="77777777" w:rsidR="009260DE" w:rsidRPr="00552FD4" w:rsidRDefault="009260DE" w:rsidP="009260DE">
      <w:pPr>
        <w:jc w:val="center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PRODUKTRESUMÉ</w:t>
      </w:r>
    </w:p>
    <w:p w14:paraId="51652EB8" w14:textId="77777777" w:rsidR="009260DE" w:rsidRPr="00552FD4" w:rsidRDefault="009260DE" w:rsidP="009260DE">
      <w:pPr>
        <w:jc w:val="center"/>
        <w:rPr>
          <w:b/>
          <w:sz w:val="24"/>
          <w:szCs w:val="24"/>
        </w:rPr>
      </w:pPr>
    </w:p>
    <w:p w14:paraId="31BE3005" w14:textId="77777777" w:rsidR="009260DE" w:rsidRPr="00552FD4" w:rsidRDefault="009260DE" w:rsidP="009260DE">
      <w:pPr>
        <w:jc w:val="center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for</w:t>
      </w:r>
    </w:p>
    <w:p w14:paraId="68450E39" w14:textId="77777777" w:rsidR="000B058C" w:rsidRPr="00552FD4" w:rsidRDefault="000B058C" w:rsidP="009260DE">
      <w:pPr>
        <w:jc w:val="center"/>
        <w:rPr>
          <w:b/>
          <w:sz w:val="24"/>
          <w:szCs w:val="24"/>
        </w:rPr>
      </w:pPr>
    </w:p>
    <w:p w14:paraId="3C3F9BD1" w14:textId="2EEF61CA" w:rsidR="009260DE" w:rsidRPr="00552FD4" w:rsidRDefault="008059E5" w:rsidP="009260DE">
      <w:pPr>
        <w:jc w:val="center"/>
        <w:rPr>
          <w:b/>
          <w:sz w:val="24"/>
          <w:szCs w:val="24"/>
        </w:rPr>
      </w:pPr>
      <w:proofErr w:type="spellStart"/>
      <w:r w:rsidRPr="00552FD4">
        <w:rPr>
          <w:b/>
          <w:sz w:val="24"/>
          <w:szCs w:val="24"/>
        </w:rPr>
        <w:t>Tamsuvilla</w:t>
      </w:r>
      <w:proofErr w:type="spellEnd"/>
      <w:r w:rsidRPr="00552FD4">
        <w:rPr>
          <w:b/>
          <w:sz w:val="24"/>
          <w:szCs w:val="24"/>
        </w:rPr>
        <w:t>, hårde kapsler med modificeret udløsning</w:t>
      </w:r>
    </w:p>
    <w:p w14:paraId="6F49651C" w14:textId="77777777" w:rsidR="009260DE" w:rsidRPr="00552FD4" w:rsidRDefault="009260DE" w:rsidP="009260DE">
      <w:pPr>
        <w:jc w:val="both"/>
        <w:rPr>
          <w:sz w:val="24"/>
          <w:szCs w:val="24"/>
        </w:rPr>
      </w:pPr>
    </w:p>
    <w:p w14:paraId="6DB8C83F" w14:textId="77777777" w:rsidR="009260DE" w:rsidRPr="00552FD4" w:rsidRDefault="009260DE" w:rsidP="009260DE">
      <w:pPr>
        <w:jc w:val="both"/>
        <w:rPr>
          <w:sz w:val="24"/>
          <w:szCs w:val="24"/>
        </w:rPr>
      </w:pPr>
    </w:p>
    <w:p w14:paraId="64E71A70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0.</w:t>
      </w:r>
      <w:r w:rsidRPr="00552FD4">
        <w:rPr>
          <w:b/>
          <w:sz w:val="24"/>
          <w:szCs w:val="24"/>
        </w:rPr>
        <w:tab/>
        <w:t>D.SP.NR.</w:t>
      </w:r>
    </w:p>
    <w:p w14:paraId="10EE16C7" w14:textId="028F2AC4" w:rsidR="009260DE" w:rsidRPr="00552FD4" w:rsidRDefault="008059E5" w:rsidP="009260DE">
      <w:pPr>
        <w:tabs>
          <w:tab w:val="left" w:pos="851"/>
        </w:tabs>
        <w:ind w:left="851"/>
        <w:rPr>
          <w:sz w:val="24"/>
          <w:szCs w:val="24"/>
        </w:rPr>
      </w:pPr>
      <w:r w:rsidRPr="00552FD4">
        <w:rPr>
          <w:sz w:val="24"/>
          <w:szCs w:val="24"/>
        </w:rPr>
        <w:t>33663</w:t>
      </w:r>
    </w:p>
    <w:p w14:paraId="18EC8CD6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E3BE97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1.</w:t>
      </w:r>
      <w:r w:rsidRPr="00552FD4">
        <w:rPr>
          <w:b/>
          <w:sz w:val="24"/>
          <w:szCs w:val="24"/>
        </w:rPr>
        <w:tab/>
        <w:t>LÆGEMIDLETS NAVN</w:t>
      </w:r>
    </w:p>
    <w:p w14:paraId="4D138052" w14:textId="5D8D307F" w:rsidR="009260DE" w:rsidRPr="00552FD4" w:rsidRDefault="008059E5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Tamsuvilla</w:t>
      </w:r>
      <w:proofErr w:type="spellEnd"/>
    </w:p>
    <w:p w14:paraId="002E9EFD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95F12E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2.</w:t>
      </w:r>
      <w:r w:rsidRPr="00552FD4">
        <w:rPr>
          <w:b/>
          <w:sz w:val="24"/>
          <w:szCs w:val="24"/>
        </w:rPr>
        <w:tab/>
        <w:t>KVALITATIV OG KVANTITATIV SAMMENSÆTNING</w:t>
      </w:r>
    </w:p>
    <w:p w14:paraId="5BC33D1E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Hver kapsel indeholder 0,4 mg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>.</w:t>
      </w:r>
    </w:p>
    <w:p w14:paraId="6C0C96F1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3A078833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Alle hjælpestoffer er anført under pkt. 6.1.</w:t>
      </w:r>
    </w:p>
    <w:p w14:paraId="6423D78A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10B28E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3.</w:t>
      </w:r>
      <w:r w:rsidRPr="00552FD4">
        <w:rPr>
          <w:b/>
          <w:sz w:val="24"/>
          <w:szCs w:val="24"/>
        </w:rPr>
        <w:tab/>
        <w:t>LÆGEMIDDELFORM</w:t>
      </w:r>
    </w:p>
    <w:p w14:paraId="24FD4D6E" w14:textId="36FACA4E" w:rsidR="00230EA3" w:rsidRPr="00552FD4" w:rsidRDefault="00552FD4" w:rsidP="00BE11FC">
      <w:pPr>
        <w:ind w:left="851"/>
        <w:rPr>
          <w:sz w:val="24"/>
          <w:szCs w:val="24"/>
        </w:rPr>
      </w:pPr>
      <w:r>
        <w:rPr>
          <w:sz w:val="24"/>
          <w:szCs w:val="24"/>
        </w:rPr>
        <w:t>Hårde k</w:t>
      </w:r>
      <w:r w:rsidR="00230EA3" w:rsidRPr="00552FD4">
        <w:rPr>
          <w:sz w:val="24"/>
          <w:szCs w:val="24"/>
        </w:rPr>
        <w:t>aps</w:t>
      </w:r>
      <w:r>
        <w:rPr>
          <w:sz w:val="24"/>
          <w:szCs w:val="24"/>
        </w:rPr>
        <w:t>ler</w:t>
      </w:r>
      <w:r w:rsidR="00230EA3" w:rsidRPr="00552FD4">
        <w:rPr>
          <w:sz w:val="24"/>
          <w:szCs w:val="24"/>
        </w:rPr>
        <w:t xml:space="preserve"> med modificeret udløsning</w:t>
      </w:r>
    </w:p>
    <w:p w14:paraId="24903A59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De hårde kapsler er ca. 15,6-16,2 mm, når de er lukkede, uigennemsigtige med orange krop og olivengrøn hætte.</w:t>
      </w:r>
    </w:p>
    <w:p w14:paraId="773360A2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0F1CB8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CD67AF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</w:t>
      </w:r>
      <w:r w:rsidRPr="00552FD4">
        <w:rPr>
          <w:b/>
          <w:sz w:val="24"/>
          <w:szCs w:val="24"/>
        </w:rPr>
        <w:tab/>
        <w:t>KLINISKE OPLYSNINGER</w:t>
      </w:r>
    </w:p>
    <w:p w14:paraId="1A0F57D4" w14:textId="77777777" w:rsidR="009260DE" w:rsidRPr="00552FD4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9A91CC8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52FD4">
        <w:rPr>
          <w:b/>
          <w:sz w:val="24"/>
          <w:szCs w:val="24"/>
        </w:rPr>
        <w:t>4.1</w:t>
      </w:r>
      <w:r w:rsidRPr="00552FD4">
        <w:rPr>
          <w:b/>
          <w:sz w:val="24"/>
          <w:szCs w:val="24"/>
        </w:rPr>
        <w:tab/>
        <w:t>Terapeutiske indikationer</w:t>
      </w:r>
    </w:p>
    <w:p w14:paraId="1ED4C931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Nedre urinvejssymptomer (LUTS, </w:t>
      </w:r>
      <w:proofErr w:type="spellStart"/>
      <w:r w:rsidRPr="00552FD4">
        <w:rPr>
          <w:i/>
          <w:iCs/>
          <w:sz w:val="24"/>
          <w:szCs w:val="24"/>
        </w:rPr>
        <w:t>Lower</w:t>
      </w:r>
      <w:proofErr w:type="spellEnd"/>
      <w:r w:rsidRPr="00552FD4">
        <w:rPr>
          <w:i/>
          <w:iCs/>
          <w:sz w:val="24"/>
          <w:szCs w:val="24"/>
        </w:rPr>
        <w:t xml:space="preserve"> </w:t>
      </w:r>
      <w:proofErr w:type="spellStart"/>
      <w:r w:rsidRPr="00552FD4">
        <w:rPr>
          <w:i/>
          <w:iCs/>
          <w:sz w:val="24"/>
          <w:szCs w:val="24"/>
        </w:rPr>
        <w:t>Urinary</w:t>
      </w:r>
      <w:proofErr w:type="spellEnd"/>
      <w:r w:rsidRPr="00552FD4">
        <w:rPr>
          <w:i/>
          <w:iCs/>
          <w:sz w:val="24"/>
          <w:szCs w:val="24"/>
        </w:rPr>
        <w:t xml:space="preserve"> </w:t>
      </w:r>
      <w:proofErr w:type="spellStart"/>
      <w:r w:rsidRPr="00552FD4">
        <w:rPr>
          <w:i/>
          <w:iCs/>
          <w:sz w:val="24"/>
          <w:szCs w:val="24"/>
        </w:rPr>
        <w:t>Tract</w:t>
      </w:r>
      <w:proofErr w:type="spellEnd"/>
      <w:r w:rsidRPr="00552FD4">
        <w:rPr>
          <w:i/>
          <w:iCs/>
          <w:sz w:val="24"/>
          <w:szCs w:val="24"/>
        </w:rPr>
        <w:t xml:space="preserve"> Symptoms</w:t>
      </w:r>
      <w:r w:rsidRPr="00552FD4">
        <w:rPr>
          <w:sz w:val="24"/>
          <w:szCs w:val="24"/>
        </w:rPr>
        <w:t xml:space="preserve">) associeret med benign </w:t>
      </w:r>
      <w:proofErr w:type="spellStart"/>
      <w:r w:rsidRPr="00552FD4">
        <w:rPr>
          <w:sz w:val="24"/>
          <w:szCs w:val="24"/>
        </w:rPr>
        <w:t>prostatahyperplasi</w:t>
      </w:r>
      <w:proofErr w:type="spellEnd"/>
      <w:r w:rsidRPr="00552FD4">
        <w:rPr>
          <w:sz w:val="24"/>
          <w:szCs w:val="24"/>
        </w:rPr>
        <w:t xml:space="preserve"> (BPH).</w:t>
      </w:r>
    </w:p>
    <w:p w14:paraId="7A162B3E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85E634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4.2</w:t>
      </w:r>
      <w:r w:rsidRPr="00552FD4">
        <w:rPr>
          <w:b/>
          <w:sz w:val="24"/>
          <w:szCs w:val="24"/>
        </w:rPr>
        <w:tab/>
        <w:t xml:space="preserve">Dosering og </w:t>
      </w:r>
      <w:r w:rsidR="002C1EC0" w:rsidRPr="00552FD4">
        <w:rPr>
          <w:b/>
          <w:sz w:val="24"/>
          <w:szCs w:val="24"/>
        </w:rPr>
        <w:t>administration</w:t>
      </w:r>
    </w:p>
    <w:p w14:paraId="1D6AC435" w14:textId="77777777" w:rsidR="00552FD4" w:rsidRDefault="00552FD4" w:rsidP="00BE11FC">
      <w:pPr>
        <w:ind w:left="851"/>
        <w:rPr>
          <w:sz w:val="24"/>
          <w:szCs w:val="24"/>
        </w:rPr>
      </w:pPr>
    </w:p>
    <w:p w14:paraId="44FF9CD0" w14:textId="4E2FDE2A" w:rsidR="00230EA3" w:rsidRPr="00552FD4" w:rsidRDefault="00230EA3" w:rsidP="00BE11FC">
      <w:pPr>
        <w:ind w:left="851"/>
        <w:rPr>
          <w:sz w:val="24"/>
          <w:szCs w:val="24"/>
          <w:u w:val="single"/>
        </w:rPr>
      </w:pPr>
      <w:r w:rsidRPr="00552FD4">
        <w:rPr>
          <w:sz w:val="24"/>
          <w:szCs w:val="24"/>
          <w:u w:val="single"/>
        </w:rPr>
        <w:t>Dosering</w:t>
      </w:r>
    </w:p>
    <w:p w14:paraId="1D2FA9FC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Én kapsel dagligt efter morgenmaden eller efter dagens første måltid.</w:t>
      </w:r>
    </w:p>
    <w:p w14:paraId="4898FAE5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Dosisjustering er ikke påkrævet hos patienter med nedsat nyrefunktion. Dosisjustering er ikke påkrævet hos patienter med let til moderat leverinsufficiens (se også pkt. 4.3).</w:t>
      </w:r>
    </w:p>
    <w:p w14:paraId="2FDDEE92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70162689" w14:textId="77777777" w:rsidR="00230EA3" w:rsidRPr="00552FD4" w:rsidRDefault="00230EA3" w:rsidP="00BE11FC">
      <w:pPr>
        <w:ind w:left="851"/>
        <w:rPr>
          <w:i/>
          <w:iCs/>
          <w:sz w:val="24"/>
          <w:szCs w:val="24"/>
        </w:rPr>
      </w:pPr>
      <w:r w:rsidRPr="00552FD4">
        <w:rPr>
          <w:i/>
          <w:iCs/>
          <w:sz w:val="24"/>
          <w:szCs w:val="24"/>
        </w:rPr>
        <w:t>Pædiatrisk population</w:t>
      </w:r>
    </w:p>
    <w:p w14:paraId="1CD14B42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Der er ingen relevant indikation for brug af </w:t>
      </w:r>
      <w:proofErr w:type="spellStart"/>
      <w:r w:rsidRPr="00552FD4">
        <w:rPr>
          <w:sz w:val="24"/>
          <w:szCs w:val="24"/>
        </w:rPr>
        <w:t>Tamsuvilla</w:t>
      </w:r>
      <w:proofErr w:type="spellEnd"/>
      <w:r w:rsidRPr="00552FD4">
        <w:rPr>
          <w:sz w:val="24"/>
          <w:szCs w:val="24"/>
        </w:rPr>
        <w:t xml:space="preserve"> hos børn.</w:t>
      </w:r>
    </w:p>
    <w:p w14:paraId="2440F5A0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Tamsulosins</w:t>
      </w:r>
      <w:proofErr w:type="spellEnd"/>
      <w:r w:rsidRPr="00552FD4">
        <w:rPr>
          <w:sz w:val="24"/>
          <w:szCs w:val="24"/>
        </w:rPr>
        <w:t xml:space="preserve"> sikkerhed og virkning hos børn og unge &lt; 18 år er ikke fastlagt. Nuværende tilgængelige data er beskrevet i pkt. 5.1.</w:t>
      </w:r>
    </w:p>
    <w:p w14:paraId="6B1BBC03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2208A478" w14:textId="77777777" w:rsidR="00230EA3" w:rsidRPr="00552FD4" w:rsidRDefault="00230EA3" w:rsidP="00BE11FC">
      <w:pPr>
        <w:ind w:left="851"/>
        <w:rPr>
          <w:sz w:val="24"/>
          <w:szCs w:val="24"/>
          <w:u w:val="single"/>
        </w:rPr>
      </w:pPr>
      <w:r w:rsidRPr="00552FD4">
        <w:rPr>
          <w:sz w:val="24"/>
          <w:szCs w:val="24"/>
          <w:u w:val="single"/>
        </w:rPr>
        <w:lastRenderedPageBreak/>
        <w:t>Administration</w:t>
      </w:r>
    </w:p>
    <w:p w14:paraId="409A604B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Oral anvendelse.</w:t>
      </w:r>
    </w:p>
    <w:p w14:paraId="7D6CE8C5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562AD15D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Kapslen skal sluges hel og må ikke knuses eller tygges, da dette kan påvirke den langtidsvirkende frigivelse af det aktive stof.</w:t>
      </w:r>
    </w:p>
    <w:p w14:paraId="585FF10D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AF62B3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4.3</w:t>
      </w:r>
      <w:r w:rsidRPr="00552FD4">
        <w:rPr>
          <w:b/>
          <w:sz w:val="24"/>
          <w:szCs w:val="24"/>
        </w:rPr>
        <w:tab/>
        <w:t>Kontraindikationer</w:t>
      </w:r>
    </w:p>
    <w:p w14:paraId="04FC027D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Overfølsomhed over for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, herunder lægemiddelinduceret </w:t>
      </w:r>
      <w:proofErr w:type="spellStart"/>
      <w:r w:rsidRPr="00552FD4">
        <w:rPr>
          <w:sz w:val="24"/>
          <w:szCs w:val="24"/>
        </w:rPr>
        <w:t>angioødem</w:t>
      </w:r>
      <w:proofErr w:type="spellEnd"/>
      <w:r w:rsidRPr="00552FD4">
        <w:rPr>
          <w:sz w:val="24"/>
          <w:szCs w:val="24"/>
        </w:rPr>
        <w:t>, eller over for et eller flere af hjælpestofferne anført i pkt. 6.1.</w:t>
      </w:r>
    </w:p>
    <w:p w14:paraId="52F82C7B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Ortostatisk</w:t>
      </w:r>
      <w:proofErr w:type="spellEnd"/>
      <w:r w:rsidRPr="00552FD4">
        <w:rPr>
          <w:sz w:val="24"/>
          <w:szCs w:val="24"/>
        </w:rPr>
        <w:t xml:space="preserve"> hypotension i anamnesen.</w:t>
      </w:r>
    </w:p>
    <w:p w14:paraId="15CF57EF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Svær leverinsufficiens.</w:t>
      </w:r>
    </w:p>
    <w:p w14:paraId="4F9FA599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A0B427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4.4</w:t>
      </w:r>
      <w:r w:rsidRPr="00552FD4">
        <w:rPr>
          <w:b/>
          <w:sz w:val="24"/>
          <w:szCs w:val="24"/>
        </w:rPr>
        <w:tab/>
        <w:t>Særlige advarsler og forsigtighedsregler vedrørende brugen</w:t>
      </w:r>
    </w:p>
    <w:p w14:paraId="13F1FBB8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Som for andre α1-adrenoreceptor-antagonister kan anvendelsen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 nedsætte blodtrykket hos nogle personer, hvilket i sjældne tilfælde kan forårsage synkope. Ved de første tegn på </w:t>
      </w:r>
      <w:proofErr w:type="spellStart"/>
      <w:r w:rsidRPr="00552FD4">
        <w:rPr>
          <w:sz w:val="24"/>
          <w:szCs w:val="24"/>
        </w:rPr>
        <w:t>ortostatisk</w:t>
      </w:r>
      <w:proofErr w:type="spellEnd"/>
      <w:r w:rsidRPr="00552FD4">
        <w:rPr>
          <w:sz w:val="24"/>
          <w:szCs w:val="24"/>
        </w:rPr>
        <w:t xml:space="preserve"> hypotension (svimmelhed, svaghed), bør patienten sidde eller ligge ned, indtil symptomerne er forsvundet.</w:t>
      </w:r>
    </w:p>
    <w:p w14:paraId="45527FF6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0903CA1A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Før behandlingen med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 initieres, skal patienten undersøges for at udelukke andre sygdomme, der kan have samme symptomer som benign prostatahypertrofi. Der bør udføres </w:t>
      </w:r>
      <w:proofErr w:type="spellStart"/>
      <w:r w:rsidRPr="00552FD4">
        <w:rPr>
          <w:sz w:val="24"/>
          <w:szCs w:val="24"/>
        </w:rPr>
        <w:t>rektaleksploration</w:t>
      </w:r>
      <w:proofErr w:type="spellEnd"/>
      <w:r w:rsidRPr="00552FD4">
        <w:rPr>
          <w:sz w:val="24"/>
          <w:szCs w:val="24"/>
        </w:rPr>
        <w:t xml:space="preserve"> og, om nødvendigt, bestemmelse af prostataspecifikt antigen (PSA) før behandling og derefter med regelmæssige intervaller under behandlingen.</w:t>
      </w:r>
    </w:p>
    <w:p w14:paraId="716CF0BA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7B5C12FE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Behandling af patienter med svært nedsat nyrefunktion (</w:t>
      </w:r>
      <w:proofErr w:type="spellStart"/>
      <w:r w:rsidRPr="00552FD4">
        <w:rPr>
          <w:sz w:val="24"/>
          <w:szCs w:val="24"/>
        </w:rPr>
        <w:t>kreatininclearance</w:t>
      </w:r>
      <w:proofErr w:type="spellEnd"/>
      <w:r w:rsidRPr="00552FD4">
        <w:rPr>
          <w:sz w:val="24"/>
          <w:szCs w:val="24"/>
        </w:rPr>
        <w:t xml:space="preserve"> på &lt; 10 ml/min) bør foregå med forsigtighed, da denne patientgruppe ikke er blevet undersøgt.</w:t>
      </w:r>
    </w:p>
    <w:p w14:paraId="16518B31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5155A673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i/>
          <w:iCs/>
          <w:sz w:val="24"/>
          <w:szCs w:val="24"/>
        </w:rPr>
        <w:t xml:space="preserve">Intraoperative </w:t>
      </w:r>
      <w:proofErr w:type="spellStart"/>
      <w:r w:rsidRPr="00552FD4">
        <w:rPr>
          <w:i/>
          <w:iCs/>
          <w:sz w:val="24"/>
          <w:szCs w:val="24"/>
        </w:rPr>
        <w:t>Floppy</w:t>
      </w:r>
      <w:proofErr w:type="spellEnd"/>
      <w:r w:rsidRPr="00552FD4">
        <w:rPr>
          <w:i/>
          <w:iCs/>
          <w:sz w:val="24"/>
          <w:szCs w:val="24"/>
        </w:rPr>
        <w:t xml:space="preserve"> Iris </w:t>
      </w:r>
      <w:proofErr w:type="spellStart"/>
      <w:r w:rsidRPr="00552FD4">
        <w:rPr>
          <w:i/>
          <w:iCs/>
          <w:sz w:val="24"/>
          <w:szCs w:val="24"/>
        </w:rPr>
        <w:t>Syndrome</w:t>
      </w:r>
      <w:proofErr w:type="spellEnd"/>
      <w:r w:rsidRPr="00552FD4">
        <w:rPr>
          <w:sz w:val="24"/>
          <w:szCs w:val="24"/>
        </w:rPr>
        <w:t xml:space="preserve"> (IFIS, en variant af lille pupil syndrom) er blevet observeret hos visse patienter ved operation for grå stær, hvis de behandles eller tidligere er blevet behandlet med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>. IFIS kan øge risikoen for øjenkomplikationerne under og efter operationen.</w:t>
      </w:r>
    </w:p>
    <w:p w14:paraId="5DDF66D6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Seponering</w:t>
      </w:r>
      <w:proofErr w:type="spellEnd"/>
      <w:r w:rsidRPr="00552FD4">
        <w:rPr>
          <w:sz w:val="24"/>
          <w:szCs w:val="24"/>
        </w:rPr>
        <w:t xml:space="preserve"> af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1-2 uger før operation for grå stær har anekdotisk vist sig at være nyttigt, men fordelen ved </w:t>
      </w:r>
      <w:proofErr w:type="spellStart"/>
      <w:r w:rsidRPr="00552FD4">
        <w:rPr>
          <w:sz w:val="24"/>
          <w:szCs w:val="24"/>
        </w:rPr>
        <w:t>seponering</w:t>
      </w:r>
      <w:proofErr w:type="spellEnd"/>
      <w:r w:rsidRPr="00552FD4">
        <w:rPr>
          <w:sz w:val="24"/>
          <w:szCs w:val="24"/>
        </w:rPr>
        <w:t xml:space="preserve"> af behandlingen er endnu ikke klarlagt. IFIS er også observeret hos patienter, hvor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har været seponeret i en længere periode før operationen for grå stær.</w:t>
      </w:r>
    </w:p>
    <w:p w14:paraId="5E791082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Initiering af behandling med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hos patienter, hvor operation for grå stær er planlagt, frarådes. Ved forundersøgelsen til operationen bør kirurgen og det </w:t>
      </w:r>
      <w:proofErr w:type="spellStart"/>
      <w:r w:rsidRPr="00552FD4">
        <w:rPr>
          <w:sz w:val="24"/>
          <w:szCs w:val="24"/>
        </w:rPr>
        <w:t>optalmologiske</w:t>
      </w:r>
      <w:proofErr w:type="spellEnd"/>
      <w:r w:rsidRPr="00552FD4">
        <w:rPr>
          <w:sz w:val="24"/>
          <w:szCs w:val="24"/>
        </w:rPr>
        <w:t xml:space="preserve"> team tage hensyn til, om patienten, som skal opereres for grå stær, er i behandling eller har været i behandling med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>, således at der kan træffes de rette foranstaltninger til at håndtere IFIS under operationen.</w:t>
      </w:r>
    </w:p>
    <w:p w14:paraId="657B333A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42691668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bør ikke anvendes i kombination med stærke CYP3A4-hæmmere hos patienter med langsom metabolisme af CYP2D6-fænotype.</w:t>
      </w:r>
    </w:p>
    <w:p w14:paraId="548D618E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4EE47341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bør anvendes med forsigtighed i kombination med stærke og moderate CYP3A4-hæmmere (se pkt. 4.5).</w:t>
      </w:r>
    </w:p>
    <w:p w14:paraId="2D1381E8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6B5A26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4.5</w:t>
      </w:r>
      <w:r w:rsidRPr="00552FD4">
        <w:rPr>
          <w:b/>
          <w:sz w:val="24"/>
          <w:szCs w:val="24"/>
        </w:rPr>
        <w:tab/>
        <w:t>Interaktion med andre lægemidler og andre former for interaktion</w:t>
      </w:r>
    </w:p>
    <w:p w14:paraId="4ABE170B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Interaktionsstudier er kun udført hos voksne.</w:t>
      </w:r>
    </w:p>
    <w:p w14:paraId="7986CC98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4363EDFC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lastRenderedPageBreak/>
        <w:t xml:space="preserve">Der er ikke observeret interaktioner, når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gives sammen med </w:t>
      </w:r>
      <w:proofErr w:type="spellStart"/>
      <w:r w:rsidRPr="00552FD4">
        <w:rPr>
          <w:sz w:val="24"/>
          <w:szCs w:val="24"/>
        </w:rPr>
        <w:t>atenolol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enalapril</w:t>
      </w:r>
      <w:proofErr w:type="spellEnd"/>
      <w:r w:rsidRPr="00552FD4">
        <w:rPr>
          <w:sz w:val="24"/>
          <w:szCs w:val="24"/>
        </w:rPr>
        <w:t xml:space="preserve"> eller </w:t>
      </w:r>
      <w:proofErr w:type="spellStart"/>
      <w:r w:rsidRPr="00552FD4">
        <w:rPr>
          <w:sz w:val="24"/>
          <w:szCs w:val="24"/>
        </w:rPr>
        <w:t>theophyllin</w:t>
      </w:r>
      <w:proofErr w:type="spellEnd"/>
      <w:r w:rsidRPr="00552FD4">
        <w:rPr>
          <w:sz w:val="24"/>
          <w:szCs w:val="24"/>
        </w:rPr>
        <w:t xml:space="preserve">. Sammen med </w:t>
      </w:r>
      <w:proofErr w:type="spellStart"/>
      <w:r w:rsidRPr="00552FD4">
        <w:rPr>
          <w:sz w:val="24"/>
          <w:szCs w:val="24"/>
        </w:rPr>
        <w:t>cimetidin</w:t>
      </w:r>
      <w:proofErr w:type="spellEnd"/>
      <w:r w:rsidRPr="00552FD4">
        <w:rPr>
          <w:sz w:val="24"/>
          <w:szCs w:val="24"/>
        </w:rPr>
        <w:t xml:space="preserve"> stiger plasmaniveauet for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, og sammen med </w:t>
      </w:r>
      <w:proofErr w:type="spellStart"/>
      <w:r w:rsidRPr="00552FD4">
        <w:rPr>
          <w:sz w:val="24"/>
          <w:szCs w:val="24"/>
        </w:rPr>
        <w:t>furosemid</w:t>
      </w:r>
      <w:proofErr w:type="spellEnd"/>
      <w:r w:rsidRPr="00552FD4">
        <w:rPr>
          <w:sz w:val="24"/>
          <w:szCs w:val="24"/>
        </w:rPr>
        <w:t xml:space="preserve"> falder plasmaniveauet. Det er dog ikke nødvendigt at ændre doseringen, da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bliver inden for det normale område.</w:t>
      </w:r>
    </w:p>
    <w:p w14:paraId="6BADC5AB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04852B42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Hverken </w:t>
      </w:r>
      <w:proofErr w:type="spellStart"/>
      <w:r w:rsidRPr="00552FD4">
        <w:rPr>
          <w:sz w:val="24"/>
          <w:szCs w:val="24"/>
        </w:rPr>
        <w:t>diazepam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propranolol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trichlormethiazid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chlormadinon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amitriptylin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diclofenac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glibenclamid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simvastatin</w:t>
      </w:r>
      <w:proofErr w:type="spellEnd"/>
      <w:r w:rsidRPr="00552FD4">
        <w:rPr>
          <w:sz w:val="24"/>
          <w:szCs w:val="24"/>
        </w:rPr>
        <w:t xml:space="preserve"> eller </w:t>
      </w:r>
      <w:proofErr w:type="spellStart"/>
      <w:r w:rsidRPr="00552FD4">
        <w:rPr>
          <w:sz w:val="24"/>
          <w:szCs w:val="24"/>
        </w:rPr>
        <w:t>warfarin</w:t>
      </w:r>
      <w:proofErr w:type="spellEnd"/>
      <w:r w:rsidRPr="00552FD4">
        <w:rPr>
          <w:sz w:val="24"/>
          <w:szCs w:val="24"/>
        </w:rPr>
        <w:t xml:space="preserve"> ændrer den frie fraktion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i </w:t>
      </w:r>
      <w:proofErr w:type="gramStart"/>
      <w:r w:rsidRPr="00552FD4">
        <w:rPr>
          <w:sz w:val="24"/>
          <w:szCs w:val="24"/>
        </w:rPr>
        <w:t>human plasma</w:t>
      </w:r>
      <w:proofErr w:type="gramEnd"/>
      <w:r w:rsidRPr="00552FD4">
        <w:rPr>
          <w:sz w:val="24"/>
          <w:szCs w:val="24"/>
        </w:rPr>
        <w:t xml:space="preserve"> </w:t>
      </w:r>
      <w:r w:rsidRPr="00552FD4">
        <w:rPr>
          <w:i/>
          <w:iCs/>
          <w:sz w:val="24"/>
          <w:szCs w:val="24"/>
        </w:rPr>
        <w:t>in </w:t>
      </w:r>
      <w:proofErr w:type="spellStart"/>
      <w:r w:rsidRPr="00552FD4">
        <w:rPr>
          <w:i/>
          <w:iCs/>
          <w:sz w:val="24"/>
          <w:szCs w:val="24"/>
        </w:rPr>
        <w:t>vitro</w:t>
      </w:r>
      <w:proofErr w:type="spellEnd"/>
      <w:r w:rsidRPr="00552FD4">
        <w:rPr>
          <w:sz w:val="24"/>
          <w:szCs w:val="24"/>
        </w:rPr>
        <w:t xml:space="preserve">.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ændrer heller ikke de frie fraktioner af </w:t>
      </w:r>
      <w:proofErr w:type="spellStart"/>
      <w:r w:rsidRPr="00552FD4">
        <w:rPr>
          <w:sz w:val="24"/>
          <w:szCs w:val="24"/>
        </w:rPr>
        <w:t>diazepam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propranolol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trichlormethiazid</w:t>
      </w:r>
      <w:proofErr w:type="spellEnd"/>
      <w:r w:rsidRPr="00552FD4">
        <w:rPr>
          <w:sz w:val="24"/>
          <w:szCs w:val="24"/>
        </w:rPr>
        <w:t xml:space="preserve"> og </w:t>
      </w:r>
      <w:proofErr w:type="spellStart"/>
      <w:r w:rsidRPr="00552FD4">
        <w:rPr>
          <w:sz w:val="24"/>
          <w:szCs w:val="24"/>
        </w:rPr>
        <w:t>chlormadinon</w:t>
      </w:r>
      <w:proofErr w:type="spellEnd"/>
      <w:r w:rsidRPr="00552FD4">
        <w:rPr>
          <w:sz w:val="24"/>
          <w:szCs w:val="24"/>
        </w:rPr>
        <w:t>.</w:t>
      </w:r>
    </w:p>
    <w:p w14:paraId="03D93974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Diclofenac</w:t>
      </w:r>
      <w:proofErr w:type="spellEnd"/>
      <w:r w:rsidRPr="00552FD4">
        <w:rPr>
          <w:sz w:val="24"/>
          <w:szCs w:val="24"/>
        </w:rPr>
        <w:t xml:space="preserve"> og </w:t>
      </w:r>
      <w:proofErr w:type="spellStart"/>
      <w:r w:rsidRPr="00552FD4">
        <w:rPr>
          <w:sz w:val="24"/>
          <w:szCs w:val="24"/>
        </w:rPr>
        <w:t>warfarin</w:t>
      </w:r>
      <w:proofErr w:type="spellEnd"/>
      <w:r w:rsidRPr="00552FD4">
        <w:rPr>
          <w:sz w:val="24"/>
          <w:szCs w:val="24"/>
        </w:rPr>
        <w:t xml:space="preserve"> kan dog øge eliminationshastigheden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>.</w:t>
      </w:r>
    </w:p>
    <w:p w14:paraId="3F7DCCA4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58207D94" w14:textId="4C8D8424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Samtidig administration af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og stærke CYP3A4-hæmmere kan føre til øget eksponering for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. Samtidig administration med </w:t>
      </w:r>
      <w:proofErr w:type="spellStart"/>
      <w:r w:rsidRPr="00552FD4">
        <w:rPr>
          <w:sz w:val="24"/>
          <w:szCs w:val="24"/>
        </w:rPr>
        <w:t>ketoconazol</w:t>
      </w:r>
      <w:proofErr w:type="spellEnd"/>
      <w:r w:rsidRPr="00552FD4">
        <w:rPr>
          <w:sz w:val="24"/>
          <w:szCs w:val="24"/>
        </w:rPr>
        <w:t xml:space="preserve"> (en kendt stærk CYP3A4-hæmmer) resulterede i øget AUC og </w:t>
      </w:r>
      <w:proofErr w:type="spellStart"/>
      <w:r w:rsidRPr="00552FD4">
        <w:rPr>
          <w:sz w:val="24"/>
          <w:szCs w:val="24"/>
        </w:rPr>
        <w:t>C</w:t>
      </w:r>
      <w:r w:rsidRPr="00552FD4">
        <w:rPr>
          <w:sz w:val="24"/>
          <w:szCs w:val="24"/>
          <w:vertAlign w:val="subscript"/>
        </w:rPr>
        <w:t>max</w:t>
      </w:r>
      <w:proofErr w:type="spellEnd"/>
      <w:r w:rsidRPr="00552FD4">
        <w:rPr>
          <w:sz w:val="24"/>
          <w:szCs w:val="24"/>
        </w:rPr>
        <w:t xml:space="preserve"> for </w:t>
      </w:r>
      <w:proofErr w:type="spellStart"/>
      <w:r w:rsidRPr="00552FD4">
        <w:rPr>
          <w:sz w:val="24"/>
          <w:szCs w:val="24"/>
        </w:rPr>
        <w:t>tamsulosin</w:t>
      </w:r>
      <w:r w:rsidR="001B2C86">
        <w:rPr>
          <w:sz w:val="24"/>
          <w:szCs w:val="24"/>
        </w:rPr>
        <w:softHyphen/>
      </w:r>
      <w:r w:rsidRPr="00552FD4">
        <w:rPr>
          <w:sz w:val="24"/>
          <w:szCs w:val="24"/>
        </w:rPr>
        <w:t>hydrochlorid</w:t>
      </w:r>
      <w:proofErr w:type="spellEnd"/>
      <w:r w:rsidRPr="00552FD4">
        <w:rPr>
          <w:sz w:val="24"/>
          <w:szCs w:val="24"/>
        </w:rPr>
        <w:t xml:space="preserve"> med henholdsvis faktor 2,8 og 2,2.</w:t>
      </w:r>
    </w:p>
    <w:p w14:paraId="717E73F9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bør ikke gives i kombination med stærke CYP3A4-hæmmere hos patienter med langsom metabolisme af CYP2D6-fænotype.</w:t>
      </w:r>
    </w:p>
    <w:p w14:paraId="1B34162A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384302BB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bør anvendes med forsigtighed i kombination med stærke og moderate CYP3A4-hæmmere.</w:t>
      </w:r>
    </w:p>
    <w:p w14:paraId="7DCC7F9F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2948DFBD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Samtidig administration af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og </w:t>
      </w:r>
      <w:proofErr w:type="spellStart"/>
      <w:r w:rsidRPr="00552FD4">
        <w:rPr>
          <w:sz w:val="24"/>
          <w:szCs w:val="24"/>
        </w:rPr>
        <w:t>paroxetin</w:t>
      </w:r>
      <w:proofErr w:type="spellEnd"/>
      <w:r w:rsidRPr="00552FD4">
        <w:rPr>
          <w:sz w:val="24"/>
          <w:szCs w:val="24"/>
        </w:rPr>
        <w:t xml:space="preserve">, som er en stærk CYP2D6-hæmmer, resulterede i, at </w:t>
      </w:r>
      <w:proofErr w:type="spellStart"/>
      <w:r w:rsidRPr="00552FD4">
        <w:rPr>
          <w:sz w:val="24"/>
          <w:szCs w:val="24"/>
        </w:rPr>
        <w:t>tamsulosins</w:t>
      </w:r>
      <w:proofErr w:type="spellEnd"/>
      <w:r w:rsidRPr="00552FD4">
        <w:rPr>
          <w:sz w:val="24"/>
          <w:szCs w:val="24"/>
        </w:rPr>
        <w:t xml:space="preserve"> </w:t>
      </w:r>
      <w:proofErr w:type="spellStart"/>
      <w:r w:rsidRPr="00552FD4">
        <w:rPr>
          <w:sz w:val="24"/>
          <w:szCs w:val="24"/>
        </w:rPr>
        <w:t>C</w:t>
      </w:r>
      <w:r w:rsidRPr="00552FD4">
        <w:rPr>
          <w:sz w:val="24"/>
          <w:szCs w:val="24"/>
          <w:vertAlign w:val="subscript"/>
        </w:rPr>
        <w:t>max</w:t>
      </w:r>
      <w:proofErr w:type="spellEnd"/>
      <w:r w:rsidRPr="00552FD4">
        <w:rPr>
          <w:sz w:val="24"/>
          <w:szCs w:val="24"/>
        </w:rPr>
        <w:t xml:space="preserve"> og AUC blev forøget med henholdsvis faktor 1,3 og 1,6, men disse stigninger betragtes ikke som klinisk relevante.</w:t>
      </w:r>
    </w:p>
    <w:p w14:paraId="6BBC1B91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2A7A7593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Samtidig administration af andre α1-adrenoreceptor-antagonister kan medføre </w:t>
      </w:r>
      <w:proofErr w:type="spellStart"/>
      <w:r w:rsidRPr="00552FD4">
        <w:rPr>
          <w:sz w:val="24"/>
          <w:szCs w:val="24"/>
        </w:rPr>
        <w:t>hypotensive</w:t>
      </w:r>
      <w:proofErr w:type="spellEnd"/>
      <w:r w:rsidRPr="00552FD4">
        <w:rPr>
          <w:sz w:val="24"/>
          <w:szCs w:val="24"/>
        </w:rPr>
        <w:t xml:space="preserve"> reaktioner.</w:t>
      </w:r>
    </w:p>
    <w:p w14:paraId="52391B52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DA01FC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4.6</w:t>
      </w:r>
      <w:r w:rsidRPr="00552FD4">
        <w:rPr>
          <w:b/>
          <w:sz w:val="24"/>
          <w:szCs w:val="24"/>
        </w:rPr>
        <w:tab/>
      </w:r>
      <w:r w:rsidR="0071241E" w:rsidRPr="00552FD4">
        <w:rPr>
          <w:b/>
          <w:sz w:val="24"/>
          <w:szCs w:val="24"/>
        </w:rPr>
        <w:t>Fertilitet, g</w:t>
      </w:r>
      <w:r w:rsidRPr="00552FD4">
        <w:rPr>
          <w:b/>
          <w:sz w:val="24"/>
          <w:szCs w:val="24"/>
        </w:rPr>
        <w:t>raviditet og amning</w:t>
      </w:r>
    </w:p>
    <w:p w14:paraId="268ECAB4" w14:textId="77777777" w:rsidR="00230EA3" w:rsidRPr="00552FD4" w:rsidRDefault="00230EA3" w:rsidP="00BE11FC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Tamsuvilla</w:t>
      </w:r>
      <w:proofErr w:type="spellEnd"/>
      <w:r w:rsidRPr="00552FD4">
        <w:rPr>
          <w:sz w:val="24"/>
          <w:szCs w:val="24"/>
        </w:rPr>
        <w:t xml:space="preserve"> er ikke indiceret til behandling af kvinder.</w:t>
      </w:r>
    </w:p>
    <w:p w14:paraId="4F033288" w14:textId="77777777" w:rsidR="00230EA3" w:rsidRPr="00552FD4" w:rsidRDefault="00230EA3" w:rsidP="00BE11FC">
      <w:pPr>
        <w:ind w:left="851"/>
        <w:rPr>
          <w:sz w:val="24"/>
          <w:szCs w:val="24"/>
        </w:rPr>
      </w:pPr>
    </w:p>
    <w:p w14:paraId="48B66EC3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Der er blevet observeret ejakulationslidelser ved brug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i kliniske studier af kort og lang varighed. Tilfælde af ejakulationslidelser, retrograd ejakulation og ejakulationssvigt er blevet rapporteret efter markedsføring.</w:t>
      </w:r>
    </w:p>
    <w:p w14:paraId="2D96B5F2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CEDA30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4.7</w:t>
      </w:r>
      <w:r w:rsidRPr="00552FD4">
        <w:rPr>
          <w:b/>
          <w:sz w:val="24"/>
          <w:szCs w:val="24"/>
        </w:rPr>
        <w:tab/>
        <w:t xml:space="preserve">Virkning på evnen til at føre motorkøretøj </w:t>
      </w:r>
      <w:r w:rsidR="0071241E" w:rsidRPr="00552FD4">
        <w:rPr>
          <w:b/>
          <w:sz w:val="24"/>
          <w:szCs w:val="24"/>
        </w:rPr>
        <w:t>og</w:t>
      </w:r>
      <w:r w:rsidRPr="00552FD4">
        <w:rPr>
          <w:b/>
          <w:sz w:val="24"/>
          <w:szCs w:val="24"/>
        </w:rPr>
        <w:t xml:space="preserve"> betjene maskiner</w:t>
      </w:r>
    </w:p>
    <w:p w14:paraId="782A995E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Ikke mærkning.</w:t>
      </w:r>
    </w:p>
    <w:p w14:paraId="154A9CD1" w14:textId="77777777" w:rsidR="00230EA3" w:rsidRPr="00552FD4" w:rsidRDefault="00230EA3" w:rsidP="00BE11FC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Der er ikke udført studier af påvirkningen på evnen til føre motorkøretøj og betjene maskiner. Patienter skal dog være opmærksomme på, at der kan opstå svimmelhed.</w:t>
      </w:r>
    </w:p>
    <w:p w14:paraId="73EDB413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224101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4.8</w:t>
      </w:r>
      <w:r w:rsidRPr="00552FD4">
        <w:rPr>
          <w:b/>
          <w:sz w:val="24"/>
          <w:szCs w:val="24"/>
        </w:rPr>
        <w:tab/>
        <w:t>Bivirkninger</w:t>
      </w:r>
    </w:p>
    <w:p w14:paraId="10AD82A6" w14:textId="77777777" w:rsidR="00230EA3" w:rsidRPr="00552FD4" w:rsidRDefault="00230EA3" w:rsidP="00230EA3">
      <w:pPr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839"/>
        <w:gridCol w:w="1479"/>
        <w:gridCol w:w="1481"/>
        <w:gridCol w:w="1413"/>
        <w:gridCol w:w="1334"/>
        <w:gridCol w:w="2082"/>
      </w:tblGrid>
      <w:tr w:rsidR="00230EA3" w:rsidRPr="00552FD4" w14:paraId="31569DF5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C3F6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Systemorgan</w:t>
            </w:r>
            <w:r w:rsidRPr="00552FD4">
              <w:rPr>
                <w:b/>
                <w:bCs/>
                <w:sz w:val="22"/>
                <w:szCs w:val="22"/>
                <w:lang w:val="da-DK"/>
              </w:rPr>
              <w:softHyphen/>
              <w:t>klasse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445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Almindelig</w:t>
            </w:r>
          </w:p>
          <w:p w14:paraId="2793974E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≥ 1/100, &lt; 1/10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55D0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Ikke almindelig</w:t>
            </w:r>
          </w:p>
          <w:p w14:paraId="4788FB88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≥ 1/1.000, &lt; 1/100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6A9E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Sjælden</w:t>
            </w:r>
          </w:p>
          <w:p w14:paraId="75D523E9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≥ 1/10.000, &lt; 1/1.000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8CDF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Meget sjælden</w:t>
            </w:r>
          </w:p>
          <w:p w14:paraId="115BF7CB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&lt; 10.000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E3BE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Ikke kendt (kan ikke estimeres ud fra forhåndenværende data)</w:t>
            </w:r>
          </w:p>
        </w:tc>
      </w:tr>
      <w:tr w:rsidR="00230EA3" w:rsidRPr="00552FD4" w14:paraId="2FF81A99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80BD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Nervesystemet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D077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Svimmelhed (1,3 %)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3E18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Hovedpine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8E5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Synkope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B6D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7451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</w:tr>
      <w:tr w:rsidR="00230EA3" w:rsidRPr="00552FD4" w14:paraId="4C6DD5C5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2AE2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Hjerte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0EFE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1FE3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Takykardi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 xml:space="preserve">, </w:t>
            </w:r>
            <w:proofErr w:type="spellStart"/>
            <w:r w:rsidRPr="00552FD4">
              <w:rPr>
                <w:sz w:val="22"/>
                <w:szCs w:val="22"/>
                <w:lang w:val="da-DK"/>
              </w:rPr>
              <w:t>palpitationer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372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E28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242F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</w:tr>
      <w:tr w:rsidR="00230EA3" w:rsidRPr="00552FD4" w14:paraId="7A0E01AA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D756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lastRenderedPageBreak/>
              <w:t>Øjne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BFE1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F912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BAE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A84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6EA8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Sløret syn*, nedsat syn*</w:t>
            </w:r>
          </w:p>
        </w:tc>
      </w:tr>
      <w:tr w:rsidR="00230EA3" w:rsidRPr="00552FD4" w14:paraId="29567D98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C069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b/>
                <w:bCs/>
                <w:sz w:val="22"/>
                <w:szCs w:val="22"/>
                <w:lang w:val="da-DK"/>
              </w:rPr>
              <w:t>Vaskulære</w:t>
            </w:r>
            <w:proofErr w:type="spellEnd"/>
            <w:r w:rsidRPr="00552FD4">
              <w:rPr>
                <w:b/>
                <w:bCs/>
                <w:sz w:val="22"/>
                <w:szCs w:val="22"/>
                <w:lang w:val="da-DK"/>
              </w:rPr>
              <w:t xml:space="preserve"> sygdomme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341E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30AC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Ortostatisk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 xml:space="preserve"> hypotension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527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2DDF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A2A5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</w:tr>
      <w:tr w:rsidR="00230EA3" w:rsidRPr="00552FD4" w14:paraId="33D64D75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E80A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 xml:space="preserve">Luftveje, thorax og </w:t>
            </w:r>
            <w:proofErr w:type="spellStart"/>
            <w:r w:rsidRPr="00552FD4">
              <w:rPr>
                <w:b/>
                <w:bCs/>
                <w:sz w:val="22"/>
                <w:szCs w:val="22"/>
                <w:lang w:val="da-DK"/>
              </w:rPr>
              <w:t>mediastinum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DD6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BB4A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Rhinitis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E9D5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9C6C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A171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Epistaxis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>*</w:t>
            </w:r>
          </w:p>
        </w:tc>
      </w:tr>
      <w:tr w:rsidR="00230EA3" w:rsidRPr="00552FD4" w14:paraId="4D447E58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6070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Mave-tarm-kanalen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D8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5D88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Forstoppelse, diarré, kvalme, opkastning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21B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7EA3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EB1C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Mundtørhed*</w:t>
            </w:r>
          </w:p>
        </w:tc>
      </w:tr>
      <w:tr w:rsidR="00230EA3" w:rsidRPr="00552FD4" w14:paraId="5E2591B4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C265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Hud og subkutane væv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106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EF8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 xml:space="preserve">Udslæt, </w:t>
            </w:r>
            <w:proofErr w:type="spellStart"/>
            <w:r w:rsidRPr="00552FD4">
              <w:rPr>
                <w:sz w:val="22"/>
                <w:szCs w:val="22"/>
                <w:lang w:val="da-DK"/>
              </w:rPr>
              <w:t>pruritus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 xml:space="preserve">, </w:t>
            </w:r>
            <w:proofErr w:type="spellStart"/>
            <w:r w:rsidRPr="00552FD4">
              <w:rPr>
                <w:sz w:val="22"/>
                <w:szCs w:val="22"/>
                <w:lang w:val="da-DK"/>
              </w:rPr>
              <w:t>urticaria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EE5A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Angioødem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A8B9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Stevens-Johnsons syndrom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7342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Erythema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 xml:space="preserve"> multiforme*, </w:t>
            </w:r>
            <w:proofErr w:type="spellStart"/>
            <w:r w:rsidRPr="00552FD4">
              <w:rPr>
                <w:sz w:val="22"/>
                <w:szCs w:val="22"/>
                <w:lang w:val="da-DK"/>
              </w:rPr>
              <w:t>eksfoliativ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 xml:space="preserve"> </w:t>
            </w:r>
            <w:proofErr w:type="spellStart"/>
            <w:r w:rsidRPr="00552FD4">
              <w:rPr>
                <w:sz w:val="22"/>
                <w:szCs w:val="22"/>
                <w:lang w:val="da-DK"/>
              </w:rPr>
              <w:t>dermatitis</w:t>
            </w:r>
            <w:proofErr w:type="spellEnd"/>
            <w:r w:rsidRPr="00552FD4">
              <w:rPr>
                <w:sz w:val="22"/>
                <w:szCs w:val="22"/>
                <w:lang w:val="da-DK"/>
              </w:rPr>
              <w:t>*</w:t>
            </w:r>
          </w:p>
        </w:tc>
      </w:tr>
      <w:tr w:rsidR="00230EA3" w:rsidRPr="00552FD4" w14:paraId="654F2A36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15A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Det reproduktive system og mammae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472B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Ejakulations</w:t>
            </w:r>
            <w:r w:rsidRPr="00552FD4">
              <w:rPr>
                <w:sz w:val="22"/>
                <w:szCs w:val="22"/>
                <w:lang w:val="da-DK"/>
              </w:rPr>
              <w:softHyphen/>
              <w:t>lidelser, herunder retrograd ejakulation og ejakulations</w:t>
            </w:r>
            <w:r w:rsidRPr="00552FD4">
              <w:rPr>
                <w:sz w:val="22"/>
                <w:szCs w:val="22"/>
                <w:lang w:val="da-DK"/>
              </w:rPr>
              <w:softHyphen/>
              <w:t>svigt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FE8E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7CC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5A7B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proofErr w:type="spellStart"/>
            <w:r w:rsidRPr="00552FD4">
              <w:rPr>
                <w:sz w:val="22"/>
                <w:szCs w:val="22"/>
                <w:lang w:val="da-DK"/>
              </w:rPr>
              <w:t>Priapisme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CB19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</w:tr>
      <w:tr w:rsidR="00230EA3" w:rsidRPr="00552FD4" w14:paraId="7A80968F" w14:textId="77777777" w:rsidTr="001B2C86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594C" w14:textId="77777777" w:rsidR="00230EA3" w:rsidRPr="00552FD4" w:rsidRDefault="00230EA3">
            <w:pPr>
              <w:rPr>
                <w:b/>
                <w:bCs/>
                <w:sz w:val="22"/>
                <w:szCs w:val="22"/>
                <w:lang w:val="da-DK"/>
              </w:rPr>
            </w:pPr>
            <w:r w:rsidRPr="00552FD4">
              <w:rPr>
                <w:b/>
                <w:bCs/>
                <w:sz w:val="22"/>
                <w:szCs w:val="22"/>
                <w:lang w:val="da-DK"/>
              </w:rPr>
              <w:t>Almene symptomer og reaktioner på administrations</w:t>
            </w:r>
            <w:r w:rsidRPr="00552FD4">
              <w:rPr>
                <w:b/>
                <w:bCs/>
                <w:sz w:val="22"/>
                <w:szCs w:val="22"/>
                <w:lang w:val="da-DK"/>
              </w:rPr>
              <w:softHyphen/>
              <w:t>stedet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FDD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785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  <w:r w:rsidRPr="00552FD4">
              <w:rPr>
                <w:sz w:val="22"/>
                <w:szCs w:val="22"/>
                <w:lang w:val="da-DK"/>
              </w:rPr>
              <w:t>Asteni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DB49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DA3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5FF1" w14:textId="77777777" w:rsidR="00230EA3" w:rsidRPr="00552FD4" w:rsidRDefault="00230EA3">
            <w:pPr>
              <w:rPr>
                <w:sz w:val="22"/>
                <w:szCs w:val="22"/>
                <w:lang w:val="da-DK"/>
              </w:rPr>
            </w:pPr>
          </w:p>
        </w:tc>
      </w:tr>
    </w:tbl>
    <w:p w14:paraId="321CEF73" w14:textId="77777777" w:rsidR="00230EA3" w:rsidRPr="00552FD4" w:rsidRDefault="00230EA3" w:rsidP="00230EA3">
      <w:pPr>
        <w:rPr>
          <w:sz w:val="24"/>
          <w:szCs w:val="24"/>
        </w:rPr>
      </w:pPr>
      <w:r w:rsidRPr="00552FD4">
        <w:rPr>
          <w:sz w:val="24"/>
          <w:szCs w:val="24"/>
        </w:rPr>
        <w:t>*observeret efter markedsføring</w:t>
      </w:r>
    </w:p>
    <w:p w14:paraId="1B1AE03A" w14:textId="77777777" w:rsidR="00230EA3" w:rsidRPr="00552FD4" w:rsidRDefault="00230EA3" w:rsidP="00230EA3">
      <w:pPr>
        <w:rPr>
          <w:sz w:val="24"/>
          <w:szCs w:val="24"/>
        </w:rPr>
      </w:pPr>
    </w:p>
    <w:p w14:paraId="7118D58D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Efter markedsføring er der under operation for grå stær blevet observeret en variant af lille pupil syndrom, kendt som </w:t>
      </w:r>
      <w:r w:rsidRPr="00552FD4">
        <w:rPr>
          <w:i/>
          <w:iCs/>
          <w:sz w:val="24"/>
          <w:szCs w:val="24"/>
        </w:rPr>
        <w:t xml:space="preserve">Intraoperative </w:t>
      </w:r>
      <w:proofErr w:type="spellStart"/>
      <w:r w:rsidRPr="00552FD4">
        <w:rPr>
          <w:i/>
          <w:iCs/>
          <w:sz w:val="24"/>
          <w:szCs w:val="24"/>
        </w:rPr>
        <w:t>Floppy</w:t>
      </w:r>
      <w:proofErr w:type="spellEnd"/>
      <w:r w:rsidRPr="00552FD4">
        <w:rPr>
          <w:i/>
          <w:iCs/>
          <w:sz w:val="24"/>
          <w:szCs w:val="24"/>
        </w:rPr>
        <w:t xml:space="preserve"> Iris </w:t>
      </w:r>
      <w:proofErr w:type="spellStart"/>
      <w:r w:rsidRPr="00552FD4">
        <w:rPr>
          <w:i/>
          <w:iCs/>
          <w:sz w:val="24"/>
          <w:szCs w:val="24"/>
        </w:rPr>
        <w:t>Syndrome</w:t>
      </w:r>
      <w:proofErr w:type="spellEnd"/>
      <w:r w:rsidRPr="00552FD4">
        <w:rPr>
          <w:sz w:val="24"/>
          <w:szCs w:val="24"/>
        </w:rPr>
        <w:t xml:space="preserve"> (IFIS), som er blevet associeret med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>-behandling (se også pkt. 4.4).</w:t>
      </w:r>
    </w:p>
    <w:p w14:paraId="60C5832C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1446200E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Erfaring efter markedsføring: I tillæg til ovennævnte bivirkninger er atrieflimren, </w:t>
      </w:r>
      <w:proofErr w:type="spellStart"/>
      <w:r w:rsidRPr="00552FD4">
        <w:rPr>
          <w:sz w:val="24"/>
          <w:szCs w:val="24"/>
        </w:rPr>
        <w:t>arytmi</w:t>
      </w:r>
      <w:proofErr w:type="spellEnd"/>
      <w:r w:rsidRPr="00552FD4">
        <w:rPr>
          <w:sz w:val="24"/>
          <w:szCs w:val="24"/>
        </w:rPr>
        <w:t xml:space="preserve">, </w:t>
      </w:r>
      <w:proofErr w:type="spellStart"/>
      <w:r w:rsidRPr="00552FD4">
        <w:rPr>
          <w:sz w:val="24"/>
          <w:szCs w:val="24"/>
        </w:rPr>
        <w:t>takykardi</w:t>
      </w:r>
      <w:proofErr w:type="spellEnd"/>
      <w:r w:rsidRPr="00552FD4">
        <w:rPr>
          <w:sz w:val="24"/>
          <w:szCs w:val="24"/>
        </w:rPr>
        <w:t xml:space="preserve"> og dyspnø blevet rapporteret i forbindelse med brug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. Da disse spontant indberettede hændelser stammer fra erfaring efter markedsføring verden over, kan hyppigheden af hændelserne og sammenhængen med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ikke bestemmes med sikkerhed.</w:t>
      </w:r>
    </w:p>
    <w:p w14:paraId="6148703B" w14:textId="77777777" w:rsidR="00230EA3" w:rsidRPr="00552FD4" w:rsidRDefault="00230EA3" w:rsidP="00552FD4">
      <w:pPr>
        <w:ind w:left="851"/>
        <w:rPr>
          <w:i/>
          <w:sz w:val="24"/>
          <w:szCs w:val="24"/>
        </w:rPr>
      </w:pPr>
    </w:p>
    <w:p w14:paraId="33067BA6" w14:textId="77777777" w:rsidR="00230EA3" w:rsidRPr="00552FD4" w:rsidRDefault="00230EA3" w:rsidP="00552FD4">
      <w:pPr>
        <w:ind w:left="851"/>
        <w:rPr>
          <w:sz w:val="24"/>
          <w:szCs w:val="24"/>
          <w:u w:val="single"/>
        </w:rPr>
      </w:pPr>
      <w:r w:rsidRPr="00552FD4">
        <w:rPr>
          <w:sz w:val="24"/>
          <w:szCs w:val="24"/>
          <w:u w:val="single"/>
        </w:rPr>
        <w:t>Indberetning af formodede bivirkninger</w:t>
      </w:r>
    </w:p>
    <w:p w14:paraId="1AC25E95" w14:textId="659E4BC1" w:rsidR="00230EA3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552FD4">
        <w:rPr>
          <w:sz w:val="24"/>
          <w:szCs w:val="24"/>
        </w:rPr>
        <w:t>risk</w:t>
      </w:r>
      <w:proofErr w:type="spellEnd"/>
      <w:r w:rsidRPr="00552FD4">
        <w:rPr>
          <w:sz w:val="24"/>
          <w:szCs w:val="24"/>
        </w:rPr>
        <w:t>-forholdet for lægemidlet. Sundhedspersoner anmodes om at indberette alle formodede bivirkninger via</w:t>
      </w:r>
    </w:p>
    <w:p w14:paraId="04CD1F7C" w14:textId="77777777" w:rsidR="00552FD4" w:rsidRPr="00552FD4" w:rsidRDefault="00552FD4" w:rsidP="00552FD4">
      <w:pPr>
        <w:ind w:left="851"/>
        <w:rPr>
          <w:sz w:val="24"/>
          <w:szCs w:val="24"/>
        </w:rPr>
      </w:pPr>
    </w:p>
    <w:p w14:paraId="2DB3345A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Lægemiddelstyrelsen</w:t>
      </w:r>
    </w:p>
    <w:p w14:paraId="4EEC1957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Axel Heides Gade 1</w:t>
      </w:r>
    </w:p>
    <w:p w14:paraId="529504BB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DK-2300 København S</w:t>
      </w:r>
    </w:p>
    <w:p w14:paraId="39E369E1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Websted: </w:t>
      </w:r>
      <w:hyperlink r:id="rId8" w:history="1">
        <w:r w:rsidRPr="00552FD4">
          <w:rPr>
            <w:rStyle w:val="Hyperlink"/>
            <w:sz w:val="24"/>
            <w:szCs w:val="24"/>
          </w:rPr>
          <w:t>www.meldenbivirkning.dk</w:t>
        </w:r>
      </w:hyperlink>
    </w:p>
    <w:p w14:paraId="0548D843" w14:textId="6C1348CB" w:rsidR="001B2C86" w:rsidRDefault="001B2C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DC8D48" w14:textId="77777777" w:rsidR="009260DE" w:rsidRPr="00552FD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569D4510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4.9</w:t>
      </w:r>
      <w:r w:rsidRPr="00552FD4">
        <w:rPr>
          <w:b/>
          <w:sz w:val="24"/>
          <w:szCs w:val="24"/>
        </w:rPr>
        <w:tab/>
        <w:t>Overdosering</w:t>
      </w:r>
    </w:p>
    <w:p w14:paraId="6E527A0B" w14:textId="77777777" w:rsidR="00552FD4" w:rsidRDefault="00552FD4" w:rsidP="00552FD4">
      <w:pPr>
        <w:ind w:left="851"/>
        <w:rPr>
          <w:sz w:val="24"/>
          <w:szCs w:val="24"/>
        </w:rPr>
      </w:pPr>
    </w:p>
    <w:p w14:paraId="526F64BA" w14:textId="4C3D7F89" w:rsidR="00230EA3" w:rsidRPr="00552FD4" w:rsidRDefault="00230EA3" w:rsidP="00552FD4">
      <w:pPr>
        <w:ind w:left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Symptomer</w:t>
      </w:r>
    </w:p>
    <w:p w14:paraId="1678222B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Overdosering med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kan potentielt resultere i svære </w:t>
      </w:r>
      <w:proofErr w:type="spellStart"/>
      <w:r w:rsidRPr="00552FD4">
        <w:rPr>
          <w:sz w:val="24"/>
          <w:szCs w:val="24"/>
        </w:rPr>
        <w:t>hypotensive</w:t>
      </w:r>
      <w:proofErr w:type="spellEnd"/>
      <w:r w:rsidRPr="00552FD4">
        <w:rPr>
          <w:sz w:val="24"/>
          <w:szCs w:val="24"/>
        </w:rPr>
        <w:t xml:space="preserve"> virkninger. Der er blevet observeret svære </w:t>
      </w:r>
      <w:proofErr w:type="spellStart"/>
      <w:r w:rsidRPr="00552FD4">
        <w:rPr>
          <w:sz w:val="24"/>
          <w:szCs w:val="24"/>
        </w:rPr>
        <w:t>hypotensive</w:t>
      </w:r>
      <w:proofErr w:type="spellEnd"/>
      <w:r w:rsidRPr="00552FD4">
        <w:rPr>
          <w:sz w:val="24"/>
          <w:szCs w:val="24"/>
        </w:rPr>
        <w:t xml:space="preserve"> virkninger ved forskellige grader af overdosering.</w:t>
      </w:r>
    </w:p>
    <w:p w14:paraId="19C382FF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7C852D07" w14:textId="77777777" w:rsidR="00230EA3" w:rsidRPr="00552FD4" w:rsidRDefault="00230EA3" w:rsidP="00552FD4">
      <w:pPr>
        <w:ind w:left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Behandling</w:t>
      </w:r>
    </w:p>
    <w:p w14:paraId="1C1D4ED2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I tilfælde af akut hypotension som følge af overdosering skal der ydes understøttende </w:t>
      </w:r>
      <w:proofErr w:type="spellStart"/>
      <w:r w:rsidRPr="00552FD4">
        <w:rPr>
          <w:sz w:val="24"/>
          <w:szCs w:val="24"/>
        </w:rPr>
        <w:t>kardiovaskulær</w:t>
      </w:r>
      <w:proofErr w:type="spellEnd"/>
      <w:r w:rsidRPr="00552FD4">
        <w:rPr>
          <w:sz w:val="24"/>
          <w:szCs w:val="24"/>
        </w:rPr>
        <w:t xml:space="preserve"> behandling. Blodtryk og hjertefrekvens kan normaliseres ved at lægge patienten ned. Hvis dette ikke hjælper, kan der anvendes volumenekspanderende midler og, om nødvendigt, </w:t>
      </w:r>
      <w:proofErr w:type="spellStart"/>
      <w:r w:rsidRPr="00552FD4">
        <w:rPr>
          <w:sz w:val="24"/>
          <w:szCs w:val="24"/>
        </w:rPr>
        <w:t>vasopressorer</w:t>
      </w:r>
      <w:proofErr w:type="spellEnd"/>
      <w:r w:rsidRPr="00552FD4">
        <w:rPr>
          <w:sz w:val="24"/>
          <w:szCs w:val="24"/>
        </w:rPr>
        <w:t xml:space="preserve">. Nyrefunktionen skal overvåges, og der skal iværksættes almene understøttende tiltag. Dialyse hjælper sandsynligvis ikke, da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i meget høj grad bindes til plasmaproteiner.</w:t>
      </w:r>
    </w:p>
    <w:p w14:paraId="2B6589B5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For at hæmme absorptionen kan der anvendes tiltag såsom </w:t>
      </w:r>
      <w:proofErr w:type="spellStart"/>
      <w:r w:rsidRPr="00552FD4">
        <w:rPr>
          <w:sz w:val="24"/>
          <w:szCs w:val="24"/>
        </w:rPr>
        <w:t>emese</w:t>
      </w:r>
      <w:proofErr w:type="spellEnd"/>
      <w:r w:rsidRPr="00552FD4">
        <w:rPr>
          <w:sz w:val="24"/>
          <w:szCs w:val="24"/>
        </w:rPr>
        <w:t>. Hvis der er indtaget store mængder, kan der anvendes ventrikelskylning og aktivt kul, og der kan administreres et osmotisk laksativ, såsom natriumsulfat.</w:t>
      </w:r>
    </w:p>
    <w:p w14:paraId="4CE747AF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B5E202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4.10</w:t>
      </w:r>
      <w:r w:rsidRPr="00552FD4">
        <w:rPr>
          <w:b/>
          <w:sz w:val="24"/>
          <w:szCs w:val="24"/>
        </w:rPr>
        <w:tab/>
        <w:t>Udlevering</w:t>
      </w:r>
    </w:p>
    <w:p w14:paraId="5FAC53F8" w14:textId="18214B18" w:rsidR="009260DE" w:rsidRPr="00552FD4" w:rsidRDefault="00BE11FC" w:rsidP="009260DE">
      <w:pPr>
        <w:tabs>
          <w:tab w:val="left" w:pos="851"/>
        </w:tabs>
        <w:ind w:left="851"/>
        <w:rPr>
          <w:sz w:val="24"/>
          <w:szCs w:val="24"/>
        </w:rPr>
      </w:pPr>
      <w:r w:rsidRPr="00552FD4">
        <w:rPr>
          <w:sz w:val="24"/>
          <w:szCs w:val="24"/>
        </w:rPr>
        <w:t>B</w:t>
      </w:r>
    </w:p>
    <w:p w14:paraId="711E4AD9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2A6D68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B3EAF3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5.</w:t>
      </w:r>
      <w:r w:rsidRPr="00552FD4">
        <w:rPr>
          <w:b/>
          <w:sz w:val="24"/>
          <w:szCs w:val="24"/>
        </w:rPr>
        <w:tab/>
        <w:t>FARMAKOLOGISKE EGENSKABER</w:t>
      </w:r>
    </w:p>
    <w:p w14:paraId="314940A6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41E802" w14:textId="77777777" w:rsidR="009260DE" w:rsidRPr="00552FD4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5.1</w:t>
      </w:r>
      <w:r w:rsidRPr="00552FD4">
        <w:rPr>
          <w:b/>
          <w:sz w:val="24"/>
          <w:szCs w:val="24"/>
        </w:rPr>
        <w:tab/>
      </w:r>
      <w:proofErr w:type="spellStart"/>
      <w:r w:rsidRPr="00552FD4">
        <w:rPr>
          <w:b/>
          <w:sz w:val="24"/>
          <w:szCs w:val="24"/>
        </w:rPr>
        <w:t>Farmakodynamiske</w:t>
      </w:r>
      <w:proofErr w:type="spellEnd"/>
      <w:r w:rsidRPr="00552FD4">
        <w:rPr>
          <w:b/>
          <w:sz w:val="24"/>
          <w:szCs w:val="24"/>
        </w:rPr>
        <w:t xml:space="preserve"> egenskaber</w:t>
      </w:r>
    </w:p>
    <w:p w14:paraId="02355DC0" w14:textId="686B29B6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Farmakoterapeutisk</w:t>
      </w:r>
      <w:proofErr w:type="spellEnd"/>
      <w:r w:rsidRPr="00552FD4">
        <w:rPr>
          <w:sz w:val="24"/>
          <w:szCs w:val="24"/>
        </w:rPr>
        <w:t xml:space="preserve"> klassifikation: alfa-</w:t>
      </w:r>
      <w:proofErr w:type="spellStart"/>
      <w:r w:rsidRPr="00552FD4">
        <w:rPr>
          <w:sz w:val="24"/>
          <w:szCs w:val="24"/>
        </w:rPr>
        <w:t>adrenoreceptor</w:t>
      </w:r>
      <w:proofErr w:type="spellEnd"/>
      <w:r w:rsidRPr="00552FD4">
        <w:rPr>
          <w:sz w:val="24"/>
          <w:szCs w:val="24"/>
        </w:rPr>
        <w:t>-antagonister, ATC-kode: G04CA02. Produktet anvendes kun til behandling af prostatatilstande.</w:t>
      </w:r>
    </w:p>
    <w:p w14:paraId="545A37BC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24190EDA" w14:textId="77777777" w:rsidR="00230EA3" w:rsidRPr="00552FD4" w:rsidRDefault="00230EA3" w:rsidP="00552FD4">
      <w:pPr>
        <w:ind w:left="851"/>
        <w:rPr>
          <w:sz w:val="24"/>
          <w:szCs w:val="24"/>
          <w:u w:val="single"/>
        </w:rPr>
      </w:pPr>
      <w:r w:rsidRPr="00552FD4">
        <w:rPr>
          <w:sz w:val="24"/>
          <w:szCs w:val="24"/>
          <w:u w:val="single"/>
        </w:rPr>
        <w:t>Virkningsmekanisme</w:t>
      </w:r>
    </w:p>
    <w:p w14:paraId="705B8CB8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binder selektivt og </w:t>
      </w:r>
      <w:proofErr w:type="spellStart"/>
      <w:r w:rsidRPr="00552FD4">
        <w:rPr>
          <w:sz w:val="24"/>
          <w:szCs w:val="24"/>
        </w:rPr>
        <w:t>kompetitivt</w:t>
      </w:r>
      <w:proofErr w:type="spellEnd"/>
      <w:r w:rsidRPr="00552FD4">
        <w:rPr>
          <w:sz w:val="24"/>
          <w:szCs w:val="24"/>
        </w:rPr>
        <w:t xml:space="preserve"> til de </w:t>
      </w:r>
      <w:proofErr w:type="spellStart"/>
      <w:r w:rsidRPr="00552FD4">
        <w:rPr>
          <w:sz w:val="24"/>
          <w:szCs w:val="24"/>
        </w:rPr>
        <w:t>postsynaptiske</w:t>
      </w:r>
      <w:proofErr w:type="spellEnd"/>
      <w:r w:rsidRPr="00552FD4">
        <w:rPr>
          <w:sz w:val="24"/>
          <w:szCs w:val="24"/>
        </w:rPr>
        <w:t xml:space="preserve"> α1-adrenoreceptorer, særligt til subtyperne α1A og α1D. Det forårsager afslapning af de glatte muskler i prostata og </w:t>
      </w:r>
      <w:proofErr w:type="spellStart"/>
      <w:r w:rsidRPr="00552FD4">
        <w:rPr>
          <w:sz w:val="24"/>
          <w:szCs w:val="24"/>
        </w:rPr>
        <w:t>urethra</w:t>
      </w:r>
      <w:proofErr w:type="spellEnd"/>
      <w:r w:rsidRPr="00552FD4">
        <w:rPr>
          <w:sz w:val="24"/>
          <w:szCs w:val="24"/>
        </w:rPr>
        <w:t>.</w:t>
      </w:r>
    </w:p>
    <w:p w14:paraId="033272A6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4164EAE6" w14:textId="77777777" w:rsidR="00230EA3" w:rsidRPr="00552FD4" w:rsidRDefault="00230EA3" w:rsidP="00552FD4">
      <w:pPr>
        <w:ind w:left="851"/>
        <w:rPr>
          <w:sz w:val="24"/>
          <w:szCs w:val="24"/>
          <w:u w:val="single"/>
        </w:rPr>
      </w:pPr>
      <w:proofErr w:type="spellStart"/>
      <w:r w:rsidRPr="00552FD4">
        <w:rPr>
          <w:sz w:val="24"/>
          <w:szCs w:val="24"/>
          <w:u w:val="single"/>
        </w:rPr>
        <w:t>Farmakodynamisk</w:t>
      </w:r>
      <w:proofErr w:type="spellEnd"/>
      <w:r w:rsidRPr="00552FD4">
        <w:rPr>
          <w:sz w:val="24"/>
          <w:szCs w:val="24"/>
          <w:u w:val="single"/>
        </w:rPr>
        <w:t xml:space="preserve"> virkning</w:t>
      </w:r>
    </w:p>
    <w:p w14:paraId="579453EB" w14:textId="3A24CE9C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 øger hastigheden af det maksimale </w:t>
      </w:r>
      <w:proofErr w:type="spellStart"/>
      <w:r w:rsidRPr="00552FD4">
        <w:rPr>
          <w:sz w:val="24"/>
          <w:szCs w:val="24"/>
        </w:rPr>
        <w:t>urinflow</w:t>
      </w:r>
      <w:proofErr w:type="spellEnd"/>
      <w:r w:rsidRPr="00552FD4">
        <w:rPr>
          <w:sz w:val="24"/>
          <w:szCs w:val="24"/>
        </w:rPr>
        <w:t xml:space="preserve">. Det letter obstruktion ved at afslappe de glatte muskler i prostata og </w:t>
      </w:r>
      <w:proofErr w:type="spellStart"/>
      <w:r w:rsidRPr="00552FD4">
        <w:rPr>
          <w:sz w:val="24"/>
          <w:szCs w:val="24"/>
        </w:rPr>
        <w:t>urethra</w:t>
      </w:r>
      <w:proofErr w:type="spellEnd"/>
      <w:r w:rsidRPr="00552FD4">
        <w:rPr>
          <w:sz w:val="24"/>
          <w:szCs w:val="24"/>
        </w:rPr>
        <w:t xml:space="preserve"> og dermed forbedre tømnings</w:t>
      </w:r>
      <w:r w:rsidR="001B2C86">
        <w:rPr>
          <w:sz w:val="24"/>
          <w:szCs w:val="24"/>
        </w:rPr>
        <w:softHyphen/>
      </w:r>
      <w:r w:rsidRPr="00552FD4">
        <w:rPr>
          <w:sz w:val="24"/>
          <w:szCs w:val="24"/>
        </w:rPr>
        <w:t>symptomerne.</w:t>
      </w:r>
    </w:p>
    <w:p w14:paraId="70645175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Det forbedrer også lagringssymptomer, hvor </w:t>
      </w:r>
      <w:proofErr w:type="spellStart"/>
      <w:r w:rsidRPr="00552FD4">
        <w:rPr>
          <w:sz w:val="24"/>
          <w:szCs w:val="24"/>
        </w:rPr>
        <w:t>blæreinstabilitet</w:t>
      </w:r>
      <w:proofErr w:type="spellEnd"/>
      <w:r w:rsidRPr="00552FD4">
        <w:rPr>
          <w:sz w:val="24"/>
          <w:szCs w:val="24"/>
        </w:rPr>
        <w:t xml:space="preserve"> spiller en vigtig rolle.</w:t>
      </w:r>
    </w:p>
    <w:p w14:paraId="5395F5B5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Denne effekt på både lagrings- og tømningssymptomerne er opretholdt ved langtidsbehandling. Tidspunktet for et kirurgisk indgreb eller </w:t>
      </w:r>
      <w:proofErr w:type="spellStart"/>
      <w:r w:rsidRPr="00552FD4">
        <w:rPr>
          <w:sz w:val="24"/>
          <w:szCs w:val="24"/>
        </w:rPr>
        <w:t>kateterisering</w:t>
      </w:r>
      <w:proofErr w:type="spellEnd"/>
      <w:r w:rsidRPr="00552FD4">
        <w:rPr>
          <w:sz w:val="24"/>
          <w:szCs w:val="24"/>
        </w:rPr>
        <w:t xml:space="preserve"> udskydes signifikant.</w:t>
      </w:r>
    </w:p>
    <w:p w14:paraId="3AFFF280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α1-adrenoreceptor-antagonister kan reducere blodtrykket ved at mindske den perifere modstand. Der blev ikke observeret klinisk signifikant reduktion af blodtrykket i studier med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mg.</w:t>
      </w:r>
    </w:p>
    <w:p w14:paraId="0806F8DD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0E85DA08" w14:textId="77777777" w:rsidR="00230EA3" w:rsidRPr="00552FD4" w:rsidRDefault="00230EA3" w:rsidP="00552FD4">
      <w:pPr>
        <w:ind w:left="851"/>
        <w:rPr>
          <w:sz w:val="24"/>
          <w:szCs w:val="24"/>
          <w:u w:val="single"/>
        </w:rPr>
      </w:pPr>
      <w:r w:rsidRPr="00552FD4">
        <w:rPr>
          <w:sz w:val="24"/>
          <w:szCs w:val="24"/>
          <w:u w:val="single"/>
        </w:rPr>
        <w:t>Pædiatrisk population</w:t>
      </w:r>
    </w:p>
    <w:p w14:paraId="400A0AAC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Der blev udført et dobbeltblindet, randomiseret, placebokontrolleret, studie til bestemmelse af dosis hos børn med neuropatisk blære. I alt blev 161 børn (i alderen 2-16 år) randomiseret og behandlet med 1 af 3 dosisniveauer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(lav [0,001 til 0,002 mg/kg], medium [0,002 til 0,004 mg/kg] og høj [0,004 til 0,008 mg/kg]) eller </w:t>
      </w:r>
      <w:r w:rsidRPr="00552FD4">
        <w:rPr>
          <w:sz w:val="24"/>
          <w:szCs w:val="24"/>
        </w:rPr>
        <w:lastRenderedPageBreak/>
        <w:t xml:space="preserve">placebo. Det primære endepunkt var antallet af patienter, som nedsatte deres </w:t>
      </w:r>
      <w:proofErr w:type="spellStart"/>
      <w:r w:rsidRPr="00552FD4">
        <w:rPr>
          <w:i/>
          <w:iCs/>
          <w:sz w:val="24"/>
          <w:szCs w:val="24"/>
        </w:rPr>
        <w:t>detrusor</w:t>
      </w:r>
      <w:proofErr w:type="spellEnd"/>
      <w:r w:rsidRPr="00552FD4">
        <w:rPr>
          <w:i/>
          <w:iCs/>
          <w:sz w:val="24"/>
          <w:szCs w:val="24"/>
        </w:rPr>
        <w:t xml:space="preserve"> </w:t>
      </w:r>
      <w:proofErr w:type="spellStart"/>
      <w:r w:rsidRPr="00552FD4">
        <w:rPr>
          <w:i/>
          <w:iCs/>
          <w:sz w:val="24"/>
          <w:szCs w:val="24"/>
        </w:rPr>
        <w:t>leak</w:t>
      </w:r>
      <w:proofErr w:type="spellEnd"/>
      <w:r w:rsidRPr="00552FD4">
        <w:rPr>
          <w:i/>
          <w:iCs/>
          <w:sz w:val="24"/>
          <w:szCs w:val="24"/>
        </w:rPr>
        <w:t xml:space="preserve"> point </w:t>
      </w:r>
      <w:proofErr w:type="spellStart"/>
      <w:r w:rsidRPr="00552FD4">
        <w:rPr>
          <w:i/>
          <w:iCs/>
          <w:sz w:val="24"/>
          <w:szCs w:val="24"/>
        </w:rPr>
        <w:t>pressure</w:t>
      </w:r>
      <w:proofErr w:type="spellEnd"/>
      <w:r w:rsidRPr="00552FD4">
        <w:rPr>
          <w:sz w:val="24"/>
          <w:szCs w:val="24"/>
        </w:rPr>
        <w:t xml:space="preserve"> (LPP) til &lt; 40 cm H</w:t>
      </w:r>
      <w:r w:rsidRPr="00552FD4">
        <w:rPr>
          <w:sz w:val="24"/>
          <w:szCs w:val="24"/>
          <w:vertAlign w:val="subscript"/>
        </w:rPr>
        <w:t>2</w:t>
      </w:r>
      <w:r w:rsidRPr="00552FD4">
        <w:rPr>
          <w:sz w:val="24"/>
          <w:szCs w:val="24"/>
        </w:rPr>
        <w:t xml:space="preserve">O baseret på to evalueringer samme dag. Sekundære endepunkter var: faktisk og procentvis ændring fra </w:t>
      </w:r>
      <w:r w:rsidRPr="00552FD4">
        <w:rPr>
          <w:i/>
          <w:iCs/>
          <w:sz w:val="24"/>
          <w:szCs w:val="24"/>
        </w:rPr>
        <w:t>baseline</w:t>
      </w:r>
      <w:r w:rsidRPr="00552FD4">
        <w:rPr>
          <w:sz w:val="24"/>
          <w:szCs w:val="24"/>
        </w:rPr>
        <w:t xml:space="preserve"> i </w:t>
      </w:r>
      <w:proofErr w:type="spellStart"/>
      <w:r w:rsidRPr="00552FD4">
        <w:rPr>
          <w:i/>
          <w:iCs/>
          <w:sz w:val="24"/>
          <w:szCs w:val="24"/>
        </w:rPr>
        <w:t>detrusor</w:t>
      </w:r>
      <w:proofErr w:type="spellEnd"/>
      <w:r w:rsidRPr="00552FD4">
        <w:rPr>
          <w:i/>
          <w:iCs/>
          <w:sz w:val="24"/>
          <w:szCs w:val="24"/>
        </w:rPr>
        <w:t xml:space="preserve"> </w:t>
      </w:r>
      <w:proofErr w:type="spellStart"/>
      <w:r w:rsidRPr="00552FD4">
        <w:rPr>
          <w:i/>
          <w:iCs/>
          <w:sz w:val="24"/>
          <w:szCs w:val="24"/>
        </w:rPr>
        <w:t>leak</w:t>
      </w:r>
      <w:proofErr w:type="spellEnd"/>
      <w:r w:rsidRPr="00552FD4">
        <w:rPr>
          <w:i/>
          <w:iCs/>
          <w:sz w:val="24"/>
          <w:szCs w:val="24"/>
        </w:rPr>
        <w:t xml:space="preserve"> point </w:t>
      </w:r>
      <w:proofErr w:type="spellStart"/>
      <w:r w:rsidRPr="00552FD4">
        <w:rPr>
          <w:i/>
          <w:iCs/>
          <w:sz w:val="24"/>
          <w:szCs w:val="24"/>
        </w:rPr>
        <w:t>pressure</w:t>
      </w:r>
      <w:proofErr w:type="spellEnd"/>
      <w:r w:rsidRPr="00552FD4">
        <w:rPr>
          <w:sz w:val="24"/>
          <w:szCs w:val="24"/>
        </w:rPr>
        <w:t xml:space="preserve">, forbedring eller stabilisering af </w:t>
      </w:r>
      <w:proofErr w:type="spellStart"/>
      <w:r w:rsidRPr="00552FD4">
        <w:rPr>
          <w:sz w:val="24"/>
          <w:szCs w:val="24"/>
        </w:rPr>
        <w:t>hydronefrose</w:t>
      </w:r>
      <w:proofErr w:type="spellEnd"/>
      <w:r w:rsidRPr="00552FD4">
        <w:rPr>
          <w:sz w:val="24"/>
          <w:szCs w:val="24"/>
        </w:rPr>
        <w:t xml:space="preserve"> og </w:t>
      </w:r>
      <w:proofErr w:type="spellStart"/>
      <w:r w:rsidRPr="00552FD4">
        <w:rPr>
          <w:sz w:val="24"/>
          <w:szCs w:val="24"/>
        </w:rPr>
        <w:t>hydroureter</w:t>
      </w:r>
      <w:proofErr w:type="spellEnd"/>
      <w:r w:rsidRPr="00552FD4">
        <w:rPr>
          <w:sz w:val="24"/>
          <w:szCs w:val="24"/>
        </w:rPr>
        <w:t xml:space="preserve"> samt ændring i urinvolumen opnået ved </w:t>
      </w:r>
      <w:proofErr w:type="spellStart"/>
      <w:r w:rsidRPr="00552FD4">
        <w:rPr>
          <w:sz w:val="24"/>
          <w:szCs w:val="24"/>
        </w:rPr>
        <w:t>kateterisation</w:t>
      </w:r>
      <w:proofErr w:type="spellEnd"/>
      <w:r w:rsidRPr="00552FD4">
        <w:rPr>
          <w:sz w:val="24"/>
          <w:szCs w:val="24"/>
        </w:rPr>
        <w:t xml:space="preserve"> og antal gange af lækage ved tidspunktet for </w:t>
      </w:r>
      <w:proofErr w:type="spellStart"/>
      <w:r w:rsidRPr="00552FD4">
        <w:rPr>
          <w:sz w:val="24"/>
          <w:szCs w:val="24"/>
        </w:rPr>
        <w:t>kateterisation</w:t>
      </w:r>
      <w:proofErr w:type="spellEnd"/>
      <w:r w:rsidRPr="00552FD4">
        <w:rPr>
          <w:sz w:val="24"/>
          <w:szCs w:val="24"/>
        </w:rPr>
        <w:t xml:space="preserve">, som registreret i </w:t>
      </w:r>
      <w:proofErr w:type="spellStart"/>
      <w:r w:rsidRPr="00552FD4">
        <w:rPr>
          <w:sz w:val="24"/>
          <w:szCs w:val="24"/>
        </w:rPr>
        <w:t>kateterisationsdagbøger</w:t>
      </w:r>
      <w:proofErr w:type="spellEnd"/>
      <w:r w:rsidRPr="00552FD4">
        <w:rPr>
          <w:sz w:val="24"/>
          <w:szCs w:val="24"/>
        </w:rPr>
        <w:t>. Det blev ikke set nogen statistisk signifikante forskelle mellem placebogruppen og nogen af de 3 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>-dosisgrupper for hverken det primære eller nogen sekundære endepunkter. Der blev ikke observeret dosisrespons ved nogen af doseringsniveauerne.</w:t>
      </w:r>
    </w:p>
    <w:p w14:paraId="4D5A2B62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3F3542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5.2</w:t>
      </w:r>
      <w:r w:rsidRPr="00552FD4">
        <w:rPr>
          <w:b/>
          <w:sz w:val="24"/>
          <w:szCs w:val="24"/>
        </w:rPr>
        <w:tab/>
      </w:r>
      <w:proofErr w:type="spellStart"/>
      <w:r w:rsidRPr="00552FD4">
        <w:rPr>
          <w:b/>
          <w:sz w:val="24"/>
          <w:szCs w:val="24"/>
        </w:rPr>
        <w:t>Farmakokinetiske</w:t>
      </w:r>
      <w:proofErr w:type="spellEnd"/>
      <w:r w:rsidRPr="00552FD4">
        <w:rPr>
          <w:b/>
          <w:sz w:val="24"/>
          <w:szCs w:val="24"/>
        </w:rPr>
        <w:t xml:space="preserve"> egenskaber</w:t>
      </w:r>
    </w:p>
    <w:p w14:paraId="1F060E53" w14:textId="77777777" w:rsidR="00F12E3F" w:rsidRDefault="00F12E3F" w:rsidP="00552FD4">
      <w:pPr>
        <w:ind w:left="851"/>
        <w:rPr>
          <w:sz w:val="24"/>
          <w:szCs w:val="24"/>
        </w:rPr>
      </w:pPr>
    </w:p>
    <w:p w14:paraId="6173E823" w14:textId="722C0D45" w:rsidR="00230EA3" w:rsidRPr="00F12E3F" w:rsidRDefault="00230EA3" w:rsidP="00552FD4">
      <w:pPr>
        <w:ind w:left="851"/>
        <w:rPr>
          <w:sz w:val="24"/>
          <w:szCs w:val="24"/>
          <w:u w:val="single"/>
        </w:rPr>
      </w:pPr>
      <w:r w:rsidRPr="00F12E3F">
        <w:rPr>
          <w:sz w:val="24"/>
          <w:szCs w:val="24"/>
          <w:u w:val="single"/>
        </w:rPr>
        <w:t>Absorption</w:t>
      </w:r>
    </w:p>
    <w:p w14:paraId="369D632D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absorberes fra tarmen og er næsten fuldstændig biotilgængeligt. Absorptionen af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reduceres af et nyligt indtaget måltid. Ensartet absorption kan etableres ved, at patienten altid tager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 efter det samme måltid hver dag.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viser lineær kinetik.</w:t>
      </w:r>
    </w:p>
    <w:p w14:paraId="4EF294BB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Plasmakoncentrationen af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 topper ca. 6 timer efter en enkelt dosis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0,4 mg indtaget efter et måltid. </w:t>
      </w:r>
      <w:proofErr w:type="spellStart"/>
      <w:r w:rsidRPr="00552FD4">
        <w:rPr>
          <w:i/>
          <w:iCs/>
          <w:sz w:val="24"/>
          <w:szCs w:val="24"/>
        </w:rPr>
        <w:t>Steady</w:t>
      </w:r>
      <w:proofErr w:type="spellEnd"/>
      <w:r w:rsidRPr="00552FD4">
        <w:rPr>
          <w:i/>
          <w:iCs/>
          <w:sz w:val="24"/>
          <w:szCs w:val="24"/>
        </w:rPr>
        <w:t xml:space="preserve"> </w:t>
      </w:r>
      <w:proofErr w:type="spellStart"/>
      <w:r w:rsidRPr="00552FD4">
        <w:rPr>
          <w:i/>
          <w:iCs/>
          <w:sz w:val="24"/>
          <w:szCs w:val="24"/>
        </w:rPr>
        <w:t>state</w:t>
      </w:r>
      <w:proofErr w:type="spellEnd"/>
      <w:r w:rsidRPr="00552FD4">
        <w:rPr>
          <w:sz w:val="24"/>
          <w:szCs w:val="24"/>
        </w:rPr>
        <w:t xml:space="preserve"> opnås på den 5. dag ved gentagen dosering, hvor </w:t>
      </w:r>
      <w:proofErr w:type="spellStart"/>
      <w:r w:rsidRPr="00552FD4">
        <w:rPr>
          <w:sz w:val="24"/>
          <w:szCs w:val="24"/>
        </w:rPr>
        <w:t>C</w:t>
      </w:r>
      <w:r w:rsidRPr="00552FD4">
        <w:rPr>
          <w:sz w:val="24"/>
          <w:szCs w:val="24"/>
          <w:vertAlign w:val="subscript"/>
        </w:rPr>
        <w:t>max</w:t>
      </w:r>
      <w:proofErr w:type="spellEnd"/>
      <w:r w:rsidRPr="00552FD4">
        <w:rPr>
          <w:sz w:val="24"/>
          <w:szCs w:val="24"/>
        </w:rPr>
        <w:t xml:space="preserve"> hos patienter er ca. 2/3 højere end den opnåede plasmakoncentration efter en enkelt dosis. Selvom dette kun er set hos ældre patienter, forventes det samme fund hos yngre patienter.</w:t>
      </w:r>
    </w:p>
    <w:p w14:paraId="4B40AC8A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Der er en væsentlig inter-patient-plasmaniveauvariation både efter enkel og efter gentagen dosering.</w:t>
      </w:r>
    </w:p>
    <w:p w14:paraId="0B280579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1966B68C" w14:textId="77777777" w:rsidR="00230EA3" w:rsidRPr="00F12E3F" w:rsidRDefault="00230EA3" w:rsidP="00552FD4">
      <w:pPr>
        <w:ind w:left="851"/>
        <w:rPr>
          <w:sz w:val="24"/>
          <w:szCs w:val="24"/>
          <w:u w:val="single"/>
        </w:rPr>
      </w:pPr>
      <w:r w:rsidRPr="00F12E3F">
        <w:rPr>
          <w:sz w:val="24"/>
          <w:szCs w:val="24"/>
          <w:u w:val="single"/>
        </w:rPr>
        <w:t>Fordeling</w:t>
      </w:r>
    </w:p>
    <w:p w14:paraId="1475C632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Hos mennesker er ca. 99 %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bundet til plasmaproteiner. Fordelingsvolumen er lille (ca. 0,2 l/kg).</w:t>
      </w:r>
    </w:p>
    <w:p w14:paraId="05411B86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2DC98F5D" w14:textId="77777777" w:rsidR="00230EA3" w:rsidRPr="00F12E3F" w:rsidRDefault="00230EA3" w:rsidP="00552FD4">
      <w:pPr>
        <w:ind w:left="851"/>
        <w:rPr>
          <w:sz w:val="24"/>
          <w:szCs w:val="24"/>
          <w:u w:val="single"/>
        </w:rPr>
      </w:pPr>
      <w:r w:rsidRPr="00F12E3F">
        <w:rPr>
          <w:sz w:val="24"/>
          <w:szCs w:val="24"/>
          <w:u w:val="single"/>
        </w:rPr>
        <w:t>Biotransformation</w:t>
      </w:r>
    </w:p>
    <w:p w14:paraId="288DB8A8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har en lav </w:t>
      </w:r>
      <w:proofErr w:type="spellStart"/>
      <w:r w:rsidRPr="00552FD4">
        <w:rPr>
          <w:i/>
          <w:iCs/>
          <w:sz w:val="24"/>
          <w:szCs w:val="24"/>
        </w:rPr>
        <w:t>first</w:t>
      </w:r>
      <w:proofErr w:type="spellEnd"/>
      <w:r w:rsidRPr="00552FD4">
        <w:rPr>
          <w:i/>
          <w:iCs/>
          <w:sz w:val="24"/>
          <w:szCs w:val="24"/>
        </w:rPr>
        <w:t xml:space="preserve"> </w:t>
      </w:r>
      <w:proofErr w:type="spellStart"/>
      <w:r w:rsidRPr="00552FD4">
        <w:rPr>
          <w:i/>
          <w:iCs/>
          <w:sz w:val="24"/>
          <w:szCs w:val="24"/>
        </w:rPr>
        <w:t>pass</w:t>
      </w:r>
      <w:proofErr w:type="spellEnd"/>
      <w:r w:rsidRPr="00552FD4">
        <w:rPr>
          <w:sz w:val="24"/>
          <w:szCs w:val="24"/>
        </w:rPr>
        <w:t xml:space="preserve">-effekt og </w:t>
      </w:r>
      <w:proofErr w:type="spellStart"/>
      <w:r w:rsidRPr="00552FD4">
        <w:rPr>
          <w:sz w:val="24"/>
          <w:szCs w:val="24"/>
        </w:rPr>
        <w:t>metaboliseres</w:t>
      </w:r>
      <w:proofErr w:type="spellEnd"/>
      <w:r w:rsidRPr="00552FD4">
        <w:rPr>
          <w:sz w:val="24"/>
          <w:szCs w:val="24"/>
        </w:rPr>
        <w:t xml:space="preserve"> langsomt. Der er mest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til stede i plasma i form af </w:t>
      </w:r>
      <w:proofErr w:type="spellStart"/>
      <w:r w:rsidRPr="00552FD4">
        <w:rPr>
          <w:sz w:val="24"/>
          <w:szCs w:val="24"/>
        </w:rPr>
        <w:t>uomdannet</w:t>
      </w:r>
      <w:proofErr w:type="spellEnd"/>
      <w:r w:rsidRPr="00552FD4">
        <w:rPr>
          <w:sz w:val="24"/>
          <w:szCs w:val="24"/>
        </w:rPr>
        <w:t xml:space="preserve"> aktivt stof. Det bliver </w:t>
      </w:r>
      <w:proofErr w:type="spellStart"/>
      <w:r w:rsidRPr="00552FD4">
        <w:rPr>
          <w:sz w:val="24"/>
          <w:szCs w:val="24"/>
        </w:rPr>
        <w:t>metaboliseret</w:t>
      </w:r>
      <w:proofErr w:type="spellEnd"/>
      <w:r w:rsidRPr="00552FD4">
        <w:rPr>
          <w:sz w:val="24"/>
          <w:szCs w:val="24"/>
        </w:rPr>
        <w:t xml:space="preserve"> i leveren.</w:t>
      </w:r>
    </w:p>
    <w:p w14:paraId="5FF1BEA6" w14:textId="77777777" w:rsidR="00230EA3" w:rsidRPr="00552FD4" w:rsidRDefault="00230EA3" w:rsidP="00552FD4">
      <w:pPr>
        <w:ind w:left="851"/>
        <w:rPr>
          <w:color w:val="000000"/>
          <w:sz w:val="24"/>
          <w:szCs w:val="24"/>
          <w:bdr w:val="none" w:sz="0" w:space="0" w:color="auto" w:frame="1"/>
          <w:lang w:eastAsia="da-DK"/>
        </w:rPr>
      </w:pPr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 xml:space="preserve">I rotter forårsagede </w:t>
      </w:r>
      <w:proofErr w:type="spellStart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>tamsulosin</w:t>
      </w:r>
      <w:proofErr w:type="spellEnd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 xml:space="preserve"> stort set ingen induktion af </w:t>
      </w:r>
      <w:proofErr w:type="spellStart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>mikrosomale</w:t>
      </w:r>
      <w:proofErr w:type="spellEnd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 xml:space="preserve"> leverenzymer. </w:t>
      </w:r>
    </w:p>
    <w:p w14:paraId="582BDA4B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25624FFB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i/>
          <w:iCs/>
          <w:sz w:val="24"/>
          <w:szCs w:val="24"/>
        </w:rPr>
        <w:t xml:space="preserve">In </w:t>
      </w:r>
      <w:proofErr w:type="spellStart"/>
      <w:r w:rsidRPr="00552FD4">
        <w:rPr>
          <w:i/>
          <w:iCs/>
          <w:sz w:val="24"/>
          <w:szCs w:val="24"/>
        </w:rPr>
        <w:t>vitro</w:t>
      </w:r>
      <w:proofErr w:type="spellEnd"/>
      <w:r w:rsidRPr="00552FD4">
        <w:rPr>
          <w:sz w:val="24"/>
          <w:szCs w:val="24"/>
        </w:rPr>
        <w:t xml:space="preserve">-resultater tyder på, at CYP3A4 og også CYP2D6 er involveret i </w:t>
      </w:r>
      <w:proofErr w:type="spellStart"/>
      <w:r w:rsidRPr="00552FD4">
        <w:rPr>
          <w:sz w:val="24"/>
          <w:szCs w:val="24"/>
        </w:rPr>
        <w:t>metaboliseringen</w:t>
      </w:r>
      <w:proofErr w:type="spellEnd"/>
      <w:r w:rsidRPr="00552FD4">
        <w:rPr>
          <w:sz w:val="24"/>
          <w:szCs w:val="24"/>
        </w:rPr>
        <w:t xml:space="preserve"> af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, muligvis stammer en mindre del af </w:t>
      </w:r>
      <w:proofErr w:type="spellStart"/>
      <w:r w:rsidRPr="00552FD4">
        <w:rPr>
          <w:sz w:val="24"/>
          <w:szCs w:val="24"/>
        </w:rPr>
        <w:t>metaboliseringen</w:t>
      </w:r>
      <w:proofErr w:type="spellEnd"/>
      <w:r w:rsidRPr="00552FD4">
        <w:rPr>
          <w:sz w:val="24"/>
          <w:szCs w:val="24"/>
        </w:rPr>
        <w:t xml:space="preserve"> fra andre CYP-</w:t>
      </w:r>
      <w:proofErr w:type="spellStart"/>
      <w:r w:rsidRPr="00552FD4">
        <w:rPr>
          <w:sz w:val="24"/>
          <w:szCs w:val="24"/>
        </w:rPr>
        <w:t>isoenzymer</w:t>
      </w:r>
      <w:proofErr w:type="spellEnd"/>
      <w:r w:rsidRPr="00552FD4">
        <w:rPr>
          <w:sz w:val="24"/>
          <w:szCs w:val="24"/>
        </w:rPr>
        <w:t xml:space="preserve">. Hæmning af CYP3A4 og CYP2D6 </w:t>
      </w:r>
      <w:proofErr w:type="spellStart"/>
      <w:r w:rsidRPr="00552FD4">
        <w:rPr>
          <w:sz w:val="24"/>
          <w:szCs w:val="24"/>
        </w:rPr>
        <w:t>lægemiddelmetaboliserende</w:t>
      </w:r>
      <w:proofErr w:type="spellEnd"/>
      <w:r w:rsidRPr="00552FD4">
        <w:rPr>
          <w:sz w:val="24"/>
          <w:szCs w:val="24"/>
        </w:rPr>
        <w:t xml:space="preserve"> enzymer kan føre til øget eksponering for </w:t>
      </w:r>
      <w:proofErr w:type="spellStart"/>
      <w:r w:rsidRPr="00552FD4">
        <w:rPr>
          <w:sz w:val="24"/>
          <w:szCs w:val="24"/>
        </w:rPr>
        <w:t>tamsulosinhydrochlorid</w:t>
      </w:r>
      <w:proofErr w:type="spellEnd"/>
      <w:r w:rsidRPr="00552FD4">
        <w:rPr>
          <w:sz w:val="24"/>
          <w:szCs w:val="24"/>
        </w:rPr>
        <w:t xml:space="preserve"> (se pkt. 4.4 og 4.5).</w:t>
      </w:r>
    </w:p>
    <w:p w14:paraId="47A316C4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56AD3B16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Ingen af metabolitterne er mere aktive end moderstoffet.</w:t>
      </w:r>
    </w:p>
    <w:p w14:paraId="4EC0ABAF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5087399B" w14:textId="77777777" w:rsidR="00230EA3" w:rsidRPr="00F12E3F" w:rsidRDefault="00230EA3" w:rsidP="00552FD4">
      <w:pPr>
        <w:ind w:left="851"/>
        <w:rPr>
          <w:sz w:val="24"/>
          <w:szCs w:val="24"/>
          <w:u w:val="single"/>
        </w:rPr>
      </w:pPr>
      <w:r w:rsidRPr="00F12E3F">
        <w:rPr>
          <w:sz w:val="24"/>
          <w:szCs w:val="24"/>
          <w:u w:val="single"/>
        </w:rPr>
        <w:t>Elimination</w:t>
      </w:r>
    </w:p>
    <w:p w14:paraId="6EB9D1C3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og dens metabolitter bliver hovedsageligt udskilt gennem urinen, hvor ca. 9 % af en dosis er til stede i form af </w:t>
      </w:r>
      <w:proofErr w:type="spellStart"/>
      <w:r w:rsidRPr="00552FD4">
        <w:rPr>
          <w:sz w:val="24"/>
          <w:szCs w:val="24"/>
        </w:rPr>
        <w:t>uomdannet</w:t>
      </w:r>
      <w:proofErr w:type="spellEnd"/>
      <w:r w:rsidRPr="00552FD4">
        <w:rPr>
          <w:sz w:val="24"/>
          <w:szCs w:val="24"/>
        </w:rPr>
        <w:t xml:space="preserve"> aktivt stof.</w:t>
      </w:r>
    </w:p>
    <w:p w14:paraId="69B1199A" w14:textId="77777777" w:rsidR="00230EA3" w:rsidRPr="00552FD4" w:rsidRDefault="00230EA3" w:rsidP="00552FD4">
      <w:pPr>
        <w:ind w:left="851"/>
        <w:rPr>
          <w:color w:val="000000"/>
          <w:sz w:val="24"/>
          <w:szCs w:val="24"/>
          <w:lang w:eastAsia="da-DK"/>
        </w:rPr>
      </w:pPr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 xml:space="preserve">Eliminationshalveringstiden er blevet målt til henholdsvis ca. 10 og 13 timer efter indgivelse af en enkelt dosis </w:t>
      </w:r>
      <w:proofErr w:type="spellStart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>tamsulosin</w:t>
      </w:r>
      <w:proofErr w:type="spellEnd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 xml:space="preserve"> 0,4 mg efter fødeindtagelse og hos patienter i </w:t>
      </w:r>
      <w:proofErr w:type="spellStart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>steady</w:t>
      </w:r>
      <w:proofErr w:type="spellEnd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 xml:space="preserve"> </w:t>
      </w:r>
      <w:proofErr w:type="spellStart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>state</w:t>
      </w:r>
      <w:proofErr w:type="spellEnd"/>
      <w:r w:rsidRPr="00552FD4">
        <w:rPr>
          <w:color w:val="000000"/>
          <w:sz w:val="24"/>
          <w:szCs w:val="24"/>
          <w:bdr w:val="none" w:sz="0" w:space="0" w:color="auto" w:frame="1"/>
          <w:lang w:eastAsia="da-DK"/>
        </w:rPr>
        <w:t>.</w:t>
      </w:r>
    </w:p>
    <w:p w14:paraId="419E75E6" w14:textId="31170D24" w:rsidR="001B2C86" w:rsidRDefault="001B2C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5FE914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1DE07A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5.3</w:t>
      </w:r>
      <w:r w:rsidRPr="00552FD4">
        <w:rPr>
          <w:b/>
          <w:sz w:val="24"/>
          <w:szCs w:val="24"/>
        </w:rPr>
        <w:tab/>
      </w:r>
      <w:r w:rsidR="00BD7931" w:rsidRPr="00552FD4">
        <w:rPr>
          <w:b/>
          <w:sz w:val="24"/>
          <w:szCs w:val="24"/>
        </w:rPr>
        <w:t>Non-</w:t>
      </w:r>
      <w:r w:rsidRPr="00552FD4">
        <w:rPr>
          <w:b/>
          <w:sz w:val="24"/>
          <w:szCs w:val="24"/>
        </w:rPr>
        <w:t>kliniske sikkerhedsdata</w:t>
      </w:r>
    </w:p>
    <w:p w14:paraId="182A62DF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Toksicitetsstudier med enkel og efter gentagen dosering er blevet udført i mus, rotter og hunde. Derudover er der undersøgt reproduktionstoksicitet i rotter, </w:t>
      </w:r>
      <w:proofErr w:type="spellStart"/>
      <w:r w:rsidRPr="00552FD4">
        <w:rPr>
          <w:sz w:val="24"/>
          <w:szCs w:val="24"/>
        </w:rPr>
        <w:t>karcinogenicitet</w:t>
      </w:r>
      <w:proofErr w:type="spellEnd"/>
      <w:r w:rsidRPr="00552FD4">
        <w:rPr>
          <w:sz w:val="24"/>
          <w:szCs w:val="24"/>
        </w:rPr>
        <w:t xml:space="preserve"> i mus og rotter og genotoksicitet </w:t>
      </w:r>
      <w:r w:rsidRPr="00552FD4">
        <w:rPr>
          <w:i/>
          <w:iCs/>
          <w:sz w:val="24"/>
          <w:szCs w:val="24"/>
        </w:rPr>
        <w:t xml:space="preserve">in </w:t>
      </w:r>
      <w:proofErr w:type="spellStart"/>
      <w:r w:rsidRPr="00552FD4">
        <w:rPr>
          <w:i/>
          <w:iCs/>
          <w:sz w:val="24"/>
          <w:szCs w:val="24"/>
        </w:rPr>
        <w:t>vivo</w:t>
      </w:r>
      <w:proofErr w:type="spellEnd"/>
      <w:r w:rsidRPr="00552FD4">
        <w:rPr>
          <w:sz w:val="24"/>
          <w:szCs w:val="24"/>
        </w:rPr>
        <w:t xml:space="preserve"> og </w:t>
      </w:r>
      <w:r w:rsidRPr="00552FD4">
        <w:rPr>
          <w:i/>
          <w:iCs/>
          <w:sz w:val="24"/>
          <w:szCs w:val="24"/>
        </w:rPr>
        <w:t xml:space="preserve">in </w:t>
      </w:r>
      <w:proofErr w:type="spellStart"/>
      <w:r w:rsidRPr="00552FD4">
        <w:rPr>
          <w:i/>
          <w:iCs/>
          <w:sz w:val="24"/>
          <w:szCs w:val="24"/>
        </w:rPr>
        <w:t>vitro</w:t>
      </w:r>
      <w:proofErr w:type="spellEnd"/>
      <w:r w:rsidRPr="00552FD4">
        <w:rPr>
          <w:sz w:val="24"/>
          <w:szCs w:val="24"/>
        </w:rPr>
        <w:t>.</w:t>
      </w:r>
    </w:p>
    <w:p w14:paraId="2D1FB3EB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Den generelle toksicitetsprofil fundet ud fra store doser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er i overensstemmelse med de kendte farmakologiske virkninger af α1-adrenenoreceptor-antagonister.</w:t>
      </w:r>
    </w:p>
    <w:p w14:paraId="34460CF9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Ændringer i ECG-aflæsninger fandtes ved meget store doseringer til hunde. Dette regnes dog ikke for at være af klinisk signifikant. </w:t>
      </w:r>
      <w:proofErr w:type="spellStart"/>
      <w:r w:rsidRPr="00552FD4">
        <w:rPr>
          <w:sz w:val="24"/>
          <w:szCs w:val="24"/>
        </w:rPr>
        <w:t>Tamsulosin</w:t>
      </w:r>
      <w:proofErr w:type="spellEnd"/>
      <w:r w:rsidRPr="00552FD4">
        <w:rPr>
          <w:sz w:val="24"/>
          <w:szCs w:val="24"/>
        </w:rPr>
        <w:t xml:space="preserve"> viste ikke signifikante genotoksiske egenskaber.</w:t>
      </w:r>
    </w:p>
    <w:p w14:paraId="7E6C74AF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Der er blevet rapporteret større </w:t>
      </w:r>
      <w:proofErr w:type="spellStart"/>
      <w:r w:rsidRPr="00552FD4">
        <w:rPr>
          <w:sz w:val="24"/>
          <w:szCs w:val="24"/>
        </w:rPr>
        <w:t>incidens</w:t>
      </w:r>
      <w:proofErr w:type="spellEnd"/>
      <w:r w:rsidRPr="00552FD4">
        <w:rPr>
          <w:sz w:val="24"/>
          <w:szCs w:val="24"/>
        </w:rPr>
        <w:t xml:space="preserve"> af celledelingsforandringer i brystkirtler hos hunrotter og </w:t>
      </w:r>
      <w:r w:rsidRPr="00552FD4">
        <w:rPr>
          <w:sz w:val="24"/>
          <w:szCs w:val="24"/>
        </w:rPr>
        <w:noBreakHyphen/>
        <w:t xml:space="preserve">mus. Disse fund, som sandsynligvis hænger sammen med </w:t>
      </w:r>
      <w:proofErr w:type="spellStart"/>
      <w:r w:rsidRPr="00552FD4">
        <w:rPr>
          <w:sz w:val="24"/>
          <w:szCs w:val="24"/>
        </w:rPr>
        <w:t>hyperprolaktinæmi</w:t>
      </w:r>
      <w:proofErr w:type="spellEnd"/>
      <w:r w:rsidRPr="00552FD4">
        <w:rPr>
          <w:sz w:val="24"/>
          <w:szCs w:val="24"/>
        </w:rPr>
        <w:t xml:space="preserve"> og kun opstod ved indtagelse af høje doser, menes at være klinisk irrelevante.</w:t>
      </w:r>
    </w:p>
    <w:p w14:paraId="4EA412C5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70E570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1EB350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</w:t>
      </w:r>
      <w:r w:rsidRPr="00552FD4">
        <w:rPr>
          <w:b/>
          <w:sz w:val="24"/>
          <w:szCs w:val="24"/>
        </w:rPr>
        <w:tab/>
        <w:t>FARMACEUTISKE OPLYSNINGER</w:t>
      </w:r>
    </w:p>
    <w:p w14:paraId="61D1AB53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A66FE3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6.1</w:t>
      </w:r>
      <w:r w:rsidRPr="00552FD4">
        <w:rPr>
          <w:b/>
          <w:sz w:val="24"/>
          <w:szCs w:val="24"/>
        </w:rPr>
        <w:tab/>
        <w:t>Hjælpestoffer</w:t>
      </w:r>
    </w:p>
    <w:p w14:paraId="74F162C3" w14:textId="77777777" w:rsidR="00F12E3F" w:rsidRDefault="00F12E3F" w:rsidP="00552FD4">
      <w:pPr>
        <w:ind w:left="851"/>
        <w:rPr>
          <w:sz w:val="24"/>
          <w:szCs w:val="24"/>
        </w:rPr>
      </w:pPr>
    </w:p>
    <w:p w14:paraId="61BDF6F8" w14:textId="46603C2D" w:rsidR="00230EA3" w:rsidRPr="00F12E3F" w:rsidRDefault="00230EA3" w:rsidP="00552FD4">
      <w:pPr>
        <w:ind w:left="851"/>
        <w:rPr>
          <w:i/>
          <w:sz w:val="24"/>
          <w:szCs w:val="24"/>
        </w:rPr>
      </w:pPr>
      <w:r w:rsidRPr="00F12E3F">
        <w:rPr>
          <w:i/>
          <w:sz w:val="24"/>
          <w:szCs w:val="24"/>
        </w:rPr>
        <w:t>Pellets:</w:t>
      </w:r>
    </w:p>
    <w:p w14:paraId="4FB87FAE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Methacrylsyre-ethylacrylat</w:t>
      </w:r>
      <w:proofErr w:type="spellEnd"/>
      <w:r w:rsidRPr="00552FD4">
        <w:rPr>
          <w:sz w:val="24"/>
          <w:szCs w:val="24"/>
        </w:rPr>
        <w:t xml:space="preserve"> </w:t>
      </w:r>
      <w:proofErr w:type="spellStart"/>
      <w:r w:rsidRPr="00552FD4">
        <w:rPr>
          <w:sz w:val="24"/>
          <w:szCs w:val="24"/>
        </w:rPr>
        <w:t>copolymer</w:t>
      </w:r>
      <w:proofErr w:type="spellEnd"/>
      <w:r w:rsidRPr="00552FD4">
        <w:rPr>
          <w:sz w:val="24"/>
          <w:szCs w:val="24"/>
        </w:rPr>
        <w:t xml:space="preserve"> (1:1) dispersion 30 %*</w:t>
      </w:r>
    </w:p>
    <w:p w14:paraId="74070C27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Mikrokrystallinsk cellulose</w:t>
      </w:r>
    </w:p>
    <w:p w14:paraId="4D6A1B1E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Dibutylsebacat</w:t>
      </w:r>
      <w:proofErr w:type="spellEnd"/>
    </w:p>
    <w:p w14:paraId="7A9F3DEA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Polysorbat</w:t>
      </w:r>
      <w:proofErr w:type="spellEnd"/>
      <w:r w:rsidRPr="00552FD4">
        <w:rPr>
          <w:sz w:val="24"/>
          <w:szCs w:val="24"/>
        </w:rPr>
        <w:t> 80 (E433)</w:t>
      </w:r>
    </w:p>
    <w:p w14:paraId="4A17290D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758EB90D" w14:textId="77777777" w:rsidR="00230EA3" w:rsidRPr="00F12E3F" w:rsidRDefault="00230EA3" w:rsidP="00552FD4">
      <w:pPr>
        <w:ind w:left="851"/>
        <w:rPr>
          <w:i/>
          <w:sz w:val="24"/>
          <w:szCs w:val="24"/>
        </w:rPr>
      </w:pPr>
      <w:r w:rsidRPr="00F12E3F">
        <w:rPr>
          <w:i/>
          <w:sz w:val="24"/>
          <w:szCs w:val="24"/>
        </w:rPr>
        <w:t>Overtræk:</w:t>
      </w:r>
    </w:p>
    <w:p w14:paraId="7F5E260C" w14:textId="77777777" w:rsidR="00230EA3" w:rsidRPr="00552FD4" w:rsidRDefault="00230EA3" w:rsidP="00552FD4">
      <w:pPr>
        <w:ind w:left="851"/>
        <w:rPr>
          <w:sz w:val="24"/>
          <w:szCs w:val="24"/>
          <w:lang w:val="en-US"/>
        </w:rPr>
      </w:pPr>
      <w:proofErr w:type="spellStart"/>
      <w:r w:rsidRPr="00552FD4">
        <w:rPr>
          <w:sz w:val="24"/>
          <w:szCs w:val="24"/>
          <w:lang w:val="en-US"/>
        </w:rPr>
        <w:t>Methacrylsyre-ethylacrylat</w:t>
      </w:r>
      <w:proofErr w:type="spellEnd"/>
      <w:r w:rsidRPr="00552FD4">
        <w:rPr>
          <w:sz w:val="24"/>
          <w:szCs w:val="24"/>
          <w:lang w:val="en-US"/>
        </w:rPr>
        <w:t xml:space="preserve"> copolymer (1:1) dispersion 30 %*</w:t>
      </w:r>
    </w:p>
    <w:p w14:paraId="59E6A427" w14:textId="77777777" w:rsidR="00230EA3" w:rsidRPr="00552FD4" w:rsidRDefault="00230EA3" w:rsidP="00552FD4">
      <w:pPr>
        <w:ind w:left="851"/>
        <w:rPr>
          <w:sz w:val="24"/>
          <w:szCs w:val="24"/>
          <w:lang w:val="en-US"/>
        </w:rPr>
      </w:pPr>
      <w:proofErr w:type="spellStart"/>
      <w:r w:rsidRPr="00552FD4">
        <w:rPr>
          <w:sz w:val="24"/>
          <w:szCs w:val="24"/>
          <w:lang w:val="en-US"/>
        </w:rPr>
        <w:t>Dibutylsebacat</w:t>
      </w:r>
      <w:proofErr w:type="spellEnd"/>
    </w:p>
    <w:p w14:paraId="00344783" w14:textId="77777777" w:rsidR="00230EA3" w:rsidRPr="00552FD4" w:rsidRDefault="00230EA3" w:rsidP="00552FD4">
      <w:pPr>
        <w:ind w:left="851"/>
        <w:rPr>
          <w:sz w:val="24"/>
          <w:szCs w:val="24"/>
          <w:lang w:val="en-US"/>
        </w:rPr>
      </w:pPr>
      <w:proofErr w:type="spellStart"/>
      <w:r w:rsidRPr="00552FD4">
        <w:rPr>
          <w:sz w:val="24"/>
          <w:szCs w:val="24"/>
          <w:lang w:val="en-US"/>
        </w:rPr>
        <w:t>Polysorbat</w:t>
      </w:r>
      <w:proofErr w:type="spellEnd"/>
      <w:r w:rsidRPr="00552FD4">
        <w:rPr>
          <w:sz w:val="24"/>
          <w:szCs w:val="24"/>
          <w:lang w:val="en-US"/>
        </w:rPr>
        <w:t> 80 (E433)</w:t>
      </w:r>
    </w:p>
    <w:p w14:paraId="70A809CF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Silica</w:t>
      </w:r>
      <w:proofErr w:type="spellEnd"/>
      <w:r w:rsidRPr="00552FD4">
        <w:rPr>
          <w:sz w:val="24"/>
          <w:szCs w:val="24"/>
        </w:rPr>
        <w:t>, kolloid vandfri</w:t>
      </w:r>
    </w:p>
    <w:p w14:paraId="798D4441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*dispersionen indeholder 0,7 % </w:t>
      </w:r>
      <w:proofErr w:type="spellStart"/>
      <w:r w:rsidRPr="00552FD4">
        <w:rPr>
          <w:sz w:val="24"/>
          <w:szCs w:val="24"/>
        </w:rPr>
        <w:t>natriumlaurilsulfat</w:t>
      </w:r>
      <w:proofErr w:type="spellEnd"/>
      <w:r w:rsidRPr="00552FD4">
        <w:rPr>
          <w:sz w:val="24"/>
          <w:szCs w:val="24"/>
        </w:rPr>
        <w:t xml:space="preserve"> </w:t>
      </w:r>
      <w:proofErr w:type="spellStart"/>
      <w:r w:rsidRPr="00552FD4">
        <w:rPr>
          <w:sz w:val="24"/>
          <w:szCs w:val="24"/>
        </w:rPr>
        <w:t>Ph</w:t>
      </w:r>
      <w:proofErr w:type="spellEnd"/>
      <w:r w:rsidRPr="00552FD4">
        <w:rPr>
          <w:sz w:val="24"/>
          <w:szCs w:val="24"/>
        </w:rPr>
        <w:t xml:space="preserve">. </w:t>
      </w:r>
      <w:proofErr w:type="spellStart"/>
      <w:r w:rsidRPr="00552FD4">
        <w:rPr>
          <w:sz w:val="24"/>
          <w:szCs w:val="24"/>
        </w:rPr>
        <w:t>Eur</w:t>
      </w:r>
      <w:proofErr w:type="spellEnd"/>
      <w:r w:rsidRPr="00552FD4">
        <w:rPr>
          <w:sz w:val="24"/>
          <w:szCs w:val="24"/>
        </w:rPr>
        <w:t xml:space="preserve">. / NF og 2,3 % </w:t>
      </w:r>
      <w:proofErr w:type="spellStart"/>
      <w:r w:rsidRPr="00552FD4">
        <w:rPr>
          <w:sz w:val="24"/>
          <w:szCs w:val="24"/>
        </w:rPr>
        <w:t>polysorbat</w:t>
      </w:r>
      <w:proofErr w:type="spellEnd"/>
      <w:r w:rsidRPr="00552FD4">
        <w:rPr>
          <w:sz w:val="24"/>
          <w:szCs w:val="24"/>
        </w:rPr>
        <w:t xml:space="preserve"> 80 </w:t>
      </w:r>
      <w:proofErr w:type="spellStart"/>
      <w:r w:rsidRPr="00552FD4">
        <w:rPr>
          <w:sz w:val="24"/>
          <w:szCs w:val="24"/>
        </w:rPr>
        <w:t>Ph</w:t>
      </w:r>
      <w:proofErr w:type="spellEnd"/>
      <w:r w:rsidRPr="00552FD4">
        <w:rPr>
          <w:sz w:val="24"/>
          <w:szCs w:val="24"/>
        </w:rPr>
        <w:t xml:space="preserve">. </w:t>
      </w:r>
      <w:proofErr w:type="spellStart"/>
      <w:r w:rsidRPr="00552FD4">
        <w:rPr>
          <w:sz w:val="24"/>
          <w:szCs w:val="24"/>
        </w:rPr>
        <w:t>Eur</w:t>
      </w:r>
      <w:proofErr w:type="spellEnd"/>
      <w:r w:rsidRPr="00552FD4">
        <w:rPr>
          <w:sz w:val="24"/>
          <w:szCs w:val="24"/>
        </w:rPr>
        <w:t>. / NF på fast stof, som emulgatorer</w:t>
      </w:r>
    </w:p>
    <w:p w14:paraId="3B807C28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4B27DED3" w14:textId="77777777" w:rsidR="00230EA3" w:rsidRPr="00552FD4" w:rsidRDefault="00230EA3" w:rsidP="00552FD4">
      <w:pPr>
        <w:ind w:left="851"/>
        <w:rPr>
          <w:sz w:val="24"/>
          <w:szCs w:val="24"/>
        </w:rPr>
      </w:pPr>
      <w:proofErr w:type="spellStart"/>
      <w:r w:rsidRPr="00552FD4">
        <w:rPr>
          <w:sz w:val="24"/>
          <w:szCs w:val="24"/>
        </w:rPr>
        <w:t>Calciumstearat</w:t>
      </w:r>
      <w:proofErr w:type="spellEnd"/>
    </w:p>
    <w:p w14:paraId="539C2BC1" w14:textId="77777777" w:rsidR="00230EA3" w:rsidRPr="00552FD4" w:rsidRDefault="00230EA3" w:rsidP="00552FD4">
      <w:pPr>
        <w:ind w:left="851"/>
        <w:rPr>
          <w:sz w:val="24"/>
          <w:szCs w:val="24"/>
        </w:rPr>
      </w:pPr>
    </w:p>
    <w:p w14:paraId="2947628E" w14:textId="77777777" w:rsidR="00230EA3" w:rsidRPr="00F12E3F" w:rsidRDefault="00230EA3" w:rsidP="00552FD4">
      <w:pPr>
        <w:ind w:left="851"/>
        <w:rPr>
          <w:i/>
          <w:sz w:val="24"/>
          <w:szCs w:val="24"/>
        </w:rPr>
      </w:pPr>
      <w:r w:rsidRPr="00F12E3F">
        <w:rPr>
          <w:i/>
          <w:sz w:val="24"/>
          <w:szCs w:val="24"/>
        </w:rPr>
        <w:t>Hård gelatinekapsel:</w:t>
      </w:r>
    </w:p>
    <w:p w14:paraId="329CBA74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Rød jernoxid (E172)</w:t>
      </w:r>
    </w:p>
    <w:p w14:paraId="41A9B7F3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Titandioxid (E171)</w:t>
      </w:r>
    </w:p>
    <w:p w14:paraId="2702CDE1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Gul jernoxid (E172)</w:t>
      </w:r>
    </w:p>
    <w:p w14:paraId="31A0FA18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Sort jernoxid (E172)</w:t>
      </w:r>
    </w:p>
    <w:p w14:paraId="07A73DE5" w14:textId="77777777" w:rsidR="00230EA3" w:rsidRPr="00552FD4" w:rsidRDefault="00230EA3" w:rsidP="00552FD4">
      <w:pPr>
        <w:ind w:left="851"/>
        <w:rPr>
          <w:sz w:val="24"/>
          <w:szCs w:val="24"/>
          <w:lang w:val="en-US"/>
        </w:rPr>
      </w:pPr>
      <w:proofErr w:type="spellStart"/>
      <w:r w:rsidRPr="00552FD4">
        <w:rPr>
          <w:sz w:val="24"/>
          <w:szCs w:val="24"/>
          <w:lang w:val="en-US"/>
        </w:rPr>
        <w:t>Indigotin</w:t>
      </w:r>
      <w:proofErr w:type="spellEnd"/>
      <w:r w:rsidRPr="00552FD4">
        <w:rPr>
          <w:sz w:val="24"/>
          <w:szCs w:val="24"/>
          <w:lang w:val="en-US"/>
        </w:rPr>
        <w:t xml:space="preserve"> – FD&amp;C Blue2 (E132)</w:t>
      </w:r>
    </w:p>
    <w:p w14:paraId="35FE1F22" w14:textId="77777777" w:rsidR="00230EA3" w:rsidRPr="00552FD4" w:rsidRDefault="00230EA3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Gelatine</w:t>
      </w:r>
    </w:p>
    <w:p w14:paraId="3BD0903F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3A8B37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6.2</w:t>
      </w:r>
      <w:r w:rsidRPr="00552FD4">
        <w:rPr>
          <w:b/>
          <w:sz w:val="24"/>
          <w:szCs w:val="24"/>
        </w:rPr>
        <w:tab/>
        <w:t>Uforligeligheder</w:t>
      </w:r>
    </w:p>
    <w:p w14:paraId="631B3450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Ikke relevant.</w:t>
      </w:r>
    </w:p>
    <w:p w14:paraId="12E9BB8C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CCB743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6.3</w:t>
      </w:r>
      <w:r w:rsidRPr="00552FD4">
        <w:rPr>
          <w:b/>
          <w:sz w:val="24"/>
          <w:szCs w:val="24"/>
        </w:rPr>
        <w:tab/>
        <w:t>Opbevaringstid</w:t>
      </w:r>
    </w:p>
    <w:p w14:paraId="457F48CA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2 år</w:t>
      </w:r>
    </w:p>
    <w:p w14:paraId="65F9B191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1DE470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6.4</w:t>
      </w:r>
      <w:r w:rsidRPr="00552FD4">
        <w:rPr>
          <w:b/>
          <w:sz w:val="24"/>
          <w:szCs w:val="24"/>
        </w:rPr>
        <w:tab/>
        <w:t>Særlige opbevaringsforhold</w:t>
      </w:r>
    </w:p>
    <w:p w14:paraId="4507FA6E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Dette lægemiddel kræver ingen særlige forholdsregler vedrørende opbevaringen.</w:t>
      </w:r>
    </w:p>
    <w:p w14:paraId="4DFF3340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5DFB16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6.5</w:t>
      </w:r>
      <w:r w:rsidRPr="00552FD4">
        <w:rPr>
          <w:b/>
          <w:sz w:val="24"/>
          <w:szCs w:val="24"/>
        </w:rPr>
        <w:tab/>
        <w:t>Emballagetype og pakningsstørrelser</w:t>
      </w:r>
    </w:p>
    <w:p w14:paraId="4CE1AAF1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PVC/PVDC-aluminium-blisterpakninger indeholdende 10, 20, 30, 50, 90 eller 100 kapsler.</w:t>
      </w:r>
    </w:p>
    <w:p w14:paraId="0867B92B" w14:textId="77777777" w:rsidR="00ED0637" w:rsidRPr="00552FD4" w:rsidRDefault="00ED0637" w:rsidP="00552FD4">
      <w:pPr>
        <w:ind w:left="851"/>
        <w:rPr>
          <w:sz w:val="24"/>
          <w:szCs w:val="24"/>
        </w:rPr>
      </w:pPr>
    </w:p>
    <w:p w14:paraId="0E376364" w14:textId="6E7D07C9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Perforerede PVC/PVDC-aluminium-enkeltdosisblistere indeholdende 10 </w:t>
      </w:r>
      <w:r w:rsidR="00F12E3F">
        <w:rPr>
          <w:sz w:val="24"/>
          <w:szCs w:val="24"/>
        </w:rPr>
        <w:t>×</w:t>
      </w:r>
      <w:r w:rsidRPr="00552FD4">
        <w:rPr>
          <w:sz w:val="24"/>
          <w:szCs w:val="24"/>
        </w:rPr>
        <w:t> 1, 20 </w:t>
      </w:r>
      <w:r w:rsidR="00F12E3F">
        <w:rPr>
          <w:sz w:val="24"/>
          <w:szCs w:val="24"/>
        </w:rPr>
        <w:t>×</w:t>
      </w:r>
      <w:r w:rsidRPr="00552FD4">
        <w:rPr>
          <w:sz w:val="24"/>
          <w:szCs w:val="24"/>
        </w:rPr>
        <w:t> 1, 30 </w:t>
      </w:r>
      <w:r w:rsidR="00F12E3F">
        <w:rPr>
          <w:sz w:val="24"/>
          <w:szCs w:val="24"/>
        </w:rPr>
        <w:t>×</w:t>
      </w:r>
      <w:r w:rsidRPr="00552FD4">
        <w:rPr>
          <w:sz w:val="24"/>
          <w:szCs w:val="24"/>
        </w:rPr>
        <w:t> 1, 50 </w:t>
      </w:r>
      <w:r w:rsidR="00F12E3F">
        <w:rPr>
          <w:sz w:val="24"/>
          <w:szCs w:val="24"/>
        </w:rPr>
        <w:t>×</w:t>
      </w:r>
      <w:r w:rsidRPr="00552FD4">
        <w:rPr>
          <w:sz w:val="24"/>
          <w:szCs w:val="24"/>
        </w:rPr>
        <w:t> 1, 90 </w:t>
      </w:r>
      <w:r w:rsidR="00F12E3F">
        <w:rPr>
          <w:sz w:val="24"/>
          <w:szCs w:val="24"/>
        </w:rPr>
        <w:t>×</w:t>
      </w:r>
      <w:r w:rsidRPr="00552FD4">
        <w:rPr>
          <w:sz w:val="24"/>
          <w:szCs w:val="24"/>
        </w:rPr>
        <w:t> 1 eller 100 </w:t>
      </w:r>
      <w:r w:rsidR="00F12E3F">
        <w:rPr>
          <w:sz w:val="24"/>
          <w:szCs w:val="24"/>
        </w:rPr>
        <w:t>×</w:t>
      </w:r>
      <w:r w:rsidRPr="00552FD4">
        <w:rPr>
          <w:sz w:val="24"/>
          <w:szCs w:val="24"/>
        </w:rPr>
        <w:t> 1 kapsler.</w:t>
      </w:r>
    </w:p>
    <w:p w14:paraId="7DECB2B7" w14:textId="77777777" w:rsidR="00ED0637" w:rsidRPr="00552FD4" w:rsidRDefault="00ED0637" w:rsidP="00552FD4">
      <w:pPr>
        <w:ind w:left="851"/>
        <w:rPr>
          <w:sz w:val="24"/>
          <w:szCs w:val="24"/>
        </w:rPr>
      </w:pPr>
    </w:p>
    <w:p w14:paraId="7C9109F1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 xml:space="preserve">HDPE-beholdere med en anbrudssikret lukning og </w:t>
      </w:r>
      <w:proofErr w:type="spellStart"/>
      <w:r w:rsidRPr="00552FD4">
        <w:rPr>
          <w:sz w:val="24"/>
          <w:szCs w:val="24"/>
        </w:rPr>
        <w:t>silicagel</w:t>
      </w:r>
      <w:proofErr w:type="spellEnd"/>
      <w:r w:rsidRPr="00552FD4">
        <w:rPr>
          <w:sz w:val="24"/>
          <w:szCs w:val="24"/>
        </w:rPr>
        <w:t>-tørremiddel i PP-låget indeholdende 30, 35, 50, 60, 90, 100, 112 eller 200 kapsler.</w:t>
      </w:r>
    </w:p>
    <w:p w14:paraId="63375F4E" w14:textId="77777777" w:rsidR="00ED0637" w:rsidRPr="00552FD4" w:rsidRDefault="00ED0637" w:rsidP="00552FD4">
      <w:pPr>
        <w:ind w:left="851"/>
        <w:rPr>
          <w:sz w:val="24"/>
          <w:szCs w:val="24"/>
        </w:rPr>
      </w:pPr>
    </w:p>
    <w:p w14:paraId="5E501DCF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Ikke alle pakningsstørrelser er nødvendigvis markedsført.</w:t>
      </w:r>
    </w:p>
    <w:p w14:paraId="28EEDD90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B6943B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6.6</w:t>
      </w:r>
      <w:r w:rsidRPr="00552FD4">
        <w:rPr>
          <w:b/>
          <w:sz w:val="24"/>
          <w:szCs w:val="24"/>
        </w:rPr>
        <w:tab/>
        <w:t xml:space="preserve">Regler for </w:t>
      </w:r>
      <w:r w:rsidR="00BD7931" w:rsidRPr="00552FD4">
        <w:rPr>
          <w:b/>
          <w:sz w:val="24"/>
          <w:szCs w:val="24"/>
        </w:rPr>
        <w:t>bortskaffelse</w:t>
      </w:r>
      <w:r w:rsidRPr="00552FD4">
        <w:rPr>
          <w:b/>
          <w:sz w:val="24"/>
          <w:szCs w:val="24"/>
        </w:rPr>
        <w:t xml:space="preserve"> og anden håndtering</w:t>
      </w:r>
    </w:p>
    <w:p w14:paraId="043998A9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Ingen særlige forholdsregler ved bortskaffelse.</w:t>
      </w:r>
    </w:p>
    <w:p w14:paraId="30A2464A" w14:textId="77777777" w:rsidR="00ED0637" w:rsidRPr="00552FD4" w:rsidRDefault="00ED0637" w:rsidP="00552FD4">
      <w:pPr>
        <w:ind w:left="851"/>
        <w:rPr>
          <w:sz w:val="24"/>
          <w:szCs w:val="24"/>
        </w:rPr>
      </w:pPr>
    </w:p>
    <w:p w14:paraId="5C6F55E1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Ikke anvendt lægemiddel samt affald heraf skal bortskaffes i henhold til lokale retningslinjer.</w:t>
      </w:r>
    </w:p>
    <w:p w14:paraId="556E6472" w14:textId="77777777" w:rsidR="009260DE" w:rsidRPr="00552FD4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71048F4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7.</w:t>
      </w:r>
      <w:r w:rsidRPr="00552FD4">
        <w:rPr>
          <w:b/>
          <w:sz w:val="24"/>
          <w:szCs w:val="24"/>
        </w:rPr>
        <w:tab/>
        <w:t>INDEHAVER AF MARKEDSFØRINGSTILLADELSEN</w:t>
      </w:r>
    </w:p>
    <w:p w14:paraId="37202CE9" w14:textId="77777777" w:rsidR="00ED0637" w:rsidRPr="00552FD4" w:rsidRDefault="00ED0637" w:rsidP="00552FD4">
      <w:pPr>
        <w:ind w:left="851"/>
        <w:rPr>
          <w:sz w:val="24"/>
          <w:szCs w:val="24"/>
          <w:lang w:val="es-ES"/>
        </w:rPr>
      </w:pPr>
      <w:r w:rsidRPr="00552FD4">
        <w:rPr>
          <w:sz w:val="24"/>
          <w:szCs w:val="24"/>
          <w:lang w:val="es-ES"/>
        </w:rPr>
        <w:t>LABORATORIOS LICONSA, S.A.</w:t>
      </w:r>
    </w:p>
    <w:p w14:paraId="026ED933" w14:textId="77777777" w:rsidR="00D322C6" w:rsidRPr="00552FD4" w:rsidRDefault="00ED0637" w:rsidP="00552FD4">
      <w:pPr>
        <w:ind w:left="851"/>
        <w:rPr>
          <w:sz w:val="24"/>
          <w:szCs w:val="24"/>
          <w:lang w:val="es-ES"/>
        </w:rPr>
      </w:pPr>
      <w:r w:rsidRPr="00552FD4">
        <w:rPr>
          <w:sz w:val="24"/>
          <w:szCs w:val="24"/>
          <w:lang w:val="es-ES"/>
        </w:rPr>
        <w:t>C/Dulcinea S/N</w:t>
      </w:r>
    </w:p>
    <w:p w14:paraId="72466BB7" w14:textId="77777777" w:rsidR="00D322C6" w:rsidRPr="00552FD4" w:rsidRDefault="00ED0637" w:rsidP="00552FD4">
      <w:pPr>
        <w:ind w:left="851"/>
        <w:rPr>
          <w:sz w:val="24"/>
          <w:szCs w:val="24"/>
          <w:lang w:val="es-ES"/>
        </w:rPr>
      </w:pPr>
      <w:r w:rsidRPr="00552FD4">
        <w:rPr>
          <w:sz w:val="24"/>
          <w:szCs w:val="24"/>
          <w:lang w:val="es-ES"/>
        </w:rPr>
        <w:t>Alcalá de Henares</w:t>
      </w:r>
    </w:p>
    <w:p w14:paraId="6867B8FD" w14:textId="0DA79D33" w:rsidR="00ED0637" w:rsidRPr="00552FD4" w:rsidRDefault="00ED0637" w:rsidP="00552FD4">
      <w:pPr>
        <w:ind w:left="851"/>
        <w:rPr>
          <w:sz w:val="24"/>
          <w:szCs w:val="24"/>
          <w:lang w:val="es-ES"/>
        </w:rPr>
      </w:pPr>
      <w:r w:rsidRPr="00552FD4">
        <w:rPr>
          <w:sz w:val="24"/>
          <w:szCs w:val="24"/>
          <w:lang w:val="es-ES"/>
        </w:rPr>
        <w:t>28805 Madrid</w:t>
      </w:r>
    </w:p>
    <w:p w14:paraId="6E30B3A6" w14:textId="77777777" w:rsidR="00ED0637" w:rsidRPr="00552FD4" w:rsidRDefault="00ED0637" w:rsidP="00552FD4">
      <w:pPr>
        <w:ind w:left="851"/>
        <w:rPr>
          <w:sz w:val="24"/>
          <w:szCs w:val="24"/>
        </w:rPr>
      </w:pPr>
      <w:r w:rsidRPr="00552FD4">
        <w:rPr>
          <w:sz w:val="24"/>
          <w:szCs w:val="24"/>
        </w:rPr>
        <w:t>Spanien</w:t>
      </w:r>
    </w:p>
    <w:p w14:paraId="0E57D113" w14:textId="77777777" w:rsidR="00641C65" w:rsidRPr="00552FD4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FC7555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8.</w:t>
      </w:r>
      <w:r w:rsidRPr="00552FD4">
        <w:rPr>
          <w:b/>
          <w:sz w:val="24"/>
          <w:szCs w:val="24"/>
        </w:rPr>
        <w:tab/>
        <w:t>MARKEDSFØRINGSTILLADELSESNUMMER (</w:t>
      </w:r>
      <w:r w:rsidR="00BF6243" w:rsidRPr="00552FD4">
        <w:rPr>
          <w:b/>
          <w:sz w:val="24"/>
          <w:szCs w:val="24"/>
        </w:rPr>
        <w:t>-</w:t>
      </w:r>
      <w:r w:rsidRPr="00552FD4">
        <w:rPr>
          <w:b/>
          <w:sz w:val="24"/>
          <w:szCs w:val="24"/>
        </w:rPr>
        <w:t>NUMRE)</w:t>
      </w:r>
    </w:p>
    <w:p w14:paraId="452E16E5" w14:textId="3D5D6682" w:rsidR="009260DE" w:rsidRPr="00552FD4" w:rsidRDefault="00ED0637" w:rsidP="009260DE">
      <w:pPr>
        <w:tabs>
          <w:tab w:val="left" w:pos="851"/>
        </w:tabs>
        <w:ind w:left="851"/>
        <w:rPr>
          <w:sz w:val="24"/>
          <w:szCs w:val="24"/>
        </w:rPr>
      </w:pPr>
      <w:r w:rsidRPr="00552FD4">
        <w:rPr>
          <w:sz w:val="24"/>
          <w:szCs w:val="24"/>
        </w:rPr>
        <w:t>70477</w:t>
      </w:r>
    </w:p>
    <w:p w14:paraId="143120F1" w14:textId="77777777" w:rsidR="009260DE" w:rsidRPr="00552FD4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BC9778C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9.</w:t>
      </w:r>
      <w:r w:rsidRPr="00552FD4">
        <w:rPr>
          <w:b/>
          <w:sz w:val="24"/>
          <w:szCs w:val="24"/>
        </w:rPr>
        <w:tab/>
        <w:t>DATO FOR FØRSTE MARKEDSFØRINGSTILLADELSE</w:t>
      </w:r>
    </w:p>
    <w:p w14:paraId="3AFBFFF7" w14:textId="02D07056" w:rsidR="009260DE" w:rsidRPr="00552FD4" w:rsidRDefault="0019716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september 2024</w:t>
      </w:r>
    </w:p>
    <w:p w14:paraId="709772DB" w14:textId="77777777" w:rsidR="009260DE" w:rsidRPr="00552FD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1E2A60" w14:textId="77777777" w:rsidR="009260DE" w:rsidRPr="00552FD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52FD4">
        <w:rPr>
          <w:b/>
          <w:sz w:val="24"/>
          <w:szCs w:val="24"/>
        </w:rPr>
        <w:t>10.</w:t>
      </w:r>
      <w:r w:rsidRPr="00552FD4">
        <w:rPr>
          <w:b/>
          <w:sz w:val="24"/>
          <w:szCs w:val="24"/>
        </w:rPr>
        <w:tab/>
        <w:t>DATO FOR ÆNDRING AF TEKSTEN</w:t>
      </w:r>
    </w:p>
    <w:p w14:paraId="094C9798" w14:textId="479D1DA5" w:rsidR="009260DE" w:rsidRPr="00552FD4" w:rsidRDefault="00ED0637" w:rsidP="009260DE">
      <w:pPr>
        <w:tabs>
          <w:tab w:val="left" w:pos="851"/>
        </w:tabs>
        <w:ind w:left="851"/>
        <w:rPr>
          <w:sz w:val="24"/>
          <w:szCs w:val="24"/>
        </w:rPr>
      </w:pPr>
      <w:r w:rsidRPr="00552FD4">
        <w:rPr>
          <w:sz w:val="24"/>
          <w:szCs w:val="24"/>
        </w:rPr>
        <w:t>-</w:t>
      </w:r>
    </w:p>
    <w:sectPr w:rsidR="009260DE" w:rsidRPr="00552FD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20D8" w14:textId="77777777" w:rsidR="00906A24" w:rsidRDefault="00906A24">
      <w:r>
        <w:separator/>
      </w:r>
    </w:p>
  </w:endnote>
  <w:endnote w:type="continuationSeparator" w:id="0">
    <w:p w14:paraId="197C7765" w14:textId="77777777" w:rsidR="00906A24" w:rsidRDefault="0090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690D" w14:textId="77777777" w:rsidR="000259B9" w:rsidRDefault="000259B9">
    <w:pPr>
      <w:pStyle w:val="Sidefod"/>
      <w:pBdr>
        <w:bottom w:val="single" w:sz="6" w:space="1" w:color="auto"/>
      </w:pBdr>
    </w:pPr>
  </w:p>
  <w:p w14:paraId="3DAFF083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1AAB4CC" w14:textId="5FA4BEE0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9716A">
      <w:rPr>
        <w:i/>
        <w:noProof/>
        <w:sz w:val="18"/>
        <w:szCs w:val="18"/>
      </w:rPr>
      <w:t>Tamsuvilla, hårde kapsler med modificeret udløsning 0,4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879B1" w14:textId="77777777" w:rsidR="00906A24" w:rsidRDefault="00906A24">
      <w:r>
        <w:separator/>
      </w:r>
    </w:p>
  </w:footnote>
  <w:footnote w:type="continuationSeparator" w:id="0">
    <w:p w14:paraId="359CDA99" w14:textId="77777777" w:rsidR="00906A24" w:rsidRDefault="0090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24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9716A"/>
    <w:rsid w:val="001B2C86"/>
    <w:rsid w:val="00206CE8"/>
    <w:rsid w:val="0021526C"/>
    <w:rsid w:val="00230EA3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52FD4"/>
    <w:rsid w:val="00565F0F"/>
    <w:rsid w:val="00594A86"/>
    <w:rsid w:val="00596D86"/>
    <w:rsid w:val="00637F5A"/>
    <w:rsid w:val="00641C65"/>
    <w:rsid w:val="006560B1"/>
    <w:rsid w:val="006601E6"/>
    <w:rsid w:val="006756DD"/>
    <w:rsid w:val="0071241E"/>
    <w:rsid w:val="00737275"/>
    <w:rsid w:val="00740EEC"/>
    <w:rsid w:val="0078011A"/>
    <w:rsid w:val="00782AF4"/>
    <w:rsid w:val="00790EE7"/>
    <w:rsid w:val="007B6649"/>
    <w:rsid w:val="008059E5"/>
    <w:rsid w:val="0082576E"/>
    <w:rsid w:val="0089346F"/>
    <w:rsid w:val="00906A24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D7931"/>
    <w:rsid w:val="00BE11FC"/>
    <w:rsid w:val="00BF6243"/>
    <w:rsid w:val="00C36276"/>
    <w:rsid w:val="00C42586"/>
    <w:rsid w:val="00C45F6B"/>
    <w:rsid w:val="00C60CCD"/>
    <w:rsid w:val="00C84483"/>
    <w:rsid w:val="00C95551"/>
    <w:rsid w:val="00CB178F"/>
    <w:rsid w:val="00CB20D7"/>
    <w:rsid w:val="00D020B0"/>
    <w:rsid w:val="00D11748"/>
    <w:rsid w:val="00D237F6"/>
    <w:rsid w:val="00D322C6"/>
    <w:rsid w:val="00D34D98"/>
    <w:rsid w:val="00D366CF"/>
    <w:rsid w:val="00D93992"/>
    <w:rsid w:val="00E108AA"/>
    <w:rsid w:val="00E3749A"/>
    <w:rsid w:val="00E7437F"/>
    <w:rsid w:val="00E865B8"/>
    <w:rsid w:val="00EC0B9B"/>
    <w:rsid w:val="00ED0637"/>
    <w:rsid w:val="00ED5E9F"/>
    <w:rsid w:val="00F12E3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CAEA0"/>
  <w15:chartTrackingRefBased/>
  <w15:docId w15:val="{56757698-A390-477A-A3A3-CB199484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230EA3"/>
    <w:rPr>
      <w:color w:val="0000FF"/>
      <w:u w:val="single"/>
    </w:rPr>
  </w:style>
  <w:style w:type="table" w:styleId="Tabel-Gitter">
    <w:name w:val="Table Grid"/>
    <w:basedOn w:val="Tabel-Normal"/>
    <w:rsid w:val="00230EA3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32</TotalTime>
  <Pages>8</Pages>
  <Words>2027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2023101559, MT</dc:description>
  <cp:lastModifiedBy>Gitte Jørgensen</cp:lastModifiedBy>
  <cp:revision>11</cp:revision>
  <cp:lastPrinted>2012-08-22T08:53:00Z</cp:lastPrinted>
  <dcterms:created xsi:type="dcterms:W3CDTF">2024-09-24T07:13:00Z</dcterms:created>
  <dcterms:modified xsi:type="dcterms:W3CDTF">2024-09-24T11:47:00Z</dcterms:modified>
</cp:coreProperties>
</file>